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F" w:rsidRDefault="00506E0A" w:rsidP="007633FD">
      <w:pPr>
        <w:spacing w:line="360" w:lineRule="auto"/>
        <w:jc w:val="center"/>
        <w:rPr>
          <w:rFonts w:ascii="Arial" w:hAnsi="Arial" w:cs="Arial"/>
          <w:sz w:val="24"/>
          <w:szCs w:val="24"/>
        </w:rPr>
      </w:pPr>
      <w:bookmarkStart w:id="0" w:name="_GoBack"/>
      <w:bookmarkEnd w:id="0"/>
      <w:r>
        <w:rPr>
          <w:rFonts w:ascii="Arial" w:hAnsi="Arial" w:cs="Arial"/>
          <w:b/>
          <w:sz w:val="24"/>
          <w:szCs w:val="24"/>
          <w:u w:val="single"/>
        </w:rPr>
        <w:t xml:space="preserve">THE </w:t>
      </w:r>
      <w:r w:rsidR="00F93DC8">
        <w:rPr>
          <w:rFonts w:ascii="Arial" w:hAnsi="Arial" w:cs="Arial"/>
          <w:b/>
          <w:sz w:val="24"/>
          <w:szCs w:val="24"/>
          <w:u w:val="single"/>
        </w:rPr>
        <w:t xml:space="preserve">REVOLUTIONARY </w:t>
      </w:r>
      <w:r>
        <w:rPr>
          <w:rFonts w:ascii="Arial" w:hAnsi="Arial" w:cs="Arial"/>
          <w:b/>
          <w:sz w:val="24"/>
          <w:szCs w:val="24"/>
          <w:u w:val="single"/>
        </w:rPr>
        <w:t xml:space="preserve">EFFECT OF </w:t>
      </w:r>
      <w:r w:rsidR="00D355C0">
        <w:rPr>
          <w:rFonts w:ascii="Arial" w:hAnsi="Arial" w:cs="Arial"/>
          <w:b/>
          <w:sz w:val="24"/>
          <w:szCs w:val="24"/>
          <w:u w:val="single"/>
        </w:rPr>
        <w:t>EQUALITY AND HUMAN RIGHTS</w:t>
      </w:r>
      <w:r>
        <w:rPr>
          <w:rFonts w:ascii="Arial" w:hAnsi="Arial" w:cs="Arial"/>
          <w:b/>
          <w:sz w:val="24"/>
          <w:szCs w:val="24"/>
          <w:u w:val="single"/>
        </w:rPr>
        <w:t xml:space="preserve"> LAW ON THE </w:t>
      </w:r>
      <w:r w:rsidR="00670B78">
        <w:rPr>
          <w:rFonts w:ascii="Arial" w:hAnsi="Arial" w:cs="Arial"/>
          <w:b/>
          <w:sz w:val="24"/>
          <w:szCs w:val="24"/>
          <w:u w:val="single"/>
        </w:rPr>
        <w:t>UK ARMED</w:t>
      </w:r>
      <w:r>
        <w:rPr>
          <w:rFonts w:ascii="Arial" w:hAnsi="Arial" w:cs="Arial"/>
          <w:b/>
          <w:sz w:val="24"/>
          <w:szCs w:val="24"/>
          <w:u w:val="single"/>
        </w:rPr>
        <w:t xml:space="preserve"> FORCES</w:t>
      </w:r>
    </w:p>
    <w:p w:rsidR="001A758F" w:rsidRDefault="007756D6" w:rsidP="007633FD">
      <w:pPr>
        <w:spacing w:line="360" w:lineRule="auto"/>
        <w:jc w:val="center"/>
        <w:rPr>
          <w:rFonts w:ascii="Arial" w:hAnsi="Arial" w:cs="Arial"/>
          <w:sz w:val="24"/>
          <w:szCs w:val="24"/>
        </w:rPr>
      </w:pPr>
      <w:r>
        <w:rPr>
          <w:rFonts w:ascii="Arial" w:hAnsi="Arial" w:cs="Arial"/>
          <w:sz w:val="24"/>
          <w:szCs w:val="24"/>
        </w:rPr>
        <w:t>Richard Ball*</w:t>
      </w:r>
    </w:p>
    <w:p w:rsidR="007633FD" w:rsidRDefault="007633FD" w:rsidP="003160BA">
      <w:pPr>
        <w:spacing w:line="360" w:lineRule="auto"/>
        <w:jc w:val="both"/>
        <w:rPr>
          <w:rFonts w:ascii="Arial" w:hAnsi="Arial" w:cs="Arial"/>
          <w:sz w:val="24"/>
          <w:szCs w:val="24"/>
        </w:rPr>
      </w:pPr>
    </w:p>
    <w:p w:rsidR="00F515F3" w:rsidRDefault="00F515F3" w:rsidP="003160BA">
      <w:pPr>
        <w:spacing w:line="360" w:lineRule="auto"/>
        <w:jc w:val="both"/>
        <w:rPr>
          <w:rFonts w:ascii="Arial" w:hAnsi="Arial" w:cs="Arial"/>
          <w:sz w:val="24"/>
          <w:szCs w:val="24"/>
        </w:rPr>
      </w:pPr>
      <w:r>
        <w:rPr>
          <w:rFonts w:ascii="Arial" w:hAnsi="Arial" w:cs="Arial"/>
          <w:sz w:val="24"/>
          <w:szCs w:val="24"/>
        </w:rPr>
        <w:t xml:space="preserve">UK armed forces, civil-military relations, Human Rights Act 1998, Equality Act 2010, </w:t>
      </w:r>
      <w:proofErr w:type="gramStart"/>
      <w:r>
        <w:rPr>
          <w:rFonts w:ascii="Arial" w:hAnsi="Arial" w:cs="Arial"/>
          <w:sz w:val="24"/>
          <w:szCs w:val="24"/>
        </w:rPr>
        <w:t>Armed</w:t>
      </w:r>
      <w:proofErr w:type="gramEnd"/>
      <w:r>
        <w:rPr>
          <w:rFonts w:ascii="Arial" w:hAnsi="Arial" w:cs="Arial"/>
          <w:sz w:val="24"/>
          <w:szCs w:val="24"/>
        </w:rPr>
        <w:t xml:space="preserve"> Forces Covenant 2011</w:t>
      </w:r>
    </w:p>
    <w:p w:rsidR="007633FD" w:rsidRDefault="007633FD" w:rsidP="003160BA">
      <w:pPr>
        <w:spacing w:line="360" w:lineRule="auto"/>
        <w:jc w:val="both"/>
        <w:rPr>
          <w:rFonts w:ascii="Arial" w:hAnsi="Arial" w:cs="Arial"/>
          <w:sz w:val="24"/>
          <w:szCs w:val="24"/>
        </w:rPr>
      </w:pPr>
    </w:p>
    <w:p w:rsidR="00782D8E" w:rsidRDefault="00782D8E" w:rsidP="003160BA">
      <w:pPr>
        <w:spacing w:line="360" w:lineRule="auto"/>
        <w:jc w:val="both"/>
        <w:rPr>
          <w:rFonts w:ascii="Arial" w:hAnsi="Arial" w:cs="Arial"/>
          <w:sz w:val="24"/>
          <w:szCs w:val="24"/>
        </w:rPr>
      </w:pPr>
      <w:r>
        <w:rPr>
          <w:rFonts w:ascii="Arial" w:hAnsi="Arial" w:cs="Arial"/>
          <w:sz w:val="24"/>
          <w:szCs w:val="24"/>
        </w:rPr>
        <w:t>The UK armed forces</w:t>
      </w:r>
      <w:r w:rsidR="00647534">
        <w:rPr>
          <w:rFonts w:ascii="Arial" w:hAnsi="Arial" w:cs="Arial"/>
          <w:sz w:val="24"/>
          <w:szCs w:val="24"/>
        </w:rPr>
        <w:t xml:space="preserve"> have undergone a</w:t>
      </w:r>
      <w:r w:rsidR="00F515F3">
        <w:rPr>
          <w:rFonts w:ascii="Arial" w:hAnsi="Arial" w:cs="Arial"/>
          <w:sz w:val="24"/>
          <w:szCs w:val="24"/>
        </w:rPr>
        <w:t>n incremental</w:t>
      </w:r>
      <w:r w:rsidR="00647534">
        <w:rPr>
          <w:rFonts w:ascii="Arial" w:hAnsi="Arial" w:cs="Arial"/>
          <w:sz w:val="24"/>
          <w:szCs w:val="24"/>
        </w:rPr>
        <w:t xml:space="preserve"> transformation through the impact of civilian law</w:t>
      </w:r>
      <w:r w:rsidR="00F515F3">
        <w:rPr>
          <w:rFonts w:ascii="Arial" w:hAnsi="Arial" w:cs="Arial"/>
          <w:sz w:val="24"/>
          <w:szCs w:val="24"/>
        </w:rPr>
        <w:t xml:space="preserve"> since the 1960s</w:t>
      </w:r>
      <w:r w:rsidR="00647534">
        <w:rPr>
          <w:rFonts w:ascii="Arial" w:hAnsi="Arial" w:cs="Arial"/>
          <w:sz w:val="24"/>
          <w:szCs w:val="24"/>
        </w:rPr>
        <w:t xml:space="preserve">. </w:t>
      </w:r>
      <w:r w:rsidR="009339F6">
        <w:rPr>
          <w:rFonts w:ascii="Arial" w:hAnsi="Arial" w:cs="Arial"/>
          <w:sz w:val="24"/>
          <w:szCs w:val="24"/>
        </w:rPr>
        <w:t>Gerry Rubin in a 2002 article for this journal analysed the impact of this civilian law on Military Law and described a course of civilianisation and juridification. However,</w:t>
      </w:r>
      <w:r w:rsidR="00647534">
        <w:rPr>
          <w:rFonts w:ascii="Arial" w:hAnsi="Arial" w:cs="Arial"/>
          <w:sz w:val="24"/>
          <w:szCs w:val="24"/>
        </w:rPr>
        <w:t xml:space="preserve"> the Human Rights Act 1998 and non-discrimination legislation, culminating in the recent Equality Act 2010, have had a combined effect that </w:t>
      </w:r>
      <w:r w:rsidR="009339F6">
        <w:rPr>
          <w:rFonts w:ascii="Arial" w:hAnsi="Arial" w:cs="Arial"/>
          <w:sz w:val="24"/>
          <w:szCs w:val="24"/>
        </w:rPr>
        <w:t>has been</w:t>
      </w:r>
      <w:r w:rsidR="00647534">
        <w:rPr>
          <w:rFonts w:ascii="Arial" w:hAnsi="Arial" w:cs="Arial"/>
          <w:sz w:val="24"/>
          <w:szCs w:val="24"/>
        </w:rPr>
        <w:t xml:space="preserve"> </w:t>
      </w:r>
      <w:r w:rsidR="00F93DC8">
        <w:rPr>
          <w:rFonts w:ascii="Arial" w:hAnsi="Arial" w:cs="Arial"/>
          <w:sz w:val="24"/>
          <w:szCs w:val="24"/>
        </w:rPr>
        <w:t xml:space="preserve">revolutionary </w:t>
      </w:r>
      <w:r w:rsidR="009339F6">
        <w:rPr>
          <w:rFonts w:ascii="Arial" w:hAnsi="Arial" w:cs="Arial"/>
          <w:sz w:val="24"/>
          <w:szCs w:val="24"/>
        </w:rPr>
        <w:t>taking</w:t>
      </w:r>
      <w:r w:rsidR="00F93DC8">
        <w:rPr>
          <w:rFonts w:ascii="Arial" w:hAnsi="Arial" w:cs="Arial"/>
          <w:sz w:val="24"/>
          <w:szCs w:val="24"/>
        </w:rPr>
        <w:t xml:space="preserve"> the military </w:t>
      </w:r>
      <w:r w:rsidR="009339F6">
        <w:rPr>
          <w:rFonts w:ascii="Arial" w:hAnsi="Arial" w:cs="Arial"/>
          <w:sz w:val="24"/>
          <w:szCs w:val="24"/>
        </w:rPr>
        <w:t>further than Rubin’s civilianisation and juridification and down a process of</w:t>
      </w:r>
      <w:r w:rsidR="00F93DC8">
        <w:rPr>
          <w:rFonts w:ascii="Arial" w:hAnsi="Arial" w:cs="Arial"/>
          <w:sz w:val="24"/>
          <w:szCs w:val="24"/>
        </w:rPr>
        <w:t xml:space="preserve"> </w:t>
      </w:r>
      <w:r w:rsidR="00647534">
        <w:rPr>
          <w:rFonts w:ascii="Arial" w:hAnsi="Arial" w:cs="Arial"/>
          <w:sz w:val="24"/>
          <w:szCs w:val="24"/>
        </w:rPr>
        <w:t>democratisation. This article will examine</w:t>
      </w:r>
      <w:r w:rsidR="00F515F3">
        <w:rPr>
          <w:rFonts w:ascii="Arial" w:hAnsi="Arial" w:cs="Arial"/>
          <w:sz w:val="24"/>
          <w:szCs w:val="24"/>
        </w:rPr>
        <w:t xml:space="preserve"> the relationship between civilian and military societies, the effects of civilian law on the military and the impact of that civilian law on the civil-military relationship</w:t>
      </w:r>
      <w:r w:rsidR="007633FD">
        <w:rPr>
          <w:rFonts w:ascii="Arial" w:hAnsi="Arial" w:cs="Arial"/>
          <w:sz w:val="24"/>
          <w:szCs w:val="24"/>
        </w:rPr>
        <w:t>, including the introduction of the Armed Forces Covenant in 2011</w:t>
      </w:r>
      <w:r w:rsidR="00F515F3">
        <w:rPr>
          <w:rFonts w:ascii="Arial" w:hAnsi="Arial" w:cs="Arial"/>
          <w:sz w:val="24"/>
          <w:szCs w:val="24"/>
        </w:rPr>
        <w:t xml:space="preserve">. Finally lessons </w:t>
      </w:r>
      <w:r w:rsidR="007633FD">
        <w:rPr>
          <w:rFonts w:ascii="Arial" w:hAnsi="Arial" w:cs="Arial"/>
          <w:sz w:val="24"/>
          <w:szCs w:val="24"/>
        </w:rPr>
        <w:t xml:space="preserve">for the armed forces from this military democratisation </w:t>
      </w:r>
      <w:r w:rsidR="00F515F3">
        <w:rPr>
          <w:rFonts w:ascii="Arial" w:hAnsi="Arial" w:cs="Arial"/>
          <w:sz w:val="24"/>
          <w:szCs w:val="24"/>
        </w:rPr>
        <w:t>will be considered.</w:t>
      </w:r>
    </w:p>
    <w:p w:rsidR="007633FD" w:rsidRDefault="007633FD" w:rsidP="003160BA">
      <w:pPr>
        <w:spacing w:line="360" w:lineRule="auto"/>
        <w:jc w:val="both"/>
        <w:rPr>
          <w:rFonts w:ascii="Arial" w:hAnsi="Arial" w:cs="Arial"/>
          <w:sz w:val="24"/>
          <w:szCs w:val="24"/>
        </w:rPr>
      </w:pPr>
    </w:p>
    <w:p w:rsidR="001A758F" w:rsidRDefault="00904C32" w:rsidP="003160BA">
      <w:pPr>
        <w:spacing w:line="360" w:lineRule="auto"/>
        <w:jc w:val="both"/>
        <w:rPr>
          <w:rFonts w:ascii="Arial" w:hAnsi="Arial" w:cs="Arial"/>
          <w:sz w:val="24"/>
          <w:szCs w:val="24"/>
        </w:rPr>
      </w:pPr>
      <w:r>
        <w:rPr>
          <w:rFonts w:ascii="Arial" w:hAnsi="Arial" w:cs="Arial"/>
          <w:sz w:val="24"/>
          <w:szCs w:val="24"/>
          <w:u w:val="single"/>
        </w:rPr>
        <w:t>INTRODUCTION</w:t>
      </w:r>
    </w:p>
    <w:p w:rsidR="00904C32" w:rsidRDefault="00904C32" w:rsidP="003160BA">
      <w:pPr>
        <w:spacing w:line="360" w:lineRule="auto"/>
        <w:jc w:val="both"/>
        <w:rPr>
          <w:rFonts w:ascii="Arial" w:hAnsi="Arial" w:cs="Arial"/>
          <w:sz w:val="24"/>
          <w:szCs w:val="24"/>
        </w:rPr>
      </w:pPr>
    </w:p>
    <w:p w:rsidR="00334D57" w:rsidRDefault="00334D57" w:rsidP="00941954">
      <w:pPr>
        <w:spacing w:line="360" w:lineRule="auto"/>
        <w:jc w:val="both"/>
        <w:rPr>
          <w:rFonts w:ascii="Arial" w:hAnsi="Arial" w:cs="Arial"/>
          <w:sz w:val="24"/>
          <w:szCs w:val="24"/>
        </w:rPr>
      </w:pPr>
      <w:r>
        <w:rPr>
          <w:rFonts w:ascii="Arial" w:hAnsi="Arial" w:cs="Arial"/>
          <w:sz w:val="24"/>
          <w:szCs w:val="24"/>
        </w:rPr>
        <w:t xml:space="preserve">The </w:t>
      </w:r>
      <w:r w:rsidR="0087271A">
        <w:rPr>
          <w:rFonts w:ascii="Arial" w:hAnsi="Arial" w:cs="Arial"/>
          <w:sz w:val="24"/>
          <w:szCs w:val="24"/>
        </w:rPr>
        <w:t>UK military</w:t>
      </w:r>
      <w:r>
        <w:rPr>
          <w:rFonts w:ascii="Arial" w:hAnsi="Arial" w:cs="Arial"/>
          <w:sz w:val="24"/>
          <w:szCs w:val="24"/>
        </w:rPr>
        <w:t>, as a public body funded entirely through taxation with these funds distributed by parliament, is held accountable to citizens through</w:t>
      </w:r>
      <w:r w:rsidR="007436F5">
        <w:rPr>
          <w:rFonts w:ascii="Arial" w:hAnsi="Arial" w:cs="Arial"/>
          <w:sz w:val="24"/>
          <w:szCs w:val="24"/>
        </w:rPr>
        <w:t xml:space="preserve"> the legislative process</w:t>
      </w:r>
      <w:r>
        <w:rPr>
          <w:rFonts w:ascii="Arial" w:hAnsi="Arial" w:cs="Arial"/>
          <w:sz w:val="24"/>
          <w:szCs w:val="24"/>
        </w:rPr>
        <w:t xml:space="preserve"> and </w:t>
      </w:r>
      <w:r w:rsidR="007436F5">
        <w:rPr>
          <w:rFonts w:ascii="Arial" w:hAnsi="Arial" w:cs="Arial"/>
          <w:sz w:val="24"/>
          <w:szCs w:val="24"/>
        </w:rPr>
        <w:t>the judicial interpretation of the resulting legislation</w:t>
      </w:r>
      <w:r>
        <w:rPr>
          <w:rFonts w:ascii="Arial" w:hAnsi="Arial" w:cs="Arial"/>
          <w:sz w:val="24"/>
          <w:szCs w:val="24"/>
        </w:rPr>
        <w:t xml:space="preserve">. That relationship between civilian and military society is therefore democratically regulated through civilian law and the rule of law. This regulatory framework has grown incrementally </w:t>
      </w:r>
      <w:r>
        <w:rPr>
          <w:rFonts w:ascii="Arial" w:hAnsi="Arial" w:cs="Arial"/>
          <w:sz w:val="24"/>
          <w:szCs w:val="24"/>
        </w:rPr>
        <w:lastRenderedPageBreak/>
        <w:t xml:space="preserve">since the 1960s but </w:t>
      </w:r>
      <w:r w:rsidR="007B647E">
        <w:rPr>
          <w:rFonts w:ascii="Arial" w:hAnsi="Arial" w:cs="Arial"/>
          <w:sz w:val="24"/>
          <w:szCs w:val="24"/>
        </w:rPr>
        <w:t>from</w:t>
      </w:r>
      <w:r w:rsidR="00C461F2">
        <w:rPr>
          <w:rFonts w:ascii="Arial" w:hAnsi="Arial" w:cs="Arial"/>
          <w:sz w:val="24"/>
          <w:szCs w:val="24"/>
        </w:rPr>
        <w:t xml:space="preserve"> the 1990s, and especially 2000</w:t>
      </w:r>
      <w:r w:rsidR="00C461F2">
        <w:rPr>
          <w:rStyle w:val="FootnoteReference"/>
          <w:rFonts w:ascii="Arial" w:hAnsi="Arial" w:cs="Arial"/>
          <w:sz w:val="24"/>
          <w:szCs w:val="24"/>
        </w:rPr>
        <w:footnoteReference w:id="1"/>
      </w:r>
      <w:r>
        <w:rPr>
          <w:rFonts w:ascii="Arial" w:hAnsi="Arial" w:cs="Arial"/>
          <w:sz w:val="24"/>
          <w:szCs w:val="24"/>
        </w:rPr>
        <w:t xml:space="preserve"> the </w:t>
      </w:r>
      <w:r w:rsidR="00C461F2">
        <w:rPr>
          <w:rFonts w:ascii="Arial" w:hAnsi="Arial" w:cs="Arial"/>
          <w:sz w:val="24"/>
          <w:szCs w:val="24"/>
        </w:rPr>
        <w:t>significant advances</w:t>
      </w:r>
      <w:r>
        <w:rPr>
          <w:rFonts w:ascii="Arial" w:hAnsi="Arial" w:cs="Arial"/>
          <w:sz w:val="24"/>
          <w:szCs w:val="24"/>
        </w:rPr>
        <w:t xml:space="preserve"> in the fields of equality and human rights</w:t>
      </w:r>
      <w:r w:rsidR="00C461F2">
        <w:rPr>
          <w:rFonts w:ascii="Arial" w:hAnsi="Arial" w:cs="Arial"/>
          <w:sz w:val="24"/>
          <w:szCs w:val="24"/>
        </w:rPr>
        <w:t xml:space="preserve"> have led to a revolution in the UK military, that is far from complete</w:t>
      </w:r>
      <w:r>
        <w:rPr>
          <w:rFonts w:ascii="Arial" w:hAnsi="Arial" w:cs="Arial"/>
          <w:sz w:val="24"/>
          <w:szCs w:val="24"/>
        </w:rPr>
        <w:t>.</w:t>
      </w:r>
      <w:r w:rsidR="00570A5A">
        <w:rPr>
          <w:rFonts w:ascii="Arial" w:hAnsi="Arial" w:cs="Arial"/>
          <w:sz w:val="24"/>
          <w:szCs w:val="24"/>
        </w:rPr>
        <w:t xml:space="preserve"> </w:t>
      </w:r>
      <w:r w:rsidR="00C461F2">
        <w:rPr>
          <w:rFonts w:ascii="Arial" w:hAnsi="Arial" w:cs="Arial"/>
          <w:sz w:val="24"/>
          <w:szCs w:val="24"/>
        </w:rPr>
        <w:t>Gerry Rubin</w:t>
      </w:r>
      <w:r w:rsidR="00C461F2">
        <w:rPr>
          <w:rStyle w:val="FootnoteReference"/>
          <w:rFonts w:ascii="Arial" w:hAnsi="Arial" w:cs="Arial"/>
          <w:sz w:val="24"/>
          <w:szCs w:val="24"/>
        </w:rPr>
        <w:footnoteReference w:id="2"/>
      </w:r>
      <w:r w:rsidR="00C461F2">
        <w:rPr>
          <w:rFonts w:ascii="Arial" w:hAnsi="Arial" w:cs="Arial"/>
          <w:sz w:val="24"/>
          <w:szCs w:val="24"/>
        </w:rPr>
        <w:t xml:space="preserve"> in 2002 examined some of these changes, focussing predominantly on Military Law and the courts martial process, but touching briefly on the impact on the military itself</w:t>
      </w:r>
      <w:r w:rsidR="00C461F2">
        <w:rPr>
          <w:rStyle w:val="FootnoteReference"/>
          <w:rFonts w:ascii="Arial" w:hAnsi="Arial" w:cs="Arial"/>
          <w:sz w:val="24"/>
          <w:szCs w:val="24"/>
        </w:rPr>
        <w:footnoteReference w:id="3"/>
      </w:r>
      <w:r w:rsidR="00C461F2">
        <w:rPr>
          <w:rFonts w:ascii="Arial" w:hAnsi="Arial" w:cs="Arial"/>
          <w:sz w:val="24"/>
          <w:szCs w:val="24"/>
        </w:rPr>
        <w:t xml:space="preserve">. He identified this process </w:t>
      </w:r>
      <w:r w:rsidR="00EF6E0E">
        <w:rPr>
          <w:rFonts w:ascii="Arial" w:hAnsi="Arial" w:cs="Arial"/>
          <w:sz w:val="24"/>
          <w:szCs w:val="24"/>
        </w:rPr>
        <w:t xml:space="preserve">of change </w:t>
      </w:r>
      <w:r w:rsidR="00C461F2">
        <w:rPr>
          <w:rFonts w:ascii="Arial" w:hAnsi="Arial" w:cs="Arial"/>
          <w:sz w:val="24"/>
          <w:szCs w:val="24"/>
        </w:rPr>
        <w:t>as one of civilianisation</w:t>
      </w:r>
      <w:r w:rsidR="00C461F2">
        <w:rPr>
          <w:rStyle w:val="FootnoteReference"/>
          <w:rFonts w:ascii="Arial" w:hAnsi="Arial" w:cs="Arial"/>
          <w:sz w:val="24"/>
          <w:szCs w:val="24"/>
        </w:rPr>
        <w:footnoteReference w:id="4"/>
      </w:r>
      <w:r w:rsidR="00C461F2">
        <w:rPr>
          <w:rFonts w:ascii="Arial" w:hAnsi="Arial" w:cs="Arial"/>
          <w:sz w:val="24"/>
          <w:szCs w:val="24"/>
        </w:rPr>
        <w:t xml:space="preserve"> and juridification</w:t>
      </w:r>
      <w:r w:rsidR="00C461F2">
        <w:rPr>
          <w:rStyle w:val="FootnoteReference"/>
          <w:rFonts w:ascii="Arial" w:hAnsi="Arial" w:cs="Arial"/>
          <w:sz w:val="24"/>
          <w:szCs w:val="24"/>
        </w:rPr>
        <w:footnoteReference w:id="5"/>
      </w:r>
      <w:r w:rsidR="007B647E">
        <w:rPr>
          <w:rFonts w:ascii="Arial" w:hAnsi="Arial" w:cs="Arial"/>
          <w:sz w:val="24"/>
          <w:szCs w:val="24"/>
        </w:rPr>
        <w:t xml:space="preserve"> </w:t>
      </w:r>
      <w:r w:rsidR="00843677">
        <w:rPr>
          <w:rFonts w:ascii="Arial" w:hAnsi="Arial" w:cs="Arial"/>
          <w:sz w:val="24"/>
          <w:szCs w:val="24"/>
        </w:rPr>
        <w:t>but</w:t>
      </w:r>
      <w:r w:rsidR="007B647E">
        <w:rPr>
          <w:rFonts w:ascii="Arial" w:hAnsi="Arial" w:cs="Arial"/>
          <w:sz w:val="24"/>
          <w:szCs w:val="24"/>
        </w:rPr>
        <w:t xml:space="preserve"> Rubin was writing ten years ago and </w:t>
      </w:r>
      <w:r w:rsidR="00FF1BD2">
        <w:rPr>
          <w:rFonts w:ascii="Arial" w:hAnsi="Arial" w:cs="Arial"/>
          <w:sz w:val="24"/>
          <w:szCs w:val="24"/>
        </w:rPr>
        <w:t xml:space="preserve">in the meantime </w:t>
      </w:r>
      <w:r w:rsidR="00843677">
        <w:rPr>
          <w:rFonts w:ascii="Arial" w:hAnsi="Arial" w:cs="Arial"/>
          <w:sz w:val="24"/>
          <w:szCs w:val="24"/>
        </w:rPr>
        <w:t>civilian law has</w:t>
      </w:r>
      <w:r w:rsidR="007B647E">
        <w:rPr>
          <w:rFonts w:ascii="Arial" w:hAnsi="Arial" w:cs="Arial"/>
          <w:sz w:val="24"/>
          <w:szCs w:val="24"/>
        </w:rPr>
        <w:t xml:space="preserve"> led a</w:t>
      </w:r>
      <w:r w:rsidR="00C461F2">
        <w:rPr>
          <w:rFonts w:ascii="Arial" w:hAnsi="Arial" w:cs="Arial"/>
          <w:sz w:val="24"/>
          <w:szCs w:val="24"/>
        </w:rPr>
        <w:t xml:space="preserve"> revolutionary </w:t>
      </w:r>
      <w:r w:rsidR="007B647E">
        <w:rPr>
          <w:rFonts w:ascii="Arial" w:hAnsi="Arial" w:cs="Arial"/>
          <w:sz w:val="24"/>
          <w:szCs w:val="24"/>
        </w:rPr>
        <w:t>transformative effect on the culture of</w:t>
      </w:r>
      <w:r w:rsidR="00C461F2">
        <w:rPr>
          <w:rFonts w:ascii="Arial" w:hAnsi="Arial" w:cs="Arial"/>
          <w:sz w:val="24"/>
          <w:szCs w:val="24"/>
        </w:rPr>
        <w:t xml:space="preserve"> the armed forces</w:t>
      </w:r>
      <w:r w:rsidR="00D22D21">
        <w:rPr>
          <w:rFonts w:ascii="Arial" w:hAnsi="Arial" w:cs="Arial"/>
          <w:sz w:val="24"/>
          <w:szCs w:val="24"/>
        </w:rPr>
        <w:t xml:space="preserve"> from </w:t>
      </w:r>
      <w:r w:rsidR="007B647E">
        <w:rPr>
          <w:rFonts w:ascii="Arial" w:hAnsi="Arial" w:cs="Arial"/>
          <w:sz w:val="24"/>
          <w:szCs w:val="24"/>
        </w:rPr>
        <w:t xml:space="preserve">one of </w:t>
      </w:r>
      <w:r w:rsidR="00D22D21">
        <w:rPr>
          <w:rFonts w:ascii="Arial" w:hAnsi="Arial" w:cs="Arial"/>
          <w:sz w:val="24"/>
          <w:szCs w:val="24"/>
        </w:rPr>
        <w:t xml:space="preserve">discrimination on the basis of race, sex and sexual orientation to </w:t>
      </w:r>
      <w:r w:rsidR="007B647E">
        <w:rPr>
          <w:rFonts w:ascii="Arial" w:hAnsi="Arial" w:cs="Arial"/>
          <w:sz w:val="24"/>
          <w:szCs w:val="24"/>
        </w:rPr>
        <w:t>the embrace of diversity, equality and human rights</w:t>
      </w:r>
      <w:r w:rsidR="00D22D21">
        <w:rPr>
          <w:rFonts w:ascii="Arial" w:hAnsi="Arial" w:cs="Arial"/>
          <w:sz w:val="24"/>
          <w:szCs w:val="24"/>
        </w:rPr>
        <w:t xml:space="preserve">. </w:t>
      </w:r>
      <w:r w:rsidR="00610041">
        <w:rPr>
          <w:rFonts w:ascii="Arial" w:hAnsi="Arial" w:cs="Arial"/>
          <w:sz w:val="24"/>
          <w:szCs w:val="24"/>
        </w:rPr>
        <w:t xml:space="preserve">This process </w:t>
      </w:r>
      <w:r w:rsidR="007B647E">
        <w:rPr>
          <w:rFonts w:ascii="Arial" w:hAnsi="Arial" w:cs="Arial"/>
          <w:sz w:val="24"/>
          <w:szCs w:val="24"/>
        </w:rPr>
        <w:t xml:space="preserve">goes further than civilianisation and juridification </w:t>
      </w:r>
      <w:r w:rsidR="00EB0490">
        <w:rPr>
          <w:rFonts w:ascii="Arial" w:hAnsi="Arial" w:cs="Arial"/>
          <w:sz w:val="24"/>
          <w:szCs w:val="24"/>
        </w:rPr>
        <w:t>to</w:t>
      </w:r>
      <w:r w:rsidR="00610041">
        <w:rPr>
          <w:rFonts w:ascii="Arial" w:hAnsi="Arial" w:cs="Arial"/>
          <w:sz w:val="24"/>
          <w:szCs w:val="24"/>
        </w:rPr>
        <w:t xml:space="preserve"> </w:t>
      </w:r>
      <w:r w:rsidR="004C361B">
        <w:rPr>
          <w:rFonts w:ascii="Arial" w:hAnsi="Arial" w:cs="Arial"/>
          <w:sz w:val="24"/>
          <w:szCs w:val="24"/>
        </w:rPr>
        <w:t xml:space="preserve">one of </w:t>
      </w:r>
      <w:r w:rsidR="00610041">
        <w:rPr>
          <w:rFonts w:ascii="Arial" w:hAnsi="Arial" w:cs="Arial"/>
          <w:sz w:val="24"/>
          <w:szCs w:val="24"/>
        </w:rPr>
        <w:t xml:space="preserve">democratisation </w:t>
      </w:r>
      <w:r w:rsidR="004C361B">
        <w:rPr>
          <w:rFonts w:ascii="Arial" w:hAnsi="Arial" w:cs="Arial"/>
          <w:sz w:val="24"/>
          <w:szCs w:val="24"/>
        </w:rPr>
        <w:t xml:space="preserve">that has </w:t>
      </w:r>
      <w:r w:rsidR="00EB0490">
        <w:rPr>
          <w:rFonts w:ascii="Arial" w:hAnsi="Arial" w:cs="Arial"/>
          <w:sz w:val="24"/>
          <w:szCs w:val="24"/>
        </w:rPr>
        <w:t>t</w:t>
      </w:r>
      <w:r w:rsidR="004C361B">
        <w:rPr>
          <w:rFonts w:ascii="Arial" w:hAnsi="Arial" w:cs="Arial"/>
          <w:sz w:val="24"/>
          <w:szCs w:val="24"/>
        </w:rPr>
        <w:t>ransformed</w:t>
      </w:r>
      <w:r w:rsidR="00EB0490">
        <w:rPr>
          <w:rFonts w:ascii="Arial" w:hAnsi="Arial" w:cs="Arial"/>
          <w:sz w:val="24"/>
          <w:szCs w:val="24"/>
        </w:rPr>
        <w:t xml:space="preserve"> the relationship between civil society and the military in the UK</w:t>
      </w:r>
      <w:r w:rsidR="004C361B">
        <w:rPr>
          <w:rFonts w:ascii="Arial" w:hAnsi="Arial" w:cs="Arial"/>
          <w:sz w:val="24"/>
          <w:szCs w:val="24"/>
        </w:rPr>
        <w:t xml:space="preserve"> and facilitated the potential for </w:t>
      </w:r>
      <w:r w:rsidR="00EF6E0E">
        <w:rPr>
          <w:rFonts w:ascii="Arial" w:hAnsi="Arial" w:cs="Arial"/>
          <w:sz w:val="24"/>
          <w:szCs w:val="24"/>
        </w:rPr>
        <w:t xml:space="preserve">further </w:t>
      </w:r>
      <w:r w:rsidR="00843677">
        <w:rPr>
          <w:rFonts w:ascii="Arial" w:hAnsi="Arial" w:cs="Arial"/>
          <w:sz w:val="24"/>
          <w:szCs w:val="24"/>
        </w:rPr>
        <w:t>metamorphosis</w:t>
      </w:r>
      <w:r w:rsidR="00610041">
        <w:rPr>
          <w:rFonts w:ascii="Arial" w:hAnsi="Arial" w:cs="Arial"/>
          <w:sz w:val="24"/>
          <w:szCs w:val="24"/>
        </w:rPr>
        <w:t>.</w:t>
      </w:r>
    </w:p>
    <w:p w:rsidR="00334D57" w:rsidRDefault="00334D57" w:rsidP="00941954">
      <w:pPr>
        <w:spacing w:line="360" w:lineRule="auto"/>
        <w:jc w:val="both"/>
        <w:rPr>
          <w:rFonts w:ascii="Arial" w:hAnsi="Arial" w:cs="Arial"/>
          <w:sz w:val="24"/>
          <w:szCs w:val="24"/>
        </w:rPr>
      </w:pPr>
    </w:p>
    <w:p w:rsidR="00904C32" w:rsidRDefault="00803A41" w:rsidP="00941954">
      <w:pPr>
        <w:spacing w:line="360" w:lineRule="auto"/>
        <w:jc w:val="both"/>
        <w:rPr>
          <w:rFonts w:ascii="Arial" w:hAnsi="Arial" w:cs="Arial"/>
          <w:sz w:val="24"/>
          <w:szCs w:val="24"/>
        </w:rPr>
      </w:pPr>
      <w:r>
        <w:rPr>
          <w:rFonts w:ascii="Arial" w:hAnsi="Arial" w:cs="Arial"/>
          <w:sz w:val="24"/>
          <w:szCs w:val="24"/>
        </w:rPr>
        <w:t>This article</w:t>
      </w:r>
      <w:r w:rsidR="00941954">
        <w:rPr>
          <w:rFonts w:ascii="Arial" w:hAnsi="Arial" w:cs="Arial"/>
          <w:sz w:val="24"/>
          <w:szCs w:val="24"/>
        </w:rPr>
        <w:t xml:space="preserve"> will </w:t>
      </w:r>
      <w:r w:rsidR="00610041">
        <w:rPr>
          <w:rFonts w:ascii="Arial" w:hAnsi="Arial" w:cs="Arial"/>
          <w:sz w:val="24"/>
          <w:szCs w:val="24"/>
        </w:rPr>
        <w:t xml:space="preserve">focus on this democratisation process </w:t>
      </w:r>
      <w:r w:rsidR="00890903">
        <w:rPr>
          <w:rFonts w:ascii="Arial" w:hAnsi="Arial" w:cs="Arial"/>
          <w:sz w:val="24"/>
          <w:szCs w:val="24"/>
        </w:rPr>
        <w:t xml:space="preserve">and </w:t>
      </w:r>
      <w:r w:rsidR="00941954">
        <w:rPr>
          <w:rFonts w:ascii="Arial" w:hAnsi="Arial" w:cs="Arial"/>
          <w:sz w:val="24"/>
          <w:szCs w:val="24"/>
        </w:rPr>
        <w:t xml:space="preserve">examine the </w:t>
      </w:r>
      <w:r w:rsidR="00890903">
        <w:rPr>
          <w:rFonts w:ascii="Arial" w:hAnsi="Arial" w:cs="Arial"/>
          <w:sz w:val="24"/>
          <w:szCs w:val="24"/>
        </w:rPr>
        <w:t xml:space="preserve">impact of civilian law, in particular anti-discrimination, equality and human rights law, on the military. As such this article consists of three parts: part 1 will consider the </w:t>
      </w:r>
      <w:r w:rsidR="006A43E2">
        <w:rPr>
          <w:rFonts w:ascii="Arial" w:hAnsi="Arial" w:cs="Arial"/>
          <w:sz w:val="24"/>
          <w:szCs w:val="24"/>
        </w:rPr>
        <w:t xml:space="preserve">theory of the </w:t>
      </w:r>
      <w:r w:rsidR="00890903">
        <w:rPr>
          <w:rFonts w:ascii="Arial" w:hAnsi="Arial" w:cs="Arial"/>
          <w:sz w:val="24"/>
          <w:szCs w:val="24"/>
        </w:rPr>
        <w:t>civil-military relationship</w:t>
      </w:r>
      <w:r w:rsidR="006A43E2">
        <w:rPr>
          <w:rFonts w:ascii="Arial" w:hAnsi="Arial" w:cs="Arial"/>
          <w:sz w:val="24"/>
          <w:szCs w:val="24"/>
        </w:rPr>
        <w:t>; part 2 will describe the effects of</w:t>
      </w:r>
      <w:r w:rsidR="00F447DC">
        <w:rPr>
          <w:rFonts w:ascii="Arial" w:hAnsi="Arial" w:cs="Arial"/>
          <w:sz w:val="24"/>
          <w:szCs w:val="24"/>
        </w:rPr>
        <w:t xml:space="preserve"> civilian law on the armed f</w:t>
      </w:r>
      <w:r w:rsidR="006A43E2">
        <w:rPr>
          <w:rFonts w:ascii="Arial" w:hAnsi="Arial" w:cs="Arial"/>
          <w:sz w:val="24"/>
          <w:szCs w:val="24"/>
        </w:rPr>
        <w:t>orces; and, part 3 will critically evaluate this impact especially as it applies to the civil-military relationship and outline possible further challenges for the UK military in the years to come.</w:t>
      </w:r>
    </w:p>
    <w:p w:rsidR="006A43E2" w:rsidRDefault="006A43E2" w:rsidP="00941954">
      <w:pPr>
        <w:spacing w:line="360" w:lineRule="auto"/>
        <w:jc w:val="both"/>
        <w:rPr>
          <w:rFonts w:ascii="Arial" w:hAnsi="Arial" w:cs="Arial"/>
          <w:sz w:val="24"/>
          <w:szCs w:val="24"/>
        </w:rPr>
      </w:pPr>
    </w:p>
    <w:p w:rsidR="006A43E2" w:rsidRPr="006A43E2" w:rsidRDefault="006A43E2" w:rsidP="00941954">
      <w:pPr>
        <w:spacing w:line="360" w:lineRule="auto"/>
        <w:jc w:val="both"/>
        <w:rPr>
          <w:rFonts w:ascii="Arial" w:hAnsi="Arial" w:cs="Arial"/>
          <w:b/>
          <w:sz w:val="24"/>
          <w:szCs w:val="24"/>
          <w:u w:val="single"/>
          <w:lang w:val="en-US"/>
        </w:rPr>
      </w:pPr>
      <w:r>
        <w:rPr>
          <w:rFonts w:ascii="Arial" w:hAnsi="Arial" w:cs="Arial"/>
          <w:b/>
          <w:sz w:val="24"/>
          <w:szCs w:val="24"/>
          <w:u w:val="single"/>
        </w:rPr>
        <w:t>PART 1 – THE CIVIL-MILITARY RELATIONSHIP</w:t>
      </w:r>
    </w:p>
    <w:p w:rsidR="00E45D87" w:rsidRDefault="00E45D87" w:rsidP="00941954">
      <w:pPr>
        <w:spacing w:line="360" w:lineRule="auto"/>
        <w:jc w:val="both"/>
        <w:rPr>
          <w:rFonts w:ascii="Arial" w:hAnsi="Arial" w:cs="Arial"/>
          <w:sz w:val="24"/>
          <w:szCs w:val="24"/>
          <w:lang w:val="en-US"/>
        </w:rPr>
      </w:pPr>
    </w:p>
    <w:p w:rsidR="00B839BE" w:rsidRDefault="00B839BE" w:rsidP="00B839BE">
      <w:pPr>
        <w:spacing w:line="360" w:lineRule="auto"/>
        <w:jc w:val="both"/>
        <w:rPr>
          <w:rFonts w:ascii="Arial" w:hAnsi="Arial" w:cs="Arial"/>
          <w:sz w:val="24"/>
          <w:szCs w:val="24"/>
        </w:rPr>
      </w:pPr>
      <w:r>
        <w:rPr>
          <w:rFonts w:ascii="Arial" w:hAnsi="Arial" w:cs="Arial"/>
          <w:sz w:val="24"/>
          <w:szCs w:val="24"/>
        </w:rPr>
        <w:t>There has been much written about the civil-military relationship</w:t>
      </w:r>
      <w:r>
        <w:rPr>
          <w:rStyle w:val="FootnoteReference"/>
          <w:rFonts w:ascii="Arial" w:hAnsi="Arial" w:cs="Arial"/>
          <w:sz w:val="24"/>
          <w:szCs w:val="24"/>
        </w:rPr>
        <w:footnoteReference w:id="6"/>
      </w:r>
      <w:r>
        <w:rPr>
          <w:rFonts w:ascii="Arial" w:hAnsi="Arial" w:cs="Arial"/>
          <w:sz w:val="24"/>
          <w:szCs w:val="24"/>
        </w:rPr>
        <w:t xml:space="preserve"> that has focused predominantly on the US military with the debate rarely coming alive in the UK</w:t>
      </w:r>
      <w:r>
        <w:rPr>
          <w:rStyle w:val="FootnoteReference"/>
          <w:rFonts w:ascii="Arial" w:hAnsi="Arial" w:cs="Arial"/>
          <w:sz w:val="24"/>
          <w:szCs w:val="24"/>
        </w:rPr>
        <w:footnoteReference w:id="7"/>
      </w:r>
      <w:r>
        <w:rPr>
          <w:rFonts w:ascii="Arial" w:hAnsi="Arial" w:cs="Arial"/>
          <w:sz w:val="24"/>
          <w:szCs w:val="24"/>
        </w:rPr>
        <w:t>. The debate in the US has mainly been led by political scientists and sociologists.</w:t>
      </w:r>
    </w:p>
    <w:p w:rsidR="00394FF7" w:rsidRPr="008D569A" w:rsidRDefault="00394FF7" w:rsidP="00B839BE">
      <w:pPr>
        <w:spacing w:line="360" w:lineRule="auto"/>
        <w:jc w:val="both"/>
        <w:rPr>
          <w:rFonts w:ascii="Arial" w:hAnsi="Arial" w:cs="Arial"/>
          <w:sz w:val="24"/>
          <w:szCs w:val="24"/>
        </w:rPr>
      </w:pPr>
    </w:p>
    <w:p w:rsidR="00B839BE" w:rsidRDefault="00B839BE" w:rsidP="00B839BE">
      <w:pPr>
        <w:pStyle w:val="ListParagraph"/>
        <w:spacing w:line="360" w:lineRule="auto"/>
        <w:ind w:left="0"/>
        <w:jc w:val="both"/>
        <w:rPr>
          <w:rFonts w:ascii="Arial" w:hAnsi="Arial" w:cs="Arial"/>
          <w:sz w:val="24"/>
          <w:szCs w:val="24"/>
        </w:rPr>
      </w:pPr>
      <w:r>
        <w:rPr>
          <w:rFonts w:ascii="Arial" w:hAnsi="Arial" w:cs="Arial"/>
          <w:sz w:val="24"/>
          <w:szCs w:val="24"/>
        </w:rPr>
        <w:t>The examination of the civil-military relationship from the political science experience has centred on political institutions, the relationship between the civilian political machinery and the military and the democratic control of the military. The two sides of the debate are exemplified by Huntington</w:t>
      </w:r>
      <w:r>
        <w:rPr>
          <w:rStyle w:val="FootnoteReference"/>
          <w:rFonts w:ascii="Arial" w:hAnsi="Arial" w:cs="Arial"/>
          <w:sz w:val="24"/>
          <w:szCs w:val="24"/>
        </w:rPr>
        <w:footnoteReference w:id="8"/>
      </w:r>
      <w:r>
        <w:rPr>
          <w:rFonts w:ascii="Arial" w:hAnsi="Arial" w:cs="Arial"/>
          <w:sz w:val="24"/>
          <w:szCs w:val="24"/>
        </w:rPr>
        <w:t xml:space="preserve"> and Feaver</w:t>
      </w:r>
      <w:r>
        <w:rPr>
          <w:rStyle w:val="FootnoteReference"/>
          <w:rFonts w:ascii="Arial" w:hAnsi="Arial" w:cs="Arial"/>
          <w:sz w:val="24"/>
          <w:szCs w:val="24"/>
        </w:rPr>
        <w:footnoteReference w:id="9"/>
      </w:r>
      <w:r>
        <w:rPr>
          <w:rFonts w:ascii="Arial" w:hAnsi="Arial" w:cs="Arial"/>
          <w:sz w:val="24"/>
          <w:szCs w:val="24"/>
        </w:rPr>
        <w:t>. Huntington focused on the professional of</w:t>
      </w:r>
      <w:r w:rsidR="00642350">
        <w:rPr>
          <w:rFonts w:ascii="Arial" w:hAnsi="Arial" w:cs="Arial"/>
          <w:sz w:val="24"/>
          <w:szCs w:val="24"/>
        </w:rPr>
        <w:t>ficer corps and concluded that ‘</w:t>
      </w:r>
      <w:r>
        <w:rPr>
          <w:rFonts w:ascii="Arial" w:hAnsi="Arial" w:cs="Arial"/>
          <w:sz w:val="24"/>
          <w:szCs w:val="24"/>
        </w:rPr>
        <w:t xml:space="preserve">the optimal balance between the functional imperative (military effectiveness) and the societal imperative (responsiveness) is achieved – contrary to conventional belief – not when the officer corps is forced to incorporate civilian values as the price of the authority and influence it requires to fulfil its </w:t>
      </w:r>
      <w:r w:rsidR="00642350">
        <w:rPr>
          <w:rFonts w:ascii="Arial" w:hAnsi="Arial" w:cs="Arial"/>
          <w:sz w:val="24"/>
          <w:szCs w:val="24"/>
        </w:rPr>
        <w:t>duties (‘</w:t>
      </w:r>
      <w:r>
        <w:rPr>
          <w:rFonts w:ascii="Arial" w:hAnsi="Arial" w:cs="Arial"/>
          <w:sz w:val="24"/>
          <w:szCs w:val="24"/>
        </w:rPr>
        <w:t>subjective civilian control</w:t>
      </w:r>
      <w:r w:rsidR="00642350">
        <w:rPr>
          <w:rFonts w:ascii="Arial" w:hAnsi="Arial" w:cs="Arial"/>
          <w:sz w:val="24"/>
          <w:szCs w:val="24"/>
        </w:rPr>
        <w:t>’</w:t>
      </w:r>
      <w:r>
        <w:rPr>
          <w:rStyle w:val="FootnoteReference"/>
          <w:rFonts w:ascii="Arial" w:hAnsi="Arial" w:cs="Arial"/>
          <w:sz w:val="24"/>
          <w:szCs w:val="24"/>
        </w:rPr>
        <w:footnoteReference w:id="10"/>
      </w:r>
      <w:r>
        <w:rPr>
          <w:rFonts w:ascii="Arial" w:hAnsi="Arial" w:cs="Arial"/>
          <w:sz w:val="24"/>
          <w:szCs w:val="24"/>
        </w:rPr>
        <w:t>), but when it is all</w:t>
      </w:r>
      <w:r w:rsidR="00642350">
        <w:rPr>
          <w:rFonts w:ascii="Arial" w:hAnsi="Arial" w:cs="Arial"/>
          <w:sz w:val="24"/>
          <w:szCs w:val="24"/>
        </w:rPr>
        <w:t>owed to be fully professional (‘</w:t>
      </w:r>
      <w:r>
        <w:rPr>
          <w:rFonts w:ascii="Arial" w:hAnsi="Arial" w:cs="Arial"/>
          <w:sz w:val="24"/>
          <w:szCs w:val="24"/>
        </w:rPr>
        <w:t>objective civilian control</w:t>
      </w:r>
      <w:r w:rsidR="00642350">
        <w:rPr>
          <w:rFonts w:ascii="Arial" w:hAnsi="Arial" w:cs="Arial"/>
          <w:sz w:val="24"/>
          <w:szCs w:val="24"/>
        </w:rPr>
        <w:t>’</w:t>
      </w:r>
      <w:r>
        <w:rPr>
          <w:rStyle w:val="FootnoteReference"/>
          <w:rFonts w:ascii="Arial" w:hAnsi="Arial" w:cs="Arial"/>
          <w:sz w:val="24"/>
          <w:szCs w:val="24"/>
        </w:rPr>
        <w:footnoteReference w:id="11"/>
      </w:r>
      <w:r w:rsidR="00642350">
        <w:rPr>
          <w:rFonts w:ascii="Arial" w:hAnsi="Arial" w:cs="Arial"/>
          <w:sz w:val="24"/>
          <w:szCs w:val="24"/>
        </w:rPr>
        <w:t>)’</w:t>
      </w:r>
      <w:r>
        <w:rPr>
          <w:rStyle w:val="FootnoteReference"/>
          <w:rFonts w:ascii="Arial" w:hAnsi="Arial" w:cs="Arial"/>
          <w:sz w:val="24"/>
          <w:szCs w:val="24"/>
        </w:rPr>
        <w:footnoteReference w:id="12"/>
      </w:r>
      <w:r>
        <w:rPr>
          <w:rFonts w:ascii="Arial" w:hAnsi="Arial" w:cs="Arial"/>
          <w:sz w:val="24"/>
          <w:szCs w:val="24"/>
        </w:rPr>
        <w:t>. Feaver on the other hand establishes an agent-principal model with the armed forces as the agent acting in accordance with the civilian political principal’s intentions</w:t>
      </w:r>
      <w:r>
        <w:rPr>
          <w:rStyle w:val="FootnoteReference"/>
          <w:rFonts w:ascii="Arial" w:hAnsi="Arial" w:cs="Arial"/>
          <w:sz w:val="24"/>
          <w:szCs w:val="24"/>
        </w:rPr>
        <w:footnoteReference w:id="13"/>
      </w:r>
      <w:r>
        <w:rPr>
          <w:rFonts w:ascii="Arial" w:hAnsi="Arial" w:cs="Arial"/>
          <w:sz w:val="24"/>
          <w:szCs w:val="24"/>
        </w:rPr>
        <w:t>. The result is that there are considerable mechanisms for civilian oversight of the military</w:t>
      </w:r>
      <w:r>
        <w:rPr>
          <w:rStyle w:val="FootnoteReference"/>
          <w:rFonts w:ascii="Arial" w:hAnsi="Arial" w:cs="Arial"/>
          <w:sz w:val="24"/>
          <w:szCs w:val="24"/>
        </w:rPr>
        <w:footnoteReference w:id="14"/>
      </w:r>
      <w:r>
        <w:rPr>
          <w:rFonts w:ascii="Arial" w:hAnsi="Arial" w:cs="Arial"/>
          <w:sz w:val="24"/>
          <w:szCs w:val="24"/>
        </w:rPr>
        <w:t xml:space="preserve">, the availability of </w:t>
      </w:r>
      <w:r>
        <w:rPr>
          <w:rFonts w:ascii="Arial" w:hAnsi="Arial" w:cs="Arial"/>
          <w:sz w:val="24"/>
          <w:szCs w:val="24"/>
        </w:rPr>
        <w:lastRenderedPageBreak/>
        <w:t>civilian punishment of the military</w:t>
      </w:r>
      <w:r>
        <w:rPr>
          <w:rStyle w:val="FootnoteReference"/>
          <w:rFonts w:ascii="Arial" w:hAnsi="Arial" w:cs="Arial"/>
          <w:sz w:val="24"/>
          <w:szCs w:val="24"/>
        </w:rPr>
        <w:footnoteReference w:id="15"/>
      </w:r>
      <w:r>
        <w:rPr>
          <w:rFonts w:ascii="Arial" w:hAnsi="Arial" w:cs="Arial"/>
          <w:sz w:val="24"/>
          <w:szCs w:val="24"/>
        </w:rPr>
        <w:t xml:space="preserve"> and an overall goal of protecting democratic values</w:t>
      </w:r>
      <w:r>
        <w:rPr>
          <w:rStyle w:val="FootnoteReference"/>
          <w:rFonts w:ascii="Arial" w:hAnsi="Arial" w:cs="Arial"/>
          <w:sz w:val="24"/>
          <w:szCs w:val="24"/>
        </w:rPr>
        <w:footnoteReference w:id="16"/>
      </w:r>
      <w:r>
        <w:rPr>
          <w:rFonts w:ascii="Arial" w:hAnsi="Arial" w:cs="Arial"/>
          <w:sz w:val="24"/>
          <w:szCs w:val="24"/>
        </w:rPr>
        <w:t>.</w:t>
      </w:r>
    </w:p>
    <w:p w:rsidR="00394FF7" w:rsidRDefault="00394FF7" w:rsidP="00B839BE">
      <w:pPr>
        <w:pStyle w:val="ListParagraph"/>
        <w:spacing w:line="360" w:lineRule="auto"/>
        <w:ind w:left="0"/>
        <w:jc w:val="both"/>
        <w:rPr>
          <w:rFonts w:ascii="Arial" w:hAnsi="Arial" w:cs="Arial"/>
          <w:sz w:val="24"/>
          <w:szCs w:val="24"/>
        </w:rPr>
      </w:pPr>
    </w:p>
    <w:p w:rsidR="00B839BE" w:rsidRDefault="00B839BE" w:rsidP="00B839BE">
      <w:pPr>
        <w:pStyle w:val="ListParagraph"/>
        <w:spacing w:line="360" w:lineRule="auto"/>
        <w:ind w:left="0"/>
        <w:jc w:val="both"/>
        <w:rPr>
          <w:rFonts w:ascii="Arial" w:hAnsi="Arial" w:cs="Arial"/>
          <w:sz w:val="24"/>
          <w:szCs w:val="24"/>
        </w:rPr>
      </w:pPr>
      <w:r w:rsidRPr="008D569A">
        <w:rPr>
          <w:rFonts w:ascii="Arial" w:hAnsi="Arial" w:cs="Arial"/>
          <w:sz w:val="24"/>
          <w:szCs w:val="24"/>
        </w:rPr>
        <w:t>The sociological perspective of the civil-military relationship is dominated by Janowitz</w:t>
      </w:r>
      <w:r>
        <w:rPr>
          <w:rStyle w:val="FootnoteReference"/>
          <w:rFonts w:ascii="Arial" w:hAnsi="Arial" w:cs="Arial"/>
          <w:sz w:val="24"/>
          <w:szCs w:val="24"/>
        </w:rPr>
        <w:footnoteReference w:id="17"/>
      </w:r>
      <w:r w:rsidRPr="008D569A">
        <w:rPr>
          <w:rFonts w:ascii="Arial" w:hAnsi="Arial" w:cs="Arial"/>
          <w:sz w:val="24"/>
          <w:szCs w:val="24"/>
        </w:rPr>
        <w:t xml:space="preserve"> and Moskos</w:t>
      </w:r>
      <w:r>
        <w:rPr>
          <w:rStyle w:val="FootnoteReference"/>
          <w:rFonts w:ascii="Arial" w:hAnsi="Arial" w:cs="Arial"/>
          <w:sz w:val="24"/>
          <w:szCs w:val="24"/>
        </w:rPr>
        <w:footnoteReference w:id="18"/>
      </w:r>
      <w:r w:rsidRPr="008D569A">
        <w:rPr>
          <w:rFonts w:ascii="Arial" w:hAnsi="Arial" w:cs="Arial"/>
          <w:sz w:val="24"/>
          <w:szCs w:val="24"/>
        </w:rPr>
        <w:t>. Janowitz identified a convergence of the military and civilians with the civilianisation of the military leading to a “constabulary” role for the armed forces</w:t>
      </w:r>
      <w:r>
        <w:rPr>
          <w:rStyle w:val="FootnoteReference"/>
          <w:rFonts w:ascii="Arial" w:hAnsi="Arial" w:cs="Arial"/>
          <w:sz w:val="24"/>
          <w:szCs w:val="24"/>
        </w:rPr>
        <w:footnoteReference w:id="19"/>
      </w:r>
      <w:r w:rsidRPr="008D569A">
        <w:rPr>
          <w:rFonts w:ascii="Arial" w:hAnsi="Arial" w:cs="Arial"/>
          <w:sz w:val="24"/>
          <w:szCs w:val="24"/>
        </w:rPr>
        <w:t>. His focus, like Huntington’s, was on the officer corps. The</w:t>
      </w:r>
      <w:r w:rsidR="00642350">
        <w:rPr>
          <w:rFonts w:ascii="Arial" w:hAnsi="Arial" w:cs="Arial"/>
          <w:sz w:val="24"/>
          <w:szCs w:val="24"/>
        </w:rPr>
        <w:t xml:space="preserve"> officer undertakes his duties ‘</w:t>
      </w:r>
      <w:r w:rsidRPr="008D569A">
        <w:rPr>
          <w:rFonts w:ascii="Arial" w:hAnsi="Arial" w:cs="Arial"/>
          <w:sz w:val="24"/>
          <w:szCs w:val="24"/>
        </w:rPr>
        <w:t>because he is a professional with a sense</w:t>
      </w:r>
      <w:r w:rsidR="00642350">
        <w:rPr>
          <w:rFonts w:ascii="Arial" w:hAnsi="Arial" w:cs="Arial"/>
          <w:sz w:val="24"/>
          <w:szCs w:val="24"/>
        </w:rPr>
        <w:t xml:space="preserve"> of self-esteem and moral worth’</w:t>
      </w:r>
      <w:r w:rsidRPr="008D569A">
        <w:rPr>
          <w:rFonts w:ascii="Arial" w:hAnsi="Arial" w:cs="Arial"/>
          <w:sz w:val="24"/>
          <w:szCs w:val="24"/>
        </w:rPr>
        <w:t xml:space="preserve">, </w:t>
      </w:r>
      <w:r w:rsidR="00642350">
        <w:rPr>
          <w:rFonts w:ascii="Arial" w:hAnsi="Arial" w:cs="Arial"/>
          <w:sz w:val="24"/>
          <w:szCs w:val="24"/>
        </w:rPr>
        <w:t>‘</w:t>
      </w:r>
      <w:r w:rsidRPr="008D569A">
        <w:rPr>
          <w:rFonts w:ascii="Arial" w:hAnsi="Arial" w:cs="Arial"/>
          <w:sz w:val="24"/>
          <w:szCs w:val="24"/>
        </w:rPr>
        <w:t>who accepts civilian political control because he recognises that civilians appreciate and understand the tasks and responsibilities of the constabulary force. He is integrated into civilian society beca</w:t>
      </w:r>
      <w:r w:rsidR="00642350">
        <w:rPr>
          <w:rFonts w:ascii="Arial" w:hAnsi="Arial" w:cs="Arial"/>
          <w:sz w:val="24"/>
          <w:szCs w:val="24"/>
        </w:rPr>
        <w:t>use he shares its common values’</w:t>
      </w:r>
      <w:r>
        <w:rPr>
          <w:rStyle w:val="FootnoteReference"/>
          <w:rFonts w:ascii="Arial" w:hAnsi="Arial" w:cs="Arial"/>
          <w:sz w:val="24"/>
          <w:szCs w:val="24"/>
        </w:rPr>
        <w:footnoteReference w:id="20"/>
      </w:r>
      <w:r w:rsidRPr="008D569A">
        <w:rPr>
          <w:rFonts w:ascii="Arial" w:hAnsi="Arial" w:cs="Arial"/>
          <w:sz w:val="24"/>
          <w:szCs w:val="24"/>
        </w:rPr>
        <w:t>. Moskos</w:t>
      </w:r>
      <w:r>
        <w:rPr>
          <w:rStyle w:val="FootnoteReference"/>
          <w:rFonts w:ascii="Arial" w:hAnsi="Arial" w:cs="Arial"/>
          <w:sz w:val="24"/>
          <w:szCs w:val="24"/>
        </w:rPr>
        <w:footnoteReference w:id="21"/>
      </w:r>
      <w:r w:rsidRPr="008D569A">
        <w:rPr>
          <w:rFonts w:ascii="Arial" w:hAnsi="Arial" w:cs="Arial"/>
          <w:sz w:val="24"/>
          <w:szCs w:val="24"/>
        </w:rPr>
        <w:t xml:space="preserve"> observed a similar development to Janowitz but this was framed within the transit</w:t>
      </w:r>
      <w:r>
        <w:rPr>
          <w:rFonts w:ascii="Arial" w:hAnsi="Arial" w:cs="Arial"/>
          <w:sz w:val="24"/>
          <w:szCs w:val="24"/>
        </w:rPr>
        <w:t>ion from conscription to an all-</w:t>
      </w:r>
      <w:r w:rsidRPr="008D569A">
        <w:rPr>
          <w:rFonts w:ascii="Arial" w:hAnsi="Arial" w:cs="Arial"/>
          <w:sz w:val="24"/>
          <w:szCs w:val="24"/>
        </w:rPr>
        <w:t>volunteer force. As convergence occurred between the military and civilians so the nature of the military personnel’s relationship with the armed forces also altered, moving from institutional to occupational.</w:t>
      </w:r>
    </w:p>
    <w:p w:rsidR="00B839BE" w:rsidRPr="00394FF7" w:rsidRDefault="00B839BE" w:rsidP="00394FF7">
      <w:pPr>
        <w:spacing w:line="360" w:lineRule="auto"/>
        <w:jc w:val="both"/>
        <w:rPr>
          <w:rFonts w:ascii="Arial" w:hAnsi="Arial" w:cs="Arial"/>
          <w:sz w:val="24"/>
          <w:szCs w:val="24"/>
        </w:rPr>
      </w:pPr>
    </w:p>
    <w:p w:rsidR="00B839BE" w:rsidRDefault="00C6698E" w:rsidP="00B839BE">
      <w:pPr>
        <w:pStyle w:val="ListParagraph"/>
        <w:spacing w:line="360" w:lineRule="auto"/>
        <w:ind w:left="0"/>
        <w:jc w:val="both"/>
        <w:rPr>
          <w:rFonts w:ascii="Arial" w:hAnsi="Arial" w:cs="Arial"/>
          <w:sz w:val="24"/>
          <w:szCs w:val="24"/>
        </w:rPr>
      </w:pPr>
      <w:r>
        <w:rPr>
          <w:rFonts w:ascii="Arial" w:hAnsi="Arial" w:cs="Arial"/>
          <w:sz w:val="24"/>
          <w:szCs w:val="24"/>
        </w:rPr>
        <w:t xml:space="preserve">A number of attempts have been made to find a middle way between Huntingdon/Feaver and Janowitz/Moskos. </w:t>
      </w:r>
      <w:r w:rsidR="00B839BE">
        <w:rPr>
          <w:rFonts w:ascii="Arial" w:hAnsi="Arial" w:cs="Arial"/>
          <w:sz w:val="24"/>
          <w:szCs w:val="24"/>
        </w:rPr>
        <w:t>Schiff</w:t>
      </w:r>
      <w:r w:rsidR="00B839BE">
        <w:rPr>
          <w:rStyle w:val="FootnoteReference"/>
          <w:rFonts w:ascii="Arial" w:hAnsi="Arial" w:cs="Arial"/>
          <w:sz w:val="24"/>
          <w:szCs w:val="24"/>
        </w:rPr>
        <w:footnoteReference w:id="22"/>
      </w:r>
      <w:r w:rsidR="00B839BE">
        <w:rPr>
          <w:rFonts w:ascii="Arial" w:hAnsi="Arial" w:cs="Arial"/>
          <w:sz w:val="24"/>
          <w:szCs w:val="24"/>
        </w:rPr>
        <w:t xml:space="preserve"> has attempted to </w:t>
      </w:r>
      <w:r>
        <w:rPr>
          <w:rFonts w:ascii="Arial" w:hAnsi="Arial" w:cs="Arial"/>
          <w:sz w:val="24"/>
          <w:szCs w:val="24"/>
        </w:rPr>
        <w:t>utilise</w:t>
      </w:r>
      <w:r w:rsidR="00B839BE">
        <w:rPr>
          <w:rFonts w:ascii="Arial" w:hAnsi="Arial" w:cs="Arial"/>
          <w:sz w:val="24"/>
          <w:szCs w:val="24"/>
        </w:rPr>
        <w:t xml:space="preserve"> both </w:t>
      </w:r>
      <w:r>
        <w:rPr>
          <w:rFonts w:ascii="Arial" w:hAnsi="Arial" w:cs="Arial"/>
          <w:sz w:val="24"/>
          <w:szCs w:val="24"/>
        </w:rPr>
        <w:t xml:space="preserve">the </w:t>
      </w:r>
      <w:r w:rsidR="00B839BE">
        <w:rPr>
          <w:rFonts w:ascii="Arial" w:hAnsi="Arial" w:cs="Arial"/>
          <w:sz w:val="24"/>
          <w:szCs w:val="24"/>
        </w:rPr>
        <w:t>political science and sociology</w:t>
      </w:r>
      <w:r>
        <w:rPr>
          <w:rFonts w:ascii="Arial" w:hAnsi="Arial" w:cs="Arial"/>
          <w:sz w:val="24"/>
          <w:szCs w:val="24"/>
        </w:rPr>
        <w:t xml:space="preserve"> models</w:t>
      </w:r>
      <w:r w:rsidR="00B839BE">
        <w:rPr>
          <w:rFonts w:ascii="Arial" w:hAnsi="Arial" w:cs="Arial"/>
          <w:sz w:val="24"/>
          <w:szCs w:val="24"/>
        </w:rPr>
        <w:t xml:space="preserve">. She advances a theory for a cooperative relationship between the military, the political elites and the citizenry. This concordance model however has no ideal typical blueprint of civil-military </w:t>
      </w:r>
      <w:r w:rsidR="00B839BE">
        <w:rPr>
          <w:rFonts w:ascii="Arial" w:hAnsi="Arial" w:cs="Arial"/>
          <w:sz w:val="24"/>
          <w:szCs w:val="24"/>
        </w:rPr>
        <w:lastRenderedPageBreak/>
        <w:t>relationship as several types are possible dependant on society’s institutional and cultural conditions.</w:t>
      </w:r>
    </w:p>
    <w:p w:rsidR="005C5BBA" w:rsidRDefault="005C5BBA" w:rsidP="00B839BE">
      <w:pPr>
        <w:pStyle w:val="ListParagraph"/>
        <w:spacing w:line="360" w:lineRule="auto"/>
        <w:ind w:left="0"/>
        <w:jc w:val="both"/>
        <w:rPr>
          <w:rFonts w:ascii="Arial" w:hAnsi="Arial" w:cs="Arial"/>
          <w:sz w:val="24"/>
          <w:szCs w:val="24"/>
        </w:rPr>
      </w:pPr>
    </w:p>
    <w:p w:rsidR="00B839BE" w:rsidRDefault="005C5BBA" w:rsidP="00394FF7">
      <w:pPr>
        <w:pStyle w:val="ListParagraph"/>
        <w:spacing w:line="360" w:lineRule="auto"/>
        <w:ind w:left="0"/>
        <w:jc w:val="both"/>
        <w:rPr>
          <w:rFonts w:ascii="Arial" w:hAnsi="Arial" w:cs="Arial"/>
          <w:sz w:val="24"/>
          <w:szCs w:val="24"/>
        </w:rPr>
      </w:pPr>
      <w:r>
        <w:rPr>
          <w:rFonts w:ascii="Arial" w:hAnsi="Arial" w:cs="Arial"/>
          <w:sz w:val="24"/>
          <w:szCs w:val="24"/>
        </w:rPr>
        <w:t>Burk</w:t>
      </w:r>
      <w:r>
        <w:rPr>
          <w:rStyle w:val="FootnoteReference"/>
          <w:rFonts w:ascii="Arial" w:hAnsi="Arial" w:cs="Arial"/>
          <w:sz w:val="24"/>
          <w:szCs w:val="24"/>
        </w:rPr>
        <w:footnoteReference w:id="23"/>
      </w:r>
      <w:r>
        <w:rPr>
          <w:rFonts w:ascii="Arial" w:hAnsi="Arial" w:cs="Arial"/>
          <w:sz w:val="24"/>
          <w:szCs w:val="24"/>
        </w:rPr>
        <w:t xml:space="preserve"> has </w:t>
      </w:r>
      <w:r w:rsidR="00C6698E">
        <w:rPr>
          <w:rFonts w:ascii="Arial" w:hAnsi="Arial" w:cs="Arial"/>
          <w:sz w:val="24"/>
          <w:szCs w:val="24"/>
        </w:rPr>
        <w:t>also attempted to find a third way by limiting his analysis to</w:t>
      </w:r>
      <w:r>
        <w:rPr>
          <w:rFonts w:ascii="Arial" w:hAnsi="Arial" w:cs="Arial"/>
          <w:sz w:val="24"/>
          <w:szCs w:val="24"/>
        </w:rPr>
        <w:t xml:space="preserve"> civil-military relations in mature democracies and </w:t>
      </w:r>
      <w:r w:rsidR="00C6698E">
        <w:rPr>
          <w:rFonts w:ascii="Arial" w:hAnsi="Arial" w:cs="Arial"/>
          <w:sz w:val="24"/>
          <w:szCs w:val="24"/>
        </w:rPr>
        <w:t>observing</w:t>
      </w:r>
      <w:r>
        <w:rPr>
          <w:rFonts w:ascii="Arial" w:hAnsi="Arial" w:cs="Arial"/>
          <w:sz w:val="24"/>
          <w:szCs w:val="24"/>
        </w:rPr>
        <w:t xml:space="preserve"> that the question advanced by most theorists as to whom and how the polity controls the armed forces is not an issue in these countries</w:t>
      </w:r>
      <w:r>
        <w:rPr>
          <w:rStyle w:val="FootnoteReference"/>
          <w:rFonts w:ascii="Arial" w:hAnsi="Arial" w:cs="Arial"/>
          <w:sz w:val="24"/>
          <w:szCs w:val="24"/>
        </w:rPr>
        <w:footnoteReference w:id="24"/>
      </w:r>
      <w:r w:rsidR="00642350">
        <w:rPr>
          <w:rFonts w:ascii="Arial" w:hAnsi="Arial" w:cs="Arial"/>
          <w:sz w:val="24"/>
          <w:szCs w:val="24"/>
        </w:rPr>
        <w:t>. Instead the real problem is ‘</w:t>
      </w:r>
      <w:r>
        <w:rPr>
          <w:rFonts w:ascii="Arial" w:hAnsi="Arial" w:cs="Arial"/>
          <w:sz w:val="24"/>
          <w:szCs w:val="24"/>
        </w:rPr>
        <w:t>how to maintain a military that sustains and protects democratic values</w:t>
      </w:r>
      <w:r w:rsidR="00642350">
        <w:rPr>
          <w:rFonts w:ascii="Arial" w:hAnsi="Arial" w:cs="Arial"/>
          <w:sz w:val="24"/>
          <w:szCs w:val="24"/>
        </w:rPr>
        <w:t>’</w:t>
      </w:r>
      <w:r>
        <w:rPr>
          <w:rStyle w:val="FootnoteReference"/>
          <w:rFonts w:ascii="Arial" w:hAnsi="Arial" w:cs="Arial"/>
          <w:sz w:val="24"/>
          <w:szCs w:val="24"/>
        </w:rPr>
        <w:footnoteReference w:id="25"/>
      </w:r>
      <w:r w:rsidR="009D0AE8">
        <w:rPr>
          <w:rFonts w:ascii="Arial" w:hAnsi="Arial" w:cs="Arial"/>
          <w:sz w:val="24"/>
          <w:szCs w:val="24"/>
        </w:rPr>
        <w:t xml:space="preserve"> with Burk suggesting a military which is itself democratic and founded on the concept of the citizen-soldier</w:t>
      </w:r>
      <w:r w:rsidR="009D0AE8">
        <w:rPr>
          <w:rStyle w:val="FootnoteReference"/>
          <w:rFonts w:ascii="Arial" w:hAnsi="Arial" w:cs="Arial"/>
          <w:sz w:val="24"/>
          <w:szCs w:val="24"/>
        </w:rPr>
        <w:footnoteReference w:id="26"/>
      </w:r>
      <w:r w:rsidR="00C6698E">
        <w:rPr>
          <w:rFonts w:ascii="Arial" w:hAnsi="Arial" w:cs="Arial"/>
          <w:sz w:val="24"/>
          <w:szCs w:val="24"/>
        </w:rPr>
        <w:t xml:space="preserve">. Both Schiff and Burk therefore open the debate up and in particular with </w:t>
      </w:r>
      <w:r w:rsidR="00D63706">
        <w:rPr>
          <w:rFonts w:ascii="Arial" w:hAnsi="Arial" w:cs="Arial"/>
          <w:sz w:val="24"/>
          <w:szCs w:val="24"/>
        </w:rPr>
        <w:t xml:space="preserve">a </w:t>
      </w:r>
      <w:r w:rsidR="00C6698E">
        <w:rPr>
          <w:rFonts w:ascii="Arial" w:hAnsi="Arial" w:cs="Arial"/>
          <w:sz w:val="24"/>
          <w:szCs w:val="24"/>
        </w:rPr>
        <w:t xml:space="preserve">discussion over culture and democracy </w:t>
      </w:r>
      <w:r w:rsidR="00843677">
        <w:rPr>
          <w:rFonts w:ascii="Arial" w:hAnsi="Arial" w:cs="Arial"/>
          <w:sz w:val="24"/>
          <w:szCs w:val="24"/>
        </w:rPr>
        <w:t xml:space="preserve">that </w:t>
      </w:r>
      <w:r w:rsidR="00C6698E">
        <w:rPr>
          <w:rFonts w:ascii="Arial" w:hAnsi="Arial" w:cs="Arial"/>
          <w:sz w:val="24"/>
          <w:szCs w:val="24"/>
        </w:rPr>
        <w:t>leads to the con</w:t>
      </w:r>
      <w:r w:rsidR="00D63706">
        <w:rPr>
          <w:rFonts w:ascii="Arial" w:hAnsi="Arial" w:cs="Arial"/>
          <w:sz w:val="24"/>
          <w:szCs w:val="24"/>
        </w:rPr>
        <w:t>sideration of rights and the possibility of a legal analysis of the civil-military relationship.</w:t>
      </w:r>
    </w:p>
    <w:p w:rsidR="00394FF7" w:rsidRPr="00394FF7" w:rsidRDefault="00394FF7" w:rsidP="00394FF7">
      <w:pPr>
        <w:pStyle w:val="ListParagraph"/>
        <w:spacing w:line="360" w:lineRule="auto"/>
        <w:ind w:left="0"/>
        <w:jc w:val="both"/>
        <w:rPr>
          <w:rFonts w:ascii="Arial" w:hAnsi="Arial" w:cs="Arial"/>
          <w:sz w:val="24"/>
          <w:szCs w:val="24"/>
        </w:rPr>
      </w:pPr>
    </w:p>
    <w:p w:rsidR="00D10C8A" w:rsidRDefault="00B839BE" w:rsidP="00B839BE">
      <w:pPr>
        <w:spacing w:line="360" w:lineRule="auto"/>
        <w:jc w:val="both"/>
        <w:rPr>
          <w:rFonts w:ascii="Arial" w:hAnsi="Arial" w:cs="Arial"/>
          <w:sz w:val="24"/>
          <w:szCs w:val="24"/>
        </w:rPr>
      </w:pPr>
      <w:r>
        <w:rPr>
          <w:rFonts w:ascii="Arial" w:hAnsi="Arial" w:cs="Arial"/>
          <w:sz w:val="24"/>
          <w:szCs w:val="24"/>
        </w:rPr>
        <w:t xml:space="preserve">It is interesting that there is little </w:t>
      </w:r>
      <w:r w:rsidR="00D63706">
        <w:rPr>
          <w:rFonts w:ascii="Arial" w:hAnsi="Arial" w:cs="Arial"/>
          <w:sz w:val="24"/>
          <w:szCs w:val="24"/>
        </w:rPr>
        <w:t xml:space="preserve">evidence of this </w:t>
      </w:r>
      <w:r>
        <w:rPr>
          <w:rFonts w:ascii="Arial" w:hAnsi="Arial" w:cs="Arial"/>
          <w:sz w:val="24"/>
          <w:szCs w:val="24"/>
        </w:rPr>
        <w:t>legal analysis of the civil-military relationship</w:t>
      </w:r>
      <w:r w:rsidR="00D63706">
        <w:rPr>
          <w:rFonts w:ascii="Arial" w:hAnsi="Arial" w:cs="Arial"/>
          <w:sz w:val="24"/>
          <w:szCs w:val="24"/>
        </w:rPr>
        <w:t xml:space="preserve"> being carried out on either side of the Atlantic</w:t>
      </w:r>
      <w:r>
        <w:rPr>
          <w:rFonts w:ascii="Arial" w:hAnsi="Arial" w:cs="Arial"/>
          <w:sz w:val="24"/>
          <w:szCs w:val="24"/>
        </w:rPr>
        <w:t>. A recent attempt has been made by Woo</w:t>
      </w:r>
      <w:r>
        <w:rPr>
          <w:rStyle w:val="FootnoteReference"/>
          <w:rFonts w:ascii="Arial" w:hAnsi="Arial" w:cs="Arial"/>
          <w:sz w:val="24"/>
          <w:szCs w:val="24"/>
        </w:rPr>
        <w:footnoteReference w:id="27"/>
      </w:r>
      <w:r>
        <w:rPr>
          <w:rFonts w:ascii="Arial" w:hAnsi="Arial" w:cs="Arial"/>
          <w:sz w:val="24"/>
          <w:szCs w:val="24"/>
        </w:rPr>
        <w:t xml:space="preserve"> in the USA from an administrative law angle and in the UK</w:t>
      </w:r>
      <w:r w:rsidR="00862EC5">
        <w:rPr>
          <w:rFonts w:ascii="Arial" w:hAnsi="Arial" w:cs="Arial"/>
          <w:sz w:val="24"/>
          <w:szCs w:val="24"/>
        </w:rPr>
        <w:t>, as outlined previously,</w:t>
      </w:r>
      <w:r>
        <w:rPr>
          <w:rFonts w:ascii="Arial" w:hAnsi="Arial" w:cs="Arial"/>
          <w:sz w:val="24"/>
          <w:szCs w:val="24"/>
        </w:rPr>
        <w:t xml:space="preserve"> Rubin</w:t>
      </w:r>
      <w:r>
        <w:rPr>
          <w:rStyle w:val="FootnoteReference"/>
          <w:rFonts w:ascii="Arial" w:hAnsi="Arial" w:cs="Arial"/>
          <w:sz w:val="24"/>
          <w:szCs w:val="24"/>
        </w:rPr>
        <w:footnoteReference w:id="28"/>
      </w:r>
      <w:r>
        <w:rPr>
          <w:rFonts w:ascii="Arial" w:hAnsi="Arial" w:cs="Arial"/>
          <w:sz w:val="24"/>
          <w:szCs w:val="24"/>
        </w:rPr>
        <w:t xml:space="preserve"> has examined the civilianisation and juridification of military law</w:t>
      </w:r>
      <w:r w:rsidR="00862EC5">
        <w:rPr>
          <w:rFonts w:ascii="Arial" w:hAnsi="Arial" w:cs="Arial"/>
          <w:sz w:val="24"/>
          <w:szCs w:val="24"/>
        </w:rPr>
        <w:t xml:space="preserve"> though not specifically the civil-military relationship</w:t>
      </w:r>
      <w:r>
        <w:rPr>
          <w:rFonts w:ascii="Arial" w:hAnsi="Arial" w:cs="Arial"/>
          <w:sz w:val="24"/>
          <w:szCs w:val="24"/>
        </w:rPr>
        <w:t>.</w:t>
      </w:r>
    </w:p>
    <w:p w:rsidR="00E337C0" w:rsidRDefault="00E337C0" w:rsidP="00B839BE">
      <w:pPr>
        <w:spacing w:line="360" w:lineRule="auto"/>
        <w:jc w:val="both"/>
        <w:rPr>
          <w:rFonts w:ascii="Arial" w:hAnsi="Arial" w:cs="Arial"/>
          <w:sz w:val="24"/>
          <w:szCs w:val="24"/>
        </w:rPr>
      </w:pPr>
    </w:p>
    <w:p w:rsidR="00E337C0" w:rsidRDefault="00E337C0" w:rsidP="00B839BE">
      <w:pPr>
        <w:spacing w:line="360" w:lineRule="auto"/>
        <w:jc w:val="both"/>
        <w:rPr>
          <w:rFonts w:ascii="Arial" w:hAnsi="Arial" w:cs="Arial"/>
          <w:sz w:val="24"/>
          <w:szCs w:val="24"/>
        </w:rPr>
      </w:pPr>
      <w:r>
        <w:rPr>
          <w:rFonts w:ascii="Arial" w:hAnsi="Arial" w:cs="Arial"/>
          <w:sz w:val="24"/>
          <w:szCs w:val="24"/>
        </w:rPr>
        <w:t>The question has to be asked why law should be considered to be a useful discipline for this analysis</w:t>
      </w:r>
      <w:r w:rsidR="00D63706">
        <w:rPr>
          <w:rFonts w:ascii="Arial" w:hAnsi="Arial" w:cs="Arial"/>
          <w:sz w:val="24"/>
          <w:szCs w:val="24"/>
        </w:rPr>
        <w:t>, apart from the suggestion above that culture, democracy and rights provide a possible path</w:t>
      </w:r>
      <w:r>
        <w:rPr>
          <w:rFonts w:ascii="Arial" w:hAnsi="Arial" w:cs="Arial"/>
          <w:sz w:val="24"/>
          <w:szCs w:val="24"/>
        </w:rPr>
        <w:t xml:space="preserve">. Clausewitz famously </w:t>
      </w:r>
      <w:r w:rsidR="00642350">
        <w:rPr>
          <w:rFonts w:ascii="Arial" w:hAnsi="Arial" w:cs="Arial"/>
          <w:sz w:val="24"/>
          <w:szCs w:val="24"/>
        </w:rPr>
        <w:t>described war as ‘</w:t>
      </w:r>
      <w:r>
        <w:rPr>
          <w:rFonts w:ascii="Arial" w:hAnsi="Arial" w:cs="Arial"/>
          <w:sz w:val="24"/>
          <w:szCs w:val="24"/>
        </w:rPr>
        <w:t xml:space="preserve">not merely an act of policy but a true political instrument, a continuation of political intercourse, carried on </w:t>
      </w:r>
      <w:r w:rsidR="00642350">
        <w:rPr>
          <w:rFonts w:ascii="Arial" w:hAnsi="Arial" w:cs="Arial"/>
          <w:sz w:val="24"/>
          <w:szCs w:val="24"/>
        </w:rPr>
        <w:t>with other means’</w:t>
      </w:r>
      <w:r>
        <w:rPr>
          <w:rStyle w:val="FootnoteReference"/>
          <w:rFonts w:ascii="Arial" w:hAnsi="Arial" w:cs="Arial"/>
          <w:sz w:val="24"/>
          <w:szCs w:val="24"/>
        </w:rPr>
        <w:footnoteReference w:id="29"/>
      </w:r>
      <w:r>
        <w:rPr>
          <w:rFonts w:ascii="Arial" w:hAnsi="Arial" w:cs="Arial"/>
          <w:sz w:val="24"/>
          <w:szCs w:val="24"/>
        </w:rPr>
        <w:t xml:space="preserve">. As such the armed forces are the organ of the State that conducts war as a political instrument. </w:t>
      </w:r>
      <w:r w:rsidRPr="00CE283B">
        <w:rPr>
          <w:rFonts w:ascii="Arial" w:hAnsi="Arial" w:cs="Arial"/>
          <w:sz w:val="24"/>
          <w:szCs w:val="24"/>
        </w:rPr>
        <w:t>Politics is concerned with power</w:t>
      </w:r>
      <w:r w:rsidRPr="00CE283B">
        <w:rPr>
          <w:rFonts w:ascii="Arial" w:hAnsi="Arial" w:cs="Arial"/>
          <w:sz w:val="24"/>
          <w:szCs w:val="24"/>
          <w:vertAlign w:val="superscript"/>
        </w:rPr>
        <w:footnoteReference w:id="30"/>
      </w:r>
      <w:r w:rsidRPr="00CE283B">
        <w:rPr>
          <w:rFonts w:ascii="Arial" w:hAnsi="Arial" w:cs="Arial"/>
          <w:sz w:val="24"/>
          <w:szCs w:val="24"/>
        </w:rPr>
        <w:t xml:space="preserve"> and the </w:t>
      </w:r>
      <w:r w:rsidRPr="00CE283B">
        <w:rPr>
          <w:rFonts w:ascii="Arial" w:hAnsi="Arial" w:cs="Arial"/>
          <w:sz w:val="24"/>
          <w:szCs w:val="24"/>
        </w:rPr>
        <w:lastRenderedPageBreak/>
        <w:t>capacity of social agents to maintain or transform their social environment and to create a regulated order for managing human conflict and interactio</w:t>
      </w:r>
      <w:r w:rsidR="00642350">
        <w:rPr>
          <w:rFonts w:ascii="Arial" w:hAnsi="Arial" w:cs="Arial"/>
          <w:sz w:val="24"/>
          <w:szCs w:val="24"/>
        </w:rPr>
        <w:t>n. Law can be considered to be ‘</w:t>
      </w:r>
      <w:r w:rsidRPr="00CE283B">
        <w:rPr>
          <w:rFonts w:ascii="Arial" w:hAnsi="Arial" w:cs="Arial"/>
          <w:sz w:val="24"/>
          <w:szCs w:val="24"/>
        </w:rPr>
        <w:t>the enterprise of subjecting human condu</w:t>
      </w:r>
      <w:r w:rsidR="00642350">
        <w:rPr>
          <w:rFonts w:ascii="Arial" w:hAnsi="Arial" w:cs="Arial"/>
          <w:sz w:val="24"/>
          <w:szCs w:val="24"/>
        </w:rPr>
        <w:t>ct to the governance of rules’</w:t>
      </w:r>
      <w:r w:rsidRPr="00CE283B">
        <w:rPr>
          <w:rFonts w:ascii="Arial" w:hAnsi="Arial" w:cs="Arial"/>
          <w:sz w:val="24"/>
          <w:szCs w:val="24"/>
          <w:vertAlign w:val="superscript"/>
        </w:rPr>
        <w:footnoteReference w:id="31"/>
      </w:r>
      <w:r w:rsidR="00642350">
        <w:rPr>
          <w:rFonts w:ascii="Arial" w:hAnsi="Arial" w:cs="Arial"/>
          <w:sz w:val="24"/>
          <w:szCs w:val="24"/>
        </w:rPr>
        <w:t xml:space="preserve"> or ‘</w:t>
      </w:r>
      <w:r w:rsidRPr="00CE283B">
        <w:rPr>
          <w:rFonts w:ascii="Arial" w:hAnsi="Arial" w:cs="Arial"/>
          <w:sz w:val="24"/>
          <w:szCs w:val="24"/>
        </w:rPr>
        <w:t>the human attempt to establish social order as a way of regulat</w:t>
      </w:r>
      <w:r w:rsidR="00642350">
        <w:rPr>
          <w:rFonts w:ascii="Arial" w:hAnsi="Arial" w:cs="Arial"/>
          <w:sz w:val="24"/>
          <w:szCs w:val="24"/>
        </w:rPr>
        <w:t>ing and managing human conflict’</w:t>
      </w:r>
      <w:r w:rsidRPr="00CE283B">
        <w:rPr>
          <w:rFonts w:ascii="Arial" w:hAnsi="Arial" w:cs="Arial"/>
          <w:sz w:val="24"/>
          <w:szCs w:val="24"/>
          <w:vertAlign w:val="superscript"/>
        </w:rPr>
        <w:footnoteReference w:id="32"/>
      </w:r>
      <w:r w:rsidRPr="00CE283B">
        <w:rPr>
          <w:rFonts w:ascii="Arial" w:hAnsi="Arial" w:cs="Arial"/>
          <w:sz w:val="24"/>
          <w:szCs w:val="24"/>
        </w:rPr>
        <w:t>. As such it deals with human action and human social action, is the method used to enact the rules required to regulate this human social action and is the final outcome of the political process. From these definitions politics and law are inevitably intertwined with the laws and rules of the polity providing the positive evidence of the policy stance of the polity.</w:t>
      </w:r>
      <w:r>
        <w:rPr>
          <w:rFonts w:ascii="Arial" w:hAnsi="Arial" w:cs="Arial"/>
          <w:sz w:val="24"/>
          <w:szCs w:val="24"/>
        </w:rPr>
        <w:t xml:space="preserve"> Therefore it is the law that needs to be examined to determine the political will of the polity and as war is a political instrument legal analysis is essential to determine the position of the military vis-a-vis society.</w:t>
      </w:r>
    </w:p>
    <w:p w:rsidR="003059DE" w:rsidRDefault="003059DE" w:rsidP="00B839BE">
      <w:pPr>
        <w:spacing w:line="360" w:lineRule="auto"/>
        <w:jc w:val="both"/>
        <w:rPr>
          <w:rFonts w:ascii="Arial" w:hAnsi="Arial" w:cs="Arial"/>
          <w:sz w:val="24"/>
          <w:szCs w:val="24"/>
        </w:rPr>
      </w:pPr>
    </w:p>
    <w:p w:rsidR="003059DE" w:rsidRDefault="00891BF5" w:rsidP="00B839BE">
      <w:pPr>
        <w:spacing w:line="360" w:lineRule="auto"/>
        <w:jc w:val="both"/>
        <w:rPr>
          <w:rFonts w:ascii="Arial" w:hAnsi="Arial" w:cs="Arial"/>
          <w:sz w:val="24"/>
          <w:szCs w:val="24"/>
        </w:rPr>
      </w:pPr>
      <w:r>
        <w:rPr>
          <w:rFonts w:ascii="Arial" w:hAnsi="Arial" w:cs="Arial"/>
          <w:sz w:val="24"/>
          <w:szCs w:val="24"/>
        </w:rPr>
        <w:t xml:space="preserve">It is clear from this analysis that </w:t>
      </w:r>
      <w:r w:rsidR="00FF1BD2">
        <w:rPr>
          <w:rFonts w:ascii="Arial" w:hAnsi="Arial" w:cs="Arial"/>
          <w:sz w:val="24"/>
          <w:szCs w:val="24"/>
        </w:rPr>
        <w:t>law</w:t>
      </w:r>
      <w:r>
        <w:rPr>
          <w:rFonts w:ascii="Arial" w:hAnsi="Arial" w:cs="Arial"/>
          <w:sz w:val="24"/>
          <w:szCs w:val="24"/>
        </w:rPr>
        <w:t xml:space="preserve"> can legitimately be employed to examine the relationship between</w:t>
      </w:r>
      <w:r w:rsidR="00FF1BD2">
        <w:rPr>
          <w:rFonts w:ascii="Arial" w:hAnsi="Arial" w:cs="Arial"/>
          <w:sz w:val="24"/>
          <w:szCs w:val="24"/>
        </w:rPr>
        <w:t xml:space="preserve"> civil and military societies and w</w:t>
      </w:r>
      <w:r>
        <w:rPr>
          <w:rFonts w:ascii="Arial" w:hAnsi="Arial" w:cs="Arial"/>
          <w:sz w:val="24"/>
          <w:szCs w:val="24"/>
        </w:rPr>
        <w:t>hen the focus is on culture, rights and democracy civilian law</w:t>
      </w:r>
      <w:r w:rsidR="00FF1BD2">
        <w:rPr>
          <w:rFonts w:ascii="Arial" w:hAnsi="Arial" w:cs="Arial"/>
          <w:sz w:val="24"/>
          <w:szCs w:val="24"/>
        </w:rPr>
        <w:t xml:space="preserve"> </w:t>
      </w:r>
      <w:r w:rsidR="003E1C9F">
        <w:rPr>
          <w:rFonts w:ascii="Arial" w:hAnsi="Arial" w:cs="Arial"/>
          <w:sz w:val="24"/>
          <w:szCs w:val="24"/>
        </w:rPr>
        <w:t>takes central stage</w:t>
      </w:r>
      <w:r>
        <w:rPr>
          <w:rFonts w:ascii="Arial" w:hAnsi="Arial" w:cs="Arial"/>
          <w:sz w:val="24"/>
          <w:szCs w:val="24"/>
        </w:rPr>
        <w:t xml:space="preserve">. </w:t>
      </w:r>
      <w:r w:rsidR="003E1C9F">
        <w:rPr>
          <w:rFonts w:ascii="Arial" w:hAnsi="Arial" w:cs="Arial"/>
          <w:sz w:val="24"/>
          <w:szCs w:val="24"/>
        </w:rPr>
        <w:t xml:space="preserve">As such the </w:t>
      </w:r>
      <w:r w:rsidR="00BB47A0">
        <w:rPr>
          <w:rFonts w:ascii="Arial" w:hAnsi="Arial" w:cs="Arial"/>
          <w:sz w:val="24"/>
          <w:szCs w:val="24"/>
        </w:rPr>
        <w:t xml:space="preserve">aim now shifts to </w:t>
      </w:r>
      <w:r w:rsidR="00D766D1">
        <w:rPr>
          <w:rFonts w:ascii="Arial" w:hAnsi="Arial" w:cs="Arial"/>
          <w:sz w:val="24"/>
          <w:szCs w:val="24"/>
        </w:rPr>
        <w:t>inspecting</w:t>
      </w:r>
      <w:r w:rsidR="00BB47A0">
        <w:rPr>
          <w:rFonts w:ascii="Arial" w:hAnsi="Arial" w:cs="Arial"/>
          <w:sz w:val="24"/>
          <w:szCs w:val="24"/>
        </w:rPr>
        <w:t xml:space="preserve"> the civilian law that has had the most impact on the military</w:t>
      </w:r>
      <w:r w:rsidR="00F447DC">
        <w:rPr>
          <w:rFonts w:ascii="Arial" w:hAnsi="Arial" w:cs="Arial"/>
          <w:sz w:val="24"/>
          <w:szCs w:val="24"/>
        </w:rPr>
        <w:t>.</w:t>
      </w:r>
    </w:p>
    <w:p w:rsidR="007D5B4B" w:rsidRDefault="007D5B4B" w:rsidP="00941954">
      <w:pPr>
        <w:spacing w:line="360" w:lineRule="auto"/>
        <w:jc w:val="both"/>
        <w:rPr>
          <w:rFonts w:ascii="Arial" w:hAnsi="Arial" w:cs="Arial"/>
          <w:sz w:val="24"/>
          <w:szCs w:val="24"/>
        </w:rPr>
      </w:pPr>
    </w:p>
    <w:p w:rsidR="00862EC5" w:rsidRPr="00862EC5" w:rsidRDefault="00862EC5" w:rsidP="00941954">
      <w:pPr>
        <w:spacing w:line="360" w:lineRule="auto"/>
        <w:jc w:val="both"/>
        <w:rPr>
          <w:rFonts w:ascii="Arial" w:hAnsi="Arial" w:cs="Arial"/>
          <w:b/>
          <w:sz w:val="24"/>
          <w:szCs w:val="24"/>
          <w:u w:val="single"/>
        </w:rPr>
      </w:pPr>
      <w:r>
        <w:rPr>
          <w:rFonts w:ascii="Arial" w:hAnsi="Arial" w:cs="Arial"/>
          <w:b/>
          <w:sz w:val="24"/>
          <w:szCs w:val="24"/>
          <w:u w:val="single"/>
        </w:rPr>
        <w:t>PART 2 – THE EFFECTS OF CIVILIAN LAW ON THE UK MILITARY</w:t>
      </w:r>
    </w:p>
    <w:p w:rsidR="0075753B" w:rsidRDefault="0075753B" w:rsidP="00941954">
      <w:pPr>
        <w:spacing w:line="360" w:lineRule="auto"/>
        <w:jc w:val="both"/>
        <w:rPr>
          <w:rFonts w:ascii="Arial" w:hAnsi="Arial" w:cs="Arial"/>
          <w:sz w:val="24"/>
          <w:szCs w:val="24"/>
        </w:rPr>
      </w:pPr>
    </w:p>
    <w:p w:rsidR="00F447DC" w:rsidRDefault="00F447DC" w:rsidP="00941954">
      <w:pPr>
        <w:spacing w:line="360" w:lineRule="auto"/>
        <w:jc w:val="both"/>
        <w:rPr>
          <w:rFonts w:ascii="Arial" w:hAnsi="Arial" w:cs="Arial"/>
          <w:sz w:val="24"/>
          <w:szCs w:val="24"/>
        </w:rPr>
      </w:pPr>
      <w:r>
        <w:rPr>
          <w:rFonts w:ascii="Arial" w:hAnsi="Arial" w:cs="Arial"/>
          <w:sz w:val="24"/>
          <w:szCs w:val="24"/>
        </w:rPr>
        <w:t>In Part 2 this article will examine the effects of anti-discrimination</w:t>
      </w:r>
      <w:r w:rsidR="00BB47A0">
        <w:rPr>
          <w:rFonts w:ascii="Arial" w:hAnsi="Arial" w:cs="Arial"/>
          <w:sz w:val="24"/>
          <w:szCs w:val="24"/>
        </w:rPr>
        <w:t>,</w:t>
      </w:r>
      <w:r>
        <w:rPr>
          <w:rFonts w:ascii="Arial" w:hAnsi="Arial" w:cs="Arial"/>
          <w:sz w:val="24"/>
          <w:szCs w:val="24"/>
        </w:rPr>
        <w:t xml:space="preserve"> equality and human rights</w:t>
      </w:r>
      <w:r w:rsidR="00BB47A0">
        <w:rPr>
          <w:rFonts w:ascii="Arial" w:hAnsi="Arial" w:cs="Arial"/>
          <w:sz w:val="24"/>
          <w:szCs w:val="24"/>
        </w:rPr>
        <w:t xml:space="preserve"> law</w:t>
      </w:r>
      <w:r>
        <w:rPr>
          <w:rFonts w:ascii="Arial" w:hAnsi="Arial" w:cs="Arial"/>
          <w:sz w:val="24"/>
          <w:szCs w:val="24"/>
        </w:rPr>
        <w:t xml:space="preserve"> on the armed forces.</w:t>
      </w:r>
    </w:p>
    <w:p w:rsidR="0075753B" w:rsidRDefault="0075753B" w:rsidP="007116B4">
      <w:pPr>
        <w:pStyle w:val="ListParagraph"/>
        <w:numPr>
          <w:ilvl w:val="1"/>
          <w:numId w:val="7"/>
        </w:numPr>
        <w:spacing w:line="360" w:lineRule="auto"/>
        <w:ind w:left="1134" w:hanging="1134"/>
        <w:jc w:val="both"/>
        <w:rPr>
          <w:rFonts w:ascii="Arial" w:hAnsi="Arial" w:cs="Arial"/>
          <w:sz w:val="24"/>
          <w:szCs w:val="24"/>
        </w:rPr>
      </w:pPr>
      <w:r w:rsidRPr="0075753B">
        <w:rPr>
          <w:rFonts w:ascii="Arial" w:hAnsi="Arial" w:cs="Arial"/>
          <w:sz w:val="24"/>
          <w:szCs w:val="24"/>
        </w:rPr>
        <w:t>Anti-Discrimination and Equality Law</w:t>
      </w:r>
    </w:p>
    <w:p w:rsidR="00063BF7" w:rsidRDefault="001E4D8D" w:rsidP="00605F83">
      <w:pPr>
        <w:spacing w:line="360" w:lineRule="auto"/>
        <w:jc w:val="both"/>
        <w:rPr>
          <w:rFonts w:ascii="Arial" w:hAnsi="Arial" w:cs="Arial"/>
          <w:sz w:val="24"/>
          <w:szCs w:val="24"/>
        </w:rPr>
      </w:pPr>
      <w:r w:rsidRPr="001E4D8D">
        <w:rPr>
          <w:rFonts w:ascii="Arial" w:hAnsi="Arial" w:cs="Arial"/>
          <w:sz w:val="24"/>
          <w:szCs w:val="24"/>
        </w:rPr>
        <w:t>Equality is in ephemeral concept that has engendered considerable academic debate about its substance and purpose. Westen</w:t>
      </w:r>
      <w:r w:rsidRPr="001E4D8D">
        <w:rPr>
          <w:rFonts w:ascii="Arial" w:hAnsi="Arial" w:cs="Arial"/>
          <w:sz w:val="24"/>
          <w:szCs w:val="24"/>
          <w:vertAlign w:val="superscript"/>
        </w:rPr>
        <w:footnoteReference w:id="33"/>
      </w:r>
      <w:r w:rsidRPr="001E4D8D">
        <w:rPr>
          <w:rFonts w:ascii="Arial" w:hAnsi="Arial" w:cs="Arial"/>
          <w:sz w:val="24"/>
          <w:szCs w:val="24"/>
        </w:rPr>
        <w:t xml:space="preserve"> </w:t>
      </w:r>
      <w:r w:rsidR="003D3209">
        <w:rPr>
          <w:rFonts w:ascii="Arial" w:hAnsi="Arial" w:cs="Arial"/>
          <w:sz w:val="24"/>
          <w:szCs w:val="24"/>
        </w:rPr>
        <w:t>considered both</w:t>
      </w:r>
      <w:r w:rsidRPr="001E4D8D">
        <w:rPr>
          <w:rFonts w:ascii="Arial" w:hAnsi="Arial" w:cs="Arial"/>
          <w:sz w:val="24"/>
          <w:szCs w:val="24"/>
        </w:rPr>
        <w:t xml:space="preserve"> formal and </w:t>
      </w:r>
      <w:r w:rsidRPr="001E4D8D">
        <w:rPr>
          <w:rFonts w:ascii="Arial" w:hAnsi="Arial" w:cs="Arial"/>
          <w:sz w:val="24"/>
          <w:szCs w:val="24"/>
        </w:rPr>
        <w:lastRenderedPageBreak/>
        <w:t>substantive equality</w:t>
      </w:r>
      <w:r w:rsidR="003D3209">
        <w:rPr>
          <w:rFonts w:ascii="Arial" w:hAnsi="Arial" w:cs="Arial"/>
          <w:sz w:val="24"/>
          <w:szCs w:val="24"/>
        </w:rPr>
        <w:t xml:space="preserve"> and concluded that equality wa</w:t>
      </w:r>
      <w:r w:rsidRPr="001E4D8D">
        <w:rPr>
          <w:rFonts w:ascii="Arial" w:hAnsi="Arial" w:cs="Arial"/>
          <w:sz w:val="24"/>
          <w:szCs w:val="24"/>
        </w:rPr>
        <w:t>s an empty vessel with no substantive moral content of its own. Without m</w:t>
      </w:r>
      <w:r w:rsidR="003D3209">
        <w:rPr>
          <w:rFonts w:ascii="Arial" w:hAnsi="Arial" w:cs="Arial"/>
          <w:sz w:val="24"/>
          <w:szCs w:val="24"/>
        </w:rPr>
        <w:t>oral standards, equality remained</w:t>
      </w:r>
      <w:r w:rsidRPr="001E4D8D">
        <w:rPr>
          <w:rFonts w:ascii="Arial" w:hAnsi="Arial" w:cs="Arial"/>
          <w:sz w:val="24"/>
          <w:szCs w:val="24"/>
        </w:rPr>
        <w:t xml:space="preserve"> meaningless, a formula that </w:t>
      </w:r>
      <w:r w:rsidR="003D3209">
        <w:rPr>
          <w:rFonts w:ascii="Arial" w:hAnsi="Arial" w:cs="Arial"/>
          <w:sz w:val="24"/>
          <w:szCs w:val="24"/>
        </w:rPr>
        <w:t>could</w:t>
      </w:r>
      <w:r w:rsidRPr="001E4D8D">
        <w:rPr>
          <w:rFonts w:ascii="Arial" w:hAnsi="Arial" w:cs="Arial"/>
          <w:sz w:val="24"/>
          <w:szCs w:val="24"/>
        </w:rPr>
        <w:t xml:space="preserve"> have </w:t>
      </w:r>
      <w:r w:rsidR="003D3209">
        <w:rPr>
          <w:rFonts w:ascii="Arial" w:hAnsi="Arial" w:cs="Arial"/>
          <w:sz w:val="24"/>
          <w:szCs w:val="24"/>
        </w:rPr>
        <w:t>nothing to say about how we act</w:t>
      </w:r>
      <w:r w:rsidRPr="001E4D8D">
        <w:rPr>
          <w:rFonts w:ascii="Arial" w:hAnsi="Arial" w:cs="Arial"/>
          <w:sz w:val="24"/>
          <w:szCs w:val="24"/>
          <w:vertAlign w:val="superscript"/>
        </w:rPr>
        <w:footnoteReference w:id="34"/>
      </w:r>
      <w:r w:rsidRPr="001E4D8D">
        <w:rPr>
          <w:rFonts w:ascii="Arial" w:hAnsi="Arial" w:cs="Arial"/>
          <w:sz w:val="24"/>
          <w:szCs w:val="24"/>
        </w:rPr>
        <w:t>. Barnard attempted to fill the vacuum of equality with the concept of non-discrimination</w:t>
      </w:r>
      <w:r w:rsidRPr="001E4D8D">
        <w:rPr>
          <w:rFonts w:ascii="Arial" w:hAnsi="Arial" w:cs="Arial"/>
          <w:sz w:val="24"/>
          <w:szCs w:val="24"/>
          <w:vertAlign w:val="superscript"/>
        </w:rPr>
        <w:footnoteReference w:id="35"/>
      </w:r>
      <w:r w:rsidR="00B35E03">
        <w:rPr>
          <w:rFonts w:ascii="Arial" w:hAnsi="Arial" w:cs="Arial"/>
          <w:sz w:val="24"/>
          <w:szCs w:val="24"/>
        </w:rPr>
        <w:t xml:space="preserve"> </w:t>
      </w:r>
      <w:r w:rsidR="003D3209">
        <w:rPr>
          <w:rFonts w:ascii="Arial" w:hAnsi="Arial" w:cs="Arial"/>
          <w:sz w:val="24"/>
          <w:szCs w:val="24"/>
        </w:rPr>
        <w:t>exemplified by</w:t>
      </w:r>
      <w:r w:rsidR="00B35E03">
        <w:rPr>
          <w:rFonts w:ascii="Arial" w:hAnsi="Arial" w:cs="Arial"/>
          <w:sz w:val="24"/>
          <w:szCs w:val="24"/>
        </w:rPr>
        <w:t xml:space="preserve"> the non</w:t>
      </w:r>
      <w:r w:rsidR="003D3209">
        <w:rPr>
          <w:rFonts w:ascii="Arial" w:hAnsi="Arial" w:cs="Arial"/>
          <w:sz w:val="24"/>
          <w:szCs w:val="24"/>
        </w:rPr>
        <w:t>-discrimination model that developed</w:t>
      </w:r>
      <w:r w:rsidR="00B35E03">
        <w:rPr>
          <w:rFonts w:ascii="Arial" w:hAnsi="Arial" w:cs="Arial"/>
          <w:sz w:val="24"/>
          <w:szCs w:val="24"/>
        </w:rPr>
        <w:t xml:space="preserve"> in the UK</w:t>
      </w:r>
      <w:r w:rsidRPr="001E4D8D">
        <w:rPr>
          <w:rFonts w:ascii="Arial" w:hAnsi="Arial" w:cs="Arial"/>
          <w:sz w:val="24"/>
          <w:szCs w:val="24"/>
        </w:rPr>
        <w:t xml:space="preserve"> in an incremental and singular manner</w:t>
      </w:r>
      <w:r w:rsidR="003D3209">
        <w:rPr>
          <w:rFonts w:ascii="Arial" w:hAnsi="Arial" w:cs="Arial"/>
          <w:sz w:val="24"/>
          <w:szCs w:val="24"/>
        </w:rPr>
        <w:t>,</w:t>
      </w:r>
      <w:r>
        <w:rPr>
          <w:rFonts w:ascii="Arial" w:hAnsi="Arial" w:cs="Arial"/>
          <w:sz w:val="24"/>
          <w:szCs w:val="24"/>
        </w:rPr>
        <w:t xml:space="preserve"> described </w:t>
      </w:r>
      <w:r w:rsidR="00642350">
        <w:rPr>
          <w:rFonts w:ascii="Arial" w:hAnsi="Arial" w:cs="Arial"/>
          <w:sz w:val="24"/>
          <w:szCs w:val="24"/>
        </w:rPr>
        <w:t>by Bell as a ‘</w:t>
      </w:r>
      <w:r w:rsidR="00605F83">
        <w:rPr>
          <w:rFonts w:ascii="Arial" w:hAnsi="Arial" w:cs="Arial"/>
          <w:sz w:val="24"/>
          <w:szCs w:val="24"/>
        </w:rPr>
        <w:t>patchwork of protection</w:t>
      </w:r>
      <w:r w:rsidR="00642350">
        <w:rPr>
          <w:rFonts w:ascii="Arial" w:hAnsi="Arial" w:cs="Arial"/>
          <w:sz w:val="24"/>
          <w:szCs w:val="24"/>
        </w:rPr>
        <w:t>’</w:t>
      </w:r>
      <w:r w:rsidR="00605F83">
        <w:rPr>
          <w:rStyle w:val="FootnoteReference"/>
          <w:rFonts w:ascii="Arial" w:hAnsi="Arial" w:cs="Arial"/>
          <w:sz w:val="24"/>
          <w:szCs w:val="24"/>
        </w:rPr>
        <w:footnoteReference w:id="36"/>
      </w:r>
      <w:r w:rsidR="00605F83">
        <w:rPr>
          <w:rFonts w:ascii="Arial" w:hAnsi="Arial" w:cs="Arial"/>
          <w:sz w:val="24"/>
          <w:szCs w:val="24"/>
        </w:rPr>
        <w:t xml:space="preserve">. </w:t>
      </w:r>
      <w:r>
        <w:rPr>
          <w:rFonts w:ascii="Arial" w:hAnsi="Arial" w:cs="Arial"/>
          <w:sz w:val="24"/>
          <w:szCs w:val="24"/>
        </w:rPr>
        <w:t xml:space="preserve">The effect has been to establish discrete areas of non-discrimination without a defining principle of equal treatment imbued with moral values. </w:t>
      </w:r>
      <w:r w:rsidR="00605F83">
        <w:rPr>
          <w:rFonts w:ascii="Arial" w:hAnsi="Arial" w:cs="Arial"/>
          <w:sz w:val="24"/>
          <w:szCs w:val="24"/>
        </w:rPr>
        <w:t xml:space="preserve">However, the biggest shake up of UK anti-discrimination law </w:t>
      </w:r>
      <w:r w:rsidR="00B35E03">
        <w:rPr>
          <w:rFonts w:ascii="Arial" w:hAnsi="Arial" w:cs="Arial"/>
          <w:sz w:val="24"/>
          <w:szCs w:val="24"/>
        </w:rPr>
        <w:t xml:space="preserve">has </w:t>
      </w:r>
      <w:r w:rsidR="00605F83">
        <w:rPr>
          <w:rFonts w:ascii="Arial" w:hAnsi="Arial" w:cs="Arial"/>
          <w:sz w:val="24"/>
          <w:szCs w:val="24"/>
        </w:rPr>
        <w:t>occurred with the introduction of the Equality Act 2010 (EA10) in the dying stages of the previous Labour government.</w:t>
      </w:r>
      <w:r w:rsidR="00B74C2A">
        <w:rPr>
          <w:rFonts w:ascii="Arial" w:hAnsi="Arial" w:cs="Arial"/>
          <w:sz w:val="24"/>
          <w:szCs w:val="24"/>
        </w:rPr>
        <w:t xml:space="preserve"> As Hepple</w:t>
      </w:r>
      <w:r w:rsidR="00D25F00">
        <w:rPr>
          <w:rStyle w:val="FootnoteReference"/>
          <w:rFonts w:ascii="Arial" w:hAnsi="Arial" w:cs="Arial"/>
          <w:sz w:val="24"/>
          <w:szCs w:val="24"/>
        </w:rPr>
        <w:footnoteReference w:id="37"/>
      </w:r>
      <w:r w:rsidR="00B74C2A">
        <w:rPr>
          <w:rFonts w:ascii="Arial" w:hAnsi="Arial" w:cs="Arial"/>
          <w:sz w:val="24"/>
          <w:szCs w:val="24"/>
        </w:rPr>
        <w:t xml:space="preserve"> notes the EA10 has three distinctive features. First, it is comprehensive, </w:t>
      </w:r>
      <w:r w:rsidR="00B37F96">
        <w:rPr>
          <w:rFonts w:ascii="Arial" w:hAnsi="Arial" w:cs="Arial"/>
          <w:sz w:val="24"/>
          <w:szCs w:val="24"/>
        </w:rPr>
        <w:t>creating a unitary conception of equality and a single enforcement body, the Equality and Human Rights Commission.</w:t>
      </w:r>
      <w:r w:rsidR="00B74C2A">
        <w:rPr>
          <w:rFonts w:ascii="Arial" w:hAnsi="Arial" w:cs="Arial"/>
          <w:sz w:val="24"/>
          <w:szCs w:val="24"/>
        </w:rPr>
        <w:t xml:space="preserve"> Second, </w:t>
      </w:r>
      <w:r w:rsidR="00642350">
        <w:rPr>
          <w:rFonts w:ascii="Arial" w:hAnsi="Arial" w:cs="Arial"/>
          <w:sz w:val="24"/>
          <w:szCs w:val="24"/>
        </w:rPr>
        <w:t>it ‘</w:t>
      </w:r>
      <w:r w:rsidR="00B37F96">
        <w:rPr>
          <w:rFonts w:ascii="Arial" w:hAnsi="Arial" w:cs="Arial"/>
          <w:sz w:val="24"/>
          <w:szCs w:val="24"/>
        </w:rPr>
        <w:t>harmonises, clarifies and extends the concepts of discrimination</w:t>
      </w:r>
      <w:r w:rsidR="00706178">
        <w:rPr>
          <w:rStyle w:val="FootnoteReference"/>
          <w:rFonts w:ascii="Arial" w:hAnsi="Arial" w:cs="Arial"/>
          <w:sz w:val="24"/>
          <w:szCs w:val="24"/>
        </w:rPr>
        <w:footnoteReference w:id="38"/>
      </w:r>
      <w:r w:rsidR="00B37F96">
        <w:rPr>
          <w:rFonts w:ascii="Arial" w:hAnsi="Arial" w:cs="Arial"/>
          <w:sz w:val="24"/>
          <w:szCs w:val="24"/>
        </w:rPr>
        <w:t>, harassment</w:t>
      </w:r>
      <w:r w:rsidR="00706178">
        <w:rPr>
          <w:rStyle w:val="FootnoteReference"/>
          <w:rFonts w:ascii="Arial" w:hAnsi="Arial" w:cs="Arial"/>
          <w:sz w:val="24"/>
          <w:szCs w:val="24"/>
        </w:rPr>
        <w:footnoteReference w:id="39"/>
      </w:r>
      <w:r w:rsidR="00B37F96">
        <w:rPr>
          <w:rFonts w:ascii="Arial" w:hAnsi="Arial" w:cs="Arial"/>
          <w:sz w:val="24"/>
          <w:szCs w:val="24"/>
        </w:rPr>
        <w:t xml:space="preserve"> and victimisation</w:t>
      </w:r>
      <w:r w:rsidR="00706178">
        <w:rPr>
          <w:rStyle w:val="FootnoteReference"/>
          <w:rFonts w:ascii="Arial" w:hAnsi="Arial" w:cs="Arial"/>
          <w:sz w:val="24"/>
          <w:szCs w:val="24"/>
        </w:rPr>
        <w:footnoteReference w:id="40"/>
      </w:r>
      <w:r w:rsidR="00B37F96">
        <w:rPr>
          <w:rFonts w:ascii="Arial" w:hAnsi="Arial" w:cs="Arial"/>
          <w:sz w:val="24"/>
          <w:szCs w:val="24"/>
        </w:rPr>
        <w:t xml:space="preserve"> and applies them across</w:t>
      </w:r>
      <w:r w:rsidR="00642350">
        <w:rPr>
          <w:rFonts w:ascii="Arial" w:hAnsi="Arial" w:cs="Arial"/>
          <w:sz w:val="24"/>
          <w:szCs w:val="24"/>
        </w:rPr>
        <w:t xml:space="preserve"> nine protected characteristics’</w:t>
      </w:r>
      <w:r w:rsidR="00D25F00">
        <w:rPr>
          <w:rStyle w:val="FootnoteReference"/>
          <w:rFonts w:ascii="Arial" w:hAnsi="Arial" w:cs="Arial"/>
          <w:sz w:val="24"/>
          <w:szCs w:val="24"/>
        </w:rPr>
        <w:footnoteReference w:id="41"/>
      </w:r>
      <w:r w:rsidR="00B37F96">
        <w:rPr>
          <w:rFonts w:ascii="Arial" w:hAnsi="Arial" w:cs="Arial"/>
          <w:sz w:val="24"/>
          <w:szCs w:val="24"/>
        </w:rPr>
        <w:t xml:space="preserve">, specifically, age, disability, gender reassignment, </w:t>
      </w:r>
      <w:r w:rsidR="00706178">
        <w:rPr>
          <w:rFonts w:ascii="Arial" w:hAnsi="Arial" w:cs="Arial"/>
          <w:sz w:val="24"/>
          <w:szCs w:val="24"/>
        </w:rPr>
        <w:t xml:space="preserve">marriage and civil partnership, pregnancy and maternity, </w:t>
      </w:r>
      <w:r w:rsidR="00B37F96">
        <w:rPr>
          <w:rFonts w:ascii="Arial" w:hAnsi="Arial" w:cs="Arial"/>
          <w:sz w:val="24"/>
          <w:szCs w:val="24"/>
        </w:rPr>
        <w:t xml:space="preserve">race, religion or belief, sex, </w:t>
      </w:r>
      <w:r w:rsidR="00706178">
        <w:rPr>
          <w:rFonts w:ascii="Arial" w:hAnsi="Arial" w:cs="Arial"/>
          <w:sz w:val="24"/>
          <w:szCs w:val="24"/>
        </w:rPr>
        <w:t>and sexual orientation</w:t>
      </w:r>
      <w:r w:rsidR="00706178">
        <w:rPr>
          <w:rStyle w:val="FootnoteReference"/>
          <w:rFonts w:ascii="Arial" w:hAnsi="Arial" w:cs="Arial"/>
          <w:sz w:val="24"/>
          <w:szCs w:val="24"/>
        </w:rPr>
        <w:footnoteReference w:id="42"/>
      </w:r>
      <w:r w:rsidR="00B37F96">
        <w:rPr>
          <w:rFonts w:ascii="Arial" w:hAnsi="Arial" w:cs="Arial"/>
          <w:sz w:val="24"/>
          <w:szCs w:val="24"/>
        </w:rPr>
        <w:t>. Third, it transforms anti-discrimination protection into equality</w:t>
      </w:r>
      <w:r w:rsidR="00D25F00">
        <w:rPr>
          <w:rFonts w:ascii="Arial" w:hAnsi="Arial" w:cs="Arial"/>
          <w:sz w:val="24"/>
          <w:szCs w:val="24"/>
        </w:rPr>
        <w:t xml:space="preserve"> law</w:t>
      </w:r>
      <w:r w:rsidR="005A7289">
        <w:rPr>
          <w:rFonts w:ascii="Arial" w:hAnsi="Arial" w:cs="Arial"/>
          <w:sz w:val="24"/>
          <w:szCs w:val="24"/>
        </w:rPr>
        <w:t xml:space="preserve"> although </w:t>
      </w:r>
      <w:r w:rsidR="005A7289" w:rsidRPr="005A7289">
        <w:rPr>
          <w:rFonts w:ascii="Arial" w:hAnsi="Arial" w:cs="Arial"/>
          <w:sz w:val="24"/>
          <w:szCs w:val="24"/>
        </w:rPr>
        <w:t xml:space="preserve">does not go as far as establishing a </w:t>
      </w:r>
      <w:r w:rsidR="005A7289" w:rsidRPr="005A7289">
        <w:rPr>
          <w:rFonts w:ascii="Arial" w:hAnsi="Arial" w:cs="Arial"/>
          <w:sz w:val="24"/>
          <w:szCs w:val="24"/>
        </w:rPr>
        <w:lastRenderedPageBreak/>
        <w:t>constitutional right to equality</w:t>
      </w:r>
      <w:r w:rsidR="005A7289" w:rsidRPr="005A7289">
        <w:rPr>
          <w:rFonts w:ascii="Arial" w:hAnsi="Arial" w:cs="Arial"/>
          <w:sz w:val="24"/>
          <w:szCs w:val="24"/>
          <w:vertAlign w:val="superscript"/>
        </w:rPr>
        <w:footnoteReference w:id="43"/>
      </w:r>
      <w:r w:rsidR="00D25F00">
        <w:rPr>
          <w:rFonts w:ascii="Arial" w:hAnsi="Arial" w:cs="Arial"/>
          <w:sz w:val="24"/>
          <w:szCs w:val="24"/>
        </w:rPr>
        <w:t>.</w:t>
      </w:r>
      <w:r w:rsidR="00063BF7">
        <w:rPr>
          <w:rFonts w:ascii="Arial" w:hAnsi="Arial" w:cs="Arial"/>
          <w:sz w:val="24"/>
          <w:szCs w:val="24"/>
        </w:rPr>
        <w:t xml:space="preserve"> </w:t>
      </w:r>
      <w:r w:rsidR="00EA4326">
        <w:rPr>
          <w:rFonts w:ascii="Arial" w:hAnsi="Arial" w:cs="Arial"/>
          <w:sz w:val="24"/>
          <w:szCs w:val="24"/>
        </w:rPr>
        <w:t>This means that</w:t>
      </w:r>
      <w:r w:rsidR="00063BF7">
        <w:rPr>
          <w:rFonts w:ascii="Arial" w:hAnsi="Arial" w:cs="Arial"/>
          <w:sz w:val="24"/>
          <w:szCs w:val="24"/>
        </w:rPr>
        <w:t>, unlike Germany</w:t>
      </w:r>
      <w:r w:rsidR="00063BF7">
        <w:rPr>
          <w:rStyle w:val="FootnoteReference"/>
          <w:rFonts w:ascii="Arial" w:hAnsi="Arial" w:cs="Arial"/>
          <w:sz w:val="24"/>
          <w:szCs w:val="24"/>
        </w:rPr>
        <w:footnoteReference w:id="44"/>
      </w:r>
      <w:r w:rsidR="00063BF7">
        <w:rPr>
          <w:rFonts w:ascii="Arial" w:hAnsi="Arial" w:cs="Arial"/>
          <w:sz w:val="24"/>
          <w:szCs w:val="24"/>
        </w:rPr>
        <w:t xml:space="preserve"> or South Africa</w:t>
      </w:r>
      <w:r w:rsidR="00063BF7">
        <w:rPr>
          <w:rStyle w:val="FootnoteReference"/>
          <w:rFonts w:ascii="Arial" w:hAnsi="Arial" w:cs="Arial"/>
          <w:sz w:val="24"/>
          <w:szCs w:val="24"/>
        </w:rPr>
        <w:footnoteReference w:id="45"/>
      </w:r>
      <w:r w:rsidR="00063BF7">
        <w:rPr>
          <w:rFonts w:ascii="Arial" w:hAnsi="Arial" w:cs="Arial"/>
          <w:sz w:val="24"/>
          <w:szCs w:val="24"/>
        </w:rPr>
        <w:t xml:space="preserve"> that utilise human dignity</w:t>
      </w:r>
      <w:r w:rsidR="007577FD">
        <w:rPr>
          <w:rStyle w:val="FootnoteReference"/>
          <w:rFonts w:ascii="Arial" w:hAnsi="Arial" w:cs="Arial"/>
          <w:sz w:val="24"/>
          <w:szCs w:val="24"/>
        </w:rPr>
        <w:footnoteReference w:id="46"/>
      </w:r>
      <w:r w:rsidR="00063BF7">
        <w:rPr>
          <w:rFonts w:ascii="Arial" w:hAnsi="Arial" w:cs="Arial"/>
          <w:sz w:val="24"/>
          <w:szCs w:val="24"/>
        </w:rPr>
        <w:t xml:space="preserve"> as the </w:t>
      </w:r>
      <w:r w:rsidR="00394FF7">
        <w:rPr>
          <w:rFonts w:ascii="Arial" w:hAnsi="Arial" w:cs="Arial"/>
          <w:sz w:val="24"/>
          <w:szCs w:val="24"/>
        </w:rPr>
        <w:t>moral value</w:t>
      </w:r>
      <w:r w:rsidR="00063BF7">
        <w:rPr>
          <w:rFonts w:ascii="Arial" w:hAnsi="Arial" w:cs="Arial"/>
          <w:sz w:val="24"/>
          <w:szCs w:val="24"/>
        </w:rPr>
        <w:t xml:space="preserve"> that underpins eq</w:t>
      </w:r>
      <w:r w:rsidR="007577FD">
        <w:rPr>
          <w:rFonts w:ascii="Arial" w:hAnsi="Arial" w:cs="Arial"/>
          <w:sz w:val="24"/>
          <w:szCs w:val="24"/>
        </w:rPr>
        <w:t>uality law</w:t>
      </w:r>
      <w:r w:rsidR="00D37B90">
        <w:rPr>
          <w:rStyle w:val="FootnoteReference"/>
          <w:rFonts w:ascii="Arial" w:hAnsi="Arial" w:cs="Arial"/>
          <w:sz w:val="24"/>
          <w:szCs w:val="24"/>
        </w:rPr>
        <w:footnoteReference w:id="47"/>
      </w:r>
      <w:r w:rsidR="007577FD">
        <w:rPr>
          <w:rFonts w:ascii="Arial" w:hAnsi="Arial" w:cs="Arial"/>
          <w:sz w:val="24"/>
          <w:szCs w:val="24"/>
        </w:rPr>
        <w:t xml:space="preserve">, no one </w:t>
      </w:r>
      <w:r w:rsidR="00394FF7">
        <w:rPr>
          <w:rFonts w:ascii="Arial" w:hAnsi="Arial" w:cs="Arial"/>
          <w:sz w:val="24"/>
          <w:szCs w:val="24"/>
        </w:rPr>
        <w:t>moral value</w:t>
      </w:r>
      <w:r w:rsidR="007577FD">
        <w:rPr>
          <w:rFonts w:ascii="Arial" w:hAnsi="Arial" w:cs="Arial"/>
          <w:sz w:val="24"/>
          <w:szCs w:val="24"/>
        </w:rPr>
        <w:t xml:space="preserve"> supports the equality edifice and indeed Hepple identifies seven</w:t>
      </w:r>
      <w:r w:rsidR="00EA4326">
        <w:rPr>
          <w:rFonts w:ascii="Arial" w:hAnsi="Arial" w:cs="Arial"/>
          <w:sz w:val="24"/>
          <w:szCs w:val="24"/>
        </w:rPr>
        <w:t xml:space="preserve"> meanings</w:t>
      </w:r>
      <w:r w:rsidR="00394FF7">
        <w:rPr>
          <w:rFonts w:ascii="Arial" w:hAnsi="Arial" w:cs="Arial"/>
          <w:sz w:val="24"/>
          <w:szCs w:val="24"/>
        </w:rPr>
        <w:t xml:space="preserve"> for equality</w:t>
      </w:r>
      <w:r w:rsidR="007577FD">
        <w:rPr>
          <w:rStyle w:val="FootnoteReference"/>
          <w:rFonts w:ascii="Arial" w:hAnsi="Arial" w:cs="Arial"/>
          <w:sz w:val="24"/>
          <w:szCs w:val="24"/>
        </w:rPr>
        <w:footnoteReference w:id="48"/>
      </w:r>
      <w:r w:rsidR="007577FD">
        <w:rPr>
          <w:rFonts w:ascii="Arial" w:hAnsi="Arial" w:cs="Arial"/>
          <w:sz w:val="24"/>
          <w:szCs w:val="24"/>
        </w:rPr>
        <w:t>.</w:t>
      </w:r>
    </w:p>
    <w:p w:rsidR="001E4D8D" w:rsidRDefault="001E4D8D" w:rsidP="00605F83">
      <w:pPr>
        <w:spacing w:line="360" w:lineRule="auto"/>
        <w:jc w:val="both"/>
        <w:rPr>
          <w:rFonts w:ascii="Arial" w:hAnsi="Arial" w:cs="Arial"/>
          <w:sz w:val="24"/>
          <w:szCs w:val="24"/>
        </w:rPr>
      </w:pPr>
    </w:p>
    <w:p w:rsidR="001E4D8D" w:rsidRDefault="001E4D8D" w:rsidP="00605F83">
      <w:pPr>
        <w:spacing w:line="360" w:lineRule="auto"/>
        <w:jc w:val="both"/>
        <w:rPr>
          <w:rFonts w:ascii="Arial" w:hAnsi="Arial" w:cs="Arial"/>
          <w:sz w:val="24"/>
          <w:szCs w:val="24"/>
        </w:rPr>
      </w:pPr>
      <w:r>
        <w:rPr>
          <w:rFonts w:ascii="Arial" w:hAnsi="Arial" w:cs="Arial"/>
          <w:sz w:val="24"/>
          <w:szCs w:val="24"/>
        </w:rPr>
        <w:t xml:space="preserve">The EA10 </w:t>
      </w:r>
      <w:r w:rsidR="005A7289">
        <w:rPr>
          <w:rFonts w:ascii="Arial" w:hAnsi="Arial" w:cs="Arial"/>
          <w:sz w:val="24"/>
          <w:szCs w:val="24"/>
        </w:rPr>
        <w:t>contains some innovative developments</w:t>
      </w:r>
      <w:r w:rsidR="00EA4326">
        <w:rPr>
          <w:rFonts w:ascii="Arial" w:hAnsi="Arial" w:cs="Arial"/>
          <w:sz w:val="24"/>
          <w:szCs w:val="24"/>
        </w:rPr>
        <w:t xml:space="preserve"> in general and for the armed forces in particular</w:t>
      </w:r>
      <w:r w:rsidR="005A7289">
        <w:rPr>
          <w:rFonts w:ascii="Arial" w:hAnsi="Arial" w:cs="Arial"/>
          <w:sz w:val="24"/>
          <w:szCs w:val="24"/>
        </w:rPr>
        <w:t xml:space="preserve">. The first is the </w:t>
      </w:r>
      <w:r w:rsidR="005A7289" w:rsidRPr="005A7289">
        <w:rPr>
          <w:rFonts w:ascii="Arial" w:hAnsi="Arial" w:cs="Arial"/>
          <w:sz w:val="24"/>
          <w:szCs w:val="24"/>
        </w:rPr>
        <w:t>duty on public sector authorities to mainstream equality of outcomes as a result of socio-economic disadvantage when making strategic decisions on the exercising of functions</w:t>
      </w:r>
      <w:r w:rsidR="00BA085D">
        <w:rPr>
          <w:rStyle w:val="FootnoteReference"/>
          <w:rFonts w:ascii="Arial" w:hAnsi="Arial" w:cs="Arial"/>
          <w:sz w:val="24"/>
          <w:szCs w:val="24"/>
        </w:rPr>
        <w:footnoteReference w:id="49"/>
      </w:r>
      <w:r w:rsidR="005A7289" w:rsidRPr="005A7289">
        <w:rPr>
          <w:rFonts w:ascii="Arial" w:hAnsi="Arial" w:cs="Arial"/>
          <w:sz w:val="24"/>
          <w:szCs w:val="24"/>
        </w:rPr>
        <w:t>. In the context of the military these authorities include Ministers of the Crown and government departments</w:t>
      </w:r>
      <w:r w:rsidR="00BA085D">
        <w:rPr>
          <w:rStyle w:val="FootnoteReference"/>
          <w:rFonts w:ascii="Arial" w:hAnsi="Arial" w:cs="Arial"/>
          <w:sz w:val="24"/>
          <w:szCs w:val="24"/>
        </w:rPr>
        <w:footnoteReference w:id="50"/>
      </w:r>
      <w:r w:rsidR="005A7289" w:rsidRPr="005A7289">
        <w:rPr>
          <w:rFonts w:ascii="Arial" w:hAnsi="Arial" w:cs="Arial"/>
          <w:sz w:val="24"/>
          <w:szCs w:val="24"/>
        </w:rPr>
        <w:t>. Fredman</w:t>
      </w:r>
      <w:r w:rsidR="005A7289" w:rsidRPr="005A7289">
        <w:rPr>
          <w:rFonts w:ascii="Arial" w:hAnsi="Arial" w:cs="Arial"/>
          <w:sz w:val="24"/>
          <w:szCs w:val="24"/>
          <w:vertAlign w:val="superscript"/>
        </w:rPr>
        <w:footnoteReference w:id="51"/>
      </w:r>
      <w:r w:rsidR="005A7289">
        <w:rPr>
          <w:rFonts w:ascii="Arial" w:hAnsi="Arial" w:cs="Arial"/>
          <w:sz w:val="24"/>
          <w:szCs w:val="24"/>
        </w:rPr>
        <w:t xml:space="preserve"> suggested</w:t>
      </w:r>
      <w:r w:rsidR="005A7289" w:rsidRPr="005A7289">
        <w:rPr>
          <w:rFonts w:ascii="Arial" w:hAnsi="Arial" w:cs="Arial"/>
          <w:sz w:val="24"/>
          <w:szCs w:val="24"/>
        </w:rPr>
        <w:t xml:space="preserve"> that this </w:t>
      </w:r>
      <w:r w:rsidR="005A7289">
        <w:rPr>
          <w:rFonts w:ascii="Arial" w:hAnsi="Arial" w:cs="Arial"/>
          <w:sz w:val="24"/>
          <w:szCs w:val="24"/>
        </w:rPr>
        <w:t>duty did</w:t>
      </w:r>
      <w:r w:rsidR="005A7289" w:rsidRPr="005A7289">
        <w:rPr>
          <w:rFonts w:ascii="Arial" w:hAnsi="Arial" w:cs="Arial"/>
          <w:sz w:val="24"/>
          <w:szCs w:val="24"/>
        </w:rPr>
        <w:t xml:space="preserve"> </w:t>
      </w:r>
      <w:r w:rsidR="005A7289">
        <w:rPr>
          <w:rFonts w:ascii="Arial" w:hAnsi="Arial" w:cs="Arial"/>
          <w:sz w:val="24"/>
          <w:szCs w:val="24"/>
        </w:rPr>
        <w:t>not apply to the armed forces and on the face of the Act she wa</w:t>
      </w:r>
      <w:r w:rsidR="005A7289" w:rsidRPr="005A7289">
        <w:rPr>
          <w:rFonts w:ascii="Arial" w:hAnsi="Arial" w:cs="Arial"/>
          <w:sz w:val="24"/>
          <w:szCs w:val="24"/>
        </w:rPr>
        <w:t xml:space="preserve">s correct but it </w:t>
      </w:r>
      <w:r w:rsidR="005A7289">
        <w:rPr>
          <w:rFonts w:ascii="Arial" w:hAnsi="Arial" w:cs="Arial"/>
          <w:sz w:val="24"/>
          <w:szCs w:val="24"/>
        </w:rPr>
        <w:t>would</w:t>
      </w:r>
      <w:r w:rsidR="005A7289" w:rsidRPr="005A7289">
        <w:rPr>
          <w:rFonts w:ascii="Arial" w:hAnsi="Arial" w:cs="Arial"/>
          <w:sz w:val="24"/>
          <w:szCs w:val="24"/>
        </w:rPr>
        <w:t xml:space="preserve"> </w:t>
      </w:r>
      <w:r w:rsidR="005A7289">
        <w:rPr>
          <w:rFonts w:ascii="Arial" w:hAnsi="Arial" w:cs="Arial"/>
          <w:sz w:val="24"/>
          <w:szCs w:val="24"/>
        </w:rPr>
        <w:t>have applied</w:t>
      </w:r>
      <w:r w:rsidR="00496118">
        <w:rPr>
          <w:rFonts w:ascii="Arial" w:hAnsi="Arial" w:cs="Arial"/>
          <w:sz w:val="24"/>
          <w:szCs w:val="24"/>
        </w:rPr>
        <w:t xml:space="preserve"> to the Ministry of Defence (Mo</w:t>
      </w:r>
      <w:r w:rsidR="005A7289" w:rsidRPr="005A7289">
        <w:rPr>
          <w:rFonts w:ascii="Arial" w:hAnsi="Arial" w:cs="Arial"/>
          <w:sz w:val="24"/>
          <w:szCs w:val="24"/>
        </w:rPr>
        <w:t>D</w:t>
      </w:r>
      <w:r w:rsidR="00496118">
        <w:rPr>
          <w:rFonts w:ascii="Arial" w:hAnsi="Arial" w:cs="Arial"/>
          <w:sz w:val="24"/>
          <w:szCs w:val="24"/>
        </w:rPr>
        <w:t>)</w:t>
      </w:r>
      <w:r w:rsidR="005A7289" w:rsidRPr="005A7289">
        <w:rPr>
          <w:rFonts w:ascii="Arial" w:hAnsi="Arial" w:cs="Arial"/>
          <w:sz w:val="24"/>
          <w:szCs w:val="24"/>
        </w:rPr>
        <w:t xml:space="preserve"> and Secretary of State for Defence whe</w:t>
      </w:r>
      <w:r w:rsidR="00683AB5">
        <w:rPr>
          <w:rFonts w:ascii="Arial" w:hAnsi="Arial" w:cs="Arial"/>
          <w:sz w:val="24"/>
          <w:szCs w:val="24"/>
        </w:rPr>
        <w:t xml:space="preserve">n making strategic decisions, </w:t>
      </w:r>
      <w:proofErr w:type="spellStart"/>
      <w:r w:rsidR="00683AB5">
        <w:rPr>
          <w:rFonts w:ascii="Arial" w:hAnsi="Arial" w:cs="Arial"/>
          <w:sz w:val="24"/>
          <w:szCs w:val="24"/>
        </w:rPr>
        <w:t>e</w:t>
      </w:r>
      <w:r w:rsidR="005A7289" w:rsidRPr="005A7289">
        <w:rPr>
          <w:rFonts w:ascii="Arial" w:hAnsi="Arial" w:cs="Arial"/>
          <w:sz w:val="24"/>
          <w:szCs w:val="24"/>
        </w:rPr>
        <w:t>g</w:t>
      </w:r>
      <w:proofErr w:type="spellEnd"/>
      <w:r w:rsidR="005A7289" w:rsidRPr="005A7289">
        <w:rPr>
          <w:rFonts w:ascii="Arial" w:hAnsi="Arial" w:cs="Arial"/>
          <w:sz w:val="24"/>
          <w:szCs w:val="24"/>
        </w:rPr>
        <w:t xml:space="preserve"> the </w:t>
      </w:r>
      <w:r w:rsidR="005A7289">
        <w:rPr>
          <w:rFonts w:ascii="Arial" w:hAnsi="Arial" w:cs="Arial"/>
          <w:sz w:val="24"/>
          <w:szCs w:val="24"/>
        </w:rPr>
        <w:t>S</w:t>
      </w:r>
      <w:r w:rsidR="00642350">
        <w:rPr>
          <w:rFonts w:ascii="Arial" w:hAnsi="Arial" w:cs="Arial"/>
          <w:sz w:val="24"/>
          <w:szCs w:val="24"/>
        </w:rPr>
        <w:t xml:space="preserve">trategic </w:t>
      </w:r>
      <w:r w:rsidR="005A7289">
        <w:rPr>
          <w:rFonts w:ascii="Arial" w:hAnsi="Arial" w:cs="Arial"/>
          <w:sz w:val="24"/>
          <w:szCs w:val="24"/>
        </w:rPr>
        <w:t>D</w:t>
      </w:r>
      <w:r w:rsidR="00642350">
        <w:rPr>
          <w:rFonts w:ascii="Arial" w:hAnsi="Arial" w:cs="Arial"/>
          <w:sz w:val="24"/>
          <w:szCs w:val="24"/>
        </w:rPr>
        <w:t xml:space="preserve">efence and Security </w:t>
      </w:r>
      <w:r w:rsidR="005A7289" w:rsidRPr="005A7289">
        <w:rPr>
          <w:rFonts w:ascii="Arial" w:hAnsi="Arial" w:cs="Arial"/>
          <w:sz w:val="24"/>
          <w:szCs w:val="24"/>
        </w:rPr>
        <w:t>R</w:t>
      </w:r>
      <w:r w:rsidR="00642350">
        <w:rPr>
          <w:rFonts w:ascii="Arial" w:hAnsi="Arial" w:cs="Arial"/>
          <w:sz w:val="24"/>
          <w:szCs w:val="24"/>
        </w:rPr>
        <w:t>eview 2011</w:t>
      </w:r>
      <w:r w:rsidR="00642350">
        <w:rPr>
          <w:rStyle w:val="FootnoteReference"/>
          <w:rFonts w:ascii="Arial" w:hAnsi="Arial" w:cs="Arial"/>
          <w:sz w:val="24"/>
          <w:szCs w:val="24"/>
        </w:rPr>
        <w:footnoteReference w:id="52"/>
      </w:r>
      <w:r w:rsidR="005A7289" w:rsidRPr="005A7289">
        <w:rPr>
          <w:rFonts w:ascii="Arial" w:hAnsi="Arial" w:cs="Arial"/>
          <w:sz w:val="24"/>
          <w:szCs w:val="24"/>
        </w:rPr>
        <w:t>.</w:t>
      </w:r>
      <w:r w:rsidR="005A7289">
        <w:rPr>
          <w:rFonts w:ascii="Arial" w:hAnsi="Arial" w:cs="Arial"/>
          <w:sz w:val="24"/>
          <w:szCs w:val="24"/>
        </w:rPr>
        <w:t xml:space="preserve"> </w:t>
      </w:r>
      <w:r w:rsidR="00BA085D">
        <w:rPr>
          <w:rFonts w:ascii="Arial" w:hAnsi="Arial" w:cs="Arial"/>
          <w:sz w:val="24"/>
          <w:szCs w:val="24"/>
        </w:rPr>
        <w:t>As it was</w:t>
      </w:r>
      <w:r w:rsidR="005A7289">
        <w:rPr>
          <w:rFonts w:ascii="Arial" w:hAnsi="Arial" w:cs="Arial"/>
          <w:sz w:val="24"/>
          <w:szCs w:val="24"/>
        </w:rPr>
        <w:t xml:space="preserve"> the Coalition government decided against bringing this duty into force</w:t>
      </w:r>
      <w:r w:rsidR="00EA4326">
        <w:rPr>
          <w:rFonts w:ascii="Arial" w:hAnsi="Arial" w:cs="Arial"/>
          <w:sz w:val="24"/>
          <w:szCs w:val="24"/>
        </w:rPr>
        <w:t xml:space="preserve"> although the aspirational nature of the obligation would have created difficulties for enforcement</w:t>
      </w:r>
      <w:r w:rsidR="00EA4326">
        <w:rPr>
          <w:rStyle w:val="FootnoteReference"/>
          <w:rFonts w:ascii="Arial" w:hAnsi="Arial" w:cs="Arial"/>
          <w:sz w:val="24"/>
          <w:szCs w:val="24"/>
        </w:rPr>
        <w:footnoteReference w:id="53"/>
      </w:r>
      <w:r w:rsidR="00EA4326">
        <w:rPr>
          <w:rFonts w:ascii="Arial" w:hAnsi="Arial" w:cs="Arial"/>
          <w:sz w:val="24"/>
          <w:szCs w:val="24"/>
        </w:rPr>
        <w:t>.</w:t>
      </w:r>
    </w:p>
    <w:p w:rsidR="00EA4326" w:rsidRDefault="00EA4326" w:rsidP="00605F83">
      <w:pPr>
        <w:spacing w:line="360" w:lineRule="auto"/>
        <w:jc w:val="both"/>
        <w:rPr>
          <w:rFonts w:ascii="Arial" w:hAnsi="Arial" w:cs="Arial"/>
          <w:sz w:val="24"/>
          <w:szCs w:val="24"/>
        </w:rPr>
      </w:pPr>
    </w:p>
    <w:p w:rsidR="00200056" w:rsidRDefault="00200056" w:rsidP="00200056">
      <w:pPr>
        <w:spacing w:line="360" w:lineRule="auto"/>
        <w:jc w:val="both"/>
        <w:rPr>
          <w:rFonts w:ascii="Arial" w:hAnsi="Arial" w:cs="Arial"/>
          <w:sz w:val="24"/>
          <w:szCs w:val="24"/>
        </w:rPr>
      </w:pPr>
      <w:r>
        <w:rPr>
          <w:rFonts w:ascii="Arial" w:hAnsi="Arial" w:cs="Arial"/>
          <w:sz w:val="24"/>
          <w:szCs w:val="24"/>
        </w:rPr>
        <w:lastRenderedPageBreak/>
        <w:t xml:space="preserve">The armed forces are </w:t>
      </w:r>
      <w:r w:rsidR="00775833">
        <w:rPr>
          <w:rFonts w:ascii="Arial" w:hAnsi="Arial" w:cs="Arial"/>
          <w:sz w:val="24"/>
          <w:szCs w:val="24"/>
        </w:rPr>
        <w:t>classified as</w:t>
      </w:r>
      <w:r>
        <w:rPr>
          <w:rFonts w:ascii="Arial" w:hAnsi="Arial" w:cs="Arial"/>
          <w:sz w:val="24"/>
          <w:szCs w:val="24"/>
        </w:rPr>
        <w:t xml:space="preserve"> a public authority</w:t>
      </w:r>
      <w:r>
        <w:rPr>
          <w:rStyle w:val="FootnoteReference"/>
          <w:rFonts w:ascii="Arial" w:hAnsi="Arial" w:cs="Arial"/>
          <w:sz w:val="24"/>
          <w:szCs w:val="24"/>
        </w:rPr>
        <w:footnoteReference w:id="54"/>
      </w:r>
      <w:r>
        <w:rPr>
          <w:rFonts w:ascii="Arial" w:hAnsi="Arial" w:cs="Arial"/>
          <w:sz w:val="24"/>
          <w:szCs w:val="24"/>
        </w:rPr>
        <w:t xml:space="preserve"> and the new public sector duty set out in s</w:t>
      </w:r>
      <w:r w:rsidR="007C6283">
        <w:rPr>
          <w:rFonts w:ascii="Arial" w:hAnsi="Arial" w:cs="Arial"/>
          <w:sz w:val="24"/>
          <w:szCs w:val="24"/>
        </w:rPr>
        <w:t>ection</w:t>
      </w:r>
      <w:r>
        <w:rPr>
          <w:rFonts w:ascii="Arial" w:hAnsi="Arial" w:cs="Arial"/>
          <w:sz w:val="24"/>
          <w:szCs w:val="24"/>
        </w:rPr>
        <w:t xml:space="preserve"> 149(1)</w:t>
      </w:r>
      <w:r w:rsidR="00775833">
        <w:rPr>
          <w:rStyle w:val="FootnoteReference"/>
          <w:rFonts w:ascii="Arial" w:hAnsi="Arial" w:cs="Arial"/>
          <w:sz w:val="24"/>
          <w:szCs w:val="24"/>
        </w:rPr>
        <w:footnoteReference w:id="55"/>
      </w:r>
      <w:r>
        <w:rPr>
          <w:rFonts w:ascii="Arial" w:hAnsi="Arial" w:cs="Arial"/>
          <w:sz w:val="24"/>
          <w:szCs w:val="24"/>
        </w:rPr>
        <w:t xml:space="preserve"> applies to the military</w:t>
      </w:r>
      <w:r w:rsidR="00775833">
        <w:rPr>
          <w:rFonts w:ascii="Arial" w:hAnsi="Arial" w:cs="Arial"/>
          <w:sz w:val="24"/>
          <w:szCs w:val="24"/>
        </w:rPr>
        <w:t xml:space="preserve"> and is extended to persons performing a public function who are not public authorities</w:t>
      </w:r>
      <w:r w:rsidR="00775833">
        <w:rPr>
          <w:rStyle w:val="FootnoteReference"/>
          <w:rFonts w:ascii="Arial" w:hAnsi="Arial" w:cs="Arial"/>
          <w:sz w:val="24"/>
          <w:szCs w:val="24"/>
        </w:rPr>
        <w:footnoteReference w:id="56"/>
      </w:r>
      <w:r w:rsidR="00775833">
        <w:rPr>
          <w:rFonts w:ascii="Arial" w:hAnsi="Arial" w:cs="Arial"/>
          <w:sz w:val="24"/>
          <w:szCs w:val="24"/>
        </w:rPr>
        <w:t xml:space="preserve">. </w:t>
      </w:r>
      <w:r w:rsidR="00810C8F">
        <w:rPr>
          <w:rFonts w:ascii="Arial" w:hAnsi="Arial" w:cs="Arial"/>
          <w:sz w:val="24"/>
          <w:szCs w:val="24"/>
        </w:rPr>
        <w:t>To demonstrate compliance with this duty, public authorities must publish annual equality information</w:t>
      </w:r>
      <w:r w:rsidR="00810C8F">
        <w:rPr>
          <w:rStyle w:val="FootnoteReference"/>
          <w:rFonts w:ascii="Arial" w:hAnsi="Arial" w:cs="Arial"/>
          <w:sz w:val="24"/>
          <w:szCs w:val="24"/>
        </w:rPr>
        <w:footnoteReference w:id="57"/>
      </w:r>
      <w:r w:rsidR="00810C8F">
        <w:rPr>
          <w:rFonts w:ascii="Arial" w:hAnsi="Arial" w:cs="Arial"/>
          <w:sz w:val="24"/>
          <w:szCs w:val="24"/>
        </w:rPr>
        <w:t xml:space="preserve"> covering all protected characteristics</w:t>
      </w:r>
      <w:r w:rsidR="00810C8F">
        <w:rPr>
          <w:rStyle w:val="FootnoteReference"/>
          <w:rFonts w:ascii="Arial" w:hAnsi="Arial" w:cs="Arial"/>
          <w:sz w:val="24"/>
          <w:szCs w:val="24"/>
        </w:rPr>
        <w:footnoteReference w:id="58"/>
      </w:r>
      <w:r w:rsidR="00810C8F">
        <w:rPr>
          <w:rFonts w:ascii="Arial" w:hAnsi="Arial" w:cs="Arial"/>
          <w:sz w:val="24"/>
          <w:szCs w:val="24"/>
        </w:rPr>
        <w:t>. Furthermore,</w:t>
      </w:r>
      <w:r w:rsidR="00775833">
        <w:rPr>
          <w:rFonts w:ascii="Arial" w:hAnsi="Arial" w:cs="Arial"/>
          <w:sz w:val="24"/>
          <w:szCs w:val="24"/>
        </w:rPr>
        <w:t xml:space="preserve"> according to </w:t>
      </w:r>
      <w:r w:rsidR="00E65BA1">
        <w:rPr>
          <w:rFonts w:ascii="Arial" w:hAnsi="Arial" w:cs="Arial"/>
          <w:sz w:val="24"/>
          <w:szCs w:val="24"/>
        </w:rPr>
        <w:t xml:space="preserve">section 29(6) of the </w:t>
      </w:r>
      <w:r w:rsidR="00775833">
        <w:rPr>
          <w:rFonts w:ascii="Arial" w:hAnsi="Arial" w:cs="Arial"/>
          <w:sz w:val="24"/>
          <w:szCs w:val="24"/>
        </w:rPr>
        <w:t xml:space="preserve">EA10 </w:t>
      </w:r>
      <w:r w:rsidR="006456EC">
        <w:rPr>
          <w:rFonts w:ascii="Arial" w:hAnsi="Arial" w:cs="Arial"/>
          <w:sz w:val="24"/>
          <w:szCs w:val="24"/>
        </w:rPr>
        <w:t>‘</w:t>
      </w:r>
      <w:r>
        <w:rPr>
          <w:rFonts w:ascii="Arial" w:hAnsi="Arial" w:cs="Arial"/>
          <w:sz w:val="24"/>
          <w:szCs w:val="24"/>
        </w:rPr>
        <w:t xml:space="preserve">[a] </w:t>
      </w:r>
      <w:r w:rsidRPr="00800F9E">
        <w:rPr>
          <w:rFonts w:ascii="Arial" w:hAnsi="Arial" w:cs="Arial"/>
          <w:sz w:val="24"/>
          <w:szCs w:val="24"/>
        </w:rPr>
        <w:t>person must not, in the exercise of a public function that is not the provision</w:t>
      </w:r>
      <w:r>
        <w:rPr>
          <w:rFonts w:ascii="Arial" w:hAnsi="Arial" w:cs="Arial"/>
          <w:sz w:val="24"/>
          <w:szCs w:val="24"/>
        </w:rPr>
        <w:t xml:space="preserve"> </w:t>
      </w:r>
      <w:r w:rsidRPr="00800F9E">
        <w:rPr>
          <w:rFonts w:ascii="Arial" w:hAnsi="Arial" w:cs="Arial"/>
          <w:sz w:val="24"/>
          <w:szCs w:val="24"/>
        </w:rPr>
        <w:t>of a service to the public or a section of the public, do anything that constitutes</w:t>
      </w:r>
      <w:r>
        <w:rPr>
          <w:rFonts w:ascii="Arial" w:hAnsi="Arial" w:cs="Arial"/>
          <w:sz w:val="24"/>
          <w:szCs w:val="24"/>
        </w:rPr>
        <w:t xml:space="preserve"> </w:t>
      </w:r>
      <w:r w:rsidRPr="00800F9E">
        <w:rPr>
          <w:rFonts w:ascii="Arial" w:hAnsi="Arial" w:cs="Arial"/>
          <w:sz w:val="24"/>
          <w:szCs w:val="24"/>
        </w:rPr>
        <w:t>discrimination, harassment or victimisation.</w:t>
      </w:r>
      <w:r w:rsidR="006456EC">
        <w:rPr>
          <w:rFonts w:ascii="Arial" w:hAnsi="Arial" w:cs="Arial"/>
          <w:sz w:val="24"/>
          <w:szCs w:val="24"/>
        </w:rPr>
        <w:t>’</w:t>
      </w:r>
      <w:r>
        <w:rPr>
          <w:rFonts w:ascii="Arial" w:hAnsi="Arial" w:cs="Arial"/>
          <w:sz w:val="24"/>
          <w:szCs w:val="24"/>
        </w:rPr>
        <w:t xml:space="preserve"> However, this </w:t>
      </w:r>
      <w:r w:rsidR="00775833">
        <w:rPr>
          <w:rFonts w:ascii="Arial" w:hAnsi="Arial" w:cs="Arial"/>
          <w:sz w:val="24"/>
          <w:szCs w:val="24"/>
        </w:rPr>
        <w:t xml:space="preserve">is disapplied </w:t>
      </w:r>
      <w:r>
        <w:rPr>
          <w:rFonts w:ascii="Arial" w:hAnsi="Arial" w:cs="Arial"/>
          <w:sz w:val="24"/>
          <w:szCs w:val="24"/>
        </w:rPr>
        <w:t>when relat</w:t>
      </w:r>
      <w:r w:rsidR="006456EC">
        <w:rPr>
          <w:rFonts w:ascii="Arial" w:hAnsi="Arial" w:cs="Arial"/>
          <w:sz w:val="24"/>
          <w:szCs w:val="24"/>
        </w:rPr>
        <w:t>ing to relevant discrimination ‘</w:t>
      </w:r>
      <w:r>
        <w:rPr>
          <w:rFonts w:ascii="Arial" w:hAnsi="Arial" w:cs="Arial"/>
          <w:sz w:val="24"/>
          <w:szCs w:val="24"/>
        </w:rPr>
        <w:t>for the purpose of ensuring the combat effecti</w:t>
      </w:r>
      <w:r w:rsidR="00775833">
        <w:rPr>
          <w:rFonts w:ascii="Arial" w:hAnsi="Arial" w:cs="Arial"/>
          <w:sz w:val="24"/>
          <w:szCs w:val="24"/>
        </w:rPr>
        <w:t>ve</w:t>
      </w:r>
      <w:r w:rsidR="006456EC">
        <w:rPr>
          <w:rFonts w:ascii="Arial" w:hAnsi="Arial" w:cs="Arial"/>
          <w:sz w:val="24"/>
          <w:szCs w:val="24"/>
        </w:rPr>
        <w:t>ness of the armed forces’</w:t>
      </w:r>
      <w:r w:rsidR="00775833">
        <w:rPr>
          <w:rStyle w:val="FootnoteReference"/>
          <w:rFonts w:ascii="Arial" w:hAnsi="Arial" w:cs="Arial"/>
          <w:sz w:val="24"/>
          <w:szCs w:val="24"/>
        </w:rPr>
        <w:footnoteReference w:id="59"/>
      </w:r>
      <w:r w:rsidR="00775833">
        <w:rPr>
          <w:rFonts w:ascii="Arial" w:hAnsi="Arial" w:cs="Arial"/>
          <w:sz w:val="24"/>
          <w:szCs w:val="24"/>
        </w:rPr>
        <w:t xml:space="preserve"> with</w:t>
      </w:r>
      <w:r>
        <w:rPr>
          <w:rFonts w:ascii="Arial" w:hAnsi="Arial" w:cs="Arial"/>
          <w:sz w:val="24"/>
          <w:szCs w:val="24"/>
        </w:rPr>
        <w:t xml:space="preserve"> </w:t>
      </w:r>
      <w:r w:rsidR="006456EC">
        <w:rPr>
          <w:rFonts w:ascii="Arial" w:hAnsi="Arial" w:cs="Arial"/>
          <w:sz w:val="24"/>
          <w:szCs w:val="24"/>
        </w:rPr>
        <w:t>‘relevant discrimination’</w:t>
      </w:r>
      <w:r>
        <w:rPr>
          <w:rFonts w:ascii="Arial" w:hAnsi="Arial" w:cs="Arial"/>
          <w:sz w:val="24"/>
          <w:szCs w:val="24"/>
        </w:rPr>
        <w:t xml:space="preserve"> made up of four of</w:t>
      </w:r>
      <w:r w:rsidR="00775833">
        <w:rPr>
          <w:rFonts w:ascii="Arial" w:hAnsi="Arial" w:cs="Arial"/>
          <w:sz w:val="24"/>
          <w:szCs w:val="24"/>
        </w:rPr>
        <w:t xml:space="preserve"> the protected characteristics,</w:t>
      </w:r>
      <w:r>
        <w:rPr>
          <w:rFonts w:ascii="Arial" w:hAnsi="Arial" w:cs="Arial"/>
          <w:sz w:val="24"/>
          <w:szCs w:val="24"/>
        </w:rPr>
        <w:t xml:space="preserve"> age, disability, gender reassignment and sex but does not include race and sexual orientation. </w:t>
      </w:r>
    </w:p>
    <w:p w:rsidR="00200056" w:rsidRDefault="00200056" w:rsidP="00200056">
      <w:pPr>
        <w:spacing w:line="360" w:lineRule="auto"/>
        <w:jc w:val="both"/>
        <w:rPr>
          <w:rFonts w:ascii="Arial" w:hAnsi="Arial" w:cs="Arial"/>
          <w:sz w:val="24"/>
          <w:szCs w:val="24"/>
        </w:rPr>
      </w:pPr>
    </w:p>
    <w:p w:rsidR="00200056" w:rsidRDefault="001013D1" w:rsidP="00200056">
      <w:pPr>
        <w:spacing w:line="360" w:lineRule="auto"/>
        <w:jc w:val="both"/>
        <w:rPr>
          <w:rFonts w:ascii="Arial" w:hAnsi="Arial" w:cs="Arial"/>
          <w:sz w:val="24"/>
          <w:szCs w:val="24"/>
        </w:rPr>
      </w:pPr>
      <w:r>
        <w:rPr>
          <w:rFonts w:ascii="Arial" w:hAnsi="Arial" w:cs="Arial"/>
          <w:sz w:val="24"/>
          <w:szCs w:val="24"/>
        </w:rPr>
        <w:t>A</w:t>
      </w:r>
      <w:r w:rsidR="002D6656">
        <w:rPr>
          <w:rFonts w:ascii="Arial" w:hAnsi="Arial" w:cs="Arial"/>
          <w:sz w:val="24"/>
          <w:szCs w:val="24"/>
        </w:rPr>
        <w:t>s a ge</w:t>
      </w:r>
      <w:r>
        <w:rPr>
          <w:rFonts w:ascii="Arial" w:hAnsi="Arial" w:cs="Arial"/>
          <w:sz w:val="24"/>
          <w:szCs w:val="24"/>
        </w:rPr>
        <w:t>n</w:t>
      </w:r>
      <w:r w:rsidR="002D6656">
        <w:rPr>
          <w:rFonts w:ascii="Arial" w:hAnsi="Arial" w:cs="Arial"/>
          <w:sz w:val="24"/>
          <w:szCs w:val="24"/>
        </w:rPr>
        <w:t>eral</w:t>
      </w:r>
      <w:r>
        <w:rPr>
          <w:rFonts w:ascii="Arial" w:hAnsi="Arial" w:cs="Arial"/>
          <w:sz w:val="24"/>
          <w:szCs w:val="24"/>
        </w:rPr>
        <w:t xml:space="preserve"> employer </w:t>
      </w:r>
      <w:r w:rsidR="002D6656">
        <w:rPr>
          <w:rFonts w:ascii="Arial" w:hAnsi="Arial" w:cs="Arial"/>
          <w:sz w:val="24"/>
          <w:szCs w:val="24"/>
        </w:rPr>
        <w:t>the armed forces are</w:t>
      </w:r>
      <w:r>
        <w:rPr>
          <w:rFonts w:ascii="Arial" w:hAnsi="Arial" w:cs="Arial"/>
          <w:sz w:val="24"/>
          <w:szCs w:val="24"/>
        </w:rPr>
        <w:t xml:space="preserve"> prohibited </w:t>
      </w:r>
      <w:r w:rsidR="002D6656">
        <w:rPr>
          <w:rFonts w:ascii="Arial" w:hAnsi="Arial" w:cs="Arial"/>
          <w:sz w:val="24"/>
          <w:szCs w:val="24"/>
        </w:rPr>
        <w:t>by</w:t>
      </w:r>
      <w:r>
        <w:rPr>
          <w:rFonts w:ascii="Arial" w:hAnsi="Arial" w:cs="Arial"/>
          <w:sz w:val="24"/>
          <w:szCs w:val="24"/>
        </w:rPr>
        <w:t xml:space="preserve"> s</w:t>
      </w:r>
      <w:r w:rsidR="00E65BA1">
        <w:rPr>
          <w:rFonts w:ascii="Arial" w:hAnsi="Arial" w:cs="Arial"/>
          <w:sz w:val="24"/>
          <w:szCs w:val="24"/>
        </w:rPr>
        <w:t>ection</w:t>
      </w:r>
      <w:r>
        <w:rPr>
          <w:rFonts w:ascii="Arial" w:hAnsi="Arial" w:cs="Arial"/>
          <w:sz w:val="24"/>
          <w:szCs w:val="24"/>
        </w:rPr>
        <w:t xml:space="preserve"> 39(1) from discriminating when deciding who to or not to employ and the terms of employment and in s</w:t>
      </w:r>
      <w:r w:rsidR="00E65BA1">
        <w:rPr>
          <w:rFonts w:ascii="Arial" w:hAnsi="Arial" w:cs="Arial"/>
          <w:sz w:val="24"/>
          <w:szCs w:val="24"/>
        </w:rPr>
        <w:t>ection</w:t>
      </w:r>
      <w:r>
        <w:rPr>
          <w:rFonts w:ascii="Arial" w:hAnsi="Arial" w:cs="Arial"/>
          <w:sz w:val="24"/>
          <w:szCs w:val="24"/>
        </w:rPr>
        <w:t xml:space="preserve"> 39(2) </w:t>
      </w:r>
      <w:r w:rsidR="002D6656">
        <w:rPr>
          <w:rFonts w:ascii="Arial" w:hAnsi="Arial" w:cs="Arial"/>
          <w:sz w:val="24"/>
          <w:szCs w:val="24"/>
        </w:rPr>
        <w:t>from discriminating</w:t>
      </w:r>
      <w:r>
        <w:rPr>
          <w:rFonts w:ascii="Arial" w:hAnsi="Arial" w:cs="Arial"/>
          <w:sz w:val="24"/>
          <w:szCs w:val="24"/>
        </w:rPr>
        <w:t xml:space="preserve"> against </w:t>
      </w:r>
      <w:r w:rsidR="002D6656">
        <w:rPr>
          <w:rFonts w:ascii="Arial" w:hAnsi="Arial" w:cs="Arial"/>
          <w:sz w:val="24"/>
          <w:szCs w:val="24"/>
        </w:rPr>
        <w:t xml:space="preserve">an employee </w:t>
      </w:r>
      <w:r>
        <w:rPr>
          <w:rFonts w:ascii="Arial" w:hAnsi="Arial" w:cs="Arial"/>
          <w:sz w:val="24"/>
          <w:szCs w:val="24"/>
        </w:rPr>
        <w:t xml:space="preserve">over terms of employment, opportunities for promotion, transfer or training, dismissal or any other detriment. </w:t>
      </w:r>
      <w:r w:rsidR="002D6656">
        <w:rPr>
          <w:rFonts w:ascii="Arial" w:hAnsi="Arial" w:cs="Arial"/>
          <w:sz w:val="24"/>
          <w:szCs w:val="24"/>
        </w:rPr>
        <w:t>However, there is another exception provided</w:t>
      </w:r>
      <w:r w:rsidR="00200056">
        <w:rPr>
          <w:rFonts w:ascii="Arial" w:hAnsi="Arial" w:cs="Arial"/>
          <w:sz w:val="24"/>
          <w:szCs w:val="24"/>
        </w:rPr>
        <w:t xml:space="preserve"> for the </w:t>
      </w:r>
      <w:r w:rsidR="002D6656">
        <w:rPr>
          <w:rFonts w:ascii="Arial" w:hAnsi="Arial" w:cs="Arial"/>
          <w:sz w:val="24"/>
          <w:szCs w:val="24"/>
        </w:rPr>
        <w:t>military</w:t>
      </w:r>
      <w:r w:rsidR="00200056">
        <w:rPr>
          <w:rFonts w:ascii="Arial" w:hAnsi="Arial" w:cs="Arial"/>
          <w:sz w:val="24"/>
          <w:szCs w:val="24"/>
        </w:rPr>
        <w:t xml:space="preserve"> </w:t>
      </w:r>
      <w:r w:rsidR="002D6656">
        <w:rPr>
          <w:rFonts w:ascii="Arial" w:hAnsi="Arial" w:cs="Arial"/>
          <w:sz w:val="24"/>
          <w:szCs w:val="24"/>
        </w:rPr>
        <w:t>when deciding who to or not to employ and opportunities for employees for promotion, transfer or training</w:t>
      </w:r>
      <w:r w:rsidR="006456EC">
        <w:rPr>
          <w:rFonts w:ascii="Arial" w:hAnsi="Arial" w:cs="Arial"/>
          <w:sz w:val="24"/>
          <w:szCs w:val="24"/>
        </w:rPr>
        <w:t xml:space="preserve"> ‘</w:t>
      </w:r>
      <w:r w:rsidR="00200056">
        <w:rPr>
          <w:rFonts w:ascii="Arial" w:hAnsi="Arial" w:cs="Arial"/>
          <w:sz w:val="24"/>
          <w:szCs w:val="24"/>
        </w:rPr>
        <w:t>by applying...</w:t>
      </w:r>
      <w:r w:rsidR="00200056" w:rsidRPr="008748A4">
        <w:rPr>
          <w:rFonts w:ascii="Arial" w:hAnsi="Arial" w:cs="Arial"/>
          <w:sz w:val="24"/>
          <w:szCs w:val="24"/>
        </w:rPr>
        <w:t>a relevant requirement if the person</w:t>
      </w:r>
      <w:r w:rsidR="00200056">
        <w:rPr>
          <w:rFonts w:ascii="Arial" w:hAnsi="Arial" w:cs="Arial"/>
          <w:sz w:val="24"/>
          <w:szCs w:val="24"/>
        </w:rPr>
        <w:t xml:space="preserve"> </w:t>
      </w:r>
      <w:r w:rsidR="00200056" w:rsidRPr="008748A4">
        <w:rPr>
          <w:rFonts w:ascii="Arial" w:hAnsi="Arial" w:cs="Arial"/>
          <w:sz w:val="24"/>
          <w:szCs w:val="24"/>
        </w:rPr>
        <w:t>shows that the application is a proportionate means of ensuring the combat</w:t>
      </w:r>
      <w:r w:rsidR="00200056">
        <w:rPr>
          <w:rFonts w:ascii="Arial" w:hAnsi="Arial" w:cs="Arial"/>
          <w:sz w:val="24"/>
          <w:szCs w:val="24"/>
        </w:rPr>
        <w:t xml:space="preserve"> </w:t>
      </w:r>
      <w:r w:rsidR="00200056" w:rsidRPr="008748A4">
        <w:rPr>
          <w:rFonts w:ascii="Arial" w:hAnsi="Arial" w:cs="Arial"/>
          <w:sz w:val="24"/>
          <w:szCs w:val="24"/>
        </w:rPr>
        <w:t>ef</w:t>
      </w:r>
      <w:r w:rsidR="006456EC">
        <w:rPr>
          <w:rFonts w:ascii="Arial" w:hAnsi="Arial" w:cs="Arial"/>
          <w:sz w:val="24"/>
          <w:szCs w:val="24"/>
        </w:rPr>
        <w:t>fectiveness of the armed forces’</w:t>
      </w:r>
      <w:r w:rsidR="002D6656">
        <w:rPr>
          <w:rStyle w:val="FootnoteReference"/>
          <w:rFonts w:ascii="Arial" w:hAnsi="Arial" w:cs="Arial"/>
          <w:sz w:val="24"/>
          <w:szCs w:val="24"/>
        </w:rPr>
        <w:footnoteReference w:id="60"/>
      </w:r>
      <w:r w:rsidR="006456EC">
        <w:rPr>
          <w:rFonts w:ascii="Arial" w:hAnsi="Arial" w:cs="Arial"/>
          <w:sz w:val="24"/>
          <w:szCs w:val="24"/>
        </w:rPr>
        <w:t>, where a ‘relevant requirement’</w:t>
      </w:r>
      <w:r w:rsidR="00200056">
        <w:rPr>
          <w:rFonts w:ascii="Arial" w:hAnsi="Arial" w:cs="Arial"/>
          <w:sz w:val="24"/>
          <w:szCs w:val="24"/>
        </w:rPr>
        <w:t xml:space="preserve"> is either to be a man or not to be a </w:t>
      </w:r>
      <w:r w:rsidR="00200056">
        <w:rPr>
          <w:rFonts w:ascii="Arial" w:hAnsi="Arial" w:cs="Arial"/>
          <w:sz w:val="24"/>
          <w:szCs w:val="24"/>
        </w:rPr>
        <w:lastRenderedPageBreak/>
        <w:t>transsexual person</w:t>
      </w:r>
      <w:r w:rsidR="00B35E03">
        <w:rPr>
          <w:rStyle w:val="FootnoteReference"/>
          <w:rFonts w:ascii="Arial" w:hAnsi="Arial" w:cs="Arial"/>
          <w:sz w:val="24"/>
          <w:szCs w:val="24"/>
        </w:rPr>
        <w:footnoteReference w:id="61"/>
      </w:r>
      <w:r w:rsidR="00200056">
        <w:rPr>
          <w:rFonts w:ascii="Arial" w:hAnsi="Arial" w:cs="Arial"/>
          <w:sz w:val="24"/>
          <w:szCs w:val="24"/>
        </w:rPr>
        <w:t>. Furthermore, Part 5 on Work</w:t>
      </w:r>
      <w:r w:rsidR="002D6656">
        <w:rPr>
          <w:rFonts w:ascii="Arial" w:hAnsi="Arial" w:cs="Arial"/>
          <w:sz w:val="24"/>
          <w:szCs w:val="24"/>
        </w:rPr>
        <w:t>, which contains s</w:t>
      </w:r>
      <w:r w:rsidR="00E65BA1">
        <w:rPr>
          <w:rFonts w:ascii="Arial" w:hAnsi="Arial" w:cs="Arial"/>
          <w:sz w:val="24"/>
          <w:szCs w:val="24"/>
        </w:rPr>
        <w:t>ection</w:t>
      </w:r>
      <w:r w:rsidR="002D6656">
        <w:rPr>
          <w:rFonts w:ascii="Arial" w:hAnsi="Arial" w:cs="Arial"/>
          <w:sz w:val="24"/>
          <w:szCs w:val="24"/>
        </w:rPr>
        <w:t xml:space="preserve"> 39,</w:t>
      </w:r>
      <w:r w:rsidR="00200056">
        <w:rPr>
          <w:rFonts w:ascii="Arial" w:hAnsi="Arial" w:cs="Arial"/>
          <w:sz w:val="24"/>
          <w:szCs w:val="24"/>
        </w:rPr>
        <w:t xml:space="preserve"> does not apply to service in the armed forces as far as relatin</w:t>
      </w:r>
      <w:r w:rsidR="002D6656">
        <w:rPr>
          <w:rFonts w:ascii="Arial" w:hAnsi="Arial" w:cs="Arial"/>
          <w:sz w:val="24"/>
          <w:szCs w:val="24"/>
        </w:rPr>
        <w:t>g to age or disability</w:t>
      </w:r>
      <w:r w:rsidR="002D6656">
        <w:rPr>
          <w:rStyle w:val="FootnoteReference"/>
          <w:rFonts w:ascii="Arial" w:hAnsi="Arial" w:cs="Arial"/>
          <w:sz w:val="24"/>
          <w:szCs w:val="24"/>
        </w:rPr>
        <w:footnoteReference w:id="62"/>
      </w:r>
      <w:r w:rsidR="00200056">
        <w:rPr>
          <w:rFonts w:ascii="Arial" w:hAnsi="Arial" w:cs="Arial"/>
          <w:sz w:val="24"/>
          <w:szCs w:val="24"/>
        </w:rPr>
        <w:t>.</w:t>
      </w:r>
    </w:p>
    <w:p w:rsidR="00200056" w:rsidRDefault="00200056" w:rsidP="00200056">
      <w:pPr>
        <w:spacing w:line="360" w:lineRule="auto"/>
        <w:jc w:val="both"/>
        <w:rPr>
          <w:rFonts w:ascii="Arial" w:hAnsi="Arial" w:cs="Arial"/>
          <w:sz w:val="24"/>
          <w:szCs w:val="24"/>
        </w:rPr>
      </w:pPr>
    </w:p>
    <w:p w:rsidR="00EA4326" w:rsidRDefault="00B35E03" w:rsidP="00605F83">
      <w:pPr>
        <w:spacing w:line="360" w:lineRule="auto"/>
        <w:jc w:val="both"/>
        <w:rPr>
          <w:rFonts w:ascii="Arial" w:hAnsi="Arial" w:cs="Arial"/>
          <w:sz w:val="24"/>
          <w:szCs w:val="24"/>
        </w:rPr>
      </w:pPr>
      <w:r>
        <w:rPr>
          <w:rFonts w:ascii="Arial" w:hAnsi="Arial" w:cs="Arial"/>
          <w:sz w:val="24"/>
          <w:szCs w:val="24"/>
        </w:rPr>
        <w:t>Finally</w:t>
      </w:r>
      <w:r w:rsidR="00200056">
        <w:rPr>
          <w:rFonts w:ascii="Arial" w:hAnsi="Arial" w:cs="Arial"/>
          <w:sz w:val="24"/>
          <w:szCs w:val="24"/>
        </w:rPr>
        <w:t xml:space="preserve"> the</w:t>
      </w:r>
      <w:r>
        <w:rPr>
          <w:rFonts w:ascii="Arial" w:hAnsi="Arial" w:cs="Arial"/>
          <w:sz w:val="24"/>
          <w:szCs w:val="24"/>
        </w:rPr>
        <w:t>re is a</w:t>
      </w:r>
      <w:r w:rsidR="00200056">
        <w:rPr>
          <w:rFonts w:ascii="Arial" w:hAnsi="Arial" w:cs="Arial"/>
          <w:sz w:val="24"/>
          <w:szCs w:val="24"/>
        </w:rPr>
        <w:t xml:space="preserve"> general exception </w:t>
      </w:r>
      <w:r>
        <w:rPr>
          <w:rFonts w:ascii="Arial" w:hAnsi="Arial" w:cs="Arial"/>
          <w:sz w:val="24"/>
          <w:szCs w:val="24"/>
        </w:rPr>
        <w:t>for national security</w:t>
      </w:r>
      <w:r w:rsidR="00200056">
        <w:rPr>
          <w:rFonts w:ascii="Arial" w:hAnsi="Arial" w:cs="Arial"/>
          <w:sz w:val="24"/>
          <w:szCs w:val="24"/>
        </w:rPr>
        <w:t xml:space="preserve"> </w:t>
      </w:r>
      <w:r>
        <w:rPr>
          <w:rFonts w:ascii="Arial" w:hAnsi="Arial" w:cs="Arial"/>
          <w:sz w:val="24"/>
          <w:szCs w:val="24"/>
        </w:rPr>
        <w:t>but only to the extent that</w:t>
      </w:r>
      <w:r w:rsidR="00200056" w:rsidRPr="00CD4DB5">
        <w:rPr>
          <w:rFonts w:ascii="Arial" w:hAnsi="Arial" w:cs="Arial"/>
          <w:sz w:val="24"/>
          <w:szCs w:val="24"/>
        </w:rPr>
        <w:t xml:space="preserve"> it is proportionate to do </w:t>
      </w:r>
      <w:r>
        <w:rPr>
          <w:rFonts w:ascii="Arial" w:hAnsi="Arial" w:cs="Arial"/>
          <w:sz w:val="24"/>
          <w:szCs w:val="24"/>
        </w:rPr>
        <w:t>so</w:t>
      </w:r>
      <w:r>
        <w:rPr>
          <w:rStyle w:val="FootnoteReference"/>
          <w:rFonts w:ascii="Arial" w:hAnsi="Arial" w:cs="Arial"/>
          <w:sz w:val="24"/>
          <w:szCs w:val="24"/>
        </w:rPr>
        <w:footnoteReference w:id="63"/>
      </w:r>
      <w:r>
        <w:rPr>
          <w:rFonts w:ascii="Arial" w:hAnsi="Arial" w:cs="Arial"/>
          <w:sz w:val="24"/>
          <w:szCs w:val="24"/>
        </w:rPr>
        <w:t>.</w:t>
      </w:r>
      <w:r w:rsidR="00200056">
        <w:rPr>
          <w:rFonts w:ascii="Arial" w:hAnsi="Arial" w:cs="Arial"/>
          <w:sz w:val="24"/>
          <w:szCs w:val="24"/>
        </w:rPr>
        <w:t xml:space="preserve"> </w:t>
      </w:r>
      <w:r>
        <w:rPr>
          <w:rFonts w:ascii="Arial" w:hAnsi="Arial" w:cs="Arial"/>
          <w:sz w:val="24"/>
          <w:szCs w:val="24"/>
        </w:rPr>
        <w:t>However,</w:t>
      </w:r>
      <w:r w:rsidR="00200056">
        <w:rPr>
          <w:rFonts w:ascii="Arial" w:hAnsi="Arial" w:cs="Arial"/>
          <w:sz w:val="24"/>
          <w:szCs w:val="24"/>
        </w:rPr>
        <w:t xml:space="preserve"> the</w:t>
      </w:r>
      <w:r>
        <w:rPr>
          <w:rFonts w:ascii="Arial" w:hAnsi="Arial" w:cs="Arial"/>
          <w:sz w:val="24"/>
          <w:szCs w:val="24"/>
        </w:rPr>
        <w:t>re is no definition of</w:t>
      </w:r>
      <w:r w:rsidR="00200056">
        <w:rPr>
          <w:rFonts w:ascii="Arial" w:hAnsi="Arial" w:cs="Arial"/>
          <w:sz w:val="24"/>
          <w:szCs w:val="24"/>
        </w:rPr>
        <w:t xml:space="preserve"> national security </w:t>
      </w:r>
      <w:r>
        <w:rPr>
          <w:rFonts w:ascii="Arial" w:hAnsi="Arial" w:cs="Arial"/>
          <w:sz w:val="24"/>
          <w:szCs w:val="24"/>
        </w:rPr>
        <w:t>and so the exception is uncertain</w:t>
      </w:r>
      <w:r w:rsidR="00200056">
        <w:rPr>
          <w:rFonts w:ascii="Arial" w:hAnsi="Arial" w:cs="Arial"/>
          <w:sz w:val="24"/>
          <w:szCs w:val="24"/>
        </w:rPr>
        <w:t>.</w:t>
      </w:r>
    </w:p>
    <w:p w:rsidR="00BA085D" w:rsidRDefault="00BA085D" w:rsidP="00605F83">
      <w:pPr>
        <w:spacing w:line="360" w:lineRule="auto"/>
        <w:jc w:val="both"/>
        <w:rPr>
          <w:rFonts w:ascii="Arial" w:hAnsi="Arial" w:cs="Arial"/>
          <w:sz w:val="24"/>
          <w:szCs w:val="24"/>
        </w:rPr>
      </w:pPr>
    </w:p>
    <w:p w:rsidR="00BA085D" w:rsidRPr="00605F83" w:rsidRDefault="00BA085D" w:rsidP="00605F83">
      <w:pPr>
        <w:spacing w:line="360" w:lineRule="auto"/>
        <w:jc w:val="both"/>
        <w:rPr>
          <w:rFonts w:ascii="Arial" w:hAnsi="Arial" w:cs="Arial"/>
          <w:sz w:val="24"/>
          <w:szCs w:val="24"/>
        </w:rPr>
      </w:pPr>
      <w:r>
        <w:rPr>
          <w:rFonts w:ascii="Arial" w:hAnsi="Arial" w:cs="Arial"/>
          <w:sz w:val="24"/>
          <w:szCs w:val="24"/>
        </w:rPr>
        <w:t>Five of the nine protected characteristics are particularly relevant for the military and have seen considerable development since the 1960s.</w:t>
      </w:r>
    </w:p>
    <w:p w:rsidR="0075753B" w:rsidRDefault="0075753B" w:rsidP="0075753B">
      <w:pPr>
        <w:pStyle w:val="ListParagraph"/>
        <w:numPr>
          <w:ilvl w:val="0"/>
          <w:numId w:val="5"/>
        </w:numPr>
        <w:spacing w:line="360" w:lineRule="auto"/>
        <w:jc w:val="both"/>
        <w:rPr>
          <w:rFonts w:ascii="Arial" w:hAnsi="Arial" w:cs="Arial"/>
          <w:sz w:val="24"/>
          <w:szCs w:val="24"/>
        </w:rPr>
      </w:pPr>
      <w:r>
        <w:rPr>
          <w:rFonts w:ascii="Arial" w:hAnsi="Arial" w:cs="Arial"/>
          <w:sz w:val="24"/>
          <w:szCs w:val="24"/>
        </w:rPr>
        <w:t>Race</w:t>
      </w:r>
    </w:p>
    <w:p w:rsidR="0075753B" w:rsidRDefault="0075753B" w:rsidP="0075753B">
      <w:pPr>
        <w:spacing w:line="360" w:lineRule="auto"/>
        <w:jc w:val="both"/>
        <w:rPr>
          <w:rFonts w:ascii="Arial" w:hAnsi="Arial" w:cs="Arial"/>
          <w:sz w:val="24"/>
          <w:szCs w:val="24"/>
        </w:rPr>
      </w:pPr>
      <w:r>
        <w:rPr>
          <w:rFonts w:ascii="Arial" w:hAnsi="Arial" w:cs="Arial"/>
          <w:sz w:val="24"/>
          <w:szCs w:val="24"/>
        </w:rPr>
        <w:t>Racial minorities have served for many years in the British military</w:t>
      </w:r>
      <w:r>
        <w:rPr>
          <w:rStyle w:val="FootnoteReference"/>
          <w:rFonts w:ascii="Arial" w:hAnsi="Arial" w:cs="Arial"/>
          <w:sz w:val="24"/>
          <w:szCs w:val="24"/>
        </w:rPr>
        <w:footnoteReference w:id="64"/>
      </w:r>
      <w:r>
        <w:rPr>
          <w:rFonts w:ascii="Arial" w:hAnsi="Arial" w:cs="Arial"/>
          <w:sz w:val="24"/>
          <w:szCs w:val="24"/>
        </w:rPr>
        <w:t xml:space="preserve"> but only since the Race Relations Act 1976</w:t>
      </w:r>
      <w:r>
        <w:rPr>
          <w:rStyle w:val="FootnoteReference"/>
          <w:rFonts w:ascii="Arial" w:hAnsi="Arial" w:cs="Arial"/>
          <w:sz w:val="24"/>
          <w:szCs w:val="24"/>
        </w:rPr>
        <w:footnoteReference w:id="65"/>
      </w:r>
      <w:r>
        <w:rPr>
          <w:rFonts w:ascii="Arial" w:hAnsi="Arial" w:cs="Arial"/>
          <w:sz w:val="24"/>
          <w:szCs w:val="24"/>
        </w:rPr>
        <w:t xml:space="preserve"> </w:t>
      </w:r>
      <w:r w:rsidR="00394FF7">
        <w:rPr>
          <w:rFonts w:ascii="Arial" w:hAnsi="Arial" w:cs="Arial"/>
          <w:sz w:val="24"/>
          <w:szCs w:val="24"/>
        </w:rPr>
        <w:t>w</w:t>
      </w:r>
      <w:r w:rsidR="00346683">
        <w:rPr>
          <w:rFonts w:ascii="Arial" w:hAnsi="Arial" w:cs="Arial"/>
          <w:sz w:val="24"/>
          <w:szCs w:val="24"/>
        </w:rPr>
        <w:t>as</w:t>
      </w:r>
      <w:r>
        <w:rPr>
          <w:rFonts w:ascii="Arial" w:hAnsi="Arial" w:cs="Arial"/>
          <w:sz w:val="24"/>
          <w:szCs w:val="24"/>
        </w:rPr>
        <w:t xml:space="preserve"> there a duty on the armed forces not to discriminate against individuals on the basis of their race. Concerns grew through the 1980s and 1990s over reports of racial bullying</w:t>
      </w:r>
      <w:r>
        <w:rPr>
          <w:rStyle w:val="FootnoteReference"/>
          <w:rFonts w:ascii="Arial" w:hAnsi="Arial" w:cs="Arial"/>
          <w:sz w:val="24"/>
          <w:szCs w:val="24"/>
        </w:rPr>
        <w:footnoteReference w:id="66"/>
      </w:r>
      <w:r>
        <w:rPr>
          <w:rFonts w:ascii="Arial" w:hAnsi="Arial" w:cs="Arial"/>
          <w:sz w:val="24"/>
          <w:szCs w:val="24"/>
        </w:rPr>
        <w:t>, evidenced by the Commission for Racial Equality’s critical investigation into the Household Cavalry</w:t>
      </w:r>
      <w:r>
        <w:rPr>
          <w:rStyle w:val="FootnoteReference"/>
          <w:rFonts w:ascii="Arial" w:hAnsi="Arial" w:cs="Arial"/>
          <w:sz w:val="24"/>
          <w:szCs w:val="24"/>
        </w:rPr>
        <w:footnoteReference w:id="67"/>
      </w:r>
      <w:r>
        <w:rPr>
          <w:rFonts w:ascii="Arial" w:hAnsi="Arial" w:cs="Arial"/>
          <w:sz w:val="24"/>
          <w:szCs w:val="24"/>
        </w:rPr>
        <w:t xml:space="preserve"> and a number of cases</w:t>
      </w:r>
      <w:r>
        <w:rPr>
          <w:rStyle w:val="FootnoteReference"/>
          <w:rFonts w:ascii="Arial" w:hAnsi="Arial" w:cs="Arial"/>
          <w:sz w:val="24"/>
          <w:szCs w:val="24"/>
        </w:rPr>
        <w:footnoteReference w:id="68"/>
      </w:r>
      <w:r>
        <w:rPr>
          <w:rFonts w:ascii="Arial" w:hAnsi="Arial" w:cs="Arial"/>
          <w:sz w:val="24"/>
          <w:szCs w:val="24"/>
        </w:rPr>
        <w:t xml:space="preserve">. The result was an adoption first by the Defence Council of a Code of Practice on Race Relations in 1993, second a partnership agreement between the </w:t>
      </w:r>
      <w:r w:rsidR="00496118">
        <w:rPr>
          <w:rFonts w:ascii="Arial" w:hAnsi="Arial" w:cs="Arial"/>
          <w:sz w:val="24"/>
          <w:szCs w:val="24"/>
        </w:rPr>
        <w:t>MoD</w:t>
      </w:r>
      <w:r>
        <w:rPr>
          <w:rFonts w:ascii="Arial" w:hAnsi="Arial" w:cs="Arial"/>
          <w:sz w:val="24"/>
          <w:szCs w:val="24"/>
        </w:rPr>
        <w:t xml:space="preserve"> and the </w:t>
      </w:r>
      <w:r w:rsidR="0080740D">
        <w:rPr>
          <w:rFonts w:ascii="Arial" w:hAnsi="Arial" w:cs="Arial"/>
          <w:sz w:val="24"/>
          <w:szCs w:val="24"/>
        </w:rPr>
        <w:t>Commission for Racial Equality (</w:t>
      </w:r>
      <w:r>
        <w:rPr>
          <w:rFonts w:ascii="Arial" w:hAnsi="Arial" w:cs="Arial"/>
          <w:sz w:val="24"/>
          <w:szCs w:val="24"/>
        </w:rPr>
        <w:t>CRE</w:t>
      </w:r>
      <w:r w:rsidR="0080740D">
        <w:rPr>
          <w:rFonts w:ascii="Arial" w:hAnsi="Arial" w:cs="Arial"/>
          <w:sz w:val="24"/>
          <w:szCs w:val="24"/>
        </w:rPr>
        <w:t>)</w:t>
      </w:r>
      <w:r>
        <w:rPr>
          <w:rFonts w:ascii="Arial" w:hAnsi="Arial" w:cs="Arial"/>
          <w:sz w:val="24"/>
          <w:szCs w:val="24"/>
        </w:rPr>
        <w:t xml:space="preserve"> in 1998 and third the setting of ethnic minority recruitment goals for the first time in the Strategic Defence Review (SDR) in 1998. The White Paper attac</w:t>
      </w:r>
      <w:r w:rsidR="006456EC">
        <w:rPr>
          <w:rFonts w:ascii="Arial" w:hAnsi="Arial" w:cs="Arial"/>
          <w:sz w:val="24"/>
          <w:szCs w:val="24"/>
        </w:rPr>
        <w:t>hed to the SDR emphasised that ‘</w:t>
      </w:r>
      <w:r>
        <w:rPr>
          <w:rFonts w:ascii="Arial" w:hAnsi="Arial" w:cs="Arial"/>
          <w:sz w:val="24"/>
          <w:szCs w:val="24"/>
        </w:rPr>
        <w:t>the armed f</w:t>
      </w:r>
      <w:r w:rsidRPr="007F5316">
        <w:rPr>
          <w:rFonts w:ascii="Arial" w:hAnsi="Arial" w:cs="Arial"/>
          <w:sz w:val="24"/>
          <w:szCs w:val="24"/>
        </w:rPr>
        <w:t xml:space="preserve">orces will offer a worthwhile and rewarding career for all ethnic groups, both for men </w:t>
      </w:r>
      <w:r w:rsidRPr="007F5316">
        <w:rPr>
          <w:rFonts w:ascii="Arial" w:hAnsi="Arial" w:cs="Arial"/>
          <w:sz w:val="24"/>
          <w:szCs w:val="24"/>
        </w:rPr>
        <w:lastRenderedPageBreak/>
        <w:t>and women</w:t>
      </w:r>
      <w:r w:rsidR="006456EC">
        <w:rPr>
          <w:rFonts w:ascii="Arial" w:hAnsi="Arial" w:cs="Arial"/>
          <w:sz w:val="24"/>
          <w:szCs w:val="24"/>
        </w:rPr>
        <w:t>’</w:t>
      </w:r>
      <w:r>
        <w:rPr>
          <w:rStyle w:val="FootnoteReference"/>
          <w:rFonts w:ascii="Arial" w:hAnsi="Arial" w:cs="Arial"/>
          <w:sz w:val="24"/>
          <w:szCs w:val="24"/>
        </w:rPr>
        <w:footnoteReference w:id="69"/>
      </w:r>
      <w:r w:rsidR="006456EC">
        <w:rPr>
          <w:rFonts w:ascii="Arial" w:hAnsi="Arial" w:cs="Arial"/>
          <w:sz w:val="24"/>
          <w:szCs w:val="24"/>
        </w:rPr>
        <w:t>. Furthermore ‘</w:t>
      </w:r>
      <w:r>
        <w:rPr>
          <w:rFonts w:ascii="Arial" w:hAnsi="Arial" w:cs="Arial"/>
          <w:sz w:val="24"/>
          <w:szCs w:val="24"/>
        </w:rPr>
        <w:t>[w]</w:t>
      </w:r>
      <w:r w:rsidRPr="007F5316">
        <w:rPr>
          <w:rFonts w:ascii="Arial" w:hAnsi="Arial" w:cs="Arial"/>
          <w:sz w:val="24"/>
          <w:szCs w:val="24"/>
        </w:rPr>
        <w:t xml:space="preserve">e </w:t>
      </w:r>
      <w:proofErr w:type="gramStart"/>
      <w:r w:rsidRPr="007F5316">
        <w:rPr>
          <w:rFonts w:ascii="Arial" w:hAnsi="Arial" w:cs="Arial"/>
          <w:sz w:val="24"/>
          <w:szCs w:val="24"/>
        </w:rPr>
        <w:t>need</w:t>
      </w:r>
      <w:proofErr w:type="gramEnd"/>
      <w:r w:rsidRPr="007F5316">
        <w:rPr>
          <w:rFonts w:ascii="Arial" w:hAnsi="Arial" w:cs="Arial"/>
          <w:sz w:val="24"/>
          <w:szCs w:val="24"/>
        </w:rPr>
        <w:t xml:space="preserve"> to recruit high quality adaptable people in a rapidly changing society. We will be putting additional emphasis on recruiting and adapting our</w:t>
      </w:r>
      <w:r>
        <w:rPr>
          <w:rFonts w:ascii="Arial" w:hAnsi="Arial" w:cs="Arial"/>
          <w:sz w:val="24"/>
          <w:szCs w:val="24"/>
        </w:rPr>
        <w:t xml:space="preserve"> </w:t>
      </w:r>
      <w:r w:rsidRPr="007F5316">
        <w:rPr>
          <w:rFonts w:ascii="Arial" w:hAnsi="Arial" w:cs="Arial"/>
          <w:sz w:val="24"/>
          <w:szCs w:val="24"/>
        </w:rPr>
        <w:t>approach to better reach all sections of the community. We are particularly anxious to recruit more from the ethnic minorities and more women, whose potential we have not fully tapped.</w:t>
      </w:r>
      <w:r w:rsidR="006456EC">
        <w:rPr>
          <w:rFonts w:ascii="Arial" w:hAnsi="Arial" w:cs="Arial"/>
          <w:sz w:val="24"/>
          <w:szCs w:val="24"/>
        </w:rPr>
        <w:t>’</w:t>
      </w:r>
      <w:r>
        <w:rPr>
          <w:rStyle w:val="FootnoteReference"/>
          <w:rFonts w:ascii="Arial" w:hAnsi="Arial" w:cs="Arial"/>
          <w:sz w:val="24"/>
          <w:szCs w:val="24"/>
        </w:rPr>
        <w:footnoteReference w:id="70"/>
      </w:r>
      <w:r>
        <w:rPr>
          <w:rFonts w:ascii="Arial" w:hAnsi="Arial" w:cs="Arial"/>
          <w:sz w:val="24"/>
          <w:szCs w:val="24"/>
        </w:rPr>
        <w:t xml:space="preserve"> Supporting Essay No 9 was more explicit as to the relationship between society and the military</w:t>
      </w:r>
      <w:r w:rsidR="006456EC">
        <w:rPr>
          <w:rFonts w:ascii="Arial" w:hAnsi="Arial" w:cs="Arial"/>
          <w:sz w:val="24"/>
          <w:szCs w:val="24"/>
        </w:rPr>
        <w:t xml:space="preserve"> requiring the armed forces to ‘</w:t>
      </w:r>
      <w:r w:rsidRPr="00B627E2">
        <w:rPr>
          <w:rFonts w:ascii="Arial" w:hAnsi="Arial" w:cs="Arial"/>
          <w:sz w:val="24"/>
          <w:szCs w:val="24"/>
        </w:rPr>
        <w:t>embrace all sections of the community,</w:t>
      </w:r>
      <w:r>
        <w:rPr>
          <w:rFonts w:ascii="Arial" w:hAnsi="Arial" w:cs="Arial"/>
          <w:sz w:val="24"/>
          <w:szCs w:val="24"/>
        </w:rPr>
        <w:t xml:space="preserve"> irrespective of gender or </w:t>
      </w:r>
      <w:r w:rsidR="006456EC">
        <w:rPr>
          <w:rFonts w:ascii="Arial" w:hAnsi="Arial" w:cs="Arial"/>
          <w:sz w:val="24"/>
          <w:szCs w:val="24"/>
        </w:rPr>
        <w:t>race’</w:t>
      </w:r>
      <w:r>
        <w:rPr>
          <w:rStyle w:val="FootnoteReference"/>
          <w:rFonts w:ascii="Arial" w:hAnsi="Arial" w:cs="Arial"/>
          <w:sz w:val="24"/>
          <w:szCs w:val="24"/>
        </w:rPr>
        <w:footnoteReference w:id="71"/>
      </w:r>
      <w:r>
        <w:rPr>
          <w:rFonts w:ascii="Arial" w:hAnsi="Arial" w:cs="Arial"/>
          <w:sz w:val="24"/>
          <w:szCs w:val="24"/>
        </w:rPr>
        <w:t>. For ethnic minorities the aim was to increase numbers by 1% each year until eventually the composition of the armed forces reflected that of the population as a whole</w:t>
      </w:r>
      <w:r>
        <w:rPr>
          <w:rStyle w:val="FootnoteReference"/>
          <w:rFonts w:ascii="Arial" w:hAnsi="Arial" w:cs="Arial"/>
          <w:sz w:val="24"/>
          <w:szCs w:val="24"/>
        </w:rPr>
        <w:footnoteReference w:id="72"/>
      </w:r>
      <w:r>
        <w:rPr>
          <w:rFonts w:ascii="Arial" w:hAnsi="Arial" w:cs="Arial"/>
          <w:sz w:val="24"/>
          <w:szCs w:val="24"/>
        </w:rPr>
        <w:t>. Finally the strategy was und</w:t>
      </w:r>
      <w:r w:rsidR="006456EC">
        <w:rPr>
          <w:rFonts w:ascii="Arial" w:hAnsi="Arial" w:cs="Arial"/>
          <w:sz w:val="24"/>
          <w:szCs w:val="24"/>
        </w:rPr>
        <w:t>erlined by an overarching goal ‘</w:t>
      </w:r>
      <w:r w:rsidRPr="00B627E2">
        <w:rPr>
          <w:rFonts w:ascii="Arial" w:hAnsi="Arial" w:cs="Arial"/>
          <w:sz w:val="24"/>
          <w:szCs w:val="24"/>
        </w:rPr>
        <w:t xml:space="preserve">to put in place modern and fair </w:t>
      </w:r>
      <w:r>
        <w:rPr>
          <w:rFonts w:ascii="Arial" w:hAnsi="Arial" w:cs="Arial"/>
          <w:sz w:val="24"/>
          <w:szCs w:val="24"/>
        </w:rPr>
        <w:t>policies which ensure that the a</w:t>
      </w:r>
      <w:r w:rsidRPr="00B627E2">
        <w:rPr>
          <w:rFonts w:ascii="Arial" w:hAnsi="Arial" w:cs="Arial"/>
          <w:sz w:val="24"/>
          <w:szCs w:val="24"/>
        </w:rPr>
        <w:t xml:space="preserve">rmed </w:t>
      </w:r>
      <w:r>
        <w:rPr>
          <w:rFonts w:ascii="Arial" w:hAnsi="Arial" w:cs="Arial"/>
          <w:sz w:val="24"/>
          <w:szCs w:val="24"/>
        </w:rPr>
        <w:t>f</w:t>
      </w:r>
      <w:r w:rsidR="00496118">
        <w:rPr>
          <w:rFonts w:ascii="Arial" w:hAnsi="Arial" w:cs="Arial"/>
          <w:sz w:val="24"/>
          <w:szCs w:val="24"/>
        </w:rPr>
        <w:t>orces and the Mo</w:t>
      </w:r>
      <w:r w:rsidRPr="00B627E2">
        <w:rPr>
          <w:rFonts w:ascii="Arial" w:hAnsi="Arial" w:cs="Arial"/>
          <w:sz w:val="24"/>
          <w:szCs w:val="24"/>
        </w:rPr>
        <w:t>D attract and retain the right people and truly reflect the society they serve.</w:t>
      </w:r>
      <w:r w:rsidR="006456EC">
        <w:rPr>
          <w:rFonts w:ascii="Arial" w:hAnsi="Arial" w:cs="Arial"/>
          <w:sz w:val="24"/>
          <w:szCs w:val="24"/>
        </w:rPr>
        <w:t>’</w:t>
      </w:r>
      <w:r>
        <w:rPr>
          <w:rStyle w:val="FootnoteReference"/>
          <w:rFonts w:ascii="Arial" w:hAnsi="Arial" w:cs="Arial"/>
          <w:sz w:val="24"/>
          <w:szCs w:val="24"/>
        </w:rPr>
        <w:footnoteReference w:id="73"/>
      </w:r>
    </w:p>
    <w:p w:rsidR="0075753B" w:rsidRDefault="0075753B" w:rsidP="0075753B">
      <w:pPr>
        <w:spacing w:line="360" w:lineRule="auto"/>
        <w:jc w:val="both"/>
        <w:rPr>
          <w:rFonts w:ascii="Arial" w:hAnsi="Arial" w:cs="Arial"/>
          <w:sz w:val="24"/>
          <w:szCs w:val="24"/>
        </w:rPr>
      </w:pPr>
    </w:p>
    <w:p w:rsidR="0075753B" w:rsidRDefault="0075753B" w:rsidP="0075753B">
      <w:pPr>
        <w:spacing w:line="360" w:lineRule="auto"/>
        <w:jc w:val="both"/>
        <w:rPr>
          <w:rFonts w:ascii="Arial" w:hAnsi="Arial" w:cs="Arial"/>
          <w:sz w:val="24"/>
          <w:szCs w:val="24"/>
        </w:rPr>
      </w:pPr>
      <w:r>
        <w:rPr>
          <w:rFonts w:ascii="Arial" w:hAnsi="Arial" w:cs="Arial"/>
          <w:sz w:val="24"/>
          <w:szCs w:val="24"/>
        </w:rPr>
        <w:t>Therefore by the turn of the 21</w:t>
      </w:r>
      <w:r w:rsidRPr="0034065A">
        <w:rPr>
          <w:rFonts w:ascii="Arial" w:hAnsi="Arial" w:cs="Arial"/>
          <w:sz w:val="24"/>
          <w:szCs w:val="24"/>
          <w:vertAlign w:val="superscript"/>
        </w:rPr>
        <w:t>st</w:t>
      </w:r>
      <w:r>
        <w:rPr>
          <w:rFonts w:ascii="Arial" w:hAnsi="Arial" w:cs="Arial"/>
          <w:sz w:val="24"/>
          <w:szCs w:val="24"/>
        </w:rPr>
        <w:t xml:space="preserve"> Century the military policy for racial minorities had evolved from one of equal opportunities to one of diversity. In the early 2000s Dandeker and Mason</w:t>
      </w:r>
      <w:r>
        <w:rPr>
          <w:rStyle w:val="FootnoteReference"/>
          <w:rFonts w:ascii="Arial" w:hAnsi="Arial" w:cs="Arial"/>
          <w:sz w:val="24"/>
          <w:szCs w:val="24"/>
        </w:rPr>
        <w:footnoteReference w:id="74"/>
      </w:r>
      <w:r>
        <w:rPr>
          <w:rFonts w:ascii="Arial" w:hAnsi="Arial" w:cs="Arial"/>
          <w:sz w:val="24"/>
          <w:szCs w:val="24"/>
        </w:rPr>
        <w:t xml:space="preserve"> considered the situation of race and the military whilst Hussain and Ishaq</w:t>
      </w:r>
      <w:r>
        <w:rPr>
          <w:rStyle w:val="FootnoteReference"/>
          <w:rFonts w:ascii="Arial" w:hAnsi="Arial" w:cs="Arial"/>
          <w:sz w:val="24"/>
          <w:szCs w:val="24"/>
        </w:rPr>
        <w:footnoteReference w:id="75"/>
      </w:r>
      <w:r>
        <w:rPr>
          <w:rFonts w:ascii="Arial" w:hAnsi="Arial" w:cs="Arial"/>
          <w:sz w:val="24"/>
          <w:szCs w:val="24"/>
        </w:rPr>
        <w:t xml:space="preserve"> conducted empirical research into attitudes of civilian racial minorities towards the armed forces</w:t>
      </w:r>
      <w:r w:rsidR="00346683">
        <w:rPr>
          <w:rFonts w:ascii="Arial" w:hAnsi="Arial" w:cs="Arial"/>
          <w:sz w:val="24"/>
          <w:szCs w:val="24"/>
        </w:rPr>
        <w:t>. The latter research identifie</w:t>
      </w:r>
      <w:r>
        <w:rPr>
          <w:rFonts w:ascii="Arial" w:hAnsi="Arial" w:cs="Arial"/>
          <w:sz w:val="24"/>
          <w:szCs w:val="24"/>
        </w:rPr>
        <w:t xml:space="preserve">d reasons against joining the military </w:t>
      </w:r>
      <w:r w:rsidR="0080740D">
        <w:rPr>
          <w:rFonts w:ascii="Arial" w:hAnsi="Arial" w:cs="Arial"/>
          <w:sz w:val="24"/>
          <w:szCs w:val="24"/>
        </w:rPr>
        <w:t xml:space="preserve">which </w:t>
      </w:r>
      <w:r>
        <w:rPr>
          <w:rFonts w:ascii="Arial" w:hAnsi="Arial" w:cs="Arial"/>
          <w:sz w:val="24"/>
          <w:szCs w:val="24"/>
        </w:rPr>
        <w:t xml:space="preserve">included: perceived racism in the armed forces; the nature </w:t>
      </w:r>
      <w:r>
        <w:rPr>
          <w:rFonts w:ascii="Arial" w:hAnsi="Arial" w:cs="Arial"/>
          <w:sz w:val="24"/>
          <w:szCs w:val="24"/>
        </w:rPr>
        <w:lastRenderedPageBreak/>
        <w:t>of a military career; a tendency to prioritise further and higher education over a service career; and religious and cultural considerations. It</w:t>
      </w:r>
      <w:r w:rsidR="00346683">
        <w:rPr>
          <w:rFonts w:ascii="Arial" w:hAnsi="Arial" w:cs="Arial"/>
          <w:sz w:val="24"/>
          <w:szCs w:val="24"/>
        </w:rPr>
        <w:t xml:space="preserve"> should be noted that this</w:t>
      </w:r>
      <w:r>
        <w:rPr>
          <w:rFonts w:ascii="Arial" w:hAnsi="Arial" w:cs="Arial"/>
          <w:sz w:val="24"/>
          <w:szCs w:val="24"/>
        </w:rPr>
        <w:t xml:space="preserve"> research was conducted with a small statistical sample and before the 9/11 or 7/7 terrorist attacks.</w:t>
      </w:r>
    </w:p>
    <w:p w:rsidR="0075753B" w:rsidRDefault="0075753B" w:rsidP="0075753B">
      <w:pPr>
        <w:spacing w:line="360" w:lineRule="auto"/>
        <w:jc w:val="both"/>
        <w:rPr>
          <w:rFonts w:ascii="Arial" w:hAnsi="Arial" w:cs="Arial"/>
          <w:sz w:val="24"/>
          <w:szCs w:val="24"/>
        </w:rPr>
      </w:pPr>
    </w:p>
    <w:p w:rsidR="00753B2C" w:rsidRDefault="0075753B" w:rsidP="0075753B">
      <w:pPr>
        <w:spacing w:line="360" w:lineRule="auto"/>
        <w:jc w:val="both"/>
        <w:rPr>
          <w:rFonts w:ascii="Arial" w:hAnsi="Arial" w:cs="Arial"/>
          <w:sz w:val="24"/>
          <w:szCs w:val="24"/>
        </w:rPr>
      </w:pPr>
      <w:r>
        <w:rPr>
          <w:rFonts w:ascii="Arial" w:hAnsi="Arial" w:cs="Arial"/>
          <w:sz w:val="24"/>
          <w:szCs w:val="24"/>
        </w:rPr>
        <w:t>To help achieve the g</w:t>
      </w:r>
      <w:r w:rsidR="0080740D">
        <w:rPr>
          <w:rFonts w:ascii="Arial" w:hAnsi="Arial" w:cs="Arial"/>
          <w:sz w:val="24"/>
          <w:szCs w:val="24"/>
        </w:rPr>
        <w:t xml:space="preserve">oals set out in the </w:t>
      </w:r>
      <w:r>
        <w:rPr>
          <w:rFonts w:ascii="Arial" w:hAnsi="Arial" w:cs="Arial"/>
          <w:sz w:val="24"/>
          <w:szCs w:val="24"/>
        </w:rPr>
        <w:t>S</w:t>
      </w:r>
      <w:r w:rsidR="007756D6">
        <w:rPr>
          <w:rFonts w:ascii="Arial" w:hAnsi="Arial" w:cs="Arial"/>
          <w:sz w:val="24"/>
          <w:szCs w:val="24"/>
        </w:rPr>
        <w:t>DR, the Mo</w:t>
      </w:r>
      <w:r>
        <w:rPr>
          <w:rFonts w:ascii="Arial" w:hAnsi="Arial" w:cs="Arial"/>
          <w:sz w:val="24"/>
          <w:szCs w:val="24"/>
        </w:rPr>
        <w:t>D set in place three year Equality Schemes first published in 2002 (only for race) for 2002-2005</w:t>
      </w:r>
      <w:r>
        <w:rPr>
          <w:rStyle w:val="FootnoteReference"/>
          <w:rFonts w:ascii="Arial" w:hAnsi="Arial" w:cs="Arial"/>
          <w:sz w:val="24"/>
          <w:szCs w:val="24"/>
        </w:rPr>
        <w:footnoteReference w:id="76"/>
      </w:r>
      <w:r>
        <w:rPr>
          <w:rFonts w:ascii="Arial" w:hAnsi="Arial" w:cs="Arial"/>
          <w:sz w:val="24"/>
          <w:szCs w:val="24"/>
        </w:rPr>
        <w:t>, then 2006-2009</w:t>
      </w:r>
      <w:r>
        <w:rPr>
          <w:rStyle w:val="FootnoteReference"/>
          <w:rFonts w:ascii="Arial" w:hAnsi="Arial" w:cs="Arial"/>
          <w:sz w:val="24"/>
          <w:szCs w:val="24"/>
        </w:rPr>
        <w:footnoteReference w:id="77"/>
      </w:r>
      <w:r>
        <w:rPr>
          <w:rFonts w:ascii="Arial" w:hAnsi="Arial" w:cs="Arial"/>
          <w:sz w:val="24"/>
          <w:szCs w:val="24"/>
        </w:rPr>
        <w:t>, which was then superseded by the scheme for 2008-2011</w:t>
      </w:r>
      <w:r>
        <w:rPr>
          <w:rStyle w:val="FootnoteReference"/>
          <w:rFonts w:ascii="Arial" w:hAnsi="Arial" w:cs="Arial"/>
          <w:sz w:val="24"/>
          <w:szCs w:val="24"/>
        </w:rPr>
        <w:footnoteReference w:id="78"/>
      </w:r>
      <w:r>
        <w:rPr>
          <w:rFonts w:ascii="Arial" w:hAnsi="Arial" w:cs="Arial"/>
          <w:sz w:val="24"/>
          <w:szCs w:val="24"/>
        </w:rPr>
        <w:t xml:space="preserve">. </w:t>
      </w:r>
      <w:r w:rsidR="00D86731">
        <w:rPr>
          <w:rFonts w:ascii="Arial" w:hAnsi="Arial" w:cs="Arial"/>
          <w:sz w:val="24"/>
          <w:szCs w:val="24"/>
        </w:rPr>
        <w:t xml:space="preserve">No new scheme has been published for 2012 and beyond. </w:t>
      </w:r>
      <w:r>
        <w:rPr>
          <w:rFonts w:ascii="Arial" w:hAnsi="Arial" w:cs="Arial"/>
          <w:sz w:val="24"/>
          <w:szCs w:val="24"/>
        </w:rPr>
        <w:t xml:space="preserve">Furthermore Annual Reports </w:t>
      </w:r>
      <w:r w:rsidR="0080740D">
        <w:rPr>
          <w:rFonts w:ascii="Arial" w:hAnsi="Arial" w:cs="Arial"/>
          <w:sz w:val="24"/>
          <w:szCs w:val="24"/>
        </w:rPr>
        <w:t>were</w:t>
      </w:r>
      <w:r>
        <w:rPr>
          <w:rFonts w:ascii="Arial" w:hAnsi="Arial" w:cs="Arial"/>
          <w:sz w:val="24"/>
          <w:szCs w:val="24"/>
        </w:rPr>
        <w:t xml:space="preserve"> </w:t>
      </w:r>
      <w:r w:rsidR="00753B2C">
        <w:rPr>
          <w:rFonts w:ascii="Arial" w:hAnsi="Arial" w:cs="Arial"/>
          <w:sz w:val="24"/>
          <w:szCs w:val="24"/>
        </w:rPr>
        <w:t>produced</w:t>
      </w:r>
      <w:r>
        <w:rPr>
          <w:rFonts w:ascii="Arial" w:hAnsi="Arial" w:cs="Arial"/>
          <w:sz w:val="24"/>
          <w:szCs w:val="24"/>
        </w:rPr>
        <w:t xml:space="preserve"> with policy aims and objectives and detailed statistics</w:t>
      </w:r>
      <w:r>
        <w:rPr>
          <w:rStyle w:val="FootnoteReference"/>
          <w:rFonts w:ascii="Arial" w:hAnsi="Arial" w:cs="Arial"/>
          <w:sz w:val="24"/>
          <w:szCs w:val="24"/>
        </w:rPr>
        <w:footnoteReference w:id="79"/>
      </w:r>
      <w:r w:rsidR="00B30072">
        <w:rPr>
          <w:rFonts w:ascii="Arial" w:hAnsi="Arial" w:cs="Arial"/>
          <w:sz w:val="24"/>
          <w:szCs w:val="24"/>
        </w:rPr>
        <w:t xml:space="preserve">, although no report was </w:t>
      </w:r>
      <w:r w:rsidR="00753B2C">
        <w:rPr>
          <w:rFonts w:ascii="Arial" w:hAnsi="Arial" w:cs="Arial"/>
          <w:sz w:val="24"/>
          <w:szCs w:val="24"/>
        </w:rPr>
        <w:t>published</w:t>
      </w:r>
      <w:r w:rsidR="00B30072">
        <w:rPr>
          <w:rFonts w:ascii="Arial" w:hAnsi="Arial" w:cs="Arial"/>
          <w:sz w:val="24"/>
          <w:szCs w:val="24"/>
        </w:rPr>
        <w:t xml:space="preserve"> for the reporting period of May 2010 to April 2011 and any further inform</w:t>
      </w:r>
      <w:r w:rsidR="007756D6">
        <w:rPr>
          <w:rFonts w:ascii="Arial" w:hAnsi="Arial" w:cs="Arial"/>
          <w:sz w:val="24"/>
          <w:szCs w:val="24"/>
        </w:rPr>
        <w:t>ation will be provided on the Mo</w:t>
      </w:r>
      <w:r w:rsidR="00B30072">
        <w:rPr>
          <w:rFonts w:ascii="Arial" w:hAnsi="Arial" w:cs="Arial"/>
          <w:sz w:val="24"/>
          <w:szCs w:val="24"/>
        </w:rPr>
        <w:t>D website</w:t>
      </w:r>
      <w:r w:rsidR="00753B2C">
        <w:rPr>
          <w:rFonts w:ascii="Arial" w:hAnsi="Arial" w:cs="Arial"/>
          <w:sz w:val="24"/>
          <w:szCs w:val="24"/>
        </w:rPr>
        <w:t xml:space="preserve"> rather than in the annual reports</w:t>
      </w:r>
      <w:r w:rsidR="00B30072">
        <w:rPr>
          <w:rFonts w:ascii="Arial" w:hAnsi="Arial" w:cs="Arial"/>
          <w:sz w:val="24"/>
          <w:szCs w:val="24"/>
        </w:rPr>
        <w:t>.</w:t>
      </w:r>
      <w:r>
        <w:rPr>
          <w:rFonts w:ascii="Arial" w:hAnsi="Arial" w:cs="Arial"/>
          <w:sz w:val="24"/>
          <w:szCs w:val="24"/>
        </w:rPr>
        <w:t xml:space="preserve"> </w:t>
      </w:r>
    </w:p>
    <w:p w:rsidR="00753B2C" w:rsidRDefault="00753B2C" w:rsidP="0075753B">
      <w:pPr>
        <w:spacing w:line="360" w:lineRule="auto"/>
        <w:jc w:val="both"/>
        <w:rPr>
          <w:rFonts w:ascii="Arial" w:hAnsi="Arial" w:cs="Arial"/>
          <w:sz w:val="24"/>
          <w:szCs w:val="24"/>
        </w:rPr>
      </w:pPr>
    </w:p>
    <w:p w:rsidR="0075753B" w:rsidRDefault="007756D6" w:rsidP="0075753B">
      <w:pPr>
        <w:spacing w:line="360" w:lineRule="auto"/>
        <w:jc w:val="both"/>
        <w:rPr>
          <w:rFonts w:ascii="Arial" w:hAnsi="Arial" w:cs="Arial"/>
          <w:sz w:val="24"/>
          <w:szCs w:val="24"/>
        </w:rPr>
      </w:pPr>
      <w:r>
        <w:rPr>
          <w:rFonts w:ascii="Arial" w:hAnsi="Arial" w:cs="Arial"/>
          <w:sz w:val="24"/>
          <w:szCs w:val="24"/>
        </w:rPr>
        <w:t>These Mo</w:t>
      </w:r>
      <w:r w:rsidR="0075753B">
        <w:rPr>
          <w:rFonts w:ascii="Arial" w:hAnsi="Arial" w:cs="Arial"/>
          <w:sz w:val="24"/>
          <w:szCs w:val="24"/>
        </w:rPr>
        <w:t xml:space="preserve">D reports on Equality and Diversity point out the increasing percentage of racial minority representation, from 1% in 1999 to 6.6% in 2010 (3.4% for the Royal Navy, 9.4% for the Army and 2.1% for the RAF). However, it should also be noted </w:t>
      </w:r>
      <w:r w:rsidR="0075753B">
        <w:rPr>
          <w:rFonts w:ascii="Arial" w:hAnsi="Arial" w:cs="Arial"/>
          <w:sz w:val="24"/>
          <w:szCs w:val="24"/>
        </w:rPr>
        <w:lastRenderedPageBreak/>
        <w:t>that much of this recruitment is made up of individuals from Commonwealth countries rather than recruitment from British racial minorities, with 6.3% of the Army’s 9.4% coming from Foreign and Commonwealth countries. Therefore the actual percentage of UK racial minorities in the Army is 3.1%. All three services have a long way to go before they achieve the aim of 8%</w:t>
      </w:r>
      <w:r w:rsidR="0075753B">
        <w:rPr>
          <w:rStyle w:val="FootnoteReference"/>
          <w:rFonts w:ascii="Arial" w:hAnsi="Arial" w:cs="Arial"/>
          <w:sz w:val="24"/>
          <w:szCs w:val="24"/>
        </w:rPr>
        <w:footnoteReference w:id="80"/>
      </w:r>
      <w:r w:rsidR="0075753B">
        <w:rPr>
          <w:rFonts w:ascii="Arial" w:hAnsi="Arial" w:cs="Arial"/>
          <w:sz w:val="24"/>
          <w:szCs w:val="24"/>
        </w:rPr>
        <w:t xml:space="preserve"> of UK racial minorities employed within the military as the recent case of </w:t>
      </w:r>
      <w:r w:rsidR="0075753B" w:rsidRPr="00EE5957">
        <w:rPr>
          <w:rFonts w:ascii="Arial" w:hAnsi="Arial" w:cs="Arial"/>
          <w:i/>
          <w:sz w:val="24"/>
          <w:szCs w:val="24"/>
        </w:rPr>
        <w:t>DeBique</w:t>
      </w:r>
      <w:r w:rsidR="0075753B" w:rsidRPr="0084342F">
        <w:rPr>
          <w:rStyle w:val="FootnoteReference"/>
          <w:rFonts w:ascii="Arial" w:hAnsi="Arial" w:cs="Arial"/>
          <w:sz w:val="24"/>
          <w:szCs w:val="24"/>
        </w:rPr>
        <w:footnoteReference w:id="81"/>
      </w:r>
      <w:r w:rsidR="0075753B">
        <w:rPr>
          <w:rFonts w:ascii="Arial" w:hAnsi="Arial" w:cs="Arial"/>
          <w:sz w:val="24"/>
          <w:szCs w:val="24"/>
        </w:rPr>
        <w:t xml:space="preserve"> demonstrates.</w:t>
      </w:r>
    </w:p>
    <w:p w:rsidR="0075753B" w:rsidRDefault="0075753B" w:rsidP="0075753B">
      <w:pPr>
        <w:pStyle w:val="ListParagraph"/>
        <w:numPr>
          <w:ilvl w:val="0"/>
          <w:numId w:val="5"/>
        </w:numPr>
        <w:spacing w:line="360" w:lineRule="auto"/>
        <w:jc w:val="both"/>
        <w:rPr>
          <w:rFonts w:ascii="Arial" w:hAnsi="Arial" w:cs="Arial"/>
          <w:sz w:val="24"/>
          <w:szCs w:val="24"/>
        </w:rPr>
      </w:pPr>
      <w:r>
        <w:rPr>
          <w:rFonts w:ascii="Arial" w:hAnsi="Arial" w:cs="Arial"/>
          <w:sz w:val="24"/>
          <w:szCs w:val="24"/>
        </w:rPr>
        <w:t>Sex</w:t>
      </w:r>
    </w:p>
    <w:p w:rsidR="0075753B" w:rsidRDefault="0075753B" w:rsidP="0075753B">
      <w:pPr>
        <w:spacing w:line="360" w:lineRule="auto"/>
        <w:jc w:val="both"/>
        <w:rPr>
          <w:rFonts w:ascii="Arial" w:hAnsi="Arial" w:cs="Arial"/>
          <w:sz w:val="24"/>
          <w:szCs w:val="24"/>
        </w:rPr>
      </w:pPr>
      <w:r>
        <w:rPr>
          <w:rFonts w:ascii="Arial" w:hAnsi="Arial" w:cs="Arial"/>
          <w:sz w:val="24"/>
          <w:szCs w:val="24"/>
        </w:rPr>
        <w:t>Women have served in the UK armed</w:t>
      </w:r>
      <w:r w:rsidR="006456EC">
        <w:rPr>
          <w:rFonts w:ascii="Arial" w:hAnsi="Arial" w:cs="Arial"/>
          <w:sz w:val="24"/>
          <w:szCs w:val="24"/>
        </w:rPr>
        <w:t xml:space="preserve"> forces for many years but the Women’s Services</w:t>
      </w:r>
      <w:r>
        <w:rPr>
          <w:rFonts w:ascii="Arial" w:hAnsi="Arial" w:cs="Arial"/>
          <w:sz w:val="24"/>
          <w:szCs w:val="24"/>
        </w:rPr>
        <w:t xml:space="preserve"> only became permanently established after World War II</w:t>
      </w:r>
      <w:r>
        <w:rPr>
          <w:rStyle w:val="FootnoteReference"/>
          <w:rFonts w:ascii="Arial" w:hAnsi="Arial" w:cs="Arial"/>
          <w:sz w:val="24"/>
          <w:szCs w:val="24"/>
        </w:rPr>
        <w:footnoteReference w:id="82"/>
      </w:r>
      <w:r>
        <w:rPr>
          <w:rFonts w:ascii="Arial" w:hAnsi="Arial" w:cs="Arial"/>
          <w:sz w:val="24"/>
          <w:szCs w:val="24"/>
        </w:rPr>
        <w:t xml:space="preserve">. These services, as can be gathered by their name, meant that women served separately to men in highly limited and </w:t>
      </w:r>
      <w:r w:rsidR="006456EC">
        <w:rPr>
          <w:rFonts w:ascii="Arial" w:hAnsi="Arial" w:cs="Arial"/>
          <w:sz w:val="24"/>
          <w:szCs w:val="24"/>
        </w:rPr>
        <w:t>‘safe’</w:t>
      </w:r>
      <w:r>
        <w:rPr>
          <w:rFonts w:ascii="Arial" w:hAnsi="Arial" w:cs="Arial"/>
          <w:sz w:val="24"/>
          <w:szCs w:val="24"/>
        </w:rPr>
        <w:t xml:space="preserve"> capacities. In the early 1990s a major change occurred with the Women’s Services being disbanded in 1994 and women becoming fully integrated in the Navy, Army and RAF. In 1997 the Secretary of State for Defence announced the opening up of job opportunities for women so that today 73% of jobs are open to women in the Navy, 70% in the Army and 96% in the RAF. The most recent figures for the percentage of women serving in the military are 9.5% in 2009 and 9.6% in 2010, a long way from the fairly 50-50 split of men and women in UK society in general.</w:t>
      </w:r>
    </w:p>
    <w:p w:rsidR="0075753B" w:rsidRDefault="0075753B" w:rsidP="0075753B">
      <w:pPr>
        <w:spacing w:line="360" w:lineRule="auto"/>
        <w:jc w:val="both"/>
        <w:rPr>
          <w:rFonts w:ascii="Arial" w:hAnsi="Arial" w:cs="Arial"/>
          <w:sz w:val="24"/>
          <w:szCs w:val="24"/>
        </w:rPr>
      </w:pPr>
    </w:p>
    <w:p w:rsidR="0075753B" w:rsidRPr="00024002" w:rsidRDefault="0075753B" w:rsidP="0075753B">
      <w:pPr>
        <w:spacing w:line="360" w:lineRule="auto"/>
        <w:jc w:val="both"/>
        <w:rPr>
          <w:rFonts w:ascii="Arial" w:hAnsi="Arial" w:cs="Arial"/>
          <w:sz w:val="24"/>
          <w:szCs w:val="24"/>
        </w:rPr>
      </w:pPr>
      <w:r>
        <w:rPr>
          <w:rFonts w:ascii="Arial" w:hAnsi="Arial" w:cs="Arial"/>
          <w:sz w:val="24"/>
          <w:szCs w:val="24"/>
        </w:rPr>
        <w:t xml:space="preserve">Sex discrimination was regulated with the adoption of </w:t>
      </w:r>
      <w:r w:rsidR="00B30072">
        <w:rPr>
          <w:rFonts w:ascii="Arial" w:hAnsi="Arial" w:cs="Arial"/>
          <w:sz w:val="24"/>
          <w:szCs w:val="24"/>
        </w:rPr>
        <w:t xml:space="preserve">the </w:t>
      </w:r>
      <w:r>
        <w:rPr>
          <w:rFonts w:ascii="Arial" w:hAnsi="Arial" w:cs="Arial"/>
          <w:sz w:val="24"/>
          <w:szCs w:val="24"/>
        </w:rPr>
        <w:t>Sex Discrimination Act 1975 (SDA75). The military experienced a number of difficulties with the SDA75. The first emerged over the treatment of pregnant servicewomen</w:t>
      </w:r>
      <w:r>
        <w:rPr>
          <w:rStyle w:val="FootnoteReference"/>
          <w:rFonts w:ascii="Arial" w:hAnsi="Arial" w:cs="Arial"/>
          <w:sz w:val="24"/>
          <w:szCs w:val="24"/>
        </w:rPr>
        <w:footnoteReference w:id="83"/>
      </w:r>
      <w:r>
        <w:rPr>
          <w:rFonts w:ascii="Arial" w:hAnsi="Arial" w:cs="Arial"/>
          <w:sz w:val="24"/>
          <w:szCs w:val="24"/>
        </w:rPr>
        <w:t>. The original SDA75 contained a provision, s</w:t>
      </w:r>
      <w:r w:rsidR="00E65BA1">
        <w:rPr>
          <w:rFonts w:ascii="Arial" w:hAnsi="Arial" w:cs="Arial"/>
          <w:sz w:val="24"/>
          <w:szCs w:val="24"/>
        </w:rPr>
        <w:t>ection</w:t>
      </w:r>
      <w:r>
        <w:rPr>
          <w:rFonts w:ascii="Arial" w:hAnsi="Arial" w:cs="Arial"/>
          <w:sz w:val="24"/>
          <w:szCs w:val="24"/>
        </w:rPr>
        <w:t xml:space="preserve"> 85(4), which excl</w:t>
      </w:r>
      <w:r w:rsidR="006456EC">
        <w:rPr>
          <w:rFonts w:ascii="Arial" w:hAnsi="Arial" w:cs="Arial"/>
          <w:sz w:val="24"/>
          <w:szCs w:val="24"/>
        </w:rPr>
        <w:t>uded from the scope of the Act ‘</w:t>
      </w:r>
      <w:r>
        <w:rPr>
          <w:rFonts w:ascii="Arial" w:hAnsi="Arial" w:cs="Arial"/>
          <w:sz w:val="24"/>
          <w:szCs w:val="24"/>
        </w:rPr>
        <w:t>service in...</w:t>
      </w:r>
      <w:proofErr w:type="gramStart"/>
      <w:r>
        <w:rPr>
          <w:rFonts w:ascii="Arial" w:hAnsi="Arial" w:cs="Arial"/>
          <w:sz w:val="24"/>
          <w:szCs w:val="24"/>
        </w:rPr>
        <w:t>the</w:t>
      </w:r>
      <w:proofErr w:type="gramEnd"/>
      <w:r>
        <w:rPr>
          <w:rFonts w:ascii="Arial" w:hAnsi="Arial" w:cs="Arial"/>
          <w:sz w:val="24"/>
          <w:szCs w:val="24"/>
        </w:rPr>
        <w:t xml:space="preserve"> naval, milit</w:t>
      </w:r>
      <w:r w:rsidR="006456EC">
        <w:rPr>
          <w:rFonts w:ascii="Arial" w:hAnsi="Arial" w:cs="Arial"/>
          <w:sz w:val="24"/>
          <w:szCs w:val="24"/>
        </w:rPr>
        <w:t>ary and air forces of the Crown’</w:t>
      </w:r>
      <w:r>
        <w:rPr>
          <w:rFonts w:ascii="Arial" w:hAnsi="Arial" w:cs="Arial"/>
          <w:sz w:val="24"/>
          <w:szCs w:val="24"/>
        </w:rPr>
        <w:t xml:space="preserve">. Unfortunately no such </w:t>
      </w:r>
      <w:r>
        <w:rPr>
          <w:rFonts w:ascii="Arial" w:hAnsi="Arial" w:cs="Arial"/>
          <w:sz w:val="24"/>
          <w:szCs w:val="24"/>
        </w:rPr>
        <w:lastRenderedPageBreak/>
        <w:t>exception existed in the EU’s Equal Treatment Directive</w:t>
      </w:r>
      <w:r>
        <w:rPr>
          <w:rStyle w:val="FootnoteReference"/>
          <w:rFonts w:ascii="Arial" w:hAnsi="Arial" w:cs="Arial"/>
          <w:sz w:val="24"/>
          <w:szCs w:val="24"/>
        </w:rPr>
        <w:footnoteReference w:id="84"/>
      </w:r>
      <w:r>
        <w:rPr>
          <w:rFonts w:ascii="Arial" w:hAnsi="Arial" w:cs="Arial"/>
          <w:sz w:val="24"/>
          <w:szCs w:val="24"/>
        </w:rPr>
        <w:t xml:space="preserve"> (ETD) with Article 5(1) prohibiting discrimination on grounds of sex with regard to working conditions and the conditions governing dismissal. In </w:t>
      </w:r>
      <w:r w:rsidRPr="00EE5957">
        <w:rPr>
          <w:rFonts w:ascii="Arial" w:hAnsi="Arial" w:cs="Arial"/>
          <w:i/>
          <w:sz w:val="24"/>
          <w:szCs w:val="24"/>
        </w:rPr>
        <w:t>Marshall I</w:t>
      </w:r>
      <w:r w:rsidRPr="009F7D38">
        <w:rPr>
          <w:rStyle w:val="FootnoteReference"/>
          <w:rFonts w:ascii="Arial" w:hAnsi="Arial" w:cs="Arial"/>
          <w:sz w:val="24"/>
          <w:szCs w:val="24"/>
        </w:rPr>
        <w:footnoteReference w:id="85"/>
      </w:r>
      <w:r>
        <w:rPr>
          <w:rFonts w:ascii="Arial" w:hAnsi="Arial" w:cs="Arial"/>
          <w:sz w:val="24"/>
          <w:szCs w:val="24"/>
        </w:rPr>
        <w:t xml:space="preserve"> the ECJ held that Article 5(1) could be relied upon by an individual in a national court to avoid a national provision that was inconsistent with it and denied the right that flowed from it. Furthermore in </w:t>
      </w:r>
      <w:r w:rsidRPr="00EE5957">
        <w:rPr>
          <w:rFonts w:ascii="Arial" w:hAnsi="Arial" w:cs="Arial"/>
          <w:i/>
          <w:sz w:val="24"/>
          <w:szCs w:val="24"/>
        </w:rPr>
        <w:t>Hertz</w:t>
      </w:r>
      <w:r w:rsidRPr="00CB6E0A">
        <w:rPr>
          <w:rStyle w:val="FootnoteReference"/>
          <w:rFonts w:ascii="Arial" w:hAnsi="Arial" w:cs="Arial"/>
          <w:sz w:val="24"/>
          <w:szCs w:val="24"/>
        </w:rPr>
        <w:footnoteReference w:id="86"/>
      </w:r>
      <w:r w:rsidR="006456EC">
        <w:rPr>
          <w:rFonts w:ascii="Arial" w:hAnsi="Arial" w:cs="Arial"/>
          <w:sz w:val="24"/>
          <w:szCs w:val="24"/>
        </w:rPr>
        <w:t xml:space="preserve"> the Court found ‘</w:t>
      </w:r>
      <w:r>
        <w:rPr>
          <w:rFonts w:ascii="Arial" w:hAnsi="Arial" w:cs="Arial"/>
          <w:sz w:val="24"/>
          <w:szCs w:val="24"/>
        </w:rPr>
        <w:t>that the dismissal of a female worker on account of pregnancy constitutes direct discrimination on grounds of sex, as is a refu</w:t>
      </w:r>
      <w:r w:rsidR="006456EC">
        <w:rPr>
          <w:rFonts w:ascii="Arial" w:hAnsi="Arial" w:cs="Arial"/>
          <w:sz w:val="24"/>
          <w:szCs w:val="24"/>
        </w:rPr>
        <w:t>sal to appoint a pregnant woman’</w:t>
      </w:r>
      <w:r>
        <w:rPr>
          <w:rFonts w:ascii="Arial" w:hAnsi="Arial" w:cs="Arial"/>
          <w:sz w:val="24"/>
          <w:szCs w:val="24"/>
        </w:rPr>
        <w:t xml:space="preserve">. Therefore it was now clear that </w:t>
      </w:r>
      <w:r w:rsidR="00E65BA1">
        <w:rPr>
          <w:rFonts w:ascii="Arial" w:hAnsi="Arial" w:cs="Arial"/>
          <w:sz w:val="24"/>
          <w:szCs w:val="24"/>
        </w:rPr>
        <w:t xml:space="preserve">section 85(4) of the </w:t>
      </w:r>
      <w:r>
        <w:rPr>
          <w:rFonts w:ascii="Arial" w:hAnsi="Arial" w:cs="Arial"/>
          <w:sz w:val="24"/>
          <w:szCs w:val="24"/>
        </w:rPr>
        <w:t>SDA75 was irreconcilable with the ETD and that the armed forces were vulnerable to a legal challenge. In 1991 two judicial review applications were brought</w:t>
      </w:r>
      <w:r w:rsidR="00B30072">
        <w:rPr>
          <w:rFonts w:ascii="Arial" w:hAnsi="Arial" w:cs="Arial"/>
          <w:sz w:val="24"/>
          <w:szCs w:val="24"/>
        </w:rPr>
        <w:t>,</w:t>
      </w:r>
      <w:r>
        <w:rPr>
          <w:rFonts w:ascii="Arial" w:hAnsi="Arial" w:cs="Arial"/>
          <w:sz w:val="24"/>
          <w:szCs w:val="24"/>
        </w:rPr>
        <w:t xml:space="preserve"> with the backing of the Equal Opportunities Commission</w:t>
      </w:r>
      <w:r w:rsidR="0080740D">
        <w:rPr>
          <w:rFonts w:ascii="Arial" w:hAnsi="Arial" w:cs="Arial"/>
          <w:sz w:val="24"/>
          <w:szCs w:val="24"/>
        </w:rPr>
        <w:t xml:space="preserve"> (EOC)</w:t>
      </w:r>
      <w:r w:rsidR="00B30072">
        <w:rPr>
          <w:rFonts w:ascii="Arial" w:hAnsi="Arial" w:cs="Arial"/>
          <w:sz w:val="24"/>
          <w:szCs w:val="24"/>
        </w:rPr>
        <w:t>,</w:t>
      </w:r>
      <w:r>
        <w:rPr>
          <w:rFonts w:ascii="Arial" w:hAnsi="Arial" w:cs="Arial"/>
          <w:sz w:val="24"/>
          <w:szCs w:val="24"/>
        </w:rPr>
        <w:t xml:space="preserve"> challenging the military’s policy to sack pregnant servicewomen</w:t>
      </w:r>
      <w:r>
        <w:rPr>
          <w:rStyle w:val="FootnoteReference"/>
          <w:rFonts w:ascii="Arial" w:hAnsi="Arial" w:cs="Arial"/>
          <w:sz w:val="24"/>
          <w:szCs w:val="24"/>
        </w:rPr>
        <w:footnoteReference w:id="87"/>
      </w:r>
      <w:r>
        <w:rPr>
          <w:rFonts w:ascii="Arial" w:hAnsi="Arial" w:cs="Arial"/>
          <w:sz w:val="24"/>
          <w:szCs w:val="24"/>
        </w:rPr>
        <w:t xml:space="preserve">. Before the case came to court the Secretary of State for Defence conceded that the policy was incompatible with the legal rights in the ETD and that compensation claims could be heard before Industrial Tribunals. Two further ECJ cases created further problems for the Ministry of Defence. First in </w:t>
      </w:r>
      <w:r w:rsidRPr="00EE5957">
        <w:rPr>
          <w:rFonts w:ascii="Arial" w:hAnsi="Arial" w:cs="Arial"/>
          <w:i/>
          <w:sz w:val="24"/>
          <w:szCs w:val="24"/>
        </w:rPr>
        <w:t>Marshall II</w:t>
      </w:r>
      <w:r w:rsidRPr="00950A47">
        <w:rPr>
          <w:rStyle w:val="FootnoteReference"/>
          <w:rFonts w:ascii="Arial" w:hAnsi="Arial" w:cs="Arial"/>
          <w:sz w:val="24"/>
          <w:szCs w:val="24"/>
        </w:rPr>
        <w:footnoteReference w:id="88"/>
      </w:r>
      <w:r>
        <w:rPr>
          <w:rFonts w:ascii="Arial" w:hAnsi="Arial" w:cs="Arial"/>
          <w:sz w:val="24"/>
          <w:szCs w:val="24"/>
        </w:rPr>
        <w:t xml:space="preserve"> Article 6 of the ETD required</w:t>
      </w:r>
      <w:r w:rsidR="006456EC">
        <w:rPr>
          <w:rFonts w:ascii="Arial" w:hAnsi="Arial" w:cs="Arial"/>
          <w:sz w:val="24"/>
          <w:szCs w:val="24"/>
        </w:rPr>
        <w:t xml:space="preserve"> Member States’ measures to be ‘</w:t>
      </w:r>
      <w:r>
        <w:rPr>
          <w:rFonts w:ascii="Arial" w:hAnsi="Arial" w:cs="Arial"/>
          <w:sz w:val="24"/>
          <w:szCs w:val="24"/>
        </w:rPr>
        <w:t>such as to guarantee real and effective judicial protection and have a real d</w:t>
      </w:r>
      <w:r w:rsidR="006456EC">
        <w:rPr>
          <w:rFonts w:ascii="Arial" w:hAnsi="Arial" w:cs="Arial"/>
          <w:sz w:val="24"/>
          <w:szCs w:val="24"/>
        </w:rPr>
        <w:t>eterrent effect on the employer’</w:t>
      </w:r>
      <w:r>
        <w:rPr>
          <w:rFonts w:ascii="Arial" w:hAnsi="Arial" w:cs="Arial"/>
          <w:sz w:val="24"/>
          <w:szCs w:val="24"/>
        </w:rPr>
        <w:t>. It went on to conclude that an upper compensation limit w</w:t>
      </w:r>
      <w:r w:rsidR="006456EC">
        <w:rPr>
          <w:rFonts w:ascii="Arial" w:hAnsi="Arial" w:cs="Arial"/>
          <w:sz w:val="24"/>
          <w:szCs w:val="24"/>
        </w:rPr>
        <w:t>as inconsistent with Article 6 ‘</w:t>
      </w:r>
      <w:r>
        <w:rPr>
          <w:rFonts w:ascii="Arial" w:hAnsi="Arial" w:cs="Arial"/>
          <w:sz w:val="24"/>
          <w:szCs w:val="24"/>
        </w:rPr>
        <w:t xml:space="preserve">since it limits the amount of compensation </w:t>
      </w:r>
      <w:r>
        <w:rPr>
          <w:rFonts w:ascii="Arial" w:hAnsi="Arial" w:cs="Arial"/>
          <w:i/>
          <w:sz w:val="24"/>
          <w:szCs w:val="24"/>
        </w:rPr>
        <w:t>a priori</w:t>
      </w:r>
      <w:r>
        <w:rPr>
          <w:rFonts w:ascii="Arial" w:hAnsi="Arial" w:cs="Arial"/>
          <w:sz w:val="24"/>
          <w:szCs w:val="24"/>
        </w:rPr>
        <w:t xml:space="preserve"> which is not necessarily consistent with the requirement of ensuring real equality of opportunity through adequate reparation for the loss and damage sustained as a result of discriminatory dismissal</w:t>
      </w:r>
      <w:r w:rsidR="006456EC">
        <w:rPr>
          <w:rFonts w:ascii="Arial" w:hAnsi="Arial" w:cs="Arial"/>
          <w:sz w:val="24"/>
          <w:szCs w:val="24"/>
        </w:rPr>
        <w:t>’</w:t>
      </w:r>
      <w:r>
        <w:rPr>
          <w:rStyle w:val="FootnoteReference"/>
          <w:rFonts w:ascii="Arial" w:hAnsi="Arial" w:cs="Arial"/>
          <w:sz w:val="24"/>
          <w:szCs w:val="24"/>
        </w:rPr>
        <w:footnoteReference w:id="89"/>
      </w:r>
      <w:r>
        <w:rPr>
          <w:rFonts w:ascii="Arial" w:hAnsi="Arial" w:cs="Arial"/>
          <w:sz w:val="24"/>
          <w:szCs w:val="24"/>
        </w:rPr>
        <w:t xml:space="preserve">. Second in </w:t>
      </w:r>
      <w:r w:rsidRPr="00EE5957">
        <w:rPr>
          <w:rFonts w:ascii="Arial" w:hAnsi="Arial" w:cs="Arial"/>
          <w:i/>
          <w:sz w:val="24"/>
          <w:szCs w:val="24"/>
        </w:rPr>
        <w:t>Emmott</w:t>
      </w:r>
      <w:r w:rsidRPr="009442B8">
        <w:rPr>
          <w:rStyle w:val="FootnoteReference"/>
          <w:rFonts w:ascii="Arial" w:hAnsi="Arial" w:cs="Arial"/>
          <w:sz w:val="24"/>
          <w:szCs w:val="24"/>
        </w:rPr>
        <w:footnoteReference w:id="90"/>
      </w:r>
      <w:r>
        <w:rPr>
          <w:rFonts w:ascii="Arial" w:hAnsi="Arial" w:cs="Arial"/>
          <w:sz w:val="24"/>
          <w:szCs w:val="24"/>
        </w:rPr>
        <w:t xml:space="preserve"> it </w:t>
      </w:r>
      <w:r>
        <w:rPr>
          <w:rFonts w:ascii="Arial" w:hAnsi="Arial" w:cs="Arial"/>
          <w:sz w:val="24"/>
          <w:szCs w:val="24"/>
        </w:rPr>
        <w:lastRenderedPageBreak/>
        <w:t xml:space="preserve">was held that a time limit could not start to run until the Directive had been correctly transposed into domestic law. Therefore the Ministry of Defence was exposed to damages actions from ex-servicewomen dismissed on the basis of their pregnancy from the transposition date of the Directive, August 1978, </w:t>
      </w:r>
      <w:r w:rsidR="0080740D">
        <w:rPr>
          <w:rFonts w:ascii="Arial" w:hAnsi="Arial" w:cs="Arial"/>
          <w:sz w:val="24"/>
          <w:szCs w:val="24"/>
        </w:rPr>
        <w:t>to</w:t>
      </w:r>
      <w:r>
        <w:rPr>
          <w:rFonts w:ascii="Arial" w:hAnsi="Arial" w:cs="Arial"/>
          <w:sz w:val="24"/>
          <w:szCs w:val="24"/>
        </w:rPr>
        <w:t xml:space="preserve"> the summer of 1990 when maternity leave was introduced for servicewomen. Many claims were brought for damages that were dealt with inconsistently by the courts. Eventually seven test cases were selected in </w:t>
      </w:r>
      <w:r w:rsidRPr="00EE5957">
        <w:rPr>
          <w:rFonts w:ascii="Arial" w:hAnsi="Arial" w:cs="Arial"/>
          <w:i/>
          <w:sz w:val="24"/>
          <w:szCs w:val="24"/>
        </w:rPr>
        <w:t>Ministry</w:t>
      </w:r>
      <w:r w:rsidR="00EE5957">
        <w:rPr>
          <w:rFonts w:ascii="Arial" w:hAnsi="Arial" w:cs="Arial"/>
          <w:i/>
          <w:sz w:val="24"/>
          <w:szCs w:val="24"/>
        </w:rPr>
        <w:t xml:space="preserve"> of Defence v Cannock</w:t>
      </w:r>
      <w:r w:rsidRPr="00024002">
        <w:rPr>
          <w:rStyle w:val="FootnoteReference"/>
          <w:rFonts w:ascii="Arial" w:hAnsi="Arial" w:cs="Arial"/>
          <w:sz w:val="24"/>
          <w:szCs w:val="24"/>
        </w:rPr>
        <w:footnoteReference w:id="91"/>
      </w:r>
      <w:r>
        <w:rPr>
          <w:rFonts w:ascii="Arial" w:hAnsi="Arial" w:cs="Arial"/>
          <w:sz w:val="24"/>
          <w:szCs w:val="24"/>
        </w:rPr>
        <w:t xml:space="preserve"> for an appeal before the Employment Appeal Tribunal (EAT) so that guidelines could be provided for industrial tribunals to apply in future compensation cases.</w:t>
      </w:r>
    </w:p>
    <w:p w:rsidR="0075753B" w:rsidRDefault="0075753B" w:rsidP="0075753B">
      <w:pPr>
        <w:spacing w:line="360" w:lineRule="auto"/>
        <w:jc w:val="both"/>
        <w:rPr>
          <w:rFonts w:ascii="Arial" w:hAnsi="Arial" w:cs="Arial"/>
          <w:sz w:val="24"/>
          <w:szCs w:val="24"/>
        </w:rPr>
      </w:pPr>
    </w:p>
    <w:p w:rsidR="0075753B" w:rsidRDefault="0075753B" w:rsidP="0075753B">
      <w:pPr>
        <w:spacing w:line="360" w:lineRule="auto"/>
        <w:jc w:val="both"/>
        <w:rPr>
          <w:rFonts w:ascii="Arial" w:hAnsi="Arial" w:cs="Arial"/>
          <w:sz w:val="24"/>
          <w:szCs w:val="24"/>
        </w:rPr>
      </w:pPr>
      <w:r>
        <w:rPr>
          <w:rFonts w:ascii="Arial" w:hAnsi="Arial" w:cs="Arial"/>
          <w:sz w:val="24"/>
          <w:szCs w:val="24"/>
        </w:rPr>
        <w:t>The response of the government was to amend s</w:t>
      </w:r>
      <w:r w:rsidR="00E65BA1">
        <w:rPr>
          <w:rFonts w:ascii="Arial" w:hAnsi="Arial" w:cs="Arial"/>
          <w:sz w:val="24"/>
          <w:szCs w:val="24"/>
        </w:rPr>
        <w:t>ection</w:t>
      </w:r>
      <w:r>
        <w:rPr>
          <w:rFonts w:ascii="Arial" w:hAnsi="Arial" w:cs="Arial"/>
          <w:sz w:val="24"/>
          <w:szCs w:val="24"/>
        </w:rPr>
        <w:t xml:space="preserve"> 85(4) of the SDA75, through the Sex Discrimination Act 1975 (Application to Ar</w:t>
      </w:r>
      <w:r w:rsidR="00642350">
        <w:rPr>
          <w:rFonts w:ascii="Arial" w:hAnsi="Arial" w:cs="Arial"/>
          <w:sz w:val="24"/>
          <w:szCs w:val="24"/>
        </w:rPr>
        <w:t xml:space="preserve">med Forces </w:t>
      </w:r>
      <w:proofErr w:type="spellStart"/>
      <w:r w:rsidR="00642350">
        <w:rPr>
          <w:rFonts w:ascii="Arial" w:hAnsi="Arial" w:cs="Arial"/>
          <w:sz w:val="24"/>
          <w:szCs w:val="24"/>
        </w:rPr>
        <w:t>etc</w:t>
      </w:r>
      <w:proofErr w:type="spellEnd"/>
      <w:r>
        <w:rPr>
          <w:rFonts w:ascii="Arial" w:hAnsi="Arial" w:cs="Arial"/>
          <w:sz w:val="24"/>
          <w:szCs w:val="24"/>
        </w:rPr>
        <w:t>) Regulations 1994</w:t>
      </w:r>
      <w:r>
        <w:rPr>
          <w:rStyle w:val="FootnoteReference"/>
          <w:rFonts w:ascii="Arial" w:hAnsi="Arial" w:cs="Arial"/>
          <w:sz w:val="24"/>
          <w:szCs w:val="24"/>
        </w:rPr>
        <w:footnoteReference w:id="92"/>
      </w:r>
      <w:r w:rsidR="006456EC">
        <w:rPr>
          <w:rFonts w:ascii="Arial" w:hAnsi="Arial" w:cs="Arial"/>
          <w:sz w:val="24"/>
          <w:szCs w:val="24"/>
        </w:rPr>
        <w:t>, to read that ‘</w:t>
      </w:r>
      <w:r>
        <w:rPr>
          <w:rFonts w:ascii="Arial" w:hAnsi="Arial" w:cs="Arial"/>
          <w:sz w:val="24"/>
          <w:szCs w:val="24"/>
        </w:rPr>
        <w:t>[n]</w:t>
      </w:r>
      <w:proofErr w:type="spellStart"/>
      <w:r>
        <w:rPr>
          <w:rFonts w:ascii="Arial" w:hAnsi="Arial" w:cs="Arial"/>
          <w:sz w:val="24"/>
          <w:szCs w:val="24"/>
        </w:rPr>
        <w:t>othing</w:t>
      </w:r>
      <w:proofErr w:type="spellEnd"/>
      <w:r>
        <w:rPr>
          <w:rFonts w:ascii="Arial" w:hAnsi="Arial" w:cs="Arial"/>
          <w:sz w:val="24"/>
          <w:szCs w:val="24"/>
        </w:rPr>
        <w:t xml:space="preserve"> in this Act shall render unlawful an act done for the purpose of ensuring the combat effectiveness of the naval, milit</w:t>
      </w:r>
      <w:r w:rsidR="006456EC">
        <w:rPr>
          <w:rFonts w:ascii="Arial" w:hAnsi="Arial" w:cs="Arial"/>
          <w:sz w:val="24"/>
          <w:szCs w:val="24"/>
        </w:rPr>
        <w:t>ary or air forces of the Crown.’</w:t>
      </w:r>
      <w:r>
        <w:rPr>
          <w:rFonts w:ascii="Arial" w:hAnsi="Arial" w:cs="Arial"/>
          <w:sz w:val="24"/>
          <w:szCs w:val="24"/>
        </w:rPr>
        <w:t xml:space="preserve"> It was originally thought that the Member States retained absolute competence over the military and the composition of the armed forces such that EU Law had no impact on the operation of the military. Indeed the ECJ has held that the Member States have competence to take decisions on the organisation of their armed forces in order to ensure their security</w:t>
      </w:r>
      <w:r>
        <w:rPr>
          <w:rStyle w:val="FootnoteReference"/>
          <w:rFonts w:ascii="Arial" w:hAnsi="Arial" w:cs="Arial"/>
          <w:sz w:val="24"/>
          <w:szCs w:val="24"/>
        </w:rPr>
        <w:footnoteReference w:id="93"/>
      </w:r>
      <w:r>
        <w:rPr>
          <w:rFonts w:ascii="Arial" w:hAnsi="Arial" w:cs="Arial"/>
          <w:sz w:val="24"/>
          <w:szCs w:val="24"/>
        </w:rPr>
        <w:t>. However, this competence has to be exercised with the genuine aim of guaranteeing public security whilst being appropriate and necessary to achieve this aim</w:t>
      </w:r>
      <w:r>
        <w:rPr>
          <w:rStyle w:val="FootnoteReference"/>
          <w:rFonts w:ascii="Arial" w:hAnsi="Arial" w:cs="Arial"/>
          <w:sz w:val="24"/>
          <w:szCs w:val="24"/>
        </w:rPr>
        <w:footnoteReference w:id="94"/>
      </w:r>
      <w:r>
        <w:rPr>
          <w:rFonts w:ascii="Arial" w:hAnsi="Arial" w:cs="Arial"/>
          <w:sz w:val="24"/>
          <w:szCs w:val="24"/>
        </w:rPr>
        <w:t>. A blanket ban on women serving in the armed forces on the basis of combat effectiveness would be unjustified</w:t>
      </w:r>
      <w:r>
        <w:rPr>
          <w:rStyle w:val="FootnoteReference"/>
          <w:rFonts w:ascii="Arial" w:hAnsi="Arial" w:cs="Arial"/>
          <w:sz w:val="24"/>
          <w:szCs w:val="24"/>
        </w:rPr>
        <w:footnoteReference w:id="95"/>
      </w:r>
      <w:r>
        <w:rPr>
          <w:rFonts w:ascii="Arial" w:hAnsi="Arial" w:cs="Arial"/>
          <w:sz w:val="24"/>
          <w:szCs w:val="24"/>
        </w:rPr>
        <w:t>, whilst a ban on women serving in the Royal Marines would be justified</w:t>
      </w:r>
      <w:r>
        <w:rPr>
          <w:rStyle w:val="FootnoteReference"/>
          <w:rFonts w:ascii="Arial" w:hAnsi="Arial" w:cs="Arial"/>
          <w:sz w:val="24"/>
          <w:szCs w:val="24"/>
        </w:rPr>
        <w:footnoteReference w:id="96"/>
      </w:r>
      <w:r>
        <w:rPr>
          <w:rFonts w:ascii="Arial" w:hAnsi="Arial" w:cs="Arial"/>
          <w:sz w:val="24"/>
          <w:szCs w:val="24"/>
        </w:rPr>
        <w:t xml:space="preserve"> as it would be confined to a small force and applied to the principle of inter-operability, a requirement that all personnel would have to carry out a wide range of tasks and </w:t>
      </w:r>
      <w:r>
        <w:rPr>
          <w:rFonts w:ascii="Arial" w:hAnsi="Arial" w:cs="Arial"/>
          <w:sz w:val="24"/>
          <w:szCs w:val="24"/>
        </w:rPr>
        <w:lastRenderedPageBreak/>
        <w:t>front-line fighting</w:t>
      </w:r>
      <w:r>
        <w:rPr>
          <w:rStyle w:val="FootnoteReference"/>
          <w:rFonts w:ascii="Arial" w:hAnsi="Arial" w:cs="Arial"/>
          <w:sz w:val="24"/>
          <w:szCs w:val="24"/>
        </w:rPr>
        <w:footnoteReference w:id="97"/>
      </w:r>
      <w:r>
        <w:rPr>
          <w:rFonts w:ascii="Arial" w:hAnsi="Arial" w:cs="Arial"/>
          <w:sz w:val="24"/>
          <w:szCs w:val="24"/>
        </w:rPr>
        <w:t>. This combat effectiveness exclusion has been utilised by the armed forces to continue to limit full integration of women in the military ensuring that women cannot serve in front line army units, the RAF Regiment, the Royal Marines and submarines</w:t>
      </w:r>
      <w:r>
        <w:rPr>
          <w:rStyle w:val="FootnoteReference"/>
          <w:rFonts w:ascii="Arial" w:hAnsi="Arial" w:cs="Arial"/>
          <w:sz w:val="24"/>
          <w:szCs w:val="24"/>
        </w:rPr>
        <w:footnoteReference w:id="98"/>
      </w:r>
      <w:r>
        <w:rPr>
          <w:rFonts w:ascii="Arial" w:hAnsi="Arial" w:cs="Arial"/>
          <w:sz w:val="24"/>
          <w:szCs w:val="24"/>
        </w:rPr>
        <w:t>. As Arnull</w:t>
      </w:r>
      <w:r>
        <w:rPr>
          <w:rStyle w:val="FootnoteReference"/>
          <w:rFonts w:ascii="Arial" w:hAnsi="Arial" w:cs="Arial"/>
          <w:sz w:val="24"/>
          <w:szCs w:val="24"/>
        </w:rPr>
        <w:footnoteReference w:id="99"/>
      </w:r>
      <w:r>
        <w:rPr>
          <w:rFonts w:ascii="Arial" w:hAnsi="Arial" w:cs="Arial"/>
          <w:sz w:val="24"/>
          <w:szCs w:val="24"/>
        </w:rPr>
        <w:t xml:space="preserve"> points out this combat effectiveness restriction is not includ</w:t>
      </w:r>
      <w:r w:rsidR="00E65BA1">
        <w:rPr>
          <w:rFonts w:ascii="Arial" w:hAnsi="Arial" w:cs="Arial"/>
          <w:sz w:val="24"/>
          <w:szCs w:val="24"/>
        </w:rPr>
        <w:t>ed in Article 2(2) of the ETD</w:t>
      </w:r>
      <w:r>
        <w:rPr>
          <w:rFonts w:ascii="Arial" w:hAnsi="Arial" w:cs="Arial"/>
          <w:sz w:val="24"/>
          <w:szCs w:val="24"/>
        </w:rPr>
        <w:t xml:space="preserve"> that excludes from the scope </w:t>
      </w:r>
      <w:r w:rsidR="00E65BA1">
        <w:rPr>
          <w:rFonts w:ascii="Arial" w:hAnsi="Arial" w:cs="Arial"/>
          <w:sz w:val="24"/>
          <w:szCs w:val="24"/>
        </w:rPr>
        <w:t xml:space="preserve">of </w:t>
      </w:r>
      <w:r>
        <w:rPr>
          <w:rFonts w:ascii="Arial" w:hAnsi="Arial" w:cs="Arial"/>
          <w:sz w:val="24"/>
          <w:szCs w:val="24"/>
        </w:rPr>
        <w:t xml:space="preserve">activities where the sex of the worker constitutes a determining factor, transposed into national law by the catalogue of situations in </w:t>
      </w:r>
      <w:r w:rsidR="00E65BA1">
        <w:rPr>
          <w:rFonts w:ascii="Arial" w:hAnsi="Arial" w:cs="Arial"/>
          <w:sz w:val="24"/>
          <w:szCs w:val="24"/>
        </w:rPr>
        <w:t xml:space="preserve">section 7 of the </w:t>
      </w:r>
      <w:r>
        <w:rPr>
          <w:rFonts w:ascii="Arial" w:hAnsi="Arial" w:cs="Arial"/>
          <w:sz w:val="24"/>
          <w:szCs w:val="24"/>
        </w:rPr>
        <w:t>SDA75 and which is now applicable to the armed forces. He further notes</w:t>
      </w:r>
      <w:r>
        <w:rPr>
          <w:rStyle w:val="FootnoteReference"/>
          <w:rFonts w:ascii="Arial" w:hAnsi="Arial" w:cs="Arial"/>
          <w:sz w:val="24"/>
          <w:szCs w:val="24"/>
        </w:rPr>
        <w:footnoteReference w:id="100"/>
      </w:r>
      <w:r>
        <w:rPr>
          <w:rFonts w:ascii="Arial" w:hAnsi="Arial" w:cs="Arial"/>
          <w:sz w:val="24"/>
          <w:szCs w:val="24"/>
        </w:rPr>
        <w:t xml:space="preserve"> that the effect of the new s</w:t>
      </w:r>
      <w:r w:rsidR="00E65BA1">
        <w:rPr>
          <w:rFonts w:ascii="Arial" w:hAnsi="Arial" w:cs="Arial"/>
          <w:sz w:val="24"/>
          <w:szCs w:val="24"/>
        </w:rPr>
        <w:t>ection</w:t>
      </w:r>
      <w:r>
        <w:rPr>
          <w:rFonts w:ascii="Arial" w:hAnsi="Arial" w:cs="Arial"/>
          <w:sz w:val="24"/>
          <w:szCs w:val="24"/>
        </w:rPr>
        <w:t xml:space="preserve"> 85(4) was to create an exclusion of the armed forces on the basis of combat effectiveness where the sex of the worker is not a genuine occupational qualification for the job.</w:t>
      </w:r>
    </w:p>
    <w:p w:rsidR="0075753B" w:rsidRDefault="0075753B" w:rsidP="0075753B">
      <w:pPr>
        <w:spacing w:line="360" w:lineRule="auto"/>
        <w:jc w:val="both"/>
        <w:rPr>
          <w:rFonts w:ascii="Arial" w:hAnsi="Arial" w:cs="Arial"/>
          <w:sz w:val="24"/>
          <w:szCs w:val="24"/>
        </w:rPr>
      </w:pPr>
    </w:p>
    <w:p w:rsidR="0075753B" w:rsidRDefault="0075753B" w:rsidP="0075753B">
      <w:pPr>
        <w:spacing w:line="360" w:lineRule="auto"/>
        <w:jc w:val="both"/>
        <w:rPr>
          <w:rFonts w:ascii="Arial" w:hAnsi="Arial" w:cs="Arial"/>
          <w:sz w:val="24"/>
          <w:szCs w:val="24"/>
        </w:rPr>
      </w:pPr>
      <w:r>
        <w:rPr>
          <w:rFonts w:ascii="Arial" w:hAnsi="Arial" w:cs="Arial"/>
          <w:sz w:val="24"/>
          <w:szCs w:val="24"/>
        </w:rPr>
        <w:t xml:space="preserve">Since then the EA10 has been adopted with the appropriate provisions covering discrimination </w:t>
      </w:r>
      <w:r w:rsidR="00361AB5">
        <w:rPr>
          <w:rFonts w:ascii="Arial" w:hAnsi="Arial" w:cs="Arial"/>
          <w:sz w:val="24"/>
          <w:szCs w:val="24"/>
        </w:rPr>
        <w:t>detailed</w:t>
      </w:r>
      <w:r>
        <w:rPr>
          <w:rFonts w:ascii="Arial" w:hAnsi="Arial" w:cs="Arial"/>
          <w:sz w:val="24"/>
          <w:szCs w:val="24"/>
        </w:rPr>
        <w:t xml:space="preserve"> above. It </w:t>
      </w:r>
      <w:r w:rsidR="00361AB5">
        <w:rPr>
          <w:rFonts w:ascii="Arial" w:hAnsi="Arial" w:cs="Arial"/>
          <w:sz w:val="24"/>
          <w:szCs w:val="24"/>
        </w:rPr>
        <w:t>should</w:t>
      </w:r>
      <w:r>
        <w:rPr>
          <w:rFonts w:ascii="Arial" w:hAnsi="Arial" w:cs="Arial"/>
          <w:sz w:val="24"/>
          <w:szCs w:val="24"/>
        </w:rPr>
        <w:t xml:space="preserve"> be noted that the combat exclusion exemption remains in place even though the new Equality Directive still does not include an exception for the armed forces on the basis of combat effectiveness. At the start of 2010 there was much media speculation that the submarine service of the Royal Navy would be opened up to women</w:t>
      </w:r>
      <w:r w:rsidR="00361AB5">
        <w:rPr>
          <w:rStyle w:val="FootnoteReference"/>
          <w:rFonts w:ascii="Arial" w:hAnsi="Arial" w:cs="Arial"/>
          <w:sz w:val="24"/>
          <w:szCs w:val="24"/>
        </w:rPr>
        <w:footnoteReference w:id="101"/>
      </w:r>
      <w:r>
        <w:rPr>
          <w:rFonts w:ascii="Arial" w:hAnsi="Arial" w:cs="Arial"/>
          <w:sz w:val="24"/>
          <w:szCs w:val="24"/>
        </w:rPr>
        <w:t>, especially with a new report on the combat exclusion exemption due</w:t>
      </w:r>
      <w:r w:rsidR="0017559C">
        <w:rPr>
          <w:rStyle w:val="FootnoteReference"/>
          <w:rFonts w:ascii="Arial" w:hAnsi="Arial" w:cs="Arial"/>
          <w:sz w:val="24"/>
          <w:szCs w:val="24"/>
        </w:rPr>
        <w:footnoteReference w:id="102"/>
      </w:r>
      <w:r>
        <w:rPr>
          <w:rFonts w:ascii="Arial" w:hAnsi="Arial" w:cs="Arial"/>
          <w:sz w:val="24"/>
          <w:szCs w:val="24"/>
        </w:rPr>
        <w:t xml:space="preserve">. As it turned out the report only considered </w:t>
      </w:r>
      <w:r>
        <w:rPr>
          <w:rFonts w:ascii="Arial" w:hAnsi="Arial" w:cs="Arial"/>
          <w:sz w:val="24"/>
          <w:szCs w:val="24"/>
        </w:rPr>
        <w:lastRenderedPageBreak/>
        <w:t>the exclusion of women from ground close-combat roles, which it decided to keep in place</w:t>
      </w:r>
      <w:r>
        <w:rPr>
          <w:rStyle w:val="FootnoteReference"/>
          <w:rFonts w:ascii="Arial" w:hAnsi="Arial" w:cs="Arial"/>
          <w:sz w:val="24"/>
          <w:szCs w:val="24"/>
        </w:rPr>
        <w:footnoteReference w:id="103"/>
      </w:r>
      <w:r>
        <w:rPr>
          <w:rFonts w:ascii="Arial" w:hAnsi="Arial" w:cs="Arial"/>
          <w:sz w:val="24"/>
          <w:szCs w:val="24"/>
        </w:rPr>
        <w:t>, and did not review the exclusion of women from service in submarines</w:t>
      </w:r>
      <w:r>
        <w:rPr>
          <w:rStyle w:val="FootnoteReference"/>
          <w:rFonts w:ascii="Arial" w:hAnsi="Arial" w:cs="Arial"/>
          <w:sz w:val="24"/>
          <w:szCs w:val="24"/>
        </w:rPr>
        <w:footnoteReference w:id="104"/>
      </w:r>
      <w:r>
        <w:rPr>
          <w:rFonts w:ascii="Arial" w:hAnsi="Arial" w:cs="Arial"/>
          <w:sz w:val="24"/>
          <w:szCs w:val="24"/>
        </w:rPr>
        <w:t>. Indeed compared to the 2002 report, th</w:t>
      </w:r>
      <w:r w:rsidR="00361AB5">
        <w:rPr>
          <w:rFonts w:ascii="Arial" w:hAnsi="Arial" w:cs="Arial"/>
          <w:sz w:val="24"/>
          <w:szCs w:val="24"/>
        </w:rPr>
        <w:t>e 2010 report was perfunctory with t</w:t>
      </w:r>
      <w:r>
        <w:rPr>
          <w:rFonts w:ascii="Arial" w:hAnsi="Arial" w:cs="Arial"/>
          <w:sz w:val="24"/>
          <w:szCs w:val="24"/>
        </w:rPr>
        <w:t xml:space="preserve">he basis of the exclusion’s maintenance wholly </w:t>
      </w:r>
      <w:r w:rsidR="00361AB5">
        <w:rPr>
          <w:rFonts w:ascii="Arial" w:hAnsi="Arial" w:cs="Arial"/>
          <w:sz w:val="24"/>
          <w:szCs w:val="24"/>
        </w:rPr>
        <w:t>attributed</w:t>
      </w:r>
      <w:r>
        <w:rPr>
          <w:rFonts w:ascii="Arial" w:hAnsi="Arial" w:cs="Arial"/>
          <w:sz w:val="24"/>
          <w:szCs w:val="24"/>
        </w:rPr>
        <w:t xml:space="preserve"> to unit cohesion</w:t>
      </w:r>
      <w:r>
        <w:rPr>
          <w:rStyle w:val="FootnoteReference"/>
          <w:rFonts w:ascii="Arial" w:hAnsi="Arial" w:cs="Arial"/>
          <w:sz w:val="24"/>
          <w:szCs w:val="24"/>
        </w:rPr>
        <w:footnoteReference w:id="105"/>
      </w:r>
      <w:r>
        <w:rPr>
          <w:rFonts w:ascii="Arial" w:hAnsi="Arial" w:cs="Arial"/>
          <w:sz w:val="24"/>
          <w:szCs w:val="24"/>
        </w:rPr>
        <w:t>.</w:t>
      </w:r>
      <w:r w:rsidR="00361AB5">
        <w:rPr>
          <w:rFonts w:ascii="Arial" w:hAnsi="Arial" w:cs="Arial"/>
          <w:sz w:val="24"/>
          <w:szCs w:val="24"/>
        </w:rPr>
        <w:t xml:space="preserve"> </w:t>
      </w:r>
      <w:r w:rsidR="00CE513A">
        <w:rPr>
          <w:rFonts w:ascii="Arial" w:hAnsi="Arial" w:cs="Arial"/>
          <w:sz w:val="24"/>
          <w:szCs w:val="24"/>
        </w:rPr>
        <w:t>However, in a speech to the Royal United Services Institute on 8 December 2011</w:t>
      </w:r>
      <w:r w:rsidR="00CE513A">
        <w:rPr>
          <w:rStyle w:val="FootnoteReference"/>
          <w:rFonts w:ascii="Arial" w:hAnsi="Arial" w:cs="Arial"/>
          <w:sz w:val="24"/>
          <w:szCs w:val="24"/>
        </w:rPr>
        <w:footnoteReference w:id="106"/>
      </w:r>
      <w:r w:rsidR="00CE513A">
        <w:rPr>
          <w:rFonts w:ascii="Arial" w:hAnsi="Arial" w:cs="Arial"/>
          <w:sz w:val="24"/>
          <w:szCs w:val="24"/>
        </w:rPr>
        <w:t>, the new Secretary of State for Defence announced that the submarine service would be opened up to women with officers serving in the Valiant class from 2013, ratings from 2015 and all ranks in the Astute class from 2016.</w:t>
      </w:r>
    </w:p>
    <w:p w:rsidR="0075753B" w:rsidRDefault="0075753B" w:rsidP="0075753B">
      <w:pPr>
        <w:pStyle w:val="ListParagraph"/>
        <w:numPr>
          <w:ilvl w:val="0"/>
          <w:numId w:val="5"/>
        </w:numPr>
        <w:spacing w:line="360" w:lineRule="auto"/>
        <w:jc w:val="both"/>
        <w:rPr>
          <w:rFonts w:ascii="Arial" w:hAnsi="Arial" w:cs="Arial"/>
          <w:sz w:val="24"/>
          <w:szCs w:val="24"/>
        </w:rPr>
      </w:pPr>
      <w:r>
        <w:rPr>
          <w:rFonts w:ascii="Arial" w:hAnsi="Arial" w:cs="Arial"/>
          <w:sz w:val="24"/>
          <w:szCs w:val="24"/>
        </w:rPr>
        <w:t>Gender Orientation</w:t>
      </w:r>
    </w:p>
    <w:p w:rsidR="0075753B" w:rsidRDefault="0075753B" w:rsidP="0075753B">
      <w:pPr>
        <w:pStyle w:val="ListParagraph"/>
        <w:spacing w:line="360" w:lineRule="auto"/>
        <w:ind w:left="0"/>
        <w:jc w:val="both"/>
        <w:rPr>
          <w:rFonts w:ascii="Arial" w:hAnsi="Arial" w:cs="Arial"/>
          <w:sz w:val="24"/>
          <w:szCs w:val="24"/>
        </w:rPr>
      </w:pPr>
      <w:r w:rsidRPr="00E726E5">
        <w:rPr>
          <w:rFonts w:ascii="Arial" w:hAnsi="Arial" w:cs="Arial"/>
          <w:sz w:val="24"/>
          <w:szCs w:val="24"/>
        </w:rPr>
        <w:lastRenderedPageBreak/>
        <w:t>The Sexual Offences Act 1967 (SOA67) was adopted following the 1957 Wolfenden Report</w:t>
      </w:r>
      <w:r w:rsidRPr="00E726E5">
        <w:rPr>
          <w:rFonts w:ascii="Arial" w:hAnsi="Arial" w:cs="Arial"/>
          <w:sz w:val="24"/>
          <w:szCs w:val="24"/>
          <w:vertAlign w:val="superscript"/>
        </w:rPr>
        <w:footnoteReference w:id="107"/>
      </w:r>
      <w:r w:rsidRPr="00E726E5">
        <w:rPr>
          <w:rFonts w:ascii="Arial" w:hAnsi="Arial" w:cs="Arial"/>
          <w:sz w:val="24"/>
          <w:szCs w:val="24"/>
        </w:rPr>
        <w:t>. It decriminalised most homosexual offences between consenting adults over the age of twenty-one</w:t>
      </w:r>
      <w:r w:rsidRPr="00E726E5">
        <w:rPr>
          <w:rFonts w:ascii="Arial" w:hAnsi="Arial" w:cs="Arial"/>
          <w:sz w:val="24"/>
          <w:szCs w:val="24"/>
          <w:vertAlign w:val="superscript"/>
        </w:rPr>
        <w:footnoteReference w:id="108"/>
      </w:r>
      <w:r w:rsidRPr="00E726E5">
        <w:rPr>
          <w:rFonts w:ascii="Arial" w:hAnsi="Arial" w:cs="Arial"/>
          <w:sz w:val="24"/>
          <w:szCs w:val="24"/>
        </w:rPr>
        <w:t xml:space="preserve"> in private</w:t>
      </w:r>
      <w:r w:rsidRPr="00E726E5">
        <w:rPr>
          <w:rFonts w:ascii="Arial" w:hAnsi="Arial" w:cs="Arial"/>
          <w:sz w:val="24"/>
          <w:szCs w:val="24"/>
          <w:vertAlign w:val="superscript"/>
        </w:rPr>
        <w:footnoteReference w:id="109"/>
      </w:r>
      <w:r w:rsidRPr="00E726E5">
        <w:rPr>
          <w:rFonts w:ascii="Arial" w:hAnsi="Arial" w:cs="Arial"/>
          <w:sz w:val="24"/>
          <w:szCs w:val="24"/>
        </w:rPr>
        <w:t xml:space="preserve"> but excluded the armed forces</w:t>
      </w:r>
      <w:r w:rsidRPr="00E726E5">
        <w:rPr>
          <w:rFonts w:ascii="Arial" w:hAnsi="Arial" w:cs="Arial"/>
          <w:sz w:val="24"/>
          <w:szCs w:val="24"/>
          <w:vertAlign w:val="superscript"/>
        </w:rPr>
        <w:footnoteReference w:id="110"/>
      </w:r>
      <w:r w:rsidRPr="00E726E5">
        <w:rPr>
          <w:rFonts w:ascii="Arial" w:hAnsi="Arial" w:cs="Arial"/>
          <w:sz w:val="24"/>
          <w:szCs w:val="24"/>
        </w:rPr>
        <w:t>. As might be expected the impact of this piece of legislation was not immediate on the military but it did, over a period of time, create a perspective in society at large of acceptance of homosexuality. This normalisation of homosexuality and homosexual relationships created a lacuna between civilian society and the military, where the military was perceived by society a</w:t>
      </w:r>
      <w:r w:rsidR="006456EC">
        <w:rPr>
          <w:rFonts w:ascii="Arial" w:hAnsi="Arial" w:cs="Arial"/>
          <w:sz w:val="24"/>
          <w:szCs w:val="24"/>
        </w:rPr>
        <w:t>t large to be out of touch and ‘stuck’</w:t>
      </w:r>
      <w:r w:rsidRPr="00E726E5">
        <w:rPr>
          <w:rFonts w:ascii="Arial" w:hAnsi="Arial" w:cs="Arial"/>
          <w:sz w:val="24"/>
          <w:szCs w:val="24"/>
        </w:rPr>
        <w:t xml:space="preserve"> in a previous age.</w:t>
      </w:r>
    </w:p>
    <w:p w:rsidR="0075753B" w:rsidRDefault="0075753B" w:rsidP="0075753B">
      <w:pPr>
        <w:pStyle w:val="ListParagraph"/>
        <w:spacing w:line="360" w:lineRule="auto"/>
        <w:ind w:left="0"/>
        <w:jc w:val="both"/>
        <w:rPr>
          <w:rFonts w:ascii="Arial" w:hAnsi="Arial" w:cs="Arial"/>
          <w:sz w:val="24"/>
          <w:szCs w:val="24"/>
        </w:rPr>
      </w:pPr>
    </w:p>
    <w:p w:rsidR="0075753B" w:rsidRPr="00E726E5" w:rsidRDefault="0075753B" w:rsidP="0075753B">
      <w:pPr>
        <w:spacing w:line="360" w:lineRule="auto"/>
        <w:jc w:val="both"/>
        <w:rPr>
          <w:rFonts w:ascii="Arial" w:hAnsi="Arial" w:cs="Arial"/>
          <w:sz w:val="24"/>
          <w:szCs w:val="24"/>
        </w:rPr>
      </w:pPr>
      <w:r w:rsidRPr="00E726E5">
        <w:rPr>
          <w:rFonts w:ascii="Arial" w:hAnsi="Arial" w:cs="Arial"/>
          <w:sz w:val="24"/>
          <w:szCs w:val="24"/>
        </w:rPr>
        <w:t xml:space="preserve">The policy towards homosexuals serving in the armed forces undertook incremental changes before the ban was lifted in January 2000. </w:t>
      </w:r>
      <w:r>
        <w:rPr>
          <w:rFonts w:ascii="Arial" w:hAnsi="Arial" w:cs="Arial"/>
          <w:sz w:val="24"/>
          <w:szCs w:val="24"/>
        </w:rPr>
        <w:t xml:space="preserve">The criminality of homosexual behaviour </w:t>
      </w:r>
      <w:r w:rsidRPr="00E726E5">
        <w:rPr>
          <w:rFonts w:ascii="Arial" w:hAnsi="Arial" w:cs="Arial"/>
          <w:sz w:val="24"/>
          <w:szCs w:val="24"/>
        </w:rPr>
        <w:t>in the milit</w:t>
      </w:r>
      <w:r>
        <w:rPr>
          <w:rFonts w:ascii="Arial" w:hAnsi="Arial" w:cs="Arial"/>
          <w:sz w:val="24"/>
          <w:szCs w:val="24"/>
        </w:rPr>
        <w:t>ary</w:t>
      </w:r>
      <w:r w:rsidRPr="00E726E5">
        <w:rPr>
          <w:rFonts w:ascii="Arial" w:hAnsi="Arial" w:cs="Arial"/>
          <w:sz w:val="24"/>
          <w:szCs w:val="24"/>
        </w:rPr>
        <w:t xml:space="preserve"> continued until 1992 when a statement was made by the responsible minister in the House of Commons to the effect that in future individuals who engaged in homosexual acts would not be prosecuted under military law</w:t>
      </w:r>
      <w:r w:rsidR="0022570D">
        <w:rPr>
          <w:rStyle w:val="FootnoteReference"/>
          <w:rFonts w:ascii="Arial" w:hAnsi="Arial" w:cs="Arial"/>
          <w:sz w:val="24"/>
          <w:szCs w:val="24"/>
        </w:rPr>
        <w:footnoteReference w:id="111"/>
      </w:r>
      <w:r w:rsidR="00753B2C">
        <w:rPr>
          <w:rFonts w:ascii="Arial" w:hAnsi="Arial" w:cs="Arial"/>
          <w:sz w:val="24"/>
          <w:szCs w:val="24"/>
        </w:rPr>
        <w:t xml:space="preserve"> and that s</w:t>
      </w:r>
      <w:r w:rsidR="00E65BA1">
        <w:rPr>
          <w:rFonts w:ascii="Arial" w:hAnsi="Arial" w:cs="Arial"/>
          <w:sz w:val="24"/>
          <w:szCs w:val="24"/>
        </w:rPr>
        <w:t>ection</w:t>
      </w:r>
      <w:r w:rsidR="00753B2C">
        <w:rPr>
          <w:rFonts w:ascii="Arial" w:hAnsi="Arial" w:cs="Arial"/>
          <w:sz w:val="24"/>
          <w:szCs w:val="24"/>
        </w:rPr>
        <w:t xml:space="preserve"> 1(5) of the Sexual Offences Act 1967 would not apply in future</w:t>
      </w:r>
      <w:r w:rsidRPr="00E726E5">
        <w:rPr>
          <w:rFonts w:ascii="Arial" w:hAnsi="Arial" w:cs="Arial"/>
          <w:sz w:val="24"/>
          <w:szCs w:val="24"/>
        </w:rPr>
        <w:t>. This was only given legal effect in 1994 with the passing of s</w:t>
      </w:r>
      <w:r w:rsidR="00E65BA1">
        <w:rPr>
          <w:rFonts w:ascii="Arial" w:hAnsi="Arial" w:cs="Arial"/>
          <w:sz w:val="24"/>
          <w:szCs w:val="24"/>
        </w:rPr>
        <w:t>ection</w:t>
      </w:r>
      <w:r w:rsidRPr="00E726E5">
        <w:rPr>
          <w:rFonts w:ascii="Arial" w:hAnsi="Arial" w:cs="Arial"/>
          <w:sz w:val="24"/>
          <w:szCs w:val="24"/>
        </w:rPr>
        <w:t xml:space="preserve"> 146(1) of the Criminal Justice and Public Order Act 1994. However, s</w:t>
      </w:r>
      <w:r w:rsidR="00E65BA1">
        <w:rPr>
          <w:rFonts w:ascii="Arial" w:hAnsi="Arial" w:cs="Arial"/>
          <w:sz w:val="24"/>
          <w:szCs w:val="24"/>
        </w:rPr>
        <w:t>ection</w:t>
      </w:r>
      <w:r w:rsidRPr="00E726E5">
        <w:rPr>
          <w:rFonts w:ascii="Arial" w:hAnsi="Arial" w:cs="Arial"/>
          <w:sz w:val="24"/>
          <w:szCs w:val="24"/>
        </w:rPr>
        <w:t xml:space="preserve"> 146(4) provided that a homosexual act could continue to constitute a ground for discharge from military service. This policy was challenged in a judicial review action by four ex-service personnel</w:t>
      </w:r>
      <w:r w:rsidRPr="00E726E5">
        <w:rPr>
          <w:rFonts w:ascii="Arial" w:hAnsi="Arial" w:cs="Arial"/>
          <w:sz w:val="24"/>
          <w:szCs w:val="24"/>
          <w:vertAlign w:val="superscript"/>
        </w:rPr>
        <w:footnoteReference w:id="112"/>
      </w:r>
      <w:r w:rsidRPr="00E726E5">
        <w:rPr>
          <w:rFonts w:ascii="Arial" w:hAnsi="Arial" w:cs="Arial"/>
          <w:sz w:val="24"/>
          <w:szCs w:val="24"/>
        </w:rPr>
        <w:t xml:space="preserve"> who had been discharged from the services for their homosexuality. In the Court of Appeal</w:t>
      </w:r>
      <w:r w:rsidRPr="00E726E5">
        <w:rPr>
          <w:rFonts w:ascii="Arial" w:hAnsi="Arial" w:cs="Arial"/>
          <w:sz w:val="24"/>
          <w:szCs w:val="24"/>
          <w:vertAlign w:val="superscript"/>
        </w:rPr>
        <w:footnoteReference w:id="113"/>
      </w:r>
      <w:r w:rsidRPr="00E726E5">
        <w:rPr>
          <w:rFonts w:ascii="Arial" w:hAnsi="Arial" w:cs="Arial"/>
          <w:sz w:val="24"/>
          <w:szCs w:val="24"/>
        </w:rPr>
        <w:t xml:space="preserve"> the challenge was rejected as the </w:t>
      </w:r>
      <w:r w:rsidR="007756D6">
        <w:rPr>
          <w:rFonts w:ascii="Arial" w:hAnsi="Arial" w:cs="Arial"/>
          <w:sz w:val="24"/>
          <w:szCs w:val="24"/>
        </w:rPr>
        <w:t>Mo</w:t>
      </w:r>
      <w:r w:rsidR="0080740D">
        <w:rPr>
          <w:rFonts w:ascii="Arial" w:hAnsi="Arial" w:cs="Arial"/>
          <w:sz w:val="24"/>
          <w:szCs w:val="24"/>
        </w:rPr>
        <w:t>D</w:t>
      </w:r>
      <w:r w:rsidRPr="00E726E5">
        <w:rPr>
          <w:rFonts w:ascii="Arial" w:hAnsi="Arial" w:cs="Arial"/>
          <w:sz w:val="24"/>
          <w:szCs w:val="24"/>
        </w:rPr>
        <w:t xml:space="preserve"> policy did not meet the high threshold requirement of irrationality, the only ground of judicial review available. Furthermore it was held that as the E</w:t>
      </w:r>
      <w:r w:rsidR="0080740D">
        <w:rPr>
          <w:rFonts w:ascii="Arial" w:hAnsi="Arial" w:cs="Arial"/>
          <w:sz w:val="24"/>
          <w:szCs w:val="24"/>
        </w:rPr>
        <w:t xml:space="preserve">uropean </w:t>
      </w:r>
      <w:r w:rsidRPr="00E726E5">
        <w:rPr>
          <w:rFonts w:ascii="Arial" w:hAnsi="Arial" w:cs="Arial"/>
          <w:sz w:val="24"/>
          <w:szCs w:val="24"/>
        </w:rPr>
        <w:t>C</w:t>
      </w:r>
      <w:r w:rsidR="0080740D">
        <w:rPr>
          <w:rFonts w:ascii="Arial" w:hAnsi="Arial" w:cs="Arial"/>
          <w:sz w:val="24"/>
          <w:szCs w:val="24"/>
        </w:rPr>
        <w:t xml:space="preserve">onvention of </w:t>
      </w:r>
      <w:r w:rsidRPr="00E726E5">
        <w:rPr>
          <w:rFonts w:ascii="Arial" w:hAnsi="Arial" w:cs="Arial"/>
          <w:sz w:val="24"/>
          <w:szCs w:val="24"/>
        </w:rPr>
        <w:t>H</w:t>
      </w:r>
      <w:r w:rsidR="0080740D">
        <w:rPr>
          <w:rFonts w:ascii="Arial" w:hAnsi="Arial" w:cs="Arial"/>
          <w:sz w:val="24"/>
          <w:szCs w:val="24"/>
        </w:rPr>
        <w:t xml:space="preserve">uman </w:t>
      </w:r>
      <w:r w:rsidRPr="00E726E5">
        <w:rPr>
          <w:rFonts w:ascii="Arial" w:hAnsi="Arial" w:cs="Arial"/>
          <w:sz w:val="24"/>
          <w:szCs w:val="24"/>
        </w:rPr>
        <w:lastRenderedPageBreak/>
        <w:t>R</w:t>
      </w:r>
      <w:r w:rsidR="0080740D">
        <w:rPr>
          <w:rFonts w:ascii="Arial" w:hAnsi="Arial" w:cs="Arial"/>
          <w:sz w:val="24"/>
          <w:szCs w:val="24"/>
        </w:rPr>
        <w:t>ights (ECHR)</w:t>
      </w:r>
      <w:r w:rsidRPr="00E726E5">
        <w:rPr>
          <w:rFonts w:ascii="Arial" w:hAnsi="Arial" w:cs="Arial"/>
          <w:sz w:val="24"/>
          <w:szCs w:val="24"/>
        </w:rPr>
        <w:t xml:space="preserve"> was not part of UK law then Article 8</w:t>
      </w:r>
      <w:r w:rsidR="0080740D">
        <w:rPr>
          <w:rFonts w:ascii="Arial" w:hAnsi="Arial" w:cs="Arial"/>
          <w:sz w:val="24"/>
          <w:szCs w:val="24"/>
        </w:rPr>
        <w:t>ECHR</w:t>
      </w:r>
      <w:r w:rsidRPr="00E726E5">
        <w:rPr>
          <w:rFonts w:ascii="Arial" w:hAnsi="Arial" w:cs="Arial"/>
          <w:sz w:val="24"/>
          <w:szCs w:val="24"/>
        </w:rPr>
        <w:t>, the right to private life, was not applicable and that there was nothing in EU Law that could be used to overrule the policy. The four former service personnel continued with their legal action after their request for a House of Lords hearing was dismissed and took their cases to the E</w:t>
      </w:r>
      <w:r w:rsidR="0080740D">
        <w:rPr>
          <w:rFonts w:ascii="Arial" w:hAnsi="Arial" w:cs="Arial"/>
          <w:sz w:val="24"/>
          <w:szCs w:val="24"/>
        </w:rPr>
        <w:t xml:space="preserve">uropean </w:t>
      </w:r>
      <w:r w:rsidRPr="00E726E5">
        <w:rPr>
          <w:rFonts w:ascii="Arial" w:hAnsi="Arial" w:cs="Arial"/>
          <w:sz w:val="24"/>
          <w:szCs w:val="24"/>
        </w:rPr>
        <w:t>C</w:t>
      </w:r>
      <w:r w:rsidR="0080740D">
        <w:rPr>
          <w:rFonts w:ascii="Arial" w:hAnsi="Arial" w:cs="Arial"/>
          <w:sz w:val="24"/>
          <w:szCs w:val="24"/>
        </w:rPr>
        <w:t xml:space="preserve">ourt of </w:t>
      </w:r>
      <w:r w:rsidRPr="00E726E5">
        <w:rPr>
          <w:rFonts w:ascii="Arial" w:hAnsi="Arial" w:cs="Arial"/>
          <w:sz w:val="24"/>
          <w:szCs w:val="24"/>
        </w:rPr>
        <w:t>H</w:t>
      </w:r>
      <w:r w:rsidR="0080740D">
        <w:rPr>
          <w:rFonts w:ascii="Arial" w:hAnsi="Arial" w:cs="Arial"/>
          <w:sz w:val="24"/>
          <w:szCs w:val="24"/>
        </w:rPr>
        <w:t xml:space="preserve">uman </w:t>
      </w:r>
      <w:r w:rsidRPr="00E726E5">
        <w:rPr>
          <w:rFonts w:ascii="Arial" w:hAnsi="Arial" w:cs="Arial"/>
          <w:sz w:val="24"/>
          <w:szCs w:val="24"/>
        </w:rPr>
        <w:t>R</w:t>
      </w:r>
      <w:r w:rsidR="0080740D">
        <w:rPr>
          <w:rFonts w:ascii="Arial" w:hAnsi="Arial" w:cs="Arial"/>
          <w:sz w:val="24"/>
          <w:szCs w:val="24"/>
        </w:rPr>
        <w:t>ights (ECtHR)</w:t>
      </w:r>
      <w:r w:rsidRPr="00E726E5">
        <w:rPr>
          <w:rFonts w:ascii="Arial" w:hAnsi="Arial" w:cs="Arial"/>
          <w:sz w:val="24"/>
          <w:szCs w:val="24"/>
        </w:rPr>
        <w:t xml:space="preserve"> in 1999</w:t>
      </w:r>
      <w:r w:rsidRPr="00E726E5">
        <w:rPr>
          <w:rFonts w:ascii="Arial" w:hAnsi="Arial" w:cs="Arial"/>
          <w:sz w:val="24"/>
          <w:szCs w:val="24"/>
          <w:vertAlign w:val="superscript"/>
        </w:rPr>
        <w:footnoteReference w:id="114"/>
      </w:r>
      <w:r w:rsidRPr="00E726E5">
        <w:rPr>
          <w:rFonts w:ascii="Arial" w:hAnsi="Arial" w:cs="Arial"/>
          <w:sz w:val="24"/>
          <w:szCs w:val="24"/>
        </w:rPr>
        <w:t>. H</w:t>
      </w:r>
      <w:r w:rsidR="007756D6">
        <w:rPr>
          <w:rFonts w:ascii="Arial" w:hAnsi="Arial" w:cs="Arial"/>
          <w:sz w:val="24"/>
          <w:szCs w:val="24"/>
        </w:rPr>
        <w:t>ere the judges ruled that the Mo</w:t>
      </w:r>
      <w:r w:rsidRPr="00E726E5">
        <w:rPr>
          <w:rFonts w:ascii="Arial" w:hAnsi="Arial" w:cs="Arial"/>
          <w:sz w:val="24"/>
          <w:szCs w:val="24"/>
        </w:rPr>
        <w:t>D policy was incompatible with the claimants’ right to privacy and private life under Article 8ECHR. The result was the lifting of the ban and the adoption of an Armed Forces Code of Social Conduct</w:t>
      </w:r>
      <w:r w:rsidRPr="00E726E5">
        <w:rPr>
          <w:rFonts w:ascii="Arial" w:hAnsi="Arial" w:cs="Arial"/>
          <w:sz w:val="24"/>
          <w:szCs w:val="24"/>
          <w:vertAlign w:val="superscript"/>
        </w:rPr>
        <w:footnoteReference w:id="115"/>
      </w:r>
      <w:r w:rsidRPr="00E726E5">
        <w:rPr>
          <w:rFonts w:ascii="Arial" w:hAnsi="Arial" w:cs="Arial"/>
          <w:sz w:val="24"/>
          <w:szCs w:val="24"/>
        </w:rPr>
        <w:t xml:space="preserve"> that applied generally across all personnel.</w:t>
      </w:r>
    </w:p>
    <w:p w:rsidR="0075753B" w:rsidRPr="00E726E5" w:rsidRDefault="0075753B" w:rsidP="0075753B">
      <w:pPr>
        <w:spacing w:line="360" w:lineRule="auto"/>
        <w:jc w:val="both"/>
        <w:rPr>
          <w:rFonts w:ascii="Arial" w:hAnsi="Arial" w:cs="Arial"/>
          <w:sz w:val="24"/>
          <w:szCs w:val="24"/>
        </w:rPr>
      </w:pPr>
    </w:p>
    <w:p w:rsidR="0075753B" w:rsidRPr="00E726E5" w:rsidRDefault="0075753B" w:rsidP="0075753B">
      <w:pPr>
        <w:spacing w:line="360" w:lineRule="auto"/>
        <w:jc w:val="both"/>
        <w:rPr>
          <w:rFonts w:ascii="Arial" w:hAnsi="Arial" w:cs="Arial"/>
          <w:sz w:val="24"/>
          <w:szCs w:val="24"/>
        </w:rPr>
      </w:pPr>
      <w:r w:rsidRPr="00E726E5">
        <w:rPr>
          <w:rFonts w:ascii="Arial" w:hAnsi="Arial" w:cs="Arial"/>
          <w:sz w:val="24"/>
          <w:szCs w:val="24"/>
        </w:rPr>
        <w:t>Since then there have been two reviews of the abolition of the ban on homosexuals serving in the military, first in October 2000</w:t>
      </w:r>
      <w:r w:rsidRPr="00E726E5">
        <w:rPr>
          <w:rFonts w:ascii="Arial" w:hAnsi="Arial" w:cs="Arial"/>
          <w:sz w:val="24"/>
          <w:szCs w:val="24"/>
          <w:vertAlign w:val="superscript"/>
        </w:rPr>
        <w:footnoteReference w:id="116"/>
      </w:r>
      <w:r w:rsidRPr="00E726E5">
        <w:rPr>
          <w:rFonts w:ascii="Arial" w:hAnsi="Arial" w:cs="Arial"/>
          <w:sz w:val="24"/>
          <w:szCs w:val="24"/>
        </w:rPr>
        <w:t xml:space="preserve"> and then in 2002</w:t>
      </w:r>
      <w:r w:rsidRPr="00E726E5">
        <w:rPr>
          <w:rFonts w:ascii="Arial" w:hAnsi="Arial" w:cs="Arial"/>
          <w:sz w:val="24"/>
          <w:szCs w:val="24"/>
          <w:vertAlign w:val="superscript"/>
        </w:rPr>
        <w:footnoteReference w:id="117"/>
      </w:r>
      <w:r w:rsidRPr="00E726E5">
        <w:rPr>
          <w:rFonts w:ascii="Arial" w:hAnsi="Arial" w:cs="Arial"/>
          <w:sz w:val="24"/>
          <w:szCs w:val="24"/>
        </w:rPr>
        <w:t xml:space="preserve">. Neither reported significant problems with the application of the new rules. Unfortunately the military now consider homosexuality to be a non-issue and so no empirical research has been carried out since the lifting of the ban to determine the number of homosexuals serving or to investigate their experiences. This failure to monitor and evaluate this issue may possibly lead to a challenge being brought against the military under </w:t>
      </w:r>
      <w:r w:rsidR="00682068">
        <w:rPr>
          <w:rFonts w:ascii="Arial" w:hAnsi="Arial" w:cs="Arial"/>
          <w:sz w:val="24"/>
          <w:szCs w:val="24"/>
        </w:rPr>
        <w:t>section 149(1)</w:t>
      </w:r>
      <w:r w:rsidRPr="00E726E5">
        <w:rPr>
          <w:rFonts w:ascii="Arial" w:hAnsi="Arial" w:cs="Arial"/>
          <w:sz w:val="24"/>
          <w:szCs w:val="24"/>
        </w:rPr>
        <w:t xml:space="preserve"> of the EA10, especially if the claims of Basham</w:t>
      </w:r>
      <w:r w:rsidRPr="00E726E5">
        <w:rPr>
          <w:rFonts w:ascii="Arial" w:hAnsi="Arial" w:cs="Arial"/>
          <w:sz w:val="24"/>
          <w:szCs w:val="24"/>
          <w:vertAlign w:val="superscript"/>
        </w:rPr>
        <w:footnoteReference w:id="118"/>
      </w:r>
      <w:r w:rsidRPr="00E726E5">
        <w:rPr>
          <w:rFonts w:ascii="Arial" w:hAnsi="Arial" w:cs="Arial"/>
          <w:sz w:val="24"/>
          <w:szCs w:val="24"/>
        </w:rPr>
        <w:t xml:space="preserve"> that arguments of social cohesion behind the concept of combat effectiveness lead to situations of harassment for women and homosexuals are upheld.</w:t>
      </w:r>
      <w:r w:rsidR="00F671B2">
        <w:rPr>
          <w:rFonts w:ascii="Arial" w:hAnsi="Arial" w:cs="Arial"/>
          <w:sz w:val="24"/>
          <w:szCs w:val="24"/>
        </w:rPr>
        <w:t xml:space="preserve"> T</w:t>
      </w:r>
      <w:r w:rsidR="00682068">
        <w:rPr>
          <w:rFonts w:ascii="Arial" w:hAnsi="Arial" w:cs="Arial"/>
          <w:sz w:val="24"/>
          <w:szCs w:val="24"/>
        </w:rPr>
        <w:t xml:space="preserve">he </w:t>
      </w:r>
      <w:r w:rsidR="00F671B2">
        <w:rPr>
          <w:rFonts w:ascii="Arial" w:hAnsi="Arial" w:cs="Arial"/>
          <w:sz w:val="24"/>
          <w:szCs w:val="24"/>
        </w:rPr>
        <w:t xml:space="preserve">requirement to provide equality information across all protected characteristics may alleviate such an </w:t>
      </w:r>
      <w:r w:rsidR="00F671B2">
        <w:rPr>
          <w:rFonts w:ascii="Arial" w:hAnsi="Arial" w:cs="Arial"/>
          <w:sz w:val="24"/>
          <w:szCs w:val="24"/>
        </w:rPr>
        <w:lastRenderedPageBreak/>
        <w:t>opportunity but as the military are starting from scratch then there is likely to be a time lag before meaningful data becomes available.</w:t>
      </w:r>
    </w:p>
    <w:p w:rsidR="0075753B" w:rsidRPr="00E726E5" w:rsidRDefault="0075753B" w:rsidP="0075753B">
      <w:pPr>
        <w:spacing w:line="360" w:lineRule="auto"/>
        <w:jc w:val="both"/>
        <w:rPr>
          <w:rFonts w:ascii="Arial" w:hAnsi="Arial" w:cs="Arial"/>
          <w:sz w:val="24"/>
          <w:szCs w:val="24"/>
        </w:rPr>
      </w:pPr>
    </w:p>
    <w:p w:rsidR="0075753B" w:rsidRPr="00E726E5" w:rsidRDefault="0075753B" w:rsidP="0075753B">
      <w:pPr>
        <w:spacing w:line="360" w:lineRule="auto"/>
        <w:jc w:val="both"/>
        <w:rPr>
          <w:rFonts w:ascii="Arial" w:hAnsi="Arial" w:cs="Arial"/>
          <w:sz w:val="24"/>
          <w:szCs w:val="24"/>
        </w:rPr>
      </w:pPr>
      <w:r w:rsidRPr="00E726E5">
        <w:rPr>
          <w:rFonts w:ascii="Arial" w:hAnsi="Arial" w:cs="Arial"/>
          <w:sz w:val="24"/>
          <w:szCs w:val="24"/>
        </w:rPr>
        <w:t xml:space="preserve">The opportunities for homosexual ex-servicemen and women to obtain compensation for sex discrimination on the grounds of their dismissal on the basis of their homosexuality were severely curtailed in the case of </w:t>
      </w:r>
      <w:r w:rsidRPr="007C6283">
        <w:rPr>
          <w:rFonts w:ascii="Arial" w:hAnsi="Arial" w:cs="Arial"/>
          <w:i/>
          <w:sz w:val="24"/>
          <w:szCs w:val="24"/>
        </w:rPr>
        <w:t>MacDonald</w:t>
      </w:r>
      <w:r w:rsidRPr="00E726E5">
        <w:rPr>
          <w:rFonts w:ascii="Arial" w:hAnsi="Arial" w:cs="Arial"/>
          <w:sz w:val="24"/>
          <w:szCs w:val="24"/>
          <w:vertAlign w:val="superscript"/>
        </w:rPr>
        <w:footnoteReference w:id="119"/>
      </w:r>
      <w:r w:rsidRPr="00E726E5">
        <w:rPr>
          <w:rFonts w:ascii="Arial" w:hAnsi="Arial" w:cs="Arial"/>
          <w:sz w:val="24"/>
          <w:szCs w:val="24"/>
        </w:rPr>
        <w:t xml:space="preserve"> before the House of Lords. The SDA75 required a real comparator to be used to determine discriminatory treatment. MacDonald was dismissed from the RAF because he was attracted to men and so it was argued that the comparator to be used should be a wo</w:t>
      </w:r>
      <w:r w:rsidR="00683AB5">
        <w:rPr>
          <w:rFonts w:ascii="Arial" w:hAnsi="Arial" w:cs="Arial"/>
          <w:sz w:val="24"/>
          <w:szCs w:val="24"/>
        </w:rPr>
        <w:t xml:space="preserve">man who was attracted to men, </w:t>
      </w:r>
      <w:proofErr w:type="spellStart"/>
      <w:r w:rsidR="00683AB5">
        <w:rPr>
          <w:rFonts w:ascii="Arial" w:hAnsi="Arial" w:cs="Arial"/>
          <w:sz w:val="24"/>
          <w:szCs w:val="24"/>
        </w:rPr>
        <w:t>ie</w:t>
      </w:r>
      <w:proofErr w:type="spellEnd"/>
      <w:r w:rsidRPr="00E726E5">
        <w:rPr>
          <w:rFonts w:ascii="Arial" w:hAnsi="Arial" w:cs="Arial"/>
          <w:sz w:val="24"/>
          <w:szCs w:val="24"/>
        </w:rPr>
        <w:t xml:space="preserve"> a heterosexual woman. The Lords disagreed and concluded that the real comparator had to be a woman who w</w:t>
      </w:r>
      <w:r w:rsidR="00683AB5">
        <w:rPr>
          <w:rFonts w:ascii="Arial" w:hAnsi="Arial" w:cs="Arial"/>
          <w:sz w:val="24"/>
          <w:szCs w:val="24"/>
        </w:rPr>
        <w:t xml:space="preserve">as attracted to the same sex, </w:t>
      </w:r>
      <w:proofErr w:type="spellStart"/>
      <w:r w:rsidR="00683AB5">
        <w:rPr>
          <w:rFonts w:ascii="Arial" w:hAnsi="Arial" w:cs="Arial"/>
          <w:sz w:val="24"/>
          <w:szCs w:val="24"/>
        </w:rPr>
        <w:t>ie</w:t>
      </w:r>
      <w:proofErr w:type="spellEnd"/>
      <w:r w:rsidRPr="00E726E5">
        <w:rPr>
          <w:rFonts w:ascii="Arial" w:hAnsi="Arial" w:cs="Arial"/>
          <w:sz w:val="24"/>
          <w:szCs w:val="24"/>
        </w:rPr>
        <w:t xml:space="preserve"> a lesbian. As the armed forces had the same policy towards lesbians as they did to homosexual men then there was no discrimination. The EA10 has now removed the requirement of a real comparator for the determination of a sex discrimination case and as such the outcome could well be different now.</w:t>
      </w:r>
    </w:p>
    <w:p w:rsidR="0075753B" w:rsidRPr="00E726E5" w:rsidRDefault="0075753B" w:rsidP="0075753B">
      <w:pPr>
        <w:spacing w:line="360" w:lineRule="auto"/>
        <w:jc w:val="both"/>
        <w:rPr>
          <w:rFonts w:ascii="Arial" w:hAnsi="Arial" w:cs="Arial"/>
          <w:sz w:val="24"/>
          <w:szCs w:val="24"/>
        </w:rPr>
      </w:pPr>
    </w:p>
    <w:p w:rsidR="0075753B" w:rsidRDefault="0075753B" w:rsidP="0075753B">
      <w:pPr>
        <w:spacing w:line="360" w:lineRule="auto"/>
        <w:jc w:val="both"/>
        <w:rPr>
          <w:rFonts w:ascii="Arial" w:hAnsi="Arial" w:cs="Arial"/>
          <w:sz w:val="24"/>
          <w:szCs w:val="24"/>
        </w:rPr>
      </w:pPr>
      <w:r w:rsidRPr="00E726E5">
        <w:rPr>
          <w:rFonts w:ascii="Arial" w:hAnsi="Arial" w:cs="Arial"/>
          <w:sz w:val="24"/>
          <w:szCs w:val="24"/>
        </w:rPr>
        <w:t>The final point to note on the development of the law on homosexuals and the armed forces is the effect of the Civil Partnership Act 2004</w:t>
      </w:r>
      <w:r w:rsidRPr="00E726E5">
        <w:rPr>
          <w:rFonts w:ascii="Arial" w:hAnsi="Arial" w:cs="Arial"/>
          <w:sz w:val="24"/>
          <w:szCs w:val="24"/>
          <w:vertAlign w:val="superscript"/>
        </w:rPr>
        <w:footnoteReference w:id="120"/>
      </w:r>
      <w:r w:rsidRPr="00E726E5">
        <w:rPr>
          <w:rFonts w:ascii="Arial" w:hAnsi="Arial" w:cs="Arial"/>
          <w:sz w:val="24"/>
          <w:szCs w:val="24"/>
        </w:rPr>
        <w:t>. This opened the way to service personnel being able to register their civil partnerships and having access to the same welfare benefits and service allowances as ma</w:t>
      </w:r>
      <w:r w:rsidR="00683AB5">
        <w:rPr>
          <w:rFonts w:ascii="Arial" w:hAnsi="Arial" w:cs="Arial"/>
          <w:sz w:val="24"/>
          <w:szCs w:val="24"/>
        </w:rPr>
        <w:t>rried heterosexual personnel (</w:t>
      </w:r>
      <w:proofErr w:type="spellStart"/>
      <w:r w:rsidR="00683AB5">
        <w:rPr>
          <w:rFonts w:ascii="Arial" w:hAnsi="Arial" w:cs="Arial"/>
          <w:sz w:val="24"/>
          <w:szCs w:val="24"/>
        </w:rPr>
        <w:t>e</w:t>
      </w:r>
      <w:r w:rsidRPr="00E726E5">
        <w:rPr>
          <w:rFonts w:ascii="Arial" w:hAnsi="Arial" w:cs="Arial"/>
          <w:sz w:val="24"/>
          <w:szCs w:val="24"/>
        </w:rPr>
        <w:t>g</w:t>
      </w:r>
      <w:proofErr w:type="spellEnd"/>
      <w:r w:rsidRPr="00E726E5">
        <w:rPr>
          <w:rFonts w:ascii="Arial" w:hAnsi="Arial" w:cs="Arial"/>
          <w:sz w:val="24"/>
          <w:szCs w:val="24"/>
        </w:rPr>
        <w:t xml:space="preserve"> access to Service Family Accommodation, pens</w:t>
      </w:r>
      <w:r w:rsidR="00683AB5">
        <w:rPr>
          <w:rFonts w:ascii="Arial" w:hAnsi="Arial" w:cs="Arial"/>
          <w:sz w:val="24"/>
          <w:szCs w:val="24"/>
        </w:rPr>
        <w:t xml:space="preserve">ion rights, travel benefits </w:t>
      </w:r>
      <w:proofErr w:type="spellStart"/>
      <w:r w:rsidR="00683AB5">
        <w:rPr>
          <w:rFonts w:ascii="Arial" w:hAnsi="Arial" w:cs="Arial"/>
          <w:sz w:val="24"/>
          <w:szCs w:val="24"/>
        </w:rPr>
        <w:t>etc</w:t>
      </w:r>
      <w:proofErr w:type="spellEnd"/>
      <w:r w:rsidRPr="00E726E5">
        <w:rPr>
          <w:rFonts w:ascii="Arial" w:hAnsi="Arial" w:cs="Arial"/>
          <w:sz w:val="24"/>
          <w:szCs w:val="24"/>
        </w:rPr>
        <w:t>).</w:t>
      </w:r>
    </w:p>
    <w:p w:rsidR="0075753B" w:rsidRDefault="0075753B" w:rsidP="0075753B">
      <w:pPr>
        <w:pStyle w:val="ListParagraph"/>
        <w:numPr>
          <w:ilvl w:val="0"/>
          <w:numId w:val="5"/>
        </w:numPr>
        <w:spacing w:line="360" w:lineRule="auto"/>
        <w:jc w:val="both"/>
        <w:rPr>
          <w:rFonts w:ascii="Arial" w:hAnsi="Arial" w:cs="Arial"/>
          <w:sz w:val="24"/>
          <w:szCs w:val="24"/>
        </w:rPr>
      </w:pPr>
      <w:r>
        <w:rPr>
          <w:rFonts w:ascii="Arial" w:hAnsi="Arial" w:cs="Arial"/>
          <w:sz w:val="24"/>
          <w:szCs w:val="24"/>
        </w:rPr>
        <w:lastRenderedPageBreak/>
        <w:t>Age</w:t>
      </w:r>
      <w:r w:rsidR="008D0603">
        <w:rPr>
          <w:rStyle w:val="FootnoteReference"/>
          <w:rFonts w:ascii="Arial" w:hAnsi="Arial" w:cs="Arial"/>
          <w:sz w:val="24"/>
          <w:szCs w:val="24"/>
        </w:rPr>
        <w:footnoteReference w:id="121"/>
      </w:r>
    </w:p>
    <w:p w:rsidR="0075753B" w:rsidRDefault="004B67FE" w:rsidP="0075753B">
      <w:pPr>
        <w:spacing w:line="360" w:lineRule="auto"/>
        <w:jc w:val="both"/>
        <w:rPr>
          <w:rFonts w:ascii="Arial" w:hAnsi="Arial" w:cs="Arial"/>
          <w:sz w:val="24"/>
          <w:szCs w:val="24"/>
        </w:rPr>
      </w:pPr>
      <w:r>
        <w:rPr>
          <w:rFonts w:ascii="Arial" w:hAnsi="Arial" w:cs="Arial"/>
          <w:sz w:val="24"/>
          <w:szCs w:val="24"/>
        </w:rPr>
        <w:t>Article 1 of t</w:t>
      </w:r>
      <w:r w:rsidR="0075753B" w:rsidRPr="007B59B1">
        <w:rPr>
          <w:rFonts w:ascii="Arial" w:hAnsi="Arial" w:cs="Arial"/>
          <w:sz w:val="24"/>
          <w:szCs w:val="24"/>
        </w:rPr>
        <w:t>he EU Framework Directive on</w:t>
      </w:r>
      <w:r>
        <w:rPr>
          <w:rFonts w:ascii="Arial" w:hAnsi="Arial" w:cs="Arial"/>
          <w:sz w:val="24"/>
          <w:szCs w:val="24"/>
        </w:rPr>
        <w:t xml:space="preserve"> Equal Treatment in Employment</w:t>
      </w:r>
      <w:r w:rsidR="0075753B">
        <w:rPr>
          <w:rStyle w:val="FootnoteReference"/>
          <w:rFonts w:ascii="Arial" w:hAnsi="Arial" w:cs="Arial"/>
          <w:sz w:val="24"/>
          <w:szCs w:val="24"/>
        </w:rPr>
        <w:footnoteReference w:id="122"/>
      </w:r>
      <w:r w:rsidR="0075753B" w:rsidRPr="007B59B1">
        <w:rPr>
          <w:rFonts w:ascii="Arial" w:hAnsi="Arial" w:cs="Arial"/>
          <w:sz w:val="24"/>
          <w:szCs w:val="24"/>
        </w:rPr>
        <w:t xml:space="preserve"> provides for the prohibition of discrimination </w:t>
      </w:r>
      <w:proofErr w:type="gramStart"/>
      <w:r w:rsidR="0075753B" w:rsidRPr="007B59B1">
        <w:rPr>
          <w:rFonts w:ascii="Arial" w:hAnsi="Arial" w:cs="Arial"/>
          <w:sz w:val="24"/>
          <w:szCs w:val="24"/>
        </w:rPr>
        <w:t>on,</w:t>
      </w:r>
      <w:proofErr w:type="gramEnd"/>
      <w:r w:rsidR="0075753B" w:rsidRPr="007B59B1">
        <w:rPr>
          <w:rFonts w:ascii="Arial" w:hAnsi="Arial" w:cs="Arial"/>
          <w:sz w:val="24"/>
          <w:szCs w:val="24"/>
        </w:rPr>
        <w:t xml:space="preserve"> </w:t>
      </w:r>
      <w:r w:rsidR="0075753B" w:rsidRPr="007B59B1">
        <w:rPr>
          <w:rFonts w:ascii="Arial" w:hAnsi="Arial" w:cs="Arial"/>
          <w:i/>
          <w:sz w:val="24"/>
          <w:szCs w:val="24"/>
        </w:rPr>
        <w:t>inter alia</w:t>
      </w:r>
      <w:r w:rsidR="0075753B" w:rsidRPr="007B59B1">
        <w:rPr>
          <w:rFonts w:ascii="Arial" w:hAnsi="Arial" w:cs="Arial"/>
          <w:sz w:val="24"/>
          <w:szCs w:val="24"/>
        </w:rPr>
        <w:t xml:space="preserve">, the grounds of age. However, Article 3(4) enables Member States to derogate from the Directive on the grounds of age for the armed forces. The UK, as we have seen in the EA10, has taken advantage of this derogation. There is a danger here though in a line of case law from the ECJ. In </w:t>
      </w:r>
      <w:r w:rsidR="0075753B" w:rsidRPr="007C6283">
        <w:rPr>
          <w:rFonts w:ascii="Arial" w:hAnsi="Arial" w:cs="Arial"/>
          <w:i/>
          <w:sz w:val="24"/>
          <w:szCs w:val="24"/>
        </w:rPr>
        <w:t>Mangold</w:t>
      </w:r>
      <w:r w:rsidR="0075753B" w:rsidRPr="00F72CE0">
        <w:rPr>
          <w:rStyle w:val="FootnoteReference"/>
          <w:rFonts w:ascii="Arial" w:hAnsi="Arial" w:cs="Arial"/>
          <w:sz w:val="24"/>
          <w:szCs w:val="24"/>
        </w:rPr>
        <w:footnoteReference w:id="123"/>
      </w:r>
      <w:r w:rsidR="0075753B" w:rsidRPr="007B59B1">
        <w:rPr>
          <w:rFonts w:ascii="Arial" w:hAnsi="Arial" w:cs="Arial"/>
          <w:sz w:val="24"/>
          <w:szCs w:val="24"/>
        </w:rPr>
        <w:t xml:space="preserve"> the Court held that although the Directive could not apply when an individual brought an action against another individual (horizontal direct effect), discrimination on the basis of age was a general principle of EU Law and as such existed prior to the entry into force of the Directive. This has been further entrenched and extended in the case of </w:t>
      </w:r>
      <w:r w:rsidR="0075753B" w:rsidRPr="007C6283">
        <w:rPr>
          <w:rFonts w:ascii="Arial" w:hAnsi="Arial" w:cs="Arial"/>
          <w:i/>
          <w:sz w:val="24"/>
          <w:szCs w:val="24"/>
        </w:rPr>
        <w:t>Kücükdeveci</w:t>
      </w:r>
      <w:r w:rsidR="0075753B" w:rsidRPr="00F72CE0">
        <w:rPr>
          <w:rStyle w:val="FootnoteReference"/>
          <w:rFonts w:ascii="Arial" w:hAnsi="Arial" w:cs="Arial"/>
          <w:sz w:val="24"/>
          <w:szCs w:val="24"/>
        </w:rPr>
        <w:footnoteReference w:id="124"/>
      </w:r>
      <w:r w:rsidR="0075753B" w:rsidRPr="007B59B1">
        <w:rPr>
          <w:rFonts w:ascii="Arial" w:hAnsi="Arial" w:cs="Arial"/>
          <w:sz w:val="24"/>
          <w:szCs w:val="24"/>
        </w:rPr>
        <w:t xml:space="preserve"> where the ECJ held that this fundamental right could be enforced by an individual in a national court.</w:t>
      </w:r>
    </w:p>
    <w:p w:rsidR="0075753B" w:rsidRDefault="0075753B" w:rsidP="0075753B">
      <w:pPr>
        <w:pStyle w:val="ListParagraph"/>
        <w:numPr>
          <w:ilvl w:val="0"/>
          <w:numId w:val="5"/>
        </w:numPr>
        <w:spacing w:line="360" w:lineRule="auto"/>
        <w:jc w:val="both"/>
        <w:rPr>
          <w:rFonts w:ascii="Arial" w:hAnsi="Arial" w:cs="Arial"/>
          <w:sz w:val="24"/>
          <w:szCs w:val="24"/>
        </w:rPr>
      </w:pPr>
      <w:r>
        <w:rPr>
          <w:rFonts w:ascii="Arial" w:hAnsi="Arial" w:cs="Arial"/>
          <w:sz w:val="24"/>
          <w:szCs w:val="24"/>
        </w:rPr>
        <w:lastRenderedPageBreak/>
        <w:t>Disability</w:t>
      </w:r>
    </w:p>
    <w:p w:rsidR="0075753B" w:rsidRDefault="0075753B" w:rsidP="0075753B">
      <w:pPr>
        <w:spacing w:line="360" w:lineRule="auto"/>
        <w:jc w:val="both"/>
        <w:rPr>
          <w:rFonts w:ascii="Arial" w:hAnsi="Arial" w:cs="Arial"/>
          <w:sz w:val="24"/>
          <w:szCs w:val="24"/>
        </w:rPr>
      </w:pPr>
      <w:r>
        <w:rPr>
          <w:rFonts w:ascii="Arial" w:hAnsi="Arial" w:cs="Arial"/>
          <w:sz w:val="24"/>
          <w:szCs w:val="24"/>
        </w:rPr>
        <w:t>As with age above, the Directive prohibits discrimination on the basis of disability but Article 3(4) enables Member States to exclude this for the armed forces, which as we have seen the UK has taken advantage of. As yet no cases have been brought or argued before the courts, in particular the ECJ, but there is a possibility that similar case law could develop as for age discrimination.</w:t>
      </w:r>
    </w:p>
    <w:p w:rsidR="0075753B" w:rsidRDefault="0075753B" w:rsidP="0075753B">
      <w:pPr>
        <w:spacing w:line="360" w:lineRule="auto"/>
        <w:jc w:val="both"/>
        <w:rPr>
          <w:rFonts w:ascii="Arial" w:hAnsi="Arial" w:cs="Arial"/>
          <w:sz w:val="24"/>
          <w:szCs w:val="24"/>
        </w:rPr>
      </w:pPr>
    </w:p>
    <w:p w:rsidR="0075753B" w:rsidRPr="007116B4" w:rsidRDefault="007116B4" w:rsidP="007116B4">
      <w:pPr>
        <w:pStyle w:val="ListParagraph"/>
        <w:numPr>
          <w:ilvl w:val="1"/>
          <w:numId w:val="7"/>
        </w:numPr>
        <w:spacing w:line="360" w:lineRule="auto"/>
        <w:ind w:left="1134" w:hanging="1134"/>
        <w:jc w:val="both"/>
        <w:rPr>
          <w:rFonts w:ascii="Arial" w:hAnsi="Arial" w:cs="Arial"/>
          <w:sz w:val="24"/>
          <w:szCs w:val="24"/>
        </w:rPr>
      </w:pPr>
      <w:r w:rsidRPr="007116B4">
        <w:rPr>
          <w:rFonts w:ascii="Arial" w:hAnsi="Arial" w:cs="Arial"/>
          <w:sz w:val="24"/>
          <w:szCs w:val="24"/>
        </w:rPr>
        <w:t>Human Rights Law</w:t>
      </w:r>
      <w:r w:rsidR="002B0CCC">
        <w:rPr>
          <w:rStyle w:val="FootnoteReference"/>
          <w:rFonts w:ascii="Arial" w:hAnsi="Arial" w:cs="Arial"/>
          <w:sz w:val="24"/>
          <w:szCs w:val="24"/>
        </w:rPr>
        <w:footnoteReference w:id="125"/>
      </w:r>
    </w:p>
    <w:p w:rsidR="007116B4" w:rsidRPr="007116B4" w:rsidRDefault="007116B4" w:rsidP="007116B4">
      <w:pPr>
        <w:spacing w:line="360" w:lineRule="auto"/>
        <w:jc w:val="both"/>
        <w:rPr>
          <w:rFonts w:ascii="Arial" w:hAnsi="Arial" w:cs="Arial"/>
          <w:sz w:val="24"/>
          <w:szCs w:val="24"/>
        </w:rPr>
      </w:pPr>
    </w:p>
    <w:p w:rsidR="00D61619" w:rsidRDefault="007F73B4" w:rsidP="009953C6">
      <w:pPr>
        <w:spacing w:line="360" w:lineRule="auto"/>
        <w:jc w:val="both"/>
        <w:rPr>
          <w:rFonts w:ascii="Arial" w:hAnsi="Arial" w:cs="Arial"/>
          <w:sz w:val="24"/>
          <w:szCs w:val="24"/>
        </w:rPr>
      </w:pPr>
      <w:r>
        <w:rPr>
          <w:rFonts w:ascii="Arial" w:hAnsi="Arial" w:cs="Arial"/>
          <w:sz w:val="24"/>
          <w:szCs w:val="24"/>
        </w:rPr>
        <w:t>T</w:t>
      </w:r>
      <w:r w:rsidR="00252CD4">
        <w:rPr>
          <w:rFonts w:ascii="Arial" w:hAnsi="Arial" w:cs="Arial"/>
          <w:sz w:val="24"/>
          <w:szCs w:val="24"/>
        </w:rPr>
        <w:t xml:space="preserve">he Human Rights Act </w:t>
      </w:r>
      <w:r w:rsidR="002F4FA7">
        <w:rPr>
          <w:rFonts w:ascii="Arial" w:hAnsi="Arial" w:cs="Arial"/>
          <w:sz w:val="24"/>
          <w:szCs w:val="24"/>
        </w:rPr>
        <w:t xml:space="preserve">(HRA) </w:t>
      </w:r>
      <w:r w:rsidR="00252CD4">
        <w:rPr>
          <w:rFonts w:ascii="Arial" w:hAnsi="Arial" w:cs="Arial"/>
          <w:sz w:val="24"/>
          <w:szCs w:val="24"/>
        </w:rPr>
        <w:t>1998</w:t>
      </w:r>
      <w:r w:rsidR="00B976D1">
        <w:rPr>
          <w:rFonts w:ascii="Arial" w:hAnsi="Arial" w:cs="Arial"/>
          <w:sz w:val="24"/>
          <w:szCs w:val="24"/>
        </w:rPr>
        <w:t xml:space="preserve"> c</w:t>
      </w:r>
      <w:r w:rsidR="00A33712">
        <w:rPr>
          <w:rFonts w:ascii="Arial" w:hAnsi="Arial" w:cs="Arial"/>
          <w:sz w:val="24"/>
          <w:szCs w:val="24"/>
        </w:rPr>
        <w:t>a</w:t>
      </w:r>
      <w:r w:rsidR="00B976D1">
        <w:rPr>
          <w:rFonts w:ascii="Arial" w:hAnsi="Arial" w:cs="Arial"/>
          <w:sz w:val="24"/>
          <w:szCs w:val="24"/>
        </w:rPr>
        <w:t>m</w:t>
      </w:r>
      <w:r w:rsidR="00A33712">
        <w:rPr>
          <w:rFonts w:ascii="Arial" w:hAnsi="Arial" w:cs="Arial"/>
          <w:sz w:val="24"/>
          <w:szCs w:val="24"/>
        </w:rPr>
        <w:t>e</w:t>
      </w:r>
      <w:r w:rsidR="00B976D1">
        <w:rPr>
          <w:rFonts w:ascii="Arial" w:hAnsi="Arial" w:cs="Arial"/>
          <w:sz w:val="24"/>
          <w:szCs w:val="24"/>
        </w:rPr>
        <w:t xml:space="preserve"> into force in 2000,</w:t>
      </w:r>
      <w:r w:rsidR="00252CD4">
        <w:rPr>
          <w:rFonts w:ascii="Arial" w:hAnsi="Arial" w:cs="Arial"/>
          <w:sz w:val="24"/>
          <w:szCs w:val="24"/>
        </w:rPr>
        <w:t xml:space="preserve"> </w:t>
      </w:r>
      <w:r w:rsidR="00A33712">
        <w:rPr>
          <w:rFonts w:ascii="Arial" w:hAnsi="Arial" w:cs="Arial"/>
          <w:sz w:val="24"/>
          <w:szCs w:val="24"/>
        </w:rPr>
        <w:t>enabling</w:t>
      </w:r>
      <w:r w:rsidR="00252CD4">
        <w:rPr>
          <w:rFonts w:ascii="Arial" w:hAnsi="Arial" w:cs="Arial"/>
          <w:sz w:val="24"/>
          <w:szCs w:val="24"/>
        </w:rPr>
        <w:t xml:space="preserve"> the UK courts to develop human rights judgments based on the </w:t>
      </w:r>
      <w:r w:rsidR="009953C6">
        <w:rPr>
          <w:rFonts w:ascii="Arial" w:hAnsi="Arial" w:cs="Arial"/>
          <w:sz w:val="24"/>
          <w:szCs w:val="24"/>
        </w:rPr>
        <w:t xml:space="preserve">ECHR </w:t>
      </w:r>
      <w:r w:rsidR="00252CD4">
        <w:rPr>
          <w:rFonts w:ascii="Arial" w:hAnsi="Arial" w:cs="Arial"/>
          <w:sz w:val="24"/>
          <w:szCs w:val="24"/>
        </w:rPr>
        <w:t xml:space="preserve">and the jurisprudence of the </w:t>
      </w:r>
      <w:r w:rsidR="00B976D1">
        <w:rPr>
          <w:rFonts w:ascii="Arial" w:hAnsi="Arial" w:cs="Arial"/>
          <w:sz w:val="24"/>
          <w:szCs w:val="24"/>
        </w:rPr>
        <w:t>ECtHR</w:t>
      </w:r>
      <w:r w:rsidR="00252CD4">
        <w:rPr>
          <w:rFonts w:ascii="Arial" w:hAnsi="Arial" w:cs="Arial"/>
          <w:sz w:val="24"/>
          <w:szCs w:val="24"/>
        </w:rPr>
        <w:t>.</w:t>
      </w:r>
      <w:r w:rsidR="003960D1">
        <w:rPr>
          <w:rFonts w:ascii="Arial" w:hAnsi="Arial" w:cs="Arial"/>
          <w:sz w:val="24"/>
          <w:szCs w:val="24"/>
        </w:rPr>
        <w:t xml:space="preserve"> </w:t>
      </w:r>
      <w:r w:rsidR="009953C6">
        <w:rPr>
          <w:rFonts w:ascii="Arial" w:hAnsi="Arial" w:cs="Arial"/>
          <w:sz w:val="24"/>
          <w:szCs w:val="24"/>
        </w:rPr>
        <w:t>Section</w:t>
      </w:r>
      <w:r w:rsidR="002F4FA7">
        <w:rPr>
          <w:rFonts w:ascii="Arial" w:hAnsi="Arial" w:cs="Arial"/>
          <w:sz w:val="24"/>
          <w:szCs w:val="24"/>
        </w:rPr>
        <w:t xml:space="preserve"> 6(1)</w:t>
      </w:r>
      <w:r w:rsidR="00E65BA1">
        <w:rPr>
          <w:rFonts w:ascii="Arial" w:hAnsi="Arial" w:cs="Arial"/>
          <w:sz w:val="24"/>
          <w:szCs w:val="24"/>
        </w:rPr>
        <w:t xml:space="preserve"> of the </w:t>
      </w:r>
      <w:r w:rsidR="002F4FA7">
        <w:rPr>
          <w:rFonts w:ascii="Arial" w:hAnsi="Arial" w:cs="Arial"/>
          <w:sz w:val="24"/>
          <w:szCs w:val="24"/>
        </w:rPr>
        <w:t xml:space="preserve">HRA states that </w:t>
      </w:r>
      <w:r w:rsidR="006456EC">
        <w:rPr>
          <w:rFonts w:ascii="Arial" w:hAnsi="Arial" w:cs="Arial"/>
          <w:sz w:val="24"/>
          <w:szCs w:val="24"/>
        </w:rPr>
        <w:t>‘</w:t>
      </w:r>
      <w:r w:rsidR="009953C6">
        <w:rPr>
          <w:rFonts w:ascii="Arial" w:hAnsi="Arial" w:cs="Arial"/>
          <w:sz w:val="24"/>
          <w:szCs w:val="24"/>
        </w:rPr>
        <w:t>[</w:t>
      </w:r>
      <w:proofErr w:type="spellStart"/>
      <w:r w:rsidR="009953C6">
        <w:rPr>
          <w:rFonts w:ascii="Arial" w:hAnsi="Arial" w:cs="Arial"/>
          <w:sz w:val="24"/>
          <w:szCs w:val="24"/>
        </w:rPr>
        <w:t>i</w:t>
      </w:r>
      <w:proofErr w:type="spellEnd"/>
      <w:r w:rsidR="009953C6">
        <w:rPr>
          <w:rFonts w:ascii="Arial" w:hAnsi="Arial" w:cs="Arial"/>
          <w:sz w:val="24"/>
          <w:szCs w:val="24"/>
        </w:rPr>
        <w:t>]</w:t>
      </w:r>
      <w:r w:rsidR="009953C6" w:rsidRPr="009953C6">
        <w:rPr>
          <w:rFonts w:ascii="Arial" w:hAnsi="Arial" w:cs="Arial"/>
          <w:sz w:val="24"/>
          <w:szCs w:val="24"/>
        </w:rPr>
        <w:t>t is unlawful for a public authority to act in a way which is incompatible with a</w:t>
      </w:r>
      <w:r w:rsidR="009953C6">
        <w:rPr>
          <w:rFonts w:ascii="Arial" w:hAnsi="Arial" w:cs="Arial"/>
          <w:sz w:val="24"/>
          <w:szCs w:val="24"/>
        </w:rPr>
        <w:t xml:space="preserve"> </w:t>
      </w:r>
      <w:r w:rsidR="006456EC">
        <w:rPr>
          <w:rFonts w:ascii="Arial" w:hAnsi="Arial" w:cs="Arial"/>
          <w:sz w:val="24"/>
          <w:szCs w:val="24"/>
        </w:rPr>
        <w:t>Convention right’.</w:t>
      </w:r>
      <w:r w:rsidR="009953C6">
        <w:rPr>
          <w:rFonts w:ascii="Arial" w:hAnsi="Arial" w:cs="Arial"/>
          <w:sz w:val="24"/>
          <w:szCs w:val="24"/>
        </w:rPr>
        <w:t xml:space="preserve"> A limited an</w:t>
      </w:r>
      <w:r w:rsidR="006456EC">
        <w:rPr>
          <w:rFonts w:ascii="Arial" w:hAnsi="Arial" w:cs="Arial"/>
          <w:sz w:val="24"/>
          <w:szCs w:val="24"/>
        </w:rPr>
        <w:t>d non-exhaustive definition of ‘public authority’</w:t>
      </w:r>
      <w:r w:rsidR="009953C6">
        <w:rPr>
          <w:rFonts w:ascii="Arial" w:hAnsi="Arial" w:cs="Arial"/>
          <w:sz w:val="24"/>
          <w:szCs w:val="24"/>
        </w:rPr>
        <w:t xml:space="preserve"> is included in s</w:t>
      </w:r>
      <w:r w:rsidR="00E65BA1">
        <w:rPr>
          <w:rFonts w:ascii="Arial" w:hAnsi="Arial" w:cs="Arial"/>
          <w:sz w:val="24"/>
          <w:szCs w:val="24"/>
        </w:rPr>
        <w:t>ection</w:t>
      </w:r>
      <w:r w:rsidR="009953C6">
        <w:rPr>
          <w:rFonts w:ascii="Arial" w:hAnsi="Arial" w:cs="Arial"/>
          <w:sz w:val="24"/>
          <w:szCs w:val="24"/>
        </w:rPr>
        <w:t xml:space="preserve"> 6(3)</w:t>
      </w:r>
      <w:r w:rsidR="00E65BA1">
        <w:rPr>
          <w:rFonts w:ascii="Arial" w:hAnsi="Arial" w:cs="Arial"/>
          <w:sz w:val="24"/>
          <w:szCs w:val="24"/>
        </w:rPr>
        <w:t xml:space="preserve"> of the </w:t>
      </w:r>
      <w:r w:rsidR="009953C6">
        <w:rPr>
          <w:rFonts w:ascii="Arial" w:hAnsi="Arial" w:cs="Arial"/>
          <w:sz w:val="24"/>
          <w:szCs w:val="24"/>
        </w:rPr>
        <w:t>HRA that i</w:t>
      </w:r>
      <w:r w:rsidR="006456EC">
        <w:rPr>
          <w:rFonts w:ascii="Arial" w:hAnsi="Arial" w:cs="Arial"/>
          <w:sz w:val="24"/>
          <w:szCs w:val="24"/>
        </w:rPr>
        <w:t>ncludes ‘</w:t>
      </w:r>
      <w:r w:rsidR="009953C6" w:rsidRPr="009953C6">
        <w:rPr>
          <w:rFonts w:ascii="Arial" w:hAnsi="Arial" w:cs="Arial"/>
          <w:sz w:val="24"/>
          <w:szCs w:val="24"/>
        </w:rPr>
        <w:t>any person certain of whose functions are functions of a public nature</w:t>
      </w:r>
      <w:r w:rsidR="006456EC">
        <w:rPr>
          <w:rFonts w:ascii="Arial" w:hAnsi="Arial" w:cs="Arial"/>
          <w:sz w:val="24"/>
          <w:szCs w:val="24"/>
        </w:rPr>
        <w:t>’</w:t>
      </w:r>
      <w:r w:rsidR="009953C6">
        <w:rPr>
          <w:rStyle w:val="FootnoteReference"/>
          <w:rFonts w:ascii="Arial" w:hAnsi="Arial" w:cs="Arial"/>
          <w:sz w:val="24"/>
          <w:szCs w:val="24"/>
        </w:rPr>
        <w:footnoteReference w:id="126"/>
      </w:r>
      <w:r w:rsidR="009953C6">
        <w:rPr>
          <w:rFonts w:ascii="Arial" w:hAnsi="Arial" w:cs="Arial"/>
          <w:sz w:val="24"/>
          <w:szCs w:val="24"/>
        </w:rPr>
        <w:t xml:space="preserve">. </w:t>
      </w:r>
      <w:r w:rsidR="00606289">
        <w:rPr>
          <w:rFonts w:ascii="Arial" w:hAnsi="Arial" w:cs="Arial"/>
          <w:sz w:val="24"/>
          <w:szCs w:val="24"/>
        </w:rPr>
        <w:t>Furthermore to bring a claim against a public authority that has acted in a way that is unlawful under s</w:t>
      </w:r>
      <w:r w:rsidR="00E65BA1">
        <w:rPr>
          <w:rFonts w:ascii="Arial" w:hAnsi="Arial" w:cs="Arial"/>
          <w:sz w:val="24"/>
          <w:szCs w:val="24"/>
        </w:rPr>
        <w:t>ection</w:t>
      </w:r>
      <w:r w:rsidR="00606289">
        <w:rPr>
          <w:rFonts w:ascii="Arial" w:hAnsi="Arial" w:cs="Arial"/>
          <w:sz w:val="24"/>
          <w:szCs w:val="24"/>
        </w:rPr>
        <w:t xml:space="preserve"> 6(1)</w:t>
      </w:r>
      <w:r w:rsidR="00E65BA1">
        <w:rPr>
          <w:rFonts w:ascii="Arial" w:hAnsi="Arial" w:cs="Arial"/>
          <w:sz w:val="24"/>
          <w:szCs w:val="24"/>
        </w:rPr>
        <w:t xml:space="preserve"> of the </w:t>
      </w:r>
      <w:r w:rsidR="00606289">
        <w:rPr>
          <w:rFonts w:ascii="Arial" w:hAnsi="Arial" w:cs="Arial"/>
          <w:sz w:val="24"/>
          <w:szCs w:val="24"/>
        </w:rPr>
        <w:t>HRA, s</w:t>
      </w:r>
      <w:r w:rsidR="00E65BA1">
        <w:rPr>
          <w:rFonts w:ascii="Arial" w:hAnsi="Arial" w:cs="Arial"/>
          <w:sz w:val="24"/>
          <w:szCs w:val="24"/>
        </w:rPr>
        <w:t>ection</w:t>
      </w:r>
      <w:r w:rsidR="00606289">
        <w:rPr>
          <w:rFonts w:ascii="Arial" w:hAnsi="Arial" w:cs="Arial"/>
          <w:sz w:val="24"/>
          <w:szCs w:val="24"/>
        </w:rPr>
        <w:t xml:space="preserve"> 7(1)</w:t>
      </w:r>
      <w:r w:rsidR="00E65BA1">
        <w:rPr>
          <w:rFonts w:ascii="Arial" w:hAnsi="Arial" w:cs="Arial"/>
          <w:sz w:val="24"/>
          <w:szCs w:val="24"/>
        </w:rPr>
        <w:t xml:space="preserve"> of the </w:t>
      </w:r>
      <w:r w:rsidR="00606289">
        <w:rPr>
          <w:rFonts w:ascii="Arial" w:hAnsi="Arial" w:cs="Arial"/>
          <w:sz w:val="24"/>
          <w:szCs w:val="24"/>
        </w:rPr>
        <w:t>HRA requires an individual to be, or potentially to be, a victim. The armed forces undoubtedly come within the definition of public authority as do individual members of the armed forces when on duty</w:t>
      </w:r>
      <w:r w:rsidR="00084D58">
        <w:rPr>
          <w:rFonts w:ascii="Arial" w:hAnsi="Arial" w:cs="Arial"/>
          <w:sz w:val="24"/>
          <w:szCs w:val="24"/>
        </w:rPr>
        <w:t xml:space="preserve"> and furthermore they can also be victims of the military operating as a public authority.</w:t>
      </w:r>
      <w:r w:rsidR="00F7773C">
        <w:rPr>
          <w:rFonts w:ascii="Arial" w:hAnsi="Arial" w:cs="Arial"/>
          <w:sz w:val="24"/>
          <w:szCs w:val="24"/>
        </w:rPr>
        <w:t xml:space="preserve"> </w:t>
      </w:r>
    </w:p>
    <w:p w:rsidR="00D61619" w:rsidRDefault="00D61619" w:rsidP="009953C6">
      <w:pPr>
        <w:spacing w:line="360" w:lineRule="auto"/>
        <w:jc w:val="both"/>
        <w:rPr>
          <w:rFonts w:ascii="Arial" w:hAnsi="Arial" w:cs="Arial"/>
          <w:sz w:val="24"/>
          <w:szCs w:val="24"/>
        </w:rPr>
      </w:pPr>
    </w:p>
    <w:p w:rsidR="00AD38B2" w:rsidRPr="002D2382" w:rsidRDefault="00F7773C" w:rsidP="00F97014">
      <w:pPr>
        <w:spacing w:line="360" w:lineRule="auto"/>
        <w:jc w:val="both"/>
        <w:rPr>
          <w:rFonts w:ascii="Arial" w:hAnsi="Arial" w:cs="Arial"/>
          <w:sz w:val="24"/>
          <w:szCs w:val="24"/>
        </w:rPr>
      </w:pPr>
      <w:r>
        <w:rPr>
          <w:rFonts w:ascii="Arial" w:hAnsi="Arial" w:cs="Arial"/>
          <w:sz w:val="24"/>
          <w:szCs w:val="24"/>
        </w:rPr>
        <w:t>However, the HRA</w:t>
      </w:r>
      <w:r w:rsidR="008E48EB">
        <w:rPr>
          <w:rFonts w:ascii="Arial" w:hAnsi="Arial" w:cs="Arial"/>
          <w:sz w:val="24"/>
          <w:szCs w:val="24"/>
        </w:rPr>
        <w:t xml:space="preserve"> does not incorporate all the provisions of the ECHR </w:t>
      </w:r>
      <w:r w:rsidR="00B976D1">
        <w:rPr>
          <w:rFonts w:ascii="Arial" w:hAnsi="Arial" w:cs="Arial"/>
          <w:sz w:val="24"/>
          <w:szCs w:val="24"/>
        </w:rPr>
        <w:t xml:space="preserve">into UK domestic law </w:t>
      </w:r>
      <w:r w:rsidR="008E48EB">
        <w:rPr>
          <w:rFonts w:ascii="Arial" w:hAnsi="Arial" w:cs="Arial"/>
          <w:sz w:val="24"/>
          <w:szCs w:val="24"/>
        </w:rPr>
        <w:t>with Article 1ECHR being a notable exclusion</w:t>
      </w:r>
      <w:r w:rsidR="008E48EB">
        <w:rPr>
          <w:rStyle w:val="FootnoteReference"/>
          <w:rFonts w:ascii="Arial" w:hAnsi="Arial" w:cs="Arial"/>
          <w:sz w:val="24"/>
          <w:szCs w:val="24"/>
        </w:rPr>
        <w:footnoteReference w:id="127"/>
      </w:r>
      <w:r w:rsidR="00F97014">
        <w:rPr>
          <w:rFonts w:ascii="Arial" w:hAnsi="Arial" w:cs="Arial"/>
          <w:sz w:val="24"/>
          <w:szCs w:val="24"/>
        </w:rPr>
        <w:t xml:space="preserve"> which</w:t>
      </w:r>
      <w:r w:rsidR="0080740D">
        <w:rPr>
          <w:rFonts w:ascii="Arial" w:hAnsi="Arial" w:cs="Arial"/>
          <w:sz w:val="24"/>
          <w:szCs w:val="24"/>
        </w:rPr>
        <w:t xml:space="preserve"> requires the c</w:t>
      </w:r>
      <w:r w:rsidR="006456EC">
        <w:rPr>
          <w:rFonts w:ascii="Arial" w:hAnsi="Arial" w:cs="Arial"/>
          <w:sz w:val="24"/>
          <w:szCs w:val="24"/>
        </w:rPr>
        <w:t>ontracting States to ‘</w:t>
      </w:r>
      <w:r w:rsidR="00D61619">
        <w:rPr>
          <w:rFonts w:ascii="Arial" w:hAnsi="Arial" w:cs="Arial"/>
          <w:sz w:val="24"/>
          <w:szCs w:val="24"/>
        </w:rPr>
        <w:t>secure to everyone within their juris</w:t>
      </w:r>
      <w:r w:rsidR="006456EC">
        <w:rPr>
          <w:rFonts w:ascii="Arial" w:hAnsi="Arial" w:cs="Arial"/>
          <w:sz w:val="24"/>
          <w:szCs w:val="24"/>
        </w:rPr>
        <w:t xml:space="preserve">diction the rights and </w:t>
      </w:r>
      <w:r w:rsidR="006456EC">
        <w:rPr>
          <w:rFonts w:ascii="Arial" w:hAnsi="Arial" w:cs="Arial"/>
          <w:sz w:val="24"/>
          <w:szCs w:val="24"/>
        </w:rPr>
        <w:lastRenderedPageBreak/>
        <w:t>freedoms’</w:t>
      </w:r>
      <w:r w:rsidR="00D61619">
        <w:rPr>
          <w:rFonts w:ascii="Arial" w:hAnsi="Arial" w:cs="Arial"/>
          <w:sz w:val="24"/>
          <w:szCs w:val="24"/>
        </w:rPr>
        <w:t xml:space="preserve"> of the ECHR. This has not hindered cases being brought before the UK courts</w:t>
      </w:r>
      <w:r w:rsidR="00A33712">
        <w:rPr>
          <w:rFonts w:ascii="Arial" w:hAnsi="Arial" w:cs="Arial"/>
          <w:sz w:val="24"/>
          <w:szCs w:val="24"/>
        </w:rPr>
        <w:t>, and then onto the EC</w:t>
      </w:r>
      <w:r w:rsidR="0080740D">
        <w:rPr>
          <w:rFonts w:ascii="Arial" w:hAnsi="Arial" w:cs="Arial"/>
          <w:sz w:val="24"/>
          <w:szCs w:val="24"/>
        </w:rPr>
        <w:t>t</w:t>
      </w:r>
      <w:r w:rsidR="00A33712">
        <w:rPr>
          <w:rFonts w:ascii="Arial" w:hAnsi="Arial" w:cs="Arial"/>
          <w:sz w:val="24"/>
          <w:szCs w:val="24"/>
        </w:rPr>
        <w:t>HR,</w:t>
      </w:r>
      <w:r w:rsidR="00D61619">
        <w:rPr>
          <w:rFonts w:ascii="Arial" w:hAnsi="Arial" w:cs="Arial"/>
          <w:sz w:val="24"/>
          <w:szCs w:val="24"/>
        </w:rPr>
        <w:t xml:space="preserve"> over the </w:t>
      </w:r>
      <w:r w:rsidR="006456EC">
        <w:rPr>
          <w:rFonts w:ascii="Arial" w:hAnsi="Arial" w:cs="Arial"/>
          <w:sz w:val="24"/>
          <w:szCs w:val="24"/>
        </w:rPr>
        <w:t>meaning and extent of the term ‘jurisdiction’</w:t>
      </w:r>
      <w:r w:rsidR="00D61619">
        <w:rPr>
          <w:rFonts w:ascii="Arial" w:hAnsi="Arial" w:cs="Arial"/>
          <w:sz w:val="24"/>
          <w:szCs w:val="24"/>
        </w:rPr>
        <w:t>.</w:t>
      </w:r>
      <w:r w:rsidR="00943876">
        <w:rPr>
          <w:rFonts w:ascii="Arial" w:hAnsi="Arial" w:cs="Arial"/>
          <w:sz w:val="24"/>
          <w:szCs w:val="24"/>
        </w:rPr>
        <w:t xml:space="preserve"> </w:t>
      </w:r>
      <w:r w:rsidR="00F97014">
        <w:rPr>
          <w:rFonts w:ascii="Arial" w:hAnsi="Arial" w:cs="Arial"/>
          <w:sz w:val="24"/>
          <w:szCs w:val="24"/>
        </w:rPr>
        <w:t xml:space="preserve">In </w:t>
      </w:r>
      <w:r w:rsidR="00F97014" w:rsidRPr="007C6283">
        <w:rPr>
          <w:rFonts w:ascii="Arial" w:hAnsi="Arial" w:cs="Arial"/>
          <w:i/>
          <w:sz w:val="24"/>
          <w:szCs w:val="24"/>
        </w:rPr>
        <w:t>Bankovic</w:t>
      </w:r>
      <w:r w:rsidR="00F97014" w:rsidRPr="006A5CB8">
        <w:rPr>
          <w:rStyle w:val="FootnoteReference"/>
          <w:rFonts w:ascii="Arial" w:hAnsi="Arial" w:cs="Arial"/>
          <w:sz w:val="24"/>
          <w:szCs w:val="24"/>
        </w:rPr>
        <w:footnoteReference w:id="128"/>
      </w:r>
      <w:r w:rsidR="00F97014" w:rsidRPr="006A5CB8">
        <w:rPr>
          <w:rFonts w:ascii="Arial" w:hAnsi="Arial" w:cs="Arial"/>
          <w:sz w:val="24"/>
          <w:szCs w:val="24"/>
        </w:rPr>
        <w:t xml:space="preserve"> </w:t>
      </w:r>
      <w:r w:rsidR="00F97014">
        <w:rPr>
          <w:rFonts w:ascii="Arial" w:hAnsi="Arial" w:cs="Arial"/>
          <w:sz w:val="24"/>
          <w:szCs w:val="24"/>
        </w:rPr>
        <w:t>the ECtHR followed public international law in finding that jurisdictional competence of a State was primarily territorial</w:t>
      </w:r>
      <w:r w:rsidR="00F97014">
        <w:rPr>
          <w:rStyle w:val="FootnoteReference"/>
          <w:rFonts w:ascii="Arial" w:hAnsi="Arial" w:cs="Arial"/>
          <w:sz w:val="24"/>
          <w:szCs w:val="24"/>
        </w:rPr>
        <w:footnoteReference w:id="129"/>
      </w:r>
      <w:r w:rsidR="006456EC">
        <w:rPr>
          <w:rFonts w:ascii="Arial" w:hAnsi="Arial" w:cs="Arial"/>
          <w:sz w:val="24"/>
          <w:szCs w:val="24"/>
        </w:rPr>
        <w:t xml:space="preserve"> with ‘</w:t>
      </w:r>
      <w:r w:rsidR="00F97014" w:rsidRPr="00F97014">
        <w:rPr>
          <w:rFonts w:ascii="Arial" w:hAnsi="Arial" w:cs="Arial"/>
          <w:sz w:val="24"/>
          <w:szCs w:val="24"/>
        </w:rPr>
        <w:t>other bases of jurisdiction being</w:t>
      </w:r>
      <w:r w:rsidR="00F97014">
        <w:rPr>
          <w:rFonts w:ascii="Arial" w:hAnsi="Arial" w:cs="Arial"/>
          <w:sz w:val="24"/>
          <w:szCs w:val="24"/>
        </w:rPr>
        <w:t xml:space="preserve"> </w:t>
      </w:r>
      <w:r w:rsidR="00F97014" w:rsidRPr="00F97014">
        <w:rPr>
          <w:rFonts w:ascii="Arial" w:hAnsi="Arial" w:cs="Arial"/>
          <w:sz w:val="24"/>
          <w:szCs w:val="24"/>
        </w:rPr>
        <w:t>exceptional and requiring special justification in the particular circumstances of each case</w:t>
      </w:r>
      <w:r w:rsidR="006456EC">
        <w:rPr>
          <w:rFonts w:ascii="Arial" w:hAnsi="Arial" w:cs="Arial"/>
          <w:sz w:val="24"/>
          <w:szCs w:val="24"/>
        </w:rPr>
        <w:t>’</w:t>
      </w:r>
      <w:r w:rsidR="00F97014">
        <w:rPr>
          <w:rStyle w:val="FootnoteReference"/>
          <w:rFonts w:ascii="Arial" w:hAnsi="Arial" w:cs="Arial"/>
          <w:sz w:val="24"/>
          <w:szCs w:val="24"/>
        </w:rPr>
        <w:footnoteReference w:id="130"/>
      </w:r>
      <w:r w:rsidR="00F97014">
        <w:rPr>
          <w:rFonts w:ascii="Arial" w:hAnsi="Arial" w:cs="Arial"/>
          <w:sz w:val="24"/>
          <w:szCs w:val="24"/>
        </w:rPr>
        <w:t>. This extra-territorial jurisdiction</w:t>
      </w:r>
      <w:r w:rsidR="006456EC">
        <w:rPr>
          <w:rFonts w:ascii="Arial" w:hAnsi="Arial" w:cs="Arial"/>
          <w:sz w:val="24"/>
          <w:szCs w:val="24"/>
        </w:rPr>
        <w:t xml:space="preserve"> was exercised when the State, ‘</w:t>
      </w:r>
      <w:r w:rsidR="00F97014">
        <w:rPr>
          <w:rFonts w:ascii="Arial" w:hAnsi="Arial" w:cs="Arial"/>
          <w:sz w:val="24"/>
          <w:szCs w:val="24"/>
        </w:rPr>
        <w:t xml:space="preserve">through the effective </w:t>
      </w:r>
      <w:r w:rsidR="00F97014" w:rsidRPr="00506BB7">
        <w:rPr>
          <w:rFonts w:ascii="Arial" w:hAnsi="Arial" w:cs="Arial"/>
          <w:sz w:val="24"/>
          <w:szCs w:val="24"/>
        </w:rPr>
        <w:t>control of the relevant territory and its inhabitants abroad</w:t>
      </w:r>
      <w:r w:rsidR="00F97014">
        <w:rPr>
          <w:rFonts w:ascii="Arial" w:hAnsi="Arial" w:cs="Arial"/>
          <w:sz w:val="24"/>
          <w:szCs w:val="24"/>
        </w:rPr>
        <w:t xml:space="preserve"> </w:t>
      </w:r>
      <w:r w:rsidR="00F97014" w:rsidRPr="00506BB7">
        <w:rPr>
          <w:rFonts w:ascii="Arial" w:hAnsi="Arial" w:cs="Arial"/>
          <w:sz w:val="24"/>
          <w:szCs w:val="24"/>
        </w:rPr>
        <w:t>as a consequence of military occupation or through the consent, invitation or acquiescence of the</w:t>
      </w:r>
      <w:r w:rsidR="00F97014">
        <w:rPr>
          <w:rFonts w:ascii="Arial" w:hAnsi="Arial" w:cs="Arial"/>
          <w:sz w:val="24"/>
          <w:szCs w:val="24"/>
        </w:rPr>
        <w:t xml:space="preserve"> </w:t>
      </w:r>
      <w:r w:rsidR="00F97014" w:rsidRPr="00506BB7">
        <w:rPr>
          <w:rFonts w:ascii="Arial" w:hAnsi="Arial" w:cs="Arial"/>
          <w:sz w:val="24"/>
          <w:szCs w:val="24"/>
        </w:rPr>
        <w:t>Government of that territory,</w:t>
      </w:r>
      <w:r w:rsidR="00F97014">
        <w:rPr>
          <w:rFonts w:ascii="Arial" w:hAnsi="Arial" w:cs="Arial"/>
          <w:sz w:val="24"/>
          <w:szCs w:val="24"/>
        </w:rPr>
        <w:t xml:space="preserve"> </w:t>
      </w:r>
      <w:r w:rsidR="00F97014" w:rsidRPr="00506BB7">
        <w:rPr>
          <w:rFonts w:ascii="Arial" w:hAnsi="Arial" w:cs="Arial"/>
          <w:sz w:val="24"/>
          <w:szCs w:val="24"/>
        </w:rPr>
        <w:t>exercises all or some of the public powers normally to be</w:t>
      </w:r>
      <w:r w:rsidR="00F97014">
        <w:rPr>
          <w:rFonts w:ascii="Arial" w:hAnsi="Arial" w:cs="Arial"/>
          <w:sz w:val="24"/>
          <w:szCs w:val="24"/>
        </w:rPr>
        <w:t xml:space="preserve"> </w:t>
      </w:r>
      <w:r w:rsidR="00F97014" w:rsidRPr="00506BB7">
        <w:rPr>
          <w:rFonts w:ascii="Arial" w:hAnsi="Arial" w:cs="Arial"/>
          <w:sz w:val="24"/>
          <w:szCs w:val="24"/>
        </w:rPr>
        <w:t>exercised by that Government</w:t>
      </w:r>
      <w:r w:rsidR="006456EC">
        <w:rPr>
          <w:rFonts w:ascii="Arial" w:hAnsi="Arial" w:cs="Arial"/>
          <w:sz w:val="24"/>
          <w:szCs w:val="24"/>
        </w:rPr>
        <w:t>’</w:t>
      </w:r>
      <w:r w:rsidR="00F97014">
        <w:rPr>
          <w:rStyle w:val="FootnoteReference"/>
          <w:rFonts w:ascii="Arial" w:hAnsi="Arial" w:cs="Arial"/>
          <w:sz w:val="24"/>
          <w:szCs w:val="24"/>
        </w:rPr>
        <w:footnoteReference w:id="131"/>
      </w:r>
      <w:r w:rsidR="00F97014">
        <w:rPr>
          <w:rFonts w:ascii="Arial" w:hAnsi="Arial" w:cs="Arial"/>
          <w:sz w:val="24"/>
          <w:szCs w:val="24"/>
        </w:rPr>
        <w:t>. Further examples include</w:t>
      </w:r>
      <w:r w:rsidR="00AD38B2">
        <w:rPr>
          <w:rFonts w:ascii="Arial" w:hAnsi="Arial" w:cs="Arial"/>
          <w:sz w:val="24"/>
          <w:szCs w:val="24"/>
        </w:rPr>
        <w:t>d</w:t>
      </w:r>
      <w:r w:rsidR="00F97014">
        <w:rPr>
          <w:rFonts w:ascii="Arial" w:hAnsi="Arial" w:cs="Arial"/>
          <w:sz w:val="24"/>
          <w:szCs w:val="24"/>
        </w:rPr>
        <w:t xml:space="preserve"> </w:t>
      </w:r>
      <w:r w:rsidR="00F97014" w:rsidRPr="00506BB7">
        <w:rPr>
          <w:rFonts w:ascii="Arial" w:hAnsi="Arial" w:cs="Arial"/>
          <w:sz w:val="24"/>
          <w:szCs w:val="24"/>
        </w:rPr>
        <w:t xml:space="preserve">cases </w:t>
      </w:r>
      <w:r w:rsidR="006456EC">
        <w:rPr>
          <w:rFonts w:ascii="Arial" w:hAnsi="Arial" w:cs="Arial"/>
          <w:sz w:val="24"/>
          <w:szCs w:val="24"/>
        </w:rPr>
        <w:t>‘</w:t>
      </w:r>
      <w:r w:rsidR="00F97014" w:rsidRPr="00506BB7">
        <w:rPr>
          <w:rFonts w:ascii="Arial" w:hAnsi="Arial" w:cs="Arial"/>
          <w:sz w:val="24"/>
          <w:szCs w:val="24"/>
        </w:rPr>
        <w:t>involving the activities of its diplomatic or consular agents</w:t>
      </w:r>
      <w:r w:rsidR="00F97014">
        <w:rPr>
          <w:rFonts w:ascii="Arial" w:hAnsi="Arial" w:cs="Arial"/>
          <w:sz w:val="24"/>
          <w:szCs w:val="24"/>
        </w:rPr>
        <w:t xml:space="preserve"> </w:t>
      </w:r>
      <w:r w:rsidR="00F97014" w:rsidRPr="00506BB7">
        <w:rPr>
          <w:rFonts w:ascii="Arial" w:hAnsi="Arial" w:cs="Arial"/>
          <w:sz w:val="24"/>
          <w:szCs w:val="24"/>
        </w:rPr>
        <w:t>abroad and on board craft and vessels registered i</w:t>
      </w:r>
      <w:r w:rsidR="00F97014">
        <w:rPr>
          <w:rFonts w:ascii="Arial" w:hAnsi="Arial" w:cs="Arial"/>
          <w:sz w:val="24"/>
          <w:szCs w:val="24"/>
        </w:rPr>
        <w:t>n, or flying the flag of, that S</w:t>
      </w:r>
      <w:r w:rsidR="00F97014" w:rsidRPr="00506BB7">
        <w:rPr>
          <w:rFonts w:ascii="Arial" w:hAnsi="Arial" w:cs="Arial"/>
          <w:sz w:val="24"/>
          <w:szCs w:val="24"/>
        </w:rPr>
        <w:t>tate</w:t>
      </w:r>
      <w:r w:rsidR="006456EC">
        <w:rPr>
          <w:rFonts w:ascii="Arial" w:hAnsi="Arial" w:cs="Arial"/>
          <w:sz w:val="24"/>
          <w:szCs w:val="24"/>
        </w:rPr>
        <w:t>’</w:t>
      </w:r>
      <w:r w:rsidR="00F97014">
        <w:rPr>
          <w:rStyle w:val="FootnoteReference"/>
          <w:rFonts w:ascii="Arial" w:hAnsi="Arial" w:cs="Arial"/>
          <w:sz w:val="24"/>
          <w:szCs w:val="24"/>
        </w:rPr>
        <w:footnoteReference w:id="132"/>
      </w:r>
      <w:r w:rsidR="00F97014" w:rsidRPr="00506BB7">
        <w:rPr>
          <w:rFonts w:ascii="Arial" w:hAnsi="Arial" w:cs="Arial"/>
          <w:sz w:val="24"/>
          <w:szCs w:val="24"/>
        </w:rPr>
        <w:t>.</w:t>
      </w:r>
      <w:r w:rsidR="00F97014">
        <w:rPr>
          <w:rFonts w:ascii="Arial" w:hAnsi="Arial" w:cs="Arial"/>
          <w:sz w:val="24"/>
          <w:szCs w:val="24"/>
        </w:rPr>
        <w:t xml:space="preserve"> </w:t>
      </w:r>
      <w:r w:rsidR="00AD38B2">
        <w:rPr>
          <w:rFonts w:ascii="Arial" w:hAnsi="Arial" w:cs="Arial"/>
          <w:sz w:val="24"/>
          <w:szCs w:val="24"/>
        </w:rPr>
        <w:t xml:space="preserve">The sphere of this extra-territorial jurisdiction was considered again by the House of Lords in </w:t>
      </w:r>
      <w:r w:rsidR="00AD38B2" w:rsidRPr="007C6283">
        <w:rPr>
          <w:rFonts w:ascii="Arial" w:hAnsi="Arial" w:cs="Arial"/>
          <w:i/>
          <w:sz w:val="24"/>
          <w:szCs w:val="24"/>
        </w:rPr>
        <w:t>Al-Skeini</w:t>
      </w:r>
      <w:r w:rsidR="00AD38B2" w:rsidRPr="00C42CE9">
        <w:rPr>
          <w:rStyle w:val="FootnoteReference"/>
          <w:rFonts w:ascii="Arial" w:hAnsi="Arial" w:cs="Arial"/>
          <w:sz w:val="24"/>
          <w:szCs w:val="24"/>
        </w:rPr>
        <w:footnoteReference w:id="133"/>
      </w:r>
      <w:r w:rsidR="00AD38B2">
        <w:rPr>
          <w:rFonts w:ascii="Arial" w:hAnsi="Arial" w:cs="Arial"/>
          <w:sz w:val="24"/>
          <w:szCs w:val="24"/>
        </w:rPr>
        <w:t xml:space="preserve"> where it was held that the death of five Iraqis in separate shooting events involving British forces fell outside the UK’s jurisdiction, but the death of an Iraqi civilian in UK custody at a British military base was within the UK jurisdiction so that the HRA applied. The </w:t>
      </w:r>
      <w:r w:rsidR="004E0188">
        <w:rPr>
          <w:rFonts w:ascii="Arial" w:hAnsi="Arial" w:cs="Arial"/>
          <w:sz w:val="24"/>
          <w:szCs w:val="24"/>
        </w:rPr>
        <w:t>case reached the Grand Chamber of the ECtHR</w:t>
      </w:r>
      <w:r w:rsidR="004E0188">
        <w:rPr>
          <w:rStyle w:val="FootnoteReference"/>
          <w:rFonts w:ascii="Arial" w:hAnsi="Arial" w:cs="Arial"/>
          <w:sz w:val="24"/>
          <w:szCs w:val="24"/>
        </w:rPr>
        <w:footnoteReference w:id="134"/>
      </w:r>
      <w:r w:rsidR="002D2382">
        <w:rPr>
          <w:rFonts w:ascii="Arial" w:hAnsi="Arial" w:cs="Arial"/>
          <w:sz w:val="24"/>
          <w:szCs w:val="24"/>
        </w:rPr>
        <w:t xml:space="preserve"> that restated the principles involved with jurisdiction in a structured manner. First the general rule is that enunciated in </w:t>
      </w:r>
      <w:r w:rsidR="002D2382" w:rsidRPr="007C6283">
        <w:rPr>
          <w:rFonts w:ascii="Arial" w:hAnsi="Arial" w:cs="Arial"/>
          <w:i/>
          <w:sz w:val="24"/>
          <w:szCs w:val="24"/>
        </w:rPr>
        <w:t>Bankovic</w:t>
      </w:r>
      <w:r w:rsidR="002D2382">
        <w:rPr>
          <w:rFonts w:ascii="Arial" w:hAnsi="Arial" w:cs="Arial"/>
          <w:sz w:val="24"/>
          <w:szCs w:val="24"/>
        </w:rPr>
        <w:t xml:space="preserve">, that a State’s jurisdictional competence </w:t>
      </w:r>
      <w:r w:rsidR="002D2382">
        <w:rPr>
          <w:rFonts w:ascii="Arial" w:hAnsi="Arial" w:cs="Arial"/>
          <w:sz w:val="24"/>
          <w:szCs w:val="24"/>
        </w:rPr>
        <w:lastRenderedPageBreak/>
        <w:t>under Article 1 is primarily territorial with acts performed, or producing effects, outside the State’s territory only coming within Article 1 in exceptional circumstances</w:t>
      </w:r>
      <w:r w:rsidR="002D2382">
        <w:rPr>
          <w:rStyle w:val="FootnoteReference"/>
          <w:rFonts w:ascii="Arial" w:hAnsi="Arial" w:cs="Arial"/>
          <w:sz w:val="24"/>
          <w:szCs w:val="24"/>
        </w:rPr>
        <w:footnoteReference w:id="135"/>
      </w:r>
      <w:r w:rsidR="002D2382">
        <w:rPr>
          <w:rFonts w:ascii="Arial" w:hAnsi="Arial" w:cs="Arial"/>
          <w:sz w:val="24"/>
          <w:szCs w:val="24"/>
        </w:rPr>
        <w:t xml:space="preserve">. The court went on to identify three specific exceptional cases. First </w:t>
      </w:r>
      <w:r w:rsidR="00ED4FF8">
        <w:rPr>
          <w:rFonts w:ascii="Arial" w:hAnsi="Arial" w:cs="Arial"/>
          <w:sz w:val="24"/>
          <w:szCs w:val="24"/>
        </w:rPr>
        <w:t xml:space="preserve">is </w:t>
      </w:r>
      <w:r w:rsidR="002D2382">
        <w:rPr>
          <w:rFonts w:ascii="Arial" w:hAnsi="Arial" w:cs="Arial"/>
          <w:sz w:val="24"/>
          <w:szCs w:val="24"/>
        </w:rPr>
        <w:t>when there is State agent authority and control</w:t>
      </w:r>
      <w:r w:rsidR="00B625F2">
        <w:rPr>
          <w:rStyle w:val="FootnoteReference"/>
          <w:rFonts w:ascii="Arial" w:hAnsi="Arial" w:cs="Arial"/>
          <w:sz w:val="24"/>
          <w:szCs w:val="24"/>
        </w:rPr>
        <w:footnoteReference w:id="136"/>
      </w:r>
      <w:r w:rsidR="00ED4FF8">
        <w:rPr>
          <w:rFonts w:ascii="Arial" w:hAnsi="Arial" w:cs="Arial"/>
          <w:sz w:val="24"/>
          <w:szCs w:val="24"/>
        </w:rPr>
        <w:t>. The ECtHR provides three examp</w:t>
      </w:r>
      <w:r w:rsidR="00040A04">
        <w:rPr>
          <w:rFonts w:ascii="Arial" w:hAnsi="Arial" w:cs="Arial"/>
          <w:sz w:val="24"/>
          <w:szCs w:val="24"/>
        </w:rPr>
        <w:t>les of this, although it is un</w:t>
      </w:r>
      <w:r w:rsidR="00ED4FF8">
        <w:rPr>
          <w:rFonts w:ascii="Arial" w:hAnsi="Arial" w:cs="Arial"/>
          <w:sz w:val="24"/>
          <w:szCs w:val="24"/>
        </w:rPr>
        <w:t>clear if this is an exhaustive list</w:t>
      </w:r>
      <w:r w:rsidR="00040A04">
        <w:rPr>
          <w:rFonts w:ascii="Arial" w:hAnsi="Arial" w:cs="Arial"/>
          <w:sz w:val="24"/>
          <w:szCs w:val="24"/>
        </w:rPr>
        <w:t>: acts of diplomatic and consular agents</w:t>
      </w:r>
      <w:r w:rsidR="009D013E">
        <w:rPr>
          <w:rStyle w:val="FootnoteReference"/>
          <w:rFonts w:ascii="Arial" w:hAnsi="Arial" w:cs="Arial"/>
          <w:sz w:val="24"/>
          <w:szCs w:val="24"/>
        </w:rPr>
        <w:footnoteReference w:id="137"/>
      </w:r>
      <w:r w:rsidR="00040A04">
        <w:rPr>
          <w:rFonts w:ascii="Arial" w:hAnsi="Arial" w:cs="Arial"/>
          <w:sz w:val="24"/>
          <w:szCs w:val="24"/>
        </w:rPr>
        <w:t xml:space="preserve">; </w:t>
      </w:r>
      <w:r w:rsidR="009D013E">
        <w:rPr>
          <w:rFonts w:ascii="Arial" w:hAnsi="Arial" w:cs="Arial"/>
          <w:sz w:val="24"/>
          <w:szCs w:val="24"/>
        </w:rPr>
        <w:t>the exercising by a contracting State of all or some of the public powers normally exercised by another State through the consent, invitation or acquiescence of that State</w:t>
      </w:r>
      <w:r w:rsidR="009D013E">
        <w:rPr>
          <w:rStyle w:val="FootnoteReference"/>
          <w:rFonts w:ascii="Arial" w:hAnsi="Arial" w:cs="Arial"/>
          <w:sz w:val="24"/>
          <w:szCs w:val="24"/>
        </w:rPr>
        <w:footnoteReference w:id="138"/>
      </w:r>
      <w:r w:rsidR="009D013E">
        <w:rPr>
          <w:rFonts w:ascii="Arial" w:hAnsi="Arial" w:cs="Arial"/>
          <w:sz w:val="24"/>
          <w:szCs w:val="24"/>
        </w:rPr>
        <w:t>; and, the exercise of physical power and control over an individual by a contracting State’s agents operating outside the domestic territory</w:t>
      </w:r>
      <w:r w:rsidR="009D013E">
        <w:rPr>
          <w:rStyle w:val="FootnoteReference"/>
          <w:rFonts w:ascii="Arial" w:hAnsi="Arial" w:cs="Arial"/>
          <w:sz w:val="24"/>
          <w:szCs w:val="24"/>
        </w:rPr>
        <w:footnoteReference w:id="139"/>
      </w:r>
      <w:r w:rsidR="00ED4FF8">
        <w:rPr>
          <w:rFonts w:ascii="Arial" w:hAnsi="Arial" w:cs="Arial"/>
          <w:sz w:val="24"/>
          <w:szCs w:val="24"/>
        </w:rPr>
        <w:t>.</w:t>
      </w:r>
      <w:r w:rsidR="00B625F2">
        <w:rPr>
          <w:rFonts w:ascii="Arial" w:hAnsi="Arial" w:cs="Arial"/>
          <w:sz w:val="24"/>
          <w:szCs w:val="24"/>
        </w:rPr>
        <w:t xml:space="preserve"> Second is when a contracting State exercises effective control over an area as a consequence of lawful or unlawful military action</w:t>
      </w:r>
      <w:r w:rsidR="00B625F2">
        <w:rPr>
          <w:rStyle w:val="FootnoteReference"/>
          <w:rFonts w:ascii="Arial" w:hAnsi="Arial" w:cs="Arial"/>
          <w:sz w:val="24"/>
          <w:szCs w:val="24"/>
        </w:rPr>
        <w:footnoteReference w:id="140"/>
      </w:r>
      <w:r w:rsidR="00681A8E">
        <w:rPr>
          <w:rFonts w:ascii="Arial" w:hAnsi="Arial" w:cs="Arial"/>
          <w:sz w:val="24"/>
          <w:szCs w:val="24"/>
        </w:rPr>
        <w:t>. Third</w:t>
      </w:r>
      <w:r w:rsidR="002F5518">
        <w:rPr>
          <w:rFonts w:ascii="Arial" w:hAnsi="Arial" w:cs="Arial"/>
          <w:sz w:val="24"/>
          <w:szCs w:val="24"/>
        </w:rPr>
        <w:t xml:space="preserve"> </w:t>
      </w:r>
      <w:r w:rsidR="00AD7968">
        <w:rPr>
          <w:rFonts w:ascii="Arial" w:hAnsi="Arial" w:cs="Arial"/>
          <w:sz w:val="24"/>
          <w:szCs w:val="24"/>
        </w:rPr>
        <w:t>is</w:t>
      </w:r>
      <w:r w:rsidR="00DA58B4">
        <w:rPr>
          <w:rFonts w:ascii="Arial" w:hAnsi="Arial" w:cs="Arial"/>
          <w:sz w:val="24"/>
          <w:szCs w:val="24"/>
        </w:rPr>
        <w:t xml:space="preserve"> the Convention’s legal space which is situated firmly within the European public order</w:t>
      </w:r>
      <w:r w:rsidR="00526038">
        <w:rPr>
          <w:rFonts w:ascii="Arial" w:hAnsi="Arial" w:cs="Arial"/>
          <w:sz w:val="24"/>
          <w:szCs w:val="24"/>
        </w:rPr>
        <w:t>, governing only the actions of contracting States and not requiring contracting States to impose ECHR standards on non-contracting States</w:t>
      </w:r>
      <w:r w:rsidR="00526038">
        <w:rPr>
          <w:rStyle w:val="FootnoteReference"/>
          <w:rFonts w:ascii="Arial" w:hAnsi="Arial" w:cs="Arial"/>
          <w:sz w:val="24"/>
          <w:szCs w:val="24"/>
        </w:rPr>
        <w:footnoteReference w:id="141"/>
      </w:r>
      <w:r w:rsidR="00526038">
        <w:rPr>
          <w:rFonts w:ascii="Arial" w:hAnsi="Arial" w:cs="Arial"/>
          <w:sz w:val="24"/>
          <w:szCs w:val="24"/>
        </w:rPr>
        <w:t>. A contracting State occupying the territory of another contracting State is though accountable for breaches of human rights within that occupied territory. Establishing the occupying State’s jurisdiction in such cases</w:t>
      </w:r>
      <w:r w:rsidR="009A2FDC">
        <w:rPr>
          <w:rFonts w:ascii="Arial" w:hAnsi="Arial" w:cs="Arial"/>
          <w:sz w:val="24"/>
          <w:szCs w:val="24"/>
        </w:rPr>
        <w:t xml:space="preserve"> does not mean that jurisdiction under Article 1ECHR can never exist outside the European sphere</w:t>
      </w:r>
      <w:r w:rsidR="009A2FDC">
        <w:rPr>
          <w:rStyle w:val="FootnoteReference"/>
          <w:rFonts w:ascii="Arial" w:hAnsi="Arial" w:cs="Arial"/>
          <w:sz w:val="24"/>
          <w:szCs w:val="24"/>
        </w:rPr>
        <w:footnoteReference w:id="142"/>
      </w:r>
      <w:r w:rsidR="009A2FDC">
        <w:rPr>
          <w:rFonts w:ascii="Arial" w:hAnsi="Arial" w:cs="Arial"/>
          <w:sz w:val="24"/>
          <w:szCs w:val="24"/>
        </w:rPr>
        <w:t>. This rather confusing reasoning suggests that a contracting State acting as an occupying power in a non-contracting State can still be found to be covered by Article 1ECHR, depending on the facts of the case.</w:t>
      </w:r>
      <w:r w:rsidR="00D16F3E">
        <w:rPr>
          <w:rFonts w:ascii="Arial" w:hAnsi="Arial" w:cs="Arial"/>
          <w:sz w:val="24"/>
          <w:szCs w:val="24"/>
        </w:rPr>
        <w:t xml:space="preserve"> </w:t>
      </w:r>
      <w:r w:rsidR="00831D82">
        <w:rPr>
          <w:rFonts w:ascii="Arial" w:hAnsi="Arial" w:cs="Arial"/>
          <w:sz w:val="24"/>
          <w:szCs w:val="24"/>
        </w:rPr>
        <w:t>When these principles were applied to the facts the ECtHR found that the UK had assumed the exercise of some of the public powers, namely the responsibility and maintenance of security in South-East Iraq</w:t>
      </w:r>
      <w:r w:rsidR="00D45896">
        <w:rPr>
          <w:rFonts w:ascii="Arial" w:hAnsi="Arial" w:cs="Arial"/>
          <w:sz w:val="24"/>
          <w:szCs w:val="24"/>
        </w:rPr>
        <w:t xml:space="preserve">, normally exercised by the sovereign government of Iraq. These, it was deemed, amounted to the necessary exceptional circumstances that established that the UK, through the security operations conducted by British soldiers, exercised authority and control </w:t>
      </w:r>
      <w:r w:rsidR="00D45896">
        <w:rPr>
          <w:rFonts w:ascii="Arial" w:hAnsi="Arial" w:cs="Arial"/>
          <w:sz w:val="24"/>
          <w:szCs w:val="24"/>
        </w:rPr>
        <w:lastRenderedPageBreak/>
        <w:t>over individuals killed during such security operations. Thus the jurisdictional reach of the ECHR included these deceased individuals</w:t>
      </w:r>
      <w:r w:rsidR="00D45896">
        <w:rPr>
          <w:rStyle w:val="FootnoteReference"/>
          <w:rFonts w:ascii="Arial" w:hAnsi="Arial" w:cs="Arial"/>
          <w:sz w:val="24"/>
          <w:szCs w:val="24"/>
        </w:rPr>
        <w:footnoteReference w:id="143"/>
      </w:r>
      <w:r w:rsidR="007F145C">
        <w:rPr>
          <w:rFonts w:ascii="Arial" w:hAnsi="Arial" w:cs="Arial"/>
          <w:sz w:val="24"/>
          <w:szCs w:val="24"/>
        </w:rPr>
        <w:t>.</w:t>
      </w:r>
    </w:p>
    <w:p w:rsidR="00AD38B2" w:rsidRDefault="00AD38B2" w:rsidP="00F97014">
      <w:pPr>
        <w:spacing w:line="360" w:lineRule="auto"/>
        <w:jc w:val="both"/>
        <w:rPr>
          <w:rFonts w:ascii="Arial" w:hAnsi="Arial" w:cs="Arial"/>
          <w:sz w:val="24"/>
          <w:szCs w:val="24"/>
        </w:rPr>
      </w:pPr>
    </w:p>
    <w:p w:rsidR="003960D1" w:rsidRDefault="007F145C" w:rsidP="00F97014">
      <w:pPr>
        <w:spacing w:line="360" w:lineRule="auto"/>
        <w:jc w:val="both"/>
        <w:rPr>
          <w:rFonts w:ascii="Arial" w:hAnsi="Arial" w:cs="Arial"/>
          <w:sz w:val="24"/>
          <w:szCs w:val="24"/>
        </w:rPr>
      </w:pPr>
      <w:r>
        <w:rPr>
          <w:rFonts w:ascii="Arial" w:hAnsi="Arial" w:cs="Arial"/>
          <w:sz w:val="24"/>
          <w:szCs w:val="24"/>
        </w:rPr>
        <w:t>The jurisdiction issue can therefore be seen to cover two scenarios occurring outside the territory of the contracting State and the collective territory of the European public sphere: a situa</w:t>
      </w:r>
      <w:r w:rsidR="0080740D">
        <w:rPr>
          <w:rFonts w:ascii="Arial" w:hAnsi="Arial" w:cs="Arial"/>
          <w:sz w:val="24"/>
          <w:szCs w:val="24"/>
        </w:rPr>
        <w:t>tion where civilian personnel a</w:t>
      </w:r>
      <w:r>
        <w:rPr>
          <w:rFonts w:ascii="Arial" w:hAnsi="Arial" w:cs="Arial"/>
          <w:sz w:val="24"/>
          <w:szCs w:val="24"/>
        </w:rPr>
        <w:t xml:space="preserve">re killed during security operations conducted by the armed forces; and, a situation in which service personnel are killed during security operations. The former is now regulated by the findings of </w:t>
      </w:r>
      <w:r w:rsidRPr="007C6283">
        <w:rPr>
          <w:rFonts w:ascii="Arial" w:hAnsi="Arial" w:cs="Arial"/>
          <w:i/>
          <w:sz w:val="24"/>
          <w:szCs w:val="24"/>
        </w:rPr>
        <w:t>Al-Skeini</w:t>
      </w:r>
      <w:r>
        <w:rPr>
          <w:rFonts w:ascii="Arial" w:hAnsi="Arial" w:cs="Arial"/>
          <w:sz w:val="24"/>
          <w:szCs w:val="24"/>
        </w:rPr>
        <w:t xml:space="preserve">, but the latter remains controversial. </w:t>
      </w:r>
      <w:r w:rsidR="00943876">
        <w:rPr>
          <w:rFonts w:ascii="Arial" w:hAnsi="Arial" w:cs="Arial"/>
          <w:sz w:val="24"/>
          <w:szCs w:val="24"/>
        </w:rPr>
        <w:t xml:space="preserve">In the case of </w:t>
      </w:r>
      <w:r w:rsidR="00943876" w:rsidRPr="007C6283">
        <w:rPr>
          <w:rFonts w:ascii="Arial" w:hAnsi="Arial" w:cs="Arial"/>
          <w:i/>
          <w:sz w:val="24"/>
          <w:szCs w:val="24"/>
        </w:rPr>
        <w:t>Gentle</w:t>
      </w:r>
      <w:r w:rsidR="00506BB7" w:rsidRPr="006A5CB8">
        <w:rPr>
          <w:rStyle w:val="FootnoteReference"/>
          <w:rFonts w:ascii="Arial" w:hAnsi="Arial" w:cs="Arial"/>
          <w:sz w:val="24"/>
          <w:szCs w:val="24"/>
        </w:rPr>
        <w:footnoteReference w:id="144"/>
      </w:r>
      <w:r w:rsidR="00943876" w:rsidRPr="006A5CB8">
        <w:rPr>
          <w:rFonts w:ascii="Arial" w:hAnsi="Arial" w:cs="Arial"/>
          <w:sz w:val="24"/>
          <w:szCs w:val="24"/>
        </w:rPr>
        <w:t xml:space="preserve"> </w:t>
      </w:r>
      <w:r w:rsidR="00943876">
        <w:rPr>
          <w:rFonts w:ascii="Arial" w:hAnsi="Arial" w:cs="Arial"/>
          <w:sz w:val="24"/>
          <w:szCs w:val="24"/>
        </w:rPr>
        <w:t xml:space="preserve">Lord Bingham held that the death of two </w:t>
      </w:r>
      <w:r w:rsidR="0062709E">
        <w:rPr>
          <w:rFonts w:ascii="Arial" w:hAnsi="Arial" w:cs="Arial"/>
          <w:sz w:val="24"/>
          <w:szCs w:val="24"/>
        </w:rPr>
        <w:t xml:space="preserve">UK </w:t>
      </w:r>
      <w:r w:rsidR="00943876">
        <w:rPr>
          <w:rFonts w:ascii="Arial" w:hAnsi="Arial" w:cs="Arial"/>
          <w:sz w:val="24"/>
          <w:szCs w:val="24"/>
        </w:rPr>
        <w:t xml:space="preserve">soldiers in Iraq did not fall within the jurisdiction of the ECHR as Iraq was not part of the territorial ambit of the UK. </w:t>
      </w:r>
      <w:r w:rsidR="00B33C12">
        <w:rPr>
          <w:rFonts w:ascii="Arial" w:hAnsi="Arial" w:cs="Arial"/>
          <w:sz w:val="24"/>
          <w:szCs w:val="24"/>
        </w:rPr>
        <w:t>The new Supreme Court</w:t>
      </w:r>
      <w:r w:rsidR="006A5CB8">
        <w:rPr>
          <w:rFonts w:ascii="Arial" w:hAnsi="Arial" w:cs="Arial"/>
          <w:sz w:val="24"/>
          <w:szCs w:val="24"/>
        </w:rPr>
        <w:t>, on a 6-3 split,</w:t>
      </w:r>
      <w:r w:rsidR="00B33C12">
        <w:rPr>
          <w:rFonts w:ascii="Arial" w:hAnsi="Arial" w:cs="Arial"/>
          <w:sz w:val="24"/>
          <w:szCs w:val="24"/>
        </w:rPr>
        <w:t xml:space="preserve"> </w:t>
      </w:r>
      <w:r w:rsidR="006A5CB8">
        <w:rPr>
          <w:rFonts w:ascii="Arial" w:hAnsi="Arial" w:cs="Arial"/>
          <w:sz w:val="24"/>
          <w:szCs w:val="24"/>
        </w:rPr>
        <w:t xml:space="preserve">confirmed </w:t>
      </w:r>
      <w:r w:rsidR="0080740D">
        <w:rPr>
          <w:rFonts w:ascii="Arial" w:hAnsi="Arial" w:cs="Arial"/>
          <w:sz w:val="24"/>
          <w:szCs w:val="24"/>
        </w:rPr>
        <w:t xml:space="preserve">this previous case law </w:t>
      </w:r>
      <w:r w:rsidR="006A5CB8">
        <w:rPr>
          <w:rFonts w:ascii="Arial" w:hAnsi="Arial" w:cs="Arial"/>
          <w:sz w:val="24"/>
          <w:szCs w:val="24"/>
        </w:rPr>
        <w:t xml:space="preserve">in </w:t>
      </w:r>
      <w:r w:rsidR="006A5CB8" w:rsidRPr="007C6283">
        <w:rPr>
          <w:rFonts w:ascii="Arial" w:hAnsi="Arial" w:cs="Arial"/>
          <w:i/>
          <w:sz w:val="24"/>
          <w:szCs w:val="24"/>
        </w:rPr>
        <w:t>Smith</w:t>
      </w:r>
      <w:r w:rsidR="006A5CB8" w:rsidRPr="006A5CB8">
        <w:rPr>
          <w:rStyle w:val="FootnoteReference"/>
          <w:rFonts w:ascii="Arial" w:hAnsi="Arial" w:cs="Arial"/>
          <w:sz w:val="24"/>
          <w:szCs w:val="24"/>
        </w:rPr>
        <w:footnoteReference w:id="145"/>
      </w:r>
      <w:r w:rsidR="006A5CB8">
        <w:rPr>
          <w:rFonts w:ascii="Arial" w:hAnsi="Arial" w:cs="Arial"/>
          <w:sz w:val="24"/>
          <w:szCs w:val="24"/>
        </w:rPr>
        <w:t xml:space="preserve"> and suggested that Article 1ECHR, unlike the other articles of the ECHR, was not to be interpreted as a living document subject to changing conditions and so should not be construed as reaching any further than the jurisprudence of the ECtHR</w:t>
      </w:r>
      <w:r w:rsidR="006A5CB8">
        <w:rPr>
          <w:rStyle w:val="FootnoteReference"/>
          <w:rFonts w:ascii="Arial" w:hAnsi="Arial" w:cs="Arial"/>
          <w:sz w:val="24"/>
          <w:szCs w:val="24"/>
        </w:rPr>
        <w:footnoteReference w:id="146"/>
      </w:r>
      <w:r w:rsidR="006A5CB8">
        <w:rPr>
          <w:rFonts w:ascii="Arial" w:hAnsi="Arial" w:cs="Arial"/>
          <w:sz w:val="24"/>
          <w:szCs w:val="24"/>
        </w:rPr>
        <w:t>. It should be noted there were strong dissenting judgments by Baroness Hale, Lord Mance and Lord</w:t>
      </w:r>
      <w:r w:rsidR="00F731AD">
        <w:rPr>
          <w:rFonts w:ascii="Arial" w:hAnsi="Arial" w:cs="Arial"/>
          <w:sz w:val="24"/>
          <w:szCs w:val="24"/>
        </w:rPr>
        <w:t xml:space="preserve"> Kerr, supporting the Court of Appeal’s judgment given by the Master of the Rolls, Sir Anthony Clarke</w:t>
      </w:r>
      <w:r w:rsidR="00F731AD">
        <w:rPr>
          <w:rStyle w:val="FootnoteReference"/>
          <w:rFonts w:ascii="Arial" w:hAnsi="Arial" w:cs="Arial"/>
          <w:sz w:val="24"/>
          <w:szCs w:val="24"/>
        </w:rPr>
        <w:footnoteReference w:id="147"/>
      </w:r>
      <w:r w:rsidR="00F731AD">
        <w:rPr>
          <w:rFonts w:ascii="Arial" w:hAnsi="Arial" w:cs="Arial"/>
          <w:sz w:val="24"/>
          <w:szCs w:val="24"/>
        </w:rPr>
        <w:t xml:space="preserve">. Indeed there is a significant element of artificiality in the majority’s view that a soldier operating abroad and outside a British military base was not within the jurisdiction of the UK as </w:t>
      </w:r>
      <w:r w:rsidR="001F7777">
        <w:rPr>
          <w:rFonts w:ascii="Arial" w:hAnsi="Arial" w:cs="Arial"/>
          <w:sz w:val="24"/>
          <w:szCs w:val="24"/>
        </w:rPr>
        <w:t xml:space="preserve">section 367(1) of </w:t>
      </w:r>
      <w:r w:rsidR="00F731AD">
        <w:rPr>
          <w:rFonts w:ascii="Arial" w:hAnsi="Arial" w:cs="Arial"/>
          <w:sz w:val="24"/>
          <w:szCs w:val="24"/>
        </w:rPr>
        <w:t xml:space="preserve">the Armed Forces Act 2006 </w:t>
      </w:r>
      <w:r w:rsidR="006456EC">
        <w:rPr>
          <w:rFonts w:ascii="Arial" w:hAnsi="Arial" w:cs="Arial"/>
          <w:sz w:val="24"/>
          <w:szCs w:val="24"/>
        </w:rPr>
        <w:t>provides expressly that ‘</w:t>
      </w:r>
      <w:r w:rsidR="00F731AD">
        <w:rPr>
          <w:rFonts w:ascii="Arial" w:hAnsi="Arial" w:cs="Arial"/>
          <w:sz w:val="24"/>
          <w:szCs w:val="24"/>
        </w:rPr>
        <w:t>[e]very member of the regular forces is subject to service law at all times</w:t>
      </w:r>
      <w:r w:rsidR="006456EC">
        <w:rPr>
          <w:rFonts w:ascii="Arial" w:hAnsi="Arial" w:cs="Arial"/>
          <w:sz w:val="24"/>
          <w:szCs w:val="24"/>
        </w:rPr>
        <w:t>’</w:t>
      </w:r>
      <w:r w:rsidR="00F731AD">
        <w:rPr>
          <w:rStyle w:val="FootnoteReference"/>
          <w:rFonts w:ascii="Arial" w:hAnsi="Arial" w:cs="Arial"/>
          <w:sz w:val="24"/>
          <w:szCs w:val="24"/>
        </w:rPr>
        <w:footnoteReference w:id="148"/>
      </w:r>
      <w:r w:rsidR="0094224D">
        <w:rPr>
          <w:rFonts w:ascii="Arial" w:hAnsi="Arial" w:cs="Arial"/>
          <w:sz w:val="24"/>
          <w:szCs w:val="24"/>
        </w:rPr>
        <w:t xml:space="preserve">. </w:t>
      </w:r>
      <w:r w:rsidR="000E6050">
        <w:rPr>
          <w:rFonts w:ascii="Arial" w:hAnsi="Arial" w:cs="Arial"/>
          <w:sz w:val="24"/>
          <w:szCs w:val="24"/>
        </w:rPr>
        <w:t xml:space="preserve">It should be further noted that the </w:t>
      </w:r>
      <w:r w:rsidR="000E6050" w:rsidRPr="000E6050">
        <w:rPr>
          <w:rFonts w:ascii="Arial" w:hAnsi="Arial" w:cs="Arial"/>
          <w:sz w:val="24"/>
          <w:szCs w:val="24"/>
        </w:rPr>
        <w:t>former European Commission</w:t>
      </w:r>
      <w:r w:rsidR="006456EC">
        <w:rPr>
          <w:rFonts w:ascii="Arial" w:hAnsi="Arial" w:cs="Arial"/>
          <w:sz w:val="24"/>
          <w:szCs w:val="24"/>
        </w:rPr>
        <w:t xml:space="preserve"> consistently observed that ‘</w:t>
      </w:r>
      <w:r w:rsidR="000E6050" w:rsidRPr="000E6050">
        <w:rPr>
          <w:rFonts w:ascii="Arial" w:hAnsi="Arial" w:cs="Arial"/>
          <w:sz w:val="24"/>
          <w:szCs w:val="24"/>
        </w:rPr>
        <w:t>authorised</w:t>
      </w:r>
      <w:r w:rsidR="000E6050">
        <w:rPr>
          <w:rFonts w:ascii="Arial" w:hAnsi="Arial" w:cs="Arial"/>
          <w:sz w:val="24"/>
          <w:szCs w:val="24"/>
        </w:rPr>
        <w:t xml:space="preserve"> </w:t>
      </w:r>
      <w:r w:rsidR="000E6050" w:rsidRPr="000E6050">
        <w:rPr>
          <w:rFonts w:ascii="Arial" w:hAnsi="Arial" w:cs="Arial"/>
          <w:sz w:val="24"/>
          <w:szCs w:val="24"/>
        </w:rPr>
        <w:t>agents of a State, including diplomatic or consular agents and armed forces, not only</w:t>
      </w:r>
      <w:r w:rsidR="000E6050">
        <w:rPr>
          <w:rFonts w:ascii="Arial" w:hAnsi="Arial" w:cs="Arial"/>
          <w:sz w:val="24"/>
          <w:szCs w:val="24"/>
        </w:rPr>
        <w:t xml:space="preserve"> </w:t>
      </w:r>
      <w:r w:rsidR="000E6050" w:rsidRPr="000E6050">
        <w:rPr>
          <w:rFonts w:ascii="Arial" w:hAnsi="Arial" w:cs="Arial"/>
          <w:sz w:val="24"/>
          <w:szCs w:val="24"/>
        </w:rPr>
        <w:t>remain under its jurisdiction when abroad but bring any other persons or property "within</w:t>
      </w:r>
      <w:r w:rsidR="000E6050">
        <w:rPr>
          <w:rFonts w:ascii="Arial" w:hAnsi="Arial" w:cs="Arial"/>
          <w:sz w:val="24"/>
          <w:szCs w:val="24"/>
        </w:rPr>
        <w:t xml:space="preserve"> </w:t>
      </w:r>
      <w:r w:rsidR="000E6050" w:rsidRPr="000E6050">
        <w:rPr>
          <w:rFonts w:ascii="Arial" w:hAnsi="Arial" w:cs="Arial"/>
          <w:sz w:val="24"/>
          <w:szCs w:val="24"/>
        </w:rPr>
        <w:t xml:space="preserve">the jurisdiction" of that State, to the extent that they </w:t>
      </w:r>
      <w:r w:rsidR="000E6050" w:rsidRPr="000E6050">
        <w:rPr>
          <w:rFonts w:ascii="Arial" w:hAnsi="Arial" w:cs="Arial"/>
          <w:sz w:val="24"/>
          <w:szCs w:val="24"/>
        </w:rPr>
        <w:lastRenderedPageBreak/>
        <w:t>exercise authority over such persons</w:t>
      </w:r>
      <w:r w:rsidR="000E6050">
        <w:rPr>
          <w:rFonts w:ascii="Arial" w:hAnsi="Arial" w:cs="Arial"/>
          <w:sz w:val="24"/>
          <w:szCs w:val="24"/>
        </w:rPr>
        <w:t xml:space="preserve"> </w:t>
      </w:r>
      <w:r w:rsidR="000E6050" w:rsidRPr="000E6050">
        <w:rPr>
          <w:rFonts w:ascii="Arial" w:hAnsi="Arial" w:cs="Arial"/>
          <w:sz w:val="24"/>
          <w:szCs w:val="24"/>
        </w:rPr>
        <w:t>or property</w:t>
      </w:r>
      <w:r w:rsidR="006456EC">
        <w:rPr>
          <w:rFonts w:ascii="Arial" w:hAnsi="Arial" w:cs="Arial"/>
          <w:sz w:val="24"/>
          <w:szCs w:val="24"/>
        </w:rPr>
        <w:t>’</w:t>
      </w:r>
      <w:r w:rsidR="000E6050">
        <w:rPr>
          <w:rStyle w:val="FootnoteReference"/>
          <w:rFonts w:ascii="Arial" w:hAnsi="Arial" w:cs="Arial"/>
          <w:sz w:val="24"/>
          <w:szCs w:val="24"/>
        </w:rPr>
        <w:footnoteReference w:id="149"/>
      </w:r>
      <w:r w:rsidR="00C05AD8">
        <w:rPr>
          <w:rFonts w:ascii="Arial" w:hAnsi="Arial" w:cs="Arial"/>
          <w:sz w:val="24"/>
          <w:szCs w:val="24"/>
        </w:rPr>
        <w:t>.</w:t>
      </w:r>
      <w:r>
        <w:rPr>
          <w:rFonts w:ascii="Arial" w:hAnsi="Arial" w:cs="Arial"/>
          <w:sz w:val="24"/>
          <w:szCs w:val="24"/>
        </w:rPr>
        <w:t xml:space="preserve"> In </w:t>
      </w:r>
      <w:r w:rsidR="007756D6">
        <w:rPr>
          <w:rFonts w:ascii="Arial" w:hAnsi="Arial" w:cs="Arial"/>
          <w:i/>
          <w:sz w:val="24"/>
          <w:szCs w:val="24"/>
        </w:rPr>
        <w:t>Smith v Mo</w:t>
      </w:r>
      <w:r w:rsidRPr="007C6283">
        <w:rPr>
          <w:rFonts w:ascii="Arial" w:hAnsi="Arial" w:cs="Arial"/>
          <w:i/>
          <w:sz w:val="24"/>
          <w:szCs w:val="24"/>
        </w:rPr>
        <w:t>D</w:t>
      </w:r>
      <w:r w:rsidRPr="007F145C">
        <w:rPr>
          <w:rStyle w:val="FootnoteReference"/>
          <w:rFonts w:ascii="Arial" w:hAnsi="Arial" w:cs="Arial"/>
          <w:sz w:val="24"/>
          <w:szCs w:val="24"/>
        </w:rPr>
        <w:footnoteReference w:id="150"/>
      </w:r>
      <w:r>
        <w:rPr>
          <w:rFonts w:ascii="Arial" w:hAnsi="Arial" w:cs="Arial"/>
          <w:sz w:val="24"/>
          <w:szCs w:val="24"/>
        </w:rPr>
        <w:t xml:space="preserve">, a case involving the deaths of a number of British service personnel in Iraq and decided seven days before the ECtHR’s ruling in </w:t>
      </w:r>
      <w:r w:rsidRPr="007C6283">
        <w:rPr>
          <w:rFonts w:ascii="Arial" w:hAnsi="Arial" w:cs="Arial"/>
          <w:i/>
          <w:sz w:val="24"/>
          <w:szCs w:val="24"/>
        </w:rPr>
        <w:t>Al-Skeini</w:t>
      </w:r>
      <w:r>
        <w:rPr>
          <w:rFonts w:ascii="Arial" w:hAnsi="Arial" w:cs="Arial"/>
          <w:sz w:val="24"/>
          <w:szCs w:val="24"/>
        </w:rPr>
        <w:t xml:space="preserve">, Owen J held that the </w:t>
      </w:r>
      <w:r w:rsidR="00393C65">
        <w:rPr>
          <w:rFonts w:ascii="Arial" w:hAnsi="Arial" w:cs="Arial"/>
          <w:sz w:val="24"/>
          <w:szCs w:val="24"/>
        </w:rPr>
        <w:t>deceased soldiers were outside the jurisdiction of the ECHR. This case will be heard on appeal before the Court of Appeal in June 2012 and it is submitted is likely to be overturned.</w:t>
      </w:r>
      <w:r w:rsidR="0080740D">
        <w:rPr>
          <w:rFonts w:ascii="Arial" w:hAnsi="Arial" w:cs="Arial"/>
          <w:sz w:val="24"/>
          <w:szCs w:val="24"/>
        </w:rPr>
        <w:t xml:space="preserve"> However, this issue may require a final resolution from the ECtHR, the proper tribunal to resolve these issues according to Lord Phillips</w:t>
      </w:r>
      <w:r w:rsidR="0080740D">
        <w:rPr>
          <w:rStyle w:val="FootnoteReference"/>
          <w:rFonts w:ascii="Arial" w:hAnsi="Arial" w:cs="Arial"/>
          <w:sz w:val="24"/>
          <w:szCs w:val="24"/>
        </w:rPr>
        <w:footnoteReference w:id="151"/>
      </w:r>
      <w:r w:rsidR="0080740D">
        <w:rPr>
          <w:rFonts w:ascii="Arial" w:hAnsi="Arial" w:cs="Arial"/>
          <w:sz w:val="24"/>
          <w:szCs w:val="24"/>
        </w:rPr>
        <w:t>.</w:t>
      </w:r>
    </w:p>
    <w:p w:rsidR="00720E10" w:rsidRDefault="00720E10" w:rsidP="00F97014">
      <w:pPr>
        <w:spacing w:line="360" w:lineRule="auto"/>
        <w:jc w:val="both"/>
        <w:rPr>
          <w:rFonts w:ascii="Arial" w:hAnsi="Arial" w:cs="Arial"/>
          <w:sz w:val="24"/>
          <w:szCs w:val="24"/>
        </w:rPr>
      </w:pPr>
    </w:p>
    <w:p w:rsidR="00720E10" w:rsidRDefault="00720E10" w:rsidP="00F97014">
      <w:pPr>
        <w:spacing w:line="360" w:lineRule="auto"/>
        <w:jc w:val="both"/>
        <w:rPr>
          <w:rFonts w:ascii="Arial" w:hAnsi="Arial" w:cs="Arial"/>
          <w:sz w:val="24"/>
          <w:szCs w:val="24"/>
        </w:rPr>
      </w:pPr>
      <w:r>
        <w:rPr>
          <w:rFonts w:ascii="Arial" w:hAnsi="Arial" w:cs="Arial"/>
          <w:b/>
          <w:sz w:val="24"/>
          <w:szCs w:val="24"/>
          <w:u w:val="single"/>
        </w:rPr>
        <w:t xml:space="preserve">Part 3 – </w:t>
      </w:r>
      <w:r w:rsidR="00276B4C">
        <w:rPr>
          <w:rFonts w:ascii="Arial" w:hAnsi="Arial" w:cs="Arial"/>
          <w:b/>
          <w:sz w:val="24"/>
          <w:szCs w:val="24"/>
          <w:u w:val="single"/>
        </w:rPr>
        <w:t>The Civil-Military Relationship and Civilian Law</w:t>
      </w:r>
    </w:p>
    <w:p w:rsidR="00720E10" w:rsidRDefault="00720E10" w:rsidP="00F97014">
      <w:pPr>
        <w:spacing w:line="360" w:lineRule="auto"/>
        <w:jc w:val="both"/>
        <w:rPr>
          <w:rFonts w:ascii="Arial" w:hAnsi="Arial" w:cs="Arial"/>
          <w:sz w:val="24"/>
          <w:szCs w:val="24"/>
        </w:rPr>
      </w:pPr>
    </w:p>
    <w:p w:rsidR="003F1A89" w:rsidRDefault="003F1A89" w:rsidP="00F97014">
      <w:pPr>
        <w:spacing w:line="360" w:lineRule="auto"/>
        <w:jc w:val="both"/>
        <w:rPr>
          <w:rFonts w:ascii="Arial" w:hAnsi="Arial" w:cs="Arial"/>
          <w:sz w:val="24"/>
          <w:szCs w:val="24"/>
        </w:rPr>
      </w:pPr>
      <w:r>
        <w:rPr>
          <w:rFonts w:ascii="Arial" w:hAnsi="Arial" w:cs="Arial"/>
          <w:sz w:val="24"/>
          <w:szCs w:val="24"/>
        </w:rPr>
        <w:t>Part 3 of this article will critically evaluate the impact of this civilian law on the military, the civil-military relationship and policy lessons that can be learnt by the UK armed forces for the future.</w:t>
      </w:r>
    </w:p>
    <w:p w:rsidR="00720E10" w:rsidRDefault="00D820E5" w:rsidP="00276B4C">
      <w:pPr>
        <w:pStyle w:val="ListParagraph"/>
        <w:numPr>
          <w:ilvl w:val="0"/>
          <w:numId w:val="8"/>
        </w:numPr>
        <w:spacing w:line="360" w:lineRule="auto"/>
        <w:jc w:val="both"/>
        <w:rPr>
          <w:rFonts w:ascii="Arial" w:hAnsi="Arial" w:cs="Arial"/>
          <w:sz w:val="24"/>
          <w:szCs w:val="24"/>
        </w:rPr>
      </w:pPr>
      <w:r>
        <w:rPr>
          <w:rFonts w:ascii="Arial" w:hAnsi="Arial" w:cs="Arial"/>
          <w:sz w:val="24"/>
          <w:szCs w:val="24"/>
        </w:rPr>
        <w:t xml:space="preserve">The </w:t>
      </w:r>
      <w:r w:rsidR="00AA718E">
        <w:rPr>
          <w:rFonts w:ascii="Arial" w:hAnsi="Arial" w:cs="Arial"/>
          <w:sz w:val="24"/>
          <w:szCs w:val="24"/>
        </w:rPr>
        <w:t>Problem – Distancing of Military Society from Civilian S</w:t>
      </w:r>
      <w:r w:rsidR="00276B4C">
        <w:rPr>
          <w:rFonts w:ascii="Arial" w:hAnsi="Arial" w:cs="Arial"/>
          <w:sz w:val="24"/>
          <w:szCs w:val="24"/>
        </w:rPr>
        <w:t>ociety</w:t>
      </w:r>
    </w:p>
    <w:p w:rsidR="00276B4C" w:rsidRDefault="00276B4C" w:rsidP="00276B4C">
      <w:pPr>
        <w:spacing w:line="360" w:lineRule="auto"/>
        <w:jc w:val="both"/>
        <w:rPr>
          <w:rFonts w:ascii="Arial" w:hAnsi="Arial" w:cs="Arial"/>
          <w:sz w:val="24"/>
          <w:szCs w:val="24"/>
        </w:rPr>
      </w:pPr>
      <w:r>
        <w:rPr>
          <w:rFonts w:ascii="Arial" w:hAnsi="Arial" w:cs="Arial"/>
          <w:sz w:val="24"/>
          <w:szCs w:val="24"/>
        </w:rPr>
        <w:t>The hi</w:t>
      </w:r>
      <w:r w:rsidR="009949A7">
        <w:rPr>
          <w:rFonts w:ascii="Arial" w:hAnsi="Arial" w:cs="Arial"/>
          <w:sz w:val="24"/>
          <w:szCs w:val="24"/>
        </w:rPr>
        <w:t xml:space="preserve">story of recruitment for the </w:t>
      </w:r>
      <w:r>
        <w:rPr>
          <w:rFonts w:ascii="Arial" w:hAnsi="Arial" w:cs="Arial"/>
          <w:sz w:val="24"/>
          <w:szCs w:val="24"/>
        </w:rPr>
        <w:t>U</w:t>
      </w:r>
      <w:r w:rsidR="009949A7">
        <w:rPr>
          <w:rFonts w:ascii="Arial" w:hAnsi="Arial" w:cs="Arial"/>
          <w:sz w:val="24"/>
          <w:szCs w:val="24"/>
        </w:rPr>
        <w:t xml:space="preserve">K armed forces </w:t>
      </w:r>
      <w:r w:rsidR="00F613C2">
        <w:rPr>
          <w:rFonts w:ascii="Arial" w:hAnsi="Arial" w:cs="Arial"/>
          <w:sz w:val="24"/>
          <w:szCs w:val="24"/>
        </w:rPr>
        <w:t xml:space="preserve">since the nineteenth century </w:t>
      </w:r>
      <w:r w:rsidR="009949A7">
        <w:rPr>
          <w:rFonts w:ascii="Arial" w:hAnsi="Arial" w:cs="Arial"/>
          <w:sz w:val="24"/>
          <w:szCs w:val="24"/>
        </w:rPr>
        <w:t xml:space="preserve">is dominated by a professional, all-volunteer force. </w:t>
      </w:r>
      <w:r w:rsidR="00F613C2">
        <w:rPr>
          <w:rFonts w:ascii="Arial" w:hAnsi="Arial" w:cs="Arial"/>
          <w:sz w:val="24"/>
          <w:szCs w:val="24"/>
        </w:rPr>
        <w:t>However, conscription was utilised during both world wars in the twentieth century</w:t>
      </w:r>
      <w:r w:rsidR="00F613C2">
        <w:rPr>
          <w:rStyle w:val="FootnoteReference"/>
          <w:rFonts w:ascii="Arial" w:hAnsi="Arial" w:cs="Arial"/>
          <w:sz w:val="24"/>
          <w:szCs w:val="24"/>
        </w:rPr>
        <w:footnoteReference w:id="152"/>
      </w:r>
      <w:r w:rsidR="00F613C2">
        <w:rPr>
          <w:rFonts w:ascii="Arial" w:hAnsi="Arial" w:cs="Arial"/>
          <w:sz w:val="24"/>
          <w:szCs w:val="24"/>
        </w:rPr>
        <w:t xml:space="preserve"> and following World War II National Service</w:t>
      </w:r>
      <w:r w:rsidR="00F613C2">
        <w:rPr>
          <w:rStyle w:val="FootnoteReference"/>
          <w:rFonts w:ascii="Arial" w:hAnsi="Arial" w:cs="Arial"/>
          <w:sz w:val="24"/>
          <w:szCs w:val="24"/>
        </w:rPr>
        <w:footnoteReference w:id="153"/>
      </w:r>
      <w:r w:rsidR="00F613C2">
        <w:rPr>
          <w:rFonts w:ascii="Arial" w:hAnsi="Arial" w:cs="Arial"/>
          <w:sz w:val="24"/>
          <w:szCs w:val="24"/>
        </w:rPr>
        <w:t xml:space="preserve"> continued until the Sandy’s Defence White Paper of 1957</w:t>
      </w:r>
      <w:r w:rsidR="00F613C2">
        <w:rPr>
          <w:rStyle w:val="FootnoteReference"/>
          <w:rFonts w:ascii="Arial" w:hAnsi="Arial" w:cs="Arial"/>
          <w:sz w:val="24"/>
          <w:szCs w:val="24"/>
        </w:rPr>
        <w:footnoteReference w:id="154"/>
      </w:r>
      <w:r w:rsidR="00F24C4D">
        <w:rPr>
          <w:rFonts w:ascii="Arial" w:hAnsi="Arial" w:cs="Arial"/>
          <w:sz w:val="24"/>
          <w:szCs w:val="24"/>
        </w:rPr>
        <w:t xml:space="preserve"> </w:t>
      </w:r>
      <w:r w:rsidR="00F613C2">
        <w:rPr>
          <w:rFonts w:ascii="Arial" w:hAnsi="Arial" w:cs="Arial"/>
          <w:sz w:val="24"/>
          <w:szCs w:val="24"/>
        </w:rPr>
        <w:t>announced its demise, the final soldier leaving service in 1963</w:t>
      </w:r>
      <w:r w:rsidR="00F613C2">
        <w:rPr>
          <w:rStyle w:val="FootnoteReference"/>
          <w:rFonts w:ascii="Arial" w:hAnsi="Arial" w:cs="Arial"/>
          <w:sz w:val="24"/>
          <w:szCs w:val="24"/>
        </w:rPr>
        <w:footnoteReference w:id="155"/>
      </w:r>
      <w:r w:rsidR="003A1CAB">
        <w:rPr>
          <w:rFonts w:ascii="Arial" w:hAnsi="Arial" w:cs="Arial"/>
          <w:sz w:val="24"/>
          <w:szCs w:val="24"/>
        </w:rPr>
        <w:t>.</w:t>
      </w:r>
      <w:r w:rsidR="00461744">
        <w:rPr>
          <w:rFonts w:ascii="Arial" w:hAnsi="Arial" w:cs="Arial"/>
          <w:sz w:val="24"/>
          <w:szCs w:val="24"/>
        </w:rPr>
        <w:t xml:space="preserve"> </w:t>
      </w:r>
      <w:r w:rsidR="00C20E09">
        <w:rPr>
          <w:rFonts w:ascii="Arial" w:hAnsi="Arial" w:cs="Arial"/>
          <w:sz w:val="24"/>
          <w:szCs w:val="24"/>
        </w:rPr>
        <w:t xml:space="preserve">With the move away from a conscripted military and the necessary close relationship between the civilian population and the military </w:t>
      </w:r>
      <w:r w:rsidR="00D820E5">
        <w:rPr>
          <w:rFonts w:ascii="Arial" w:hAnsi="Arial" w:cs="Arial"/>
          <w:sz w:val="24"/>
          <w:szCs w:val="24"/>
        </w:rPr>
        <w:t xml:space="preserve">and the full embrace of </w:t>
      </w:r>
      <w:r w:rsidR="00D820E5" w:rsidRPr="00D820E5">
        <w:rPr>
          <w:rFonts w:ascii="Arial" w:hAnsi="Arial" w:cs="Arial"/>
          <w:sz w:val="24"/>
          <w:szCs w:val="24"/>
        </w:rPr>
        <w:t xml:space="preserve">professional all-volunteer forces </w:t>
      </w:r>
      <w:r w:rsidR="00D820E5">
        <w:rPr>
          <w:rFonts w:ascii="Arial" w:hAnsi="Arial" w:cs="Arial"/>
          <w:sz w:val="24"/>
          <w:szCs w:val="24"/>
        </w:rPr>
        <w:t>there wa</w:t>
      </w:r>
      <w:r w:rsidR="00C20E09">
        <w:rPr>
          <w:rFonts w:ascii="Arial" w:hAnsi="Arial" w:cs="Arial"/>
          <w:sz w:val="24"/>
          <w:szCs w:val="24"/>
        </w:rPr>
        <w:t xml:space="preserve">s a danger of detaching the military society from civil society. </w:t>
      </w:r>
      <w:r w:rsidR="00D820E5">
        <w:rPr>
          <w:rFonts w:ascii="Arial" w:hAnsi="Arial" w:cs="Arial"/>
          <w:sz w:val="24"/>
          <w:szCs w:val="24"/>
        </w:rPr>
        <w:t xml:space="preserve">Indeed </w:t>
      </w:r>
      <w:r w:rsidR="00D820E5">
        <w:rPr>
          <w:rFonts w:ascii="Arial" w:hAnsi="Arial" w:cs="Arial"/>
          <w:sz w:val="24"/>
          <w:szCs w:val="24"/>
        </w:rPr>
        <w:lastRenderedPageBreak/>
        <w:t>by the 1980s t</w:t>
      </w:r>
      <w:r w:rsidR="00C45FD8">
        <w:rPr>
          <w:rFonts w:ascii="Arial" w:hAnsi="Arial" w:cs="Arial"/>
          <w:sz w:val="24"/>
          <w:szCs w:val="24"/>
        </w:rPr>
        <w:t xml:space="preserve">he reality of the UK </w:t>
      </w:r>
      <w:r w:rsidR="00484501">
        <w:rPr>
          <w:rFonts w:ascii="Arial" w:hAnsi="Arial" w:cs="Arial"/>
          <w:sz w:val="24"/>
          <w:szCs w:val="24"/>
        </w:rPr>
        <w:t>armed forces</w:t>
      </w:r>
      <w:r w:rsidR="00C45FD8">
        <w:rPr>
          <w:rFonts w:ascii="Arial" w:hAnsi="Arial" w:cs="Arial"/>
          <w:sz w:val="24"/>
          <w:szCs w:val="24"/>
        </w:rPr>
        <w:t xml:space="preserve"> </w:t>
      </w:r>
      <w:r w:rsidR="00D820E5">
        <w:rPr>
          <w:rFonts w:ascii="Arial" w:hAnsi="Arial" w:cs="Arial"/>
          <w:sz w:val="24"/>
          <w:szCs w:val="24"/>
        </w:rPr>
        <w:t>wa</w:t>
      </w:r>
      <w:r w:rsidR="00C45FD8">
        <w:rPr>
          <w:rFonts w:ascii="Arial" w:hAnsi="Arial" w:cs="Arial"/>
          <w:sz w:val="24"/>
          <w:szCs w:val="24"/>
        </w:rPr>
        <w:t xml:space="preserve">s military society </w:t>
      </w:r>
      <w:r w:rsidR="004B67FE">
        <w:rPr>
          <w:rFonts w:ascii="Arial" w:hAnsi="Arial" w:cs="Arial"/>
          <w:sz w:val="24"/>
          <w:szCs w:val="24"/>
        </w:rPr>
        <w:t>being</w:t>
      </w:r>
      <w:r w:rsidR="00C45FD8">
        <w:rPr>
          <w:rFonts w:ascii="Arial" w:hAnsi="Arial" w:cs="Arial"/>
          <w:sz w:val="24"/>
          <w:szCs w:val="24"/>
        </w:rPr>
        <w:t xml:space="preserve"> strongly dislocated from civilian society. A young recruit in the 1980s would move from a society that was regulated by non-discrimination standards for race, sex and sexual orientation to a society that </w:t>
      </w:r>
      <w:r w:rsidR="00484501">
        <w:rPr>
          <w:rFonts w:ascii="Arial" w:hAnsi="Arial" w:cs="Arial"/>
          <w:sz w:val="24"/>
          <w:szCs w:val="24"/>
        </w:rPr>
        <w:t xml:space="preserve">was </w:t>
      </w:r>
      <w:r w:rsidR="00C45FD8">
        <w:rPr>
          <w:rFonts w:ascii="Arial" w:hAnsi="Arial" w:cs="Arial"/>
          <w:sz w:val="24"/>
          <w:szCs w:val="24"/>
        </w:rPr>
        <w:t>almost wholly white, male and heterosexual</w:t>
      </w:r>
      <w:r w:rsidR="00C45FD8">
        <w:rPr>
          <w:rStyle w:val="FootnoteReference"/>
          <w:rFonts w:ascii="Arial" w:hAnsi="Arial" w:cs="Arial"/>
          <w:sz w:val="24"/>
          <w:szCs w:val="24"/>
        </w:rPr>
        <w:footnoteReference w:id="156"/>
      </w:r>
      <w:r w:rsidR="00C45FD8">
        <w:rPr>
          <w:rFonts w:ascii="Arial" w:hAnsi="Arial" w:cs="Arial"/>
          <w:sz w:val="24"/>
          <w:szCs w:val="24"/>
        </w:rPr>
        <w:t>. In effect the UK armed forces retained the social standards of the 1950s whilst the rest of society had moved forward and was in danger of creating a separate and different society within the larger society.</w:t>
      </w:r>
      <w:r w:rsidR="00D820E5">
        <w:rPr>
          <w:rFonts w:ascii="Arial" w:hAnsi="Arial" w:cs="Arial"/>
          <w:sz w:val="24"/>
          <w:szCs w:val="24"/>
        </w:rPr>
        <w:t xml:space="preserve"> This dislocation could</w:t>
      </w:r>
      <w:r w:rsidR="00D34726">
        <w:rPr>
          <w:rFonts w:ascii="Arial" w:hAnsi="Arial" w:cs="Arial"/>
          <w:sz w:val="24"/>
          <w:szCs w:val="24"/>
        </w:rPr>
        <w:t>,</w:t>
      </w:r>
      <w:r w:rsidR="00D820E5">
        <w:rPr>
          <w:rFonts w:ascii="Arial" w:hAnsi="Arial" w:cs="Arial"/>
          <w:sz w:val="24"/>
          <w:szCs w:val="24"/>
        </w:rPr>
        <w:t xml:space="preserve"> if extreme conditions prevailed</w:t>
      </w:r>
      <w:r w:rsidR="00D34726">
        <w:rPr>
          <w:rFonts w:ascii="Arial" w:hAnsi="Arial" w:cs="Arial"/>
          <w:sz w:val="24"/>
          <w:szCs w:val="24"/>
        </w:rPr>
        <w:t>,</w:t>
      </w:r>
      <w:r w:rsidR="00D820E5">
        <w:rPr>
          <w:rFonts w:ascii="Arial" w:hAnsi="Arial" w:cs="Arial"/>
          <w:sz w:val="24"/>
          <w:szCs w:val="24"/>
        </w:rPr>
        <w:t xml:space="preserve"> lead to two possible positions: either complete control of the military by the civilian society such that the armed forces obey orders without question</w:t>
      </w:r>
      <w:r w:rsidR="00D820E5">
        <w:rPr>
          <w:rStyle w:val="FootnoteReference"/>
          <w:rFonts w:ascii="Arial" w:hAnsi="Arial" w:cs="Arial"/>
          <w:sz w:val="24"/>
          <w:szCs w:val="24"/>
        </w:rPr>
        <w:footnoteReference w:id="157"/>
      </w:r>
      <w:r w:rsidR="00D820E5">
        <w:rPr>
          <w:rFonts w:ascii="Arial" w:hAnsi="Arial" w:cs="Arial"/>
          <w:sz w:val="24"/>
          <w:szCs w:val="24"/>
        </w:rPr>
        <w:t>; or, complete control of civilian society by the military, which in a democracy produces a coup d’état</w:t>
      </w:r>
      <w:r w:rsidR="00D820E5">
        <w:rPr>
          <w:rStyle w:val="FootnoteReference"/>
          <w:rFonts w:ascii="Arial" w:hAnsi="Arial" w:cs="Arial"/>
          <w:sz w:val="24"/>
          <w:szCs w:val="24"/>
        </w:rPr>
        <w:footnoteReference w:id="158"/>
      </w:r>
      <w:r w:rsidR="00D820E5">
        <w:rPr>
          <w:rFonts w:ascii="Arial" w:hAnsi="Arial" w:cs="Arial"/>
          <w:sz w:val="24"/>
          <w:szCs w:val="24"/>
        </w:rPr>
        <w:t>.</w:t>
      </w:r>
      <w:r w:rsidR="00D63706">
        <w:rPr>
          <w:rFonts w:ascii="Arial" w:hAnsi="Arial" w:cs="Arial"/>
          <w:sz w:val="24"/>
          <w:szCs w:val="24"/>
        </w:rPr>
        <w:t xml:space="preserve"> As Burk has suggested, in mature democr</w:t>
      </w:r>
      <w:r w:rsidR="008C1AF8">
        <w:rPr>
          <w:rFonts w:ascii="Arial" w:hAnsi="Arial" w:cs="Arial"/>
          <w:sz w:val="24"/>
          <w:szCs w:val="24"/>
        </w:rPr>
        <w:t>acies both of these scenarios a</w:t>
      </w:r>
      <w:r w:rsidR="00D63706">
        <w:rPr>
          <w:rFonts w:ascii="Arial" w:hAnsi="Arial" w:cs="Arial"/>
          <w:sz w:val="24"/>
          <w:szCs w:val="24"/>
        </w:rPr>
        <w:t>re highly unlikely</w:t>
      </w:r>
      <w:r w:rsidR="008C1AF8">
        <w:rPr>
          <w:rStyle w:val="FootnoteReference"/>
          <w:rFonts w:ascii="Arial" w:hAnsi="Arial" w:cs="Arial"/>
          <w:sz w:val="24"/>
          <w:szCs w:val="24"/>
        </w:rPr>
        <w:footnoteReference w:id="159"/>
      </w:r>
      <w:r w:rsidR="00484501">
        <w:rPr>
          <w:rFonts w:ascii="Arial" w:hAnsi="Arial" w:cs="Arial"/>
          <w:sz w:val="24"/>
          <w:szCs w:val="24"/>
        </w:rPr>
        <w:t>. Therefore the aim of the military in a mature democracy is to defend the democratic values of society in general and if there is a lacuna in civil-military relations then such a</w:t>
      </w:r>
      <w:r w:rsidR="00BB47A0">
        <w:rPr>
          <w:rFonts w:ascii="Arial" w:hAnsi="Arial" w:cs="Arial"/>
          <w:sz w:val="24"/>
          <w:szCs w:val="24"/>
        </w:rPr>
        <w:t>n</w:t>
      </w:r>
      <w:r w:rsidR="00484501">
        <w:rPr>
          <w:rFonts w:ascii="Arial" w:hAnsi="Arial" w:cs="Arial"/>
          <w:sz w:val="24"/>
          <w:szCs w:val="24"/>
        </w:rPr>
        <w:t xml:space="preserve"> </w:t>
      </w:r>
      <w:r w:rsidR="00BB47A0">
        <w:rPr>
          <w:rFonts w:ascii="Arial" w:hAnsi="Arial" w:cs="Arial"/>
          <w:sz w:val="24"/>
          <w:szCs w:val="24"/>
        </w:rPr>
        <w:t>objective</w:t>
      </w:r>
      <w:r w:rsidR="00484501">
        <w:rPr>
          <w:rFonts w:ascii="Arial" w:hAnsi="Arial" w:cs="Arial"/>
          <w:sz w:val="24"/>
          <w:szCs w:val="24"/>
        </w:rPr>
        <w:t xml:space="preserve"> </w:t>
      </w:r>
      <w:r w:rsidR="00AA718E">
        <w:rPr>
          <w:rFonts w:ascii="Arial" w:hAnsi="Arial" w:cs="Arial"/>
          <w:sz w:val="24"/>
          <w:szCs w:val="24"/>
        </w:rPr>
        <w:t>has the potential to become</w:t>
      </w:r>
      <w:r w:rsidR="00484501">
        <w:rPr>
          <w:rFonts w:ascii="Arial" w:hAnsi="Arial" w:cs="Arial"/>
          <w:sz w:val="24"/>
          <w:szCs w:val="24"/>
        </w:rPr>
        <w:t xml:space="preserve"> increasingly alien to the military. </w:t>
      </w:r>
    </w:p>
    <w:p w:rsidR="00C45FD8" w:rsidRDefault="00F34EFA" w:rsidP="00C45FD8">
      <w:pPr>
        <w:pStyle w:val="ListParagraph"/>
        <w:numPr>
          <w:ilvl w:val="0"/>
          <w:numId w:val="8"/>
        </w:numPr>
        <w:spacing w:line="360" w:lineRule="auto"/>
        <w:jc w:val="both"/>
        <w:rPr>
          <w:rFonts w:ascii="Arial" w:hAnsi="Arial" w:cs="Arial"/>
          <w:sz w:val="24"/>
          <w:szCs w:val="24"/>
        </w:rPr>
      </w:pPr>
      <w:r>
        <w:rPr>
          <w:rFonts w:ascii="Arial" w:hAnsi="Arial" w:cs="Arial"/>
          <w:sz w:val="24"/>
          <w:szCs w:val="24"/>
        </w:rPr>
        <w:t>Democratic Values, Citizens and the Military</w:t>
      </w:r>
    </w:p>
    <w:p w:rsidR="00010DC1" w:rsidRDefault="00AF36AA" w:rsidP="00C45FD8">
      <w:pPr>
        <w:spacing w:line="360" w:lineRule="auto"/>
        <w:jc w:val="both"/>
        <w:rPr>
          <w:rFonts w:ascii="Arial" w:hAnsi="Arial" w:cs="Arial"/>
          <w:sz w:val="24"/>
          <w:szCs w:val="24"/>
        </w:rPr>
      </w:pPr>
      <w:r>
        <w:rPr>
          <w:rFonts w:ascii="Arial" w:hAnsi="Arial" w:cs="Arial"/>
          <w:sz w:val="24"/>
          <w:szCs w:val="24"/>
        </w:rPr>
        <w:t xml:space="preserve">The </w:t>
      </w:r>
      <w:r w:rsidR="00AA718E">
        <w:rPr>
          <w:rFonts w:ascii="Arial" w:hAnsi="Arial" w:cs="Arial"/>
          <w:sz w:val="24"/>
          <w:szCs w:val="24"/>
        </w:rPr>
        <w:t xml:space="preserve">solution to the problem of the lacuna in civil-military relations </w:t>
      </w:r>
      <w:r w:rsidR="009140F4">
        <w:rPr>
          <w:rFonts w:ascii="Arial" w:hAnsi="Arial" w:cs="Arial"/>
          <w:sz w:val="24"/>
          <w:szCs w:val="24"/>
        </w:rPr>
        <w:t xml:space="preserve">for mature democracies is two-fold: first, </w:t>
      </w:r>
      <w:r w:rsidR="00AA718E">
        <w:rPr>
          <w:rFonts w:ascii="Arial" w:hAnsi="Arial" w:cs="Arial"/>
          <w:sz w:val="24"/>
          <w:szCs w:val="24"/>
        </w:rPr>
        <w:t xml:space="preserve">the rather trite </w:t>
      </w:r>
      <w:r w:rsidR="00010DC1">
        <w:rPr>
          <w:rFonts w:ascii="Arial" w:hAnsi="Arial" w:cs="Arial"/>
          <w:sz w:val="24"/>
          <w:szCs w:val="24"/>
        </w:rPr>
        <w:t>requirement</w:t>
      </w:r>
      <w:r w:rsidR="009140F4">
        <w:rPr>
          <w:rFonts w:ascii="Arial" w:hAnsi="Arial" w:cs="Arial"/>
          <w:sz w:val="24"/>
          <w:szCs w:val="24"/>
        </w:rPr>
        <w:t xml:space="preserve"> </w:t>
      </w:r>
      <w:r w:rsidR="00AA718E">
        <w:rPr>
          <w:rFonts w:ascii="Arial" w:hAnsi="Arial" w:cs="Arial"/>
          <w:sz w:val="24"/>
          <w:szCs w:val="24"/>
        </w:rPr>
        <w:t>to close the gap</w:t>
      </w:r>
      <w:r w:rsidR="009140F4">
        <w:rPr>
          <w:rFonts w:ascii="Arial" w:hAnsi="Arial" w:cs="Arial"/>
          <w:sz w:val="24"/>
          <w:szCs w:val="24"/>
        </w:rPr>
        <w:t xml:space="preserve">; and, second to determine the means necessary to achieve that gap closure. Burk suggests that for the military to protect society’s democratic values then </w:t>
      </w:r>
      <w:r w:rsidR="006936BD">
        <w:rPr>
          <w:rFonts w:ascii="Arial" w:hAnsi="Arial" w:cs="Arial"/>
          <w:sz w:val="24"/>
          <w:szCs w:val="24"/>
        </w:rPr>
        <w:t>society</w:t>
      </w:r>
      <w:r w:rsidR="009140F4">
        <w:rPr>
          <w:rFonts w:ascii="Arial" w:hAnsi="Arial" w:cs="Arial"/>
          <w:sz w:val="24"/>
          <w:szCs w:val="24"/>
        </w:rPr>
        <w:t xml:space="preserve"> must </w:t>
      </w:r>
      <w:r w:rsidR="006936BD">
        <w:rPr>
          <w:rFonts w:ascii="Arial" w:hAnsi="Arial" w:cs="Arial"/>
          <w:sz w:val="24"/>
          <w:szCs w:val="24"/>
        </w:rPr>
        <w:t>embrace the concept of the citizen-soldier</w:t>
      </w:r>
      <w:r w:rsidR="00CE6867">
        <w:rPr>
          <w:rStyle w:val="FootnoteReference"/>
          <w:rFonts w:ascii="Arial" w:hAnsi="Arial" w:cs="Arial"/>
          <w:sz w:val="24"/>
          <w:szCs w:val="24"/>
        </w:rPr>
        <w:footnoteReference w:id="160"/>
      </w:r>
      <w:r w:rsidR="009140F4">
        <w:rPr>
          <w:rFonts w:ascii="Arial" w:hAnsi="Arial" w:cs="Arial"/>
          <w:sz w:val="24"/>
          <w:szCs w:val="24"/>
        </w:rPr>
        <w:t>.</w:t>
      </w:r>
      <w:r>
        <w:rPr>
          <w:rFonts w:ascii="Arial" w:hAnsi="Arial" w:cs="Arial"/>
          <w:sz w:val="24"/>
          <w:szCs w:val="24"/>
        </w:rPr>
        <w:t xml:space="preserve"> </w:t>
      </w:r>
      <w:r w:rsidR="006936BD">
        <w:rPr>
          <w:rFonts w:ascii="Arial" w:hAnsi="Arial" w:cs="Arial"/>
          <w:sz w:val="24"/>
          <w:szCs w:val="24"/>
        </w:rPr>
        <w:t>Of course this is directed towards the US military which has a strong connection with this concept but the UK military could also utilise the citizen-soldier concept by focu</w:t>
      </w:r>
      <w:r w:rsidR="007F587B">
        <w:rPr>
          <w:rFonts w:ascii="Arial" w:hAnsi="Arial" w:cs="Arial"/>
          <w:sz w:val="24"/>
          <w:szCs w:val="24"/>
        </w:rPr>
        <w:t>sing on the idea of the citizen</w:t>
      </w:r>
      <w:r w:rsidR="006936BD">
        <w:rPr>
          <w:rFonts w:ascii="Arial" w:hAnsi="Arial" w:cs="Arial"/>
          <w:sz w:val="24"/>
          <w:szCs w:val="24"/>
        </w:rPr>
        <w:t xml:space="preserve"> </w:t>
      </w:r>
      <w:r w:rsidR="007F587B">
        <w:rPr>
          <w:rFonts w:ascii="Arial" w:hAnsi="Arial" w:cs="Arial"/>
          <w:sz w:val="24"/>
          <w:szCs w:val="24"/>
        </w:rPr>
        <w:t>and</w:t>
      </w:r>
      <w:r w:rsidR="006936BD">
        <w:rPr>
          <w:rFonts w:ascii="Arial" w:hAnsi="Arial" w:cs="Arial"/>
          <w:sz w:val="24"/>
          <w:szCs w:val="24"/>
        </w:rPr>
        <w:t xml:space="preserve"> provide </w:t>
      </w:r>
      <w:r w:rsidR="007F587B">
        <w:rPr>
          <w:rFonts w:ascii="Arial" w:hAnsi="Arial" w:cs="Arial"/>
          <w:sz w:val="24"/>
          <w:szCs w:val="24"/>
        </w:rPr>
        <w:t xml:space="preserve">a logical route to </w:t>
      </w:r>
      <w:r w:rsidR="006936BD">
        <w:rPr>
          <w:rFonts w:ascii="Arial" w:hAnsi="Arial" w:cs="Arial"/>
          <w:sz w:val="24"/>
          <w:szCs w:val="24"/>
        </w:rPr>
        <w:t xml:space="preserve">the democratic underpinning of the armed forces needed to protect the overall democratic values of society. </w:t>
      </w:r>
      <w:r w:rsidR="00010DC1">
        <w:rPr>
          <w:rFonts w:ascii="Arial" w:hAnsi="Arial" w:cs="Arial"/>
          <w:sz w:val="24"/>
          <w:szCs w:val="24"/>
        </w:rPr>
        <w:t xml:space="preserve">Such a suggestion </w:t>
      </w:r>
      <w:r w:rsidR="006936BD">
        <w:rPr>
          <w:rFonts w:ascii="Arial" w:hAnsi="Arial" w:cs="Arial"/>
          <w:sz w:val="24"/>
          <w:szCs w:val="24"/>
        </w:rPr>
        <w:t>could be considered controversial</w:t>
      </w:r>
      <w:r w:rsidR="00010DC1">
        <w:rPr>
          <w:rFonts w:ascii="Arial" w:hAnsi="Arial" w:cs="Arial"/>
          <w:sz w:val="24"/>
          <w:szCs w:val="24"/>
        </w:rPr>
        <w:t xml:space="preserve"> in </w:t>
      </w:r>
      <w:r w:rsidR="004B67FE">
        <w:rPr>
          <w:rFonts w:ascii="Arial" w:hAnsi="Arial" w:cs="Arial"/>
          <w:sz w:val="24"/>
          <w:szCs w:val="24"/>
        </w:rPr>
        <w:t>this</w:t>
      </w:r>
      <w:r w:rsidR="006936BD">
        <w:rPr>
          <w:rFonts w:ascii="Arial" w:hAnsi="Arial" w:cs="Arial"/>
          <w:sz w:val="24"/>
          <w:szCs w:val="24"/>
        </w:rPr>
        <w:t xml:space="preserve"> </w:t>
      </w:r>
      <w:r w:rsidR="002272B3">
        <w:rPr>
          <w:rFonts w:ascii="Arial" w:hAnsi="Arial" w:cs="Arial"/>
          <w:sz w:val="24"/>
          <w:szCs w:val="24"/>
        </w:rPr>
        <w:t>consummate</w:t>
      </w:r>
      <w:r w:rsidR="00010DC1">
        <w:rPr>
          <w:rFonts w:ascii="Arial" w:hAnsi="Arial" w:cs="Arial"/>
          <w:sz w:val="24"/>
          <w:szCs w:val="24"/>
        </w:rPr>
        <w:t xml:space="preserve"> hierarchical organisation that relies </w:t>
      </w:r>
      <w:r w:rsidR="00010DC1">
        <w:rPr>
          <w:rFonts w:ascii="Arial" w:hAnsi="Arial" w:cs="Arial"/>
          <w:sz w:val="24"/>
          <w:szCs w:val="24"/>
        </w:rPr>
        <w:lastRenderedPageBreak/>
        <w:t xml:space="preserve">significantly on the concept of </w:t>
      </w:r>
      <w:r w:rsidR="006936BD">
        <w:rPr>
          <w:rFonts w:ascii="Arial" w:hAnsi="Arial" w:cs="Arial"/>
          <w:sz w:val="24"/>
          <w:szCs w:val="24"/>
        </w:rPr>
        <w:t>discipline to ensure good order but it is submitted this is not the case.</w:t>
      </w:r>
    </w:p>
    <w:p w:rsidR="002F4AE2" w:rsidRDefault="002F4AE2" w:rsidP="00C45FD8">
      <w:pPr>
        <w:spacing w:line="360" w:lineRule="auto"/>
        <w:jc w:val="both"/>
        <w:rPr>
          <w:rFonts w:ascii="Arial" w:hAnsi="Arial" w:cs="Arial"/>
          <w:sz w:val="24"/>
          <w:szCs w:val="24"/>
        </w:rPr>
      </w:pPr>
    </w:p>
    <w:p w:rsidR="002F4AE2" w:rsidRDefault="002F4AE2" w:rsidP="00C45FD8">
      <w:pPr>
        <w:spacing w:line="360" w:lineRule="auto"/>
        <w:jc w:val="both"/>
        <w:rPr>
          <w:rFonts w:ascii="Arial" w:hAnsi="Arial" w:cs="Arial"/>
          <w:sz w:val="24"/>
          <w:szCs w:val="24"/>
        </w:rPr>
      </w:pPr>
      <w:r>
        <w:rPr>
          <w:rFonts w:ascii="Arial" w:hAnsi="Arial" w:cs="Arial"/>
          <w:sz w:val="24"/>
          <w:szCs w:val="24"/>
        </w:rPr>
        <w:t>In 2011 the government issued the Armed Forces Covenant</w:t>
      </w:r>
      <w:r w:rsidR="00CE6867">
        <w:rPr>
          <w:rStyle w:val="FootnoteReference"/>
          <w:rFonts w:ascii="Arial" w:hAnsi="Arial" w:cs="Arial"/>
          <w:sz w:val="24"/>
          <w:szCs w:val="24"/>
        </w:rPr>
        <w:footnoteReference w:id="161"/>
      </w:r>
      <w:r w:rsidR="00CE6867">
        <w:rPr>
          <w:rFonts w:ascii="Arial" w:hAnsi="Arial" w:cs="Arial"/>
          <w:sz w:val="24"/>
          <w:szCs w:val="24"/>
        </w:rPr>
        <w:t>, building on the Army’s Military Covenant</w:t>
      </w:r>
      <w:r w:rsidR="00CE6867">
        <w:rPr>
          <w:rStyle w:val="FootnoteReference"/>
          <w:rFonts w:ascii="Arial" w:hAnsi="Arial" w:cs="Arial"/>
          <w:sz w:val="24"/>
          <w:szCs w:val="24"/>
        </w:rPr>
        <w:footnoteReference w:id="162"/>
      </w:r>
      <w:r w:rsidR="00CE6867">
        <w:rPr>
          <w:rFonts w:ascii="Arial" w:hAnsi="Arial" w:cs="Arial"/>
          <w:sz w:val="24"/>
          <w:szCs w:val="24"/>
        </w:rPr>
        <w:t xml:space="preserve">. The aim of the </w:t>
      </w:r>
      <w:r w:rsidR="000A5F2B">
        <w:rPr>
          <w:rFonts w:ascii="Arial" w:hAnsi="Arial" w:cs="Arial"/>
          <w:sz w:val="24"/>
          <w:szCs w:val="24"/>
        </w:rPr>
        <w:t>non-legally binding</w:t>
      </w:r>
      <w:r w:rsidR="00225E5A">
        <w:rPr>
          <w:rStyle w:val="FootnoteReference"/>
          <w:rFonts w:ascii="Arial" w:hAnsi="Arial" w:cs="Arial"/>
          <w:sz w:val="24"/>
          <w:szCs w:val="24"/>
        </w:rPr>
        <w:footnoteReference w:id="163"/>
      </w:r>
      <w:r w:rsidR="000A5F2B">
        <w:rPr>
          <w:rFonts w:ascii="Arial" w:hAnsi="Arial" w:cs="Arial"/>
          <w:sz w:val="24"/>
          <w:szCs w:val="24"/>
        </w:rPr>
        <w:t xml:space="preserve"> </w:t>
      </w:r>
      <w:r w:rsidR="00CE6867">
        <w:rPr>
          <w:rFonts w:ascii="Arial" w:hAnsi="Arial" w:cs="Arial"/>
          <w:sz w:val="24"/>
          <w:szCs w:val="24"/>
        </w:rPr>
        <w:t xml:space="preserve">document was to </w:t>
      </w:r>
      <w:r w:rsidR="005C7EB5">
        <w:rPr>
          <w:rFonts w:ascii="Arial" w:hAnsi="Arial" w:cs="Arial"/>
          <w:sz w:val="24"/>
          <w:szCs w:val="24"/>
        </w:rPr>
        <w:t>establish a covenant betw</w:t>
      </w:r>
      <w:r w:rsidR="00702C1F">
        <w:rPr>
          <w:rFonts w:ascii="Arial" w:hAnsi="Arial" w:cs="Arial"/>
          <w:sz w:val="24"/>
          <w:szCs w:val="24"/>
        </w:rPr>
        <w:t>een the ‘</w:t>
      </w:r>
      <w:r w:rsidR="005C7EB5">
        <w:rPr>
          <w:rFonts w:ascii="Arial" w:hAnsi="Arial" w:cs="Arial"/>
          <w:sz w:val="24"/>
          <w:szCs w:val="24"/>
        </w:rPr>
        <w:t>Armed Forces Community, the Nation and the Government</w:t>
      </w:r>
      <w:r w:rsidR="00702C1F">
        <w:rPr>
          <w:rFonts w:ascii="Arial" w:hAnsi="Arial" w:cs="Arial"/>
          <w:sz w:val="24"/>
          <w:szCs w:val="24"/>
        </w:rPr>
        <w:t>’</w:t>
      </w:r>
      <w:r w:rsidR="005C7EB5">
        <w:rPr>
          <w:rStyle w:val="FootnoteReference"/>
          <w:rFonts w:ascii="Arial" w:hAnsi="Arial" w:cs="Arial"/>
          <w:sz w:val="24"/>
          <w:szCs w:val="24"/>
        </w:rPr>
        <w:footnoteReference w:id="164"/>
      </w:r>
      <w:r w:rsidR="005C7EB5">
        <w:rPr>
          <w:rFonts w:ascii="Arial" w:hAnsi="Arial" w:cs="Arial"/>
          <w:sz w:val="24"/>
          <w:szCs w:val="24"/>
        </w:rPr>
        <w:t xml:space="preserve"> setting out a framework for how the Armed Forces Community </w:t>
      </w:r>
      <w:r w:rsidR="0083557D">
        <w:rPr>
          <w:rFonts w:ascii="Arial" w:hAnsi="Arial" w:cs="Arial"/>
          <w:sz w:val="24"/>
          <w:szCs w:val="24"/>
        </w:rPr>
        <w:t>could be expected</w:t>
      </w:r>
      <w:r w:rsidR="005C7EB5">
        <w:rPr>
          <w:rFonts w:ascii="Arial" w:hAnsi="Arial" w:cs="Arial"/>
          <w:sz w:val="24"/>
          <w:szCs w:val="24"/>
        </w:rPr>
        <w:t xml:space="preserve"> to be treated</w:t>
      </w:r>
      <w:r w:rsidR="005C7EB5">
        <w:rPr>
          <w:rStyle w:val="FootnoteReference"/>
          <w:rFonts w:ascii="Arial" w:hAnsi="Arial" w:cs="Arial"/>
          <w:sz w:val="24"/>
          <w:szCs w:val="24"/>
        </w:rPr>
        <w:footnoteReference w:id="165"/>
      </w:r>
      <w:r w:rsidR="0083557D">
        <w:rPr>
          <w:rFonts w:ascii="Arial" w:hAnsi="Arial" w:cs="Arial"/>
          <w:sz w:val="24"/>
          <w:szCs w:val="24"/>
        </w:rPr>
        <w:t xml:space="preserve"> and attempting to explain</w:t>
      </w:r>
      <w:r w:rsidR="005C7EB5">
        <w:rPr>
          <w:rFonts w:ascii="Arial" w:hAnsi="Arial" w:cs="Arial"/>
          <w:sz w:val="24"/>
          <w:szCs w:val="24"/>
        </w:rPr>
        <w:t xml:space="preserve"> the mutual obligations</w:t>
      </w:r>
      <w:r w:rsidR="0083557D">
        <w:rPr>
          <w:rStyle w:val="FootnoteReference"/>
          <w:rFonts w:ascii="Arial" w:hAnsi="Arial" w:cs="Arial"/>
          <w:sz w:val="24"/>
          <w:szCs w:val="24"/>
        </w:rPr>
        <w:footnoteReference w:id="166"/>
      </w:r>
      <w:r w:rsidR="005C7EB5">
        <w:rPr>
          <w:rFonts w:ascii="Arial" w:hAnsi="Arial" w:cs="Arial"/>
          <w:sz w:val="24"/>
          <w:szCs w:val="24"/>
        </w:rPr>
        <w:t xml:space="preserve"> and expectations</w:t>
      </w:r>
      <w:r w:rsidR="0083557D">
        <w:rPr>
          <w:rStyle w:val="FootnoteReference"/>
          <w:rFonts w:ascii="Arial" w:hAnsi="Arial" w:cs="Arial"/>
          <w:sz w:val="24"/>
          <w:szCs w:val="24"/>
        </w:rPr>
        <w:footnoteReference w:id="167"/>
      </w:r>
      <w:r w:rsidR="005C7EB5">
        <w:rPr>
          <w:rFonts w:ascii="Arial" w:hAnsi="Arial" w:cs="Arial"/>
          <w:sz w:val="24"/>
          <w:szCs w:val="24"/>
        </w:rPr>
        <w:t xml:space="preserve"> that exist between the parties to it. </w:t>
      </w:r>
      <w:r w:rsidR="00702C1F">
        <w:rPr>
          <w:rFonts w:ascii="Arial" w:hAnsi="Arial" w:cs="Arial"/>
          <w:sz w:val="24"/>
          <w:szCs w:val="24"/>
        </w:rPr>
        <w:t>As McCartney notes, ‘</w:t>
      </w:r>
      <w:r w:rsidR="00FA62B7">
        <w:rPr>
          <w:rFonts w:ascii="Arial" w:hAnsi="Arial" w:cs="Arial"/>
          <w:sz w:val="24"/>
          <w:szCs w:val="24"/>
        </w:rPr>
        <w:t>it outlines a foundational bargain</w:t>
      </w:r>
      <w:r w:rsidR="00702C1F">
        <w:rPr>
          <w:rFonts w:ascii="Arial" w:hAnsi="Arial" w:cs="Arial"/>
          <w:sz w:val="24"/>
          <w:szCs w:val="24"/>
        </w:rPr>
        <w:t>’</w:t>
      </w:r>
      <w:r w:rsidR="00FA62B7">
        <w:rPr>
          <w:rStyle w:val="FootnoteReference"/>
          <w:rFonts w:ascii="Arial" w:hAnsi="Arial" w:cs="Arial"/>
          <w:sz w:val="24"/>
          <w:szCs w:val="24"/>
        </w:rPr>
        <w:footnoteReference w:id="168"/>
      </w:r>
      <w:r w:rsidR="00FA62B7">
        <w:rPr>
          <w:rFonts w:ascii="Arial" w:hAnsi="Arial" w:cs="Arial"/>
          <w:sz w:val="24"/>
          <w:szCs w:val="24"/>
        </w:rPr>
        <w:t xml:space="preserve"> in which the military fulfil the government’s responsibility for defence of the realm, sacrificing some civilian freedoms, facing danger and possibly suffering serious injury or death as a result, and the nation in return has a moral obligation to respect, support and treat fairly members of the armed forces and their </w:t>
      </w:r>
      <w:r w:rsidR="00FA62B7">
        <w:rPr>
          <w:rFonts w:ascii="Arial" w:hAnsi="Arial" w:cs="Arial"/>
          <w:sz w:val="24"/>
          <w:szCs w:val="24"/>
        </w:rPr>
        <w:lastRenderedPageBreak/>
        <w:t>families</w:t>
      </w:r>
      <w:r w:rsidR="00FA62B7">
        <w:rPr>
          <w:rStyle w:val="FootnoteReference"/>
          <w:rFonts w:ascii="Arial" w:hAnsi="Arial" w:cs="Arial"/>
          <w:sz w:val="24"/>
          <w:szCs w:val="24"/>
        </w:rPr>
        <w:footnoteReference w:id="169"/>
      </w:r>
      <w:r w:rsidR="00FA62B7">
        <w:rPr>
          <w:rFonts w:ascii="Arial" w:hAnsi="Arial" w:cs="Arial"/>
          <w:sz w:val="24"/>
          <w:szCs w:val="24"/>
        </w:rPr>
        <w:t xml:space="preserve">. </w:t>
      </w:r>
      <w:r w:rsidR="0055737D">
        <w:rPr>
          <w:rFonts w:ascii="Arial" w:hAnsi="Arial" w:cs="Arial"/>
          <w:sz w:val="24"/>
          <w:szCs w:val="24"/>
        </w:rPr>
        <w:t xml:space="preserve">Indeed one of the aims of the </w:t>
      </w:r>
      <w:r w:rsidR="00702C1F">
        <w:rPr>
          <w:rFonts w:ascii="Arial" w:hAnsi="Arial" w:cs="Arial"/>
          <w:sz w:val="24"/>
          <w:szCs w:val="24"/>
        </w:rPr>
        <w:t>Covenant as Forster points out ‘</w:t>
      </w:r>
      <w:r w:rsidR="0055737D">
        <w:rPr>
          <w:rFonts w:ascii="Arial" w:hAnsi="Arial" w:cs="Arial"/>
          <w:sz w:val="24"/>
          <w:szCs w:val="24"/>
        </w:rPr>
        <w:t>was to defend the right of the Army to be different from the society from which it came</w:t>
      </w:r>
      <w:r w:rsidR="00702C1F">
        <w:rPr>
          <w:rFonts w:ascii="Arial" w:hAnsi="Arial" w:cs="Arial"/>
          <w:sz w:val="24"/>
          <w:szCs w:val="24"/>
        </w:rPr>
        <w:t>’</w:t>
      </w:r>
      <w:r w:rsidR="0055737D">
        <w:rPr>
          <w:rStyle w:val="FootnoteReference"/>
          <w:rFonts w:ascii="Arial" w:hAnsi="Arial" w:cs="Arial"/>
          <w:sz w:val="24"/>
          <w:szCs w:val="24"/>
        </w:rPr>
        <w:footnoteReference w:id="170"/>
      </w:r>
      <w:r w:rsidR="0055737D">
        <w:rPr>
          <w:rFonts w:ascii="Arial" w:hAnsi="Arial" w:cs="Arial"/>
          <w:sz w:val="24"/>
          <w:szCs w:val="24"/>
        </w:rPr>
        <w:t>. The Covenant</w:t>
      </w:r>
      <w:r w:rsidR="00F34EFA">
        <w:rPr>
          <w:rFonts w:ascii="Arial" w:hAnsi="Arial" w:cs="Arial"/>
          <w:sz w:val="24"/>
          <w:szCs w:val="24"/>
        </w:rPr>
        <w:t xml:space="preserve"> attempts to set this out by stating that the military sacrifice some civilian freedoms</w:t>
      </w:r>
      <w:r w:rsidR="00F34EFA">
        <w:rPr>
          <w:rStyle w:val="FootnoteReference"/>
          <w:rFonts w:ascii="Arial" w:hAnsi="Arial" w:cs="Arial"/>
          <w:sz w:val="24"/>
          <w:szCs w:val="24"/>
        </w:rPr>
        <w:footnoteReference w:id="171"/>
      </w:r>
      <w:r w:rsidR="00F34EFA">
        <w:rPr>
          <w:rFonts w:ascii="Arial" w:hAnsi="Arial" w:cs="Arial"/>
          <w:sz w:val="24"/>
          <w:szCs w:val="24"/>
        </w:rPr>
        <w:t xml:space="preserve"> but does no</w:t>
      </w:r>
      <w:r w:rsidR="004B67FE">
        <w:rPr>
          <w:rFonts w:ascii="Arial" w:hAnsi="Arial" w:cs="Arial"/>
          <w:sz w:val="24"/>
          <w:szCs w:val="24"/>
        </w:rPr>
        <w:t>t</w:t>
      </w:r>
      <w:r w:rsidR="00F34EFA">
        <w:rPr>
          <w:rFonts w:ascii="Arial" w:hAnsi="Arial" w:cs="Arial"/>
          <w:sz w:val="24"/>
          <w:szCs w:val="24"/>
        </w:rPr>
        <w:t xml:space="preserve"> spell out what these entail. Indeed the expectations section</w:t>
      </w:r>
      <w:r w:rsidR="00702C1F">
        <w:rPr>
          <w:rFonts w:ascii="Arial" w:hAnsi="Arial" w:cs="Arial"/>
          <w:sz w:val="24"/>
          <w:szCs w:val="24"/>
        </w:rPr>
        <w:t xml:space="preserve"> includes a statement that the ‘</w:t>
      </w:r>
      <w:r w:rsidR="00F34EFA">
        <w:rPr>
          <w:rFonts w:ascii="Arial" w:hAnsi="Arial" w:cs="Arial"/>
          <w:sz w:val="24"/>
          <w:szCs w:val="24"/>
        </w:rPr>
        <w:t>Armed Forces Community should be able to participate as citizens to the same extent as any UK citizen, subject to t</w:t>
      </w:r>
      <w:r w:rsidR="004B67FE">
        <w:rPr>
          <w:rFonts w:ascii="Arial" w:hAnsi="Arial" w:cs="Arial"/>
          <w:sz w:val="24"/>
          <w:szCs w:val="24"/>
        </w:rPr>
        <w:t>he necessary constraints on the</w:t>
      </w:r>
      <w:r w:rsidR="00F34EFA">
        <w:rPr>
          <w:rFonts w:ascii="Arial" w:hAnsi="Arial" w:cs="Arial"/>
          <w:sz w:val="24"/>
          <w:szCs w:val="24"/>
        </w:rPr>
        <w:t xml:space="preserve"> activities of public servants</w:t>
      </w:r>
      <w:r w:rsidR="00702C1F">
        <w:rPr>
          <w:rFonts w:ascii="Arial" w:hAnsi="Arial" w:cs="Arial"/>
          <w:sz w:val="24"/>
          <w:szCs w:val="24"/>
        </w:rPr>
        <w:t>’</w:t>
      </w:r>
      <w:r w:rsidR="00F34EFA">
        <w:rPr>
          <w:rStyle w:val="FootnoteReference"/>
          <w:rFonts w:ascii="Arial" w:hAnsi="Arial" w:cs="Arial"/>
          <w:sz w:val="24"/>
          <w:szCs w:val="24"/>
        </w:rPr>
        <w:footnoteReference w:id="172"/>
      </w:r>
      <w:r w:rsidR="00F34EFA">
        <w:rPr>
          <w:rFonts w:ascii="Arial" w:hAnsi="Arial" w:cs="Arial"/>
          <w:sz w:val="24"/>
          <w:szCs w:val="24"/>
        </w:rPr>
        <w:t>. Thus members of the armed forces are citizens and retain the rights that citizens possess, notwithstanding the general exception for public servants.</w:t>
      </w:r>
    </w:p>
    <w:p w:rsidR="00F34EFA" w:rsidRDefault="00F34EFA" w:rsidP="00F34EFA">
      <w:pPr>
        <w:pStyle w:val="ListParagraph"/>
        <w:numPr>
          <w:ilvl w:val="0"/>
          <w:numId w:val="8"/>
        </w:numPr>
        <w:spacing w:line="360" w:lineRule="auto"/>
        <w:jc w:val="both"/>
        <w:rPr>
          <w:rFonts w:ascii="Arial" w:hAnsi="Arial" w:cs="Arial"/>
          <w:sz w:val="24"/>
          <w:szCs w:val="24"/>
        </w:rPr>
      </w:pPr>
      <w:r>
        <w:rPr>
          <w:rFonts w:ascii="Arial" w:hAnsi="Arial" w:cs="Arial"/>
          <w:sz w:val="24"/>
          <w:szCs w:val="24"/>
        </w:rPr>
        <w:t>Democratisation of the Military</w:t>
      </w:r>
    </w:p>
    <w:p w:rsidR="00C45FD8" w:rsidRDefault="00D34726" w:rsidP="00C45FD8">
      <w:pPr>
        <w:spacing w:line="360" w:lineRule="auto"/>
        <w:jc w:val="both"/>
        <w:rPr>
          <w:rFonts w:ascii="Arial" w:hAnsi="Arial" w:cs="Arial"/>
          <w:sz w:val="24"/>
          <w:szCs w:val="24"/>
        </w:rPr>
      </w:pPr>
      <w:r>
        <w:rPr>
          <w:rFonts w:ascii="Arial" w:hAnsi="Arial" w:cs="Arial"/>
          <w:sz w:val="24"/>
          <w:szCs w:val="24"/>
        </w:rPr>
        <w:t xml:space="preserve">The </w:t>
      </w:r>
      <w:r w:rsidR="00405408">
        <w:rPr>
          <w:rFonts w:ascii="Arial" w:hAnsi="Arial" w:cs="Arial"/>
          <w:sz w:val="24"/>
          <w:szCs w:val="24"/>
        </w:rPr>
        <w:t xml:space="preserve">proposition advanced here is that the </w:t>
      </w:r>
      <w:r>
        <w:rPr>
          <w:rFonts w:ascii="Arial" w:hAnsi="Arial" w:cs="Arial"/>
          <w:sz w:val="24"/>
          <w:szCs w:val="24"/>
        </w:rPr>
        <w:t>emphasis on the defence of democratic values and the member of the armed forces as a UK citizen can only achieve the aim of closing the civil-military relations gap</w:t>
      </w:r>
      <w:r w:rsidR="00405408">
        <w:rPr>
          <w:rFonts w:ascii="Arial" w:hAnsi="Arial" w:cs="Arial"/>
          <w:sz w:val="24"/>
          <w:szCs w:val="24"/>
        </w:rPr>
        <w:t xml:space="preserve"> if the armed forces themselves are constrained and at the same time liberated through democratic values. This process of democratisation enshrines the basic rights of citizens whilst recognising the reality of military life that necessitates restrictions on certain freedoms. This process has been described by Rubin as juridification</w:t>
      </w:r>
      <w:r w:rsidR="00B6373A">
        <w:rPr>
          <w:rStyle w:val="FootnoteReference"/>
          <w:rFonts w:ascii="Arial" w:hAnsi="Arial" w:cs="Arial"/>
          <w:sz w:val="24"/>
          <w:szCs w:val="24"/>
        </w:rPr>
        <w:footnoteReference w:id="173"/>
      </w:r>
      <w:r w:rsidR="00711F7A">
        <w:rPr>
          <w:rFonts w:ascii="Arial" w:hAnsi="Arial" w:cs="Arial"/>
          <w:sz w:val="24"/>
          <w:szCs w:val="24"/>
        </w:rPr>
        <w:t>, which has recently been explored further by Forster</w:t>
      </w:r>
      <w:r w:rsidR="00711F7A">
        <w:rPr>
          <w:rStyle w:val="FootnoteReference"/>
          <w:rFonts w:ascii="Arial" w:hAnsi="Arial" w:cs="Arial"/>
          <w:sz w:val="24"/>
          <w:szCs w:val="24"/>
        </w:rPr>
        <w:footnoteReference w:id="174"/>
      </w:r>
      <w:r w:rsidR="00711F7A">
        <w:rPr>
          <w:rFonts w:ascii="Arial" w:hAnsi="Arial" w:cs="Arial"/>
          <w:sz w:val="24"/>
          <w:szCs w:val="24"/>
        </w:rPr>
        <w:t>,</w:t>
      </w:r>
      <w:r w:rsidR="00405408">
        <w:rPr>
          <w:rFonts w:ascii="Arial" w:hAnsi="Arial" w:cs="Arial"/>
          <w:sz w:val="24"/>
          <w:szCs w:val="24"/>
        </w:rPr>
        <w:t xml:space="preserve"> but it is suggested that a more accurate term would be democratisation.</w:t>
      </w:r>
      <w:r w:rsidR="00A20E73">
        <w:rPr>
          <w:rFonts w:ascii="Arial" w:hAnsi="Arial" w:cs="Arial"/>
          <w:sz w:val="24"/>
          <w:szCs w:val="24"/>
        </w:rPr>
        <w:t xml:space="preserve"> The Covenant equates citizenship with the right to vote but this is highly limited and should also include basic rights. These include the right to equal treatment and the protection of human rights, the </w:t>
      </w:r>
      <w:r w:rsidR="00711F7A">
        <w:rPr>
          <w:rFonts w:ascii="Arial" w:hAnsi="Arial" w:cs="Arial"/>
          <w:sz w:val="24"/>
          <w:szCs w:val="24"/>
        </w:rPr>
        <w:t>former</w:t>
      </w:r>
      <w:r w:rsidR="00A20E73">
        <w:rPr>
          <w:rFonts w:ascii="Arial" w:hAnsi="Arial" w:cs="Arial"/>
          <w:sz w:val="24"/>
          <w:szCs w:val="24"/>
        </w:rPr>
        <w:t xml:space="preserve"> </w:t>
      </w:r>
      <w:r w:rsidR="00711F7A">
        <w:rPr>
          <w:rFonts w:ascii="Arial" w:hAnsi="Arial" w:cs="Arial"/>
          <w:sz w:val="24"/>
          <w:szCs w:val="24"/>
        </w:rPr>
        <w:t>included</w:t>
      </w:r>
      <w:r w:rsidR="00A20E73">
        <w:rPr>
          <w:rFonts w:ascii="Arial" w:hAnsi="Arial" w:cs="Arial"/>
          <w:sz w:val="24"/>
          <w:szCs w:val="24"/>
        </w:rPr>
        <w:t xml:space="preserve"> in the Covenant </w:t>
      </w:r>
      <w:r w:rsidR="00711F7A">
        <w:rPr>
          <w:rFonts w:ascii="Arial" w:hAnsi="Arial" w:cs="Arial"/>
          <w:sz w:val="24"/>
          <w:szCs w:val="24"/>
        </w:rPr>
        <w:t>and</w:t>
      </w:r>
      <w:r w:rsidR="00A20E73">
        <w:rPr>
          <w:rFonts w:ascii="Arial" w:hAnsi="Arial" w:cs="Arial"/>
          <w:sz w:val="24"/>
          <w:szCs w:val="24"/>
        </w:rPr>
        <w:t xml:space="preserve"> Today and Tomorrow </w:t>
      </w:r>
      <w:r w:rsidR="00711F7A">
        <w:rPr>
          <w:rFonts w:ascii="Arial" w:hAnsi="Arial" w:cs="Arial"/>
          <w:sz w:val="24"/>
          <w:szCs w:val="24"/>
        </w:rPr>
        <w:t>as part of the expectations section but</w:t>
      </w:r>
      <w:r w:rsidR="00A20E73">
        <w:rPr>
          <w:rFonts w:ascii="Arial" w:hAnsi="Arial" w:cs="Arial"/>
          <w:sz w:val="24"/>
          <w:szCs w:val="24"/>
        </w:rPr>
        <w:t xml:space="preserve"> the </w:t>
      </w:r>
      <w:r w:rsidR="00711F7A">
        <w:rPr>
          <w:rFonts w:ascii="Arial" w:hAnsi="Arial" w:cs="Arial"/>
          <w:sz w:val="24"/>
          <w:szCs w:val="24"/>
        </w:rPr>
        <w:t>latter not mentioned in either document.</w:t>
      </w:r>
      <w:r w:rsidR="00D3023A">
        <w:rPr>
          <w:rFonts w:ascii="Arial" w:hAnsi="Arial" w:cs="Arial"/>
          <w:sz w:val="24"/>
          <w:szCs w:val="24"/>
        </w:rPr>
        <w:t xml:space="preserve"> These have, as we have seen above, been extended to individuals by civilian laws and enforced through the courts.</w:t>
      </w:r>
      <w:r w:rsidR="00711F7A">
        <w:rPr>
          <w:rFonts w:ascii="Arial" w:hAnsi="Arial" w:cs="Arial"/>
          <w:sz w:val="24"/>
          <w:szCs w:val="24"/>
        </w:rPr>
        <w:t xml:space="preserve"> </w:t>
      </w:r>
      <w:r w:rsidR="00AF36AA">
        <w:rPr>
          <w:rFonts w:ascii="Arial" w:hAnsi="Arial" w:cs="Arial"/>
          <w:sz w:val="24"/>
          <w:szCs w:val="24"/>
        </w:rPr>
        <w:t xml:space="preserve">By empowering individuals so that they are not discriminated against on the basis of a characteristic and providing them </w:t>
      </w:r>
      <w:r w:rsidR="00D3023A">
        <w:rPr>
          <w:rFonts w:ascii="Arial" w:hAnsi="Arial" w:cs="Arial"/>
          <w:sz w:val="24"/>
          <w:szCs w:val="24"/>
        </w:rPr>
        <w:t xml:space="preserve">with </w:t>
      </w:r>
      <w:r w:rsidR="00AF36AA">
        <w:rPr>
          <w:rFonts w:ascii="Arial" w:hAnsi="Arial" w:cs="Arial"/>
          <w:sz w:val="24"/>
          <w:szCs w:val="24"/>
        </w:rPr>
        <w:t xml:space="preserve">the same opportunities to hold their employer, the armed forces, to account as an individual in the civilian world </w:t>
      </w:r>
      <w:r w:rsidR="00D3023A">
        <w:rPr>
          <w:rFonts w:ascii="Arial" w:hAnsi="Arial" w:cs="Arial"/>
          <w:sz w:val="24"/>
          <w:szCs w:val="24"/>
        </w:rPr>
        <w:t xml:space="preserve">actively encourages the </w:t>
      </w:r>
      <w:r w:rsidR="00D3023A">
        <w:rPr>
          <w:rFonts w:ascii="Arial" w:hAnsi="Arial" w:cs="Arial"/>
          <w:sz w:val="24"/>
          <w:szCs w:val="24"/>
        </w:rPr>
        <w:lastRenderedPageBreak/>
        <w:t>achievement of</w:t>
      </w:r>
      <w:r w:rsidR="00AF36AA">
        <w:rPr>
          <w:rFonts w:ascii="Arial" w:hAnsi="Arial" w:cs="Arial"/>
          <w:sz w:val="24"/>
          <w:szCs w:val="24"/>
        </w:rPr>
        <w:t xml:space="preserve"> the objective </w:t>
      </w:r>
      <w:r w:rsidR="00D3023A">
        <w:rPr>
          <w:rFonts w:ascii="Arial" w:hAnsi="Arial" w:cs="Arial"/>
          <w:sz w:val="24"/>
          <w:szCs w:val="24"/>
        </w:rPr>
        <w:t>to create</w:t>
      </w:r>
      <w:r w:rsidR="00AF36AA">
        <w:rPr>
          <w:rFonts w:ascii="Arial" w:hAnsi="Arial" w:cs="Arial"/>
          <w:sz w:val="24"/>
          <w:szCs w:val="24"/>
        </w:rPr>
        <w:t xml:space="preserve"> a military representative of society at large. It is further enhanced if integration policies are pursued with energy and vigour. The danger of an individual failing to question orders when he or she should do so is diminished if that person knows they can take a case to court and potentially win without any victimisation. The possibility of a military coup is weakened if the armed services resemble the civilian society and believe that they represent them. The combination of human rights and equal treatment creates a situation where a member of the armed forces can be confident in their personnel identity whilst secure within the hierarchical structure of the military and able to conform to military discipline.</w:t>
      </w:r>
      <w:r w:rsidR="00D3023A">
        <w:rPr>
          <w:rFonts w:ascii="Arial" w:hAnsi="Arial" w:cs="Arial"/>
          <w:sz w:val="24"/>
          <w:szCs w:val="24"/>
        </w:rPr>
        <w:t xml:space="preserve"> Furthermore democratisation of the military and the empowerment of members of the armed forces tend to reinforce and protect the democratic values of the wider civilian society.</w:t>
      </w:r>
    </w:p>
    <w:p w:rsidR="00AF36AA" w:rsidRDefault="00D3023A" w:rsidP="00AF36AA">
      <w:pPr>
        <w:pStyle w:val="ListParagraph"/>
        <w:numPr>
          <w:ilvl w:val="0"/>
          <w:numId w:val="8"/>
        </w:numPr>
        <w:spacing w:line="360" w:lineRule="auto"/>
        <w:jc w:val="both"/>
        <w:rPr>
          <w:rFonts w:ascii="Arial" w:hAnsi="Arial" w:cs="Arial"/>
          <w:sz w:val="24"/>
          <w:szCs w:val="24"/>
        </w:rPr>
      </w:pPr>
      <w:r>
        <w:rPr>
          <w:rFonts w:ascii="Arial" w:hAnsi="Arial" w:cs="Arial"/>
          <w:sz w:val="24"/>
          <w:szCs w:val="24"/>
        </w:rPr>
        <w:t>Lessons for the Military</w:t>
      </w:r>
    </w:p>
    <w:p w:rsidR="00AF36AA" w:rsidRDefault="00DC70A7" w:rsidP="00AF36AA">
      <w:pPr>
        <w:spacing w:line="360" w:lineRule="auto"/>
        <w:jc w:val="both"/>
        <w:rPr>
          <w:rFonts w:ascii="Arial" w:hAnsi="Arial" w:cs="Arial"/>
          <w:sz w:val="24"/>
          <w:szCs w:val="24"/>
        </w:rPr>
      </w:pPr>
      <w:r>
        <w:rPr>
          <w:rFonts w:ascii="Arial" w:hAnsi="Arial" w:cs="Arial"/>
          <w:sz w:val="24"/>
          <w:szCs w:val="24"/>
        </w:rPr>
        <w:t xml:space="preserve">The UK military has come a long way in a short space of time and must be highly commended for embracing anti-discrimination rules in particular. </w:t>
      </w:r>
      <w:r w:rsidR="00335A73">
        <w:rPr>
          <w:rFonts w:ascii="Arial" w:hAnsi="Arial" w:cs="Arial"/>
          <w:sz w:val="24"/>
          <w:szCs w:val="24"/>
        </w:rPr>
        <w:t>Indeed the acceptance of homosexuals serving in the armed forces and realising the potential for recruitment must be commended</w:t>
      </w:r>
      <w:r w:rsidR="00335A73">
        <w:rPr>
          <w:rStyle w:val="FootnoteReference"/>
          <w:rFonts w:ascii="Arial" w:hAnsi="Arial" w:cs="Arial"/>
          <w:sz w:val="24"/>
          <w:szCs w:val="24"/>
        </w:rPr>
        <w:footnoteReference w:id="175"/>
      </w:r>
      <w:r w:rsidR="00335A73">
        <w:rPr>
          <w:rFonts w:ascii="Arial" w:hAnsi="Arial" w:cs="Arial"/>
          <w:sz w:val="24"/>
          <w:szCs w:val="24"/>
        </w:rPr>
        <w:t xml:space="preserve">. </w:t>
      </w:r>
      <w:r>
        <w:rPr>
          <w:rFonts w:ascii="Arial" w:hAnsi="Arial" w:cs="Arial"/>
          <w:sz w:val="24"/>
          <w:szCs w:val="24"/>
        </w:rPr>
        <w:t>However, there is some way to go yet before this po</w:t>
      </w:r>
      <w:r w:rsidR="00883254">
        <w:rPr>
          <w:rFonts w:ascii="Arial" w:hAnsi="Arial" w:cs="Arial"/>
          <w:sz w:val="24"/>
          <w:szCs w:val="24"/>
        </w:rPr>
        <w:t xml:space="preserve">licy can be hailed as a success especially when considering that British ethnic minorities only make up 3.4% for the Navy, 3.1% for the Army and a particularly disappointing 2.1% for the RAF, and women total 9.6% of armed forces personnel. </w:t>
      </w:r>
      <w:r w:rsidR="0076180B">
        <w:rPr>
          <w:rFonts w:ascii="Arial" w:hAnsi="Arial" w:cs="Arial"/>
          <w:sz w:val="24"/>
          <w:szCs w:val="24"/>
        </w:rPr>
        <w:t>There are undoubtedly significant factors that limit the recruitment and retention of ethnic minorities and women, which remain outside the scope of this article. However, if the aim is for the military to reflect the civilian society at large, to defend society’s democratic values through democratisation of the armed forces and to embrace the concept of the citizen at the heart of the military personnel experience then there needs to be an enhanced policy towards achieving the goals set out in the SDR of 1998.</w:t>
      </w:r>
    </w:p>
    <w:p w:rsidR="0076180B" w:rsidRDefault="0076180B" w:rsidP="00AF36AA">
      <w:pPr>
        <w:spacing w:line="360" w:lineRule="auto"/>
        <w:jc w:val="both"/>
        <w:rPr>
          <w:rFonts w:ascii="Arial" w:hAnsi="Arial" w:cs="Arial"/>
          <w:sz w:val="24"/>
          <w:szCs w:val="24"/>
        </w:rPr>
      </w:pPr>
    </w:p>
    <w:p w:rsidR="0076180B" w:rsidRDefault="00DB50CA" w:rsidP="00AF36AA">
      <w:pPr>
        <w:spacing w:line="360" w:lineRule="auto"/>
        <w:jc w:val="both"/>
        <w:rPr>
          <w:rFonts w:ascii="Arial" w:hAnsi="Arial" w:cs="Arial"/>
          <w:sz w:val="24"/>
          <w:szCs w:val="24"/>
        </w:rPr>
      </w:pPr>
      <w:r>
        <w:rPr>
          <w:rFonts w:ascii="Arial" w:hAnsi="Arial" w:cs="Arial"/>
          <w:sz w:val="24"/>
          <w:szCs w:val="24"/>
        </w:rPr>
        <w:t>Indeed if citizenship is a key part of being a member of the armed forces then all aspects of citizenship need to be embraced. This includes the right to actively serve in the military and to participate fully under all operational circumstances. By excluding women from ground combat roles there is a danger of creating second class citizenship for women when compared to their male companions</w:t>
      </w:r>
      <w:r>
        <w:rPr>
          <w:rStyle w:val="FootnoteReference"/>
          <w:rFonts w:ascii="Arial" w:hAnsi="Arial" w:cs="Arial"/>
          <w:sz w:val="24"/>
          <w:szCs w:val="24"/>
        </w:rPr>
        <w:footnoteReference w:id="176"/>
      </w:r>
      <w:r>
        <w:rPr>
          <w:rFonts w:ascii="Arial" w:hAnsi="Arial" w:cs="Arial"/>
          <w:sz w:val="24"/>
          <w:szCs w:val="24"/>
        </w:rPr>
        <w:t>. Furthermore by limiting women from undertaking frontline operational combat missions a promotional glass ceiling is created, which is difficult to break through</w:t>
      </w:r>
      <w:r w:rsidR="002B0CCC">
        <w:rPr>
          <w:rStyle w:val="FootnoteReference"/>
          <w:rFonts w:ascii="Arial" w:hAnsi="Arial" w:cs="Arial"/>
          <w:sz w:val="24"/>
          <w:szCs w:val="24"/>
        </w:rPr>
        <w:footnoteReference w:id="177"/>
      </w:r>
      <w:r>
        <w:rPr>
          <w:rFonts w:ascii="Arial" w:hAnsi="Arial" w:cs="Arial"/>
          <w:sz w:val="24"/>
          <w:szCs w:val="24"/>
        </w:rPr>
        <w:t>.</w:t>
      </w:r>
    </w:p>
    <w:p w:rsidR="00DB50CA" w:rsidRDefault="00DB50CA" w:rsidP="00AF36AA">
      <w:pPr>
        <w:spacing w:line="360" w:lineRule="auto"/>
        <w:jc w:val="both"/>
        <w:rPr>
          <w:rFonts w:ascii="Arial" w:hAnsi="Arial" w:cs="Arial"/>
          <w:sz w:val="24"/>
          <w:szCs w:val="24"/>
        </w:rPr>
      </w:pPr>
    </w:p>
    <w:p w:rsidR="00DB50CA" w:rsidRDefault="00DB50CA" w:rsidP="00AF36AA">
      <w:pPr>
        <w:spacing w:line="360" w:lineRule="auto"/>
        <w:jc w:val="both"/>
        <w:rPr>
          <w:rFonts w:ascii="Arial" w:hAnsi="Arial" w:cs="Arial"/>
          <w:sz w:val="24"/>
          <w:szCs w:val="24"/>
        </w:rPr>
      </w:pPr>
      <w:r>
        <w:rPr>
          <w:rFonts w:ascii="Arial" w:hAnsi="Arial" w:cs="Arial"/>
          <w:sz w:val="24"/>
          <w:szCs w:val="24"/>
        </w:rPr>
        <w:t>As we have discussed</w:t>
      </w:r>
      <w:r w:rsidR="00BB47A0">
        <w:rPr>
          <w:rFonts w:ascii="Arial" w:hAnsi="Arial" w:cs="Arial"/>
          <w:sz w:val="24"/>
          <w:szCs w:val="24"/>
        </w:rPr>
        <w:t>,</w:t>
      </w:r>
      <w:r>
        <w:rPr>
          <w:rFonts w:ascii="Arial" w:hAnsi="Arial" w:cs="Arial"/>
          <w:sz w:val="24"/>
          <w:szCs w:val="24"/>
        </w:rPr>
        <w:t xml:space="preserve"> the defence of society’s democratic values through the democratisation of the military also requires the armed forces to embrace these democratic values. </w:t>
      </w:r>
      <w:r w:rsidR="006D264C">
        <w:rPr>
          <w:rFonts w:ascii="Arial" w:hAnsi="Arial" w:cs="Arial"/>
          <w:sz w:val="24"/>
          <w:szCs w:val="24"/>
        </w:rPr>
        <w:t>Therefore</w:t>
      </w:r>
      <w:r>
        <w:rPr>
          <w:rFonts w:ascii="Arial" w:hAnsi="Arial" w:cs="Arial"/>
          <w:sz w:val="24"/>
          <w:szCs w:val="24"/>
        </w:rPr>
        <w:t xml:space="preserve"> </w:t>
      </w:r>
      <w:r w:rsidR="00F6632A">
        <w:rPr>
          <w:rFonts w:ascii="Arial" w:hAnsi="Arial" w:cs="Arial"/>
          <w:sz w:val="24"/>
          <w:szCs w:val="24"/>
        </w:rPr>
        <w:t>there should be an acceptance of human rights for military personnel within the territorial jurisdiction of the UK and also outside when conducting operations in accordance with a soldier, sailor or airman’s duties as specified in the Armed Forces Act 2006.</w:t>
      </w:r>
    </w:p>
    <w:p w:rsidR="00F6632A" w:rsidRDefault="00F6632A" w:rsidP="00AF36AA">
      <w:pPr>
        <w:spacing w:line="360" w:lineRule="auto"/>
        <w:jc w:val="both"/>
        <w:rPr>
          <w:rFonts w:ascii="Arial" w:hAnsi="Arial" w:cs="Arial"/>
          <w:sz w:val="24"/>
          <w:szCs w:val="24"/>
        </w:rPr>
      </w:pPr>
    </w:p>
    <w:p w:rsidR="00252CD4" w:rsidRDefault="00F6632A" w:rsidP="00941954">
      <w:pPr>
        <w:spacing w:line="360" w:lineRule="auto"/>
        <w:jc w:val="both"/>
        <w:rPr>
          <w:rFonts w:ascii="Arial" w:hAnsi="Arial" w:cs="Arial"/>
          <w:sz w:val="24"/>
          <w:szCs w:val="24"/>
        </w:rPr>
      </w:pPr>
      <w:r>
        <w:rPr>
          <w:rFonts w:ascii="Arial" w:hAnsi="Arial" w:cs="Arial"/>
          <w:sz w:val="24"/>
          <w:szCs w:val="24"/>
        </w:rPr>
        <w:t xml:space="preserve">Finally the changes that have taken place within the armed forces through the impact of anti-discrimination law in particular </w:t>
      </w:r>
      <w:r w:rsidR="00C30915">
        <w:rPr>
          <w:rFonts w:ascii="Arial" w:hAnsi="Arial" w:cs="Arial"/>
          <w:sz w:val="24"/>
          <w:szCs w:val="24"/>
        </w:rPr>
        <w:t xml:space="preserve">but also human rights </w:t>
      </w:r>
      <w:r>
        <w:rPr>
          <w:rFonts w:ascii="Arial" w:hAnsi="Arial" w:cs="Arial"/>
          <w:sz w:val="24"/>
          <w:szCs w:val="24"/>
        </w:rPr>
        <w:t xml:space="preserve">are it is suggested far from over. </w:t>
      </w:r>
      <w:r w:rsidR="00C30915">
        <w:rPr>
          <w:rFonts w:ascii="Arial" w:hAnsi="Arial" w:cs="Arial"/>
          <w:sz w:val="24"/>
          <w:szCs w:val="24"/>
        </w:rPr>
        <w:t xml:space="preserve">The influence of European law, be that EU law or the ECHR, has had a marked effect on the UK’s civil-military relations and it is likely to continue to do so. Indeed there are four areas of possible activity. The first is in the appeal of </w:t>
      </w:r>
      <w:r w:rsidR="00C30915" w:rsidRPr="007C6283">
        <w:rPr>
          <w:rFonts w:ascii="Arial" w:hAnsi="Arial" w:cs="Arial"/>
          <w:i/>
          <w:sz w:val="24"/>
          <w:szCs w:val="24"/>
        </w:rPr>
        <w:t>Smith</w:t>
      </w:r>
      <w:r w:rsidR="00C30915">
        <w:rPr>
          <w:rFonts w:ascii="Arial" w:hAnsi="Arial" w:cs="Arial"/>
          <w:sz w:val="24"/>
          <w:szCs w:val="24"/>
        </w:rPr>
        <w:t xml:space="preserve"> due to be heard in the Court of Appeal in June which could eventually reach the ECtHR and is undoubtedly going to be influenced by the ECtHR’s judgment in </w:t>
      </w:r>
      <w:r w:rsidR="00C30915" w:rsidRPr="007C6283">
        <w:rPr>
          <w:rFonts w:ascii="Arial" w:hAnsi="Arial" w:cs="Arial"/>
          <w:i/>
          <w:sz w:val="24"/>
          <w:szCs w:val="24"/>
        </w:rPr>
        <w:t>Al-Skeini</w:t>
      </w:r>
      <w:r w:rsidR="00C30915">
        <w:rPr>
          <w:rFonts w:ascii="Arial" w:hAnsi="Arial" w:cs="Arial"/>
          <w:sz w:val="24"/>
          <w:szCs w:val="24"/>
        </w:rPr>
        <w:t>. The second and third involve the incremental advance of age and disability anti-</w:t>
      </w:r>
      <w:r w:rsidR="00C30915">
        <w:rPr>
          <w:rFonts w:ascii="Arial" w:hAnsi="Arial" w:cs="Arial"/>
          <w:sz w:val="24"/>
          <w:szCs w:val="24"/>
        </w:rPr>
        <w:lastRenderedPageBreak/>
        <w:t xml:space="preserve">discrimination measures and the possible impact of General Principles of EU Law after </w:t>
      </w:r>
      <w:r w:rsidR="002B6EF9" w:rsidRPr="007C6283">
        <w:rPr>
          <w:rFonts w:ascii="Arial" w:hAnsi="Arial" w:cs="Arial"/>
          <w:i/>
          <w:sz w:val="24"/>
          <w:szCs w:val="24"/>
        </w:rPr>
        <w:t>Mangold</w:t>
      </w:r>
      <w:r w:rsidR="002B6EF9">
        <w:rPr>
          <w:rFonts w:ascii="Arial" w:hAnsi="Arial" w:cs="Arial"/>
          <w:sz w:val="24"/>
          <w:szCs w:val="24"/>
        </w:rPr>
        <w:t xml:space="preserve"> and </w:t>
      </w:r>
      <w:r w:rsidR="002B6EF9" w:rsidRPr="007C6283">
        <w:rPr>
          <w:rFonts w:ascii="Arial" w:hAnsi="Arial" w:cs="Arial"/>
          <w:i/>
          <w:sz w:val="24"/>
          <w:szCs w:val="24"/>
        </w:rPr>
        <w:t>Kücükdeveci</w:t>
      </w:r>
      <w:r w:rsidR="002B6EF9">
        <w:rPr>
          <w:rFonts w:ascii="Arial" w:hAnsi="Arial" w:cs="Arial"/>
          <w:sz w:val="24"/>
          <w:szCs w:val="24"/>
        </w:rPr>
        <w:t xml:space="preserve">. Even though there is a specific derogation in the </w:t>
      </w:r>
      <w:r w:rsidR="002B6EF9" w:rsidRPr="007B59B1">
        <w:rPr>
          <w:rFonts w:ascii="Arial" w:hAnsi="Arial" w:cs="Arial"/>
          <w:sz w:val="24"/>
          <w:szCs w:val="24"/>
        </w:rPr>
        <w:t>Framework Directive on Equal Treatment in Employment</w:t>
      </w:r>
      <w:r w:rsidR="002B6EF9">
        <w:rPr>
          <w:rFonts w:ascii="Arial" w:hAnsi="Arial" w:cs="Arial"/>
          <w:sz w:val="24"/>
          <w:szCs w:val="24"/>
        </w:rPr>
        <w:t xml:space="preserve"> that the UK has taken advantage of, the General Principles could be utilised if the ECJ chooses to do so. The fourth area is that of sex discrimination and the combat exclusion policy. As Ellis observes</w:t>
      </w:r>
      <w:r w:rsidR="00EB6338">
        <w:rPr>
          <w:rStyle w:val="FootnoteReference"/>
          <w:rFonts w:ascii="Arial" w:hAnsi="Arial" w:cs="Arial"/>
          <w:sz w:val="24"/>
          <w:szCs w:val="24"/>
        </w:rPr>
        <w:footnoteReference w:id="178"/>
      </w:r>
      <w:r w:rsidR="002B6EF9">
        <w:rPr>
          <w:rFonts w:ascii="Arial" w:hAnsi="Arial" w:cs="Arial"/>
          <w:sz w:val="24"/>
          <w:szCs w:val="24"/>
        </w:rPr>
        <w:t xml:space="preserve">, the judgment of the ECJ in </w:t>
      </w:r>
      <w:r w:rsidR="002B6EF9" w:rsidRPr="007C6283">
        <w:rPr>
          <w:rFonts w:ascii="Arial" w:hAnsi="Arial" w:cs="Arial"/>
          <w:i/>
          <w:sz w:val="24"/>
          <w:szCs w:val="24"/>
        </w:rPr>
        <w:t>Sirdar</w:t>
      </w:r>
      <w:r w:rsidR="002B6EF9">
        <w:rPr>
          <w:rFonts w:ascii="Arial" w:hAnsi="Arial" w:cs="Arial"/>
          <w:sz w:val="24"/>
          <w:szCs w:val="24"/>
        </w:rPr>
        <w:t xml:space="preserve"> was blighted by gender stereotyping</w:t>
      </w:r>
      <w:r w:rsidR="00EB6338">
        <w:rPr>
          <w:rFonts w:ascii="Arial" w:hAnsi="Arial" w:cs="Arial"/>
          <w:sz w:val="24"/>
          <w:szCs w:val="24"/>
        </w:rPr>
        <w:t xml:space="preserve">, failing to question whether arguments of the UK government </w:t>
      </w:r>
      <w:r w:rsidR="006519EB">
        <w:rPr>
          <w:rFonts w:ascii="Arial" w:hAnsi="Arial" w:cs="Arial"/>
          <w:sz w:val="24"/>
          <w:szCs w:val="24"/>
        </w:rPr>
        <w:t>were grounded</w:t>
      </w:r>
      <w:r w:rsidR="00EB6338">
        <w:rPr>
          <w:rFonts w:ascii="Arial" w:hAnsi="Arial" w:cs="Arial"/>
          <w:sz w:val="24"/>
          <w:szCs w:val="24"/>
        </w:rPr>
        <w:t xml:space="preserve"> on prejudice or evidence. </w:t>
      </w:r>
      <w:r w:rsidR="006519EB">
        <w:rPr>
          <w:rFonts w:ascii="Arial" w:hAnsi="Arial" w:cs="Arial"/>
          <w:sz w:val="24"/>
          <w:szCs w:val="24"/>
        </w:rPr>
        <w:t xml:space="preserve">Indeed as Arnull has pointed out the exclusion in </w:t>
      </w:r>
      <w:r w:rsidR="001F7777">
        <w:rPr>
          <w:rFonts w:ascii="Arial" w:hAnsi="Arial" w:cs="Arial"/>
          <w:sz w:val="24"/>
          <w:szCs w:val="24"/>
        </w:rPr>
        <w:t xml:space="preserve">section 85(4) of </w:t>
      </w:r>
      <w:r w:rsidR="006519EB">
        <w:rPr>
          <w:rFonts w:ascii="Arial" w:hAnsi="Arial" w:cs="Arial"/>
          <w:sz w:val="24"/>
          <w:szCs w:val="24"/>
        </w:rPr>
        <w:t xml:space="preserve">the SDA75, and now included in the EA10, was and remains on the basis of combat effectiveness as the determining factor rather than that of sex. This has not been challenged since the case of </w:t>
      </w:r>
      <w:r w:rsidR="006519EB" w:rsidRPr="007C6283">
        <w:rPr>
          <w:rFonts w:ascii="Arial" w:hAnsi="Arial" w:cs="Arial"/>
          <w:i/>
          <w:sz w:val="24"/>
          <w:szCs w:val="24"/>
        </w:rPr>
        <w:t>Dory</w:t>
      </w:r>
      <w:r w:rsidR="006519EB" w:rsidRPr="006519EB">
        <w:rPr>
          <w:rStyle w:val="FootnoteReference"/>
          <w:rFonts w:ascii="Arial" w:hAnsi="Arial" w:cs="Arial"/>
          <w:sz w:val="24"/>
          <w:szCs w:val="24"/>
        </w:rPr>
        <w:footnoteReference w:id="179"/>
      </w:r>
      <w:r w:rsidR="006519EB">
        <w:rPr>
          <w:rFonts w:ascii="Arial" w:hAnsi="Arial" w:cs="Arial"/>
          <w:sz w:val="24"/>
          <w:szCs w:val="24"/>
        </w:rPr>
        <w:t xml:space="preserve"> and it is possible that the ECJ could now come to a different conclusion.</w:t>
      </w:r>
      <w:r w:rsidR="00E60085">
        <w:rPr>
          <w:rFonts w:ascii="Arial" w:hAnsi="Arial" w:cs="Arial"/>
          <w:sz w:val="24"/>
          <w:szCs w:val="24"/>
        </w:rPr>
        <w:t xml:space="preserve"> It is certainly the case that the qualitative study of women in combat by BCL found the following principle concerns over having women in close ground combat roles</w:t>
      </w:r>
      <w:r w:rsidR="00E60085">
        <w:rPr>
          <w:rStyle w:val="FootnoteReference"/>
          <w:rFonts w:ascii="Arial" w:hAnsi="Arial" w:cs="Arial"/>
          <w:sz w:val="24"/>
          <w:szCs w:val="24"/>
        </w:rPr>
        <w:footnoteReference w:id="180"/>
      </w:r>
      <w:r w:rsidR="00E60085">
        <w:rPr>
          <w:rFonts w:ascii="Arial" w:hAnsi="Arial" w:cs="Arial"/>
          <w:sz w:val="24"/>
          <w:szCs w:val="24"/>
        </w:rPr>
        <w:t xml:space="preserve">: lack of women’s physical capability/robustness; women being a distraction/problems with relationships between men and women; and, men want to protect women/react differently if hurt/harder to deal with female casualties. It is interesting that these are similar reasons expressed before women went to sea in the Royal Navy that were </w:t>
      </w:r>
      <w:r w:rsidR="00777B23">
        <w:rPr>
          <w:rFonts w:ascii="Arial" w:hAnsi="Arial" w:cs="Arial"/>
          <w:sz w:val="24"/>
          <w:szCs w:val="24"/>
        </w:rPr>
        <w:t>swiftly</w:t>
      </w:r>
      <w:r w:rsidR="00E60085">
        <w:rPr>
          <w:rFonts w:ascii="Arial" w:hAnsi="Arial" w:cs="Arial"/>
          <w:sz w:val="24"/>
          <w:szCs w:val="24"/>
        </w:rPr>
        <w:t xml:space="preserve"> </w:t>
      </w:r>
      <w:r w:rsidR="00777B23">
        <w:rPr>
          <w:rFonts w:ascii="Arial" w:hAnsi="Arial" w:cs="Arial"/>
          <w:sz w:val="24"/>
          <w:szCs w:val="24"/>
        </w:rPr>
        <w:t>negated</w:t>
      </w:r>
      <w:r w:rsidR="00E60085">
        <w:rPr>
          <w:rFonts w:ascii="Arial" w:hAnsi="Arial" w:cs="Arial"/>
          <w:sz w:val="24"/>
          <w:szCs w:val="24"/>
        </w:rPr>
        <w:t xml:space="preserve"> after a short </w:t>
      </w:r>
      <w:r w:rsidR="00777B23">
        <w:rPr>
          <w:rFonts w:ascii="Arial" w:hAnsi="Arial" w:cs="Arial"/>
          <w:sz w:val="24"/>
          <w:szCs w:val="24"/>
        </w:rPr>
        <w:t xml:space="preserve">period of </w:t>
      </w:r>
      <w:r w:rsidR="00E60085">
        <w:rPr>
          <w:rFonts w:ascii="Arial" w:hAnsi="Arial" w:cs="Arial"/>
          <w:sz w:val="24"/>
          <w:szCs w:val="24"/>
        </w:rPr>
        <w:t>time</w:t>
      </w:r>
      <w:r w:rsidR="00E60085">
        <w:rPr>
          <w:rStyle w:val="FootnoteReference"/>
          <w:rFonts w:ascii="Arial" w:hAnsi="Arial" w:cs="Arial"/>
          <w:sz w:val="24"/>
          <w:szCs w:val="24"/>
        </w:rPr>
        <w:footnoteReference w:id="181"/>
      </w:r>
      <w:r w:rsidR="00E60085">
        <w:rPr>
          <w:rFonts w:ascii="Arial" w:hAnsi="Arial" w:cs="Arial"/>
          <w:sz w:val="24"/>
          <w:szCs w:val="24"/>
        </w:rPr>
        <w:t>.</w:t>
      </w:r>
      <w:r w:rsidR="000C60C1">
        <w:rPr>
          <w:rFonts w:ascii="Arial" w:hAnsi="Arial" w:cs="Arial"/>
          <w:sz w:val="24"/>
          <w:szCs w:val="24"/>
        </w:rPr>
        <w:t xml:space="preserve"> In fact unit cohesion, the reason given in the final report</w:t>
      </w:r>
      <w:r w:rsidR="00AF71C4">
        <w:rPr>
          <w:rStyle w:val="FootnoteReference"/>
          <w:rFonts w:ascii="Arial" w:hAnsi="Arial" w:cs="Arial"/>
          <w:sz w:val="24"/>
          <w:szCs w:val="24"/>
        </w:rPr>
        <w:footnoteReference w:id="182"/>
      </w:r>
      <w:r w:rsidR="000C60C1">
        <w:rPr>
          <w:rFonts w:ascii="Arial" w:hAnsi="Arial" w:cs="Arial"/>
          <w:sz w:val="24"/>
          <w:szCs w:val="24"/>
        </w:rPr>
        <w:t xml:space="preserve"> maintaining the combat exclusion policy, was only a minor concern in the BCL qualitative study</w:t>
      </w:r>
      <w:r w:rsidR="00AF71C4">
        <w:rPr>
          <w:rStyle w:val="FootnoteReference"/>
          <w:rFonts w:ascii="Arial" w:hAnsi="Arial" w:cs="Arial"/>
          <w:sz w:val="24"/>
          <w:szCs w:val="24"/>
        </w:rPr>
        <w:footnoteReference w:id="183"/>
      </w:r>
      <w:r w:rsidR="000C60C1">
        <w:rPr>
          <w:rFonts w:ascii="Arial" w:hAnsi="Arial" w:cs="Arial"/>
          <w:sz w:val="24"/>
          <w:szCs w:val="24"/>
        </w:rPr>
        <w:t xml:space="preserve"> whilst in the quantitative study</w:t>
      </w:r>
      <w:r w:rsidR="00AF71C4">
        <w:rPr>
          <w:rFonts w:ascii="Arial" w:hAnsi="Arial" w:cs="Arial"/>
          <w:sz w:val="24"/>
          <w:szCs w:val="24"/>
        </w:rPr>
        <w:t>, just on the basis of answers provided to the questionnaire</w:t>
      </w:r>
      <w:r w:rsidR="006D264C">
        <w:rPr>
          <w:rFonts w:ascii="Arial" w:hAnsi="Arial" w:cs="Arial"/>
          <w:sz w:val="24"/>
          <w:szCs w:val="24"/>
        </w:rPr>
        <w:t xml:space="preserve"> used</w:t>
      </w:r>
      <w:r w:rsidR="00AF71C4">
        <w:rPr>
          <w:rFonts w:ascii="Arial" w:hAnsi="Arial" w:cs="Arial"/>
          <w:sz w:val="24"/>
          <w:szCs w:val="24"/>
        </w:rPr>
        <w:t>,</w:t>
      </w:r>
      <w:r w:rsidR="000C60C1">
        <w:rPr>
          <w:rFonts w:ascii="Arial" w:hAnsi="Arial" w:cs="Arial"/>
          <w:sz w:val="24"/>
          <w:szCs w:val="24"/>
        </w:rPr>
        <w:t xml:space="preserve"> it was concluded that men did not perceive the presence of women to reduce cohesion</w:t>
      </w:r>
      <w:r w:rsidR="00AF71C4">
        <w:rPr>
          <w:rStyle w:val="FootnoteReference"/>
          <w:rFonts w:ascii="Arial" w:hAnsi="Arial" w:cs="Arial"/>
          <w:sz w:val="24"/>
          <w:szCs w:val="24"/>
        </w:rPr>
        <w:footnoteReference w:id="184"/>
      </w:r>
      <w:r w:rsidR="000C60C1">
        <w:rPr>
          <w:rFonts w:ascii="Arial" w:hAnsi="Arial" w:cs="Arial"/>
          <w:sz w:val="24"/>
          <w:szCs w:val="24"/>
        </w:rPr>
        <w:t>. Interestingly women appeared to be harder on themselves than men</w:t>
      </w:r>
      <w:r w:rsidR="00AF71C4">
        <w:rPr>
          <w:rFonts w:ascii="Arial" w:hAnsi="Arial" w:cs="Arial"/>
          <w:sz w:val="24"/>
          <w:szCs w:val="24"/>
        </w:rPr>
        <w:t xml:space="preserve"> as they considered cohesion to be lower if women were present in small team combat situations</w:t>
      </w:r>
      <w:r w:rsidR="00AF71C4">
        <w:rPr>
          <w:rStyle w:val="FootnoteReference"/>
          <w:rFonts w:ascii="Arial" w:hAnsi="Arial" w:cs="Arial"/>
          <w:sz w:val="24"/>
          <w:szCs w:val="24"/>
        </w:rPr>
        <w:footnoteReference w:id="185"/>
      </w:r>
      <w:r w:rsidR="00AF71C4">
        <w:rPr>
          <w:rFonts w:ascii="Arial" w:hAnsi="Arial" w:cs="Arial"/>
          <w:sz w:val="24"/>
          <w:szCs w:val="24"/>
        </w:rPr>
        <w:t xml:space="preserve">. When interviews were conducted to test </w:t>
      </w:r>
      <w:r w:rsidR="00AF71C4">
        <w:rPr>
          <w:rFonts w:ascii="Arial" w:hAnsi="Arial" w:cs="Arial"/>
          <w:sz w:val="24"/>
          <w:szCs w:val="24"/>
        </w:rPr>
        <w:lastRenderedPageBreak/>
        <w:t>this finding it was found that in fact both men and women found unit cohesion to be high in mixed gender small team combat situations</w:t>
      </w:r>
      <w:r w:rsidR="00AF71C4">
        <w:rPr>
          <w:rStyle w:val="FootnoteReference"/>
          <w:rFonts w:ascii="Arial" w:hAnsi="Arial" w:cs="Arial"/>
          <w:sz w:val="24"/>
          <w:szCs w:val="24"/>
        </w:rPr>
        <w:footnoteReference w:id="186"/>
      </w:r>
      <w:r w:rsidR="007756D6">
        <w:rPr>
          <w:rFonts w:ascii="Arial" w:hAnsi="Arial" w:cs="Arial"/>
          <w:sz w:val="24"/>
          <w:szCs w:val="24"/>
        </w:rPr>
        <w:t>. The result is that the Mo</w:t>
      </w:r>
      <w:r w:rsidR="00AF71C4">
        <w:rPr>
          <w:rFonts w:ascii="Arial" w:hAnsi="Arial" w:cs="Arial"/>
          <w:sz w:val="24"/>
          <w:szCs w:val="24"/>
        </w:rPr>
        <w:t xml:space="preserve">D, by grounding </w:t>
      </w:r>
      <w:r w:rsidR="008152A6">
        <w:rPr>
          <w:rFonts w:ascii="Arial" w:hAnsi="Arial" w:cs="Arial"/>
          <w:sz w:val="24"/>
          <w:szCs w:val="24"/>
        </w:rPr>
        <w:t>the combat exclusion policy on the basis of unit cohesion, could have opened the door to a legal challenge, as the evidence does not appear to support such a finding.</w:t>
      </w:r>
    </w:p>
    <w:p w:rsidR="006570E9" w:rsidRDefault="006570E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Pr>
          <w:rFonts w:ascii="Arial" w:hAnsi="Arial" w:cs="Arial"/>
          <w:sz w:val="24"/>
          <w:szCs w:val="24"/>
          <w:u w:val="single"/>
        </w:rPr>
        <w:t>CONCLUSION</w:t>
      </w:r>
    </w:p>
    <w:p w:rsidR="00F72CE0" w:rsidRDefault="00F72CE0" w:rsidP="00A73E21">
      <w:pPr>
        <w:spacing w:line="360" w:lineRule="auto"/>
        <w:jc w:val="both"/>
        <w:rPr>
          <w:rFonts w:ascii="Arial" w:hAnsi="Arial" w:cs="Arial"/>
          <w:sz w:val="24"/>
          <w:szCs w:val="24"/>
        </w:rPr>
      </w:pPr>
    </w:p>
    <w:p w:rsidR="006C3315" w:rsidRDefault="00F72CE0" w:rsidP="00A73E21">
      <w:pPr>
        <w:spacing w:line="360" w:lineRule="auto"/>
        <w:jc w:val="both"/>
        <w:rPr>
          <w:rFonts w:ascii="Arial" w:hAnsi="Arial" w:cs="Arial"/>
          <w:sz w:val="24"/>
          <w:szCs w:val="24"/>
        </w:rPr>
      </w:pPr>
      <w:r>
        <w:rPr>
          <w:rFonts w:ascii="Arial" w:hAnsi="Arial" w:cs="Arial"/>
          <w:sz w:val="24"/>
          <w:szCs w:val="24"/>
        </w:rPr>
        <w:t xml:space="preserve">The </w:t>
      </w:r>
      <w:r w:rsidR="008152A6">
        <w:rPr>
          <w:rFonts w:ascii="Arial" w:hAnsi="Arial" w:cs="Arial"/>
          <w:sz w:val="24"/>
          <w:szCs w:val="24"/>
        </w:rPr>
        <w:t>first duty of government is defence of the realm</w:t>
      </w:r>
      <w:r w:rsidR="008152A6">
        <w:rPr>
          <w:rStyle w:val="FootnoteReference"/>
          <w:rFonts w:ascii="Arial" w:hAnsi="Arial" w:cs="Arial"/>
          <w:sz w:val="24"/>
          <w:szCs w:val="24"/>
        </w:rPr>
        <w:footnoteReference w:id="187"/>
      </w:r>
      <w:r w:rsidR="008152A6">
        <w:rPr>
          <w:rFonts w:ascii="Arial" w:hAnsi="Arial" w:cs="Arial"/>
          <w:sz w:val="24"/>
          <w:szCs w:val="24"/>
        </w:rPr>
        <w:t xml:space="preserve"> and as the armed forces are the organ of the State that conducts defence or war as a political instrument then law, as the military are regulated by laws as political instruments, is a legitimate instrument to examine the civil-military relationship. </w:t>
      </w:r>
      <w:r>
        <w:rPr>
          <w:rFonts w:ascii="Arial" w:hAnsi="Arial" w:cs="Arial"/>
          <w:sz w:val="24"/>
          <w:szCs w:val="24"/>
        </w:rPr>
        <w:t xml:space="preserve">The </w:t>
      </w:r>
      <w:r w:rsidR="00A74790">
        <w:rPr>
          <w:rFonts w:ascii="Arial" w:hAnsi="Arial" w:cs="Arial"/>
          <w:sz w:val="24"/>
          <w:szCs w:val="24"/>
        </w:rPr>
        <w:t xml:space="preserve">basis of the </w:t>
      </w:r>
      <w:r>
        <w:rPr>
          <w:rFonts w:ascii="Arial" w:hAnsi="Arial" w:cs="Arial"/>
          <w:sz w:val="24"/>
          <w:szCs w:val="24"/>
        </w:rPr>
        <w:t xml:space="preserve">civil-military relationship in the UK </w:t>
      </w:r>
      <w:r w:rsidR="00A74790">
        <w:rPr>
          <w:rFonts w:ascii="Arial" w:hAnsi="Arial" w:cs="Arial"/>
          <w:sz w:val="24"/>
          <w:szCs w:val="24"/>
        </w:rPr>
        <w:t>was positively</w:t>
      </w:r>
      <w:r>
        <w:rPr>
          <w:rFonts w:ascii="Arial" w:hAnsi="Arial" w:cs="Arial"/>
          <w:sz w:val="24"/>
          <w:szCs w:val="24"/>
        </w:rPr>
        <w:t xml:space="preserve"> established </w:t>
      </w:r>
      <w:r w:rsidR="00A74790">
        <w:rPr>
          <w:rFonts w:ascii="Arial" w:hAnsi="Arial" w:cs="Arial"/>
          <w:sz w:val="24"/>
          <w:szCs w:val="24"/>
        </w:rPr>
        <w:t xml:space="preserve">in the </w:t>
      </w:r>
      <w:r w:rsidR="008152A6">
        <w:rPr>
          <w:rFonts w:ascii="Arial" w:hAnsi="Arial" w:cs="Arial"/>
          <w:sz w:val="24"/>
          <w:szCs w:val="24"/>
        </w:rPr>
        <w:t>SDR</w:t>
      </w:r>
      <w:r w:rsidR="00A74790">
        <w:rPr>
          <w:rFonts w:ascii="Arial" w:hAnsi="Arial" w:cs="Arial"/>
          <w:sz w:val="24"/>
          <w:szCs w:val="24"/>
        </w:rPr>
        <w:t xml:space="preserve"> of 1998 </w:t>
      </w:r>
      <w:r>
        <w:rPr>
          <w:rFonts w:ascii="Arial" w:hAnsi="Arial" w:cs="Arial"/>
          <w:sz w:val="24"/>
          <w:szCs w:val="24"/>
        </w:rPr>
        <w:t>and then clarified by the law. The aim of the military is now recognised as attempting to reflect society as closely as possible</w:t>
      </w:r>
      <w:r w:rsidR="006A6A75">
        <w:rPr>
          <w:rFonts w:ascii="Arial" w:hAnsi="Arial" w:cs="Arial"/>
          <w:sz w:val="24"/>
          <w:szCs w:val="24"/>
        </w:rPr>
        <w:t xml:space="preserve"> </w:t>
      </w:r>
      <w:r w:rsidR="00BB47A0">
        <w:rPr>
          <w:rFonts w:ascii="Arial" w:hAnsi="Arial" w:cs="Arial"/>
          <w:sz w:val="24"/>
          <w:szCs w:val="24"/>
        </w:rPr>
        <w:t>with</w:t>
      </w:r>
      <w:r w:rsidR="006A6A75">
        <w:rPr>
          <w:rFonts w:ascii="Arial" w:hAnsi="Arial" w:cs="Arial"/>
          <w:sz w:val="24"/>
          <w:szCs w:val="24"/>
        </w:rPr>
        <w:t xml:space="preserve"> mainstreaming equality and diversity</w:t>
      </w:r>
      <w:r w:rsidR="008152A6">
        <w:rPr>
          <w:rFonts w:ascii="Arial" w:hAnsi="Arial" w:cs="Arial"/>
          <w:sz w:val="24"/>
          <w:szCs w:val="24"/>
        </w:rPr>
        <w:t xml:space="preserve"> is part of the military set up</w:t>
      </w:r>
      <w:r>
        <w:rPr>
          <w:rFonts w:ascii="Arial" w:hAnsi="Arial" w:cs="Arial"/>
          <w:sz w:val="24"/>
          <w:szCs w:val="24"/>
        </w:rPr>
        <w:t xml:space="preserve">. This is readily seen in the development of non-discrimination and equality in what is traditionally seen as an unequal and hierarchical </w:t>
      </w:r>
      <w:r w:rsidR="000E707F">
        <w:rPr>
          <w:rFonts w:ascii="Arial" w:hAnsi="Arial" w:cs="Arial"/>
          <w:sz w:val="24"/>
          <w:szCs w:val="24"/>
        </w:rPr>
        <w:t>organisation</w:t>
      </w:r>
      <w:r w:rsidR="002634E6">
        <w:rPr>
          <w:rFonts w:ascii="Arial" w:hAnsi="Arial" w:cs="Arial"/>
          <w:sz w:val="24"/>
          <w:szCs w:val="24"/>
        </w:rPr>
        <w:t xml:space="preserve"> alongside the protection of human rights</w:t>
      </w:r>
      <w:r w:rsidR="000E707F">
        <w:rPr>
          <w:rFonts w:ascii="Arial" w:hAnsi="Arial" w:cs="Arial"/>
          <w:sz w:val="24"/>
          <w:szCs w:val="24"/>
        </w:rPr>
        <w:t>. The result is a modern and forward thinking military, able to reach out to the societies it serves and offer examples of best practice to other countries’ armed forces.</w:t>
      </w:r>
      <w:r w:rsidR="00A74790">
        <w:rPr>
          <w:rFonts w:ascii="Arial" w:hAnsi="Arial" w:cs="Arial"/>
          <w:sz w:val="24"/>
          <w:szCs w:val="24"/>
        </w:rPr>
        <w:t xml:space="preserve"> </w:t>
      </w:r>
      <w:r w:rsidR="00803A41">
        <w:rPr>
          <w:rFonts w:ascii="Arial" w:hAnsi="Arial" w:cs="Arial"/>
          <w:sz w:val="24"/>
          <w:szCs w:val="24"/>
        </w:rPr>
        <w:t>The process of civilianisation and juridification identified by Rubin in 2002 has been replaced by democratisation through the empowerment of military personnel as citizens with equal worth.</w:t>
      </w:r>
    </w:p>
    <w:p w:rsidR="006C3315" w:rsidRDefault="006C3315" w:rsidP="00A73E21">
      <w:pPr>
        <w:spacing w:line="360" w:lineRule="auto"/>
        <w:jc w:val="both"/>
        <w:rPr>
          <w:rFonts w:ascii="Arial" w:hAnsi="Arial" w:cs="Arial"/>
          <w:sz w:val="24"/>
          <w:szCs w:val="24"/>
        </w:rPr>
      </w:pPr>
    </w:p>
    <w:p w:rsidR="00803A41" w:rsidRPr="00A74790" w:rsidRDefault="00A74790" w:rsidP="00A73E21">
      <w:pPr>
        <w:spacing w:line="360" w:lineRule="auto"/>
        <w:jc w:val="both"/>
        <w:rPr>
          <w:rFonts w:ascii="Arial" w:hAnsi="Arial" w:cs="Arial"/>
          <w:sz w:val="24"/>
          <w:szCs w:val="24"/>
        </w:rPr>
      </w:pPr>
      <w:r>
        <w:rPr>
          <w:rFonts w:ascii="Arial" w:hAnsi="Arial" w:cs="Arial"/>
          <w:sz w:val="24"/>
          <w:szCs w:val="24"/>
        </w:rPr>
        <w:t xml:space="preserve">However, there are challenges that remain for the military with the issue of combat effectiveness as an exclusion retained within the EA10 </w:t>
      </w:r>
      <w:r w:rsidR="002634E6">
        <w:rPr>
          <w:rFonts w:ascii="Arial" w:hAnsi="Arial" w:cs="Arial"/>
          <w:sz w:val="24"/>
          <w:szCs w:val="24"/>
        </w:rPr>
        <w:t xml:space="preserve">and </w:t>
      </w:r>
      <w:r>
        <w:rPr>
          <w:rFonts w:ascii="Arial" w:hAnsi="Arial" w:cs="Arial"/>
          <w:sz w:val="24"/>
          <w:szCs w:val="24"/>
        </w:rPr>
        <w:t xml:space="preserve">yet to be tested before the ECJ, the case of </w:t>
      </w:r>
      <w:r w:rsidRPr="007C6283">
        <w:rPr>
          <w:rFonts w:ascii="Arial" w:hAnsi="Arial" w:cs="Arial"/>
          <w:i/>
          <w:sz w:val="24"/>
          <w:szCs w:val="24"/>
        </w:rPr>
        <w:t>DeBique</w:t>
      </w:r>
      <w:r>
        <w:rPr>
          <w:rFonts w:ascii="Arial" w:hAnsi="Arial" w:cs="Arial"/>
          <w:sz w:val="24"/>
          <w:szCs w:val="24"/>
        </w:rPr>
        <w:t xml:space="preserve">, the inability to recruit satisfactory numbers of racial minorities </w:t>
      </w:r>
      <w:r w:rsidR="002634E6">
        <w:rPr>
          <w:rFonts w:ascii="Arial" w:hAnsi="Arial" w:cs="Arial"/>
          <w:sz w:val="24"/>
          <w:szCs w:val="24"/>
        </w:rPr>
        <w:t xml:space="preserve">and women </w:t>
      </w:r>
      <w:r>
        <w:rPr>
          <w:rFonts w:ascii="Arial" w:hAnsi="Arial" w:cs="Arial"/>
          <w:sz w:val="24"/>
          <w:szCs w:val="24"/>
        </w:rPr>
        <w:t xml:space="preserve">from the UK population and the possible </w:t>
      </w:r>
      <w:r w:rsidR="006A6A75">
        <w:rPr>
          <w:rFonts w:ascii="Arial" w:hAnsi="Arial" w:cs="Arial"/>
          <w:sz w:val="24"/>
          <w:szCs w:val="24"/>
        </w:rPr>
        <w:t xml:space="preserve">problems with age discrimination protected by general principles in EU Law. As a consequence despite </w:t>
      </w:r>
      <w:r w:rsidR="006A6A75">
        <w:rPr>
          <w:rFonts w:ascii="Arial" w:hAnsi="Arial" w:cs="Arial"/>
          <w:sz w:val="24"/>
          <w:szCs w:val="24"/>
        </w:rPr>
        <w:lastRenderedPageBreak/>
        <w:t>the b</w:t>
      </w:r>
      <w:r w:rsidR="007756D6">
        <w:rPr>
          <w:rFonts w:ascii="Arial" w:hAnsi="Arial" w:cs="Arial"/>
          <w:sz w:val="24"/>
          <w:szCs w:val="24"/>
        </w:rPr>
        <w:t>est efforts of the Mo</w:t>
      </w:r>
      <w:r w:rsidR="00E70AFD">
        <w:rPr>
          <w:rFonts w:ascii="Arial" w:hAnsi="Arial" w:cs="Arial"/>
          <w:sz w:val="24"/>
          <w:szCs w:val="24"/>
        </w:rPr>
        <w:t xml:space="preserve">D and the </w:t>
      </w:r>
      <w:r w:rsidR="006A6A75">
        <w:rPr>
          <w:rFonts w:ascii="Arial" w:hAnsi="Arial" w:cs="Arial"/>
          <w:sz w:val="24"/>
          <w:szCs w:val="24"/>
        </w:rPr>
        <w:t>military, the UK armed forces continue to be a very white and male environment with aspirations for greater diversity.</w:t>
      </w:r>
    </w:p>
    <w:sectPr w:rsidR="00803A41" w:rsidRPr="00A74790" w:rsidSect="00AE08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17" w:rsidRDefault="00067F17" w:rsidP="00E45D87">
      <w:pPr>
        <w:spacing w:after="0" w:line="240" w:lineRule="auto"/>
      </w:pPr>
      <w:r>
        <w:separator/>
      </w:r>
    </w:p>
  </w:endnote>
  <w:endnote w:type="continuationSeparator" w:id="0">
    <w:p w:rsidR="00067F17" w:rsidRDefault="00067F17" w:rsidP="00E4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07301"/>
      <w:docPartObj>
        <w:docPartGallery w:val="Page Numbers (Bottom of Page)"/>
        <w:docPartUnique/>
      </w:docPartObj>
    </w:sdtPr>
    <w:sdtEndPr>
      <w:rPr>
        <w:noProof/>
      </w:rPr>
    </w:sdtEndPr>
    <w:sdtContent>
      <w:p w:rsidR="006456EC" w:rsidRDefault="006456EC">
        <w:pPr>
          <w:pStyle w:val="Footer"/>
          <w:jc w:val="right"/>
        </w:pPr>
        <w:r>
          <w:fldChar w:fldCharType="begin"/>
        </w:r>
        <w:r>
          <w:instrText xml:space="preserve"> PAGE   \* MERGEFORMAT </w:instrText>
        </w:r>
        <w:r>
          <w:fldChar w:fldCharType="separate"/>
        </w:r>
        <w:r w:rsidR="00E92D51">
          <w:rPr>
            <w:noProof/>
          </w:rPr>
          <w:t>1</w:t>
        </w:r>
        <w:r>
          <w:rPr>
            <w:noProof/>
          </w:rPr>
          <w:fldChar w:fldCharType="end"/>
        </w:r>
      </w:p>
    </w:sdtContent>
  </w:sdt>
  <w:p w:rsidR="006456EC" w:rsidRDefault="00645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17" w:rsidRDefault="00067F17" w:rsidP="00E45D87">
      <w:pPr>
        <w:spacing w:after="0" w:line="240" w:lineRule="auto"/>
      </w:pPr>
      <w:r>
        <w:separator/>
      </w:r>
    </w:p>
  </w:footnote>
  <w:footnote w:type="continuationSeparator" w:id="0">
    <w:p w:rsidR="00067F17" w:rsidRDefault="00067F17" w:rsidP="00E45D87">
      <w:pPr>
        <w:spacing w:after="0" w:line="240" w:lineRule="auto"/>
      </w:pPr>
      <w:r>
        <w:continuationSeparator/>
      </w:r>
    </w:p>
  </w:footnote>
  <w:footnote w:id="1">
    <w:p w:rsidR="00C461F2" w:rsidRDefault="00C461F2" w:rsidP="00C461F2">
      <w:pPr>
        <w:pStyle w:val="FootnoteText"/>
        <w:jc w:val="both"/>
        <w:rPr>
          <w:rFonts w:ascii="Arial" w:hAnsi="Arial" w:cs="Arial"/>
          <w:sz w:val="24"/>
          <w:szCs w:val="24"/>
        </w:rPr>
      </w:pPr>
      <w:r w:rsidRPr="007756D6">
        <w:rPr>
          <w:rFonts w:ascii="Arial" w:hAnsi="Arial" w:cs="Arial"/>
          <w:sz w:val="24"/>
          <w:szCs w:val="24"/>
        </w:rPr>
        <w:t>*</w:t>
      </w:r>
      <w:r>
        <w:rPr>
          <w:rFonts w:ascii="Arial" w:hAnsi="Arial" w:cs="Arial"/>
          <w:sz w:val="24"/>
          <w:szCs w:val="24"/>
        </w:rPr>
        <w:t xml:space="preserve"> Senior Lecturer in Law, the University of the West of England. The author is grateful to Professors Roger Brownsword, Anthony Forster and Phil Rumney for their helpful comments on this paper. A draft of this paper was delivered at the Inter University Seminar On Armed Forces and Society Canada Conference in Toronto 17 October 2010</w:t>
      </w:r>
    </w:p>
    <w:p w:rsidR="00C461F2" w:rsidRDefault="00C461F2" w:rsidP="00C461F2">
      <w:pPr>
        <w:pStyle w:val="FootnoteText"/>
        <w:jc w:val="both"/>
        <w:rPr>
          <w:rFonts w:ascii="Arial" w:hAnsi="Arial" w:cs="Arial"/>
          <w:sz w:val="24"/>
          <w:szCs w:val="24"/>
        </w:rPr>
      </w:pPr>
    </w:p>
    <w:p w:rsidR="00C461F2" w:rsidRPr="00B839BE" w:rsidRDefault="00C461F2" w:rsidP="00C461F2">
      <w:pPr>
        <w:pStyle w:val="FootnoteText"/>
        <w:jc w:val="both"/>
        <w:rPr>
          <w:rFonts w:ascii="Arial" w:hAnsi="Arial" w:cs="Arial"/>
          <w:sz w:val="24"/>
          <w:szCs w:val="24"/>
        </w:rPr>
      </w:pPr>
      <w:r w:rsidRPr="00B839BE">
        <w:rPr>
          <w:rStyle w:val="FootnoteReference"/>
          <w:rFonts w:ascii="Arial" w:hAnsi="Arial" w:cs="Arial"/>
          <w:sz w:val="24"/>
          <w:szCs w:val="24"/>
        </w:rPr>
        <w:footnoteRef/>
      </w:r>
      <w:r w:rsidRPr="00B839BE">
        <w:rPr>
          <w:rFonts w:ascii="Arial" w:hAnsi="Arial" w:cs="Arial"/>
          <w:sz w:val="24"/>
          <w:szCs w:val="24"/>
        </w:rPr>
        <w:t xml:space="preserve"> Right Hon Geoff </w:t>
      </w:r>
      <w:proofErr w:type="spellStart"/>
      <w:r w:rsidRPr="00B839BE">
        <w:rPr>
          <w:rFonts w:ascii="Arial" w:hAnsi="Arial" w:cs="Arial"/>
          <w:sz w:val="24"/>
          <w:szCs w:val="24"/>
        </w:rPr>
        <w:t>Hoon</w:t>
      </w:r>
      <w:proofErr w:type="spellEnd"/>
      <w:r w:rsidRPr="00B839BE">
        <w:rPr>
          <w:rFonts w:ascii="Arial" w:hAnsi="Arial" w:cs="Arial"/>
          <w:sz w:val="24"/>
          <w:szCs w:val="24"/>
        </w:rPr>
        <w:t xml:space="preserve"> MP, Secretary of State for Defence, </w:t>
      </w:r>
      <w:r w:rsidRPr="00A60852">
        <w:rPr>
          <w:rFonts w:ascii="Arial" w:hAnsi="Arial" w:cs="Arial"/>
          <w:iCs/>
          <w:sz w:val="24"/>
          <w:szCs w:val="24"/>
        </w:rPr>
        <w:t>HC Deb</w:t>
      </w:r>
      <w:r>
        <w:rPr>
          <w:rFonts w:ascii="Arial" w:hAnsi="Arial" w:cs="Arial"/>
          <w:iCs/>
          <w:sz w:val="24"/>
          <w:szCs w:val="24"/>
        </w:rPr>
        <w:t xml:space="preserve"> </w:t>
      </w:r>
      <w:proofErr w:type="spellStart"/>
      <w:r>
        <w:rPr>
          <w:rFonts w:ascii="Arial" w:hAnsi="Arial" w:cs="Arial"/>
          <w:iCs/>
          <w:sz w:val="24"/>
          <w:szCs w:val="24"/>
        </w:rPr>
        <w:t>vol</w:t>
      </w:r>
      <w:proofErr w:type="spellEnd"/>
      <w:r>
        <w:rPr>
          <w:rFonts w:ascii="Arial" w:hAnsi="Arial" w:cs="Arial"/>
          <w:iCs/>
          <w:sz w:val="24"/>
          <w:szCs w:val="24"/>
        </w:rPr>
        <w:t xml:space="preserve"> 342 col 287-288</w:t>
      </w:r>
      <w:r>
        <w:rPr>
          <w:rFonts w:ascii="Arial" w:hAnsi="Arial" w:cs="Arial"/>
          <w:sz w:val="24"/>
          <w:szCs w:val="24"/>
        </w:rPr>
        <w:t xml:space="preserve"> 12 January 2000</w:t>
      </w:r>
    </w:p>
  </w:footnote>
  <w:footnote w:id="2">
    <w:p w:rsidR="00C461F2" w:rsidRPr="00B839BE" w:rsidRDefault="00C461F2" w:rsidP="00C461F2">
      <w:pPr>
        <w:pStyle w:val="FootnoteText"/>
        <w:jc w:val="both"/>
        <w:rPr>
          <w:rFonts w:ascii="Arial" w:hAnsi="Arial" w:cs="Arial"/>
          <w:sz w:val="24"/>
          <w:szCs w:val="24"/>
        </w:rPr>
      </w:pPr>
      <w:r w:rsidRPr="00B839BE">
        <w:rPr>
          <w:rStyle w:val="FootnoteReference"/>
          <w:rFonts w:ascii="Arial" w:hAnsi="Arial" w:cs="Arial"/>
          <w:sz w:val="24"/>
          <w:szCs w:val="24"/>
        </w:rPr>
        <w:footnoteRef/>
      </w:r>
      <w:r w:rsidRPr="00B839BE">
        <w:rPr>
          <w:rFonts w:ascii="Arial" w:hAnsi="Arial" w:cs="Arial"/>
          <w:sz w:val="24"/>
          <w:szCs w:val="24"/>
        </w:rPr>
        <w:t xml:space="preserve"> G</w:t>
      </w:r>
      <w:r>
        <w:rPr>
          <w:rFonts w:ascii="Arial" w:hAnsi="Arial" w:cs="Arial"/>
          <w:sz w:val="24"/>
          <w:szCs w:val="24"/>
        </w:rPr>
        <w:t>.</w:t>
      </w:r>
      <w:r w:rsidRPr="00B839BE">
        <w:rPr>
          <w:rFonts w:ascii="Arial" w:hAnsi="Arial" w:cs="Arial"/>
          <w:sz w:val="24"/>
          <w:szCs w:val="24"/>
        </w:rPr>
        <w:t>R</w:t>
      </w:r>
      <w:r>
        <w:rPr>
          <w:rFonts w:ascii="Arial" w:hAnsi="Arial" w:cs="Arial"/>
          <w:sz w:val="24"/>
          <w:szCs w:val="24"/>
        </w:rPr>
        <w:t>.</w:t>
      </w:r>
      <w:r w:rsidRPr="00B839BE">
        <w:rPr>
          <w:rFonts w:ascii="Arial" w:hAnsi="Arial" w:cs="Arial"/>
          <w:sz w:val="24"/>
          <w:szCs w:val="24"/>
        </w:rPr>
        <w:t xml:space="preserve"> Rubin, ‘United Kingdom Military Law: Autonomy, Civilianisation, Juridification’ (2002) 65 MLR 36</w:t>
      </w:r>
    </w:p>
  </w:footnote>
  <w:footnote w:id="3">
    <w:p w:rsidR="00C461F2" w:rsidRDefault="00C461F2" w:rsidP="00C461F2">
      <w:pPr>
        <w:pStyle w:val="FootnoteText"/>
        <w:jc w:val="both"/>
      </w:pPr>
      <w:r w:rsidRPr="00B839BE">
        <w:rPr>
          <w:rStyle w:val="FootnoteReference"/>
          <w:rFonts w:ascii="Arial" w:hAnsi="Arial" w:cs="Arial"/>
          <w:sz w:val="24"/>
          <w:szCs w:val="24"/>
        </w:rPr>
        <w:footnoteRef/>
      </w:r>
      <w:r>
        <w:rPr>
          <w:rFonts w:ascii="Arial" w:hAnsi="Arial" w:cs="Arial"/>
          <w:sz w:val="24"/>
          <w:szCs w:val="24"/>
        </w:rPr>
        <w:t xml:space="preserve"> i</w:t>
      </w:r>
      <w:r w:rsidRPr="00B839BE">
        <w:rPr>
          <w:rFonts w:ascii="Arial" w:hAnsi="Arial" w:cs="Arial"/>
          <w:sz w:val="24"/>
          <w:szCs w:val="24"/>
        </w:rPr>
        <w:t>bid at 49</w:t>
      </w:r>
    </w:p>
  </w:footnote>
  <w:footnote w:id="4">
    <w:p w:rsidR="00C461F2" w:rsidRPr="00B839BE" w:rsidRDefault="00C461F2" w:rsidP="00C461F2">
      <w:pPr>
        <w:pStyle w:val="FootnoteText"/>
        <w:jc w:val="both"/>
        <w:rPr>
          <w:rFonts w:ascii="Arial" w:hAnsi="Arial" w:cs="Arial"/>
          <w:sz w:val="24"/>
          <w:szCs w:val="24"/>
        </w:rPr>
      </w:pPr>
      <w:r w:rsidRPr="00B839BE">
        <w:rPr>
          <w:rStyle w:val="FootnoteReference"/>
          <w:rFonts w:ascii="Arial" w:hAnsi="Arial" w:cs="Arial"/>
          <w:sz w:val="24"/>
          <w:szCs w:val="24"/>
        </w:rPr>
        <w:footnoteRef/>
      </w:r>
      <w:r>
        <w:rPr>
          <w:rFonts w:ascii="Arial" w:hAnsi="Arial" w:cs="Arial"/>
          <w:sz w:val="24"/>
          <w:szCs w:val="24"/>
        </w:rPr>
        <w:t xml:space="preserve"> ibid</w:t>
      </w:r>
      <w:r w:rsidRPr="00B839BE">
        <w:rPr>
          <w:rFonts w:ascii="Arial" w:hAnsi="Arial" w:cs="Arial"/>
          <w:sz w:val="24"/>
          <w:szCs w:val="24"/>
        </w:rPr>
        <w:t xml:space="preserve"> at 44</w:t>
      </w:r>
    </w:p>
  </w:footnote>
  <w:footnote w:id="5">
    <w:p w:rsidR="00C461F2" w:rsidRPr="00B839BE" w:rsidRDefault="00C461F2" w:rsidP="00C461F2">
      <w:pPr>
        <w:pStyle w:val="FootnoteText"/>
        <w:jc w:val="both"/>
        <w:rPr>
          <w:rFonts w:ascii="Arial" w:hAnsi="Arial" w:cs="Arial"/>
          <w:sz w:val="24"/>
          <w:szCs w:val="24"/>
        </w:rPr>
      </w:pPr>
      <w:r w:rsidRPr="00B839BE">
        <w:rPr>
          <w:rStyle w:val="FootnoteReference"/>
          <w:rFonts w:ascii="Arial" w:hAnsi="Arial" w:cs="Arial"/>
          <w:sz w:val="24"/>
          <w:szCs w:val="24"/>
        </w:rPr>
        <w:footnoteRef/>
      </w:r>
      <w:r>
        <w:rPr>
          <w:rFonts w:ascii="Arial" w:hAnsi="Arial" w:cs="Arial"/>
          <w:sz w:val="24"/>
          <w:szCs w:val="24"/>
        </w:rPr>
        <w:t xml:space="preserve"> i</w:t>
      </w:r>
      <w:r w:rsidRPr="00B839BE">
        <w:rPr>
          <w:rFonts w:ascii="Arial" w:hAnsi="Arial" w:cs="Arial"/>
          <w:sz w:val="24"/>
          <w:szCs w:val="24"/>
        </w:rPr>
        <w:t>bid at 47</w:t>
      </w:r>
    </w:p>
  </w:footnote>
  <w:footnote w:id="6">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See L</w:t>
      </w:r>
      <w:r>
        <w:rPr>
          <w:rFonts w:ascii="Arial" w:hAnsi="Arial" w:cs="Arial"/>
          <w:sz w:val="24"/>
          <w:szCs w:val="24"/>
        </w:rPr>
        <w:t>.</w:t>
      </w:r>
      <w:r w:rsidRPr="008D569A">
        <w:rPr>
          <w:rFonts w:ascii="Arial" w:hAnsi="Arial" w:cs="Arial"/>
          <w:sz w:val="24"/>
          <w:szCs w:val="24"/>
        </w:rPr>
        <w:t xml:space="preserve"> Cohn, ‘The Evolution of the Civil-Military “Gap” Debate’</w:t>
      </w:r>
      <w:r>
        <w:rPr>
          <w:rFonts w:ascii="Arial" w:hAnsi="Arial" w:cs="Arial"/>
          <w:sz w:val="24"/>
          <w:szCs w:val="24"/>
        </w:rPr>
        <w:t xml:space="preserve">, </w:t>
      </w:r>
      <w:r w:rsidRPr="008D569A">
        <w:rPr>
          <w:rFonts w:ascii="Arial" w:hAnsi="Arial" w:cs="Arial"/>
          <w:sz w:val="24"/>
          <w:szCs w:val="24"/>
        </w:rPr>
        <w:t>paper prepared for the TISS Project on the Gap Between the Military and Civilian Society, 1999 for a comprehensive analysis of the literature up to 1999</w:t>
      </w:r>
      <w:r>
        <w:rPr>
          <w:rFonts w:ascii="Arial" w:hAnsi="Arial" w:cs="Arial"/>
          <w:sz w:val="24"/>
          <w:szCs w:val="24"/>
        </w:rPr>
        <w:t>, copy on file with the author</w:t>
      </w:r>
    </w:p>
  </w:footnote>
  <w:footnote w:id="7">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w:t>
      </w:r>
      <w:r>
        <w:rPr>
          <w:rFonts w:ascii="Arial" w:hAnsi="Arial" w:cs="Arial"/>
          <w:sz w:val="24"/>
          <w:szCs w:val="24"/>
        </w:rPr>
        <w:t xml:space="preserve">A notable exception is the analysis conducted by a historian, </w:t>
      </w:r>
      <w:r w:rsidRPr="004E5F32">
        <w:rPr>
          <w:rFonts w:ascii="Arial" w:hAnsi="Arial" w:cs="Arial"/>
          <w:sz w:val="24"/>
          <w:szCs w:val="24"/>
        </w:rPr>
        <w:t>H</w:t>
      </w:r>
      <w:r>
        <w:rPr>
          <w:rFonts w:ascii="Arial" w:hAnsi="Arial" w:cs="Arial"/>
          <w:sz w:val="24"/>
          <w:szCs w:val="24"/>
        </w:rPr>
        <w:t>.</w:t>
      </w:r>
      <w:r w:rsidRPr="004E5F32">
        <w:rPr>
          <w:rFonts w:ascii="Arial" w:hAnsi="Arial" w:cs="Arial"/>
          <w:sz w:val="24"/>
          <w:szCs w:val="24"/>
        </w:rPr>
        <w:t xml:space="preserve"> Strachan, ‘The Civil-Military “Gap” in Britain’ (2003) 26 </w:t>
      </w:r>
      <w:r w:rsidRPr="005A0002">
        <w:rPr>
          <w:rFonts w:ascii="Arial" w:hAnsi="Arial" w:cs="Arial"/>
          <w:i/>
          <w:sz w:val="24"/>
          <w:szCs w:val="24"/>
        </w:rPr>
        <w:t>Journal of Strategic Studies</w:t>
      </w:r>
      <w:r w:rsidRPr="004E5F32">
        <w:rPr>
          <w:rFonts w:ascii="Arial" w:hAnsi="Arial" w:cs="Arial"/>
          <w:sz w:val="24"/>
          <w:szCs w:val="24"/>
        </w:rPr>
        <w:t xml:space="preserve"> 43</w:t>
      </w:r>
    </w:p>
  </w:footnote>
  <w:footnote w:id="8">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S</w:t>
      </w:r>
      <w:r>
        <w:rPr>
          <w:rFonts w:ascii="Arial" w:hAnsi="Arial" w:cs="Arial"/>
          <w:sz w:val="24"/>
          <w:szCs w:val="24"/>
        </w:rPr>
        <w:t>.</w:t>
      </w:r>
      <w:r w:rsidRPr="008D569A">
        <w:rPr>
          <w:rFonts w:ascii="Arial" w:hAnsi="Arial" w:cs="Arial"/>
          <w:sz w:val="24"/>
          <w:szCs w:val="24"/>
        </w:rPr>
        <w:t>P</w:t>
      </w:r>
      <w:r>
        <w:rPr>
          <w:rFonts w:ascii="Arial" w:hAnsi="Arial" w:cs="Arial"/>
          <w:sz w:val="24"/>
          <w:szCs w:val="24"/>
        </w:rPr>
        <w:t>.</w:t>
      </w:r>
      <w:r w:rsidRPr="008D569A">
        <w:rPr>
          <w:rFonts w:ascii="Arial" w:hAnsi="Arial" w:cs="Arial"/>
          <w:sz w:val="24"/>
          <w:szCs w:val="24"/>
        </w:rPr>
        <w:t xml:space="preserve"> Huntington, </w:t>
      </w:r>
      <w:r w:rsidRPr="008D569A">
        <w:rPr>
          <w:rFonts w:ascii="Arial" w:hAnsi="Arial" w:cs="Arial"/>
          <w:i/>
          <w:sz w:val="24"/>
          <w:szCs w:val="24"/>
        </w:rPr>
        <w:t>The Soldier and the State: The Theory and Politics of Civil-Military Relations</w:t>
      </w:r>
      <w:r w:rsidRPr="008D569A">
        <w:rPr>
          <w:rFonts w:ascii="Arial" w:hAnsi="Arial" w:cs="Arial"/>
          <w:sz w:val="24"/>
          <w:szCs w:val="24"/>
        </w:rPr>
        <w:t xml:space="preserve"> (</w:t>
      </w:r>
      <w:r>
        <w:rPr>
          <w:rFonts w:ascii="Arial" w:hAnsi="Arial" w:cs="Arial"/>
          <w:sz w:val="24"/>
          <w:szCs w:val="24"/>
        </w:rPr>
        <w:t xml:space="preserve">Cambridge: Belknap Press, </w:t>
      </w:r>
      <w:r w:rsidRPr="008D569A">
        <w:rPr>
          <w:rFonts w:ascii="Arial" w:hAnsi="Arial" w:cs="Arial"/>
          <w:sz w:val="24"/>
          <w:szCs w:val="24"/>
        </w:rPr>
        <w:t>1957)</w:t>
      </w:r>
    </w:p>
  </w:footnote>
  <w:footnote w:id="9">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P</w:t>
      </w:r>
      <w:r>
        <w:rPr>
          <w:rFonts w:ascii="Arial" w:hAnsi="Arial" w:cs="Arial"/>
          <w:sz w:val="24"/>
          <w:szCs w:val="24"/>
        </w:rPr>
        <w:t>.</w:t>
      </w:r>
      <w:r w:rsidRPr="008D569A">
        <w:rPr>
          <w:rFonts w:ascii="Arial" w:hAnsi="Arial" w:cs="Arial"/>
          <w:sz w:val="24"/>
          <w:szCs w:val="24"/>
        </w:rPr>
        <w:t>D</w:t>
      </w:r>
      <w:r>
        <w:rPr>
          <w:rFonts w:ascii="Arial" w:hAnsi="Arial" w:cs="Arial"/>
          <w:sz w:val="24"/>
          <w:szCs w:val="24"/>
        </w:rPr>
        <w:t>.</w:t>
      </w:r>
      <w:r w:rsidRPr="008D569A">
        <w:rPr>
          <w:rFonts w:ascii="Arial" w:hAnsi="Arial" w:cs="Arial"/>
          <w:sz w:val="24"/>
          <w:szCs w:val="24"/>
        </w:rPr>
        <w:t xml:space="preserve"> Feaver, </w:t>
      </w:r>
      <w:r w:rsidRPr="008D569A">
        <w:rPr>
          <w:rFonts w:ascii="Arial" w:hAnsi="Arial" w:cs="Arial"/>
          <w:i/>
          <w:sz w:val="24"/>
          <w:szCs w:val="24"/>
        </w:rPr>
        <w:t>Armed Servants: Agency, Oversight, and Civil-Military Relations</w:t>
      </w:r>
      <w:r w:rsidRPr="008D569A">
        <w:rPr>
          <w:rFonts w:ascii="Arial" w:hAnsi="Arial" w:cs="Arial"/>
          <w:sz w:val="24"/>
          <w:szCs w:val="24"/>
        </w:rPr>
        <w:t xml:space="preserve"> (</w:t>
      </w:r>
      <w:r>
        <w:rPr>
          <w:rFonts w:ascii="Arial" w:hAnsi="Arial" w:cs="Arial"/>
          <w:sz w:val="24"/>
          <w:szCs w:val="24"/>
        </w:rPr>
        <w:t>Cambridge: Harvard University Press,</w:t>
      </w:r>
      <w:r w:rsidRPr="008D569A">
        <w:rPr>
          <w:rFonts w:ascii="Arial" w:hAnsi="Arial" w:cs="Arial"/>
          <w:sz w:val="24"/>
          <w:szCs w:val="24"/>
        </w:rPr>
        <w:t xml:space="preserve"> 2003)</w:t>
      </w:r>
    </w:p>
  </w:footnote>
  <w:footnote w:id="10">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ibid</w:t>
      </w:r>
      <w:r w:rsidRPr="008D569A">
        <w:rPr>
          <w:rFonts w:ascii="Arial" w:hAnsi="Arial" w:cs="Arial"/>
          <w:sz w:val="24"/>
          <w:szCs w:val="24"/>
        </w:rPr>
        <w:t xml:space="preserve"> at 80</w:t>
      </w:r>
    </w:p>
  </w:footnote>
  <w:footnote w:id="11">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i</w:t>
      </w:r>
      <w:r w:rsidRPr="008D569A">
        <w:rPr>
          <w:rFonts w:ascii="Arial" w:hAnsi="Arial" w:cs="Arial"/>
          <w:sz w:val="24"/>
          <w:szCs w:val="24"/>
        </w:rPr>
        <w:t>bid at 83</w:t>
      </w:r>
    </w:p>
  </w:footnote>
  <w:footnote w:id="12">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B</w:t>
      </w:r>
      <w:r>
        <w:rPr>
          <w:rFonts w:ascii="Arial" w:hAnsi="Arial" w:cs="Arial"/>
          <w:sz w:val="24"/>
          <w:szCs w:val="24"/>
        </w:rPr>
        <w:t>.</w:t>
      </w:r>
      <w:r w:rsidRPr="008D569A">
        <w:rPr>
          <w:rFonts w:ascii="Arial" w:hAnsi="Arial" w:cs="Arial"/>
          <w:sz w:val="24"/>
          <w:szCs w:val="24"/>
        </w:rPr>
        <w:t xml:space="preserve"> Boëne, ‘How “Unique” Should the Military Be? A Review of Representative Literature &amp; Outline of a Synthetic Formulation’ (1990) 31 </w:t>
      </w:r>
      <w:r w:rsidRPr="005A0002">
        <w:rPr>
          <w:rFonts w:ascii="Arial" w:hAnsi="Arial" w:cs="Arial"/>
          <w:i/>
          <w:sz w:val="24"/>
          <w:szCs w:val="24"/>
        </w:rPr>
        <w:t>European Journal of Sociology</w:t>
      </w:r>
      <w:r>
        <w:rPr>
          <w:rFonts w:ascii="Arial" w:hAnsi="Arial" w:cs="Arial"/>
          <w:sz w:val="24"/>
          <w:szCs w:val="24"/>
        </w:rPr>
        <w:t xml:space="preserve"> 3,</w:t>
      </w:r>
      <w:r w:rsidRPr="008D569A">
        <w:rPr>
          <w:rFonts w:ascii="Arial" w:hAnsi="Arial" w:cs="Arial"/>
          <w:sz w:val="24"/>
          <w:szCs w:val="24"/>
        </w:rPr>
        <w:t xml:space="preserve"> 15</w:t>
      </w:r>
    </w:p>
  </w:footnote>
  <w:footnote w:id="13">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n 9 above </w:t>
      </w:r>
      <w:r w:rsidRPr="008D569A">
        <w:rPr>
          <w:rFonts w:ascii="Arial" w:hAnsi="Arial" w:cs="Arial"/>
          <w:sz w:val="24"/>
          <w:szCs w:val="24"/>
        </w:rPr>
        <w:t>chapter 3</w:t>
      </w:r>
    </w:p>
  </w:footnote>
  <w:footnote w:id="14">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ibid</w:t>
      </w:r>
      <w:r w:rsidRPr="008D569A">
        <w:rPr>
          <w:rFonts w:ascii="Arial" w:hAnsi="Arial" w:cs="Arial"/>
          <w:sz w:val="24"/>
          <w:szCs w:val="24"/>
        </w:rPr>
        <w:t xml:space="preserve"> at 75</w:t>
      </w:r>
    </w:p>
  </w:footnote>
  <w:footnote w:id="15">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i</w:t>
      </w:r>
      <w:r w:rsidRPr="008D569A">
        <w:rPr>
          <w:rFonts w:ascii="Arial" w:hAnsi="Arial" w:cs="Arial"/>
          <w:sz w:val="24"/>
          <w:szCs w:val="24"/>
        </w:rPr>
        <w:t>bid at 87</w:t>
      </w:r>
    </w:p>
  </w:footnote>
  <w:footnote w:id="16">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J</w:t>
      </w:r>
      <w:r>
        <w:rPr>
          <w:rFonts w:ascii="Arial" w:hAnsi="Arial" w:cs="Arial"/>
          <w:sz w:val="24"/>
          <w:szCs w:val="24"/>
        </w:rPr>
        <w:t>.</w:t>
      </w:r>
      <w:r w:rsidRPr="008D569A">
        <w:rPr>
          <w:rFonts w:ascii="Arial" w:hAnsi="Arial" w:cs="Arial"/>
          <w:sz w:val="24"/>
          <w:szCs w:val="24"/>
        </w:rPr>
        <w:t xml:space="preserve"> Burk, ‘Theories of Democratic Civil-Military Relations’ (2002) </w:t>
      </w:r>
      <w:r>
        <w:rPr>
          <w:rFonts w:ascii="Arial" w:hAnsi="Arial" w:cs="Arial"/>
          <w:sz w:val="24"/>
          <w:szCs w:val="24"/>
        </w:rPr>
        <w:t xml:space="preserve">29 </w:t>
      </w:r>
      <w:r w:rsidRPr="005A0002">
        <w:rPr>
          <w:rFonts w:ascii="Arial" w:hAnsi="Arial" w:cs="Arial"/>
          <w:i/>
          <w:sz w:val="24"/>
          <w:szCs w:val="24"/>
        </w:rPr>
        <w:t>Armed Forces and Society</w:t>
      </w:r>
      <w:r>
        <w:rPr>
          <w:rFonts w:ascii="Arial" w:hAnsi="Arial" w:cs="Arial"/>
          <w:sz w:val="24"/>
          <w:szCs w:val="24"/>
        </w:rPr>
        <w:t xml:space="preserve"> 7,</w:t>
      </w:r>
      <w:r w:rsidRPr="008D569A">
        <w:rPr>
          <w:rFonts w:ascii="Arial" w:hAnsi="Arial" w:cs="Arial"/>
          <w:sz w:val="24"/>
          <w:szCs w:val="24"/>
        </w:rPr>
        <w:t xml:space="preserve"> 22</w:t>
      </w:r>
    </w:p>
  </w:footnote>
  <w:footnote w:id="17">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M</w:t>
      </w:r>
      <w:r>
        <w:rPr>
          <w:rFonts w:ascii="Arial" w:hAnsi="Arial" w:cs="Arial"/>
          <w:sz w:val="24"/>
          <w:szCs w:val="24"/>
        </w:rPr>
        <w:t>.</w:t>
      </w:r>
      <w:r w:rsidRPr="008D569A">
        <w:rPr>
          <w:rFonts w:ascii="Arial" w:hAnsi="Arial" w:cs="Arial"/>
          <w:sz w:val="24"/>
          <w:szCs w:val="24"/>
        </w:rPr>
        <w:t xml:space="preserve"> Janowitz, </w:t>
      </w:r>
      <w:r w:rsidRPr="008D569A">
        <w:rPr>
          <w:rFonts w:ascii="Arial" w:hAnsi="Arial" w:cs="Arial"/>
          <w:i/>
          <w:sz w:val="24"/>
          <w:szCs w:val="24"/>
        </w:rPr>
        <w:t>The Professional Soldier: A Social and Political Portrait</w:t>
      </w:r>
      <w:r w:rsidRPr="008D569A">
        <w:rPr>
          <w:rFonts w:ascii="Arial" w:hAnsi="Arial" w:cs="Arial"/>
          <w:sz w:val="24"/>
          <w:szCs w:val="24"/>
        </w:rPr>
        <w:t xml:space="preserve"> (New York </w:t>
      </w:r>
      <w:r>
        <w:rPr>
          <w:rFonts w:ascii="Arial" w:hAnsi="Arial" w:cs="Arial"/>
          <w:sz w:val="24"/>
          <w:szCs w:val="24"/>
        </w:rPr>
        <w:t>: Free Press,</w:t>
      </w:r>
      <w:r w:rsidRPr="008D569A">
        <w:rPr>
          <w:rFonts w:ascii="Arial" w:hAnsi="Arial" w:cs="Arial"/>
          <w:sz w:val="24"/>
          <w:szCs w:val="24"/>
        </w:rPr>
        <w:t xml:space="preserve"> 1964)</w:t>
      </w:r>
    </w:p>
  </w:footnote>
  <w:footnote w:id="18">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C</w:t>
      </w:r>
      <w:r>
        <w:rPr>
          <w:rFonts w:ascii="Arial" w:hAnsi="Arial" w:cs="Arial"/>
          <w:sz w:val="24"/>
          <w:szCs w:val="24"/>
        </w:rPr>
        <w:t>.</w:t>
      </w:r>
      <w:r w:rsidRPr="008D569A">
        <w:rPr>
          <w:rFonts w:ascii="Arial" w:hAnsi="Arial" w:cs="Arial"/>
          <w:sz w:val="24"/>
          <w:szCs w:val="24"/>
        </w:rPr>
        <w:t>C</w:t>
      </w:r>
      <w:r>
        <w:rPr>
          <w:rFonts w:ascii="Arial" w:hAnsi="Arial" w:cs="Arial"/>
          <w:sz w:val="24"/>
          <w:szCs w:val="24"/>
        </w:rPr>
        <w:t>.</w:t>
      </w:r>
      <w:r w:rsidRPr="008D569A">
        <w:rPr>
          <w:rFonts w:ascii="Arial" w:hAnsi="Arial" w:cs="Arial"/>
          <w:sz w:val="24"/>
          <w:szCs w:val="24"/>
        </w:rPr>
        <w:t xml:space="preserve"> Moskos, ‘From Institution to Occupation: Trends in Military Organization’ (1977) 4 </w:t>
      </w:r>
      <w:r w:rsidRPr="005A0002">
        <w:rPr>
          <w:rFonts w:ascii="Arial" w:hAnsi="Arial" w:cs="Arial"/>
          <w:i/>
          <w:sz w:val="24"/>
          <w:szCs w:val="24"/>
        </w:rPr>
        <w:t>Armed Forces and Society</w:t>
      </w:r>
      <w:r w:rsidRPr="008D569A">
        <w:rPr>
          <w:rFonts w:ascii="Arial" w:hAnsi="Arial" w:cs="Arial"/>
          <w:sz w:val="24"/>
          <w:szCs w:val="24"/>
        </w:rPr>
        <w:t xml:space="preserve"> 41; C</w:t>
      </w:r>
      <w:r>
        <w:rPr>
          <w:rFonts w:ascii="Arial" w:hAnsi="Arial" w:cs="Arial"/>
          <w:sz w:val="24"/>
          <w:szCs w:val="24"/>
        </w:rPr>
        <w:t>.</w:t>
      </w:r>
      <w:r w:rsidRPr="008D569A">
        <w:rPr>
          <w:rFonts w:ascii="Arial" w:hAnsi="Arial" w:cs="Arial"/>
          <w:sz w:val="24"/>
          <w:szCs w:val="24"/>
        </w:rPr>
        <w:t>C</w:t>
      </w:r>
      <w:r>
        <w:rPr>
          <w:rFonts w:ascii="Arial" w:hAnsi="Arial" w:cs="Arial"/>
          <w:sz w:val="24"/>
          <w:szCs w:val="24"/>
        </w:rPr>
        <w:t>.</w:t>
      </w:r>
      <w:r w:rsidRPr="008D569A">
        <w:rPr>
          <w:rFonts w:ascii="Arial" w:hAnsi="Arial" w:cs="Arial"/>
          <w:sz w:val="24"/>
          <w:szCs w:val="24"/>
        </w:rPr>
        <w:t xml:space="preserve"> Moskos, ‘Institutional/Occupational Trends in Armed Forces: An Update’ (1986) 12 </w:t>
      </w:r>
      <w:r w:rsidRPr="005A0002">
        <w:rPr>
          <w:rFonts w:ascii="Arial" w:hAnsi="Arial" w:cs="Arial"/>
          <w:i/>
          <w:sz w:val="24"/>
          <w:szCs w:val="24"/>
        </w:rPr>
        <w:t>Armed Forces and Society</w:t>
      </w:r>
      <w:r w:rsidRPr="008D569A">
        <w:rPr>
          <w:rFonts w:ascii="Arial" w:hAnsi="Arial" w:cs="Arial"/>
          <w:sz w:val="24"/>
          <w:szCs w:val="24"/>
        </w:rPr>
        <w:t xml:space="preserve"> 377</w:t>
      </w:r>
    </w:p>
  </w:footnote>
  <w:footnote w:id="19">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n 17 above</w:t>
      </w:r>
      <w:r w:rsidRPr="008D569A">
        <w:rPr>
          <w:rFonts w:ascii="Arial" w:hAnsi="Arial" w:cs="Arial"/>
          <w:sz w:val="24"/>
          <w:szCs w:val="24"/>
        </w:rPr>
        <w:t xml:space="preserve"> chapter 20</w:t>
      </w:r>
    </w:p>
  </w:footnote>
  <w:footnote w:id="20">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ibid</w:t>
      </w:r>
      <w:r w:rsidRPr="008D569A">
        <w:rPr>
          <w:rFonts w:ascii="Arial" w:hAnsi="Arial" w:cs="Arial"/>
          <w:sz w:val="24"/>
          <w:szCs w:val="24"/>
        </w:rPr>
        <w:t xml:space="preserve"> at 440</w:t>
      </w:r>
    </w:p>
  </w:footnote>
  <w:footnote w:id="21">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Pr>
          <w:rFonts w:ascii="Arial" w:hAnsi="Arial" w:cs="Arial"/>
          <w:sz w:val="24"/>
          <w:szCs w:val="24"/>
        </w:rPr>
        <w:t xml:space="preserve"> n 18 above</w:t>
      </w:r>
    </w:p>
  </w:footnote>
  <w:footnote w:id="22">
    <w:p w:rsidR="006456EC" w:rsidRPr="008D569A" w:rsidRDefault="006456EC" w:rsidP="00B839BE">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R</w:t>
      </w:r>
      <w:r>
        <w:rPr>
          <w:rFonts w:ascii="Arial" w:hAnsi="Arial" w:cs="Arial"/>
          <w:sz w:val="24"/>
          <w:szCs w:val="24"/>
        </w:rPr>
        <w:t>.</w:t>
      </w:r>
      <w:r w:rsidRPr="008D569A">
        <w:rPr>
          <w:rFonts w:ascii="Arial" w:hAnsi="Arial" w:cs="Arial"/>
          <w:sz w:val="24"/>
          <w:szCs w:val="24"/>
        </w:rPr>
        <w:t>L</w:t>
      </w:r>
      <w:r>
        <w:rPr>
          <w:rFonts w:ascii="Arial" w:hAnsi="Arial" w:cs="Arial"/>
          <w:sz w:val="24"/>
          <w:szCs w:val="24"/>
        </w:rPr>
        <w:t>.</w:t>
      </w:r>
      <w:r w:rsidRPr="008D569A">
        <w:rPr>
          <w:rFonts w:ascii="Arial" w:hAnsi="Arial" w:cs="Arial"/>
          <w:sz w:val="24"/>
          <w:szCs w:val="24"/>
        </w:rPr>
        <w:t xml:space="preserve"> Schiff, ‘Civil-Military Relations Reconsidered: A Theory of Concordance’ (1995) 22 </w:t>
      </w:r>
      <w:r w:rsidRPr="005A0002">
        <w:rPr>
          <w:rFonts w:ascii="Arial" w:hAnsi="Arial" w:cs="Arial"/>
          <w:i/>
          <w:sz w:val="24"/>
          <w:szCs w:val="24"/>
        </w:rPr>
        <w:t>Armed Forces and Society</w:t>
      </w:r>
      <w:r w:rsidRPr="008D569A">
        <w:rPr>
          <w:rFonts w:ascii="Arial" w:hAnsi="Arial" w:cs="Arial"/>
          <w:sz w:val="24"/>
          <w:szCs w:val="24"/>
        </w:rPr>
        <w:t xml:space="preserve"> 7; R</w:t>
      </w:r>
      <w:r>
        <w:rPr>
          <w:rFonts w:ascii="Arial" w:hAnsi="Arial" w:cs="Arial"/>
          <w:sz w:val="24"/>
          <w:szCs w:val="24"/>
        </w:rPr>
        <w:t>.</w:t>
      </w:r>
      <w:r w:rsidRPr="008D569A">
        <w:rPr>
          <w:rFonts w:ascii="Arial" w:hAnsi="Arial" w:cs="Arial"/>
          <w:sz w:val="24"/>
          <w:szCs w:val="24"/>
        </w:rPr>
        <w:t>L</w:t>
      </w:r>
      <w:r>
        <w:rPr>
          <w:rFonts w:ascii="Arial" w:hAnsi="Arial" w:cs="Arial"/>
          <w:sz w:val="24"/>
          <w:szCs w:val="24"/>
        </w:rPr>
        <w:t>.</w:t>
      </w:r>
      <w:r w:rsidRPr="008D569A">
        <w:rPr>
          <w:rFonts w:ascii="Arial" w:hAnsi="Arial" w:cs="Arial"/>
          <w:sz w:val="24"/>
          <w:szCs w:val="24"/>
        </w:rPr>
        <w:t xml:space="preserve"> Schiff, </w:t>
      </w:r>
      <w:r w:rsidRPr="008D569A">
        <w:rPr>
          <w:rFonts w:ascii="Arial" w:hAnsi="Arial" w:cs="Arial"/>
          <w:i/>
          <w:sz w:val="24"/>
          <w:szCs w:val="24"/>
        </w:rPr>
        <w:t>The Military and Domestic Politics: A Concordance Theory of Civil-Military Relations</w:t>
      </w:r>
      <w:r w:rsidRPr="008D569A">
        <w:rPr>
          <w:rFonts w:ascii="Arial" w:hAnsi="Arial" w:cs="Arial"/>
          <w:sz w:val="24"/>
          <w:szCs w:val="24"/>
        </w:rPr>
        <w:t xml:space="preserve"> (London</w:t>
      </w:r>
      <w:r>
        <w:rPr>
          <w:rFonts w:ascii="Arial" w:hAnsi="Arial" w:cs="Arial"/>
          <w:sz w:val="24"/>
          <w:szCs w:val="24"/>
        </w:rPr>
        <w:t>:</w:t>
      </w:r>
      <w:r w:rsidRPr="008D569A">
        <w:rPr>
          <w:rFonts w:ascii="Arial" w:hAnsi="Arial" w:cs="Arial"/>
          <w:sz w:val="24"/>
          <w:szCs w:val="24"/>
        </w:rPr>
        <w:t xml:space="preserve"> </w:t>
      </w:r>
      <w:r>
        <w:rPr>
          <w:rFonts w:ascii="Arial" w:hAnsi="Arial" w:cs="Arial"/>
          <w:sz w:val="24"/>
          <w:szCs w:val="24"/>
        </w:rPr>
        <w:t>Routledge,</w:t>
      </w:r>
      <w:r w:rsidRPr="008D569A">
        <w:rPr>
          <w:rFonts w:ascii="Arial" w:hAnsi="Arial" w:cs="Arial"/>
          <w:sz w:val="24"/>
          <w:szCs w:val="24"/>
        </w:rPr>
        <w:t xml:space="preserve"> 2009)</w:t>
      </w:r>
    </w:p>
  </w:footnote>
  <w:footnote w:id="23">
    <w:p w:rsidR="006456EC" w:rsidRPr="00C6698E" w:rsidRDefault="006456EC" w:rsidP="00C6698E">
      <w:pPr>
        <w:pStyle w:val="FootnoteText"/>
        <w:jc w:val="both"/>
        <w:rPr>
          <w:rFonts w:ascii="Arial" w:hAnsi="Arial" w:cs="Arial"/>
          <w:sz w:val="24"/>
          <w:szCs w:val="24"/>
        </w:rPr>
      </w:pPr>
      <w:r w:rsidRPr="00C6698E">
        <w:rPr>
          <w:rStyle w:val="FootnoteReference"/>
          <w:rFonts w:ascii="Arial" w:hAnsi="Arial" w:cs="Arial"/>
          <w:sz w:val="24"/>
          <w:szCs w:val="24"/>
        </w:rPr>
        <w:footnoteRef/>
      </w:r>
      <w:r w:rsidRPr="00C6698E">
        <w:rPr>
          <w:rFonts w:ascii="Arial" w:hAnsi="Arial" w:cs="Arial"/>
          <w:sz w:val="24"/>
          <w:szCs w:val="24"/>
        </w:rPr>
        <w:t xml:space="preserve"> </w:t>
      </w:r>
      <w:r>
        <w:rPr>
          <w:rFonts w:ascii="Arial" w:hAnsi="Arial" w:cs="Arial"/>
          <w:sz w:val="24"/>
          <w:szCs w:val="24"/>
        </w:rPr>
        <w:t>n 16 above at</w:t>
      </w:r>
      <w:r w:rsidRPr="00C6698E">
        <w:rPr>
          <w:rFonts w:ascii="Arial" w:hAnsi="Arial" w:cs="Arial"/>
          <w:sz w:val="24"/>
          <w:szCs w:val="24"/>
        </w:rPr>
        <w:t xml:space="preserve"> 7</w:t>
      </w:r>
    </w:p>
  </w:footnote>
  <w:footnote w:id="24">
    <w:p w:rsidR="006456EC" w:rsidRPr="00C6698E" w:rsidRDefault="006456EC" w:rsidP="00C6698E">
      <w:pPr>
        <w:pStyle w:val="FootnoteText"/>
        <w:jc w:val="both"/>
        <w:rPr>
          <w:rFonts w:ascii="Arial" w:hAnsi="Arial" w:cs="Arial"/>
          <w:sz w:val="24"/>
          <w:szCs w:val="24"/>
        </w:rPr>
      </w:pPr>
      <w:r w:rsidRPr="00C6698E">
        <w:rPr>
          <w:rStyle w:val="FootnoteReference"/>
          <w:rFonts w:ascii="Arial" w:hAnsi="Arial" w:cs="Arial"/>
          <w:sz w:val="24"/>
          <w:szCs w:val="24"/>
        </w:rPr>
        <w:footnoteRef/>
      </w:r>
      <w:r>
        <w:rPr>
          <w:rFonts w:ascii="Arial" w:hAnsi="Arial" w:cs="Arial"/>
          <w:sz w:val="24"/>
          <w:szCs w:val="24"/>
        </w:rPr>
        <w:t xml:space="preserve"> ibid</w:t>
      </w:r>
      <w:r w:rsidRPr="00C6698E">
        <w:rPr>
          <w:rFonts w:ascii="Arial" w:hAnsi="Arial" w:cs="Arial"/>
          <w:sz w:val="24"/>
          <w:szCs w:val="24"/>
        </w:rPr>
        <w:t xml:space="preserve"> at 8</w:t>
      </w:r>
    </w:p>
  </w:footnote>
  <w:footnote w:id="25">
    <w:p w:rsidR="006456EC" w:rsidRPr="00C6698E" w:rsidRDefault="006456EC" w:rsidP="00C6698E">
      <w:pPr>
        <w:pStyle w:val="FootnoteText"/>
        <w:jc w:val="both"/>
        <w:rPr>
          <w:rFonts w:ascii="Arial" w:hAnsi="Arial" w:cs="Arial"/>
          <w:sz w:val="24"/>
          <w:szCs w:val="24"/>
        </w:rPr>
      </w:pPr>
      <w:r w:rsidRPr="00C6698E">
        <w:rPr>
          <w:rStyle w:val="FootnoteReference"/>
          <w:rFonts w:ascii="Arial" w:hAnsi="Arial" w:cs="Arial"/>
          <w:sz w:val="24"/>
          <w:szCs w:val="24"/>
        </w:rPr>
        <w:footnoteRef/>
      </w:r>
      <w:r>
        <w:rPr>
          <w:rFonts w:ascii="Arial" w:hAnsi="Arial" w:cs="Arial"/>
          <w:sz w:val="24"/>
          <w:szCs w:val="24"/>
        </w:rPr>
        <w:t xml:space="preserve"> i</w:t>
      </w:r>
      <w:r w:rsidRPr="00C6698E">
        <w:rPr>
          <w:rFonts w:ascii="Arial" w:hAnsi="Arial" w:cs="Arial"/>
          <w:sz w:val="24"/>
          <w:szCs w:val="24"/>
        </w:rPr>
        <w:t>bid</w:t>
      </w:r>
    </w:p>
  </w:footnote>
  <w:footnote w:id="26">
    <w:p w:rsidR="006456EC" w:rsidRDefault="006456EC" w:rsidP="00C6698E">
      <w:pPr>
        <w:pStyle w:val="FootnoteText"/>
        <w:jc w:val="both"/>
      </w:pPr>
      <w:r w:rsidRPr="00C6698E">
        <w:rPr>
          <w:rStyle w:val="FootnoteReference"/>
          <w:rFonts w:ascii="Arial" w:hAnsi="Arial" w:cs="Arial"/>
          <w:sz w:val="24"/>
          <w:szCs w:val="24"/>
        </w:rPr>
        <w:footnoteRef/>
      </w:r>
      <w:r>
        <w:rPr>
          <w:rFonts w:ascii="Arial" w:hAnsi="Arial" w:cs="Arial"/>
          <w:sz w:val="24"/>
          <w:szCs w:val="24"/>
        </w:rPr>
        <w:t xml:space="preserve"> ibid</w:t>
      </w:r>
      <w:r w:rsidRPr="00C6698E">
        <w:rPr>
          <w:rFonts w:ascii="Arial" w:hAnsi="Arial" w:cs="Arial"/>
          <w:sz w:val="24"/>
          <w:szCs w:val="24"/>
        </w:rPr>
        <w:t xml:space="preserve"> at 23</w:t>
      </w:r>
    </w:p>
  </w:footnote>
  <w:footnote w:id="27">
    <w:p w:rsidR="006456EC" w:rsidRPr="00B34E80" w:rsidRDefault="006456EC" w:rsidP="00B839BE">
      <w:pPr>
        <w:pStyle w:val="FootnoteText"/>
        <w:jc w:val="both"/>
        <w:rPr>
          <w:rFonts w:ascii="Arial" w:hAnsi="Arial" w:cs="Arial"/>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J</w:t>
      </w:r>
      <w:r>
        <w:rPr>
          <w:rFonts w:ascii="Arial" w:hAnsi="Arial" w:cs="Arial"/>
          <w:sz w:val="24"/>
          <w:szCs w:val="24"/>
        </w:rPr>
        <w:t>.</w:t>
      </w:r>
      <w:r w:rsidRPr="00B34E80">
        <w:rPr>
          <w:rFonts w:ascii="Arial" w:hAnsi="Arial" w:cs="Arial"/>
          <w:sz w:val="24"/>
          <w:szCs w:val="24"/>
        </w:rPr>
        <w:t xml:space="preserve"> Woo, ‘Administration of War’ (2009) 58 </w:t>
      </w:r>
      <w:r w:rsidRPr="005A0002">
        <w:rPr>
          <w:rFonts w:ascii="Arial" w:hAnsi="Arial" w:cs="Arial"/>
          <w:i/>
          <w:sz w:val="24"/>
          <w:szCs w:val="24"/>
        </w:rPr>
        <w:t>Duke Law Journal</w:t>
      </w:r>
      <w:r w:rsidRPr="00B34E80">
        <w:rPr>
          <w:rFonts w:ascii="Arial" w:hAnsi="Arial" w:cs="Arial"/>
          <w:sz w:val="24"/>
          <w:szCs w:val="24"/>
        </w:rPr>
        <w:t xml:space="preserve"> 2277</w:t>
      </w:r>
    </w:p>
  </w:footnote>
  <w:footnote w:id="28">
    <w:p w:rsidR="006456EC" w:rsidRPr="00B34E80" w:rsidRDefault="006456EC" w:rsidP="00B839BE">
      <w:pPr>
        <w:pStyle w:val="FootnoteText"/>
        <w:jc w:val="both"/>
        <w:rPr>
          <w:rFonts w:ascii="Arial" w:hAnsi="Arial" w:cs="Arial"/>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w:t>
      </w:r>
      <w:r>
        <w:rPr>
          <w:rFonts w:ascii="Arial" w:hAnsi="Arial" w:cs="Arial"/>
          <w:sz w:val="24"/>
          <w:szCs w:val="24"/>
        </w:rPr>
        <w:t>n 2 above</w:t>
      </w:r>
    </w:p>
  </w:footnote>
  <w:footnote w:id="29">
    <w:p w:rsidR="006456EC" w:rsidRPr="00E337C0" w:rsidRDefault="006456EC" w:rsidP="00E337C0">
      <w:pPr>
        <w:pStyle w:val="FootnoteText"/>
        <w:jc w:val="both"/>
        <w:rPr>
          <w:sz w:val="24"/>
          <w:szCs w:val="24"/>
        </w:rPr>
      </w:pPr>
      <w:r w:rsidRPr="00E337C0">
        <w:rPr>
          <w:rStyle w:val="FootnoteReference"/>
          <w:rFonts w:ascii="Arial" w:hAnsi="Arial" w:cs="Arial"/>
          <w:sz w:val="24"/>
          <w:szCs w:val="24"/>
        </w:rPr>
        <w:footnoteRef/>
      </w:r>
      <w:r w:rsidRPr="00E337C0">
        <w:rPr>
          <w:rFonts w:ascii="Arial" w:hAnsi="Arial" w:cs="Arial"/>
          <w:sz w:val="24"/>
          <w:szCs w:val="24"/>
        </w:rPr>
        <w:t xml:space="preserve"> C</w:t>
      </w:r>
      <w:r>
        <w:rPr>
          <w:rFonts w:ascii="Arial" w:hAnsi="Arial" w:cs="Arial"/>
          <w:sz w:val="24"/>
          <w:szCs w:val="24"/>
        </w:rPr>
        <w:t>.</w:t>
      </w:r>
      <w:r w:rsidRPr="00E337C0">
        <w:rPr>
          <w:rFonts w:ascii="Arial" w:hAnsi="Arial" w:cs="Arial"/>
          <w:sz w:val="24"/>
          <w:szCs w:val="24"/>
        </w:rPr>
        <w:t xml:space="preserve"> von Clausewitz (Edited &amp; Translated by M</w:t>
      </w:r>
      <w:r>
        <w:rPr>
          <w:rFonts w:ascii="Arial" w:hAnsi="Arial" w:cs="Arial"/>
          <w:sz w:val="24"/>
          <w:szCs w:val="24"/>
        </w:rPr>
        <w:t>.</w:t>
      </w:r>
      <w:r w:rsidRPr="00E337C0">
        <w:rPr>
          <w:rFonts w:ascii="Arial" w:hAnsi="Arial" w:cs="Arial"/>
          <w:sz w:val="24"/>
          <w:szCs w:val="24"/>
        </w:rPr>
        <w:t xml:space="preserve"> Howard &amp; P</w:t>
      </w:r>
      <w:r>
        <w:rPr>
          <w:rFonts w:ascii="Arial" w:hAnsi="Arial" w:cs="Arial"/>
          <w:sz w:val="24"/>
          <w:szCs w:val="24"/>
        </w:rPr>
        <w:t>.</w:t>
      </w:r>
      <w:r w:rsidRPr="00E337C0">
        <w:rPr>
          <w:rFonts w:ascii="Arial" w:hAnsi="Arial" w:cs="Arial"/>
          <w:sz w:val="24"/>
          <w:szCs w:val="24"/>
        </w:rPr>
        <w:t xml:space="preserve"> </w:t>
      </w:r>
      <w:proofErr w:type="spellStart"/>
      <w:r w:rsidRPr="00E337C0">
        <w:rPr>
          <w:rFonts w:ascii="Arial" w:hAnsi="Arial" w:cs="Arial"/>
          <w:sz w:val="24"/>
          <w:szCs w:val="24"/>
        </w:rPr>
        <w:t>Paret</w:t>
      </w:r>
      <w:proofErr w:type="spellEnd"/>
      <w:r w:rsidRPr="00E337C0">
        <w:rPr>
          <w:rFonts w:ascii="Arial" w:hAnsi="Arial" w:cs="Arial"/>
          <w:sz w:val="24"/>
          <w:szCs w:val="24"/>
        </w:rPr>
        <w:t xml:space="preserve">), </w:t>
      </w:r>
      <w:r w:rsidRPr="00E337C0">
        <w:rPr>
          <w:rFonts w:ascii="Arial" w:hAnsi="Arial" w:cs="Arial"/>
          <w:i/>
          <w:sz w:val="24"/>
          <w:szCs w:val="24"/>
        </w:rPr>
        <w:t>On War</w:t>
      </w:r>
      <w:r w:rsidRPr="00E337C0">
        <w:rPr>
          <w:rFonts w:ascii="Arial" w:hAnsi="Arial" w:cs="Arial"/>
          <w:sz w:val="24"/>
          <w:szCs w:val="24"/>
        </w:rPr>
        <w:t xml:space="preserve"> (Princeton</w:t>
      </w:r>
      <w:r>
        <w:rPr>
          <w:rFonts w:ascii="Arial" w:hAnsi="Arial" w:cs="Arial"/>
          <w:sz w:val="24"/>
          <w:szCs w:val="24"/>
        </w:rPr>
        <w:t>:</w:t>
      </w:r>
      <w:r w:rsidRPr="00E337C0">
        <w:rPr>
          <w:rFonts w:ascii="Arial" w:hAnsi="Arial" w:cs="Arial"/>
          <w:sz w:val="24"/>
          <w:szCs w:val="24"/>
        </w:rPr>
        <w:t xml:space="preserve"> </w:t>
      </w:r>
      <w:r>
        <w:rPr>
          <w:rFonts w:ascii="Arial" w:hAnsi="Arial" w:cs="Arial"/>
          <w:sz w:val="24"/>
          <w:szCs w:val="24"/>
        </w:rPr>
        <w:t>Princeton University Press,</w:t>
      </w:r>
      <w:r w:rsidRPr="00E337C0">
        <w:rPr>
          <w:rFonts w:ascii="Arial" w:hAnsi="Arial" w:cs="Arial"/>
          <w:sz w:val="24"/>
          <w:szCs w:val="24"/>
        </w:rPr>
        <w:t xml:space="preserve"> 1976) 87</w:t>
      </w:r>
    </w:p>
  </w:footnote>
  <w:footnote w:id="30">
    <w:p w:rsidR="006456EC" w:rsidRPr="00E337C0" w:rsidRDefault="006456EC" w:rsidP="00E337C0">
      <w:pPr>
        <w:pStyle w:val="FootnoteText"/>
        <w:jc w:val="both"/>
        <w:rPr>
          <w:rFonts w:ascii="Arial" w:hAnsi="Arial" w:cs="Arial"/>
          <w:sz w:val="24"/>
          <w:szCs w:val="24"/>
        </w:rPr>
      </w:pPr>
      <w:r w:rsidRPr="00E337C0">
        <w:rPr>
          <w:rStyle w:val="FootnoteReference"/>
          <w:rFonts w:ascii="Arial" w:hAnsi="Arial" w:cs="Arial"/>
          <w:sz w:val="24"/>
          <w:szCs w:val="24"/>
        </w:rPr>
        <w:footnoteRef/>
      </w:r>
      <w:r w:rsidRPr="00E337C0">
        <w:rPr>
          <w:rFonts w:ascii="Arial" w:hAnsi="Arial" w:cs="Arial"/>
          <w:sz w:val="24"/>
          <w:szCs w:val="24"/>
        </w:rPr>
        <w:t xml:space="preserve"> D</w:t>
      </w:r>
      <w:r>
        <w:rPr>
          <w:rFonts w:ascii="Arial" w:hAnsi="Arial" w:cs="Arial"/>
          <w:sz w:val="24"/>
          <w:szCs w:val="24"/>
        </w:rPr>
        <w:t>.</w:t>
      </w:r>
      <w:r w:rsidRPr="00E337C0">
        <w:rPr>
          <w:rFonts w:ascii="Arial" w:hAnsi="Arial" w:cs="Arial"/>
          <w:sz w:val="24"/>
          <w:szCs w:val="24"/>
        </w:rPr>
        <w:t xml:space="preserve"> Held, </w:t>
      </w:r>
      <w:r w:rsidRPr="00E337C0">
        <w:rPr>
          <w:rFonts w:ascii="Arial" w:hAnsi="Arial" w:cs="Arial"/>
          <w:i/>
          <w:sz w:val="24"/>
          <w:szCs w:val="24"/>
        </w:rPr>
        <w:t>Models of Democracy</w:t>
      </w:r>
      <w:r w:rsidRPr="00E337C0">
        <w:rPr>
          <w:rFonts w:ascii="Arial" w:hAnsi="Arial" w:cs="Arial"/>
          <w:sz w:val="24"/>
          <w:szCs w:val="24"/>
        </w:rPr>
        <w:t xml:space="preserve"> (London</w:t>
      </w:r>
      <w:r>
        <w:rPr>
          <w:rFonts w:ascii="Arial" w:hAnsi="Arial" w:cs="Arial"/>
          <w:sz w:val="24"/>
          <w:szCs w:val="24"/>
        </w:rPr>
        <w:t>:</w:t>
      </w:r>
      <w:r w:rsidRPr="00E337C0">
        <w:rPr>
          <w:rFonts w:ascii="Arial" w:hAnsi="Arial" w:cs="Arial"/>
          <w:sz w:val="24"/>
          <w:szCs w:val="24"/>
        </w:rPr>
        <w:t xml:space="preserve"> Polity, 2</w:t>
      </w:r>
      <w:r w:rsidRPr="00E337C0">
        <w:rPr>
          <w:rFonts w:ascii="Arial" w:hAnsi="Arial" w:cs="Arial"/>
          <w:sz w:val="24"/>
          <w:szCs w:val="24"/>
          <w:vertAlign w:val="superscript"/>
        </w:rPr>
        <w:t>nd</w:t>
      </w:r>
      <w:r>
        <w:rPr>
          <w:rFonts w:ascii="Arial" w:hAnsi="Arial" w:cs="Arial"/>
          <w:sz w:val="24"/>
          <w:szCs w:val="24"/>
        </w:rPr>
        <w:t xml:space="preserve"> ed,</w:t>
      </w:r>
      <w:r w:rsidRPr="00E337C0">
        <w:rPr>
          <w:rFonts w:ascii="Arial" w:hAnsi="Arial" w:cs="Arial"/>
          <w:sz w:val="24"/>
          <w:szCs w:val="24"/>
        </w:rPr>
        <w:t>1996) 309</w:t>
      </w:r>
    </w:p>
  </w:footnote>
  <w:footnote w:id="31">
    <w:p w:rsidR="006456EC" w:rsidRPr="00F56165" w:rsidRDefault="006456EC" w:rsidP="00E337C0">
      <w:pPr>
        <w:pStyle w:val="FootnoteText"/>
        <w:jc w:val="both"/>
        <w:rPr>
          <w:rFonts w:ascii="Arial" w:hAnsi="Arial" w:cs="Arial"/>
        </w:rPr>
      </w:pPr>
      <w:r w:rsidRPr="00E337C0">
        <w:rPr>
          <w:rStyle w:val="FootnoteReference"/>
          <w:rFonts w:ascii="Arial" w:hAnsi="Arial" w:cs="Arial"/>
          <w:sz w:val="24"/>
          <w:szCs w:val="24"/>
        </w:rPr>
        <w:footnoteRef/>
      </w:r>
      <w:r w:rsidRPr="00E337C0">
        <w:rPr>
          <w:rFonts w:ascii="Arial" w:hAnsi="Arial" w:cs="Arial"/>
          <w:sz w:val="24"/>
          <w:szCs w:val="24"/>
        </w:rPr>
        <w:t xml:space="preserve"> L</w:t>
      </w:r>
      <w:r>
        <w:rPr>
          <w:rFonts w:ascii="Arial" w:hAnsi="Arial" w:cs="Arial"/>
          <w:sz w:val="24"/>
          <w:szCs w:val="24"/>
        </w:rPr>
        <w:t>.</w:t>
      </w:r>
      <w:r w:rsidRPr="00E337C0">
        <w:rPr>
          <w:rFonts w:ascii="Arial" w:hAnsi="Arial" w:cs="Arial"/>
          <w:sz w:val="24"/>
          <w:szCs w:val="24"/>
        </w:rPr>
        <w:t>L</w:t>
      </w:r>
      <w:r>
        <w:rPr>
          <w:rFonts w:ascii="Arial" w:hAnsi="Arial" w:cs="Arial"/>
          <w:sz w:val="24"/>
          <w:szCs w:val="24"/>
        </w:rPr>
        <w:t>.</w:t>
      </w:r>
      <w:r w:rsidRPr="00E337C0">
        <w:rPr>
          <w:rFonts w:ascii="Arial" w:hAnsi="Arial" w:cs="Arial"/>
          <w:sz w:val="24"/>
          <w:szCs w:val="24"/>
        </w:rPr>
        <w:t xml:space="preserve"> Fuller, </w:t>
      </w:r>
      <w:r w:rsidRPr="00E337C0">
        <w:rPr>
          <w:rFonts w:ascii="Arial" w:hAnsi="Arial" w:cs="Arial"/>
          <w:i/>
          <w:sz w:val="24"/>
          <w:szCs w:val="24"/>
        </w:rPr>
        <w:t>The Morality of Law</w:t>
      </w:r>
      <w:r w:rsidRPr="00E337C0">
        <w:rPr>
          <w:rFonts w:ascii="Arial" w:hAnsi="Arial" w:cs="Arial"/>
          <w:sz w:val="24"/>
          <w:szCs w:val="24"/>
        </w:rPr>
        <w:t xml:space="preserve"> (New Haven</w:t>
      </w:r>
      <w:r>
        <w:rPr>
          <w:rFonts w:ascii="Arial" w:hAnsi="Arial" w:cs="Arial"/>
          <w:sz w:val="24"/>
          <w:szCs w:val="24"/>
        </w:rPr>
        <w:t>:</w:t>
      </w:r>
      <w:r w:rsidRPr="00E337C0">
        <w:rPr>
          <w:rFonts w:ascii="Arial" w:hAnsi="Arial" w:cs="Arial"/>
          <w:sz w:val="24"/>
          <w:szCs w:val="24"/>
        </w:rPr>
        <w:t xml:space="preserve"> Yale University Press, 1969) 96</w:t>
      </w:r>
    </w:p>
  </w:footnote>
  <w:footnote w:id="32">
    <w:p w:rsidR="006456EC" w:rsidRPr="00E337C0" w:rsidRDefault="006456EC" w:rsidP="00E337C0">
      <w:pPr>
        <w:pStyle w:val="FootnoteText"/>
        <w:jc w:val="both"/>
        <w:rPr>
          <w:rFonts w:ascii="Arial" w:hAnsi="Arial" w:cs="Arial"/>
          <w:sz w:val="24"/>
          <w:szCs w:val="24"/>
        </w:rPr>
      </w:pPr>
      <w:r w:rsidRPr="00E337C0">
        <w:rPr>
          <w:rStyle w:val="FootnoteReference"/>
          <w:rFonts w:ascii="Arial" w:hAnsi="Arial" w:cs="Arial"/>
          <w:sz w:val="24"/>
          <w:szCs w:val="24"/>
        </w:rPr>
        <w:footnoteRef/>
      </w:r>
      <w:r w:rsidRPr="00E337C0">
        <w:rPr>
          <w:rFonts w:ascii="Arial" w:hAnsi="Arial" w:cs="Arial"/>
          <w:sz w:val="24"/>
          <w:szCs w:val="24"/>
        </w:rPr>
        <w:t xml:space="preserve"> D</w:t>
      </w:r>
      <w:r>
        <w:rPr>
          <w:rFonts w:ascii="Arial" w:hAnsi="Arial" w:cs="Arial"/>
          <w:sz w:val="24"/>
          <w:szCs w:val="24"/>
        </w:rPr>
        <w:t>.</w:t>
      </w:r>
      <w:r w:rsidRPr="00E337C0">
        <w:rPr>
          <w:rFonts w:ascii="Arial" w:hAnsi="Arial" w:cs="Arial"/>
          <w:sz w:val="24"/>
          <w:szCs w:val="24"/>
        </w:rPr>
        <w:t xml:space="preserve"> Beyleveld, R</w:t>
      </w:r>
      <w:r>
        <w:rPr>
          <w:rFonts w:ascii="Arial" w:hAnsi="Arial" w:cs="Arial"/>
          <w:sz w:val="24"/>
          <w:szCs w:val="24"/>
        </w:rPr>
        <w:t>.</w:t>
      </w:r>
      <w:r w:rsidRPr="00E337C0">
        <w:rPr>
          <w:rFonts w:ascii="Arial" w:hAnsi="Arial" w:cs="Arial"/>
          <w:sz w:val="24"/>
          <w:szCs w:val="24"/>
        </w:rPr>
        <w:t xml:space="preserve"> Brownsword, </w:t>
      </w:r>
      <w:r w:rsidRPr="00E337C0">
        <w:rPr>
          <w:rFonts w:ascii="Arial" w:hAnsi="Arial" w:cs="Arial"/>
          <w:i/>
          <w:sz w:val="24"/>
          <w:szCs w:val="24"/>
        </w:rPr>
        <w:t>Law as a Moral Judgment</w:t>
      </w:r>
      <w:r w:rsidRPr="00E337C0">
        <w:rPr>
          <w:rFonts w:ascii="Arial" w:hAnsi="Arial" w:cs="Arial"/>
          <w:sz w:val="24"/>
          <w:szCs w:val="24"/>
        </w:rPr>
        <w:t xml:space="preserve"> (London</w:t>
      </w:r>
      <w:r>
        <w:rPr>
          <w:rFonts w:ascii="Arial" w:hAnsi="Arial" w:cs="Arial"/>
          <w:sz w:val="24"/>
          <w:szCs w:val="24"/>
        </w:rPr>
        <w:t>:</w:t>
      </w:r>
      <w:r w:rsidRPr="00E337C0">
        <w:rPr>
          <w:rFonts w:ascii="Arial" w:hAnsi="Arial" w:cs="Arial"/>
          <w:sz w:val="24"/>
          <w:szCs w:val="24"/>
        </w:rPr>
        <w:t xml:space="preserve"> Sweet &amp; Maxwell, 1986) 2</w:t>
      </w:r>
    </w:p>
  </w:footnote>
  <w:footnote w:id="33">
    <w:p w:rsidR="006456EC" w:rsidRPr="005A7289" w:rsidRDefault="006456EC" w:rsidP="001E4D8D">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P</w:t>
      </w:r>
      <w:r>
        <w:rPr>
          <w:rFonts w:ascii="Arial" w:hAnsi="Arial" w:cs="Arial"/>
          <w:sz w:val="24"/>
          <w:szCs w:val="24"/>
        </w:rPr>
        <w:t>.</w:t>
      </w:r>
      <w:r w:rsidRPr="005A7289">
        <w:rPr>
          <w:rFonts w:ascii="Arial" w:hAnsi="Arial" w:cs="Arial"/>
          <w:sz w:val="24"/>
          <w:szCs w:val="24"/>
        </w:rPr>
        <w:t xml:space="preserve"> Westen, ‘The Empty Idea o</w:t>
      </w:r>
      <w:r>
        <w:rPr>
          <w:rFonts w:ascii="Arial" w:hAnsi="Arial" w:cs="Arial"/>
          <w:sz w:val="24"/>
          <w:szCs w:val="24"/>
        </w:rPr>
        <w:t>f Equality’ (1982) 95 HLR 537 and also s</w:t>
      </w:r>
      <w:r w:rsidRPr="005A7289">
        <w:rPr>
          <w:rFonts w:ascii="Arial" w:hAnsi="Arial" w:cs="Arial"/>
          <w:sz w:val="24"/>
          <w:szCs w:val="24"/>
        </w:rPr>
        <w:t>ee C</w:t>
      </w:r>
      <w:r>
        <w:rPr>
          <w:rFonts w:ascii="Arial" w:hAnsi="Arial" w:cs="Arial"/>
          <w:sz w:val="24"/>
          <w:szCs w:val="24"/>
        </w:rPr>
        <w:t>.</w:t>
      </w:r>
      <w:r w:rsidRPr="005A7289">
        <w:rPr>
          <w:rFonts w:ascii="Arial" w:hAnsi="Arial" w:cs="Arial"/>
          <w:sz w:val="24"/>
          <w:szCs w:val="24"/>
        </w:rPr>
        <w:t>J</w:t>
      </w:r>
      <w:r>
        <w:rPr>
          <w:rFonts w:ascii="Arial" w:hAnsi="Arial" w:cs="Arial"/>
          <w:sz w:val="24"/>
          <w:szCs w:val="24"/>
        </w:rPr>
        <w:t>.</w:t>
      </w:r>
      <w:r w:rsidRPr="005A7289">
        <w:rPr>
          <w:rFonts w:ascii="Arial" w:hAnsi="Arial" w:cs="Arial"/>
          <w:sz w:val="24"/>
          <w:szCs w:val="24"/>
        </w:rPr>
        <w:t xml:space="preserve"> Peters, ‘Equality Revisited’ (1997) 110 HLR 1211</w:t>
      </w:r>
      <w:r>
        <w:rPr>
          <w:rFonts w:ascii="Arial" w:hAnsi="Arial" w:cs="Arial"/>
          <w:sz w:val="24"/>
          <w:szCs w:val="24"/>
        </w:rPr>
        <w:t xml:space="preserve">. For criticism of </w:t>
      </w:r>
      <w:proofErr w:type="spellStart"/>
      <w:r>
        <w:rPr>
          <w:rFonts w:ascii="Arial" w:hAnsi="Arial" w:cs="Arial"/>
          <w:sz w:val="24"/>
          <w:szCs w:val="24"/>
        </w:rPr>
        <w:t>Westen’s</w:t>
      </w:r>
      <w:proofErr w:type="spellEnd"/>
      <w:r>
        <w:rPr>
          <w:rFonts w:ascii="Arial" w:hAnsi="Arial" w:cs="Arial"/>
          <w:sz w:val="24"/>
          <w:szCs w:val="24"/>
        </w:rPr>
        <w:t xml:space="preserve"> position see </w:t>
      </w:r>
      <w:r w:rsidRPr="005A7289">
        <w:rPr>
          <w:rFonts w:ascii="Arial" w:hAnsi="Arial" w:cs="Arial"/>
          <w:sz w:val="24"/>
          <w:szCs w:val="24"/>
        </w:rPr>
        <w:t>K</w:t>
      </w:r>
      <w:r>
        <w:rPr>
          <w:rFonts w:ascii="Arial" w:hAnsi="Arial" w:cs="Arial"/>
          <w:sz w:val="24"/>
          <w:szCs w:val="24"/>
        </w:rPr>
        <w:t>.</w:t>
      </w:r>
      <w:r w:rsidRPr="005A7289">
        <w:rPr>
          <w:rFonts w:ascii="Arial" w:hAnsi="Arial" w:cs="Arial"/>
          <w:sz w:val="24"/>
          <w:szCs w:val="24"/>
        </w:rPr>
        <w:t>W</w:t>
      </w:r>
      <w:r>
        <w:rPr>
          <w:rFonts w:ascii="Arial" w:hAnsi="Arial" w:cs="Arial"/>
          <w:sz w:val="24"/>
          <w:szCs w:val="24"/>
        </w:rPr>
        <w:t>.</w:t>
      </w:r>
      <w:r w:rsidRPr="005A7289">
        <w:rPr>
          <w:rFonts w:ascii="Arial" w:hAnsi="Arial" w:cs="Arial"/>
          <w:sz w:val="24"/>
          <w:szCs w:val="24"/>
        </w:rPr>
        <w:t xml:space="preserve"> Simons, ‘Equality as a Comparative Right’ (1985) 65 </w:t>
      </w:r>
      <w:r w:rsidRPr="005A0002">
        <w:rPr>
          <w:rFonts w:ascii="Arial" w:hAnsi="Arial" w:cs="Arial"/>
          <w:i/>
          <w:sz w:val="24"/>
          <w:szCs w:val="24"/>
        </w:rPr>
        <w:t>Boston University Law Review</w:t>
      </w:r>
      <w:r w:rsidRPr="005A7289">
        <w:rPr>
          <w:rFonts w:ascii="Arial" w:hAnsi="Arial" w:cs="Arial"/>
          <w:sz w:val="24"/>
          <w:szCs w:val="24"/>
        </w:rPr>
        <w:t xml:space="preserve"> 3</w:t>
      </w:r>
      <w:r>
        <w:rPr>
          <w:rFonts w:ascii="Arial" w:hAnsi="Arial" w:cs="Arial"/>
          <w:sz w:val="24"/>
          <w:szCs w:val="24"/>
        </w:rPr>
        <w:t>87,</w:t>
      </w:r>
      <w:r w:rsidRPr="005A7289">
        <w:rPr>
          <w:rFonts w:ascii="Arial" w:hAnsi="Arial" w:cs="Arial"/>
          <w:sz w:val="24"/>
          <w:szCs w:val="24"/>
        </w:rPr>
        <w:t xml:space="preserve"> K</w:t>
      </w:r>
      <w:r>
        <w:rPr>
          <w:rFonts w:ascii="Arial" w:hAnsi="Arial" w:cs="Arial"/>
          <w:sz w:val="24"/>
          <w:szCs w:val="24"/>
        </w:rPr>
        <w:t>.</w:t>
      </w:r>
      <w:r w:rsidRPr="005A7289">
        <w:rPr>
          <w:rFonts w:ascii="Arial" w:hAnsi="Arial" w:cs="Arial"/>
          <w:sz w:val="24"/>
          <w:szCs w:val="24"/>
        </w:rPr>
        <w:t>L</w:t>
      </w:r>
      <w:r>
        <w:rPr>
          <w:rFonts w:ascii="Arial" w:hAnsi="Arial" w:cs="Arial"/>
          <w:sz w:val="24"/>
          <w:szCs w:val="24"/>
        </w:rPr>
        <w:t>.</w:t>
      </w:r>
      <w:r w:rsidRPr="005A7289">
        <w:rPr>
          <w:rFonts w:ascii="Arial" w:hAnsi="Arial" w:cs="Arial"/>
          <w:sz w:val="24"/>
          <w:szCs w:val="24"/>
        </w:rPr>
        <w:t xml:space="preserve"> Karst, ‘Why Equality Matters’ (1983) 17 </w:t>
      </w:r>
      <w:r w:rsidRPr="005A0002">
        <w:rPr>
          <w:rFonts w:ascii="Arial" w:hAnsi="Arial" w:cs="Arial"/>
          <w:i/>
          <w:sz w:val="24"/>
          <w:szCs w:val="24"/>
        </w:rPr>
        <w:t>Georgia Law Review</w:t>
      </w:r>
      <w:r w:rsidRPr="005A7289">
        <w:rPr>
          <w:rFonts w:ascii="Arial" w:hAnsi="Arial" w:cs="Arial"/>
          <w:sz w:val="24"/>
          <w:szCs w:val="24"/>
        </w:rPr>
        <w:t xml:space="preserve"> 245 and K</w:t>
      </w:r>
      <w:r>
        <w:rPr>
          <w:rFonts w:ascii="Arial" w:hAnsi="Arial" w:cs="Arial"/>
          <w:sz w:val="24"/>
          <w:szCs w:val="24"/>
        </w:rPr>
        <w:t>.</w:t>
      </w:r>
      <w:r w:rsidRPr="005A7289">
        <w:rPr>
          <w:rFonts w:ascii="Arial" w:hAnsi="Arial" w:cs="Arial"/>
          <w:sz w:val="24"/>
          <w:szCs w:val="24"/>
        </w:rPr>
        <w:t xml:space="preserve"> Greenawalt, ‘How Empty is the Idea of Equality?’ (1983) 83 </w:t>
      </w:r>
      <w:r w:rsidRPr="005A0002">
        <w:rPr>
          <w:rFonts w:ascii="Arial" w:hAnsi="Arial" w:cs="Arial"/>
          <w:i/>
          <w:sz w:val="24"/>
          <w:szCs w:val="24"/>
        </w:rPr>
        <w:t>Columbia Law Review</w:t>
      </w:r>
      <w:r w:rsidRPr="005A7289">
        <w:rPr>
          <w:rFonts w:ascii="Arial" w:hAnsi="Arial" w:cs="Arial"/>
          <w:sz w:val="24"/>
          <w:szCs w:val="24"/>
        </w:rPr>
        <w:t xml:space="preserve"> 1167</w:t>
      </w:r>
    </w:p>
  </w:footnote>
  <w:footnote w:id="34">
    <w:p w:rsidR="006456EC" w:rsidRPr="005A7289" w:rsidRDefault="006456EC" w:rsidP="001E4D8D">
      <w:pPr>
        <w:pStyle w:val="FootnoteText"/>
        <w:jc w:val="both"/>
        <w:rPr>
          <w:rFonts w:ascii="Arial" w:hAnsi="Arial" w:cs="Arial"/>
          <w:sz w:val="24"/>
          <w:szCs w:val="24"/>
        </w:rPr>
      </w:pPr>
      <w:r w:rsidRPr="005A7289">
        <w:rPr>
          <w:rStyle w:val="FootnoteReference"/>
          <w:rFonts w:ascii="Arial" w:hAnsi="Arial" w:cs="Arial"/>
          <w:sz w:val="24"/>
          <w:szCs w:val="24"/>
        </w:rPr>
        <w:footnoteRef/>
      </w:r>
      <w:r>
        <w:rPr>
          <w:rFonts w:ascii="Arial" w:hAnsi="Arial" w:cs="Arial"/>
          <w:sz w:val="24"/>
          <w:szCs w:val="24"/>
        </w:rPr>
        <w:t xml:space="preserve"> n </w:t>
      </w:r>
      <w:r w:rsidRPr="005A7289">
        <w:rPr>
          <w:rFonts w:ascii="Arial" w:hAnsi="Arial" w:cs="Arial"/>
          <w:sz w:val="24"/>
          <w:szCs w:val="24"/>
        </w:rPr>
        <w:t>3</w:t>
      </w:r>
      <w:r>
        <w:rPr>
          <w:rFonts w:ascii="Arial" w:hAnsi="Arial" w:cs="Arial"/>
          <w:sz w:val="24"/>
          <w:szCs w:val="24"/>
        </w:rPr>
        <w:t>3 above</w:t>
      </w:r>
      <w:r w:rsidRPr="005A7289">
        <w:rPr>
          <w:rFonts w:ascii="Arial" w:hAnsi="Arial" w:cs="Arial"/>
          <w:sz w:val="24"/>
          <w:szCs w:val="24"/>
        </w:rPr>
        <w:t xml:space="preserve"> at 547</w:t>
      </w:r>
    </w:p>
  </w:footnote>
  <w:footnote w:id="35">
    <w:p w:rsidR="006456EC" w:rsidRPr="005A7289" w:rsidRDefault="006456EC" w:rsidP="001E4D8D">
      <w:pPr>
        <w:pStyle w:val="FootnoteText"/>
        <w:jc w:val="both"/>
        <w:rPr>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C</w:t>
      </w:r>
      <w:r>
        <w:rPr>
          <w:rFonts w:ascii="Arial" w:hAnsi="Arial" w:cs="Arial"/>
          <w:sz w:val="24"/>
          <w:szCs w:val="24"/>
        </w:rPr>
        <w:t>.</w:t>
      </w:r>
      <w:r w:rsidRPr="005A7289">
        <w:rPr>
          <w:rFonts w:ascii="Arial" w:hAnsi="Arial" w:cs="Arial"/>
          <w:sz w:val="24"/>
          <w:szCs w:val="24"/>
        </w:rPr>
        <w:t xml:space="preserve"> Barnard, ‘</w:t>
      </w:r>
      <w:proofErr w:type="gramStart"/>
      <w:r w:rsidRPr="005A7289">
        <w:rPr>
          <w:rFonts w:ascii="Arial" w:hAnsi="Arial" w:cs="Arial"/>
          <w:sz w:val="24"/>
          <w:szCs w:val="24"/>
        </w:rPr>
        <w:t>The</w:t>
      </w:r>
      <w:proofErr w:type="gramEnd"/>
      <w:r w:rsidRPr="005A7289">
        <w:rPr>
          <w:rFonts w:ascii="Arial" w:hAnsi="Arial" w:cs="Arial"/>
          <w:sz w:val="24"/>
          <w:szCs w:val="24"/>
        </w:rPr>
        <w:t xml:space="preserve"> Principle of Equality in the Community Context: P, Grant, Kalanke and Marschall: Four Uneasy Bedfellows?’ (19</w:t>
      </w:r>
      <w:r>
        <w:rPr>
          <w:rFonts w:ascii="Arial" w:hAnsi="Arial" w:cs="Arial"/>
          <w:sz w:val="24"/>
          <w:szCs w:val="24"/>
        </w:rPr>
        <w:t>9</w:t>
      </w:r>
      <w:r w:rsidRPr="005A7289">
        <w:rPr>
          <w:rFonts w:ascii="Arial" w:hAnsi="Arial" w:cs="Arial"/>
          <w:sz w:val="24"/>
          <w:szCs w:val="24"/>
        </w:rPr>
        <w:t>8) 57 CLJ 352; C</w:t>
      </w:r>
      <w:r>
        <w:rPr>
          <w:rFonts w:ascii="Arial" w:hAnsi="Arial" w:cs="Arial"/>
          <w:sz w:val="24"/>
          <w:szCs w:val="24"/>
        </w:rPr>
        <w:t>.</w:t>
      </w:r>
      <w:r w:rsidRPr="005A7289">
        <w:rPr>
          <w:rFonts w:ascii="Arial" w:hAnsi="Arial" w:cs="Arial"/>
          <w:sz w:val="24"/>
          <w:szCs w:val="24"/>
        </w:rPr>
        <w:t xml:space="preserve"> Barnard, ‘Gender Equality in the EU: A Balance Sheet’ in P</w:t>
      </w:r>
      <w:r>
        <w:rPr>
          <w:rFonts w:ascii="Arial" w:hAnsi="Arial" w:cs="Arial"/>
          <w:sz w:val="24"/>
          <w:szCs w:val="24"/>
        </w:rPr>
        <w:t>.</w:t>
      </w:r>
      <w:r w:rsidRPr="005A7289">
        <w:rPr>
          <w:rFonts w:ascii="Arial" w:hAnsi="Arial" w:cs="Arial"/>
          <w:sz w:val="24"/>
          <w:szCs w:val="24"/>
        </w:rPr>
        <w:t xml:space="preserve"> Alston, </w:t>
      </w:r>
      <w:r w:rsidRPr="005A7289">
        <w:rPr>
          <w:rFonts w:ascii="Arial" w:hAnsi="Arial" w:cs="Arial"/>
          <w:i/>
          <w:sz w:val="24"/>
          <w:szCs w:val="24"/>
        </w:rPr>
        <w:t>The EU and Human Rights</w:t>
      </w:r>
      <w:r w:rsidRPr="005A7289">
        <w:rPr>
          <w:rFonts w:ascii="Arial" w:hAnsi="Arial" w:cs="Arial"/>
          <w:sz w:val="24"/>
          <w:szCs w:val="24"/>
        </w:rPr>
        <w:t xml:space="preserve"> (London</w:t>
      </w:r>
      <w:r>
        <w:rPr>
          <w:rFonts w:ascii="Arial" w:hAnsi="Arial" w:cs="Arial"/>
          <w:sz w:val="24"/>
          <w:szCs w:val="24"/>
        </w:rPr>
        <w:t>:</w:t>
      </w:r>
      <w:r w:rsidRPr="005A7289">
        <w:rPr>
          <w:rFonts w:ascii="Arial" w:hAnsi="Arial" w:cs="Arial"/>
          <w:sz w:val="24"/>
          <w:szCs w:val="24"/>
        </w:rPr>
        <w:t xml:space="preserve"> OUP, </w:t>
      </w:r>
      <w:r>
        <w:rPr>
          <w:rFonts w:ascii="Arial" w:hAnsi="Arial" w:cs="Arial"/>
          <w:sz w:val="24"/>
          <w:szCs w:val="24"/>
        </w:rPr>
        <w:t>1999) 215,</w:t>
      </w:r>
      <w:r w:rsidRPr="005A7289">
        <w:rPr>
          <w:rFonts w:ascii="Arial" w:hAnsi="Arial" w:cs="Arial"/>
          <w:sz w:val="24"/>
          <w:szCs w:val="24"/>
        </w:rPr>
        <w:t xml:space="preserve"> 223</w:t>
      </w:r>
    </w:p>
  </w:footnote>
  <w:footnote w:id="36">
    <w:p w:rsidR="006456EC" w:rsidRPr="00605F83" w:rsidRDefault="006456EC" w:rsidP="00605F83">
      <w:pPr>
        <w:pStyle w:val="FootnoteText"/>
        <w:jc w:val="both"/>
        <w:rPr>
          <w:rFonts w:ascii="Arial" w:hAnsi="Arial" w:cs="Arial"/>
          <w:sz w:val="24"/>
          <w:szCs w:val="24"/>
        </w:rPr>
      </w:pPr>
      <w:r w:rsidRPr="00605F83">
        <w:rPr>
          <w:rStyle w:val="FootnoteReference"/>
          <w:rFonts w:ascii="Arial" w:hAnsi="Arial" w:cs="Arial"/>
          <w:sz w:val="24"/>
          <w:szCs w:val="24"/>
        </w:rPr>
        <w:footnoteRef/>
      </w:r>
      <w:r w:rsidRPr="00605F83">
        <w:rPr>
          <w:rFonts w:ascii="Arial" w:hAnsi="Arial" w:cs="Arial"/>
          <w:sz w:val="24"/>
          <w:szCs w:val="24"/>
        </w:rPr>
        <w:t xml:space="preserve"> M</w:t>
      </w:r>
      <w:r>
        <w:rPr>
          <w:rFonts w:ascii="Arial" w:hAnsi="Arial" w:cs="Arial"/>
          <w:sz w:val="24"/>
          <w:szCs w:val="24"/>
        </w:rPr>
        <w:t>.</w:t>
      </w:r>
      <w:r w:rsidRPr="00605F83">
        <w:rPr>
          <w:rFonts w:ascii="Arial" w:hAnsi="Arial" w:cs="Arial"/>
          <w:sz w:val="24"/>
          <w:szCs w:val="24"/>
        </w:rPr>
        <w:t xml:space="preserve"> Bell, ‘A Patchwork of Protection: The New Anti-Discrimination Law Framework’ (2004) 67 MLR 465</w:t>
      </w:r>
    </w:p>
  </w:footnote>
  <w:footnote w:id="37">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B</w:t>
      </w:r>
      <w:r>
        <w:rPr>
          <w:rFonts w:ascii="Arial" w:hAnsi="Arial" w:cs="Arial"/>
          <w:sz w:val="24"/>
          <w:szCs w:val="24"/>
        </w:rPr>
        <w:t>.</w:t>
      </w:r>
      <w:r w:rsidRPr="005A7289">
        <w:rPr>
          <w:rFonts w:ascii="Arial" w:hAnsi="Arial" w:cs="Arial"/>
          <w:sz w:val="24"/>
          <w:szCs w:val="24"/>
        </w:rPr>
        <w:t xml:space="preserve"> Hepple, </w:t>
      </w:r>
      <w:r w:rsidRPr="005A7289">
        <w:rPr>
          <w:rFonts w:ascii="Arial" w:hAnsi="Arial" w:cs="Arial"/>
          <w:i/>
          <w:sz w:val="24"/>
          <w:szCs w:val="24"/>
        </w:rPr>
        <w:t>Equality: The New Legal Framework</w:t>
      </w:r>
      <w:r w:rsidRPr="005A7289">
        <w:rPr>
          <w:rFonts w:ascii="Arial" w:hAnsi="Arial" w:cs="Arial"/>
          <w:sz w:val="24"/>
          <w:szCs w:val="24"/>
        </w:rPr>
        <w:t xml:space="preserve"> (Oxford</w:t>
      </w:r>
      <w:r>
        <w:rPr>
          <w:rFonts w:ascii="Arial" w:hAnsi="Arial" w:cs="Arial"/>
          <w:sz w:val="24"/>
          <w:szCs w:val="24"/>
        </w:rPr>
        <w:t>:</w:t>
      </w:r>
      <w:r w:rsidRPr="005A7289">
        <w:rPr>
          <w:rFonts w:ascii="Arial" w:hAnsi="Arial" w:cs="Arial"/>
          <w:sz w:val="24"/>
          <w:szCs w:val="24"/>
        </w:rPr>
        <w:t xml:space="preserve"> Hart Publishing, 2011) 1</w:t>
      </w:r>
    </w:p>
  </w:footnote>
  <w:footnote w:id="38">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Direct discrimination is defined in EA10 s 13, indirect discrimination, applicable to all protected characteristics, is defined in EA10</w:t>
      </w:r>
      <w:r>
        <w:rPr>
          <w:rFonts w:ascii="Arial" w:hAnsi="Arial" w:cs="Arial"/>
          <w:sz w:val="24"/>
          <w:szCs w:val="24"/>
        </w:rPr>
        <w:t>,</w:t>
      </w:r>
      <w:r w:rsidRPr="005A7289">
        <w:rPr>
          <w:rFonts w:ascii="Arial" w:hAnsi="Arial" w:cs="Arial"/>
          <w:sz w:val="24"/>
          <w:szCs w:val="24"/>
        </w:rPr>
        <w:t xml:space="preserve"> s 19 and no real comparator is required to assess discrimination (EA10</w:t>
      </w:r>
      <w:r>
        <w:rPr>
          <w:rFonts w:ascii="Arial" w:hAnsi="Arial" w:cs="Arial"/>
          <w:sz w:val="24"/>
          <w:szCs w:val="24"/>
        </w:rPr>
        <w:t>,</w:t>
      </w:r>
      <w:r w:rsidRPr="005A7289">
        <w:rPr>
          <w:rFonts w:ascii="Arial" w:hAnsi="Arial" w:cs="Arial"/>
          <w:sz w:val="24"/>
          <w:szCs w:val="24"/>
        </w:rPr>
        <w:t xml:space="preserve"> ss 23 and 24)</w:t>
      </w:r>
      <w:r>
        <w:rPr>
          <w:rFonts w:ascii="Arial" w:hAnsi="Arial" w:cs="Arial"/>
          <w:sz w:val="24"/>
          <w:szCs w:val="24"/>
        </w:rPr>
        <w:t>. Furthermore EA10, s 14 contains a new provision on multiple discrimination</w:t>
      </w:r>
    </w:p>
  </w:footnote>
  <w:footnote w:id="39">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EA10</w:t>
      </w:r>
      <w:r>
        <w:rPr>
          <w:rFonts w:ascii="Arial" w:hAnsi="Arial" w:cs="Arial"/>
          <w:sz w:val="24"/>
          <w:szCs w:val="24"/>
        </w:rPr>
        <w:t>,</w:t>
      </w:r>
      <w:r w:rsidRPr="005A7289">
        <w:rPr>
          <w:rFonts w:ascii="Arial" w:hAnsi="Arial" w:cs="Arial"/>
          <w:sz w:val="24"/>
          <w:szCs w:val="24"/>
        </w:rPr>
        <w:t xml:space="preserve"> s 26</w:t>
      </w:r>
    </w:p>
  </w:footnote>
  <w:footnote w:id="40">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EA10</w:t>
      </w:r>
      <w:r>
        <w:rPr>
          <w:rFonts w:ascii="Arial" w:hAnsi="Arial" w:cs="Arial"/>
          <w:sz w:val="24"/>
          <w:szCs w:val="24"/>
        </w:rPr>
        <w:t>,</w:t>
      </w:r>
      <w:r w:rsidRPr="005A7289">
        <w:rPr>
          <w:rFonts w:ascii="Arial" w:hAnsi="Arial" w:cs="Arial"/>
          <w:sz w:val="24"/>
          <w:szCs w:val="24"/>
        </w:rPr>
        <w:t xml:space="preserve"> s 27</w:t>
      </w:r>
    </w:p>
  </w:footnote>
  <w:footnote w:id="41">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Pr>
          <w:rFonts w:ascii="Arial" w:hAnsi="Arial" w:cs="Arial"/>
          <w:sz w:val="24"/>
          <w:szCs w:val="24"/>
        </w:rPr>
        <w:t xml:space="preserve"> ibid</w:t>
      </w:r>
    </w:p>
  </w:footnote>
  <w:footnote w:id="42">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EA10</w:t>
      </w:r>
      <w:r>
        <w:rPr>
          <w:rFonts w:ascii="Arial" w:hAnsi="Arial" w:cs="Arial"/>
          <w:sz w:val="24"/>
          <w:szCs w:val="24"/>
        </w:rPr>
        <w:t>,</w:t>
      </w:r>
      <w:r w:rsidRPr="005A7289">
        <w:rPr>
          <w:rFonts w:ascii="Arial" w:hAnsi="Arial" w:cs="Arial"/>
          <w:sz w:val="24"/>
          <w:szCs w:val="24"/>
        </w:rPr>
        <w:t xml:space="preserve"> s 4, with definitions of each characteristic provided in ss 5-12</w:t>
      </w:r>
    </w:p>
  </w:footnote>
  <w:footnote w:id="43">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J</w:t>
      </w:r>
      <w:r>
        <w:rPr>
          <w:rFonts w:ascii="Arial" w:hAnsi="Arial" w:cs="Arial"/>
          <w:sz w:val="24"/>
          <w:szCs w:val="24"/>
        </w:rPr>
        <w:t>.</w:t>
      </w:r>
      <w:r w:rsidRPr="005A7289">
        <w:rPr>
          <w:rFonts w:ascii="Arial" w:hAnsi="Arial" w:cs="Arial"/>
          <w:sz w:val="24"/>
          <w:szCs w:val="24"/>
        </w:rPr>
        <w:t xml:space="preserve"> Jowell, ‘Is Equality a Constitutional Principle?’ </w:t>
      </w:r>
      <w:proofErr w:type="gramStart"/>
      <w:r w:rsidRPr="005A7289">
        <w:rPr>
          <w:rFonts w:ascii="Arial" w:hAnsi="Arial" w:cs="Arial"/>
          <w:sz w:val="24"/>
          <w:szCs w:val="24"/>
        </w:rPr>
        <w:t xml:space="preserve">(1994) 47 </w:t>
      </w:r>
      <w:r w:rsidRPr="00805FA5">
        <w:rPr>
          <w:rFonts w:ascii="Arial" w:hAnsi="Arial" w:cs="Arial"/>
          <w:i/>
          <w:sz w:val="24"/>
          <w:szCs w:val="24"/>
        </w:rPr>
        <w:t>Current Legal Problems</w:t>
      </w:r>
      <w:r w:rsidRPr="005A7289">
        <w:rPr>
          <w:rFonts w:ascii="Arial" w:hAnsi="Arial" w:cs="Arial"/>
          <w:sz w:val="24"/>
          <w:szCs w:val="24"/>
        </w:rPr>
        <w:t xml:space="preserve"> 1.</w:t>
      </w:r>
      <w:proofErr w:type="gramEnd"/>
      <w:r w:rsidRPr="005A7289">
        <w:rPr>
          <w:rFonts w:ascii="Arial" w:hAnsi="Arial" w:cs="Arial"/>
          <w:sz w:val="24"/>
          <w:szCs w:val="24"/>
        </w:rPr>
        <w:t xml:space="preserve"> See also J</w:t>
      </w:r>
      <w:r>
        <w:rPr>
          <w:rFonts w:ascii="Arial" w:hAnsi="Arial" w:cs="Arial"/>
          <w:sz w:val="24"/>
          <w:szCs w:val="24"/>
        </w:rPr>
        <w:t>.</w:t>
      </w:r>
      <w:r w:rsidRPr="005A7289">
        <w:rPr>
          <w:rFonts w:ascii="Arial" w:hAnsi="Arial" w:cs="Arial"/>
          <w:sz w:val="24"/>
          <w:szCs w:val="24"/>
        </w:rPr>
        <w:t xml:space="preserve"> Stanton-Ife, ‘Should Equality Be a Constitutional Principle?’ (2000) 11 KCLJ 133 opposing Jowell’s argument</w:t>
      </w:r>
    </w:p>
  </w:footnote>
  <w:footnote w:id="44">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See J</w:t>
      </w:r>
      <w:r>
        <w:rPr>
          <w:rFonts w:ascii="Arial" w:hAnsi="Arial" w:cs="Arial"/>
          <w:sz w:val="24"/>
          <w:szCs w:val="24"/>
        </w:rPr>
        <w:t>.</w:t>
      </w:r>
      <w:r w:rsidRPr="005A7289">
        <w:rPr>
          <w:rFonts w:ascii="Arial" w:hAnsi="Arial" w:cs="Arial"/>
          <w:sz w:val="24"/>
          <w:szCs w:val="24"/>
        </w:rPr>
        <w:t xml:space="preserve"> Jones, ‘"Common Constitutional Traditions": Can the Meaning of Human Dignity under German Law Guide the European Court of Justice?’ [2004] PL 167</w:t>
      </w:r>
    </w:p>
  </w:footnote>
  <w:footnote w:id="45">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See E</w:t>
      </w:r>
      <w:r>
        <w:rPr>
          <w:rFonts w:ascii="Arial" w:hAnsi="Arial" w:cs="Arial"/>
          <w:sz w:val="24"/>
          <w:szCs w:val="24"/>
        </w:rPr>
        <w:t>.</w:t>
      </w:r>
      <w:r w:rsidRPr="005A7289">
        <w:rPr>
          <w:rFonts w:ascii="Arial" w:hAnsi="Arial" w:cs="Arial"/>
          <w:sz w:val="24"/>
          <w:szCs w:val="24"/>
        </w:rPr>
        <w:t xml:space="preserve"> Grant, ‘Dignity and Equality’ (2007) 7 </w:t>
      </w:r>
      <w:r w:rsidRPr="00805FA5">
        <w:rPr>
          <w:rFonts w:ascii="Arial" w:hAnsi="Arial" w:cs="Arial"/>
          <w:i/>
          <w:sz w:val="24"/>
          <w:szCs w:val="24"/>
        </w:rPr>
        <w:t>Human Rights Law Review</w:t>
      </w:r>
      <w:r w:rsidRPr="005A7289">
        <w:rPr>
          <w:rFonts w:ascii="Arial" w:hAnsi="Arial" w:cs="Arial"/>
          <w:sz w:val="24"/>
          <w:szCs w:val="24"/>
        </w:rPr>
        <w:t xml:space="preserve"> 299</w:t>
      </w:r>
    </w:p>
  </w:footnote>
  <w:footnote w:id="46">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This is a highly contested concept – see for example </w:t>
      </w:r>
      <w:r w:rsidR="00782D8E" w:rsidRPr="005A7289">
        <w:rPr>
          <w:rFonts w:ascii="Arial" w:hAnsi="Arial" w:cs="Arial"/>
          <w:sz w:val="24"/>
          <w:szCs w:val="24"/>
        </w:rPr>
        <w:t>D</w:t>
      </w:r>
      <w:r w:rsidR="00782D8E">
        <w:rPr>
          <w:rFonts w:ascii="Arial" w:hAnsi="Arial" w:cs="Arial"/>
          <w:sz w:val="24"/>
          <w:szCs w:val="24"/>
        </w:rPr>
        <w:t>.</w:t>
      </w:r>
      <w:r w:rsidR="00782D8E" w:rsidRPr="005A7289">
        <w:rPr>
          <w:rFonts w:ascii="Arial" w:hAnsi="Arial" w:cs="Arial"/>
          <w:sz w:val="24"/>
          <w:szCs w:val="24"/>
        </w:rPr>
        <w:t xml:space="preserve"> Beyleveld, R</w:t>
      </w:r>
      <w:r w:rsidR="00782D8E">
        <w:rPr>
          <w:rFonts w:ascii="Arial" w:hAnsi="Arial" w:cs="Arial"/>
          <w:sz w:val="24"/>
          <w:szCs w:val="24"/>
        </w:rPr>
        <w:t>.</w:t>
      </w:r>
      <w:r w:rsidR="00782D8E" w:rsidRPr="005A7289">
        <w:rPr>
          <w:rFonts w:ascii="Arial" w:hAnsi="Arial" w:cs="Arial"/>
          <w:sz w:val="24"/>
          <w:szCs w:val="24"/>
        </w:rPr>
        <w:t xml:space="preserve"> Brownsword, ‘Human Dignity, Human Rights, and Human Genetics’ (1998) 61 MLR 661</w:t>
      </w:r>
      <w:r w:rsidR="00782D8E">
        <w:rPr>
          <w:rFonts w:ascii="Arial" w:hAnsi="Arial" w:cs="Arial"/>
          <w:sz w:val="24"/>
          <w:szCs w:val="24"/>
        </w:rPr>
        <w:t xml:space="preserve">, </w:t>
      </w:r>
      <w:r w:rsidRPr="005A7289">
        <w:rPr>
          <w:rFonts w:ascii="Arial" w:hAnsi="Arial" w:cs="Arial"/>
          <w:sz w:val="24"/>
          <w:szCs w:val="24"/>
        </w:rPr>
        <w:t>D</w:t>
      </w:r>
      <w:r>
        <w:rPr>
          <w:rFonts w:ascii="Arial" w:hAnsi="Arial" w:cs="Arial"/>
          <w:sz w:val="24"/>
          <w:szCs w:val="24"/>
        </w:rPr>
        <w:t>.</w:t>
      </w:r>
      <w:r w:rsidRPr="005A7289">
        <w:rPr>
          <w:rFonts w:ascii="Arial" w:hAnsi="Arial" w:cs="Arial"/>
          <w:sz w:val="24"/>
          <w:szCs w:val="24"/>
        </w:rPr>
        <w:t xml:space="preserve"> Feldman, ‘Human Dignity as a Legal Value’ [1999] PL 682 and [2000] PL 61 and </w:t>
      </w:r>
      <w:r w:rsidR="00782D8E">
        <w:rPr>
          <w:rFonts w:ascii="Arial" w:hAnsi="Arial" w:cs="Arial"/>
          <w:sz w:val="24"/>
          <w:szCs w:val="24"/>
        </w:rPr>
        <w:t>C. McCrudden, ‘Human Dignity and Judicial Interpretation of Human Rights’ (2008) 19 EJIL 655</w:t>
      </w:r>
    </w:p>
  </w:footnote>
  <w:footnote w:id="47">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sidRPr="005A7289">
        <w:rPr>
          <w:rFonts w:ascii="Arial" w:hAnsi="Arial" w:cs="Arial"/>
          <w:sz w:val="24"/>
          <w:szCs w:val="24"/>
        </w:rPr>
        <w:t xml:space="preserve"> See G</w:t>
      </w:r>
      <w:r>
        <w:rPr>
          <w:rFonts w:ascii="Arial" w:hAnsi="Arial" w:cs="Arial"/>
          <w:sz w:val="24"/>
          <w:szCs w:val="24"/>
        </w:rPr>
        <w:t>.</w:t>
      </w:r>
      <w:r w:rsidRPr="005A7289">
        <w:rPr>
          <w:rFonts w:ascii="Arial" w:hAnsi="Arial" w:cs="Arial"/>
          <w:sz w:val="24"/>
          <w:szCs w:val="24"/>
        </w:rPr>
        <w:t xml:space="preserve"> Moon, R</w:t>
      </w:r>
      <w:r>
        <w:rPr>
          <w:rFonts w:ascii="Arial" w:hAnsi="Arial" w:cs="Arial"/>
          <w:sz w:val="24"/>
          <w:szCs w:val="24"/>
        </w:rPr>
        <w:t>.</w:t>
      </w:r>
      <w:r w:rsidRPr="005A7289">
        <w:rPr>
          <w:rFonts w:ascii="Arial" w:hAnsi="Arial" w:cs="Arial"/>
          <w:sz w:val="24"/>
          <w:szCs w:val="24"/>
        </w:rPr>
        <w:t xml:space="preserve"> Allen, ‘Dignity Discourse in Discrimination Law: A Better Route to Equality?’ [2006] EHRLR 610 who suggest a structured approach to the use of dignity as the basis for equality law</w:t>
      </w:r>
    </w:p>
  </w:footnote>
  <w:footnote w:id="48">
    <w:p w:rsidR="006456EC" w:rsidRPr="005A7289" w:rsidRDefault="006456EC" w:rsidP="005A7289">
      <w:pPr>
        <w:pStyle w:val="FootnoteText"/>
        <w:jc w:val="both"/>
        <w:rPr>
          <w:rFonts w:ascii="Arial" w:hAnsi="Arial" w:cs="Arial"/>
          <w:sz w:val="24"/>
          <w:szCs w:val="24"/>
        </w:rPr>
      </w:pPr>
      <w:r w:rsidRPr="005A7289">
        <w:rPr>
          <w:rStyle w:val="FootnoteReference"/>
          <w:rFonts w:ascii="Arial" w:hAnsi="Arial" w:cs="Arial"/>
          <w:sz w:val="24"/>
          <w:szCs w:val="24"/>
        </w:rPr>
        <w:footnoteRef/>
      </w:r>
      <w:r>
        <w:rPr>
          <w:rFonts w:ascii="Arial" w:hAnsi="Arial" w:cs="Arial"/>
          <w:sz w:val="24"/>
          <w:szCs w:val="24"/>
        </w:rPr>
        <w:t xml:space="preserve"> n 4</w:t>
      </w:r>
      <w:r w:rsidRPr="005A7289">
        <w:rPr>
          <w:rFonts w:ascii="Arial" w:hAnsi="Arial" w:cs="Arial"/>
          <w:sz w:val="24"/>
          <w:szCs w:val="24"/>
        </w:rPr>
        <w:t>4</w:t>
      </w:r>
      <w:r>
        <w:rPr>
          <w:rFonts w:ascii="Arial" w:hAnsi="Arial" w:cs="Arial"/>
          <w:sz w:val="24"/>
          <w:szCs w:val="24"/>
        </w:rPr>
        <w:t xml:space="preserve"> above</w:t>
      </w:r>
      <w:r w:rsidRPr="005A7289">
        <w:rPr>
          <w:rFonts w:ascii="Arial" w:hAnsi="Arial" w:cs="Arial"/>
          <w:sz w:val="24"/>
          <w:szCs w:val="24"/>
        </w:rPr>
        <w:t xml:space="preserve"> at 12 and B</w:t>
      </w:r>
      <w:r>
        <w:rPr>
          <w:rFonts w:ascii="Arial" w:hAnsi="Arial" w:cs="Arial"/>
          <w:sz w:val="24"/>
          <w:szCs w:val="24"/>
        </w:rPr>
        <w:t>.</w:t>
      </w:r>
      <w:r w:rsidRPr="005A7289">
        <w:rPr>
          <w:rFonts w:ascii="Arial" w:hAnsi="Arial" w:cs="Arial"/>
          <w:sz w:val="24"/>
          <w:szCs w:val="24"/>
        </w:rPr>
        <w:t xml:space="preserve"> Hepple, ‘The Aims of </w:t>
      </w:r>
      <w:r w:rsidR="00702C1F">
        <w:rPr>
          <w:rFonts w:ascii="Arial" w:hAnsi="Arial" w:cs="Arial"/>
          <w:sz w:val="24"/>
          <w:szCs w:val="24"/>
        </w:rPr>
        <w:t>Equality Law’ (2008) 61 CLP 1,</w:t>
      </w:r>
      <w:r w:rsidRPr="005A7289">
        <w:rPr>
          <w:rFonts w:ascii="Arial" w:hAnsi="Arial" w:cs="Arial"/>
          <w:sz w:val="24"/>
          <w:szCs w:val="24"/>
        </w:rPr>
        <w:t xml:space="preserve"> 3</w:t>
      </w:r>
    </w:p>
  </w:footnote>
  <w:footnote w:id="49">
    <w:p w:rsidR="006456EC" w:rsidRPr="00354F86" w:rsidRDefault="006456EC" w:rsidP="00354F86">
      <w:pPr>
        <w:pStyle w:val="FootnoteText"/>
        <w:jc w:val="both"/>
        <w:rPr>
          <w:rFonts w:ascii="Arial" w:hAnsi="Arial" w:cs="Arial"/>
          <w:sz w:val="24"/>
          <w:szCs w:val="24"/>
        </w:rPr>
      </w:pPr>
      <w:r w:rsidRPr="00354F86">
        <w:rPr>
          <w:rStyle w:val="FootnoteReference"/>
          <w:rFonts w:ascii="Arial" w:hAnsi="Arial" w:cs="Arial"/>
          <w:sz w:val="24"/>
          <w:szCs w:val="24"/>
        </w:rPr>
        <w:footnoteRef/>
      </w:r>
      <w:r w:rsidRPr="00354F86">
        <w:rPr>
          <w:rFonts w:ascii="Arial" w:hAnsi="Arial" w:cs="Arial"/>
          <w:sz w:val="24"/>
          <w:szCs w:val="24"/>
        </w:rPr>
        <w:t xml:space="preserve"> EA10</w:t>
      </w:r>
      <w:r>
        <w:rPr>
          <w:rFonts w:ascii="Arial" w:hAnsi="Arial" w:cs="Arial"/>
          <w:sz w:val="24"/>
          <w:szCs w:val="24"/>
        </w:rPr>
        <w:t>,</w:t>
      </w:r>
      <w:r w:rsidRPr="00354F86">
        <w:rPr>
          <w:rFonts w:ascii="Arial" w:hAnsi="Arial" w:cs="Arial"/>
          <w:sz w:val="24"/>
          <w:szCs w:val="24"/>
        </w:rPr>
        <w:t xml:space="preserve"> s 1(1)</w:t>
      </w:r>
    </w:p>
  </w:footnote>
  <w:footnote w:id="50">
    <w:p w:rsidR="006456EC" w:rsidRDefault="006456EC" w:rsidP="00354F86">
      <w:pPr>
        <w:pStyle w:val="FootnoteText"/>
        <w:jc w:val="both"/>
      </w:pPr>
      <w:r w:rsidRPr="00354F86">
        <w:rPr>
          <w:rStyle w:val="FootnoteReference"/>
          <w:rFonts w:ascii="Arial" w:hAnsi="Arial" w:cs="Arial"/>
          <w:sz w:val="24"/>
          <w:szCs w:val="24"/>
        </w:rPr>
        <w:footnoteRef/>
      </w:r>
      <w:r w:rsidRPr="00354F86">
        <w:rPr>
          <w:rFonts w:ascii="Arial" w:hAnsi="Arial" w:cs="Arial"/>
          <w:sz w:val="24"/>
          <w:szCs w:val="24"/>
        </w:rPr>
        <w:t xml:space="preserve"> EA10</w:t>
      </w:r>
      <w:r>
        <w:rPr>
          <w:rFonts w:ascii="Arial" w:hAnsi="Arial" w:cs="Arial"/>
          <w:sz w:val="24"/>
          <w:szCs w:val="24"/>
        </w:rPr>
        <w:t>,</w:t>
      </w:r>
      <w:r w:rsidRPr="00354F86">
        <w:rPr>
          <w:rFonts w:ascii="Arial" w:hAnsi="Arial" w:cs="Arial"/>
          <w:sz w:val="24"/>
          <w:szCs w:val="24"/>
        </w:rPr>
        <w:t xml:space="preserve"> s 1(3)(a) and (b)</w:t>
      </w:r>
    </w:p>
  </w:footnote>
  <w:footnote w:id="51">
    <w:p w:rsidR="006456EC" w:rsidRPr="00EA4326" w:rsidRDefault="006456EC" w:rsidP="005A7289">
      <w:pPr>
        <w:pStyle w:val="FootnoteText"/>
        <w:jc w:val="both"/>
        <w:rPr>
          <w:sz w:val="24"/>
          <w:szCs w:val="24"/>
        </w:rPr>
      </w:pPr>
      <w:r w:rsidRPr="00EA4326">
        <w:rPr>
          <w:rStyle w:val="FootnoteReference"/>
          <w:rFonts w:ascii="Arial" w:hAnsi="Arial" w:cs="Arial"/>
          <w:sz w:val="24"/>
          <w:szCs w:val="24"/>
        </w:rPr>
        <w:footnoteRef/>
      </w:r>
      <w:r w:rsidRPr="00EA4326">
        <w:rPr>
          <w:rFonts w:ascii="Arial" w:hAnsi="Arial" w:cs="Arial"/>
          <w:sz w:val="24"/>
          <w:szCs w:val="24"/>
        </w:rPr>
        <w:t xml:space="preserve"> S</w:t>
      </w:r>
      <w:r>
        <w:rPr>
          <w:rFonts w:ascii="Arial" w:hAnsi="Arial" w:cs="Arial"/>
          <w:sz w:val="24"/>
          <w:szCs w:val="24"/>
        </w:rPr>
        <w:t>.</w:t>
      </w:r>
      <w:r w:rsidRPr="00EA4326">
        <w:rPr>
          <w:rFonts w:ascii="Arial" w:hAnsi="Arial" w:cs="Arial"/>
          <w:sz w:val="24"/>
          <w:szCs w:val="24"/>
        </w:rPr>
        <w:t xml:space="preserve"> Fredman, ‘Positive Duties and Socio-Economic Disadvantage: Bringing Disadvantage Onto the Equa</w:t>
      </w:r>
      <w:r w:rsidR="00702C1F">
        <w:rPr>
          <w:rFonts w:ascii="Arial" w:hAnsi="Arial" w:cs="Arial"/>
          <w:sz w:val="24"/>
          <w:szCs w:val="24"/>
        </w:rPr>
        <w:t>lity Agenda’ [2010] EHRLR 290,</w:t>
      </w:r>
      <w:r w:rsidRPr="00EA4326">
        <w:rPr>
          <w:rFonts w:ascii="Arial" w:hAnsi="Arial" w:cs="Arial"/>
          <w:sz w:val="24"/>
          <w:szCs w:val="24"/>
        </w:rPr>
        <w:t xml:space="preserve"> 297</w:t>
      </w:r>
    </w:p>
  </w:footnote>
  <w:footnote w:id="52">
    <w:p w:rsidR="006456EC" w:rsidRPr="00CD78DB" w:rsidRDefault="006456EC" w:rsidP="00CD78DB">
      <w:pPr>
        <w:pStyle w:val="FootnoteText"/>
        <w:jc w:val="both"/>
        <w:rPr>
          <w:rFonts w:ascii="Arial" w:hAnsi="Arial" w:cs="Arial"/>
          <w:sz w:val="24"/>
          <w:szCs w:val="24"/>
        </w:rPr>
      </w:pPr>
      <w:r w:rsidRPr="00CD78DB">
        <w:rPr>
          <w:rStyle w:val="FootnoteReference"/>
          <w:rFonts w:ascii="Arial" w:hAnsi="Arial" w:cs="Arial"/>
          <w:sz w:val="24"/>
          <w:szCs w:val="24"/>
        </w:rPr>
        <w:footnoteRef/>
      </w:r>
      <w:r w:rsidRPr="00CD78DB">
        <w:rPr>
          <w:rFonts w:ascii="Arial" w:hAnsi="Arial" w:cs="Arial"/>
          <w:sz w:val="24"/>
          <w:szCs w:val="24"/>
        </w:rPr>
        <w:t xml:space="preserve"> Ministry of Defence, </w:t>
      </w:r>
      <w:r w:rsidRPr="00CD78DB">
        <w:rPr>
          <w:rFonts w:ascii="Arial" w:hAnsi="Arial" w:cs="Arial"/>
          <w:i/>
          <w:sz w:val="24"/>
          <w:szCs w:val="24"/>
        </w:rPr>
        <w:t>Securing Britain in an Age of Insecurity: The Strategic and Security Review</w:t>
      </w:r>
      <w:r w:rsidRPr="00CD78DB">
        <w:rPr>
          <w:rFonts w:ascii="Arial" w:hAnsi="Arial" w:cs="Arial"/>
          <w:sz w:val="24"/>
          <w:szCs w:val="24"/>
        </w:rPr>
        <w:t>, Cm 7948 (London: HMSO, 2011)</w:t>
      </w:r>
    </w:p>
  </w:footnote>
  <w:footnote w:id="53">
    <w:p w:rsidR="006456EC" w:rsidRPr="00775833" w:rsidRDefault="006456EC" w:rsidP="00775833">
      <w:pPr>
        <w:pStyle w:val="FootnoteText"/>
        <w:jc w:val="both"/>
        <w:rPr>
          <w:rFonts w:ascii="Arial" w:hAnsi="Arial" w:cs="Arial"/>
          <w:sz w:val="24"/>
          <w:szCs w:val="24"/>
        </w:rPr>
      </w:pPr>
      <w:r w:rsidRPr="00775833">
        <w:rPr>
          <w:rStyle w:val="FootnoteReference"/>
          <w:rFonts w:ascii="Arial" w:hAnsi="Arial" w:cs="Arial"/>
          <w:sz w:val="24"/>
          <w:szCs w:val="24"/>
        </w:rPr>
        <w:footnoteRef/>
      </w:r>
      <w:r>
        <w:rPr>
          <w:rFonts w:ascii="Arial" w:hAnsi="Arial" w:cs="Arial"/>
          <w:sz w:val="24"/>
          <w:szCs w:val="24"/>
        </w:rPr>
        <w:t xml:space="preserve"> n </w:t>
      </w:r>
      <w:r w:rsidRPr="00775833">
        <w:rPr>
          <w:rFonts w:ascii="Arial" w:hAnsi="Arial" w:cs="Arial"/>
          <w:sz w:val="24"/>
          <w:szCs w:val="24"/>
        </w:rPr>
        <w:t xml:space="preserve">44 </w:t>
      </w:r>
      <w:r>
        <w:rPr>
          <w:rFonts w:ascii="Arial" w:hAnsi="Arial" w:cs="Arial"/>
          <w:sz w:val="24"/>
          <w:szCs w:val="24"/>
        </w:rPr>
        <w:t xml:space="preserve">above </w:t>
      </w:r>
      <w:r w:rsidRPr="00775833">
        <w:rPr>
          <w:rFonts w:ascii="Arial" w:hAnsi="Arial" w:cs="Arial"/>
          <w:sz w:val="24"/>
          <w:szCs w:val="24"/>
        </w:rPr>
        <w:t>at 142</w:t>
      </w:r>
    </w:p>
  </w:footnote>
  <w:footnote w:id="54">
    <w:p w:rsidR="006456EC" w:rsidRPr="00775833" w:rsidRDefault="006456EC" w:rsidP="00775833">
      <w:pPr>
        <w:pStyle w:val="FootnoteText"/>
        <w:jc w:val="both"/>
        <w:rPr>
          <w:rFonts w:ascii="Arial" w:hAnsi="Arial" w:cs="Arial"/>
          <w:sz w:val="24"/>
          <w:szCs w:val="24"/>
        </w:rPr>
      </w:pPr>
      <w:r w:rsidRPr="00775833">
        <w:rPr>
          <w:rStyle w:val="FootnoteReference"/>
          <w:rFonts w:ascii="Arial" w:hAnsi="Arial" w:cs="Arial"/>
          <w:sz w:val="24"/>
          <w:szCs w:val="24"/>
        </w:rPr>
        <w:footnoteRef/>
      </w:r>
      <w:r w:rsidRPr="00775833">
        <w:rPr>
          <w:rFonts w:ascii="Arial" w:hAnsi="Arial" w:cs="Arial"/>
          <w:sz w:val="24"/>
          <w:szCs w:val="24"/>
        </w:rPr>
        <w:t xml:space="preserve"> </w:t>
      </w:r>
      <w:r>
        <w:rPr>
          <w:rFonts w:ascii="Arial" w:hAnsi="Arial" w:cs="Arial"/>
          <w:sz w:val="24"/>
          <w:szCs w:val="24"/>
        </w:rPr>
        <w:t>Schedule 19, s 150(1)</w:t>
      </w:r>
    </w:p>
  </w:footnote>
  <w:footnote w:id="55">
    <w:p w:rsidR="006456EC" w:rsidRDefault="006456EC" w:rsidP="00775833">
      <w:pPr>
        <w:pStyle w:val="FootnoteText"/>
        <w:jc w:val="both"/>
      </w:pPr>
      <w:r w:rsidRPr="00775833">
        <w:rPr>
          <w:rStyle w:val="FootnoteReference"/>
          <w:rFonts w:ascii="Arial" w:hAnsi="Arial" w:cs="Arial"/>
          <w:sz w:val="24"/>
          <w:szCs w:val="24"/>
        </w:rPr>
        <w:footnoteRef/>
      </w:r>
      <w:r w:rsidRPr="00775833">
        <w:rPr>
          <w:rFonts w:ascii="Arial" w:hAnsi="Arial" w:cs="Arial"/>
          <w:sz w:val="24"/>
          <w:szCs w:val="24"/>
        </w:rPr>
        <w:t xml:space="preserve"> A public authority must </w:t>
      </w:r>
      <w:r w:rsidR="00702C1F">
        <w:rPr>
          <w:rFonts w:ascii="Arial" w:hAnsi="Arial" w:cs="Arial"/>
          <w:sz w:val="24"/>
          <w:szCs w:val="24"/>
        </w:rPr>
        <w:t>‘</w:t>
      </w:r>
      <w:r w:rsidRPr="00775833">
        <w:rPr>
          <w:rFonts w:ascii="Arial" w:hAnsi="Arial" w:cs="Arial"/>
          <w:sz w:val="24"/>
          <w:szCs w:val="24"/>
        </w:rPr>
        <w:t>in the course of its functions, have due regard to the need to: (a) eliminate discrimination, harassment, victimisation and any other conduct that is prohibited by or under this Act; (b) advance equality of opportunity between persons who share a relevant protected characteristic and persons who do not share it; (c) foster good relations between persons who share a relevant protected characteristic a</w:t>
      </w:r>
      <w:r w:rsidR="00702C1F">
        <w:rPr>
          <w:rFonts w:ascii="Arial" w:hAnsi="Arial" w:cs="Arial"/>
          <w:sz w:val="24"/>
          <w:szCs w:val="24"/>
        </w:rPr>
        <w:t>nd persons who do not share it.’</w:t>
      </w:r>
    </w:p>
  </w:footnote>
  <w:footnote w:id="56">
    <w:p w:rsidR="006456EC" w:rsidRPr="002D6656" w:rsidRDefault="006456EC" w:rsidP="002D6656">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w:t>
      </w:r>
      <w:proofErr w:type="gramStart"/>
      <w:r w:rsidRPr="002D6656">
        <w:rPr>
          <w:rFonts w:ascii="Arial" w:hAnsi="Arial" w:cs="Arial"/>
          <w:sz w:val="24"/>
          <w:szCs w:val="24"/>
        </w:rPr>
        <w:t>EA10</w:t>
      </w:r>
      <w:r>
        <w:rPr>
          <w:rFonts w:ascii="Arial" w:hAnsi="Arial" w:cs="Arial"/>
          <w:sz w:val="24"/>
          <w:szCs w:val="24"/>
        </w:rPr>
        <w:t>,</w:t>
      </w:r>
      <w:r w:rsidRPr="002D6656">
        <w:rPr>
          <w:rFonts w:ascii="Arial" w:hAnsi="Arial" w:cs="Arial"/>
          <w:sz w:val="24"/>
          <w:szCs w:val="24"/>
        </w:rPr>
        <w:t xml:space="preserve"> s 149(2)</w:t>
      </w:r>
      <w:r>
        <w:rPr>
          <w:rFonts w:ascii="Arial" w:hAnsi="Arial" w:cs="Arial"/>
          <w:sz w:val="24"/>
          <w:szCs w:val="24"/>
        </w:rPr>
        <w:t>.</w:t>
      </w:r>
      <w:proofErr w:type="gramEnd"/>
      <w:r>
        <w:rPr>
          <w:rFonts w:ascii="Arial" w:hAnsi="Arial" w:cs="Arial"/>
          <w:sz w:val="24"/>
          <w:szCs w:val="24"/>
        </w:rPr>
        <w:t xml:space="preserve"> See S Fredman, ‘The Public Sector Equality Duty’ (2011) 40 ILJ 405</w:t>
      </w:r>
    </w:p>
  </w:footnote>
  <w:footnote w:id="57">
    <w:p w:rsidR="00810C8F" w:rsidRPr="00810C8F" w:rsidRDefault="00810C8F" w:rsidP="00810C8F">
      <w:pPr>
        <w:pStyle w:val="FootnoteText"/>
        <w:jc w:val="both"/>
        <w:rPr>
          <w:rFonts w:ascii="Arial" w:hAnsi="Arial" w:cs="Arial"/>
          <w:sz w:val="24"/>
          <w:szCs w:val="24"/>
        </w:rPr>
      </w:pPr>
      <w:r w:rsidRPr="00810C8F">
        <w:rPr>
          <w:rStyle w:val="FootnoteReference"/>
          <w:rFonts w:ascii="Arial" w:hAnsi="Arial" w:cs="Arial"/>
          <w:sz w:val="24"/>
          <w:szCs w:val="24"/>
        </w:rPr>
        <w:footnoteRef/>
      </w:r>
      <w:r w:rsidRPr="00810C8F">
        <w:rPr>
          <w:rFonts w:ascii="Arial" w:hAnsi="Arial" w:cs="Arial"/>
          <w:sz w:val="24"/>
          <w:szCs w:val="24"/>
        </w:rPr>
        <w:t xml:space="preserve"> SI 2260/2011, The Equality Act 2010 (Specific Duties) Regulations 2011</w:t>
      </w:r>
      <w:r>
        <w:rPr>
          <w:rFonts w:ascii="Arial" w:hAnsi="Arial" w:cs="Arial"/>
          <w:sz w:val="24"/>
          <w:szCs w:val="24"/>
        </w:rPr>
        <w:t xml:space="preserve"> Article 2(1)</w:t>
      </w:r>
    </w:p>
  </w:footnote>
  <w:footnote w:id="58">
    <w:p w:rsidR="00810C8F" w:rsidRPr="00810C8F" w:rsidRDefault="00810C8F" w:rsidP="00810C8F">
      <w:pPr>
        <w:pStyle w:val="FootnoteText"/>
        <w:jc w:val="both"/>
        <w:rPr>
          <w:rFonts w:ascii="Arial" w:hAnsi="Arial" w:cs="Arial"/>
          <w:sz w:val="24"/>
          <w:szCs w:val="24"/>
        </w:rPr>
      </w:pPr>
      <w:r w:rsidRPr="00810C8F">
        <w:rPr>
          <w:rStyle w:val="FootnoteReference"/>
          <w:rFonts w:ascii="Arial" w:hAnsi="Arial" w:cs="Arial"/>
          <w:sz w:val="24"/>
          <w:szCs w:val="24"/>
        </w:rPr>
        <w:footnoteRef/>
      </w:r>
      <w:r w:rsidRPr="00810C8F">
        <w:rPr>
          <w:rFonts w:ascii="Arial" w:hAnsi="Arial" w:cs="Arial"/>
          <w:sz w:val="24"/>
          <w:szCs w:val="24"/>
        </w:rPr>
        <w:t xml:space="preserve"> </w:t>
      </w:r>
      <w:r>
        <w:rPr>
          <w:rFonts w:ascii="Arial" w:hAnsi="Arial" w:cs="Arial"/>
          <w:sz w:val="24"/>
          <w:szCs w:val="24"/>
        </w:rPr>
        <w:t>ibid Article 2(4)</w:t>
      </w:r>
    </w:p>
  </w:footnote>
  <w:footnote w:id="59">
    <w:p w:rsidR="006456EC" w:rsidRPr="002D6656" w:rsidRDefault="006456EC" w:rsidP="002D6656">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Schedule 3</w:t>
      </w:r>
      <w:r>
        <w:rPr>
          <w:rFonts w:ascii="Arial" w:hAnsi="Arial" w:cs="Arial"/>
          <w:sz w:val="24"/>
          <w:szCs w:val="24"/>
        </w:rPr>
        <w:t>,</w:t>
      </w:r>
      <w:r w:rsidRPr="002D6656">
        <w:rPr>
          <w:rFonts w:ascii="Arial" w:hAnsi="Arial" w:cs="Arial"/>
          <w:sz w:val="24"/>
          <w:szCs w:val="24"/>
        </w:rPr>
        <w:t xml:space="preserve"> s 4(1)</w:t>
      </w:r>
    </w:p>
  </w:footnote>
  <w:footnote w:id="60">
    <w:p w:rsidR="006456EC" w:rsidRPr="002D6656" w:rsidRDefault="006456EC" w:rsidP="002D6656">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Schedule 9</w:t>
      </w:r>
      <w:r>
        <w:rPr>
          <w:rFonts w:ascii="Arial" w:hAnsi="Arial" w:cs="Arial"/>
          <w:sz w:val="24"/>
          <w:szCs w:val="24"/>
        </w:rPr>
        <w:t>,</w:t>
      </w:r>
      <w:r w:rsidRPr="002D6656">
        <w:rPr>
          <w:rFonts w:ascii="Arial" w:hAnsi="Arial" w:cs="Arial"/>
          <w:sz w:val="24"/>
          <w:szCs w:val="24"/>
        </w:rPr>
        <w:t xml:space="preserve"> s 4</w:t>
      </w:r>
      <w:r>
        <w:rPr>
          <w:rFonts w:ascii="Arial" w:hAnsi="Arial" w:cs="Arial"/>
          <w:sz w:val="24"/>
          <w:szCs w:val="24"/>
        </w:rPr>
        <w:t>(1)</w:t>
      </w:r>
    </w:p>
  </w:footnote>
  <w:footnote w:id="61">
    <w:p w:rsidR="006456EC" w:rsidRPr="00B35E03" w:rsidRDefault="006456EC" w:rsidP="00B35E03">
      <w:pPr>
        <w:pStyle w:val="FootnoteText"/>
        <w:jc w:val="both"/>
        <w:rPr>
          <w:rFonts w:ascii="Arial" w:hAnsi="Arial" w:cs="Arial"/>
          <w:sz w:val="24"/>
          <w:szCs w:val="24"/>
        </w:rPr>
      </w:pPr>
      <w:r w:rsidRPr="00B35E03">
        <w:rPr>
          <w:rStyle w:val="FootnoteReference"/>
          <w:rFonts w:ascii="Arial" w:hAnsi="Arial" w:cs="Arial"/>
          <w:sz w:val="24"/>
          <w:szCs w:val="24"/>
        </w:rPr>
        <w:footnoteRef/>
      </w:r>
      <w:r w:rsidRPr="00B35E03">
        <w:rPr>
          <w:rFonts w:ascii="Arial" w:hAnsi="Arial" w:cs="Arial"/>
          <w:sz w:val="24"/>
          <w:szCs w:val="24"/>
        </w:rPr>
        <w:t xml:space="preserve"> Schedule 9</w:t>
      </w:r>
      <w:r>
        <w:rPr>
          <w:rFonts w:ascii="Arial" w:hAnsi="Arial" w:cs="Arial"/>
          <w:sz w:val="24"/>
          <w:szCs w:val="24"/>
        </w:rPr>
        <w:t>,</w:t>
      </w:r>
      <w:r w:rsidRPr="00B35E03">
        <w:rPr>
          <w:rFonts w:ascii="Arial" w:hAnsi="Arial" w:cs="Arial"/>
          <w:sz w:val="24"/>
          <w:szCs w:val="24"/>
        </w:rPr>
        <w:t xml:space="preserve"> s 4(2)</w:t>
      </w:r>
    </w:p>
  </w:footnote>
  <w:footnote w:id="62">
    <w:p w:rsidR="006456EC" w:rsidRPr="002D6656" w:rsidRDefault="006456EC" w:rsidP="002D6656">
      <w:pPr>
        <w:pStyle w:val="FootnoteText"/>
        <w:jc w:val="both"/>
        <w:rPr>
          <w:rFonts w:ascii="Arial" w:hAnsi="Arial" w:cs="Arial"/>
          <w:sz w:val="24"/>
          <w:szCs w:val="24"/>
        </w:rPr>
      </w:pPr>
      <w:r w:rsidRPr="002D6656">
        <w:rPr>
          <w:rStyle w:val="FootnoteReference"/>
          <w:rFonts w:ascii="Arial" w:hAnsi="Arial" w:cs="Arial"/>
          <w:sz w:val="24"/>
          <w:szCs w:val="24"/>
        </w:rPr>
        <w:footnoteRef/>
      </w:r>
      <w:r w:rsidRPr="002D6656">
        <w:rPr>
          <w:rFonts w:ascii="Arial" w:hAnsi="Arial" w:cs="Arial"/>
          <w:sz w:val="24"/>
          <w:szCs w:val="24"/>
        </w:rPr>
        <w:t xml:space="preserve"> Schedule 9</w:t>
      </w:r>
      <w:r>
        <w:rPr>
          <w:rFonts w:ascii="Arial" w:hAnsi="Arial" w:cs="Arial"/>
          <w:sz w:val="24"/>
          <w:szCs w:val="24"/>
        </w:rPr>
        <w:t>,</w:t>
      </w:r>
      <w:r w:rsidRPr="002D6656">
        <w:rPr>
          <w:rFonts w:ascii="Arial" w:hAnsi="Arial" w:cs="Arial"/>
          <w:sz w:val="24"/>
          <w:szCs w:val="24"/>
        </w:rPr>
        <w:t xml:space="preserve"> s 4(3)</w:t>
      </w:r>
    </w:p>
  </w:footnote>
  <w:footnote w:id="63">
    <w:p w:rsidR="006456EC" w:rsidRPr="00B35E03" w:rsidRDefault="006456EC" w:rsidP="00B35E03">
      <w:pPr>
        <w:pStyle w:val="FootnoteText"/>
        <w:jc w:val="both"/>
        <w:rPr>
          <w:rFonts w:ascii="Arial" w:hAnsi="Arial" w:cs="Arial"/>
          <w:sz w:val="24"/>
          <w:szCs w:val="24"/>
        </w:rPr>
      </w:pPr>
      <w:r w:rsidRPr="00B35E03">
        <w:rPr>
          <w:rStyle w:val="FootnoteReference"/>
          <w:rFonts w:ascii="Arial" w:hAnsi="Arial" w:cs="Arial"/>
          <w:sz w:val="24"/>
          <w:szCs w:val="24"/>
        </w:rPr>
        <w:footnoteRef/>
      </w:r>
      <w:r w:rsidRPr="00B35E03">
        <w:rPr>
          <w:rFonts w:ascii="Arial" w:hAnsi="Arial" w:cs="Arial"/>
          <w:sz w:val="24"/>
          <w:szCs w:val="24"/>
        </w:rPr>
        <w:t xml:space="preserve"> EA10</w:t>
      </w:r>
      <w:r>
        <w:rPr>
          <w:rFonts w:ascii="Arial" w:hAnsi="Arial" w:cs="Arial"/>
          <w:sz w:val="24"/>
          <w:szCs w:val="24"/>
        </w:rPr>
        <w:t>,</w:t>
      </w:r>
      <w:r w:rsidRPr="00B35E03">
        <w:rPr>
          <w:rFonts w:ascii="Arial" w:hAnsi="Arial" w:cs="Arial"/>
          <w:sz w:val="24"/>
          <w:szCs w:val="24"/>
        </w:rPr>
        <w:t xml:space="preserve"> s 192</w:t>
      </w:r>
    </w:p>
  </w:footnote>
  <w:footnote w:id="64">
    <w:p w:rsidR="006456EC" w:rsidRPr="00DB3F32" w:rsidRDefault="006456EC" w:rsidP="0075753B">
      <w:pPr>
        <w:pStyle w:val="FootnoteText"/>
        <w:jc w:val="both"/>
        <w:rPr>
          <w:rFonts w:ascii="Arial" w:hAnsi="Arial" w:cs="Arial"/>
          <w:sz w:val="24"/>
          <w:szCs w:val="24"/>
        </w:rPr>
      </w:pPr>
      <w:r w:rsidRPr="00DB3F32">
        <w:rPr>
          <w:rStyle w:val="FootnoteReference"/>
          <w:rFonts w:ascii="Arial" w:hAnsi="Arial" w:cs="Arial"/>
          <w:sz w:val="24"/>
          <w:szCs w:val="24"/>
        </w:rPr>
        <w:footnoteRef/>
      </w:r>
      <w:r w:rsidRPr="00DB3F32">
        <w:rPr>
          <w:rFonts w:ascii="Arial" w:hAnsi="Arial" w:cs="Arial"/>
          <w:sz w:val="24"/>
          <w:szCs w:val="24"/>
        </w:rPr>
        <w:t xml:space="preserve"> S</w:t>
      </w:r>
      <w:r>
        <w:rPr>
          <w:rFonts w:ascii="Arial" w:hAnsi="Arial" w:cs="Arial"/>
          <w:sz w:val="24"/>
          <w:szCs w:val="24"/>
        </w:rPr>
        <w:t>.</w:t>
      </w:r>
      <w:r w:rsidRPr="00DB3F32">
        <w:rPr>
          <w:rFonts w:ascii="Arial" w:hAnsi="Arial" w:cs="Arial"/>
          <w:sz w:val="24"/>
          <w:szCs w:val="24"/>
        </w:rPr>
        <w:t>W</w:t>
      </w:r>
      <w:r>
        <w:rPr>
          <w:rFonts w:ascii="Arial" w:hAnsi="Arial" w:cs="Arial"/>
          <w:sz w:val="24"/>
          <w:szCs w:val="24"/>
        </w:rPr>
        <w:t>.</w:t>
      </w:r>
      <w:r w:rsidRPr="00DB3F32">
        <w:rPr>
          <w:rFonts w:ascii="Arial" w:hAnsi="Arial" w:cs="Arial"/>
          <w:sz w:val="24"/>
          <w:szCs w:val="24"/>
        </w:rPr>
        <w:t xml:space="preserve"> Crawford, ‘Racial Integration in the Army – A Historical Perspective’ (1995) 111 </w:t>
      </w:r>
      <w:r w:rsidRPr="00805FA5">
        <w:rPr>
          <w:rFonts w:ascii="Arial" w:hAnsi="Arial" w:cs="Arial"/>
          <w:i/>
          <w:sz w:val="24"/>
          <w:szCs w:val="24"/>
        </w:rPr>
        <w:t>British Army Review</w:t>
      </w:r>
      <w:r w:rsidRPr="00DB3F32">
        <w:rPr>
          <w:rFonts w:ascii="Arial" w:hAnsi="Arial" w:cs="Arial"/>
          <w:sz w:val="24"/>
          <w:szCs w:val="24"/>
        </w:rPr>
        <w:t xml:space="preserve"> 24</w:t>
      </w:r>
    </w:p>
  </w:footnote>
  <w:footnote w:id="65">
    <w:p w:rsidR="006456EC" w:rsidRPr="00324B98" w:rsidRDefault="006456EC" w:rsidP="0075753B">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A</w:t>
      </w:r>
      <w:r>
        <w:rPr>
          <w:rFonts w:ascii="Arial" w:hAnsi="Arial" w:cs="Arial"/>
          <w:sz w:val="24"/>
          <w:szCs w:val="24"/>
        </w:rPr>
        <w:t>.</w:t>
      </w:r>
      <w:r w:rsidRPr="00324B98">
        <w:rPr>
          <w:rFonts w:ascii="Arial" w:hAnsi="Arial" w:cs="Arial"/>
          <w:sz w:val="24"/>
          <w:szCs w:val="24"/>
        </w:rPr>
        <w:t>W</w:t>
      </w:r>
      <w:r>
        <w:rPr>
          <w:rFonts w:ascii="Arial" w:hAnsi="Arial" w:cs="Arial"/>
          <w:sz w:val="24"/>
          <w:szCs w:val="24"/>
        </w:rPr>
        <w:t>.</w:t>
      </w:r>
      <w:r w:rsidRPr="00324B98">
        <w:rPr>
          <w:rFonts w:ascii="Arial" w:hAnsi="Arial" w:cs="Arial"/>
          <w:sz w:val="24"/>
          <w:szCs w:val="24"/>
        </w:rPr>
        <w:t xml:space="preserve"> Bradley, ‘Racial Discrimination and the Public Sector’ [1991] PL 317 – the Race Relations Act 1965 exempted any act by the Crown or on Crown premises</w:t>
      </w:r>
    </w:p>
  </w:footnote>
  <w:footnote w:id="66">
    <w:p w:rsidR="006456EC" w:rsidRPr="00324B98" w:rsidRDefault="006456EC" w:rsidP="0075753B">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J</w:t>
      </w:r>
      <w:r>
        <w:rPr>
          <w:rFonts w:ascii="Arial" w:hAnsi="Arial" w:cs="Arial"/>
          <w:sz w:val="24"/>
          <w:szCs w:val="24"/>
        </w:rPr>
        <w:t>.</w:t>
      </w:r>
      <w:r w:rsidRPr="00324B98">
        <w:rPr>
          <w:rFonts w:ascii="Arial" w:hAnsi="Arial" w:cs="Arial"/>
          <w:sz w:val="24"/>
          <w:szCs w:val="24"/>
        </w:rPr>
        <w:t>K</w:t>
      </w:r>
      <w:r>
        <w:rPr>
          <w:rFonts w:ascii="Arial" w:hAnsi="Arial" w:cs="Arial"/>
          <w:sz w:val="24"/>
          <w:szCs w:val="24"/>
        </w:rPr>
        <w:t>.</w:t>
      </w:r>
      <w:r w:rsidRPr="00324B98">
        <w:rPr>
          <w:rFonts w:ascii="Arial" w:hAnsi="Arial" w:cs="Arial"/>
          <w:sz w:val="24"/>
          <w:szCs w:val="24"/>
        </w:rPr>
        <w:t xml:space="preserve"> Wither, ‘Battling Bullying in the British Army 1987-2004’ (2004) 1 </w:t>
      </w:r>
      <w:r w:rsidRPr="00805FA5">
        <w:rPr>
          <w:rFonts w:ascii="Arial" w:hAnsi="Arial" w:cs="Arial"/>
          <w:i/>
          <w:sz w:val="24"/>
          <w:szCs w:val="24"/>
        </w:rPr>
        <w:t>Journal of Power Institutions in Post-Soviet Societies</w:t>
      </w:r>
      <w:r>
        <w:rPr>
          <w:rFonts w:ascii="Arial" w:hAnsi="Arial" w:cs="Arial"/>
          <w:sz w:val="24"/>
          <w:szCs w:val="24"/>
        </w:rPr>
        <w:t xml:space="preserve"> 2</w:t>
      </w:r>
    </w:p>
  </w:footnote>
  <w:footnote w:id="67">
    <w:p w:rsidR="006456EC" w:rsidRPr="00324B98" w:rsidRDefault="006456EC" w:rsidP="0075753B">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Commission for Racial Equality, </w:t>
      </w:r>
      <w:r w:rsidRPr="00324B98">
        <w:rPr>
          <w:rFonts w:ascii="Arial" w:hAnsi="Arial" w:cs="Arial"/>
          <w:i/>
          <w:sz w:val="24"/>
          <w:szCs w:val="24"/>
        </w:rPr>
        <w:t>Report of a Formal Investigation into the Ministry of Defence (Household Cavalry)</w:t>
      </w:r>
      <w:r w:rsidRPr="00324B98">
        <w:rPr>
          <w:rFonts w:ascii="Arial" w:hAnsi="Arial" w:cs="Arial"/>
          <w:sz w:val="24"/>
          <w:szCs w:val="24"/>
        </w:rPr>
        <w:t xml:space="preserve"> (London</w:t>
      </w:r>
      <w:r>
        <w:rPr>
          <w:rFonts w:ascii="Arial" w:hAnsi="Arial" w:cs="Arial"/>
          <w:sz w:val="24"/>
          <w:szCs w:val="24"/>
        </w:rPr>
        <w:t>:</w:t>
      </w:r>
      <w:r w:rsidRPr="00324B98">
        <w:rPr>
          <w:rFonts w:ascii="Arial" w:hAnsi="Arial" w:cs="Arial"/>
          <w:sz w:val="24"/>
          <w:szCs w:val="24"/>
        </w:rPr>
        <w:t xml:space="preserve"> CRE, 1996)</w:t>
      </w:r>
    </w:p>
  </w:footnote>
  <w:footnote w:id="68">
    <w:p w:rsidR="006456EC" w:rsidRPr="00324B98" w:rsidRDefault="006456EC" w:rsidP="0075753B">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w:t>
      </w:r>
      <w:r w:rsidRPr="00EE5957">
        <w:rPr>
          <w:rFonts w:ascii="Arial" w:hAnsi="Arial" w:cs="Arial"/>
          <w:i/>
          <w:sz w:val="24"/>
          <w:szCs w:val="24"/>
        </w:rPr>
        <w:t>R v Army Board of the Defence Council ex parte Anderson</w:t>
      </w:r>
      <w:r w:rsidRPr="00324B98">
        <w:rPr>
          <w:rFonts w:ascii="Arial" w:hAnsi="Arial" w:cs="Arial"/>
          <w:sz w:val="24"/>
          <w:szCs w:val="24"/>
        </w:rPr>
        <w:t xml:space="preserve"> [1991] ICR 537</w:t>
      </w:r>
    </w:p>
  </w:footnote>
  <w:footnote w:id="69">
    <w:p w:rsidR="006456EC" w:rsidRPr="00A9076E" w:rsidRDefault="006456EC" w:rsidP="0075753B">
      <w:pPr>
        <w:pStyle w:val="FootnoteText"/>
        <w:jc w:val="both"/>
        <w:rPr>
          <w:rFonts w:ascii="Arial" w:hAnsi="Arial" w:cs="Arial"/>
          <w:sz w:val="24"/>
          <w:szCs w:val="24"/>
        </w:rPr>
      </w:pPr>
      <w:r w:rsidRPr="00A9076E">
        <w:rPr>
          <w:rStyle w:val="FootnoteReference"/>
          <w:rFonts w:ascii="Arial" w:hAnsi="Arial" w:cs="Arial"/>
          <w:sz w:val="24"/>
          <w:szCs w:val="24"/>
        </w:rPr>
        <w:footnoteRef/>
      </w:r>
      <w:r w:rsidRPr="00A9076E">
        <w:rPr>
          <w:rFonts w:ascii="Arial" w:hAnsi="Arial" w:cs="Arial"/>
          <w:sz w:val="24"/>
          <w:szCs w:val="24"/>
        </w:rPr>
        <w:t xml:space="preserve"> Ministry of Defence, </w:t>
      </w:r>
      <w:r w:rsidRPr="00A9076E">
        <w:rPr>
          <w:rFonts w:ascii="Arial" w:hAnsi="Arial" w:cs="Arial"/>
          <w:i/>
          <w:sz w:val="24"/>
          <w:szCs w:val="24"/>
        </w:rPr>
        <w:t xml:space="preserve">Strategic Defence Review, </w:t>
      </w:r>
      <w:r w:rsidRPr="00796111">
        <w:rPr>
          <w:rFonts w:ascii="Arial" w:hAnsi="Arial" w:cs="Arial"/>
          <w:sz w:val="24"/>
          <w:szCs w:val="24"/>
        </w:rPr>
        <w:t>Cm 3999</w:t>
      </w:r>
      <w:r w:rsidRPr="00A9076E">
        <w:rPr>
          <w:rFonts w:ascii="Arial" w:hAnsi="Arial" w:cs="Arial"/>
          <w:i/>
          <w:sz w:val="24"/>
          <w:szCs w:val="24"/>
        </w:rPr>
        <w:t xml:space="preserve"> </w:t>
      </w:r>
      <w:r>
        <w:rPr>
          <w:rFonts w:ascii="Arial" w:hAnsi="Arial" w:cs="Arial"/>
          <w:sz w:val="24"/>
          <w:szCs w:val="24"/>
        </w:rPr>
        <w:t>(</w:t>
      </w:r>
      <w:r w:rsidRPr="00A9076E">
        <w:rPr>
          <w:rFonts w:ascii="Arial" w:hAnsi="Arial" w:cs="Arial"/>
          <w:sz w:val="24"/>
          <w:szCs w:val="24"/>
        </w:rPr>
        <w:t>London</w:t>
      </w:r>
      <w:r>
        <w:rPr>
          <w:rFonts w:ascii="Arial" w:hAnsi="Arial" w:cs="Arial"/>
          <w:sz w:val="24"/>
          <w:szCs w:val="24"/>
        </w:rPr>
        <w:t>:</w:t>
      </w:r>
      <w:r w:rsidRPr="00A9076E">
        <w:rPr>
          <w:rFonts w:ascii="Arial" w:hAnsi="Arial" w:cs="Arial"/>
          <w:sz w:val="24"/>
          <w:szCs w:val="24"/>
        </w:rPr>
        <w:t xml:space="preserve"> </w:t>
      </w:r>
      <w:r w:rsidR="007756D6">
        <w:rPr>
          <w:rFonts w:ascii="Arial" w:hAnsi="Arial" w:cs="Arial"/>
          <w:sz w:val="24"/>
          <w:szCs w:val="24"/>
        </w:rPr>
        <w:t>Mo</w:t>
      </w:r>
      <w:r w:rsidRPr="00A9076E">
        <w:rPr>
          <w:rFonts w:ascii="Arial" w:hAnsi="Arial" w:cs="Arial"/>
          <w:sz w:val="24"/>
          <w:szCs w:val="24"/>
        </w:rPr>
        <w:t>D, 1998) para 121</w:t>
      </w:r>
    </w:p>
  </w:footnote>
  <w:footnote w:id="70">
    <w:p w:rsidR="006456EC" w:rsidRPr="00A9076E" w:rsidRDefault="006456EC" w:rsidP="0075753B">
      <w:pPr>
        <w:pStyle w:val="FootnoteText"/>
        <w:jc w:val="both"/>
        <w:rPr>
          <w:rFonts w:ascii="Arial" w:hAnsi="Arial" w:cs="Arial"/>
          <w:sz w:val="24"/>
          <w:szCs w:val="24"/>
        </w:rPr>
      </w:pPr>
      <w:r w:rsidRPr="00A9076E">
        <w:rPr>
          <w:rStyle w:val="FootnoteReference"/>
          <w:rFonts w:ascii="Arial" w:hAnsi="Arial" w:cs="Arial"/>
          <w:sz w:val="24"/>
          <w:szCs w:val="24"/>
        </w:rPr>
        <w:footnoteRef/>
      </w:r>
      <w:r>
        <w:rPr>
          <w:rFonts w:ascii="Arial" w:hAnsi="Arial" w:cs="Arial"/>
          <w:sz w:val="24"/>
          <w:szCs w:val="24"/>
        </w:rPr>
        <w:t xml:space="preserve"> ibid</w:t>
      </w:r>
      <w:r w:rsidRPr="00A9076E">
        <w:rPr>
          <w:rFonts w:ascii="Arial" w:hAnsi="Arial" w:cs="Arial"/>
          <w:sz w:val="24"/>
          <w:szCs w:val="24"/>
        </w:rPr>
        <w:t xml:space="preserve"> para 127</w:t>
      </w:r>
    </w:p>
  </w:footnote>
  <w:footnote w:id="71">
    <w:p w:rsidR="006456EC" w:rsidRPr="00A9076E" w:rsidRDefault="006456EC" w:rsidP="0075753B">
      <w:pPr>
        <w:pStyle w:val="FootnoteText"/>
        <w:jc w:val="both"/>
        <w:rPr>
          <w:rFonts w:ascii="Arial" w:hAnsi="Arial" w:cs="Arial"/>
          <w:sz w:val="24"/>
          <w:szCs w:val="24"/>
        </w:rPr>
      </w:pPr>
      <w:r w:rsidRPr="00A9076E">
        <w:rPr>
          <w:rStyle w:val="FootnoteReference"/>
          <w:rFonts w:ascii="Arial" w:hAnsi="Arial" w:cs="Arial"/>
          <w:sz w:val="24"/>
          <w:szCs w:val="24"/>
        </w:rPr>
        <w:footnoteRef/>
      </w:r>
      <w:r>
        <w:rPr>
          <w:rFonts w:ascii="Arial" w:hAnsi="Arial" w:cs="Arial"/>
          <w:sz w:val="24"/>
          <w:szCs w:val="24"/>
        </w:rPr>
        <w:t xml:space="preserve"> ibid</w:t>
      </w:r>
      <w:r w:rsidRPr="00A9076E">
        <w:rPr>
          <w:rFonts w:ascii="Arial" w:hAnsi="Arial" w:cs="Arial"/>
          <w:sz w:val="24"/>
          <w:szCs w:val="24"/>
        </w:rPr>
        <w:t xml:space="preserve"> Essay 9 para 18</w:t>
      </w:r>
    </w:p>
  </w:footnote>
  <w:footnote w:id="72">
    <w:p w:rsidR="006456EC" w:rsidRPr="00A9076E" w:rsidRDefault="006456EC" w:rsidP="0075753B">
      <w:pPr>
        <w:pStyle w:val="FootnoteText"/>
        <w:jc w:val="both"/>
        <w:rPr>
          <w:rFonts w:ascii="Arial" w:hAnsi="Arial" w:cs="Arial"/>
          <w:sz w:val="24"/>
          <w:szCs w:val="24"/>
        </w:rPr>
      </w:pPr>
      <w:r w:rsidRPr="00A9076E">
        <w:rPr>
          <w:rStyle w:val="FootnoteReference"/>
          <w:rFonts w:ascii="Arial" w:hAnsi="Arial" w:cs="Arial"/>
          <w:sz w:val="24"/>
          <w:szCs w:val="24"/>
        </w:rPr>
        <w:footnoteRef/>
      </w:r>
      <w:r>
        <w:rPr>
          <w:rFonts w:ascii="Arial" w:hAnsi="Arial" w:cs="Arial"/>
          <w:sz w:val="24"/>
          <w:szCs w:val="24"/>
        </w:rPr>
        <w:t xml:space="preserve"> ibid</w:t>
      </w:r>
      <w:r w:rsidRPr="00A9076E">
        <w:rPr>
          <w:rFonts w:ascii="Arial" w:hAnsi="Arial" w:cs="Arial"/>
          <w:sz w:val="24"/>
          <w:szCs w:val="24"/>
        </w:rPr>
        <w:t xml:space="preserve"> Essay 9 para 41</w:t>
      </w:r>
    </w:p>
  </w:footnote>
  <w:footnote w:id="73">
    <w:p w:rsidR="006456EC" w:rsidRPr="00F56165" w:rsidRDefault="006456EC" w:rsidP="0075753B">
      <w:pPr>
        <w:pStyle w:val="FootnoteText"/>
        <w:jc w:val="both"/>
        <w:rPr>
          <w:rFonts w:ascii="Arial" w:hAnsi="Arial" w:cs="Arial"/>
        </w:rPr>
      </w:pPr>
      <w:r w:rsidRPr="00A9076E">
        <w:rPr>
          <w:rStyle w:val="FootnoteReference"/>
          <w:rFonts w:ascii="Arial" w:hAnsi="Arial" w:cs="Arial"/>
          <w:sz w:val="24"/>
          <w:szCs w:val="24"/>
        </w:rPr>
        <w:footnoteRef/>
      </w:r>
      <w:r>
        <w:rPr>
          <w:rFonts w:ascii="Arial" w:hAnsi="Arial" w:cs="Arial"/>
          <w:sz w:val="24"/>
          <w:szCs w:val="24"/>
        </w:rPr>
        <w:t xml:space="preserve"> i</w:t>
      </w:r>
      <w:r w:rsidRPr="00A9076E">
        <w:rPr>
          <w:rFonts w:ascii="Arial" w:hAnsi="Arial" w:cs="Arial"/>
          <w:sz w:val="24"/>
          <w:szCs w:val="24"/>
        </w:rPr>
        <w:t>bid Essay 9 para 80</w:t>
      </w:r>
    </w:p>
  </w:footnote>
  <w:footnote w:id="74">
    <w:p w:rsidR="006456EC" w:rsidRPr="00324B98" w:rsidRDefault="006456EC" w:rsidP="0075753B">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C</w:t>
      </w:r>
      <w:r>
        <w:rPr>
          <w:rFonts w:ascii="Arial" w:hAnsi="Arial" w:cs="Arial"/>
          <w:sz w:val="24"/>
          <w:szCs w:val="24"/>
        </w:rPr>
        <w:t>.</w:t>
      </w:r>
      <w:r w:rsidRPr="00324B98">
        <w:rPr>
          <w:rFonts w:ascii="Arial" w:hAnsi="Arial" w:cs="Arial"/>
          <w:sz w:val="24"/>
          <w:szCs w:val="24"/>
        </w:rPr>
        <w:t xml:space="preserve"> Dandeker, D</w:t>
      </w:r>
      <w:r>
        <w:rPr>
          <w:rFonts w:ascii="Arial" w:hAnsi="Arial" w:cs="Arial"/>
          <w:sz w:val="24"/>
          <w:szCs w:val="24"/>
        </w:rPr>
        <w:t>.</w:t>
      </w:r>
      <w:r w:rsidRPr="00324B98">
        <w:rPr>
          <w:rFonts w:ascii="Arial" w:hAnsi="Arial" w:cs="Arial"/>
          <w:sz w:val="24"/>
          <w:szCs w:val="24"/>
        </w:rPr>
        <w:t xml:space="preserve"> Mason, ‘</w:t>
      </w:r>
      <w:proofErr w:type="gramStart"/>
      <w:r w:rsidRPr="00324B98">
        <w:rPr>
          <w:rFonts w:ascii="Arial" w:hAnsi="Arial" w:cs="Arial"/>
          <w:sz w:val="24"/>
          <w:szCs w:val="24"/>
        </w:rPr>
        <w:t>The</w:t>
      </w:r>
      <w:proofErr w:type="gramEnd"/>
      <w:r w:rsidRPr="00324B98">
        <w:rPr>
          <w:rFonts w:ascii="Arial" w:hAnsi="Arial" w:cs="Arial"/>
          <w:sz w:val="24"/>
          <w:szCs w:val="24"/>
        </w:rPr>
        <w:t xml:space="preserve"> British Armed Services and the Participation of Minority Ethnic Communities: From Equal Opportunities to Diversity?’ </w:t>
      </w:r>
      <w:proofErr w:type="gramStart"/>
      <w:r w:rsidRPr="00324B98">
        <w:rPr>
          <w:rFonts w:ascii="Arial" w:hAnsi="Arial" w:cs="Arial"/>
          <w:sz w:val="24"/>
          <w:szCs w:val="24"/>
        </w:rPr>
        <w:t xml:space="preserve">(2001) 49 </w:t>
      </w:r>
      <w:r w:rsidRPr="00805FA5">
        <w:rPr>
          <w:rFonts w:ascii="Arial" w:hAnsi="Arial" w:cs="Arial"/>
          <w:i/>
          <w:sz w:val="24"/>
          <w:szCs w:val="24"/>
        </w:rPr>
        <w:t>Sociological Review</w:t>
      </w:r>
      <w:r w:rsidRPr="00324B98">
        <w:rPr>
          <w:rFonts w:ascii="Arial" w:hAnsi="Arial" w:cs="Arial"/>
          <w:sz w:val="24"/>
          <w:szCs w:val="24"/>
        </w:rPr>
        <w:t xml:space="preserve"> 219; C</w:t>
      </w:r>
      <w:r>
        <w:rPr>
          <w:rFonts w:ascii="Arial" w:hAnsi="Arial" w:cs="Arial"/>
          <w:sz w:val="24"/>
          <w:szCs w:val="24"/>
        </w:rPr>
        <w:t>.</w:t>
      </w:r>
      <w:r w:rsidRPr="00324B98">
        <w:rPr>
          <w:rFonts w:ascii="Arial" w:hAnsi="Arial" w:cs="Arial"/>
          <w:sz w:val="24"/>
          <w:szCs w:val="24"/>
        </w:rPr>
        <w:t xml:space="preserve"> Dandeker, D</w:t>
      </w:r>
      <w:r>
        <w:rPr>
          <w:rFonts w:ascii="Arial" w:hAnsi="Arial" w:cs="Arial"/>
          <w:sz w:val="24"/>
          <w:szCs w:val="24"/>
        </w:rPr>
        <w:t>.</w:t>
      </w:r>
      <w:r w:rsidRPr="00324B98">
        <w:rPr>
          <w:rFonts w:ascii="Arial" w:hAnsi="Arial" w:cs="Arial"/>
          <w:sz w:val="24"/>
          <w:szCs w:val="24"/>
        </w:rPr>
        <w:t xml:space="preserve"> Mason, ‘Diversifying the Uniform?</w:t>
      </w:r>
      <w:proofErr w:type="gramEnd"/>
      <w:r w:rsidRPr="00324B98">
        <w:rPr>
          <w:rFonts w:ascii="Arial" w:hAnsi="Arial" w:cs="Arial"/>
          <w:sz w:val="24"/>
          <w:szCs w:val="24"/>
        </w:rPr>
        <w:t xml:space="preserve"> The Participation of Minority Ethnic Personnel in the British Armed Service’ (2003) 29 </w:t>
      </w:r>
      <w:r w:rsidRPr="00805FA5">
        <w:rPr>
          <w:rFonts w:ascii="Arial" w:hAnsi="Arial" w:cs="Arial"/>
          <w:i/>
          <w:sz w:val="24"/>
          <w:szCs w:val="24"/>
        </w:rPr>
        <w:t>Armed Forces and Society</w:t>
      </w:r>
      <w:r w:rsidRPr="00324B98">
        <w:rPr>
          <w:rFonts w:ascii="Arial" w:hAnsi="Arial" w:cs="Arial"/>
          <w:sz w:val="24"/>
          <w:szCs w:val="24"/>
        </w:rPr>
        <w:t xml:space="preserve"> 481</w:t>
      </w:r>
    </w:p>
  </w:footnote>
  <w:footnote w:id="75">
    <w:p w:rsidR="006456EC" w:rsidRPr="00324B98" w:rsidRDefault="006456EC" w:rsidP="0075753B">
      <w:pPr>
        <w:pStyle w:val="FootnoteText"/>
        <w:jc w:val="both"/>
        <w:rPr>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A</w:t>
      </w:r>
      <w:r>
        <w:rPr>
          <w:rFonts w:ascii="Arial" w:hAnsi="Arial" w:cs="Arial"/>
          <w:sz w:val="24"/>
          <w:szCs w:val="24"/>
        </w:rPr>
        <w:t>.</w:t>
      </w:r>
      <w:r w:rsidRPr="00324B98">
        <w:rPr>
          <w:rFonts w:ascii="Arial" w:hAnsi="Arial" w:cs="Arial"/>
          <w:sz w:val="24"/>
          <w:szCs w:val="24"/>
        </w:rPr>
        <w:t xml:space="preserve"> Hussain, M</w:t>
      </w:r>
      <w:r>
        <w:rPr>
          <w:rFonts w:ascii="Arial" w:hAnsi="Arial" w:cs="Arial"/>
          <w:sz w:val="24"/>
          <w:szCs w:val="24"/>
        </w:rPr>
        <w:t>.</w:t>
      </w:r>
      <w:r w:rsidRPr="00324B98">
        <w:rPr>
          <w:rFonts w:ascii="Arial" w:hAnsi="Arial" w:cs="Arial"/>
          <w:sz w:val="24"/>
          <w:szCs w:val="24"/>
        </w:rPr>
        <w:t xml:space="preserve"> Ishaq, ‘Scottish Pakistani Muslims’ Perceptions of the Armed Forces’ (2002) 38 </w:t>
      </w:r>
      <w:r w:rsidRPr="00805FA5">
        <w:rPr>
          <w:rFonts w:ascii="Arial" w:hAnsi="Arial" w:cs="Arial"/>
          <w:i/>
          <w:sz w:val="24"/>
          <w:szCs w:val="24"/>
        </w:rPr>
        <w:t>Scottish Affairs</w:t>
      </w:r>
      <w:r>
        <w:rPr>
          <w:rFonts w:ascii="Arial" w:hAnsi="Arial" w:cs="Arial"/>
          <w:sz w:val="24"/>
          <w:szCs w:val="24"/>
        </w:rPr>
        <w:t xml:space="preserve"> 27</w:t>
      </w:r>
      <w:r w:rsidRPr="00324B98">
        <w:rPr>
          <w:rFonts w:ascii="Arial" w:hAnsi="Arial" w:cs="Arial"/>
          <w:sz w:val="24"/>
          <w:szCs w:val="24"/>
        </w:rPr>
        <w:t>; A</w:t>
      </w:r>
      <w:r>
        <w:rPr>
          <w:rFonts w:ascii="Arial" w:hAnsi="Arial" w:cs="Arial"/>
          <w:sz w:val="24"/>
          <w:szCs w:val="24"/>
        </w:rPr>
        <w:t>.</w:t>
      </w:r>
      <w:r w:rsidRPr="00324B98">
        <w:rPr>
          <w:rFonts w:ascii="Arial" w:hAnsi="Arial" w:cs="Arial"/>
          <w:sz w:val="24"/>
          <w:szCs w:val="24"/>
        </w:rPr>
        <w:t xml:space="preserve"> Hussain, M</w:t>
      </w:r>
      <w:r>
        <w:rPr>
          <w:rFonts w:ascii="Arial" w:hAnsi="Arial" w:cs="Arial"/>
          <w:sz w:val="24"/>
          <w:szCs w:val="24"/>
        </w:rPr>
        <w:t>.</w:t>
      </w:r>
      <w:r w:rsidRPr="00324B98">
        <w:rPr>
          <w:rFonts w:ascii="Arial" w:hAnsi="Arial" w:cs="Arial"/>
          <w:sz w:val="24"/>
          <w:szCs w:val="24"/>
        </w:rPr>
        <w:t xml:space="preserve"> Ishaq, ‘British Pakistani Muslims’ Perceptions of the Armed Forces’ (2002) 28 </w:t>
      </w:r>
      <w:r w:rsidRPr="00717498">
        <w:rPr>
          <w:rFonts w:ascii="Arial" w:hAnsi="Arial" w:cs="Arial"/>
          <w:i/>
          <w:sz w:val="24"/>
          <w:szCs w:val="24"/>
        </w:rPr>
        <w:t>Armed Forces and Society</w:t>
      </w:r>
      <w:r w:rsidRPr="00324B98">
        <w:rPr>
          <w:rFonts w:ascii="Arial" w:hAnsi="Arial" w:cs="Arial"/>
          <w:sz w:val="24"/>
          <w:szCs w:val="24"/>
        </w:rPr>
        <w:t xml:space="preserve"> 601; M</w:t>
      </w:r>
      <w:r>
        <w:rPr>
          <w:rFonts w:ascii="Arial" w:hAnsi="Arial" w:cs="Arial"/>
          <w:sz w:val="24"/>
          <w:szCs w:val="24"/>
        </w:rPr>
        <w:t>.</w:t>
      </w:r>
      <w:r w:rsidRPr="00324B98">
        <w:rPr>
          <w:rFonts w:ascii="Arial" w:hAnsi="Arial" w:cs="Arial"/>
          <w:sz w:val="24"/>
          <w:szCs w:val="24"/>
        </w:rPr>
        <w:t xml:space="preserve"> Ishaq, A</w:t>
      </w:r>
      <w:r>
        <w:rPr>
          <w:rFonts w:ascii="Arial" w:hAnsi="Arial" w:cs="Arial"/>
          <w:sz w:val="24"/>
          <w:szCs w:val="24"/>
        </w:rPr>
        <w:t>.</w:t>
      </w:r>
      <w:r w:rsidRPr="00324B98">
        <w:rPr>
          <w:rFonts w:ascii="Arial" w:hAnsi="Arial" w:cs="Arial"/>
          <w:sz w:val="24"/>
          <w:szCs w:val="24"/>
        </w:rPr>
        <w:t xml:space="preserve"> Hussein, ‘British Ethnic Minority Communities and the Armed Forces’ (2002) 31 </w:t>
      </w:r>
      <w:r w:rsidRPr="00717498">
        <w:rPr>
          <w:rFonts w:ascii="Arial" w:hAnsi="Arial" w:cs="Arial"/>
          <w:i/>
          <w:sz w:val="24"/>
          <w:szCs w:val="24"/>
        </w:rPr>
        <w:t>Personnel Review</w:t>
      </w:r>
      <w:r w:rsidRPr="00324B98">
        <w:rPr>
          <w:rFonts w:ascii="Arial" w:hAnsi="Arial" w:cs="Arial"/>
          <w:sz w:val="24"/>
          <w:szCs w:val="24"/>
        </w:rPr>
        <w:t xml:space="preserve"> 722; A</w:t>
      </w:r>
      <w:r>
        <w:rPr>
          <w:rFonts w:ascii="Arial" w:hAnsi="Arial" w:cs="Arial"/>
          <w:sz w:val="24"/>
          <w:szCs w:val="24"/>
        </w:rPr>
        <w:t>.</w:t>
      </w:r>
      <w:r w:rsidRPr="00324B98">
        <w:rPr>
          <w:rFonts w:ascii="Arial" w:hAnsi="Arial" w:cs="Arial"/>
          <w:sz w:val="24"/>
          <w:szCs w:val="24"/>
        </w:rPr>
        <w:t xml:space="preserve"> Hussain, M</w:t>
      </w:r>
      <w:r>
        <w:rPr>
          <w:rFonts w:ascii="Arial" w:hAnsi="Arial" w:cs="Arial"/>
          <w:sz w:val="24"/>
          <w:szCs w:val="24"/>
        </w:rPr>
        <w:t>.</w:t>
      </w:r>
      <w:r w:rsidRPr="00324B98">
        <w:rPr>
          <w:rFonts w:ascii="Arial" w:hAnsi="Arial" w:cs="Arial"/>
          <w:sz w:val="24"/>
          <w:szCs w:val="24"/>
        </w:rPr>
        <w:t xml:space="preserve"> Ishaq, ‘Promoting Equality of Opportunity in the British Armed Forces’ (2003) 3 </w:t>
      </w:r>
      <w:r w:rsidRPr="00717498">
        <w:rPr>
          <w:rFonts w:ascii="Arial" w:hAnsi="Arial" w:cs="Arial"/>
          <w:i/>
          <w:sz w:val="24"/>
          <w:szCs w:val="24"/>
        </w:rPr>
        <w:t>Defence Studies</w:t>
      </w:r>
      <w:r w:rsidRPr="00324B98">
        <w:rPr>
          <w:rFonts w:ascii="Arial" w:hAnsi="Arial" w:cs="Arial"/>
          <w:sz w:val="24"/>
          <w:szCs w:val="24"/>
        </w:rPr>
        <w:t xml:space="preserve"> 87; A</w:t>
      </w:r>
      <w:r>
        <w:rPr>
          <w:rFonts w:ascii="Arial" w:hAnsi="Arial" w:cs="Arial"/>
          <w:sz w:val="24"/>
          <w:szCs w:val="24"/>
        </w:rPr>
        <w:t>.</w:t>
      </w:r>
      <w:r w:rsidRPr="00324B98">
        <w:rPr>
          <w:rFonts w:ascii="Arial" w:hAnsi="Arial" w:cs="Arial"/>
          <w:sz w:val="24"/>
          <w:szCs w:val="24"/>
        </w:rPr>
        <w:t xml:space="preserve"> Hussein, ‘Careers in the British Armed Forces: A Black African Caribbean Viewpoint’ (2003) 33 </w:t>
      </w:r>
      <w:r w:rsidRPr="00717498">
        <w:rPr>
          <w:rFonts w:ascii="Arial" w:hAnsi="Arial" w:cs="Arial"/>
          <w:i/>
          <w:sz w:val="24"/>
          <w:szCs w:val="24"/>
        </w:rPr>
        <w:t>Journal of Black Studies</w:t>
      </w:r>
      <w:r w:rsidRPr="00324B98">
        <w:rPr>
          <w:rFonts w:ascii="Arial" w:hAnsi="Arial" w:cs="Arial"/>
          <w:sz w:val="24"/>
          <w:szCs w:val="24"/>
        </w:rPr>
        <w:t xml:space="preserve"> 312</w:t>
      </w:r>
    </w:p>
  </w:footnote>
  <w:footnote w:id="76">
    <w:p w:rsidR="006456EC" w:rsidRPr="00625BB3" w:rsidRDefault="006456EC" w:rsidP="0075753B">
      <w:pPr>
        <w:pStyle w:val="FootnoteText"/>
        <w:rPr>
          <w:rFonts w:ascii="Arial" w:hAnsi="Arial" w:cs="Arial"/>
          <w:sz w:val="24"/>
          <w:szCs w:val="24"/>
        </w:rPr>
      </w:pPr>
      <w:r w:rsidRPr="00625BB3">
        <w:rPr>
          <w:rStyle w:val="FootnoteReference"/>
          <w:rFonts w:ascii="Arial" w:hAnsi="Arial" w:cs="Arial"/>
          <w:sz w:val="24"/>
          <w:szCs w:val="24"/>
        </w:rPr>
        <w:footnoteRef/>
      </w:r>
      <w:r w:rsidRPr="00625BB3">
        <w:rPr>
          <w:rFonts w:ascii="Arial" w:hAnsi="Arial" w:cs="Arial"/>
          <w:sz w:val="24"/>
          <w:szCs w:val="24"/>
        </w:rPr>
        <w:t xml:space="preserve"> Ministry of Defence, </w:t>
      </w:r>
      <w:r w:rsidRPr="00625BB3">
        <w:rPr>
          <w:rFonts w:ascii="Arial" w:hAnsi="Arial" w:cs="Arial"/>
          <w:i/>
          <w:sz w:val="24"/>
          <w:szCs w:val="24"/>
        </w:rPr>
        <w:t>Race Equality Scheme 2002-2005 for the Ministry of Defence: Armed Forces, Civil Servants and Ministry of Defence Police</w:t>
      </w:r>
      <w:r>
        <w:rPr>
          <w:rFonts w:ascii="Arial" w:hAnsi="Arial" w:cs="Arial"/>
          <w:sz w:val="24"/>
          <w:szCs w:val="24"/>
        </w:rPr>
        <w:t xml:space="preserve"> (</w:t>
      </w:r>
      <w:r w:rsidRPr="00625BB3">
        <w:rPr>
          <w:rFonts w:ascii="Arial" w:hAnsi="Arial" w:cs="Arial"/>
          <w:sz w:val="24"/>
          <w:szCs w:val="24"/>
        </w:rPr>
        <w:t>London</w:t>
      </w:r>
      <w:r>
        <w:rPr>
          <w:rFonts w:ascii="Arial" w:hAnsi="Arial" w:cs="Arial"/>
          <w:sz w:val="24"/>
          <w:szCs w:val="24"/>
        </w:rPr>
        <w:t>:</w:t>
      </w:r>
      <w:r w:rsidRPr="00625BB3">
        <w:rPr>
          <w:rFonts w:ascii="Arial" w:hAnsi="Arial" w:cs="Arial"/>
          <w:sz w:val="24"/>
          <w:szCs w:val="24"/>
        </w:rPr>
        <w:t xml:space="preserve"> </w:t>
      </w:r>
      <w:r w:rsidR="007756D6">
        <w:rPr>
          <w:rFonts w:ascii="Arial" w:hAnsi="Arial" w:cs="Arial"/>
          <w:sz w:val="24"/>
          <w:szCs w:val="24"/>
        </w:rPr>
        <w:t>Mo</w:t>
      </w:r>
      <w:r w:rsidRPr="00625BB3">
        <w:rPr>
          <w:rFonts w:ascii="Arial" w:hAnsi="Arial" w:cs="Arial"/>
          <w:sz w:val="24"/>
          <w:szCs w:val="24"/>
        </w:rPr>
        <w:t xml:space="preserve">D, 2002) at </w:t>
      </w:r>
      <w:hyperlink r:id="rId1" w:history="1">
        <w:r w:rsidRPr="00625BB3">
          <w:rPr>
            <w:rStyle w:val="Hyperlink"/>
            <w:rFonts w:ascii="Arial" w:hAnsi="Arial" w:cs="Arial"/>
            <w:sz w:val="24"/>
            <w:szCs w:val="24"/>
          </w:rPr>
          <w:t>http://webarchive.nationalarchives.gov.uk/tna/+/http://www.mod.uk/issues/racial_equality/index.html</w:t>
        </w:r>
      </w:hyperlink>
      <w:r w:rsidRPr="00625BB3">
        <w:rPr>
          <w:rFonts w:ascii="Arial" w:hAnsi="Arial" w:cs="Arial"/>
          <w:sz w:val="24"/>
          <w:szCs w:val="24"/>
        </w:rPr>
        <w:t xml:space="preserve"> </w:t>
      </w:r>
      <w:r w:rsidR="00DF31BB">
        <w:rPr>
          <w:rFonts w:ascii="Arial" w:hAnsi="Arial" w:cs="Arial"/>
          <w:sz w:val="24"/>
          <w:szCs w:val="24"/>
        </w:rPr>
        <w:t>(last visited 15 March 2012)</w:t>
      </w:r>
    </w:p>
  </w:footnote>
  <w:footnote w:id="77">
    <w:p w:rsidR="006456EC" w:rsidRPr="009027DF" w:rsidRDefault="006456EC" w:rsidP="0075753B">
      <w:pPr>
        <w:pStyle w:val="FootnoteText"/>
        <w:jc w:val="both"/>
        <w:rPr>
          <w:rFonts w:ascii="Arial" w:hAnsi="Arial" w:cs="Arial"/>
          <w:sz w:val="24"/>
          <w:szCs w:val="24"/>
        </w:rPr>
      </w:pPr>
      <w:r w:rsidRPr="009027DF">
        <w:rPr>
          <w:rStyle w:val="FootnoteReference"/>
          <w:rFonts w:ascii="Arial" w:hAnsi="Arial" w:cs="Arial"/>
          <w:sz w:val="24"/>
          <w:szCs w:val="24"/>
        </w:rPr>
        <w:footnoteRef/>
      </w:r>
      <w:r w:rsidRPr="009027DF">
        <w:rPr>
          <w:rFonts w:ascii="Arial" w:hAnsi="Arial" w:cs="Arial"/>
          <w:sz w:val="24"/>
          <w:szCs w:val="24"/>
        </w:rPr>
        <w:t xml:space="preserve"> Ministry of Defence, </w:t>
      </w:r>
      <w:r w:rsidRPr="009027DF">
        <w:rPr>
          <w:rFonts w:ascii="Arial" w:hAnsi="Arial" w:cs="Arial"/>
          <w:i/>
          <w:sz w:val="24"/>
          <w:szCs w:val="24"/>
        </w:rPr>
        <w:t>Equality and Diversity Scheme 2006-2095</w:t>
      </w:r>
      <w:r w:rsidRPr="009027DF">
        <w:rPr>
          <w:rFonts w:ascii="Arial" w:hAnsi="Arial" w:cs="Arial"/>
          <w:sz w:val="24"/>
          <w:szCs w:val="24"/>
        </w:rPr>
        <w:t xml:space="preserve"> (London</w:t>
      </w:r>
      <w:r>
        <w:rPr>
          <w:rFonts w:ascii="Arial" w:hAnsi="Arial" w:cs="Arial"/>
          <w:sz w:val="24"/>
          <w:szCs w:val="24"/>
        </w:rPr>
        <w:t>:</w:t>
      </w:r>
      <w:r w:rsidRPr="009027DF">
        <w:rPr>
          <w:rFonts w:ascii="Arial" w:hAnsi="Arial" w:cs="Arial"/>
          <w:sz w:val="24"/>
          <w:szCs w:val="24"/>
        </w:rPr>
        <w:t xml:space="preserve"> MoD, 2002) at </w:t>
      </w:r>
      <w:hyperlink r:id="rId2" w:history="1">
        <w:r w:rsidRPr="009027DF">
          <w:rPr>
            <w:rStyle w:val="Hyperlink"/>
            <w:rFonts w:ascii="Arial" w:hAnsi="Arial" w:cs="Arial"/>
            <w:sz w:val="24"/>
            <w:szCs w:val="24"/>
          </w:rPr>
          <w:t>http://www.mod.uk/NR/rdonlyres/6D31D11A-8764-4DD8-9788-D20B5B14CA6D/0/eqdiversity_scheme2006_2009_ver1april06.pdf</w:t>
        </w:r>
      </w:hyperlink>
      <w:r w:rsidRPr="009027DF">
        <w:rPr>
          <w:rFonts w:ascii="Arial" w:hAnsi="Arial" w:cs="Arial"/>
          <w:sz w:val="24"/>
          <w:szCs w:val="24"/>
        </w:rPr>
        <w:t xml:space="preserve"> </w:t>
      </w:r>
      <w:r w:rsidR="00DF31BB">
        <w:rPr>
          <w:rFonts w:ascii="Arial" w:hAnsi="Arial" w:cs="Arial"/>
          <w:sz w:val="24"/>
          <w:szCs w:val="24"/>
        </w:rPr>
        <w:t>(last visited 15 March 2012)</w:t>
      </w:r>
    </w:p>
  </w:footnote>
  <w:footnote w:id="78">
    <w:p w:rsidR="006456EC" w:rsidRPr="009027DF" w:rsidRDefault="006456EC" w:rsidP="0075753B">
      <w:pPr>
        <w:pStyle w:val="FootnoteText"/>
        <w:jc w:val="both"/>
        <w:rPr>
          <w:rFonts w:ascii="Arial" w:hAnsi="Arial" w:cs="Arial"/>
          <w:sz w:val="24"/>
          <w:szCs w:val="24"/>
        </w:rPr>
      </w:pPr>
      <w:r w:rsidRPr="009027DF">
        <w:rPr>
          <w:rStyle w:val="FootnoteReference"/>
          <w:rFonts w:ascii="Arial" w:hAnsi="Arial" w:cs="Arial"/>
          <w:sz w:val="24"/>
          <w:szCs w:val="24"/>
        </w:rPr>
        <w:footnoteRef/>
      </w:r>
      <w:r w:rsidRPr="009027DF">
        <w:rPr>
          <w:rFonts w:ascii="Arial" w:hAnsi="Arial" w:cs="Arial"/>
          <w:sz w:val="24"/>
          <w:szCs w:val="24"/>
        </w:rPr>
        <w:t xml:space="preserve"> Ministry of Defence, </w:t>
      </w:r>
      <w:r w:rsidRPr="009027DF">
        <w:rPr>
          <w:rFonts w:ascii="Arial" w:hAnsi="Arial" w:cs="Arial"/>
          <w:i/>
          <w:sz w:val="24"/>
          <w:szCs w:val="24"/>
        </w:rPr>
        <w:t>Equality and Diversity Scheme 2008-2011</w:t>
      </w:r>
      <w:r w:rsidRPr="009027DF">
        <w:rPr>
          <w:rFonts w:ascii="Arial" w:hAnsi="Arial" w:cs="Arial"/>
          <w:sz w:val="24"/>
          <w:szCs w:val="24"/>
        </w:rPr>
        <w:t xml:space="preserve"> (London</w:t>
      </w:r>
      <w:r>
        <w:rPr>
          <w:rFonts w:ascii="Arial" w:hAnsi="Arial" w:cs="Arial"/>
          <w:sz w:val="24"/>
          <w:szCs w:val="24"/>
        </w:rPr>
        <w:t>:</w:t>
      </w:r>
      <w:r w:rsidRPr="009027DF">
        <w:rPr>
          <w:rFonts w:ascii="Arial" w:hAnsi="Arial" w:cs="Arial"/>
          <w:sz w:val="24"/>
          <w:szCs w:val="24"/>
        </w:rPr>
        <w:t xml:space="preserve"> MoD, 2002) at </w:t>
      </w:r>
      <w:hyperlink r:id="rId3" w:history="1">
        <w:r w:rsidRPr="009027DF">
          <w:rPr>
            <w:rStyle w:val="Hyperlink"/>
            <w:rFonts w:ascii="Arial" w:hAnsi="Arial" w:cs="Arial"/>
            <w:sz w:val="24"/>
            <w:szCs w:val="24"/>
          </w:rPr>
          <w:t>http://www.mod.uk/NR/rdonlyres/98E4EAB6-CE02-4F39-9EF2-17DD054C5905/0/eqdivschemes20082011.p</w:t>
        </w:r>
      </w:hyperlink>
      <w:r>
        <w:rPr>
          <w:rStyle w:val="Hyperlink"/>
          <w:rFonts w:ascii="Arial" w:hAnsi="Arial" w:cs="Arial"/>
          <w:sz w:val="24"/>
          <w:szCs w:val="24"/>
        </w:rPr>
        <w:t>df</w:t>
      </w:r>
      <w:r w:rsidRPr="009027DF">
        <w:rPr>
          <w:rFonts w:ascii="Arial" w:hAnsi="Arial" w:cs="Arial"/>
          <w:sz w:val="24"/>
          <w:szCs w:val="24"/>
        </w:rPr>
        <w:t xml:space="preserve"> </w:t>
      </w:r>
      <w:r w:rsidR="00DF31BB">
        <w:rPr>
          <w:rFonts w:ascii="Arial" w:hAnsi="Arial" w:cs="Arial"/>
          <w:sz w:val="24"/>
          <w:szCs w:val="24"/>
        </w:rPr>
        <w:t>(last visited 15 March 2012)</w:t>
      </w:r>
    </w:p>
  </w:footnote>
  <w:footnote w:id="79">
    <w:p w:rsidR="006456EC" w:rsidRPr="009027DF" w:rsidRDefault="006456EC" w:rsidP="0075753B">
      <w:pPr>
        <w:pStyle w:val="FootnoteText"/>
        <w:jc w:val="both"/>
        <w:rPr>
          <w:rFonts w:ascii="Arial" w:hAnsi="Arial" w:cs="Arial"/>
          <w:sz w:val="24"/>
          <w:szCs w:val="24"/>
        </w:rPr>
      </w:pPr>
      <w:r w:rsidRPr="009027DF">
        <w:rPr>
          <w:rStyle w:val="FootnoteReference"/>
          <w:rFonts w:ascii="Arial" w:hAnsi="Arial" w:cs="Arial"/>
          <w:sz w:val="24"/>
          <w:szCs w:val="24"/>
        </w:rPr>
        <w:footnoteRef/>
      </w:r>
      <w:r w:rsidRPr="009027DF">
        <w:rPr>
          <w:rFonts w:ascii="Arial" w:hAnsi="Arial" w:cs="Arial"/>
          <w:sz w:val="24"/>
          <w:szCs w:val="24"/>
        </w:rPr>
        <w:t xml:space="preserve"> Race Equality Scheme Progress Reports were published for 2003, 2004 and 2005. Equality and Diversity Scheme </w:t>
      </w:r>
      <w:r>
        <w:rPr>
          <w:rFonts w:ascii="Arial" w:hAnsi="Arial" w:cs="Arial"/>
          <w:sz w:val="24"/>
          <w:szCs w:val="24"/>
        </w:rPr>
        <w:t xml:space="preserve">Annual </w:t>
      </w:r>
      <w:r w:rsidRPr="009027DF">
        <w:rPr>
          <w:rFonts w:ascii="Arial" w:hAnsi="Arial" w:cs="Arial"/>
          <w:sz w:val="24"/>
          <w:szCs w:val="24"/>
        </w:rPr>
        <w:t>Reports hav</w:t>
      </w:r>
      <w:r w:rsidR="00496118">
        <w:rPr>
          <w:rFonts w:ascii="Arial" w:hAnsi="Arial" w:cs="Arial"/>
          <w:sz w:val="24"/>
          <w:szCs w:val="24"/>
        </w:rPr>
        <w:t xml:space="preserve">e been published for 2006-2007 </w:t>
      </w:r>
      <w:r w:rsidRPr="009027DF">
        <w:rPr>
          <w:rFonts w:ascii="Arial" w:hAnsi="Arial" w:cs="Arial"/>
          <w:sz w:val="24"/>
          <w:szCs w:val="24"/>
        </w:rPr>
        <w:t>at</w:t>
      </w:r>
    </w:p>
    <w:p w:rsidR="006456EC" w:rsidRPr="009027DF" w:rsidRDefault="006456EC" w:rsidP="0075753B">
      <w:pPr>
        <w:pStyle w:val="FootnoteText"/>
        <w:jc w:val="both"/>
        <w:rPr>
          <w:rFonts w:ascii="Arial" w:hAnsi="Arial" w:cs="Arial"/>
          <w:sz w:val="24"/>
          <w:szCs w:val="24"/>
        </w:rPr>
      </w:pPr>
      <w:r w:rsidRPr="009027DF">
        <w:rPr>
          <w:rFonts w:ascii="Arial" w:hAnsi="Arial" w:cs="Arial"/>
          <w:sz w:val="24"/>
          <w:szCs w:val="24"/>
        </w:rPr>
        <w:t xml:space="preserve"> </w:t>
      </w:r>
      <w:hyperlink r:id="rId4" w:history="1">
        <w:r w:rsidRPr="009027DF">
          <w:rPr>
            <w:rStyle w:val="Hyperlink"/>
            <w:rFonts w:ascii="Arial" w:hAnsi="Arial" w:cs="Arial"/>
            <w:sz w:val="24"/>
            <w:szCs w:val="24"/>
          </w:rPr>
          <w:t>http://www.mod.uk/NR/rdonlyres/190B0D7E-83AB-4EDF-B845-0C310EE070C0/0/annrpt_eds0607.pdf</w:t>
        </w:r>
      </w:hyperlink>
      <w:r w:rsidR="00DF31BB">
        <w:rPr>
          <w:rFonts w:ascii="Arial" w:hAnsi="Arial" w:cs="Arial"/>
          <w:sz w:val="24"/>
          <w:szCs w:val="24"/>
        </w:rPr>
        <w:t xml:space="preserve"> (last visited 15 March 2012)</w:t>
      </w:r>
      <w:r w:rsidR="00496118">
        <w:rPr>
          <w:rFonts w:ascii="Arial" w:hAnsi="Arial" w:cs="Arial"/>
          <w:sz w:val="24"/>
          <w:szCs w:val="24"/>
        </w:rPr>
        <w:t xml:space="preserve">, 2007-2008 </w:t>
      </w:r>
      <w:r w:rsidRPr="009027DF">
        <w:rPr>
          <w:rFonts w:ascii="Arial" w:hAnsi="Arial" w:cs="Arial"/>
          <w:sz w:val="24"/>
          <w:szCs w:val="24"/>
        </w:rPr>
        <w:t xml:space="preserve">at  </w:t>
      </w:r>
    </w:p>
    <w:p w:rsidR="006456EC" w:rsidRPr="009027DF" w:rsidRDefault="00067F17" w:rsidP="0075753B">
      <w:pPr>
        <w:pStyle w:val="FootnoteText"/>
        <w:jc w:val="both"/>
        <w:rPr>
          <w:rFonts w:ascii="Arial" w:hAnsi="Arial" w:cs="Arial"/>
          <w:sz w:val="24"/>
          <w:szCs w:val="24"/>
        </w:rPr>
      </w:pPr>
      <w:hyperlink r:id="rId5" w:history="1">
        <w:r w:rsidR="006456EC" w:rsidRPr="009027DF">
          <w:rPr>
            <w:rStyle w:val="Hyperlink"/>
            <w:rFonts w:ascii="Arial" w:hAnsi="Arial" w:cs="Arial"/>
            <w:sz w:val="24"/>
            <w:szCs w:val="24"/>
          </w:rPr>
          <w:t>http://www.mod.uk/NR/rdonlyres/190B0D7E-83AB-4EDF-B845-0C310EE070C0/0/annrpt_eds0607.pdf</w:t>
        </w:r>
      </w:hyperlink>
      <w:r w:rsidR="006456EC" w:rsidRPr="009027DF">
        <w:rPr>
          <w:rFonts w:ascii="Arial" w:hAnsi="Arial" w:cs="Arial"/>
          <w:sz w:val="24"/>
          <w:szCs w:val="24"/>
        </w:rPr>
        <w:t xml:space="preserve"> </w:t>
      </w:r>
      <w:r w:rsidR="00DF31BB">
        <w:rPr>
          <w:rFonts w:ascii="Arial" w:hAnsi="Arial" w:cs="Arial"/>
          <w:sz w:val="24"/>
          <w:szCs w:val="24"/>
        </w:rPr>
        <w:t xml:space="preserve">(last visited 15 March 2012) </w:t>
      </w:r>
      <w:r w:rsidR="00496118">
        <w:rPr>
          <w:rFonts w:ascii="Arial" w:hAnsi="Arial" w:cs="Arial"/>
          <w:sz w:val="24"/>
          <w:szCs w:val="24"/>
        </w:rPr>
        <w:t xml:space="preserve">and 2008-2009 </w:t>
      </w:r>
      <w:r w:rsidR="006456EC" w:rsidRPr="009027DF">
        <w:rPr>
          <w:rFonts w:ascii="Arial" w:hAnsi="Arial" w:cs="Arial"/>
          <w:sz w:val="24"/>
          <w:szCs w:val="24"/>
        </w:rPr>
        <w:t xml:space="preserve">at  </w:t>
      </w:r>
    </w:p>
    <w:p w:rsidR="006456EC" w:rsidRPr="009027DF" w:rsidRDefault="00067F17" w:rsidP="0075753B">
      <w:pPr>
        <w:pStyle w:val="FootnoteText"/>
        <w:jc w:val="both"/>
        <w:rPr>
          <w:rFonts w:ascii="Arial" w:hAnsi="Arial" w:cs="Arial"/>
          <w:sz w:val="24"/>
          <w:szCs w:val="24"/>
        </w:rPr>
      </w:pPr>
      <w:hyperlink r:id="rId6" w:history="1">
        <w:proofErr w:type="gramStart"/>
        <w:r w:rsidR="006456EC" w:rsidRPr="009027DF">
          <w:rPr>
            <w:rStyle w:val="Hyperlink"/>
            <w:rFonts w:ascii="Arial" w:hAnsi="Arial" w:cs="Arial"/>
            <w:sz w:val="24"/>
            <w:szCs w:val="24"/>
          </w:rPr>
          <w:t>http://www.mod.uk/NR/rdonlyres/4C3078BC-DB83-4F88-AE68-4DE231C7003D/0/edsreport_200809.pdf</w:t>
        </w:r>
      </w:hyperlink>
      <w:r w:rsidR="00DF31BB">
        <w:rPr>
          <w:rFonts w:ascii="Arial" w:hAnsi="Arial" w:cs="Arial"/>
          <w:sz w:val="24"/>
          <w:szCs w:val="24"/>
        </w:rPr>
        <w:t xml:space="preserve"> (last visited 15 March 2012)</w:t>
      </w:r>
      <w:r w:rsidR="006456EC" w:rsidRPr="009027DF">
        <w:rPr>
          <w:rFonts w:ascii="Arial" w:hAnsi="Arial" w:cs="Arial"/>
          <w:sz w:val="24"/>
          <w:szCs w:val="24"/>
        </w:rPr>
        <w:t>.</w:t>
      </w:r>
      <w:proofErr w:type="gramEnd"/>
      <w:r w:rsidR="006456EC" w:rsidRPr="009027DF">
        <w:rPr>
          <w:rFonts w:ascii="Arial" w:hAnsi="Arial" w:cs="Arial"/>
          <w:sz w:val="24"/>
          <w:szCs w:val="24"/>
        </w:rPr>
        <w:t xml:space="preserve"> The report for 2009-2010 has yet </w:t>
      </w:r>
      <w:r w:rsidR="006456EC">
        <w:rPr>
          <w:rFonts w:ascii="Arial" w:hAnsi="Arial" w:cs="Arial"/>
          <w:sz w:val="24"/>
          <w:szCs w:val="24"/>
        </w:rPr>
        <w:t>to be published on the M</w:t>
      </w:r>
      <w:r w:rsidR="006456EC" w:rsidRPr="009027DF">
        <w:rPr>
          <w:rFonts w:ascii="Arial" w:hAnsi="Arial" w:cs="Arial"/>
          <w:sz w:val="24"/>
          <w:szCs w:val="24"/>
        </w:rPr>
        <w:t xml:space="preserve">oD’s website but a copy has been lodged in the House of Commons Library and a copy is </w:t>
      </w:r>
      <w:r w:rsidR="006456EC">
        <w:rPr>
          <w:rFonts w:ascii="Arial" w:hAnsi="Arial" w:cs="Arial"/>
          <w:sz w:val="24"/>
          <w:szCs w:val="24"/>
        </w:rPr>
        <w:t>on file with</w:t>
      </w:r>
      <w:r w:rsidR="006456EC" w:rsidRPr="009027DF">
        <w:rPr>
          <w:rFonts w:ascii="Arial" w:hAnsi="Arial" w:cs="Arial"/>
          <w:sz w:val="24"/>
          <w:szCs w:val="24"/>
        </w:rPr>
        <w:t xml:space="preserve"> the author.</w:t>
      </w:r>
    </w:p>
  </w:footnote>
  <w:footnote w:id="80">
    <w:p w:rsidR="006456EC" w:rsidRPr="00871BA9" w:rsidRDefault="006456EC" w:rsidP="0075753B">
      <w:pPr>
        <w:pStyle w:val="FootnoteText"/>
        <w:jc w:val="both"/>
        <w:rPr>
          <w:rFonts w:ascii="Arial" w:hAnsi="Arial" w:cs="Arial"/>
          <w:sz w:val="24"/>
          <w:szCs w:val="24"/>
        </w:rPr>
      </w:pPr>
      <w:r w:rsidRPr="00871BA9">
        <w:rPr>
          <w:rStyle w:val="FootnoteReference"/>
          <w:rFonts w:ascii="Arial" w:hAnsi="Arial" w:cs="Arial"/>
          <w:sz w:val="24"/>
          <w:szCs w:val="24"/>
        </w:rPr>
        <w:footnoteRef/>
      </w:r>
      <w:r w:rsidRPr="00871BA9">
        <w:rPr>
          <w:rFonts w:ascii="Arial" w:hAnsi="Arial" w:cs="Arial"/>
          <w:sz w:val="24"/>
          <w:szCs w:val="24"/>
        </w:rPr>
        <w:t xml:space="preserve"> See Equality and Diversity Scheme Annual Report </w:t>
      </w:r>
      <w:r>
        <w:rPr>
          <w:rFonts w:ascii="Arial" w:hAnsi="Arial" w:cs="Arial"/>
          <w:sz w:val="24"/>
          <w:szCs w:val="24"/>
        </w:rPr>
        <w:t xml:space="preserve">2009-2010 </w:t>
      </w:r>
      <w:r w:rsidRPr="00871BA9">
        <w:rPr>
          <w:rFonts w:ascii="Arial" w:hAnsi="Arial" w:cs="Arial"/>
          <w:sz w:val="24"/>
          <w:szCs w:val="24"/>
        </w:rPr>
        <w:t>para 1.8</w:t>
      </w:r>
    </w:p>
  </w:footnote>
  <w:footnote w:id="81">
    <w:p w:rsidR="006456EC" w:rsidRPr="00F56165" w:rsidRDefault="006456EC" w:rsidP="0075753B">
      <w:pPr>
        <w:pStyle w:val="FootnoteText"/>
        <w:jc w:val="both"/>
        <w:rPr>
          <w:rFonts w:ascii="Arial" w:hAnsi="Arial" w:cs="Arial"/>
        </w:rPr>
      </w:pPr>
      <w:r w:rsidRPr="00324B98">
        <w:rPr>
          <w:rStyle w:val="FootnoteReference"/>
          <w:rFonts w:ascii="Arial" w:hAnsi="Arial" w:cs="Arial"/>
          <w:sz w:val="24"/>
          <w:szCs w:val="24"/>
        </w:rPr>
        <w:footnoteRef/>
      </w:r>
      <w:r w:rsidRPr="00324B98">
        <w:rPr>
          <w:rFonts w:ascii="Arial" w:hAnsi="Arial" w:cs="Arial"/>
          <w:sz w:val="24"/>
          <w:szCs w:val="24"/>
        </w:rPr>
        <w:t xml:space="preserve"> </w:t>
      </w:r>
      <w:r w:rsidRPr="00EE5957">
        <w:rPr>
          <w:rFonts w:ascii="Arial" w:hAnsi="Arial" w:cs="Arial"/>
          <w:i/>
          <w:sz w:val="24"/>
          <w:szCs w:val="24"/>
        </w:rPr>
        <w:t>Ministry of Defence v DeBique</w:t>
      </w:r>
      <w:r w:rsidRPr="00324B98">
        <w:rPr>
          <w:rFonts w:ascii="Arial" w:hAnsi="Arial" w:cs="Arial"/>
          <w:sz w:val="24"/>
          <w:szCs w:val="24"/>
        </w:rPr>
        <w:t xml:space="preserve"> [2010] IRLR 471</w:t>
      </w:r>
    </w:p>
  </w:footnote>
  <w:footnote w:id="82">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Women’s Royal Army Corps formed on 1 February 1949 (taking over from the Auxiliary Territorial Service that had been formed in 1938); Women’s Royal Naval Service formed in 1917, disbanded in 1919, reformed in 1939 and retained after the Second World War; Women’s Royal Air Force formed in 1918, disbanded in 1920 and reformed on 1 February 1949 (taking over from the Women’s Auxiliary Air Force that had been formed in 1939).</w:t>
      </w:r>
    </w:p>
  </w:footnote>
  <w:footnote w:id="83">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See A</w:t>
      </w:r>
      <w:r>
        <w:rPr>
          <w:rFonts w:ascii="Arial" w:hAnsi="Arial" w:cs="Arial"/>
          <w:sz w:val="24"/>
          <w:szCs w:val="24"/>
        </w:rPr>
        <w:t>.</w:t>
      </w:r>
      <w:r w:rsidRPr="00611F8D">
        <w:rPr>
          <w:rFonts w:ascii="Arial" w:hAnsi="Arial" w:cs="Arial"/>
          <w:sz w:val="24"/>
          <w:szCs w:val="24"/>
        </w:rPr>
        <w:t xml:space="preserve"> Arnull, ‘EC Law and the Dismissal of Pregnant Servicewomen’ (1995) 24 ILJ 215 for a full account of this episode</w:t>
      </w:r>
    </w:p>
  </w:footnote>
  <w:footnote w:id="84">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Directive 76/207/EEC on the implementation of the principle of equal treatment for men and women as regards access to employment, vocational training and promotion, and working conditions, OJ 1976 L39/40 now replaced by the general Equality Directive, Directive 2006/54 on the implementation of the principle of equal opportunities and equal treatment of men and women in matters of employment and occupation (Recast) OJ 2006 L204/23</w:t>
      </w:r>
    </w:p>
  </w:footnote>
  <w:footnote w:id="85">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152/84 </w:t>
      </w:r>
      <w:r w:rsidRPr="00EE5957">
        <w:rPr>
          <w:rFonts w:ascii="Arial" w:hAnsi="Arial" w:cs="Arial"/>
          <w:i/>
          <w:sz w:val="24"/>
          <w:szCs w:val="24"/>
        </w:rPr>
        <w:t>Marshall v Southampton and South-West Hampshire A</w:t>
      </w:r>
      <w:r>
        <w:rPr>
          <w:rFonts w:ascii="Arial" w:hAnsi="Arial" w:cs="Arial"/>
          <w:i/>
          <w:sz w:val="24"/>
          <w:szCs w:val="24"/>
        </w:rPr>
        <w:t xml:space="preserve">rea </w:t>
      </w:r>
      <w:r w:rsidRPr="00EE5957">
        <w:rPr>
          <w:rFonts w:ascii="Arial" w:hAnsi="Arial" w:cs="Arial"/>
          <w:i/>
          <w:sz w:val="24"/>
          <w:szCs w:val="24"/>
        </w:rPr>
        <w:t>H</w:t>
      </w:r>
      <w:r>
        <w:rPr>
          <w:rFonts w:ascii="Arial" w:hAnsi="Arial" w:cs="Arial"/>
          <w:i/>
          <w:sz w:val="24"/>
          <w:szCs w:val="24"/>
        </w:rPr>
        <w:t xml:space="preserve">ealth </w:t>
      </w:r>
      <w:r w:rsidRPr="00EE5957">
        <w:rPr>
          <w:rFonts w:ascii="Arial" w:hAnsi="Arial" w:cs="Arial"/>
          <w:i/>
          <w:sz w:val="24"/>
          <w:szCs w:val="24"/>
        </w:rPr>
        <w:t>A</w:t>
      </w:r>
      <w:r>
        <w:rPr>
          <w:rFonts w:ascii="Arial" w:hAnsi="Arial" w:cs="Arial"/>
          <w:i/>
          <w:sz w:val="24"/>
          <w:szCs w:val="24"/>
        </w:rPr>
        <w:t>uthority</w:t>
      </w:r>
      <w:r w:rsidRPr="00611F8D">
        <w:rPr>
          <w:rFonts w:ascii="Arial" w:hAnsi="Arial" w:cs="Arial"/>
          <w:sz w:val="24"/>
          <w:szCs w:val="24"/>
        </w:rPr>
        <w:t xml:space="preserve"> [1986] ECR 723 (ECJ)</w:t>
      </w:r>
    </w:p>
  </w:footnote>
  <w:footnote w:id="86">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C-179/88 </w:t>
      </w:r>
      <w:proofErr w:type="spellStart"/>
      <w:r w:rsidRPr="00EE5957">
        <w:rPr>
          <w:rFonts w:ascii="Arial" w:hAnsi="Arial" w:cs="Arial"/>
          <w:i/>
          <w:sz w:val="24"/>
          <w:szCs w:val="24"/>
        </w:rPr>
        <w:t>Handels-og</w:t>
      </w:r>
      <w:proofErr w:type="spellEnd"/>
      <w:r w:rsidRPr="00EE5957">
        <w:rPr>
          <w:rFonts w:ascii="Arial" w:hAnsi="Arial" w:cs="Arial"/>
          <w:i/>
          <w:sz w:val="24"/>
          <w:szCs w:val="24"/>
        </w:rPr>
        <w:t xml:space="preserve"> </w:t>
      </w:r>
      <w:proofErr w:type="spellStart"/>
      <w:r w:rsidRPr="00EE5957">
        <w:rPr>
          <w:rFonts w:ascii="Arial" w:hAnsi="Arial" w:cs="Arial"/>
          <w:i/>
          <w:sz w:val="24"/>
          <w:szCs w:val="24"/>
        </w:rPr>
        <w:t>Kontorfunktionoerernes</w:t>
      </w:r>
      <w:proofErr w:type="spellEnd"/>
      <w:r w:rsidRPr="00EE5957">
        <w:rPr>
          <w:rFonts w:ascii="Arial" w:hAnsi="Arial" w:cs="Arial"/>
          <w:i/>
          <w:sz w:val="24"/>
          <w:szCs w:val="24"/>
        </w:rPr>
        <w:t xml:space="preserve"> </w:t>
      </w:r>
      <w:proofErr w:type="spellStart"/>
      <w:r w:rsidRPr="00EE5957">
        <w:rPr>
          <w:rFonts w:ascii="Arial" w:hAnsi="Arial" w:cs="Arial"/>
          <w:i/>
          <w:sz w:val="24"/>
          <w:szCs w:val="24"/>
        </w:rPr>
        <w:t>Forbund</w:t>
      </w:r>
      <w:proofErr w:type="spellEnd"/>
      <w:r w:rsidRPr="00611F8D">
        <w:rPr>
          <w:rFonts w:ascii="Arial" w:hAnsi="Arial" w:cs="Arial"/>
          <w:sz w:val="24"/>
          <w:szCs w:val="24"/>
        </w:rPr>
        <w:t xml:space="preserve"> [1990] ECR I-3979 (ECJ) para 13</w:t>
      </w:r>
    </w:p>
  </w:footnote>
  <w:footnote w:id="87">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sidRPr="00EE5957">
        <w:rPr>
          <w:rFonts w:ascii="Arial" w:hAnsi="Arial" w:cs="Arial"/>
          <w:i/>
          <w:sz w:val="24"/>
          <w:szCs w:val="24"/>
        </w:rPr>
        <w:t xml:space="preserve">R v Secretary of State for Defence, ex parte </w:t>
      </w:r>
      <w:proofErr w:type="spellStart"/>
      <w:r w:rsidRPr="00EE5957">
        <w:rPr>
          <w:rFonts w:ascii="Arial" w:hAnsi="Arial" w:cs="Arial"/>
          <w:i/>
          <w:sz w:val="24"/>
          <w:szCs w:val="24"/>
        </w:rPr>
        <w:t>Leale</w:t>
      </w:r>
      <w:proofErr w:type="spellEnd"/>
      <w:r w:rsidRPr="00EE5957">
        <w:rPr>
          <w:rFonts w:ascii="Arial" w:hAnsi="Arial" w:cs="Arial"/>
          <w:i/>
          <w:sz w:val="24"/>
          <w:szCs w:val="24"/>
        </w:rPr>
        <w:t>, Lane and EOC</w:t>
      </w:r>
      <w:r>
        <w:rPr>
          <w:rFonts w:ascii="Arial" w:hAnsi="Arial" w:cs="Arial"/>
          <w:sz w:val="24"/>
          <w:szCs w:val="24"/>
        </w:rPr>
        <w:t>,</w:t>
      </w:r>
      <w:r w:rsidRPr="00611F8D">
        <w:rPr>
          <w:rFonts w:ascii="Arial" w:hAnsi="Arial" w:cs="Arial"/>
          <w:sz w:val="24"/>
          <w:szCs w:val="24"/>
        </w:rPr>
        <w:t xml:space="preserve"> unreported (HC)</w:t>
      </w:r>
    </w:p>
  </w:footnote>
  <w:footnote w:id="88">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C-271/91 </w:t>
      </w:r>
      <w:r w:rsidRPr="00EE5957">
        <w:rPr>
          <w:rFonts w:ascii="Arial" w:hAnsi="Arial" w:cs="Arial"/>
          <w:i/>
          <w:sz w:val="24"/>
          <w:szCs w:val="24"/>
        </w:rPr>
        <w:t>Marshall v Southampton and South-West Hampshire A</w:t>
      </w:r>
      <w:r>
        <w:rPr>
          <w:rFonts w:ascii="Arial" w:hAnsi="Arial" w:cs="Arial"/>
          <w:i/>
          <w:sz w:val="24"/>
          <w:szCs w:val="24"/>
        </w:rPr>
        <w:t xml:space="preserve">rea </w:t>
      </w:r>
      <w:r w:rsidRPr="00EE5957">
        <w:rPr>
          <w:rFonts w:ascii="Arial" w:hAnsi="Arial" w:cs="Arial"/>
          <w:i/>
          <w:sz w:val="24"/>
          <w:szCs w:val="24"/>
        </w:rPr>
        <w:t>H</w:t>
      </w:r>
      <w:r>
        <w:rPr>
          <w:rFonts w:ascii="Arial" w:hAnsi="Arial" w:cs="Arial"/>
          <w:i/>
          <w:sz w:val="24"/>
          <w:szCs w:val="24"/>
        </w:rPr>
        <w:t xml:space="preserve">ealth </w:t>
      </w:r>
      <w:r w:rsidRPr="00EE5957">
        <w:rPr>
          <w:rFonts w:ascii="Arial" w:hAnsi="Arial" w:cs="Arial"/>
          <w:i/>
          <w:sz w:val="24"/>
          <w:szCs w:val="24"/>
        </w:rPr>
        <w:t>A</w:t>
      </w:r>
      <w:r>
        <w:rPr>
          <w:rFonts w:ascii="Arial" w:hAnsi="Arial" w:cs="Arial"/>
          <w:i/>
          <w:sz w:val="24"/>
          <w:szCs w:val="24"/>
        </w:rPr>
        <w:t>uthority</w:t>
      </w:r>
      <w:r w:rsidRPr="00611F8D">
        <w:rPr>
          <w:rFonts w:ascii="Arial" w:hAnsi="Arial" w:cs="Arial"/>
          <w:sz w:val="24"/>
          <w:szCs w:val="24"/>
        </w:rPr>
        <w:t xml:space="preserve"> [1993] ECR I-4367 (ECJ) para 24</w:t>
      </w:r>
    </w:p>
  </w:footnote>
  <w:footnote w:id="89">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ibid</w:t>
      </w:r>
      <w:r w:rsidRPr="00611F8D">
        <w:rPr>
          <w:rFonts w:ascii="Arial" w:hAnsi="Arial" w:cs="Arial"/>
          <w:sz w:val="24"/>
          <w:szCs w:val="24"/>
        </w:rPr>
        <w:t xml:space="preserve"> para 30</w:t>
      </w:r>
    </w:p>
  </w:footnote>
  <w:footnote w:id="90">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C-208/90 </w:t>
      </w:r>
      <w:r w:rsidRPr="00EE5957">
        <w:rPr>
          <w:rFonts w:ascii="Arial" w:hAnsi="Arial" w:cs="Arial"/>
          <w:i/>
          <w:sz w:val="24"/>
          <w:szCs w:val="24"/>
        </w:rPr>
        <w:t>Emmott</w:t>
      </w:r>
      <w:r w:rsidRPr="00611F8D">
        <w:rPr>
          <w:rFonts w:ascii="Arial" w:hAnsi="Arial" w:cs="Arial"/>
          <w:sz w:val="24"/>
          <w:szCs w:val="24"/>
        </w:rPr>
        <w:t xml:space="preserve"> [1991] ECR I-4269 (ECJ)</w:t>
      </w:r>
    </w:p>
  </w:footnote>
  <w:footnote w:id="91">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sidRPr="00EE5957">
        <w:rPr>
          <w:rFonts w:ascii="Arial" w:hAnsi="Arial" w:cs="Arial"/>
          <w:i/>
          <w:sz w:val="24"/>
          <w:szCs w:val="24"/>
        </w:rPr>
        <w:t>Ministry of Defence v Cannock and others</w:t>
      </w:r>
      <w:r w:rsidRPr="00611F8D">
        <w:rPr>
          <w:rFonts w:ascii="Arial" w:hAnsi="Arial" w:cs="Arial"/>
          <w:sz w:val="24"/>
          <w:szCs w:val="24"/>
        </w:rPr>
        <w:t xml:space="preserve"> [1994] IRLR 509 (EAT)</w:t>
      </w:r>
    </w:p>
  </w:footnote>
  <w:footnote w:id="92">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SI 1994/3276, The Sex Discrimination Act 1975 (Application to Armed Forces </w:t>
      </w:r>
      <w:proofErr w:type="spellStart"/>
      <w:r w:rsidRPr="00611F8D">
        <w:rPr>
          <w:rFonts w:ascii="Arial" w:hAnsi="Arial" w:cs="Arial"/>
          <w:sz w:val="24"/>
          <w:szCs w:val="24"/>
        </w:rPr>
        <w:t>etc</w:t>
      </w:r>
      <w:proofErr w:type="spellEnd"/>
      <w:r w:rsidRPr="00611F8D">
        <w:rPr>
          <w:rFonts w:ascii="Arial" w:hAnsi="Arial" w:cs="Arial"/>
          <w:sz w:val="24"/>
          <w:szCs w:val="24"/>
        </w:rPr>
        <w:t>) Regulations 1994</w:t>
      </w:r>
    </w:p>
  </w:footnote>
  <w:footnote w:id="93">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C-273/97 </w:t>
      </w:r>
      <w:r w:rsidRPr="00EE5957">
        <w:rPr>
          <w:rFonts w:ascii="Arial" w:hAnsi="Arial" w:cs="Arial"/>
          <w:i/>
          <w:sz w:val="24"/>
          <w:szCs w:val="24"/>
        </w:rPr>
        <w:t>Sirdar v The Army Board &amp; The Secretary of State for Defence</w:t>
      </w:r>
      <w:r w:rsidRPr="00611F8D">
        <w:rPr>
          <w:rFonts w:ascii="Arial" w:hAnsi="Arial" w:cs="Arial"/>
          <w:sz w:val="24"/>
          <w:szCs w:val="24"/>
        </w:rPr>
        <w:t xml:space="preserve"> [1999] ECR I-7403 (ECJ) para 15</w:t>
      </w:r>
    </w:p>
  </w:footnote>
  <w:footnote w:id="94">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ibid</w:t>
      </w:r>
      <w:r w:rsidRPr="00611F8D">
        <w:rPr>
          <w:rFonts w:ascii="Arial" w:hAnsi="Arial" w:cs="Arial"/>
          <w:sz w:val="24"/>
          <w:szCs w:val="24"/>
        </w:rPr>
        <w:t xml:space="preserve"> para 28</w:t>
      </w:r>
    </w:p>
  </w:footnote>
  <w:footnote w:id="95">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C-285/98 </w:t>
      </w:r>
      <w:r w:rsidRPr="00EE5957">
        <w:rPr>
          <w:rFonts w:ascii="Arial" w:hAnsi="Arial" w:cs="Arial"/>
          <w:i/>
          <w:sz w:val="24"/>
          <w:szCs w:val="24"/>
        </w:rPr>
        <w:t>Kreil v Bundersrepublik Deutschland</w:t>
      </w:r>
      <w:r w:rsidRPr="00611F8D">
        <w:rPr>
          <w:rFonts w:ascii="Arial" w:hAnsi="Arial" w:cs="Arial"/>
          <w:sz w:val="24"/>
          <w:szCs w:val="24"/>
        </w:rPr>
        <w:t xml:space="preserve"> [2000] ECR I-69 (ECJ)</w:t>
      </w:r>
    </w:p>
  </w:footnote>
  <w:footnote w:id="96">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008C5395">
        <w:rPr>
          <w:rFonts w:ascii="Arial" w:hAnsi="Arial" w:cs="Arial"/>
          <w:sz w:val="24"/>
          <w:szCs w:val="24"/>
        </w:rPr>
        <w:t xml:space="preserve"> n 93</w:t>
      </w:r>
      <w:r>
        <w:rPr>
          <w:rFonts w:ascii="Arial" w:hAnsi="Arial" w:cs="Arial"/>
          <w:sz w:val="24"/>
          <w:szCs w:val="24"/>
        </w:rPr>
        <w:t xml:space="preserve"> above</w:t>
      </w:r>
    </w:p>
  </w:footnote>
  <w:footnote w:id="97">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For commentary see P</w:t>
      </w:r>
      <w:r>
        <w:rPr>
          <w:rFonts w:ascii="Arial" w:hAnsi="Arial" w:cs="Arial"/>
          <w:sz w:val="24"/>
          <w:szCs w:val="24"/>
        </w:rPr>
        <w:t>.</w:t>
      </w:r>
      <w:r w:rsidRPr="00611F8D">
        <w:rPr>
          <w:rFonts w:ascii="Arial" w:hAnsi="Arial" w:cs="Arial"/>
          <w:sz w:val="24"/>
          <w:szCs w:val="24"/>
        </w:rPr>
        <w:t xml:space="preserve"> Koutrakos, ‘Community Law and Equal Treatment in the Armed Forces’ (2000) 25 ELR 433; M</w:t>
      </w:r>
      <w:r>
        <w:rPr>
          <w:rFonts w:ascii="Arial" w:hAnsi="Arial" w:cs="Arial"/>
          <w:sz w:val="24"/>
          <w:szCs w:val="24"/>
        </w:rPr>
        <w:t>.</w:t>
      </w:r>
      <w:r w:rsidRPr="00611F8D">
        <w:rPr>
          <w:rFonts w:ascii="Arial" w:hAnsi="Arial" w:cs="Arial"/>
          <w:sz w:val="24"/>
          <w:szCs w:val="24"/>
        </w:rPr>
        <w:t xml:space="preserve"> Trybus, ‘Case Note’ (2000) 37 CMLRev 1433; P</w:t>
      </w:r>
      <w:r>
        <w:rPr>
          <w:rFonts w:ascii="Arial" w:hAnsi="Arial" w:cs="Arial"/>
          <w:sz w:val="24"/>
          <w:szCs w:val="24"/>
        </w:rPr>
        <w:t>.</w:t>
      </w:r>
      <w:r w:rsidRPr="00611F8D">
        <w:rPr>
          <w:rFonts w:ascii="Arial" w:hAnsi="Arial" w:cs="Arial"/>
          <w:sz w:val="24"/>
          <w:szCs w:val="24"/>
        </w:rPr>
        <w:t xml:space="preserve"> Koutrakos, ‘How Far is Far Enough? EC Law and the Organisation of the Armed Forces after Dory’ (2003) 66 MLR 759; and, M</w:t>
      </w:r>
      <w:r>
        <w:rPr>
          <w:rFonts w:ascii="Arial" w:hAnsi="Arial" w:cs="Arial"/>
          <w:sz w:val="24"/>
          <w:szCs w:val="24"/>
        </w:rPr>
        <w:t>.</w:t>
      </w:r>
      <w:r w:rsidRPr="00611F8D">
        <w:rPr>
          <w:rFonts w:ascii="Arial" w:hAnsi="Arial" w:cs="Arial"/>
          <w:sz w:val="24"/>
          <w:szCs w:val="24"/>
        </w:rPr>
        <w:t xml:space="preserve"> Trybus, ‘Sisters in Arms: European Community Law and Sex Equality in the Armed Forces’ (2003) 9 ELJ 631</w:t>
      </w:r>
    </w:p>
  </w:footnote>
  <w:footnote w:id="98">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‘Women in the Armed Forces’, report by the Employment of Women in the Armed </w:t>
      </w:r>
      <w:r w:rsidR="00496118">
        <w:rPr>
          <w:rFonts w:ascii="Arial" w:hAnsi="Arial" w:cs="Arial"/>
          <w:sz w:val="24"/>
          <w:szCs w:val="24"/>
        </w:rPr>
        <w:t>Forces Steering Group, May 2002</w:t>
      </w:r>
      <w:r w:rsidRPr="00611F8D">
        <w:rPr>
          <w:rFonts w:ascii="Arial" w:hAnsi="Arial" w:cs="Arial"/>
          <w:sz w:val="24"/>
          <w:szCs w:val="24"/>
        </w:rPr>
        <w:t xml:space="preserve"> at </w:t>
      </w:r>
      <w:hyperlink r:id="rId7" w:history="1">
        <w:r w:rsidRPr="00611F8D">
          <w:rPr>
            <w:rStyle w:val="Hyperlink"/>
            <w:rFonts w:ascii="Arial" w:hAnsi="Arial" w:cs="Arial"/>
            <w:sz w:val="24"/>
            <w:szCs w:val="24"/>
          </w:rPr>
          <w:t>http://www.mod.uk/NR/rdonlyres/A9925990-82C2-420F-AB04-7003768CEC02/0/womenaf_fullreport.pdf</w:t>
        </w:r>
      </w:hyperlink>
      <w:r w:rsidRPr="00611F8D">
        <w:rPr>
          <w:rFonts w:ascii="Arial" w:hAnsi="Arial" w:cs="Arial"/>
          <w:sz w:val="24"/>
          <w:szCs w:val="24"/>
        </w:rPr>
        <w:t xml:space="preserve"> </w:t>
      </w:r>
      <w:r w:rsidR="00DF31BB">
        <w:rPr>
          <w:rFonts w:ascii="Arial" w:hAnsi="Arial" w:cs="Arial"/>
          <w:sz w:val="24"/>
          <w:szCs w:val="24"/>
        </w:rPr>
        <w:t>(last visited 15 March 2012)</w:t>
      </w:r>
    </w:p>
  </w:footnote>
  <w:footnote w:id="99">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sidR="008C5395">
        <w:rPr>
          <w:rFonts w:ascii="Arial" w:hAnsi="Arial" w:cs="Arial"/>
          <w:sz w:val="24"/>
          <w:szCs w:val="24"/>
        </w:rPr>
        <w:t xml:space="preserve"> n 83</w:t>
      </w:r>
      <w:r w:rsidRPr="00611F8D">
        <w:rPr>
          <w:rFonts w:ascii="Arial" w:hAnsi="Arial" w:cs="Arial"/>
          <w:sz w:val="24"/>
          <w:szCs w:val="24"/>
        </w:rPr>
        <w:t xml:space="preserve"> </w:t>
      </w:r>
      <w:r>
        <w:rPr>
          <w:rFonts w:ascii="Arial" w:hAnsi="Arial" w:cs="Arial"/>
          <w:sz w:val="24"/>
          <w:szCs w:val="24"/>
        </w:rPr>
        <w:t xml:space="preserve">above </w:t>
      </w:r>
      <w:r w:rsidRPr="00611F8D">
        <w:rPr>
          <w:rFonts w:ascii="Arial" w:hAnsi="Arial" w:cs="Arial"/>
          <w:sz w:val="24"/>
          <w:szCs w:val="24"/>
        </w:rPr>
        <w:t>at 233</w:t>
      </w:r>
    </w:p>
  </w:footnote>
  <w:footnote w:id="100">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ibid</w:t>
      </w:r>
    </w:p>
  </w:footnote>
  <w:footnote w:id="101">
    <w:p w:rsidR="006456EC" w:rsidRDefault="006456EC" w:rsidP="009607F9">
      <w:pPr>
        <w:pStyle w:val="FootnoteText"/>
        <w:jc w:val="both"/>
        <w:rPr>
          <w:rFonts w:ascii="Arial" w:hAnsi="Arial" w:cs="Arial"/>
          <w:sz w:val="24"/>
          <w:szCs w:val="24"/>
        </w:rPr>
      </w:pPr>
      <w:r w:rsidRPr="009607F9">
        <w:rPr>
          <w:rStyle w:val="FootnoteReference"/>
          <w:rFonts w:ascii="Arial" w:hAnsi="Arial" w:cs="Arial"/>
          <w:sz w:val="24"/>
          <w:szCs w:val="24"/>
        </w:rPr>
        <w:footnoteRef/>
      </w:r>
      <w:r>
        <w:rPr>
          <w:rFonts w:ascii="Arial" w:hAnsi="Arial" w:cs="Arial"/>
          <w:sz w:val="24"/>
          <w:szCs w:val="24"/>
        </w:rPr>
        <w:t xml:space="preserve"> See I. Drury, ‘Women Set to Serve in Submarines as Britain Follows US Navy Rul</w:t>
      </w:r>
      <w:r w:rsidR="00496118">
        <w:rPr>
          <w:rFonts w:ascii="Arial" w:hAnsi="Arial" w:cs="Arial"/>
          <w:sz w:val="24"/>
          <w:szCs w:val="24"/>
        </w:rPr>
        <w:t>ing’ published 24 February 2010</w:t>
      </w:r>
      <w:r>
        <w:rPr>
          <w:rFonts w:ascii="Arial" w:hAnsi="Arial" w:cs="Arial"/>
          <w:sz w:val="24"/>
          <w:szCs w:val="24"/>
        </w:rPr>
        <w:t xml:space="preserve"> at </w:t>
      </w:r>
    </w:p>
    <w:p w:rsidR="006456EC" w:rsidRDefault="00067F17" w:rsidP="009607F9">
      <w:pPr>
        <w:pStyle w:val="FootnoteText"/>
        <w:jc w:val="both"/>
        <w:rPr>
          <w:rFonts w:ascii="Arial" w:hAnsi="Arial" w:cs="Arial"/>
          <w:sz w:val="24"/>
          <w:szCs w:val="24"/>
        </w:rPr>
      </w:pPr>
      <w:hyperlink r:id="rId8" w:history="1">
        <w:r w:rsidR="006456EC" w:rsidRPr="001153BF">
          <w:rPr>
            <w:rFonts w:ascii="Arial" w:hAnsi="Arial" w:cs="Arial"/>
            <w:color w:val="0000FF"/>
            <w:sz w:val="24"/>
            <w:szCs w:val="24"/>
            <w:u w:val="single"/>
          </w:rPr>
          <w:t>http://www.dailymail.co.uk/news/article-1253546/Women-set-serve-submarines-Britain-follows-U-S-Navy-ruling.html</w:t>
        </w:r>
      </w:hyperlink>
      <w:r w:rsidR="006456EC" w:rsidRPr="001153BF">
        <w:rPr>
          <w:rFonts w:ascii="Arial" w:hAnsi="Arial" w:cs="Arial"/>
          <w:sz w:val="24"/>
          <w:szCs w:val="24"/>
        </w:rPr>
        <w:t xml:space="preserve"> </w:t>
      </w:r>
      <w:r w:rsidR="00DF31BB">
        <w:rPr>
          <w:rFonts w:ascii="Arial" w:hAnsi="Arial" w:cs="Arial"/>
          <w:sz w:val="24"/>
          <w:szCs w:val="24"/>
        </w:rPr>
        <w:t xml:space="preserve">(last visited 15 March 2012) </w:t>
      </w:r>
      <w:r w:rsidR="006456EC" w:rsidRPr="001153BF">
        <w:rPr>
          <w:rFonts w:ascii="Arial" w:hAnsi="Arial" w:cs="Arial"/>
          <w:sz w:val="24"/>
          <w:szCs w:val="24"/>
        </w:rPr>
        <w:t>and l</w:t>
      </w:r>
      <w:r w:rsidR="006456EC" w:rsidRPr="009607F9">
        <w:rPr>
          <w:rFonts w:ascii="Arial" w:hAnsi="Arial" w:cs="Arial"/>
          <w:sz w:val="24"/>
          <w:szCs w:val="24"/>
        </w:rPr>
        <w:t>isten to the BBC’s Woman’</w:t>
      </w:r>
      <w:r w:rsidR="006456EC">
        <w:rPr>
          <w:rFonts w:ascii="Arial" w:hAnsi="Arial" w:cs="Arial"/>
          <w:sz w:val="24"/>
          <w:szCs w:val="24"/>
        </w:rPr>
        <w:t>s Hour</w:t>
      </w:r>
      <w:r w:rsidR="006456EC" w:rsidRPr="009607F9">
        <w:rPr>
          <w:rFonts w:ascii="Arial" w:hAnsi="Arial" w:cs="Arial"/>
          <w:sz w:val="24"/>
          <w:szCs w:val="24"/>
        </w:rPr>
        <w:t xml:space="preserve">, ‘Should Women Serve on Royal Naval Submarines?’ </w:t>
      </w:r>
      <w:r w:rsidR="00496118">
        <w:rPr>
          <w:rFonts w:ascii="Arial" w:hAnsi="Arial" w:cs="Arial"/>
          <w:sz w:val="24"/>
          <w:szCs w:val="24"/>
        </w:rPr>
        <w:t>broadcast 8 December 2010</w:t>
      </w:r>
      <w:r w:rsidR="006456EC">
        <w:rPr>
          <w:rFonts w:ascii="Arial" w:hAnsi="Arial" w:cs="Arial"/>
          <w:sz w:val="24"/>
          <w:szCs w:val="24"/>
        </w:rPr>
        <w:t xml:space="preserve"> </w:t>
      </w:r>
      <w:r w:rsidR="006456EC" w:rsidRPr="009607F9">
        <w:rPr>
          <w:rFonts w:ascii="Arial" w:hAnsi="Arial" w:cs="Arial"/>
          <w:sz w:val="24"/>
          <w:szCs w:val="24"/>
        </w:rPr>
        <w:t xml:space="preserve">at </w:t>
      </w:r>
    </w:p>
    <w:p w:rsidR="006456EC" w:rsidRPr="009607F9" w:rsidRDefault="00067F17" w:rsidP="009607F9">
      <w:pPr>
        <w:pStyle w:val="FootnoteText"/>
        <w:jc w:val="both"/>
        <w:rPr>
          <w:rFonts w:ascii="Arial" w:hAnsi="Arial" w:cs="Arial"/>
          <w:sz w:val="24"/>
          <w:szCs w:val="24"/>
        </w:rPr>
      </w:pPr>
      <w:hyperlink r:id="rId9" w:anchor="p00clxdx" w:history="1">
        <w:r w:rsidR="006456EC" w:rsidRPr="009607F9">
          <w:rPr>
            <w:rFonts w:ascii="Arial" w:hAnsi="Arial" w:cs="Arial"/>
            <w:color w:val="0000FF"/>
            <w:sz w:val="24"/>
            <w:szCs w:val="24"/>
            <w:u w:val="single"/>
          </w:rPr>
          <w:t>http://www.bbc.co.uk/programmes/b00wdhd5#p00clxdx</w:t>
        </w:r>
      </w:hyperlink>
      <w:r w:rsidR="00DF31BB" w:rsidRPr="00DF31BB">
        <w:rPr>
          <w:rFonts w:ascii="Arial" w:hAnsi="Arial" w:cs="Arial"/>
          <w:color w:val="0000FF"/>
          <w:sz w:val="24"/>
          <w:szCs w:val="24"/>
        </w:rPr>
        <w:t xml:space="preserve"> </w:t>
      </w:r>
      <w:r w:rsidR="00DF31BB">
        <w:rPr>
          <w:rFonts w:ascii="Arial" w:hAnsi="Arial" w:cs="Arial"/>
          <w:sz w:val="24"/>
          <w:szCs w:val="24"/>
        </w:rPr>
        <w:t>(last visited 15 March 2012)</w:t>
      </w:r>
    </w:p>
  </w:footnote>
  <w:footnote w:id="102">
    <w:p w:rsidR="006456EC" w:rsidRPr="00335A73" w:rsidRDefault="006456EC" w:rsidP="00335A73">
      <w:pPr>
        <w:pStyle w:val="FootnoteText"/>
        <w:jc w:val="both"/>
        <w:rPr>
          <w:rFonts w:ascii="Arial" w:hAnsi="Arial" w:cs="Arial"/>
          <w:sz w:val="24"/>
          <w:szCs w:val="24"/>
        </w:rPr>
      </w:pPr>
      <w:r w:rsidRPr="00335A73">
        <w:rPr>
          <w:rStyle w:val="FootnoteReference"/>
          <w:rFonts w:ascii="Arial" w:hAnsi="Arial" w:cs="Arial"/>
          <w:sz w:val="24"/>
          <w:szCs w:val="24"/>
        </w:rPr>
        <w:footnoteRef/>
      </w:r>
      <w:r w:rsidRPr="00335A73">
        <w:rPr>
          <w:rFonts w:ascii="Arial" w:hAnsi="Arial" w:cs="Arial"/>
          <w:sz w:val="24"/>
          <w:szCs w:val="24"/>
        </w:rPr>
        <w:t xml:space="preserve"> The original ETD Article 9(2) had </w:t>
      </w:r>
      <w:r>
        <w:rPr>
          <w:rFonts w:ascii="Arial" w:hAnsi="Arial" w:cs="Arial"/>
          <w:sz w:val="24"/>
          <w:szCs w:val="24"/>
        </w:rPr>
        <w:t>only required Member States to ‘</w:t>
      </w:r>
      <w:r w:rsidRPr="00335A73">
        <w:rPr>
          <w:rFonts w:ascii="Arial" w:hAnsi="Arial" w:cs="Arial"/>
          <w:sz w:val="24"/>
          <w:szCs w:val="24"/>
        </w:rPr>
        <w:t>periodically assess the occupational activities referred to in Article 2(2) in order to decide, in the light of social developments, whether there is justification for maint</w:t>
      </w:r>
      <w:r>
        <w:rPr>
          <w:rFonts w:ascii="Arial" w:hAnsi="Arial" w:cs="Arial"/>
          <w:sz w:val="24"/>
          <w:szCs w:val="24"/>
        </w:rPr>
        <w:t>aining the exclusions concerned’</w:t>
      </w:r>
      <w:r w:rsidRPr="00335A73">
        <w:rPr>
          <w:rFonts w:ascii="Arial" w:hAnsi="Arial" w:cs="Arial"/>
          <w:sz w:val="24"/>
          <w:szCs w:val="24"/>
        </w:rPr>
        <w:t>. The replacement Equality Directive specifies that</w:t>
      </w:r>
      <w:r>
        <w:rPr>
          <w:rFonts w:ascii="Arial" w:hAnsi="Arial" w:cs="Arial"/>
          <w:sz w:val="24"/>
          <w:szCs w:val="24"/>
        </w:rPr>
        <w:t xml:space="preserve"> this review should take place ‘at least every 8 years’</w:t>
      </w:r>
      <w:r w:rsidRPr="00335A73">
        <w:rPr>
          <w:rFonts w:ascii="Arial" w:hAnsi="Arial" w:cs="Arial"/>
          <w:sz w:val="24"/>
          <w:szCs w:val="24"/>
        </w:rPr>
        <w:t xml:space="preserve"> (Article 31(3)</w:t>
      </w:r>
      <w:r>
        <w:rPr>
          <w:rFonts w:ascii="Arial" w:hAnsi="Arial" w:cs="Arial"/>
          <w:sz w:val="24"/>
          <w:szCs w:val="24"/>
        </w:rPr>
        <w:t>)</w:t>
      </w:r>
    </w:p>
  </w:footnote>
  <w:footnote w:id="103">
    <w:p w:rsidR="006456EC" w:rsidRDefault="006456EC" w:rsidP="00361AB5">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‘Report on the Review</w:t>
      </w:r>
      <w:r>
        <w:rPr>
          <w:rFonts w:ascii="Arial" w:hAnsi="Arial" w:cs="Arial"/>
          <w:sz w:val="24"/>
          <w:szCs w:val="24"/>
        </w:rPr>
        <w:t xml:space="preserve"> of the Exclusion of Women from </w:t>
      </w:r>
      <w:r w:rsidRPr="00611F8D">
        <w:rPr>
          <w:rFonts w:ascii="Arial" w:hAnsi="Arial" w:cs="Arial"/>
          <w:sz w:val="24"/>
          <w:szCs w:val="24"/>
        </w:rPr>
        <w:t xml:space="preserve">Ground Close-Combat Roles’, November 2010, </w:t>
      </w:r>
      <w:r w:rsidR="00DF31BB">
        <w:rPr>
          <w:rFonts w:ascii="Arial" w:hAnsi="Arial" w:cs="Arial"/>
          <w:sz w:val="24"/>
          <w:szCs w:val="24"/>
        </w:rPr>
        <w:t>para 13</w:t>
      </w:r>
      <w:r w:rsidR="00496118">
        <w:rPr>
          <w:rFonts w:ascii="Arial" w:hAnsi="Arial" w:cs="Arial"/>
          <w:sz w:val="24"/>
          <w:szCs w:val="24"/>
        </w:rPr>
        <w:t xml:space="preserve"> </w:t>
      </w:r>
      <w:r w:rsidRPr="00611F8D">
        <w:rPr>
          <w:rFonts w:ascii="Arial" w:hAnsi="Arial" w:cs="Arial"/>
          <w:sz w:val="24"/>
          <w:szCs w:val="24"/>
        </w:rPr>
        <w:t xml:space="preserve">at </w:t>
      </w:r>
    </w:p>
    <w:p w:rsidR="006456EC" w:rsidRPr="00611F8D" w:rsidRDefault="00067F17" w:rsidP="00361AB5">
      <w:pPr>
        <w:pStyle w:val="FootnoteText"/>
        <w:jc w:val="both"/>
        <w:rPr>
          <w:rFonts w:ascii="Arial" w:hAnsi="Arial" w:cs="Arial"/>
          <w:sz w:val="24"/>
          <w:szCs w:val="24"/>
        </w:rPr>
      </w:pPr>
      <w:hyperlink r:id="rId10" w:history="1">
        <w:r w:rsidR="006456EC" w:rsidRPr="00611F8D">
          <w:rPr>
            <w:rStyle w:val="Hyperlink"/>
            <w:rFonts w:ascii="Arial" w:hAnsi="Arial" w:cs="Arial"/>
            <w:sz w:val="24"/>
            <w:szCs w:val="24"/>
          </w:rPr>
          <w:t>http://www.mod.uk/NR/rdonlyres/B358460B-4B2A-4AB5-9A63-15B6196B5364/0/Report_review_excl_woman_combat.pdf</w:t>
        </w:r>
      </w:hyperlink>
      <w:r w:rsidR="006456EC" w:rsidRPr="00611F8D">
        <w:rPr>
          <w:rFonts w:ascii="Arial" w:hAnsi="Arial" w:cs="Arial"/>
          <w:sz w:val="24"/>
          <w:szCs w:val="24"/>
        </w:rPr>
        <w:t xml:space="preserve"> </w:t>
      </w:r>
      <w:r w:rsidR="00DF31BB">
        <w:rPr>
          <w:rFonts w:ascii="Arial" w:hAnsi="Arial" w:cs="Arial"/>
          <w:sz w:val="24"/>
          <w:szCs w:val="24"/>
        </w:rPr>
        <w:t>(last visited 15 March 2012)</w:t>
      </w:r>
    </w:p>
  </w:footnote>
  <w:footnote w:id="104">
    <w:p w:rsidR="006456EC" w:rsidRPr="00611F8D"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i</w:t>
      </w:r>
      <w:r w:rsidRPr="00611F8D">
        <w:rPr>
          <w:rFonts w:ascii="Arial" w:hAnsi="Arial" w:cs="Arial"/>
          <w:sz w:val="24"/>
          <w:szCs w:val="24"/>
        </w:rPr>
        <w:t>b</w:t>
      </w:r>
      <w:r>
        <w:rPr>
          <w:rFonts w:ascii="Arial" w:hAnsi="Arial" w:cs="Arial"/>
          <w:sz w:val="24"/>
          <w:szCs w:val="24"/>
        </w:rPr>
        <w:t>id</w:t>
      </w:r>
      <w:r w:rsidRPr="00611F8D">
        <w:rPr>
          <w:rFonts w:ascii="Arial" w:hAnsi="Arial" w:cs="Arial"/>
          <w:sz w:val="24"/>
          <w:szCs w:val="24"/>
        </w:rPr>
        <w:t xml:space="preserve"> at Annex A</w:t>
      </w:r>
    </w:p>
  </w:footnote>
  <w:footnote w:id="105">
    <w:p w:rsidR="006456EC" w:rsidRDefault="006456EC" w:rsidP="0075753B">
      <w:pPr>
        <w:pStyle w:val="FootnoteText"/>
        <w:jc w:val="both"/>
        <w:rPr>
          <w:rFonts w:ascii="Arial" w:hAnsi="Arial" w:cs="Arial"/>
          <w:sz w:val="24"/>
          <w:szCs w:val="24"/>
        </w:rPr>
      </w:pPr>
      <w:r w:rsidRPr="00611F8D">
        <w:rPr>
          <w:rStyle w:val="FootnoteReference"/>
          <w:rFonts w:ascii="Arial" w:hAnsi="Arial" w:cs="Arial"/>
          <w:sz w:val="24"/>
          <w:szCs w:val="24"/>
        </w:rPr>
        <w:footnoteRef/>
      </w:r>
      <w:r>
        <w:rPr>
          <w:rFonts w:ascii="Arial" w:hAnsi="Arial" w:cs="Arial"/>
          <w:sz w:val="24"/>
          <w:szCs w:val="24"/>
        </w:rPr>
        <w:t xml:space="preserve"> </w:t>
      </w:r>
      <w:proofErr w:type="gramStart"/>
      <w:r>
        <w:rPr>
          <w:rFonts w:ascii="Arial" w:hAnsi="Arial" w:cs="Arial"/>
          <w:sz w:val="24"/>
          <w:szCs w:val="24"/>
        </w:rPr>
        <w:t>ibid</w:t>
      </w:r>
      <w:r w:rsidRPr="00611F8D">
        <w:rPr>
          <w:rFonts w:ascii="Arial" w:hAnsi="Arial" w:cs="Arial"/>
          <w:sz w:val="24"/>
          <w:szCs w:val="24"/>
        </w:rPr>
        <w:t xml:space="preserve"> at para 13</w:t>
      </w:r>
      <w:r>
        <w:rPr>
          <w:rFonts w:ascii="Arial" w:hAnsi="Arial" w:cs="Arial"/>
          <w:sz w:val="24"/>
          <w:szCs w:val="24"/>
        </w:rPr>
        <w:t>.</w:t>
      </w:r>
      <w:proofErr w:type="gramEnd"/>
      <w:r>
        <w:rPr>
          <w:rFonts w:ascii="Arial" w:hAnsi="Arial" w:cs="Arial"/>
          <w:sz w:val="24"/>
          <w:szCs w:val="24"/>
        </w:rPr>
        <w:t xml:space="preserve"> However, it should be noted that this review was based on considerably more evidence obtained through the commissioning of Berkshire Consultancy Ltd. (BCL) to conduct two studies on women’s roles in recent operations (BCL, ‘Qualitative Report for the Study of Women in Combat’ at </w:t>
      </w:r>
      <w:hyperlink r:id="rId11" w:history="1">
        <w:r w:rsidRPr="00D2396C">
          <w:rPr>
            <w:rFonts w:ascii="Arial" w:hAnsi="Arial" w:cs="Arial"/>
            <w:color w:val="0000FF"/>
            <w:sz w:val="24"/>
            <w:szCs w:val="24"/>
            <w:u w:val="single"/>
          </w:rPr>
          <w:t>http://www.mod.uk/NR/rdonlyres/49C587F5-5815-453C-BEB5-B409BD39F464/0/study_woman_combat_quali_data.pdf</w:t>
        </w:r>
      </w:hyperlink>
      <w:r>
        <w:rPr>
          <w:rFonts w:ascii="Arial" w:hAnsi="Arial" w:cs="Arial"/>
          <w:sz w:val="24"/>
          <w:szCs w:val="24"/>
        </w:rPr>
        <w:t xml:space="preserve"> </w:t>
      </w:r>
      <w:r w:rsidR="00DF31BB">
        <w:rPr>
          <w:rFonts w:ascii="Arial" w:hAnsi="Arial" w:cs="Arial"/>
          <w:sz w:val="24"/>
          <w:szCs w:val="24"/>
        </w:rPr>
        <w:t xml:space="preserve">(last visited 15 March 2012) </w:t>
      </w:r>
      <w:r>
        <w:rPr>
          <w:rFonts w:ascii="Arial" w:hAnsi="Arial" w:cs="Arial"/>
          <w:sz w:val="24"/>
          <w:szCs w:val="24"/>
        </w:rPr>
        <w:t xml:space="preserve">and BCL, ‘Study of Women in Combat – Investigation of Quantitative Data’ at </w:t>
      </w:r>
    </w:p>
    <w:p w:rsidR="006456EC" w:rsidRDefault="00067F17" w:rsidP="0075753B">
      <w:pPr>
        <w:pStyle w:val="FootnoteText"/>
        <w:jc w:val="both"/>
        <w:rPr>
          <w:rFonts w:ascii="Arial" w:hAnsi="Arial" w:cs="Arial"/>
          <w:sz w:val="24"/>
          <w:szCs w:val="24"/>
        </w:rPr>
      </w:pPr>
      <w:hyperlink r:id="rId12" w:history="1">
        <w:r w:rsidR="006456EC" w:rsidRPr="00D2396C">
          <w:rPr>
            <w:rFonts w:ascii="Arial" w:hAnsi="Arial" w:cs="Arial"/>
            <w:color w:val="0000FF"/>
            <w:sz w:val="24"/>
            <w:szCs w:val="24"/>
            <w:u w:val="single"/>
          </w:rPr>
          <w:t>http://www.mod.uk/NR/rdonlyres/9BFD1F54-2AB5-4CBA-9E82-9B413AAFBADC/0/study_woman_combat_quant_data.pdf</w:t>
        </w:r>
      </w:hyperlink>
      <w:r w:rsidR="006456EC">
        <w:rPr>
          <w:rFonts w:ascii="Arial" w:hAnsi="Arial" w:cs="Arial"/>
          <w:sz w:val="24"/>
          <w:szCs w:val="24"/>
        </w:rPr>
        <w:t xml:space="preserve"> </w:t>
      </w:r>
      <w:r w:rsidR="00DF31BB">
        <w:rPr>
          <w:rFonts w:ascii="Arial" w:hAnsi="Arial" w:cs="Arial"/>
          <w:sz w:val="24"/>
          <w:szCs w:val="24"/>
        </w:rPr>
        <w:t xml:space="preserve">(last visited 15 March 2012)) </w:t>
      </w:r>
      <w:r w:rsidR="006456EC">
        <w:rPr>
          <w:rFonts w:ascii="Arial" w:hAnsi="Arial" w:cs="Arial"/>
          <w:sz w:val="24"/>
          <w:szCs w:val="24"/>
        </w:rPr>
        <w:t>and the Defence Science and Technology Laboratory UK (Dstl) to analyse the experience of other nations and conduct a literature review (Dstl, ‘</w:t>
      </w:r>
      <w:r w:rsidR="006456EC" w:rsidRPr="0017559C">
        <w:rPr>
          <w:rFonts w:ascii="Arial" w:hAnsi="Arial" w:cs="Arial"/>
          <w:sz w:val="24"/>
          <w:szCs w:val="24"/>
        </w:rPr>
        <w:t>Women in Ground Close Combat Roles: The Experiences of other Nations and a Review of the Academic Literature</w:t>
      </w:r>
      <w:r w:rsidR="006456EC">
        <w:rPr>
          <w:rFonts w:ascii="Arial" w:hAnsi="Arial" w:cs="Arial"/>
          <w:sz w:val="24"/>
          <w:szCs w:val="24"/>
        </w:rPr>
        <w:t xml:space="preserve">’ at </w:t>
      </w:r>
    </w:p>
    <w:p w:rsidR="006456EC" w:rsidRDefault="00067F17" w:rsidP="0075753B">
      <w:pPr>
        <w:pStyle w:val="FootnoteText"/>
        <w:jc w:val="both"/>
      </w:pPr>
      <w:hyperlink r:id="rId13" w:history="1">
        <w:r w:rsidR="006456EC" w:rsidRPr="0017559C">
          <w:rPr>
            <w:rFonts w:ascii="Arial" w:hAnsi="Arial" w:cs="Arial"/>
            <w:color w:val="0000FF"/>
            <w:sz w:val="24"/>
            <w:szCs w:val="24"/>
            <w:u w:val="single"/>
          </w:rPr>
          <w:t>http://www.mod.uk/NR/rdonlyres/7A18C2A3-C25B-4FA1-B8CB-49204A109105/0/women_combat_experiences_literature.pdf</w:t>
        </w:r>
      </w:hyperlink>
      <w:r w:rsidR="00DF31BB">
        <w:rPr>
          <w:rFonts w:ascii="Arial" w:hAnsi="Arial" w:cs="Arial"/>
          <w:sz w:val="24"/>
          <w:szCs w:val="24"/>
        </w:rPr>
        <w:t xml:space="preserve"> (last visited 15 March 2012)</w:t>
      </w:r>
    </w:p>
  </w:footnote>
  <w:footnote w:id="106">
    <w:p w:rsidR="006456EC" w:rsidRDefault="006456EC" w:rsidP="009607F9">
      <w:pPr>
        <w:pStyle w:val="FootnoteText"/>
        <w:jc w:val="both"/>
        <w:rPr>
          <w:rFonts w:ascii="Arial" w:hAnsi="Arial" w:cs="Arial"/>
          <w:sz w:val="24"/>
          <w:szCs w:val="24"/>
        </w:rPr>
      </w:pPr>
      <w:r w:rsidRPr="009607F9">
        <w:rPr>
          <w:rStyle w:val="FootnoteReference"/>
          <w:rFonts w:ascii="Arial" w:hAnsi="Arial" w:cs="Arial"/>
          <w:sz w:val="24"/>
          <w:szCs w:val="24"/>
        </w:rPr>
        <w:footnoteRef/>
      </w:r>
      <w:r w:rsidRPr="009607F9">
        <w:rPr>
          <w:rFonts w:ascii="Arial" w:hAnsi="Arial" w:cs="Arial"/>
          <w:sz w:val="24"/>
          <w:szCs w:val="24"/>
        </w:rPr>
        <w:t xml:space="preserve"> P Hammond, ‘Delivering on the Frontline: Operational Success and Sustainable Armed Forces’, speech at the Royal United Services Institute on 8 Decemb</w:t>
      </w:r>
      <w:r w:rsidR="00496118">
        <w:rPr>
          <w:rFonts w:ascii="Arial" w:hAnsi="Arial" w:cs="Arial"/>
          <w:sz w:val="24"/>
          <w:szCs w:val="24"/>
        </w:rPr>
        <w:t>er 2011</w:t>
      </w:r>
      <w:r w:rsidRPr="009607F9">
        <w:rPr>
          <w:rFonts w:ascii="Arial" w:hAnsi="Arial" w:cs="Arial"/>
          <w:sz w:val="24"/>
          <w:szCs w:val="24"/>
        </w:rPr>
        <w:t xml:space="preserve"> at </w:t>
      </w:r>
    </w:p>
    <w:p w:rsidR="006456EC" w:rsidRPr="009607F9" w:rsidRDefault="00067F17" w:rsidP="009607F9">
      <w:pPr>
        <w:pStyle w:val="FootnoteText"/>
        <w:jc w:val="both"/>
        <w:rPr>
          <w:rFonts w:ascii="Arial" w:hAnsi="Arial" w:cs="Arial"/>
          <w:sz w:val="24"/>
          <w:szCs w:val="24"/>
        </w:rPr>
      </w:pPr>
      <w:hyperlink r:id="rId14" w:history="1">
        <w:r w:rsidR="006456EC" w:rsidRPr="009607F9">
          <w:rPr>
            <w:rFonts w:ascii="Arial" w:hAnsi="Arial" w:cs="Arial"/>
            <w:color w:val="0000FF"/>
            <w:sz w:val="24"/>
            <w:szCs w:val="24"/>
            <w:u w:val="single"/>
          </w:rPr>
          <w:t>http://www.mod.uk/DefenceInternet/AboutDefence/People/Speeches/SofS/20111208DeliveringOnTheFrontlineOperationalSuccessAndSustainableArmedForces.htm</w:t>
        </w:r>
      </w:hyperlink>
      <w:hyperlink r:id="rId15" w:history="1">
        <w:r w:rsidR="006456EC" w:rsidRPr="009607F9">
          <w:rPr>
            <w:rFonts w:ascii="Arial" w:hAnsi="Arial" w:cs="Arial"/>
            <w:color w:val="0000FF"/>
            <w:sz w:val="24"/>
            <w:szCs w:val="24"/>
            <w:u w:val="single"/>
          </w:rPr>
          <w:t>http://www.mod.uk/DefenceInternet/AboutDefence/People/Speeches/SofS/20111208DeliveringOnTheFrontlineOperationalSuccessAndSustainableArmedForces.htm</w:t>
        </w:r>
      </w:hyperlink>
      <w:r w:rsidR="00DF31BB" w:rsidRPr="00DF31BB">
        <w:rPr>
          <w:rFonts w:ascii="Arial" w:hAnsi="Arial" w:cs="Arial"/>
          <w:color w:val="0000FF"/>
          <w:sz w:val="24"/>
          <w:szCs w:val="24"/>
        </w:rPr>
        <w:t xml:space="preserve"> </w:t>
      </w:r>
      <w:r w:rsidR="00DF31BB">
        <w:rPr>
          <w:rFonts w:ascii="Arial" w:hAnsi="Arial" w:cs="Arial"/>
          <w:sz w:val="24"/>
          <w:szCs w:val="24"/>
        </w:rPr>
        <w:t>(last visited 15 March 2012)</w:t>
      </w:r>
    </w:p>
  </w:footnote>
  <w:footnote w:id="107">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Committee on Homosexual Offences and Prostitution, </w:t>
      </w:r>
      <w:r w:rsidRPr="00E726E5">
        <w:rPr>
          <w:rFonts w:ascii="Arial" w:hAnsi="Arial" w:cs="Arial"/>
          <w:i/>
          <w:iCs/>
          <w:sz w:val="24"/>
          <w:szCs w:val="24"/>
        </w:rPr>
        <w:t>Report of the Committee on Homosexual Offences and Prostitution</w:t>
      </w:r>
      <w:r>
        <w:rPr>
          <w:rFonts w:ascii="Arial" w:hAnsi="Arial" w:cs="Arial"/>
          <w:i/>
          <w:iCs/>
          <w:sz w:val="24"/>
          <w:szCs w:val="24"/>
        </w:rPr>
        <w:t>,</w:t>
      </w:r>
      <w:r w:rsidRPr="00E726E5">
        <w:rPr>
          <w:rFonts w:ascii="Arial" w:hAnsi="Arial" w:cs="Arial"/>
          <w:iCs/>
          <w:sz w:val="24"/>
          <w:szCs w:val="24"/>
        </w:rPr>
        <w:t xml:space="preserve"> </w:t>
      </w:r>
      <w:r>
        <w:rPr>
          <w:rFonts w:ascii="Arial" w:hAnsi="Arial" w:cs="Arial"/>
          <w:iCs/>
          <w:sz w:val="24"/>
          <w:szCs w:val="24"/>
        </w:rPr>
        <w:t xml:space="preserve">Cmnd 247 </w:t>
      </w:r>
      <w:r w:rsidRPr="00E726E5">
        <w:rPr>
          <w:rFonts w:ascii="Arial" w:hAnsi="Arial" w:cs="Arial"/>
          <w:iCs/>
          <w:sz w:val="24"/>
          <w:szCs w:val="24"/>
        </w:rPr>
        <w:t>(London</w:t>
      </w:r>
      <w:r>
        <w:rPr>
          <w:rFonts w:ascii="Arial" w:hAnsi="Arial" w:cs="Arial"/>
          <w:iCs/>
          <w:sz w:val="24"/>
          <w:szCs w:val="24"/>
        </w:rPr>
        <w:t>:</w:t>
      </w:r>
      <w:r w:rsidRPr="00E726E5">
        <w:rPr>
          <w:rFonts w:ascii="Arial" w:hAnsi="Arial" w:cs="Arial"/>
          <w:iCs/>
          <w:sz w:val="24"/>
          <w:szCs w:val="24"/>
        </w:rPr>
        <w:t xml:space="preserve"> HMSO, 1957)</w:t>
      </w:r>
    </w:p>
  </w:footnote>
  <w:footnote w:id="108">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Homosexual and heterosexual age of consent was eventually equalised at 16 by the Sexual Offences (Amendment) Act 2000</w:t>
      </w:r>
      <w:r>
        <w:rPr>
          <w:rFonts w:ascii="Arial" w:hAnsi="Arial" w:cs="Arial"/>
          <w:sz w:val="24"/>
          <w:szCs w:val="24"/>
        </w:rPr>
        <w:t>,</w:t>
      </w:r>
      <w:r w:rsidRPr="00E726E5">
        <w:rPr>
          <w:rFonts w:ascii="Arial" w:hAnsi="Arial" w:cs="Arial"/>
          <w:sz w:val="24"/>
          <w:szCs w:val="24"/>
        </w:rPr>
        <w:t xml:space="preserve"> s 1</w:t>
      </w:r>
    </w:p>
  </w:footnote>
  <w:footnote w:id="109">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Pr>
          <w:rFonts w:ascii="Arial" w:hAnsi="Arial" w:cs="Arial"/>
          <w:sz w:val="24"/>
          <w:szCs w:val="24"/>
        </w:rPr>
        <w:t xml:space="preserve"> </w:t>
      </w:r>
      <w:proofErr w:type="gramStart"/>
      <w:r>
        <w:rPr>
          <w:rFonts w:ascii="Arial" w:hAnsi="Arial" w:cs="Arial"/>
          <w:sz w:val="24"/>
          <w:szCs w:val="24"/>
        </w:rPr>
        <w:t>SOA</w:t>
      </w:r>
      <w:r w:rsidRPr="00E726E5">
        <w:rPr>
          <w:rFonts w:ascii="Arial" w:hAnsi="Arial" w:cs="Arial"/>
          <w:sz w:val="24"/>
          <w:szCs w:val="24"/>
        </w:rPr>
        <w:t>67</w:t>
      </w:r>
      <w:r>
        <w:rPr>
          <w:rFonts w:ascii="Arial" w:hAnsi="Arial" w:cs="Arial"/>
          <w:sz w:val="24"/>
          <w:szCs w:val="24"/>
        </w:rPr>
        <w:t>, s 1(1), ‘with no other person present’</w:t>
      </w:r>
      <w:r w:rsidRPr="00E726E5">
        <w:rPr>
          <w:rFonts w:ascii="Arial" w:hAnsi="Arial" w:cs="Arial"/>
          <w:sz w:val="24"/>
          <w:szCs w:val="24"/>
        </w:rPr>
        <w:t>.</w:t>
      </w:r>
      <w:proofErr w:type="gramEnd"/>
      <w:r w:rsidRPr="00E726E5">
        <w:rPr>
          <w:rFonts w:ascii="Arial" w:hAnsi="Arial" w:cs="Arial"/>
          <w:sz w:val="24"/>
          <w:szCs w:val="24"/>
        </w:rPr>
        <w:t xml:space="preserve"> This requirement was repealed with the passage of the Sexual Offences Act 2003</w:t>
      </w:r>
    </w:p>
  </w:footnote>
  <w:footnote w:id="110">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Pr>
          <w:rFonts w:ascii="Arial" w:hAnsi="Arial" w:cs="Arial"/>
          <w:sz w:val="24"/>
          <w:szCs w:val="24"/>
        </w:rPr>
        <w:t xml:space="preserve"> SOA</w:t>
      </w:r>
      <w:r w:rsidRPr="00E726E5">
        <w:rPr>
          <w:rFonts w:ascii="Arial" w:hAnsi="Arial" w:cs="Arial"/>
          <w:sz w:val="24"/>
          <w:szCs w:val="24"/>
        </w:rPr>
        <w:t>67</w:t>
      </w:r>
      <w:r>
        <w:rPr>
          <w:rFonts w:ascii="Arial" w:hAnsi="Arial" w:cs="Arial"/>
          <w:sz w:val="24"/>
          <w:szCs w:val="24"/>
        </w:rPr>
        <w:t>,</w:t>
      </w:r>
      <w:r w:rsidRPr="00E726E5">
        <w:rPr>
          <w:rFonts w:ascii="Arial" w:hAnsi="Arial" w:cs="Arial"/>
          <w:sz w:val="24"/>
          <w:szCs w:val="24"/>
        </w:rPr>
        <w:t xml:space="preserve"> s 1(5)</w:t>
      </w:r>
    </w:p>
  </w:footnote>
  <w:footnote w:id="111">
    <w:p w:rsidR="006456EC" w:rsidRPr="0022570D" w:rsidRDefault="006456EC" w:rsidP="0022570D">
      <w:pPr>
        <w:pStyle w:val="FootnoteText"/>
        <w:jc w:val="both"/>
        <w:rPr>
          <w:rFonts w:ascii="Arial" w:hAnsi="Arial" w:cs="Arial"/>
          <w:sz w:val="24"/>
          <w:szCs w:val="24"/>
        </w:rPr>
      </w:pPr>
      <w:r w:rsidRPr="0022570D">
        <w:rPr>
          <w:rStyle w:val="FootnoteReference"/>
          <w:rFonts w:ascii="Arial" w:hAnsi="Arial" w:cs="Arial"/>
          <w:sz w:val="24"/>
          <w:szCs w:val="24"/>
        </w:rPr>
        <w:footnoteRef/>
      </w:r>
      <w:r w:rsidRPr="0022570D">
        <w:rPr>
          <w:rFonts w:ascii="Arial" w:hAnsi="Arial" w:cs="Arial"/>
          <w:sz w:val="24"/>
          <w:szCs w:val="24"/>
        </w:rPr>
        <w:t xml:space="preserve"> Right Hon Jonathan Aitken MP, Minister </w:t>
      </w:r>
      <w:r>
        <w:rPr>
          <w:rFonts w:ascii="Arial" w:hAnsi="Arial" w:cs="Arial"/>
          <w:sz w:val="24"/>
          <w:szCs w:val="24"/>
        </w:rPr>
        <w:t xml:space="preserve">of State </w:t>
      </w:r>
      <w:r w:rsidRPr="0022570D">
        <w:rPr>
          <w:rFonts w:ascii="Arial" w:hAnsi="Arial" w:cs="Arial"/>
          <w:sz w:val="24"/>
          <w:szCs w:val="24"/>
        </w:rPr>
        <w:t>for Defence</w:t>
      </w:r>
      <w:r>
        <w:rPr>
          <w:rFonts w:ascii="Arial" w:hAnsi="Arial" w:cs="Arial"/>
          <w:sz w:val="24"/>
          <w:szCs w:val="24"/>
        </w:rPr>
        <w:t xml:space="preserve"> Procurement</w:t>
      </w:r>
      <w:r w:rsidRPr="0022570D">
        <w:rPr>
          <w:rFonts w:ascii="Arial" w:hAnsi="Arial" w:cs="Arial"/>
          <w:sz w:val="24"/>
          <w:szCs w:val="24"/>
        </w:rPr>
        <w:t xml:space="preserve">, </w:t>
      </w:r>
      <w:r>
        <w:rPr>
          <w:rFonts w:ascii="Arial" w:hAnsi="Arial" w:cs="Arial"/>
          <w:sz w:val="24"/>
          <w:szCs w:val="24"/>
        </w:rPr>
        <w:t xml:space="preserve">HC Deb </w:t>
      </w:r>
      <w:proofErr w:type="spellStart"/>
      <w:r>
        <w:rPr>
          <w:rFonts w:ascii="Arial" w:hAnsi="Arial" w:cs="Arial"/>
          <w:sz w:val="24"/>
          <w:szCs w:val="24"/>
        </w:rPr>
        <w:t>vol</w:t>
      </w:r>
      <w:proofErr w:type="spellEnd"/>
      <w:r>
        <w:rPr>
          <w:rFonts w:ascii="Arial" w:hAnsi="Arial" w:cs="Arial"/>
          <w:sz w:val="24"/>
          <w:szCs w:val="24"/>
        </w:rPr>
        <w:t xml:space="preserve"> 209 col 989-990 19 June 1992</w:t>
      </w:r>
    </w:p>
  </w:footnote>
  <w:footnote w:id="112">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The four were Jeanette Smith, Graeme Grady, Duncan Lustig-Prean and John Beckett</w:t>
      </w:r>
    </w:p>
  </w:footnote>
  <w:footnote w:id="113">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w:t>
      </w:r>
      <w:r w:rsidRPr="007C6283">
        <w:rPr>
          <w:rFonts w:ascii="Arial" w:hAnsi="Arial" w:cs="Arial"/>
          <w:i/>
          <w:sz w:val="24"/>
          <w:szCs w:val="24"/>
        </w:rPr>
        <w:t>R v Ministry of Defence, ex parte Smith and others</w:t>
      </w:r>
      <w:r w:rsidRPr="00E726E5">
        <w:rPr>
          <w:rFonts w:ascii="Arial" w:hAnsi="Arial" w:cs="Arial"/>
          <w:sz w:val="24"/>
          <w:szCs w:val="24"/>
        </w:rPr>
        <w:t xml:space="preserve"> [1996] 1 All ER 257 (CA); see M</w:t>
      </w:r>
      <w:r>
        <w:rPr>
          <w:rFonts w:ascii="Arial" w:hAnsi="Arial" w:cs="Arial"/>
          <w:sz w:val="24"/>
          <w:szCs w:val="24"/>
        </w:rPr>
        <w:t>.</w:t>
      </w:r>
      <w:r w:rsidRPr="00E726E5">
        <w:rPr>
          <w:rFonts w:ascii="Arial" w:hAnsi="Arial" w:cs="Arial"/>
          <w:sz w:val="24"/>
          <w:szCs w:val="24"/>
        </w:rPr>
        <w:t xml:space="preserve"> Norris, ‘Ex parte Smith: Irrationality and Human Rights’ [1996] PL 590</w:t>
      </w:r>
    </w:p>
  </w:footnote>
  <w:footnote w:id="114">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w:t>
      </w:r>
      <w:r w:rsidRPr="007C6283">
        <w:rPr>
          <w:rFonts w:ascii="Arial" w:hAnsi="Arial" w:cs="Arial"/>
          <w:i/>
          <w:sz w:val="24"/>
          <w:szCs w:val="24"/>
        </w:rPr>
        <w:t>Lustig-Prean and Beckett v United Kingdom</w:t>
      </w:r>
      <w:r w:rsidRPr="00E726E5">
        <w:rPr>
          <w:rFonts w:ascii="Arial" w:hAnsi="Arial" w:cs="Arial"/>
          <w:sz w:val="24"/>
          <w:szCs w:val="24"/>
        </w:rPr>
        <w:t xml:space="preserve"> [1999] ECHR 71 (ECHR) and </w:t>
      </w:r>
      <w:r w:rsidRPr="007C6283">
        <w:rPr>
          <w:rFonts w:ascii="Arial" w:hAnsi="Arial" w:cs="Arial"/>
          <w:i/>
          <w:sz w:val="24"/>
          <w:szCs w:val="24"/>
        </w:rPr>
        <w:t>Smith and Grady v United Kingdom</w:t>
      </w:r>
      <w:r w:rsidRPr="00E726E5">
        <w:rPr>
          <w:rFonts w:ascii="Arial" w:hAnsi="Arial" w:cs="Arial"/>
          <w:sz w:val="24"/>
          <w:szCs w:val="24"/>
        </w:rPr>
        <w:t xml:space="preserve"> [1999] ECHR 72 (ECHR)</w:t>
      </w:r>
    </w:p>
  </w:footnote>
  <w:footnote w:id="115">
    <w:p w:rsidR="006456EC" w:rsidRPr="00E726E5" w:rsidRDefault="006456EC" w:rsidP="0075753B">
      <w:pPr>
        <w:pStyle w:val="FootnoteText"/>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Ministry of Defence, ‘Armed Forces Code of Social Conduct: Policy Statement’ at </w:t>
      </w:r>
      <w:hyperlink r:id="rId16" w:history="1">
        <w:r w:rsidRPr="00E726E5">
          <w:rPr>
            <w:rStyle w:val="Hyperlink"/>
            <w:rFonts w:ascii="Arial" w:hAnsi="Arial" w:cs="Arial"/>
            <w:sz w:val="24"/>
            <w:szCs w:val="24"/>
          </w:rPr>
          <w:t>http://www.mod.uk/DefenceInternet/AboutDefence/WhatWeDo/Personnel/EqualityAndDiversity/ArmedForcesCodeOfSocialConductPolicyStatement.htm</w:t>
        </w:r>
      </w:hyperlink>
      <w:r w:rsidRPr="00E726E5">
        <w:rPr>
          <w:rFonts w:ascii="Arial" w:hAnsi="Arial" w:cs="Arial"/>
          <w:sz w:val="24"/>
          <w:szCs w:val="24"/>
        </w:rPr>
        <w:t xml:space="preserve"> </w:t>
      </w:r>
      <w:r w:rsidR="00496118">
        <w:rPr>
          <w:rFonts w:ascii="Arial" w:hAnsi="Arial" w:cs="Arial"/>
          <w:sz w:val="24"/>
          <w:szCs w:val="24"/>
        </w:rPr>
        <w:t>(last visited 15 March 2012)</w:t>
      </w:r>
    </w:p>
  </w:footnote>
  <w:footnote w:id="116">
    <w:p w:rsidR="006456EC"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007756D6">
        <w:rPr>
          <w:rFonts w:ascii="Arial" w:hAnsi="Arial" w:cs="Arial"/>
          <w:sz w:val="24"/>
          <w:szCs w:val="24"/>
        </w:rPr>
        <w:t xml:space="preserve"> Ministry of Defence, ‘Mo</w:t>
      </w:r>
      <w:r w:rsidRPr="00E726E5">
        <w:rPr>
          <w:rFonts w:ascii="Arial" w:hAnsi="Arial" w:cs="Arial"/>
          <w:sz w:val="24"/>
          <w:szCs w:val="24"/>
        </w:rPr>
        <w:t>D Policy on Homosexuality; A Review on the Armed</w:t>
      </w:r>
    </w:p>
    <w:p w:rsidR="006456EC" w:rsidRPr="00E726E5" w:rsidRDefault="006456EC" w:rsidP="0075753B">
      <w:pPr>
        <w:pStyle w:val="FootnoteText"/>
        <w:rPr>
          <w:rFonts w:ascii="Arial" w:hAnsi="Arial" w:cs="Arial"/>
          <w:sz w:val="24"/>
          <w:szCs w:val="24"/>
        </w:rPr>
      </w:pPr>
      <w:r w:rsidRPr="00E726E5">
        <w:rPr>
          <w:rFonts w:ascii="Arial" w:hAnsi="Arial" w:cs="Arial"/>
          <w:sz w:val="24"/>
          <w:szCs w:val="24"/>
        </w:rPr>
        <w:t xml:space="preserve">Forces Policy on Homosexuality’ at </w:t>
      </w:r>
      <w:hyperlink r:id="rId17" w:history="1">
        <w:r w:rsidRPr="00E726E5">
          <w:rPr>
            <w:rStyle w:val="Hyperlink"/>
            <w:rFonts w:ascii="Arial" w:hAnsi="Arial" w:cs="Arial"/>
            <w:sz w:val="24"/>
            <w:szCs w:val="24"/>
          </w:rPr>
          <w:t>http://www.proud2serve.net/military/2000modupdate.htm</w:t>
        </w:r>
      </w:hyperlink>
      <w:r w:rsidRPr="00E726E5">
        <w:rPr>
          <w:rFonts w:ascii="Arial" w:hAnsi="Arial" w:cs="Arial"/>
          <w:sz w:val="24"/>
          <w:szCs w:val="24"/>
        </w:rPr>
        <w:t xml:space="preserve"> </w:t>
      </w:r>
      <w:r w:rsidR="00496118">
        <w:rPr>
          <w:rFonts w:ascii="Arial" w:hAnsi="Arial" w:cs="Arial"/>
          <w:sz w:val="24"/>
          <w:szCs w:val="24"/>
        </w:rPr>
        <w:t>(last visited 15 March 2012)</w:t>
      </w:r>
    </w:p>
  </w:footnote>
  <w:footnote w:id="117">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Service Personnel Board, ‘</w:t>
      </w:r>
      <w:r w:rsidRPr="00E726E5">
        <w:rPr>
          <w:rFonts w:ascii="Arial" w:hAnsi="Arial" w:cs="Arial"/>
          <w:iCs/>
          <w:sz w:val="24"/>
          <w:szCs w:val="24"/>
        </w:rPr>
        <w:t xml:space="preserve">Tri-Service Review of the Armed Forces’ Policy on Homosexuality and Code of Social Conduct Paper 12/02’ at </w:t>
      </w:r>
      <w:hyperlink r:id="rId18" w:history="1">
        <w:r w:rsidRPr="00E726E5">
          <w:rPr>
            <w:rStyle w:val="Hyperlink"/>
            <w:rFonts w:ascii="Arial" w:hAnsi="Arial" w:cs="Arial"/>
            <w:iCs/>
            <w:sz w:val="24"/>
            <w:szCs w:val="24"/>
          </w:rPr>
          <w:t>http://www.mod.uk/NR/rdonlyres/ACED4F62-2C04-4B19-AC50-E49552732385/0/impact_studies_homosexuality.pdf</w:t>
        </w:r>
      </w:hyperlink>
      <w:r w:rsidRPr="00E726E5">
        <w:rPr>
          <w:rFonts w:ascii="Arial" w:hAnsi="Arial" w:cs="Arial"/>
          <w:iCs/>
          <w:sz w:val="24"/>
          <w:szCs w:val="24"/>
        </w:rPr>
        <w:t xml:space="preserve"> </w:t>
      </w:r>
      <w:r w:rsidR="00496118">
        <w:rPr>
          <w:rFonts w:ascii="Arial" w:hAnsi="Arial" w:cs="Arial"/>
          <w:sz w:val="24"/>
          <w:szCs w:val="24"/>
        </w:rPr>
        <w:t>(last visited 15 March 2012)</w:t>
      </w:r>
    </w:p>
  </w:footnote>
  <w:footnote w:id="118">
    <w:p w:rsidR="006456EC" w:rsidRPr="005D7D97" w:rsidRDefault="006456EC" w:rsidP="0075753B">
      <w:pPr>
        <w:pStyle w:val="FootnoteText"/>
        <w:jc w:val="both"/>
        <w:rPr>
          <w:rFonts w:ascii="Arial" w:hAnsi="Arial" w:cs="Arial"/>
          <w:sz w:val="24"/>
          <w:szCs w:val="24"/>
        </w:rPr>
      </w:pPr>
      <w:r w:rsidRPr="005D7D97">
        <w:rPr>
          <w:rStyle w:val="FootnoteReference"/>
          <w:rFonts w:ascii="Arial" w:hAnsi="Arial" w:cs="Arial"/>
          <w:sz w:val="24"/>
          <w:szCs w:val="24"/>
        </w:rPr>
        <w:footnoteRef/>
      </w:r>
      <w:r w:rsidRPr="005D7D97">
        <w:rPr>
          <w:rFonts w:ascii="Arial" w:hAnsi="Arial" w:cs="Arial"/>
          <w:sz w:val="24"/>
          <w:szCs w:val="24"/>
        </w:rPr>
        <w:t xml:space="preserve"> V</w:t>
      </w:r>
      <w:r>
        <w:rPr>
          <w:rFonts w:ascii="Arial" w:hAnsi="Arial" w:cs="Arial"/>
          <w:sz w:val="24"/>
          <w:szCs w:val="24"/>
        </w:rPr>
        <w:t>.</w:t>
      </w:r>
      <w:r w:rsidRPr="005D7D97">
        <w:rPr>
          <w:rFonts w:ascii="Arial" w:hAnsi="Arial" w:cs="Arial"/>
          <w:sz w:val="24"/>
          <w:szCs w:val="24"/>
        </w:rPr>
        <w:t xml:space="preserve"> Basham, ‘Effecting Discrimination: Operational Effectiveness and Harassment in the British Armed Forces’ (2009) 35 </w:t>
      </w:r>
      <w:r w:rsidRPr="00717498">
        <w:rPr>
          <w:rFonts w:ascii="Arial" w:hAnsi="Arial" w:cs="Arial"/>
          <w:i/>
          <w:sz w:val="24"/>
          <w:szCs w:val="24"/>
        </w:rPr>
        <w:t>Armed Forces and Society</w:t>
      </w:r>
      <w:r w:rsidRPr="005D7D97">
        <w:rPr>
          <w:rFonts w:ascii="Arial" w:hAnsi="Arial" w:cs="Arial"/>
          <w:sz w:val="24"/>
          <w:szCs w:val="24"/>
        </w:rPr>
        <w:t xml:space="preserve"> 728</w:t>
      </w:r>
    </w:p>
  </w:footnote>
  <w:footnote w:id="119">
    <w:p w:rsidR="006456EC" w:rsidRPr="00E726E5" w:rsidRDefault="006456EC" w:rsidP="0075753B">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w:t>
      </w:r>
      <w:r w:rsidRPr="007C6283">
        <w:rPr>
          <w:rFonts w:ascii="Arial" w:hAnsi="Arial" w:cs="Arial"/>
          <w:i/>
          <w:sz w:val="24"/>
          <w:szCs w:val="24"/>
        </w:rPr>
        <w:t>MacDonald v Advocate General for Scotland</w:t>
      </w:r>
      <w:r w:rsidRPr="00E726E5">
        <w:rPr>
          <w:rFonts w:ascii="Arial" w:hAnsi="Arial" w:cs="Arial"/>
          <w:sz w:val="24"/>
          <w:szCs w:val="24"/>
        </w:rPr>
        <w:t xml:space="preserve"> and </w:t>
      </w:r>
      <w:r w:rsidRPr="007C6283">
        <w:rPr>
          <w:rFonts w:ascii="Arial" w:hAnsi="Arial" w:cs="Arial"/>
          <w:i/>
          <w:sz w:val="24"/>
          <w:szCs w:val="24"/>
        </w:rPr>
        <w:t>Pearce v Governing Body of Mayfield School</w:t>
      </w:r>
      <w:r w:rsidRPr="00E726E5">
        <w:rPr>
          <w:rFonts w:ascii="Arial" w:hAnsi="Arial" w:cs="Arial"/>
          <w:sz w:val="24"/>
          <w:szCs w:val="24"/>
        </w:rPr>
        <w:t xml:space="preserve"> [2003] ICR 937 (HL); see E</w:t>
      </w:r>
      <w:r>
        <w:rPr>
          <w:rFonts w:ascii="Arial" w:hAnsi="Arial" w:cs="Arial"/>
          <w:sz w:val="24"/>
          <w:szCs w:val="24"/>
        </w:rPr>
        <w:t>.</w:t>
      </w:r>
      <w:r w:rsidRPr="00E726E5">
        <w:rPr>
          <w:rFonts w:ascii="Arial" w:hAnsi="Arial" w:cs="Arial"/>
          <w:sz w:val="24"/>
          <w:szCs w:val="24"/>
        </w:rPr>
        <w:t xml:space="preserve"> Fry, S</w:t>
      </w:r>
      <w:r>
        <w:rPr>
          <w:rFonts w:ascii="Arial" w:hAnsi="Arial" w:cs="Arial"/>
          <w:sz w:val="24"/>
          <w:szCs w:val="24"/>
        </w:rPr>
        <w:t>.</w:t>
      </w:r>
      <w:r w:rsidRPr="00E726E5">
        <w:rPr>
          <w:rFonts w:ascii="Arial" w:hAnsi="Arial" w:cs="Arial"/>
          <w:sz w:val="24"/>
          <w:szCs w:val="24"/>
        </w:rPr>
        <w:t xml:space="preserve"> Buckley, ‘Pearce, MacDonald and the New Legislation – Three Steps Forward, Two Steps Back?’ (2003) 8 </w:t>
      </w:r>
      <w:r w:rsidRPr="00717498">
        <w:rPr>
          <w:rFonts w:ascii="Arial" w:hAnsi="Arial" w:cs="Arial"/>
          <w:i/>
          <w:sz w:val="24"/>
          <w:szCs w:val="24"/>
        </w:rPr>
        <w:t>Journal of Civil Liberties</w:t>
      </w:r>
      <w:r w:rsidRPr="00E726E5">
        <w:rPr>
          <w:rFonts w:ascii="Arial" w:hAnsi="Arial" w:cs="Arial"/>
          <w:sz w:val="24"/>
          <w:szCs w:val="24"/>
        </w:rPr>
        <w:t xml:space="preserve"> 67; P</w:t>
      </w:r>
      <w:r>
        <w:rPr>
          <w:rFonts w:ascii="Arial" w:hAnsi="Arial" w:cs="Arial"/>
          <w:sz w:val="24"/>
          <w:szCs w:val="24"/>
        </w:rPr>
        <w:t>.</w:t>
      </w:r>
      <w:r w:rsidRPr="00E726E5">
        <w:rPr>
          <w:rFonts w:ascii="Arial" w:hAnsi="Arial" w:cs="Arial"/>
          <w:sz w:val="24"/>
          <w:szCs w:val="24"/>
        </w:rPr>
        <w:t xml:space="preserve"> Roberts, ‘Case Note’ (2003) 25 </w:t>
      </w:r>
      <w:r w:rsidRPr="00717498">
        <w:rPr>
          <w:rFonts w:ascii="Arial" w:hAnsi="Arial" w:cs="Arial"/>
          <w:i/>
          <w:sz w:val="24"/>
          <w:szCs w:val="24"/>
        </w:rPr>
        <w:t>Journal of Social Welfare and Family Law</w:t>
      </w:r>
      <w:r w:rsidRPr="00E726E5">
        <w:rPr>
          <w:rFonts w:ascii="Arial" w:hAnsi="Arial" w:cs="Arial"/>
          <w:sz w:val="24"/>
          <w:szCs w:val="24"/>
        </w:rPr>
        <w:t xml:space="preserve"> 383; and, R</w:t>
      </w:r>
      <w:r>
        <w:rPr>
          <w:rFonts w:ascii="Arial" w:hAnsi="Arial" w:cs="Arial"/>
          <w:sz w:val="24"/>
          <w:szCs w:val="24"/>
        </w:rPr>
        <w:t>.</w:t>
      </w:r>
      <w:r w:rsidRPr="00E726E5">
        <w:rPr>
          <w:rFonts w:ascii="Arial" w:hAnsi="Arial" w:cs="Arial"/>
          <w:sz w:val="24"/>
          <w:szCs w:val="24"/>
        </w:rPr>
        <w:t xml:space="preserve"> Wintemute, ‘Sex Discrimination in MacDonald and Pearce: Why the Law Lords Chose the Wrong Comparators’ (2003) 14 KCLJ 267</w:t>
      </w:r>
    </w:p>
  </w:footnote>
  <w:footnote w:id="120">
    <w:p w:rsidR="006456EC" w:rsidRDefault="006456EC" w:rsidP="0075753B">
      <w:pPr>
        <w:pStyle w:val="FootnoteText"/>
        <w:jc w:val="both"/>
      </w:pPr>
      <w:r w:rsidRPr="00E726E5">
        <w:rPr>
          <w:rStyle w:val="FootnoteReference"/>
          <w:rFonts w:ascii="Arial" w:hAnsi="Arial" w:cs="Arial"/>
          <w:sz w:val="24"/>
          <w:szCs w:val="24"/>
        </w:rPr>
        <w:footnoteRef/>
      </w:r>
      <w:r w:rsidRPr="00E726E5">
        <w:rPr>
          <w:rFonts w:ascii="Arial" w:hAnsi="Arial" w:cs="Arial"/>
          <w:sz w:val="24"/>
          <w:szCs w:val="24"/>
        </w:rPr>
        <w:t xml:space="preserve"> See M</w:t>
      </w:r>
      <w:r>
        <w:rPr>
          <w:rFonts w:ascii="Arial" w:hAnsi="Arial" w:cs="Arial"/>
          <w:sz w:val="24"/>
          <w:szCs w:val="24"/>
        </w:rPr>
        <w:t>.</w:t>
      </w:r>
      <w:r w:rsidRPr="00E726E5">
        <w:rPr>
          <w:rFonts w:ascii="Arial" w:hAnsi="Arial" w:cs="Arial"/>
          <w:sz w:val="24"/>
          <w:szCs w:val="24"/>
        </w:rPr>
        <w:t xml:space="preserve"> Bell, ‘Employment Law Consequences of the Civil Partnership Act 2004’ (2006) 35 ILJ 179</w:t>
      </w:r>
    </w:p>
  </w:footnote>
  <w:footnote w:id="121">
    <w:p w:rsidR="006456EC" w:rsidRPr="008D0603" w:rsidRDefault="006456EC" w:rsidP="008D0603">
      <w:pPr>
        <w:pStyle w:val="FootnoteText"/>
        <w:jc w:val="both"/>
        <w:rPr>
          <w:rFonts w:ascii="Arial" w:hAnsi="Arial" w:cs="Arial"/>
          <w:sz w:val="24"/>
          <w:szCs w:val="24"/>
        </w:rPr>
      </w:pPr>
      <w:r w:rsidRPr="008D0603">
        <w:rPr>
          <w:rStyle w:val="FootnoteReference"/>
          <w:rFonts w:ascii="Arial" w:hAnsi="Arial" w:cs="Arial"/>
          <w:sz w:val="24"/>
          <w:szCs w:val="24"/>
        </w:rPr>
        <w:footnoteRef/>
      </w:r>
      <w:r w:rsidRPr="008D0603">
        <w:rPr>
          <w:rFonts w:ascii="Arial" w:hAnsi="Arial" w:cs="Arial"/>
          <w:sz w:val="24"/>
          <w:szCs w:val="24"/>
        </w:rPr>
        <w:t xml:space="preserve"> See generally E</w:t>
      </w:r>
      <w:r>
        <w:rPr>
          <w:rFonts w:ascii="Arial" w:hAnsi="Arial" w:cs="Arial"/>
          <w:sz w:val="24"/>
          <w:szCs w:val="24"/>
        </w:rPr>
        <w:t>.</w:t>
      </w:r>
      <w:r w:rsidRPr="008D0603">
        <w:rPr>
          <w:rFonts w:ascii="Arial" w:hAnsi="Arial" w:cs="Arial"/>
          <w:sz w:val="24"/>
          <w:szCs w:val="24"/>
        </w:rPr>
        <w:t xml:space="preserve"> Muir, ‘Of Ages in – and Edges of – EU Law’ (2011) 48 CMLRev 39; D</w:t>
      </w:r>
      <w:r>
        <w:rPr>
          <w:rFonts w:ascii="Arial" w:hAnsi="Arial" w:cs="Arial"/>
          <w:sz w:val="24"/>
          <w:szCs w:val="24"/>
        </w:rPr>
        <w:t>.</w:t>
      </w:r>
      <w:r w:rsidRPr="008D0603">
        <w:rPr>
          <w:rFonts w:ascii="Arial" w:hAnsi="Arial" w:cs="Arial"/>
          <w:sz w:val="24"/>
          <w:szCs w:val="24"/>
        </w:rPr>
        <w:t xml:space="preserve"> Schiek, ‘Age Discrimination Before the ECJ – Conceptual and Theoretical Issues’ (2011) 48 CMLRev 777</w:t>
      </w:r>
    </w:p>
  </w:footnote>
  <w:footnote w:id="122">
    <w:p w:rsidR="006456EC" w:rsidRPr="007B59B1" w:rsidRDefault="006456EC" w:rsidP="0075753B">
      <w:pPr>
        <w:pStyle w:val="FootnoteText"/>
        <w:jc w:val="both"/>
        <w:rPr>
          <w:rFonts w:ascii="Arial" w:hAnsi="Arial" w:cs="Arial"/>
          <w:sz w:val="24"/>
          <w:szCs w:val="24"/>
        </w:rPr>
      </w:pPr>
      <w:r w:rsidRPr="007B59B1">
        <w:rPr>
          <w:rStyle w:val="FootnoteReference"/>
          <w:rFonts w:ascii="Arial" w:hAnsi="Arial" w:cs="Arial"/>
          <w:sz w:val="24"/>
          <w:szCs w:val="24"/>
        </w:rPr>
        <w:footnoteRef/>
      </w:r>
      <w:r w:rsidRPr="007B59B1">
        <w:rPr>
          <w:rFonts w:ascii="Arial" w:hAnsi="Arial" w:cs="Arial"/>
          <w:sz w:val="24"/>
          <w:szCs w:val="24"/>
        </w:rPr>
        <w:t xml:space="preserve"> Directive 2000/78 establishing a general framework for equal treatment in employment and occupation, OJ 2000 L303/16</w:t>
      </w:r>
    </w:p>
  </w:footnote>
  <w:footnote w:id="123">
    <w:p w:rsidR="006456EC" w:rsidRPr="007B59B1" w:rsidRDefault="006456EC" w:rsidP="0075753B">
      <w:pPr>
        <w:pStyle w:val="FootnoteText"/>
        <w:jc w:val="both"/>
        <w:rPr>
          <w:sz w:val="24"/>
          <w:szCs w:val="24"/>
        </w:rPr>
      </w:pPr>
      <w:r w:rsidRPr="007B59B1">
        <w:rPr>
          <w:rStyle w:val="FootnoteReference"/>
          <w:rFonts w:ascii="Arial" w:hAnsi="Arial" w:cs="Arial"/>
          <w:sz w:val="24"/>
          <w:szCs w:val="24"/>
        </w:rPr>
        <w:footnoteRef/>
      </w:r>
      <w:r w:rsidRPr="007B59B1">
        <w:rPr>
          <w:rFonts w:ascii="Arial" w:hAnsi="Arial" w:cs="Arial"/>
          <w:sz w:val="24"/>
          <w:szCs w:val="24"/>
        </w:rPr>
        <w:t xml:space="preserve"> Case C-144/04 </w:t>
      </w:r>
      <w:r w:rsidRPr="007C6283">
        <w:rPr>
          <w:rFonts w:ascii="Arial" w:hAnsi="Arial" w:cs="Arial"/>
          <w:i/>
          <w:sz w:val="24"/>
          <w:szCs w:val="24"/>
        </w:rPr>
        <w:t>Mangold v Helm</w:t>
      </w:r>
      <w:r w:rsidRPr="007B59B1">
        <w:rPr>
          <w:rFonts w:ascii="Arial" w:hAnsi="Arial" w:cs="Arial"/>
          <w:sz w:val="24"/>
          <w:szCs w:val="24"/>
        </w:rPr>
        <w:t xml:space="preserve"> [2005] ECR I-9981 (ECJ); noted M</w:t>
      </w:r>
      <w:r>
        <w:rPr>
          <w:rFonts w:ascii="Arial" w:hAnsi="Arial" w:cs="Arial"/>
          <w:sz w:val="24"/>
          <w:szCs w:val="24"/>
        </w:rPr>
        <w:t>.</w:t>
      </w:r>
      <w:r w:rsidRPr="007B59B1">
        <w:rPr>
          <w:rFonts w:ascii="Arial" w:hAnsi="Arial" w:cs="Arial"/>
          <w:sz w:val="24"/>
          <w:szCs w:val="24"/>
        </w:rPr>
        <w:t xml:space="preserve"> Schmidt, ‘The Principle of Non-Discrimination In Respect of Age: Dimensions of the ECJ’s Mangold Judgment’ (2005) 7 </w:t>
      </w:r>
      <w:r w:rsidRPr="00717498">
        <w:rPr>
          <w:rFonts w:ascii="Arial" w:hAnsi="Arial" w:cs="Arial"/>
          <w:i/>
          <w:sz w:val="24"/>
          <w:szCs w:val="24"/>
        </w:rPr>
        <w:t>German Law Journal</w:t>
      </w:r>
      <w:r w:rsidRPr="007B59B1">
        <w:rPr>
          <w:rFonts w:ascii="Arial" w:hAnsi="Arial" w:cs="Arial"/>
          <w:sz w:val="24"/>
          <w:szCs w:val="24"/>
        </w:rPr>
        <w:t xml:space="preserve"> 505; </w:t>
      </w:r>
      <w:r>
        <w:rPr>
          <w:rFonts w:ascii="Arial" w:hAnsi="Arial" w:cs="Arial"/>
          <w:sz w:val="24"/>
          <w:szCs w:val="24"/>
        </w:rPr>
        <w:t xml:space="preserve">S. </w:t>
      </w:r>
      <w:proofErr w:type="spellStart"/>
      <w:r>
        <w:rPr>
          <w:rFonts w:ascii="Arial" w:hAnsi="Arial" w:cs="Arial"/>
          <w:sz w:val="24"/>
          <w:szCs w:val="24"/>
        </w:rPr>
        <w:t>Krebber</w:t>
      </w:r>
      <w:proofErr w:type="spellEnd"/>
      <w:r>
        <w:rPr>
          <w:rFonts w:ascii="Arial" w:hAnsi="Arial" w:cs="Arial"/>
          <w:sz w:val="24"/>
          <w:szCs w:val="24"/>
        </w:rPr>
        <w:t xml:space="preserve">, ‘The Social Rights Approach of the European Court of Justice to Enforce European Employment Law’ (2006) 27 </w:t>
      </w:r>
      <w:r w:rsidRPr="00717498">
        <w:rPr>
          <w:rFonts w:ascii="Arial" w:hAnsi="Arial" w:cs="Arial"/>
          <w:i/>
          <w:sz w:val="24"/>
          <w:szCs w:val="24"/>
        </w:rPr>
        <w:t xml:space="preserve">Comparative </w:t>
      </w:r>
      <w:proofErr w:type="spellStart"/>
      <w:r w:rsidRPr="00717498">
        <w:rPr>
          <w:rFonts w:ascii="Arial" w:hAnsi="Arial" w:cs="Arial"/>
          <w:i/>
          <w:sz w:val="24"/>
          <w:szCs w:val="24"/>
        </w:rPr>
        <w:t>Labor</w:t>
      </w:r>
      <w:proofErr w:type="spellEnd"/>
      <w:r w:rsidRPr="00717498">
        <w:rPr>
          <w:rFonts w:ascii="Arial" w:hAnsi="Arial" w:cs="Arial"/>
          <w:i/>
          <w:sz w:val="24"/>
          <w:szCs w:val="24"/>
        </w:rPr>
        <w:t xml:space="preserve"> Law and Policy Journal</w:t>
      </w:r>
      <w:r>
        <w:rPr>
          <w:rFonts w:ascii="Arial" w:hAnsi="Arial" w:cs="Arial"/>
          <w:sz w:val="24"/>
          <w:szCs w:val="24"/>
        </w:rPr>
        <w:t xml:space="preserve"> 377; </w:t>
      </w:r>
      <w:r w:rsidRPr="007B59B1">
        <w:rPr>
          <w:rFonts w:ascii="Arial" w:hAnsi="Arial" w:cs="Arial"/>
          <w:sz w:val="24"/>
          <w:szCs w:val="24"/>
        </w:rPr>
        <w:t>E</w:t>
      </w:r>
      <w:r>
        <w:rPr>
          <w:rFonts w:ascii="Arial" w:hAnsi="Arial" w:cs="Arial"/>
          <w:sz w:val="24"/>
          <w:szCs w:val="24"/>
        </w:rPr>
        <w:t>.</w:t>
      </w:r>
      <w:r w:rsidRPr="007B59B1">
        <w:rPr>
          <w:rFonts w:ascii="Arial" w:hAnsi="Arial" w:cs="Arial"/>
          <w:sz w:val="24"/>
          <w:szCs w:val="24"/>
        </w:rPr>
        <w:t xml:space="preserve"> Muir, ‘Enhancing the Effects of Community Law on National Employment Policies: The Mangold Case’ (2006) 31 ELR 879</w:t>
      </w:r>
      <w:r>
        <w:rPr>
          <w:rFonts w:ascii="Arial" w:hAnsi="Arial" w:cs="Arial"/>
          <w:sz w:val="24"/>
          <w:szCs w:val="24"/>
        </w:rPr>
        <w:t xml:space="preserve">; </w:t>
      </w:r>
      <w:r w:rsidRPr="007B59B1">
        <w:rPr>
          <w:rFonts w:ascii="Arial" w:hAnsi="Arial" w:cs="Arial"/>
          <w:sz w:val="24"/>
          <w:szCs w:val="24"/>
        </w:rPr>
        <w:t>D</w:t>
      </w:r>
      <w:r>
        <w:rPr>
          <w:rFonts w:ascii="Arial" w:hAnsi="Arial" w:cs="Arial"/>
          <w:sz w:val="24"/>
          <w:szCs w:val="24"/>
        </w:rPr>
        <w:t>.</w:t>
      </w:r>
      <w:r w:rsidRPr="007B59B1">
        <w:rPr>
          <w:rFonts w:ascii="Arial" w:hAnsi="Arial" w:cs="Arial"/>
          <w:sz w:val="24"/>
          <w:szCs w:val="24"/>
        </w:rPr>
        <w:t xml:space="preserve"> Schiek, ‘The ECJ Decision in Mangold: A Further Twist on Effects of Directives and Constitutional Relevance of Community Equality Legislation’ (2006) 35 ILJ 329;</w:t>
      </w:r>
      <w:r>
        <w:rPr>
          <w:rFonts w:ascii="Arial" w:hAnsi="Arial" w:cs="Arial"/>
          <w:sz w:val="24"/>
          <w:szCs w:val="24"/>
        </w:rPr>
        <w:t xml:space="preserve"> O. Thomas, ‘Case Commentary’ (2006) 18 </w:t>
      </w:r>
      <w:r w:rsidRPr="00717498">
        <w:rPr>
          <w:rFonts w:ascii="Arial" w:hAnsi="Arial" w:cs="Arial"/>
          <w:i/>
          <w:sz w:val="24"/>
          <w:szCs w:val="24"/>
        </w:rPr>
        <w:t>Denning Law Journal</w:t>
      </w:r>
      <w:r>
        <w:rPr>
          <w:rFonts w:ascii="Arial" w:hAnsi="Arial" w:cs="Arial"/>
          <w:sz w:val="24"/>
          <w:szCs w:val="24"/>
        </w:rPr>
        <w:t xml:space="preserve"> 233; L. Waddington, ‘Recent Developments and the Non-Discrimination Directives: Mangold and More’ (2006) 13 MJ 365; J.H. </w:t>
      </w:r>
      <w:proofErr w:type="spellStart"/>
      <w:r>
        <w:rPr>
          <w:rFonts w:ascii="Arial" w:hAnsi="Arial" w:cs="Arial"/>
          <w:sz w:val="24"/>
          <w:szCs w:val="24"/>
        </w:rPr>
        <w:t>Jans</w:t>
      </w:r>
      <w:proofErr w:type="spellEnd"/>
      <w:r>
        <w:rPr>
          <w:rFonts w:ascii="Arial" w:hAnsi="Arial" w:cs="Arial"/>
          <w:sz w:val="24"/>
          <w:szCs w:val="24"/>
        </w:rPr>
        <w:t>, ‘The Effect in National Legal Systems of the Prohibition of Discrimination on Grounds of Age as a General Principle of Community Law’ (2007) 34 LIEI 53</w:t>
      </w:r>
      <w:r w:rsidRPr="007B59B1">
        <w:rPr>
          <w:rFonts w:ascii="Arial" w:hAnsi="Arial" w:cs="Arial"/>
          <w:sz w:val="24"/>
          <w:szCs w:val="24"/>
        </w:rPr>
        <w:t>; A</w:t>
      </w:r>
      <w:r>
        <w:rPr>
          <w:rFonts w:ascii="Arial" w:hAnsi="Arial" w:cs="Arial"/>
          <w:sz w:val="24"/>
          <w:szCs w:val="24"/>
        </w:rPr>
        <w:t>.</w:t>
      </w:r>
      <w:r w:rsidRPr="007B59B1">
        <w:rPr>
          <w:rFonts w:ascii="Arial" w:hAnsi="Arial" w:cs="Arial"/>
          <w:sz w:val="24"/>
          <w:szCs w:val="24"/>
        </w:rPr>
        <w:t xml:space="preserve"> Masson, C</w:t>
      </w:r>
      <w:r>
        <w:rPr>
          <w:rFonts w:ascii="Arial" w:hAnsi="Arial" w:cs="Arial"/>
          <w:sz w:val="24"/>
          <w:szCs w:val="24"/>
        </w:rPr>
        <w:t>.</w:t>
      </w:r>
      <w:r w:rsidRPr="007B59B1">
        <w:rPr>
          <w:rFonts w:ascii="Arial" w:hAnsi="Arial" w:cs="Arial"/>
          <w:sz w:val="24"/>
          <w:szCs w:val="24"/>
        </w:rPr>
        <w:t xml:space="preserve"> Micheau, ‘The Werner Mangold Case: An Example of Legal Militancy’ (2007) 13 EPL 587</w:t>
      </w:r>
      <w:r>
        <w:rPr>
          <w:rFonts w:ascii="Arial" w:hAnsi="Arial" w:cs="Arial"/>
          <w:sz w:val="24"/>
          <w:szCs w:val="24"/>
        </w:rPr>
        <w:t>; A. Wiesbrock, ‘Case Note’ (2011) 18 MJ 201</w:t>
      </w:r>
    </w:p>
  </w:footnote>
  <w:footnote w:id="124">
    <w:p w:rsidR="006456EC" w:rsidRPr="00F56165" w:rsidRDefault="006456EC" w:rsidP="0075753B">
      <w:pPr>
        <w:pStyle w:val="FootnoteText"/>
        <w:jc w:val="both"/>
        <w:rPr>
          <w:rFonts w:ascii="Arial" w:hAnsi="Arial" w:cs="Arial"/>
        </w:rPr>
      </w:pPr>
      <w:r w:rsidRPr="007B59B1">
        <w:rPr>
          <w:rStyle w:val="FootnoteReference"/>
          <w:rFonts w:ascii="Arial" w:hAnsi="Arial" w:cs="Arial"/>
          <w:sz w:val="24"/>
          <w:szCs w:val="24"/>
        </w:rPr>
        <w:footnoteRef/>
      </w:r>
      <w:r w:rsidRPr="007B59B1">
        <w:rPr>
          <w:rFonts w:ascii="Arial" w:hAnsi="Arial" w:cs="Arial"/>
          <w:sz w:val="24"/>
          <w:szCs w:val="24"/>
        </w:rPr>
        <w:t xml:space="preserve"> Case C-555/07 </w:t>
      </w:r>
      <w:r w:rsidRPr="007C6283">
        <w:rPr>
          <w:rFonts w:ascii="Arial" w:hAnsi="Arial" w:cs="Arial"/>
          <w:i/>
          <w:sz w:val="24"/>
          <w:szCs w:val="24"/>
        </w:rPr>
        <w:t>Kücükdeveci v Swedex</w:t>
      </w:r>
      <w:r w:rsidRPr="007B59B1">
        <w:rPr>
          <w:rFonts w:ascii="Arial" w:hAnsi="Arial" w:cs="Arial"/>
          <w:sz w:val="24"/>
          <w:szCs w:val="24"/>
        </w:rPr>
        <w:t xml:space="preserve"> [2010] ECR I-365 (ECJ); noted </w:t>
      </w:r>
      <w:r>
        <w:rPr>
          <w:rFonts w:ascii="Arial" w:hAnsi="Arial" w:cs="Arial"/>
          <w:sz w:val="24"/>
          <w:szCs w:val="24"/>
        </w:rPr>
        <w:t xml:space="preserve">A. Albors-Llorens, ‘Keeping Up Appearances: The Court of Justice and the Effects of EU Directives’ (2010) 69 CLJ 4555; M. de </w:t>
      </w:r>
      <w:proofErr w:type="spellStart"/>
      <w:r>
        <w:rPr>
          <w:rFonts w:ascii="Arial" w:hAnsi="Arial" w:cs="Arial"/>
          <w:sz w:val="24"/>
          <w:szCs w:val="24"/>
        </w:rPr>
        <w:t>Mol</w:t>
      </w:r>
      <w:proofErr w:type="spellEnd"/>
      <w:r>
        <w:rPr>
          <w:rFonts w:ascii="Arial" w:hAnsi="Arial" w:cs="Arial"/>
          <w:sz w:val="24"/>
          <w:szCs w:val="24"/>
        </w:rPr>
        <w:t xml:space="preserve">, ‘Case Note’ (2010) 6 </w:t>
      </w:r>
      <w:proofErr w:type="spellStart"/>
      <w:r>
        <w:rPr>
          <w:rFonts w:ascii="Arial" w:hAnsi="Arial" w:cs="Arial"/>
          <w:sz w:val="24"/>
          <w:szCs w:val="24"/>
        </w:rPr>
        <w:t>EuConst</w:t>
      </w:r>
      <w:proofErr w:type="spellEnd"/>
      <w:r>
        <w:rPr>
          <w:rFonts w:ascii="Arial" w:hAnsi="Arial" w:cs="Arial"/>
          <w:sz w:val="24"/>
          <w:szCs w:val="24"/>
        </w:rPr>
        <w:t xml:space="preserve"> 293; S. Peers, ‘Case Comment’ (2010) 35 ELR 849; </w:t>
      </w:r>
      <w:r w:rsidRPr="007B59B1">
        <w:rPr>
          <w:rFonts w:ascii="Arial" w:hAnsi="Arial" w:cs="Arial"/>
          <w:sz w:val="24"/>
          <w:szCs w:val="24"/>
        </w:rPr>
        <w:t>T</w:t>
      </w:r>
      <w:r>
        <w:rPr>
          <w:rFonts w:ascii="Arial" w:hAnsi="Arial" w:cs="Arial"/>
          <w:sz w:val="24"/>
          <w:szCs w:val="24"/>
        </w:rPr>
        <w:t>.</w:t>
      </w:r>
      <w:r w:rsidRPr="007B59B1">
        <w:rPr>
          <w:rFonts w:ascii="Arial" w:hAnsi="Arial" w:cs="Arial"/>
          <w:sz w:val="24"/>
          <w:szCs w:val="24"/>
        </w:rPr>
        <w:t xml:space="preserve"> Roes, ‘Case Note’ (2010) 16 </w:t>
      </w:r>
      <w:r w:rsidRPr="00717498">
        <w:rPr>
          <w:rFonts w:ascii="Arial" w:hAnsi="Arial" w:cs="Arial"/>
          <w:i/>
          <w:sz w:val="24"/>
          <w:szCs w:val="24"/>
        </w:rPr>
        <w:t>Columbia Journal of European Law</w:t>
      </w:r>
      <w:r w:rsidRPr="007B59B1">
        <w:rPr>
          <w:rFonts w:ascii="Arial" w:hAnsi="Arial" w:cs="Arial"/>
          <w:sz w:val="24"/>
          <w:szCs w:val="24"/>
        </w:rPr>
        <w:t xml:space="preserve"> 497; G</w:t>
      </w:r>
      <w:r>
        <w:rPr>
          <w:rFonts w:ascii="Arial" w:hAnsi="Arial" w:cs="Arial"/>
          <w:sz w:val="24"/>
          <w:szCs w:val="24"/>
        </w:rPr>
        <w:t>.</w:t>
      </w:r>
      <w:r w:rsidRPr="007B59B1">
        <w:rPr>
          <w:rFonts w:ascii="Arial" w:hAnsi="Arial" w:cs="Arial"/>
          <w:sz w:val="24"/>
          <w:szCs w:val="24"/>
        </w:rPr>
        <w:t xml:space="preserve"> Thüsing, S</w:t>
      </w:r>
      <w:r>
        <w:rPr>
          <w:rFonts w:ascii="Arial" w:hAnsi="Arial" w:cs="Arial"/>
          <w:sz w:val="24"/>
          <w:szCs w:val="24"/>
        </w:rPr>
        <w:t>.</w:t>
      </w:r>
      <w:r w:rsidRPr="007B59B1">
        <w:rPr>
          <w:rFonts w:ascii="Arial" w:hAnsi="Arial" w:cs="Arial"/>
          <w:sz w:val="24"/>
          <w:szCs w:val="24"/>
        </w:rPr>
        <w:t xml:space="preserve"> Horler, ‘Case Note’ (2010) 47 CMLRev 1161</w:t>
      </w:r>
      <w:r>
        <w:rPr>
          <w:rFonts w:ascii="Arial" w:hAnsi="Arial" w:cs="Arial"/>
          <w:sz w:val="24"/>
          <w:szCs w:val="24"/>
        </w:rPr>
        <w:t xml:space="preserve">; </w:t>
      </w:r>
      <w:r w:rsidRPr="007B59B1">
        <w:rPr>
          <w:rFonts w:ascii="Arial" w:hAnsi="Arial" w:cs="Arial"/>
          <w:sz w:val="24"/>
          <w:szCs w:val="24"/>
        </w:rPr>
        <w:t>A</w:t>
      </w:r>
      <w:r>
        <w:rPr>
          <w:rFonts w:ascii="Arial" w:hAnsi="Arial" w:cs="Arial"/>
          <w:sz w:val="24"/>
          <w:szCs w:val="24"/>
        </w:rPr>
        <w:t>.</w:t>
      </w:r>
      <w:r w:rsidRPr="007B59B1">
        <w:rPr>
          <w:rFonts w:ascii="Arial" w:hAnsi="Arial" w:cs="Arial"/>
          <w:sz w:val="24"/>
          <w:szCs w:val="24"/>
        </w:rPr>
        <w:t xml:space="preserve"> Wiesbrock, ‘Case Note’ (2010) 11 </w:t>
      </w:r>
      <w:r w:rsidRPr="00717498">
        <w:rPr>
          <w:rFonts w:ascii="Arial" w:hAnsi="Arial" w:cs="Arial"/>
          <w:i/>
          <w:sz w:val="24"/>
          <w:szCs w:val="24"/>
        </w:rPr>
        <w:t>German Law Journal</w:t>
      </w:r>
      <w:r w:rsidRPr="007B59B1">
        <w:rPr>
          <w:rFonts w:ascii="Arial" w:hAnsi="Arial" w:cs="Arial"/>
          <w:sz w:val="24"/>
          <w:szCs w:val="24"/>
        </w:rPr>
        <w:t xml:space="preserve"> 539;  </w:t>
      </w:r>
      <w:r>
        <w:rPr>
          <w:rFonts w:ascii="Arial" w:hAnsi="Arial" w:cs="Arial"/>
          <w:sz w:val="24"/>
          <w:szCs w:val="24"/>
        </w:rPr>
        <w:t xml:space="preserve">P. Cabral, R. </w:t>
      </w:r>
      <w:proofErr w:type="spellStart"/>
      <w:r>
        <w:rPr>
          <w:rFonts w:ascii="Arial" w:hAnsi="Arial" w:cs="Arial"/>
          <w:sz w:val="24"/>
          <w:szCs w:val="24"/>
        </w:rPr>
        <w:t>Neves</w:t>
      </w:r>
      <w:proofErr w:type="spellEnd"/>
      <w:r>
        <w:rPr>
          <w:rFonts w:ascii="Arial" w:hAnsi="Arial" w:cs="Arial"/>
          <w:sz w:val="24"/>
          <w:szCs w:val="24"/>
        </w:rPr>
        <w:t xml:space="preserve">, ‘General Principles of EU Law and Horizontal Direct Effect’ (2011) 17 EPL 437; F. </w:t>
      </w:r>
      <w:proofErr w:type="spellStart"/>
      <w:r>
        <w:rPr>
          <w:rFonts w:ascii="Arial" w:hAnsi="Arial" w:cs="Arial"/>
          <w:sz w:val="24"/>
          <w:szCs w:val="24"/>
        </w:rPr>
        <w:t>Fontanelli</w:t>
      </w:r>
      <w:proofErr w:type="spellEnd"/>
      <w:r>
        <w:rPr>
          <w:rFonts w:ascii="Arial" w:hAnsi="Arial" w:cs="Arial"/>
          <w:sz w:val="24"/>
          <w:szCs w:val="24"/>
        </w:rPr>
        <w:t xml:space="preserve">, ‘General Principles of the EU and a Glimpse of Solidarity in the Aftermath of Mangold and </w:t>
      </w:r>
      <w:r w:rsidRPr="008D0603">
        <w:rPr>
          <w:rFonts w:ascii="Arial" w:hAnsi="Arial" w:cs="Arial"/>
          <w:sz w:val="24"/>
          <w:szCs w:val="24"/>
        </w:rPr>
        <w:t>Kücükdeveci</w:t>
      </w:r>
      <w:r>
        <w:rPr>
          <w:rFonts w:ascii="Arial" w:hAnsi="Arial" w:cs="Arial"/>
          <w:sz w:val="24"/>
          <w:szCs w:val="24"/>
        </w:rPr>
        <w:t>’ (2011) 17 EPL 225;</w:t>
      </w:r>
      <w:r w:rsidRPr="008D0603">
        <w:rPr>
          <w:rFonts w:ascii="Arial" w:hAnsi="Arial" w:cs="Arial"/>
          <w:sz w:val="24"/>
          <w:szCs w:val="24"/>
        </w:rPr>
        <w:t xml:space="preserve"> </w:t>
      </w:r>
      <w:r>
        <w:rPr>
          <w:rFonts w:ascii="Arial" w:hAnsi="Arial" w:cs="Arial"/>
          <w:sz w:val="24"/>
          <w:szCs w:val="24"/>
        </w:rPr>
        <w:t xml:space="preserve">A. </w:t>
      </w:r>
      <w:proofErr w:type="spellStart"/>
      <w:r>
        <w:rPr>
          <w:rFonts w:ascii="Arial" w:hAnsi="Arial" w:cs="Arial"/>
          <w:sz w:val="24"/>
          <w:szCs w:val="24"/>
        </w:rPr>
        <w:t>Gabinaud</w:t>
      </w:r>
      <w:proofErr w:type="spellEnd"/>
      <w:r>
        <w:rPr>
          <w:rFonts w:ascii="Arial" w:hAnsi="Arial" w:cs="Arial"/>
          <w:sz w:val="24"/>
          <w:szCs w:val="24"/>
        </w:rPr>
        <w:t>, ‘Case Note’ (2011) 18 MJ 189; E. Howard, ‘ECJ Advances Equality in Europe by Giving Horizontal Direct Effect to Directives’ (2011) 17 EPL 729; T. Papadopoulos, ‘Criticising the Horizontal Direct Effect of the EU General Principle of Equality’ [2011] EHRLR 437</w:t>
      </w:r>
    </w:p>
  </w:footnote>
  <w:footnote w:id="125">
    <w:p w:rsidR="006456EC" w:rsidRPr="004B349E" w:rsidRDefault="006456EC" w:rsidP="004B349E">
      <w:pPr>
        <w:pStyle w:val="FootnoteText"/>
        <w:jc w:val="both"/>
        <w:rPr>
          <w:rFonts w:ascii="Arial" w:hAnsi="Arial" w:cs="Arial"/>
          <w:sz w:val="24"/>
          <w:szCs w:val="24"/>
        </w:rPr>
      </w:pPr>
      <w:r w:rsidRPr="004B349E">
        <w:rPr>
          <w:rStyle w:val="FootnoteReference"/>
          <w:rFonts w:ascii="Arial" w:hAnsi="Arial" w:cs="Arial"/>
          <w:sz w:val="24"/>
          <w:szCs w:val="24"/>
        </w:rPr>
        <w:footnoteRef/>
      </w:r>
      <w:r w:rsidRPr="004B349E">
        <w:rPr>
          <w:rFonts w:ascii="Arial" w:hAnsi="Arial" w:cs="Arial"/>
          <w:sz w:val="24"/>
          <w:szCs w:val="24"/>
        </w:rPr>
        <w:t xml:space="preserve"> See in particular P</w:t>
      </w:r>
      <w:r>
        <w:rPr>
          <w:rFonts w:ascii="Arial" w:hAnsi="Arial" w:cs="Arial"/>
          <w:sz w:val="24"/>
          <w:szCs w:val="24"/>
        </w:rPr>
        <w:t>.</w:t>
      </w:r>
      <w:r w:rsidRPr="004B349E">
        <w:rPr>
          <w:rFonts w:ascii="Arial" w:hAnsi="Arial" w:cs="Arial"/>
          <w:sz w:val="24"/>
          <w:szCs w:val="24"/>
        </w:rPr>
        <w:t xml:space="preserve"> Rowe, </w:t>
      </w:r>
      <w:r w:rsidRPr="004B349E">
        <w:rPr>
          <w:rFonts w:ascii="Arial" w:hAnsi="Arial" w:cs="Arial"/>
          <w:i/>
          <w:sz w:val="24"/>
          <w:szCs w:val="24"/>
        </w:rPr>
        <w:t>The Impact of Human Rights Law on Armed Forces</w:t>
      </w:r>
      <w:r w:rsidRPr="004B349E">
        <w:rPr>
          <w:rFonts w:ascii="Arial" w:hAnsi="Arial" w:cs="Arial"/>
          <w:sz w:val="24"/>
          <w:szCs w:val="24"/>
        </w:rPr>
        <w:t xml:space="preserve"> (Cambridge</w:t>
      </w:r>
      <w:r>
        <w:rPr>
          <w:rFonts w:ascii="Arial" w:hAnsi="Arial" w:cs="Arial"/>
          <w:sz w:val="24"/>
          <w:szCs w:val="24"/>
        </w:rPr>
        <w:t>:</w:t>
      </w:r>
      <w:r w:rsidRPr="004B349E">
        <w:rPr>
          <w:rFonts w:ascii="Arial" w:hAnsi="Arial" w:cs="Arial"/>
          <w:sz w:val="24"/>
          <w:szCs w:val="24"/>
        </w:rPr>
        <w:t xml:space="preserve"> CUP, 2006)</w:t>
      </w:r>
    </w:p>
  </w:footnote>
  <w:footnote w:id="126">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HRA</w:t>
      </w:r>
      <w:r>
        <w:rPr>
          <w:rFonts w:ascii="Arial" w:hAnsi="Arial" w:cs="Arial"/>
          <w:sz w:val="24"/>
          <w:szCs w:val="24"/>
        </w:rPr>
        <w:t>,</w:t>
      </w:r>
      <w:r w:rsidRPr="00706D1F">
        <w:rPr>
          <w:rFonts w:ascii="Arial" w:hAnsi="Arial" w:cs="Arial"/>
          <w:sz w:val="24"/>
          <w:szCs w:val="24"/>
        </w:rPr>
        <w:t xml:space="preserve"> s 6(3)(b)</w:t>
      </w:r>
    </w:p>
  </w:footnote>
  <w:footnote w:id="127">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See HRA</w:t>
      </w:r>
      <w:r>
        <w:rPr>
          <w:rFonts w:ascii="Arial" w:hAnsi="Arial" w:cs="Arial"/>
          <w:sz w:val="24"/>
          <w:szCs w:val="24"/>
        </w:rPr>
        <w:t>,</w:t>
      </w:r>
      <w:r w:rsidRPr="00706D1F">
        <w:rPr>
          <w:rFonts w:ascii="Arial" w:hAnsi="Arial" w:cs="Arial"/>
          <w:sz w:val="24"/>
          <w:szCs w:val="24"/>
        </w:rPr>
        <w:t xml:space="preserve"> s 1(1) and Schedule 1</w:t>
      </w:r>
    </w:p>
  </w:footnote>
  <w:footnote w:id="128">
    <w:p w:rsidR="006456EC" w:rsidRPr="00706D1F" w:rsidRDefault="006456EC" w:rsidP="00F97014">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w:t>
      </w:r>
      <w:r w:rsidRPr="007C6283">
        <w:rPr>
          <w:rFonts w:ascii="Arial" w:hAnsi="Arial" w:cs="Arial"/>
          <w:i/>
          <w:sz w:val="24"/>
          <w:szCs w:val="24"/>
        </w:rPr>
        <w:t>Bankovic v United Kingdom</w:t>
      </w:r>
      <w:r w:rsidRPr="00706D1F">
        <w:rPr>
          <w:rFonts w:ascii="Arial" w:hAnsi="Arial" w:cs="Arial"/>
          <w:sz w:val="24"/>
          <w:szCs w:val="24"/>
        </w:rPr>
        <w:t xml:space="preserve"> (2007) 44 EHRR SE5 (ECtHR); noted L</w:t>
      </w:r>
      <w:r>
        <w:rPr>
          <w:rFonts w:ascii="Arial" w:hAnsi="Arial" w:cs="Arial"/>
          <w:sz w:val="24"/>
          <w:szCs w:val="24"/>
        </w:rPr>
        <w:t>.</w:t>
      </w:r>
      <w:r w:rsidRPr="00706D1F">
        <w:rPr>
          <w:rFonts w:ascii="Arial" w:hAnsi="Arial" w:cs="Arial"/>
          <w:sz w:val="24"/>
          <w:szCs w:val="24"/>
        </w:rPr>
        <w:t>G</w:t>
      </w:r>
      <w:r>
        <w:rPr>
          <w:rFonts w:ascii="Arial" w:hAnsi="Arial" w:cs="Arial"/>
          <w:sz w:val="24"/>
          <w:szCs w:val="24"/>
        </w:rPr>
        <w:t>.</w:t>
      </w:r>
      <w:r w:rsidRPr="00706D1F">
        <w:rPr>
          <w:rFonts w:ascii="Arial" w:hAnsi="Arial" w:cs="Arial"/>
          <w:sz w:val="24"/>
          <w:szCs w:val="24"/>
        </w:rPr>
        <w:t xml:space="preserve"> Loucaides, ‘Determining the Extra-Territorial Effect of the European Convention: Facts, Jurisprudence and the Bankovic Case’ [2006] EHRLR 391</w:t>
      </w:r>
    </w:p>
  </w:footnote>
  <w:footnote w:id="129">
    <w:p w:rsidR="006456EC" w:rsidRPr="00AD38B2" w:rsidRDefault="006456EC" w:rsidP="00AD38B2">
      <w:pPr>
        <w:pStyle w:val="FootnoteText"/>
        <w:jc w:val="both"/>
        <w:rPr>
          <w:rFonts w:ascii="Arial" w:hAnsi="Arial" w:cs="Arial"/>
          <w:sz w:val="24"/>
          <w:szCs w:val="24"/>
        </w:rPr>
      </w:pPr>
      <w:r w:rsidRPr="00AD38B2">
        <w:rPr>
          <w:rStyle w:val="FootnoteReference"/>
          <w:rFonts w:ascii="Arial" w:hAnsi="Arial" w:cs="Arial"/>
          <w:sz w:val="24"/>
          <w:szCs w:val="24"/>
        </w:rPr>
        <w:footnoteRef/>
      </w:r>
      <w:r>
        <w:rPr>
          <w:rFonts w:ascii="Arial" w:hAnsi="Arial" w:cs="Arial"/>
          <w:sz w:val="24"/>
          <w:szCs w:val="24"/>
        </w:rPr>
        <w:t xml:space="preserve"> ibid</w:t>
      </w:r>
      <w:r w:rsidRPr="00AD38B2">
        <w:rPr>
          <w:rFonts w:ascii="Arial" w:hAnsi="Arial" w:cs="Arial"/>
          <w:sz w:val="24"/>
          <w:szCs w:val="24"/>
        </w:rPr>
        <w:t xml:space="preserve"> para 57</w:t>
      </w:r>
    </w:p>
  </w:footnote>
  <w:footnote w:id="130">
    <w:p w:rsidR="006456EC" w:rsidRDefault="006456EC" w:rsidP="00AD38B2">
      <w:pPr>
        <w:pStyle w:val="FootnoteText"/>
        <w:jc w:val="both"/>
      </w:pPr>
      <w:r w:rsidRPr="00AD38B2">
        <w:rPr>
          <w:rStyle w:val="FootnoteReference"/>
          <w:rFonts w:ascii="Arial" w:hAnsi="Arial" w:cs="Arial"/>
          <w:sz w:val="24"/>
          <w:szCs w:val="24"/>
        </w:rPr>
        <w:footnoteRef/>
      </w:r>
      <w:r>
        <w:rPr>
          <w:rFonts w:ascii="Arial" w:hAnsi="Arial" w:cs="Arial"/>
          <w:sz w:val="24"/>
          <w:szCs w:val="24"/>
        </w:rPr>
        <w:t xml:space="preserve"> i</w:t>
      </w:r>
      <w:r w:rsidRPr="00AD38B2">
        <w:rPr>
          <w:rFonts w:ascii="Arial" w:hAnsi="Arial" w:cs="Arial"/>
          <w:sz w:val="24"/>
          <w:szCs w:val="24"/>
        </w:rPr>
        <w:t>bid para 59</w:t>
      </w:r>
    </w:p>
  </w:footnote>
  <w:footnote w:id="131">
    <w:p w:rsidR="006456EC" w:rsidRPr="00706D1F" w:rsidRDefault="006456EC" w:rsidP="00F97014">
      <w:pPr>
        <w:pStyle w:val="FootnoteText"/>
        <w:jc w:val="both"/>
        <w:rPr>
          <w:rFonts w:ascii="Arial" w:hAnsi="Arial" w:cs="Arial"/>
          <w:sz w:val="24"/>
          <w:szCs w:val="24"/>
        </w:rPr>
      </w:pPr>
      <w:r w:rsidRPr="00706D1F">
        <w:rPr>
          <w:rStyle w:val="FootnoteReference"/>
          <w:rFonts w:ascii="Arial" w:hAnsi="Arial" w:cs="Arial"/>
          <w:sz w:val="24"/>
          <w:szCs w:val="24"/>
        </w:rPr>
        <w:footnoteRef/>
      </w:r>
      <w:r>
        <w:rPr>
          <w:rFonts w:ascii="Arial" w:hAnsi="Arial" w:cs="Arial"/>
          <w:sz w:val="24"/>
          <w:szCs w:val="24"/>
        </w:rPr>
        <w:t xml:space="preserve"> i</w:t>
      </w:r>
      <w:r w:rsidRPr="00706D1F">
        <w:rPr>
          <w:rFonts w:ascii="Arial" w:hAnsi="Arial" w:cs="Arial"/>
          <w:sz w:val="24"/>
          <w:szCs w:val="24"/>
        </w:rPr>
        <w:t>bid para 69</w:t>
      </w:r>
    </w:p>
  </w:footnote>
  <w:footnote w:id="132">
    <w:p w:rsidR="006456EC" w:rsidRPr="00706D1F" w:rsidRDefault="006456EC" w:rsidP="00F97014">
      <w:pPr>
        <w:pStyle w:val="FootnoteText"/>
        <w:jc w:val="both"/>
        <w:rPr>
          <w:rFonts w:ascii="Arial" w:hAnsi="Arial" w:cs="Arial"/>
          <w:sz w:val="24"/>
          <w:szCs w:val="24"/>
        </w:rPr>
      </w:pPr>
      <w:r w:rsidRPr="00706D1F">
        <w:rPr>
          <w:rStyle w:val="FootnoteReference"/>
          <w:rFonts w:ascii="Arial" w:hAnsi="Arial" w:cs="Arial"/>
          <w:sz w:val="24"/>
          <w:szCs w:val="24"/>
        </w:rPr>
        <w:footnoteRef/>
      </w:r>
      <w:r>
        <w:rPr>
          <w:rFonts w:ascii="Arial" w:hAnsi="Arial" w:cs="Arial"/>
          <w:sz w:val="24"/>
          <w:szCs w:val="24"/>
        </w:rPr>
        <w:t xml:space="preserve"> </w:t>
      </w:r>
      <w:proofErr w:type="gramStart"/>
      <w:r>
        <w:rPr>
          <w:rFonts w:ascii="Arial" w:hAnsi="Arial" w:cs="Arial"/>
          <w:sz w:val="24"/>
          <w:szCs w:val="24"/>
        </w:rPr>
        <w:t>i</w:t>
      </w:r>
      <w:r w:rsidRPr="00706D1F">
        <w:rPr>
          <w:rFonts w:ascii="Arial" w:hAnsi="Arial" w:cs="Arial"/>
          <w:sz w:val="24"/>
          <w:szCs w:val="24"/>
        </w:rPr>
        <w:t>bid para 71.</w:t>
      </w:r>
      <w:proofErr w:type="gramEnd"/>
      <w:r w:rsidRPr="00706D1F">
        <w:rPr>
          <w:rFonts w:ascii="Arial" w:hAnsi="Arial" w:cs="Arial"/>
          <w:sz w:val="24"/>
          <w:szCs w:val="24"/>
        </w:rPr>
        <w:t xml:space="preserve"> See </w:t>
      </w:r>
      <w:r w:rsidRPr="007C6283">
        <w:rPr>
          <w:rFonts w:ascii="Arial" w:hAnsi="Arial" w:cs="Arial"/>
          <w:i/>
          <w:sz w:val="24"/>
          <w:szCs w:val="24"/>
        </w:rPr>
        <w:t>Öcalan v Turkey</w:t>
      </w:r>
      <w:r>
        <w:rPr>
          <w:rFonts w:ascii="Arial" w:hAnsi="Arial" w:cs="Arial"/>
          <w:sz w:val="24"/>
          <w:szCs w:val="24"/>
        </w:rPr>
        <w:t xml:space="preserve"> (2005</w:t>
      </w:r>
      <w:r w:rsidRPr="00706D1F">
        <w:rPr>
          <w:rFonts w:ascii="Arial" w:hAnsi="Arial" w:cs="Arial"/>
          <w:sz w:val="24"/>
          <w:szCs w:val="24"/>
        </w:rPr>
        <w:t xml:space="preserve">) </w:t>
      </w:r>
      <w:r>
        <w:rPr>
          <w:rFonts w:ascii="Arial" w:hAnsi="Arial" w:cs="Arial"/>
          <w:sz w:val="24"/>
          <w:szCs w:val="24"/>
        </w:rPr>
        <w:t>41</w:t>
      </w:r>
      <w:r w:rsidRPr="00706D1F">
        <w:rPr>
          <w:rFonts w:ascii="Arial" w:hAnsi="Arial" w:cs="Arial"/>
          <w:sz w:val="24"/>
          <w:szCs w:val="24"/>
        </w:rPr>
        <w:t xml:space="preserve"> EHRR </w:t>
      </w:r>
      <w:r>
        <w:rPr>
          <w:rFonts w:ascii="Arial" w:hAnsi="Arial" w:cs="Arial"/>
          <w:sz w:val="24"/>
          <w:szCs w:val="24"/>
        </w:rPr>
        <w:t>45 (ECtHR)</w:t>
      </w:r>
    </w:p>
  </w:footnote>
  <w:footnote w:id="133">
    <w:p w:rsidR="006456EC" w:rsidRPr="00706D1F" w:rsidRDefault="006456EC" w:rsidP="00AD38B2">
      <w:pPr>
        <w:pStyle w:val="FootnoteText"/>
        <w:jc w:val="both"/>
        <w:rPr>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w:t>
      </w:r>
      <w:r w:rsidRPr="007C6283">
        <w:rPr>
          <w:rFonts w:ascii="Arial" w:hAnsi="Arial" w:cs="Arial"/>
          <w:i/>
          <w:sz w:val="24"/>
          <w:szCs w:val="24"/>
        </w:rPr>
        <w:t>R (Al-Skeini and others) v Secretary of State for Defence</w:t>
      </w:r>
      <w:r w:rsidRPr="00706D1F">
        <w:rPr>
          <w:rFonts w:ascii="Arial" w:hAnsi="Arial" w:cs="Arial"/>
          <w:sz w:val="24"/>
          <w:szCs w:val="24"/>
        </w:rPr>
        <w:t xml:space="preserve"> [2008] 1 AC 153 (HL); noted N</w:t>
      </w:r>
      <w:r>
        <w:rPr>
          <w:rFonts w:ascii="Arial" w:hAnsi="Arial" w:cs="Arial"/>
          <w:sz w:val="24"/>
          <w:szCs w:val="24"/>
        </w:rPr>
        <w:t>.</w:t>
      </w:r>
      <w:r w:rsidRPr="00706D1F">
        <w:rPr>
          <w:rFonts w:ascii="Arial" w:hAnsi="Arial" w:cs="Arial"/>
          <w:sz w:val="24"/>
          <w:szCs w:val="24"/>
        </w:rPr>
        <w:t xml:space="preserve"> Bamforth, ‘The Methodology and Extra-Territorial Application of the Human Rights Act 1998’ (2008) 124 LQR 355; D</w:t>
      </w:r>
      <w:r>
        <w:rPr>
          <w:rFonts w:ascii="Arial" w:hAnsi="Arial" w:cs="Arial"/>
          <w:sz w:val="24"/>
          <w:szCs w:val="24"/>
        </w:rPr>
        <w:t>.</w:t>
      </w:r>
      <w:r w:rsidRPr="00706D1F">
        <w:rPr>
          <w:rFonts w:ascii="Arial" w:hAnsi="Arial" w:cs="Arial"/>
          <w:sz w:val="24"/>
          <w:szCs w:val="24"/>
        </w:rPr>
        <w:t xml:space="preserve"> Feldman, ‘The Territorial Scope of the Human Rights Act 1998’ (2008) 67 CLJ 8; T</w:t>
      </w:r>
      <w:r>
        <w:rPr>
          <w:rFonts w:ascii="Arial" w:hAnsi="Arial" w:cs="Arial"/>
          <w:sz w:val="24"/>
          <w:szCs w:val="24"/>
        </w:rPr>
        <w:t>.</w:t>
      </w:r>
      <w:r w:rsidRPr="00706D1F">
        <w:rPr>
          <w:rFonts w:ascii="Arial" w:hAnsi="Arial" w:cs="Arial"/>
          <w:sz w:val="24"/>
          <w:szCs w:val="24"/>
        </w:rPr>
        <w:t xml:space="preserve"> Thienel, ‘The ECHR in Iraq: The Judgment of the House of Lords in R (Al-Skeini) v Secretary of State for Defence’ (2008) 6 JICJ 115; H</w:t>
      </w:r>
      <w:r>
        <w:rPr>
          <w:rFonts w:ascii="Arial" w:hAnsi="Arial" w:cs="Arial"/>
          <w:sz w:val="24"/>
          <w:szCs w:val="24"/>
        </w:rPr>
        <w:t>.</w:t>
      </w:r>
      <w:r w:rsidRPr="00706D1F">
        <w:rPr>
          <w:rFonts w:ascii="Arial" w:hAnsi="Arial" w:cs="Arial"/>
          <w:sz w:val="24"/>
          <w:szCs w:val="24"/>
        </w:rPr>
        <w:t xml:space="preserve"> King, ‘The Extraterritorial Human Rights Obligations of States’ (2009) 9 HRLR 521; H</w:t>
      </w:r>
      <w:r>
        <w:rPr>
          <w:rFonts w:ascii="Arial" w:hAnsi="Arial" w:cs="Arial"/>
          <w:sz w:val="24"/>
          <w:szCs w:val="24"/>
        </w:rPr>
        <w:t>.</w:t>
      </w:r>
      <w:r w:rsidRPr="00706D1F">
        <w:rPr>
          <w:rFonts w:ascii="Arial" w:hAnsi="Arial" w:cs="Arial"/>
          <w:sz w:val="24"/>
          <w:szCs w:val="24"/>
        </w:rPr>
        <w:t xml:space="preserve"> King, ‘Unravelling the Extraterritorial Riddle: An Analysis of R (Hassan) v Secretary of State for Defence’ (2009) 7 JICJ 633</w:t>
      </w:r>
    </w:p>
  </w:footnote>
  <w:footnote w:id="134">
    <w:p w:rsidR="006456EC" w:rsidRPr="004E0188" w:rsidRDefault="006456EC" w:rsidP="004E0188">
      <w:pPr>
        <w:pStyle w:val="FootnoteText"/>
        <w:jc w:val="both"/>
        <w:rPr>
          <w:rFonts w:ascii="Arial" w:hAnsi="Arial" w:cs="Arial"/>
          <w:sz w:val="24"/>
          <w:szCs w:val="24"/>
        </w:rPr>
      </w:pPr>
      <w:r w:rsidRPr="004E0188">
        <w:rPr>
          <w:rStyle w:val="FootnoteReference"/>
          <w:rFonts w:ascii="Arial" w:hAnsi="Arial" w:cs="Arial"/>
          <w:sz w:val="24"/>
          <w:szCs w:val="24"/>
        </w:rPr>
        <w:footnoteRef/>
      </w:r>
      <w:r w:rsidRPr="004E0188">
        <w:rPr>
          <w:rFonts w:ascii="Arial" w:hAnsi="Arial" w:cs="Arial"/>
          <w:sz w:val="24"/>
          <w:szCs w:val="24"/>
        </w:rPr>
        <w:t xml:space="preserve"> </w:t>
      </w:r>
      <w:r w:rsidRPr="007C6283">
        <w:rPr>
          <w:rFonts w:ascii="Arial" w:hAnsi="Arial" w:cs="Arial"/>
          <w:i/>
          <w:sz w:val="24"/>
          <w:szCs w:val="24"/>
        </w:rPr>
        <w:t>Al-Skeini v United Kingdom</w:t>
      </w:r>
      <w:r w:rsidRPr="004E0188">
        <w:rPr>
          <w:rFonts w:ascii="Arial" w:hAnsi="Arial" w:cs="Arial"/>
          <w:sz w:val="24"/>
          <w:szCs w:val="24"/>
        </w:rPr>
        <w:t xml:space="preserve"> (2011) 53 EHRR 18</w:t>
      </w:r>
      <w:r>
        <w:rPr>
          <w:rFonts w:ascii="Arial" w:hAnsi="Arial" w:cs="Arial"/>
          <w:sz w:val="24"/>
          <w:szCs w:val="24"/>
        </w:rPr>
        <w:t xml:space="preserve"> (ECtHR)</w:t>
      </w:r>
      <w:r w:rsidRPr="004E0188">
        <w:rPr>
          <w:rFonts w:ascii="Arial" w:hAnsi="Arial" w:cs="Arial"/>
          <w:sz w:val="24"/>
          <w:szCs w:val="24"/>
        </w:rPr>
        <w:t>: noted M</w:t>
      </w:r>
      <w:r>
        <w:rPr>
          <w:rFonts w:ascii="Arial" w:hAnsi="Arial" w:cs="Arial"/>
          <w:sz w:val="24"/>
          <w:szCs w:val="24"/>
        </w:rPr>
        <w:t>.</w:t>
      </w:r>
      <w:r w:rsidRPr="004E0188">
        <w:rPr>
          <w:rFonts w:ascii="Arial" w:hAnsi="Arial" w:cs="Arial"/>
          <w:sz w:val="24"/>
          <w:szCs w:val="24"/>
        </w:rPr>
        <w:t xml:space="preserve"> Schaefer, ‘Al-Skeini and the Elusive Parameters of Extraterritorial Jurisdiction’ [2011] EHRLR 566; </w:t>
      </w:r>
      <w:r w:rsidR="00AE30FB">
        <w:rPr>
          <w:rFonts w:ascii="Arial" w:hAnsi="Arial" w:cs="Arial"/>
          <w:sz w:val="24"/>
          <w:szCs w:val="24"/>
        </w:rPr>
        <w:t xml:space="preserve">C Mallory, ‘Case Note’ (2012) 61 ICLQ 301; F </w:t>
      </w:r>
      <w:proofErr w:type="spellStart"/>
      <w:r w:rsidR="00AE30FB">
        <w:rPr>
          <w:rFonts w:ascii="Arial" w:hAnsi="Arial" w:cs="Arial"/>
          <w:sz w:val="24"/>
          <w:szCs w:val="24"/>
        </w:rPr>
        <w:t>Messineo</w:t>
      </w:r>
      <w:proofErr w:type="spellEnd"/>
      <w:r w:rsidR="00AE30FB">
        <w:rPr>
          <w:rFonts w:ascii="Arial" w:hAnsi="Arial" w:cs="Arial"/>
          <w:sz w:val="24"/>
          <w:szCs w:val="24"/>
        </w:rPr>
        <w:t xml:space="preserve">, ‘‘Gentlemen at Home, Hoodlums Elsewhere’? The Extra-Territorial Exercise of Power by British Forces in Iraq and the European Convention on Human Rights’ (2012) 71 CLJ 15; </w:t>
      </w:r>
      <w:r w:rsidRPr="004E0188">
        <w:rPr>
          <w:rFonts w:ascii="Arial" w:hAnsi="Arial" w:cs="Arial"/>
          <w:sz w:val="24"/>
          <w:szCs w:val="24"/>
        </w:rPr>
        <w:t>and, P</w:t>
      </w:r>
      <w:r>
        <w:rPr>
          <w:rFonts w:ascii="Arial" w:hAnsi="Arial" w:cs="Arial"/>
          <w:sz w:val="24"/>
          <w:szCs w:val="24"/>
        </w:rPr>
        <w:t>.</w:t>
      </w:r>
      <w:r w:rsidRPr="004E0188">
        <w:rPr>
          <w:rFonts w:ascii="Arial" w:hAnsi="Arial" w:cs="Arial"/>
          <w:sz w:val="24"/>
          <w:szCs w:val="24"/>
        </w:rPr>
        <w:t xml:space="preserve"> </w:t>
      </w:r>
      <w:proofErr w:type="spellStart"/>
      <w:r w:rsidRPr="004E0188">
        <w:rPr>
          <w:rFonts w:ascii="Arial" w:hAnsi="Arial" w:cs="Arial"/>
          <w:sz w:val="24"/>
          <w:szCs w:val="24"/>
        </w:rPr>
        <w:t>Ronchi</w:t>
      </w:r>
      <w:proofErr w:type="spellEnd"/>
      <w:r w:rsidRPr="004E0188">
        <w:rPr>
          <w:rFonts w:ascii="Arial" w:hAnsi="Arial" w:cs="Arial"/>
          <w:sz w:val="24"/>
          <w:szCs w:val="24"/>
        </w:rPr>
        <w:t>, ‘The Borders of Human Rights’ (2012) 128 LQR 20</w:t>
      </w:r>
    </w:p>
  </w:footnote>
  <w:footnote w:id="135">
    <w:p w:rsidR="006456EC" w:rsidRPr="009D013E" w:rsidRDefault="006456EC" w:rsidP="009D013E">
      <w:pPr>
        <w:pStyle w:val="FootnoteText"/>
        <w:jc w:val="both"/>
        <w:rPr>
          <w:rFonts w:ascii="Arial" w:hAnsi="Arial" w:cs="Arial"/>
          <w:sz w:val="24"/>
          <w:szCs w:val="24"/>
        </w:rPr>
      </w:pPr>
      <w:r w:rsidRPr="009D013E">
        <w:rPr>
          <w:rStyle w:val="FootnoteReference"/>
          <w:rFonts w:ascii="Arial" w:hAnsi="Arial" w:cs="Arial"/>
          <w:sz w:val="24"/>
          <w:szCs w:val="24"/>
        </w:rPr>
        <w:footnoteRef/>
      </w:r>
      <w:r>
        <w:rPr>
          <w:rFonts w:ascii="Arial" w:hAnsi="Arial" w:cs="Arial"/>
          <w:sz w:val="24"/>
          <w:szCs w:val="24"/>
        </w:rPr>
        <w:t xml:space="preserve"> ibid</w:t>
      </w:r>
      <w:r w:rsidRPr="009D013E">
        <w:rPr>
          <w:rFonts w:ascii="Arial" w:hAnsi="Arial" w:cs="Arial"/>
          <w:sz w:val="24"/>
          <w:szCs w:val="24"/>
        </w:rPr>
        <w:t xml:space="preserve"> para 131</w:t>
      </w:r>
    </w:p>
  </w:footnote>
  <w:footnote w:id="136">
    <w:p w:rsidR="006456EC" w:rsidRPr="00B625F2" w:rsidRDefault="006456EC" w:rsidP="00B625F2">
      <w:pPr>
        <w:pStyle w:val="FootnoteText"/>
        <w:jc w:val="both"/>
        <w:rPr>
          <w:rFonts w:ascii="Arial" w:hAnsi="Arial" w:cs="Arial"/>
          <w:sz w:val="24"/>
          <w:szCs w:val="24"/>
        </w:rPr>
      </w:pPr>
      <w:r w:rsidRPr="00B625F2">
        <w:rPr>
          <w:rStyle w:val="FootnoteReference"/>
          <w:rFonts w:ascii="Arial" w:hAnsi="Arial" w:cs="Arial"/>
          <w:sz w:val="24"/>
          <w:szCs w:val="24"/>
        </w:rPr>
        <w:footnoteRef/>
      </w:r>
      <w:r>
        <w:rPr>
          <w:rFonts w:ascii="Arial" w:hAnsi="Arial" w:cs="Arial"/>
          <w:sz w:val="24"/>
          <w:szCs w:val="24"/>
        </w:rPr>
        <w:t xml:space="preserve"> i</w:t>
      </w:r>
      <w:r w:rsidRPr="00B625F2">
        <w:rPr>
          <w:rFonts w:ascii="Arial" w:hAnsi="Arial" w:cs="Arial"/>
          <w:sz w:val="24"/>
          <w:szCs w:val="24"/>
        </w:rPr>
        <w:t>bid para 133</w:t>
      </w:r>
    </w:p>
  </w:footnote>
  <w:footnote w:id="137">
    <w:p w:rsidR="006456EC" w:rsidRPr="009D013E" w:rsidRDefault="006456EC" w:rsidP="009D013E">
      <w:pPr>
        <w:pStyle w:val="FootnoteText"/>
        <w:jc w:val="both"/>
        <w:rPr>
          <w:rFonts w:ascii="Arial" w:hAnsi="Arial" w:cs="Arial"/>
          <w:sz w:val="24"/>
          <w:szCs w:val="24"/>
        </w:rPr>
      </w:pPr>
      <w:r w:rsidRPr="009D013E">
        <w:rPr>
          <w:rStyle w:val="FootnoteReference"/>
          <w:rFonts w:ascii="Arial" w:hAnsi="Arial" w:cs="Arial"/>
          <w:sz w:val="24"/>
          <w:szCs w:val="24"/>
        </w:rPr>
        <w:footnoteRef/>
      </w:r>
      <w:r>
        <w:rPr>
          <w:rFonts w:ascii="Arial" w:hAnsi="Arial" w:cs="Arial"/>
          <w:sz w:val="24"/>
          <w:szCs w:val="24"/>
        </w:rPr>
        <w:t xml:space="preserve"> i</w:t>
      </w:r>
      <w:r w:rsidRPr="009D013E">
        <w:rPr>
          <w:rFonts w:ascii="Arial" w:hAnsi="Arial" w:cs="Arial"/>
          <w:sz w:val="24"/>
          <w:szCs w:val="24"/>
        </w:rPr>
        <w:t>bid para 134</w:t>
      </w:r>
    </w:p>
  </w:footnote>
  <w:footnote w:id="138">
    <w:p w:rsidR="006456EC" w:rsidRPr="009D013E" w:rsidRDefault="006456EC" w:rsidP="009D013E">
      <w:pPr>
        <w:pStyle w:val="FootnoteText"/>
        <w:jc w:val="both"/>
        <w:rPr>
          <w:rFonts w:ascii="Arial" w:hAnsi="Arial" w:cs="Arial"/>
          <w:sz w:val="24"/>
          <w:szCs w:val="24"/>
        </w:rPr>
      </w:pPr>
      <w:r w:rsidRPr="009D013E">
        <w:rPr>
          <w:rStyle w:val="FootnoteReference"/>
          <w:rFonts w:ascii="Arial" w:hAnsi="Arial" w:cs="Arial"/>
          <w:sz w:val="24"/>
          <w:szCs w:val="24"/>
        </w:rPr>
        <w:footnoteRef/>
      </w:r>
      <w:r>
        <w:rPr>
          <w:rFonts w:ascii="Arial" w:hAnsi="Arial" w:cs="Arial"/>
          <w:sz w:val="24"/>
          <w:szCs w:val="24"/>
        </w:rPr>
        <w:t xml:space="preserve"> i</w:t>
      </w:r>
      <w:r w:rsidRPr="009D013E">
        <w:rPr>
          <w:rFonts w:ascii="Arial" w:hAnsi="Arial" w:cs="Arial"/>
          <w:sz w:val="24"/>
          <w:szCs w:val="24"/>
        </w:rPr>
        <w:t>bid para 135</w:t>
      </w:r>
    </w:p>
  </w:footnote>
  <w:footnote w:id="139">
    <w:p w:rsidR="006456EC" w:rsidRDefault="006456EC" w:rsidP="009D013E">
      <w:pPr>
        <w:pStyle w:val="FootnoteText"/>
        <w:jc w:val="both"/>
      </w:pPr>
      <w:r w:rsidRPr="009D013E">
        <w:rPr>
          <w:rStyle w:val="FootnoteReference"/>
          <w:rFonts w:ascii="Arial" w:hAnsi="Arial" w:cs="Arial"/>
          <w:sz w:val="24"/>
          <w:szCs w:val="24"/>
        </w:rPr>
        <w:footnoteRef/>
      </w:r>
      <w:r>
        <w:rPr>
          <w:rFonts w:ascii="Arial" w:hAnsi="Arial" w:cs="Arial"/>
          <w:sz w:val="24"/>
          <w:szCs w:val="24"/>
        </w:rPr>
        <w:t xml:space="preserve"> i</w:t>
      </w:r>
      <w:r w:rsidRPr="009D013E">
        <w:rPr>
          <w:rFonts w:ascii="Arial" w:hAnsi="Arial" w:cs="Arial"/>
          <w:sz w:val="24"/>
          <w:szCs w:val="24"/>
        </w:rPr>
        <w:t>bid para 136</w:t>
      </w:r>
    </w:p>
  </w:footnote>
  <w:footnote w:id="140">
    <w:p w:rsidR="006456EC" w:rsidRPr="009A2FDC" w:rsidRDefault="006456EC" w:rsidP="009A2FDC">
      <w:pPr>
        <w:pStyle w:val="FootnoteText"/>
        <w:jc w:val="both"/>
        <w:rPr>
          <w:rFonts w:ascii="Arial" w:hAnsi="Arial" w:cs="Arial"/>
          <w:sz w:val="24"/>
          <w:szCs w:val="24"/>
        </w:rPr>
      </w:pPr>
      <w:r w:rsidRPr="009A2FDC">
        <w:rPr>
          <w:rStyle w:val="FootnoteReference"/>
          <w:rFonts w:ascii="Arial" w:hAnsi="Arial" w:cs="Arial"/>
          <w:sz w:val="24"/>
          <w:szCs w:val="24"/>
        </w:rPr>
        <w:footnoteRef/>
      </w:r>
      <w:r>
        <w:rPr>
          <w:rFonts w:ascii="Arial" w:hAnsi="Arial" w:cs="Arial"/>
          <w:sz w:val="24"/>
          <w:szCs w:val="24"/>
        </w:rPr>
        <w:t xml:space="preserve"> i</w:t>
      </w:r>
      <w:r w:rsidRPr="009A2FDC">
        <w:rPr>
          <w:rFonts w:ascii="Arial" w:hAnsi="Arial" w:cs="Arial"/>
          <w:sz w:val="24"/>
          <w:szCs w:val="24"/>
        </w:rPr>
        <w:t>bid para 138</w:t>
      </w:r>
    </w:p>
  </w:footnote>
  <w:footnote w:id="141">
    <w:p w:rsidR="006456EC" w:rsidRDefault="006456EC" w:rsidP="009A2FDC">
      <w:pPr>
        <w:pStyle w:val="FootnoteText"/>
        <w:jc w:val="both"/>
      </w:pPr>
      <w:r w:rsidRPr="009A2FDC">
        <w:rPr>
          <w:rStyle w:val="FootnoteReference"/>
          <w:rFonts w:ascii="Arial" w:hAnsi="Arial" w:cs="Arial"/>
          <w:sz w:val="24"/>
          <w:szCs w:val="24"/>
        </w:rPr>
        <w:footnoteRef/>
      </w:r>
      <w:r>
        <w:rPr>
          <w:rFonts w:ascii="Arial" w:hAnsi="Arial" w:cs="Arial"/>
          <w:sz w:val="24"/>
          <w:szCs w:val="24"/>
        </w:rPr>
        <w:t xml:space="preserve"> i</w:t>
      </w:r>
      <w:r w:rsidRPr="009A2FDC">
        <w:rPr>
          <w:rFonts w:ascii="Arial" w:hAnsi="Arial" w:cs="Arial"/>
          <w:sz w:val="24"/>
          <w:szCs w:val="24"/>
        </w:rPr>
        <w:t>bid para 141</w:t>
      </w:r>
    </w:p>
  </w:footnote>
  <w:footnote w:id="142">
    <w:p w:rsidR="006456EC" w:rsidRPr="009A2FDC" w:rsidRDefault="006456EC" w:rsidP="009A2FDC">
      <w:pPr>
        <w:pStyle w:val="FootnoteText"/>
        <w:jc w:val="both"/>
        <w:rPr>
          <w:rFonts w:ascii="Arial" w:hAnsi="Arial" w:cs="Arial"/>
          <w:sz w:val="24"/>
          <w:szCs w:val="24"/>
        </w:rPr>
      </w:pPr>
      <w:r w:rsidRPr="009A2FDC">
        <w:rPr>
          <w:rStyle w:val="FootnoteReference"/>
          <w:rFonts w:ascii="Arial" w:hAnsi="Arial" w:cs="Arial"/>
          <w:sz w:val="24"/>
          <w:szCs w:val="24"/>
        </w:rPr>
        <w:footnoteRef/>
      </w:r>
      <w:r>
        <w:rPr>
          <w:rFonts w:ascii="Arial" w:hAnsi="Arial" w:cs="Arial"/>
          <w:sz w:val="24"/>
          <w:szCs w:val="24"/>
        </w:rPr>
        <w:t xml:space="preserve"> i</w:t>
      </w:r>
      <w:r w:rsidRPr="009A2FDC">
        <w:rPr>
          <w:rFonts w:ascii="Arial" w:hAnsi="Arial" w:cs="Arial"/>
          <w:sz w:val="24"/>
          <w:szCs w:val="24"/>
        </w:rPr>
        <w:t>bid para 142</w:t>
      </w:r>
    </w:p>
  </w:footnote>
  <w:footnote w:id="143">
    <w:p w:rsidR="006456EC" w:rsidRPr="00D45896" w:rsidRDefault="006456EC" w:rsidP="00D45896">
      <w:pPr>
        <w:pStyle w:val="FootnoteText"/>
        <w:jc w:val="both"/>
        <w:rPr>
          <w:rFonts w:ascii="Arial" w:hAnsi="Arial" w:cs="Arial"/>
          <w:sz w:val="24"/>
          <w:szCs w:val="24"/>
        </w:rPr>
      </w:pPr>
      <w:r w:rsidRPr="00D45896">
        <w:rPr>
          <w:rStyle w:val="FootnoteReference"/>
          <w:rFonts w:ascii="Arial" w:hAnsi="Arial" w:cs="Arial"/>
          <w:sz w:val="24"/>
          <w:szCs w:val="24"/>
        </w:rPr>
        <w:footnoteRef/>
      </w:r>
      <w:r>
        <w:rPr>
          <w:rFonts w:ascii="Arial" w:hAnsi="Arial" w:cs="Arial"/>
          <w:sz w:val="24"/>
          <w:szCs w:val="24"/>
        </w:rPr>
        <w:t xml:space="preserve"> i</w:t>
      </w:r>
      <w:r w:rsidRPr="00D45896">
        <w:rPr>
          <w:rFonts w:ascii="Arial" w:hAnsi="Arial" w:cs="Arial"/>
          <w:sz w:val="24"/>
          <w:szCs w:val="24"/>
        </w:rPr>
        <w:t>bid para 149</w:t>
      </w:r>
    </w:p>
  </w:footnote>
  <w:footnote w:id="144">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w:t>
      </w:r>
      <w:r w:rsidRPr="007C6283">
        <w:rPr>
          <w:rFonts w:ascii="Arial" w:hAnsi="Arial" w:cs="Arial"/>
          <w:i/>
          <w:sz w:val="24"/>
          <w:szCs w:val="24"/>
        </w:rPr>
        <w:t>R (Gentle and another) v Prime Minister and others</w:t>
      </w:r>
      <w:r w:rsidRPr="00706D1F">
        <w:rPr>
          <w:rFonts w:ascii="Arial" w:hAnsi="Arial" w:cs="Arial"/>
          <w:sz w:val="24"/>
          <w:szCs w:val="24"/>
        </w:rPr>
        <w:t xml:space="preserve"> [2008] 1 AC 1356 (HL) para 8(3) (Lord Bingham); noted S</w:t>
      </w:r>
      <w:r>
        <w:rPr>
          <w:rFonts w:ascii="Arial" w:hAnsi="Arial" w:cs="Arial"/>
          <w:sz w:val="24"/>
          <w:szCs w:val="24"/>
        </w:rPr>
        <w:t>.</w:t>
      </w:r>
      <w:r w:rsidRPr="00706D1F">
        <w:rPr>
          <w:rFonts w:ascii="Arial" w:hAnsi="Arial" w:cs="Arial"/>
          <w:sz w:val="24"/>
          <w:szCs w:val="24"/>
        </w:rPr>
        <w:t xml:space="preserve"> Palmer, ‘Military Intervention, Public Inquiries and the Right to Life’ (2009) 68 CLJ 17</w:t>
      </w:r>
    </w:p>
  </w:footnote>
  <w:footnote w:id="145">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w:t>
      </w:r>
      <w:r w:rsidRPr="007C6283">
        <w:rPr>
          <w:rFonts w:ascii="Arial" w:hAnsi="Arial" w:cs="Arial"/>
          <w:i/>
          <w:sz w:val="24"/>
          <w:szCs w:val="24"/>
        </w:rPr>
        <w:t>R (Smith) v Oxfordshire Assistant Deputy Coroner</w:t>
      </w:r>
      <w:r>
        <w:rPr>
          <w:rFonts w:ascii="Arial" w:hAnsi="Arial" w:cs="Arial"/>
          <w:sz w:val="24"/>
          <w:szCs w:val="24"/>
        </w:rPr>
        <w:t xml:space="preserve"> [2011] 1</w:t>
      </w:r>
      <w:r w:rsidRPr="00706D1F">
        <w:rPr>
          <w:rFonts w:ascii="Arial" w:hAnsi="Arial" w:cs="Arial"/>
          <w:sz w:val="24"/>
          <w:szCs w:val="24"/>
        </w:rPr>
        <w:t xml:space="preserve"> </w:t>
      </w:r>
      <w:r>
        <w:rPr>
          <w:rFonts w:ascii="Arial" w:hAnsi="Arial" w:cs="Arial"/>
          <w:sz w:val="24"/>
          <w:szCs w:val="24"/>
        </w:rPr>
        <w:t>AC</w:t>
      </w:r>
      <w:r w:rsidRPr="00706D1F">
        <w:rPr>
          <w:rFonts w:ascii="Arial" w:hAnsi="Arial" w:cs="Arial"/>
          <w:sz w:val="24"/>
          <w:szCs w:val="24"/>
        </w:rPr>
        <w:t xml:space="preserve"> </w:t>
      </w:r>
      <w:r>
        <w:rPr>
          <w:rFonts w:ascii="Arial" w:hAnsi="Arial" w:cs="Arial"/>
          <w:sz w:val="24"/>
          <w:szCs w:val="24"/>
        </w:rPr>
        <w:t>1</w:t>
      </w:r>
      <w:r w:rsidRPr="00706D1F">
        <w:rPr>
          <w:rFonts w:ascii="Arial" w:hAnsi="Arial" w:cs="Arial"/>
          <w:sz w:val="24"/>
          <w:szCs w:val="24"/>
        </w:rPr>
        <w:t xml:space="preserve"> (SC)</w:t>
      </w:r>
    </w:p>
  </w:footnote>
  <w:footnote w:id="146">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Pr>
          <w:rFonts w:ascii="Arial" w:hAnsi="Arial" w:cs="Arial"/>
          <w:sz w:val="24"/>
          <w:szCs w:val="24"/>
        </w:rPr>
        <w:t xml:space="preserve"> i</w:t>
      </w:r>
      <w:r w:rsidRPr="00706D1F">
        <w:rPr>
          <w:rFonts w:ascii="Arial" w:hAnsi="Arial" w:cs="Arial"/>
          <w:sz w:val="24"/>
          <w:szCs w:val="24"/>
        </w:rPr>
        <w:t>bid para 60 (Lord Phillips)</w:t>
      </w:r>
    </w:p>
  </w:footnote>
  <w:footnote w:id="147">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w:t>
      </w:r>
      <w:r>
        <w:rPr>
          <w:rFonts w:ascii="Arial" w:hAnsi="Arial" w:cs="Arial"/>
          <w:sz w:val="24"/>
          <w:szCs w:val="24"/>
        </w:rPr>
        <w:t>n 14</w:t>
      </w:r>
      <w:r w:rsidR="008C5395">
        <w:rPr>
          <w:rFonts w:ascii="Arial" w:hAnsi="Arial" w:cs="Arial"/>
          <w:sz w:val="24"/>
          <w:szCs w:val="24"/>
        </w:rPr>
        <w:t>5</w:t>
      </w:r>
      <w:r>
        <w:rPr>
          <w:rFonts w:ascii="Arial" w:hAnsi="Arial" w:cs="Arial"/>
          <w:sz w:val="24"/>
          <w:szCs w:val="24"/>
        </w:rPr>
        <w:t xml:space="preserve"> above</w:t>
      </w:r>
      <w:r w:rsidRPr="00706D1F">
        <w:rPr>
          <w:rFonts w:ascii="Arial" w:hAnsi="Arial" w:cs="Arial"/>
          <w:sz w:val="24"/>
          <w:szCs w:val="24"/>
        </w:rPr>
        <w:t xml:space="preserve"> (CA) paras 28-30 (Sir Anthony Clarke MR)</w:t>
      </w:r>
    </w:p>
  </w:footnote>
  <w:footnote w:id="148">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Pr>
          <w:rFonts w:ascii="Arial" w:hAnsi="Arial" w:cs="Arial"/>
          <w:sz w:val="24"/>
          <w:szCs w:val="24"/>
        </w:rPr>
        <w:t xml:space="preserve"> n 1</w:t>
      </w:r>
      <w:r w:rsidR="008C5395">
        <w:rPr>
          <w:rFonts w:ascii="Arial" w:hAnsi="Arial" w:cs="Arial"/>
          <w:sz w:val="24"/>
          <w:szCs w:val="24"/>
        </w:rPr>
        <w:t>45</w:t>
      </w:r>
      <w:r>
        <w:rPr>
          <w:rFonts w:ascii="Arial" w:hAnsi="Arial" w:cs="Arial"/>
          <w:sz w:val="24"/>
          <w:szCs w:val="24"/>
        </w:rPr>
        <w:t xml:space="preserve"> above</w:t>
      </w:r>
      <w:r w:rsidRPr="00706D1F">
        <w:rPr>
          <w:rFonts w:ascii="Arial" w:hAnsi="Arial" w:cs="Arial"/>
          <w:sz w:val="24"/>
          <w:szCs w:val="24"/>
        </w:rPr>
        <w:t xml:space="preserve"> </w:t>
      </w:r>
      <w:r>
        <w:rPr>
          <w:rFonts w:ascii="Arial" w:hAnsi="Arial" w:cs="Arial"/>
          <w:sz w:val="24"/>
          <w:szCs w:val="24"/>
        </w:rPr>
        <w:t xml:space="preserve">(SC) </w:t>
      </w:r>
      <w:r w:rsidRPr="00706D1F">
        <w:rPr>
          <w:rFonts w:ascii="Arial" w:hAnsi="Arial" w:cs="Arial"/>
          <w:sz w:val="24"/>
          <w:szCs w:val="24"/>
        </w:rPr>
        <w:t>para 190 (Lord Mance)</w:t>
      </w:r>
    </w:p>
  </w:footnote>
  <w:footnote w:id="149">
    <w:p w:rsidR="006456EC" w:rsidRPr="00706D1F" w:rsidRDefault="006456EC" w:rsidP="003400A0">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w:t>
      </w:r>
      <w:r w:rsidRPr="007C6283">
        <w:rPr>
          <w:rFonts w:ascii="Arial" w:hAnsi="Arial" w:cs="Arial"/>
          <w:i/>
          <w:sz w:val="24"/>
          <w:szCs w:val="24"/>
        </w:rPr>
        <w:t>Cyprus v Turkey</w:t>
      </w:r>
      <w:r w:rsidRPr="00706D1F">
        <w:rPr>
          <w:rFonts w:ascii="Arial" w:hAnsi="Arial" w:cs="Arial"/>
          <w:sz w:val="24"/>
          <w:szCs w:val="24"/>
        </w:rPr>
        <w:t xml:space="preserve"> (1975) 2 DM 125 (European Commission on Human Rights) para 8(2)</w:t>
      </w:r>
    </w:p>
  </w:footnote>
  <w:footnote w:id="150">
    <w:p w:rsidR="006456EC" w:rsidRPr="0080740D" w:rsidRDefault="006456EC" w:rsidP="0080740D">
      <w:pPr>
        <w:pStyle w:val="FootnoteText"/>
        <w:jc w:val="both"/>
        <w:rPr>
          <w:rFonts w:ascii="Arial" w:hAnsi="Arial" w:cs="Arial"/>
          <w:sz w:val="24"/>
          <w:szCs w:val="24"/>
        </w:rPr>
      </w:pPr>
      <w:r w:rsidRPr="0080740D">
        <w:rPr>
          <w:rStyle w:val="FootnoteReference"/>
          <w:rFonts w:ascii="Arial" w:hAnsi="Arial" w:cs="Arial"/>
          <w:sz w:val="24"/>
          <w:szCs w:val="24"/>
        </w:rPr>
        <w:footnoteRef/>
      </w:r>
      <w:r w:rsidRPr="0080740D">
        <w:rPr>
          <w:rFonts w:ascii="Arial" w:hAnsi="Arial" w:cs="Arial"/>
          <w:sz w:val="24"/>
          <w:szCs w:val="24"/>
        </w:rPr>
        <w:t xml:space="preserve"> </w:t>
      </w:r>
      <w:r w:rsidR="007756D6">
        <w:rPr>
          <w:rFonts w:ascii="Arial" w:hAnsi="Arial" w:cs="Arial"/>
          <w:i/>
          <w:sz w:val="24"/>
          <w:szCs w:val="24"/>
        </w:rPr>
        <w:t>Smith v Mo</w:t>
      </w:r>
      <w:r w:rsidRPr="007C6283">
        <w:rPr>
          <w:rFonts w:ascii="Arial" w:hAnsi="Arial" w:cs="Arial"/>
          <w:i/>
          <w:sz w:val="24"/>
          <w:szCs w:val="24"/>
        </w:rPr>
        <w:t>D</w:t>
      </w:r>
      <w:r w:rsidRPr="0080740D">
        <w:rPr>
          <w:rFonts w:ascii="Arial" w:hAnsi="Arial" w:cs="Arial"/>
          <w:sz w:val="24"/>
          <w:szCs w:val="24"/>
        </w:rPr>
        <w:t xml:space="preserve"> [2011] HRLR 35 (QBD)</w:t>
      </w:r>
    </w:p>
  </w:footnote>
  <w:footnote w:id="151">
    <w:p w:rsidR="006456EC" w:rsidRPr="00706D1F" w:rsidRDefault="006456EC" w:rsidP="0080740D">
      <w:pPr>
        <w:pStyle w:val="FootnoteText"/>
        <w:jc w:val="both"/>
        <w:rPr>
          <w:rFonts w:ascii="Arial" w:hAnsi="Arial" w:cs="Arial"/>
          <w:sz w:val="24"/>
          <w:szCs w:val="24"/>
        </w:rPr>
      </w:pPr>
      <w:r w:rsidRPr="00706D1F">
        <w:rPr>
          <w:rStyle w:val="FootnoteReference"/>
          <w:rFonts w:ascii="Arial" w:hAnsi="Arial" w:cs="Arial"/>
          <w:sz w:val="24"/>
          <w:szCs w:val="24"/>
        </w:rPr>
        <w:footnoteRef/>
      </w:r>
      <w:r w:rsidRPr="00706D1F">
        <w:rPr>
          <w:rFonts w:ascii="Arial" w:hAnsi="Arial" w:cs="Arial"/>
          <w:sz w:val="24"/>
          <w:szCs w:val="24"/>
        </w:rPr>
        <w:t xml:space="preserve"> </w:t>
      </w:r>
      <w:r>
        <w:rPr>
          <w:rFonts w:ascii="Arial" w:hAnsi="Arial" w:cs="Arial"/>
          <w:sz w:val="24"/>
          <w:szCs w:val="24"/>
        </w:rPr>
        <w:t>n 1</w:t>
      </w:r>
      <w:r w:rsidR="008C5395">
        <w:rPr>
          <w:rFonts w:ascii="Arial" w:hAnsi="Arial" w:cs="Arial"/>
          <w:sz w:val="24"/>
          <w:szCs w:val="24"/>
        </w:rPr>
        <w:t>45</w:t>
      </w:r>
      <w:r>
        <w:rPr>
          <w:rFonts w:ascii="Arial" w:hAnsi="Arial" w:cs="Arial"/>
          <w:sz w:val="24"/>
          <w:szCs w:val="24"/>
        </w:rPr>
        <w:t xml:space="preserve"> above (SC) </w:t>
      </w:r>
      <w:r w:rsidRPr="00706D1F">
        <w:rPr>
          <w:rFonts w:ascii="Arial" w:hAnsi="Arial" w:cs="Arial"/>
          <w:sz w:val="24"/>
          <w:szCs w:val="24"/>
        </w:rPr>
        <w:t>para 60 (Lord Phillips)</w:t>
      </w:r>
    </w:p>
  </w:footnote>
  <w:footnote w:id="152">
    <w:p w:rsidR="006456EC" w:rsidRPr="003A1CAB" w:rsidRDefault="006456EC" w:rsidP="003A1CAB">
      <w:pPr>
        <w:pStyle w:val="FootnoteText"/>
        <w:jc w:val="both"/>
        <w:rPr>
          <w:rFonts w:ascii="Arial" w:hAnsi="Arial" w:cs="Arial"/>
          <w:sz w:val="24"/>
          <w:szCs w:val="24"/>
        </w:rPr>
      </w:pPr>
      <w:r w:rsidRPr="003A1CAB">
        <w:rPr>
          <w:rStyle w:val="FootnoteReference"/>
          <w:rFonts w:ascii="Arial" w:hAnsi="Arial" w:cs="Arial"/>
          <w:sz w:val="24"/>
          <w:szCs w:val="24"/>
        </w:rPr>
        <w:footnoteRef/>
      </w:r>
      <w:r w:rsidRPr="003A1CAB">
        <w:rPr>
          <w:rFonts w:ascii="Arial" w:hAnsi="Arial" w:cs="Arial"/>
          <w:sz w:val="24"/>
          <w:szCs w:val="24"/>
        </w:rPr>
        <w:t xml:space="preserve"> Military Service Act 1916 for World War I and the Military Training Act 1939, followed by the more comprehensive National Service (Armed Forces) Act 1939, for World War II</w:t>
      </w:r>
    </w:p>
  </w:footnote>
  <w:footnote w:id="153">
    <w:p w:rsidR="006456EC" w:rsidRPr="003A1CAB" w:rsidRDefault="006456EC" w:rsidP="003A1CAB">
      <w:pPr>
        <w:pStyle w:val="FootnoteText"/>
        <w:jc w:val="both"/>
        <w:rPr>
          <w:rFonts w:ascii="Arial" w:hAnsi="Arial" w:cs="Arial"/>
          <w:sz w:val="24"/>
          <w:szCs w:val="24"/>
        </w:rPr>
      </w:pPr>
      <w:r w:rsidRPr="003A1CAB">
        <w:rPr>
          <w:rStyle w:val="FootnoteReference"/>
          <w:rFonts w:ascii="Arial" w:hAnsi="Arial" w:cs="Arial"/>
          <w:sz w:val="24"/>
          <w:szCs w:val="24"/>
        </w:rPr>
        <w:footnoteRef/>
      </w:r>
      <w:r w:rsidRPr="003A1CAB">
        <w:rPr>
          <w:rFonts w:ascii="Arial" w:hAnsi="Arial" w:cs="Arial"/>
          <w:sz w:val="24"/>
          <w:szCs w:val="24"/>
        </w:rPr>
        <w:t xml:space="preserve"> National Service Act 1948</w:t>
      </w:r>
    </w:p>
  </w:footnote>
  <w:footnote w:id="154">
    <w:p w:rsidR="006456EC" w:rsidRPr="003A1CAB" w:rsidRDefault="006456EC" w:rsidP="003A1CAB">
      <w:pPr>
        <w:pStyle w:val="FootnoteText"/>
        <w:jc w:val="both"/>
        <w:rPr>
          <w:rFonts w:ascii="Arial" w:hAnsi="Arial" w:cs="Arial"/>
          <w:sz w:val="24"/>
          <w:szCs w:val="24"/>
        </w:rPr>
      </w:pPr>
      <w:r w:rsidRPr="003A1CAB">
        <w:rPr>
          <w:rStyle w:val="FootnoteReference"/>
          <w:rFonts w:ascii="Arial" w:hAnsi="Arial" w:cs="Arial"/>
          <w:sz w:val="24"/>
          <w:szCs w:val="24"/>
        </w:rPr>
        <w:footnoteRef/>
      </w:r>
      <w:r w:rsidRPr="003A1CAB">
        <w:rPr>
          <w:rFonts w:ascii="Arial" w:hAnsi="Arial" w:cs="Arial"/>
          <w:sz w:val="24"/>
          <w:szCs w:val="24"/>
        </w:rPr>
        <w:t xml:space="preserve"> Ministry of  Defence, </w:t>
      </w:r>
      <w:r w:rsidRPr="003A1CAB">
        <w:rPr>
          <w:rFonts w:ascii="Arial" w:hAnsi="Arial" w:cs="Arial"/>
          <w:i/>
          <w:sz w:val="24"/>
          <w:szCs w:val="24"/>
        </w:rPr>
        <w:t xml:space="preserve">Defence: Outline of Future Policy </w:t>
      </w:r>
      <w:r w:rsidRPr="00A60852">
        <w:rPr>
          <w:rFonts w:ascii="Arial" w:hAnsi="Arial" w:cs="Arial"/>
          <w:sz w:val="24"/>
          <w:szCs w:val="24"/>
        </w:rPr>
        <w:t>Cmnd 124</w:t>
      </w:r>
      <w:r w:rsidRPr="003A1CAB">
        <w:rPr>
          <w:rFonts w:ascii="Arial" w:hAnsi="Arial" w:cs="Arial"/>
          <w:sz w:val="24"/>
          <w:szCs w:val="24"/>
        </w:rPr>
        <w:t xml:space="preserve"> (London</w:t>
      </w:r>
      <w:r>
        <w:rPr>
          <w:rFonts w:ascii="Arial" w:hAnsi="Arial" w:cs="Arial"/>
          <w:sz w:val="24"/>
          <w:szCs w:val="24"/>
        </w:rPr>
        <w:t>:</w:t>
      </w:r>
      <w:r w:rsidRPr="003A1CAB">
        <w:rPr>
          <w:rFonts w:ascii="Arial" w:hAnsi="Arial" w:cs="Arial"/>
          <w:sz w:val="24"/>
          <w:szCs w:val="24"/>
        </w:rPr>
        <w:t xml:space="preserve"> HMSO, 1957) para 47</w:t>
      </w:r>
    </w:p>
  </w:footnote>
  <w:footnote w:id="155">
    <w:p w:rsidR="006456EC" w:rsidRDefault="006456EC" w:rsidP="003A1CAB">
      <w:pPr>
        <w:pStyle w:val="FootnoteText"/>
        <w:jc w:val="both"/>
      </w:pPr>
      <w:r w:rsidRPr="003A1CAB">
        <w:rPr>
          <w:rStyle w:val="FootnoteReference"/>
          <w:rFonts w:ascii="Arial" w:hAnsi="Arial" w:cs="Arial"/>
          <w:sz w:val="24"/>
          <w:szCs w:val="24"/>
        </w:rPr>
        <w:footnoteRef/>
      </w:r>
      <w:r w:rsidRPr="003A1CAB">
        <w:rPr>
          <w:rFonts w:ascii="Arial" w:hAnsi="Arial" w:cs="Arial"/>
          <w:sz w:val="24"/>
          <w:szCs w:val="24"/>
        </w:rPr>
        <w:t xml:space="preserve"> See M</w:t>
      </w:r>
      <w:r>
        <w:rPr>
          <w:rFonts w:ascii="Arial" w:hAnsi="Arial" w:cs="Arial"/>
          <w:sz w:val="24"/>
          <w:szCs w:val="24"/>
        </w:rPr>
        <w:t>.</w:t>
      </w:r>
      <w:r w:rsidRPr="003A1CAB">
        <w:rPr>
          <w:rFonts w:ascii="Arial" w:hAnsi="Arial" w:cs="Arial"/>
          <w:sz w:val="24"/>
          <w:szCs w:val="24"/>
        </w:rPr>
        <w:t>S</w:t>
      </w:r>
      <w:r>
        <w:rPr>
          <w:rFonts w:ascii="Arial" w:hAnsi="Arial" w:cs="Arial"/>
          <w:sz w:val="24"/>
          <w:szCs w:val="24"/>
        </w:rPr>
        <w:t>.</w:t>
      </w:r>
      <w:r w:rsidRPr="003A1CAB">
        <w:rPr>
          <w:rFonts w:ascii="Arial" w:hAnsi="Arial" w:cs="Arial"/>
          <w:sz w:val="24"/>
          <w:szCs w:val="24"/>
        </w:rPr>
        <w:t xml:space="preserve"> </w:t>
      </w:r>
      <w:proofErr w:type="spellStart"/>
      <w:r w:rsidRPr="003A1CAB">
        <w:rPr>
          <w:rFonts w:ascii="Arial" w:hAnsi="Arial" w:cs="Arial"/>
          <w:sz w:val="24"/>
          <w:szCs w:val="24"/>
        </w:rPr>
        <w:t>Navias</w:t>
      </w:r>
      <w:proofErr w:type="spellEnd"/>
      <w:r w:rsidRPr="003A1CAB">
        <w:rPr>
          <w:rFonts w:ascii="Arial" w:hAnsi="Arial" w:cs="Arial"/>
          <w:sz w:val="24"/>
          <w:szCs w:val="24"/>
        </w:rPr>
        <w:t xml:space="preserve">, ‘Terminating Conscription? The British National Service Controversy 1955-56’ (1989) 24 </w:t>
      </w:r>
      <w:r w:rsidRPr="00683AB5">
        <w:rPr>
          <w:rFonts w:ascii="Arial" w:hAnsi="Arial" w:cs="Arial"/>
          <w:i/>
          <w:sz w:val="24"/>
          <w:szCs w:val="24"/>
        </w:rPr>
        <w:t>Journal of Contemporary History</w:t>
      </w:r>
      <w:r w:rsidRPr="003A1CAB">
        <w:rPr>
          <w:rFonts w:ascii="Arial" w:hAnsi="Arial" w:cs="Arial"/>
          <w:sz w:val="24"/>
          <w:szCs w:val="24"/>
        </w:rPr>
        <w:t xml:space="preserve"> 195</w:t>
      </w:r>
    </w:p>
  </w:footnote>
  <w:footnote w:id="156">
    <w:p w:rsidR="006456EC" w:rsidRPr="00D63706" w:rsidRDefault="006456EC" w:rsidP="00D63706">
      <w:pPr>
        <w:pStyle w:val="FootnoteText"/>
        <w:jc w:val="both"/>
        <w:rPr>
          <w:rFonts w:ascii="Arial" w:hAnsi="Arial" w:cs="Arial"/>
          <w:sz w:val="24"/>
          <w:szCs w:val="24"/>
        </w:rPr>
      </w:pPr>
      <w:r w:rsidRPr="00D63706">
        <w:rPr>
          <w:rStyle w:val="FootnoteReference"/>
          <w:rFonts w:ascii="Arial" w:hAnsi="Arial" w:cs="Arial"/>
          <w:sz w:val="24"/>
          <w:szCs w:val="24"/>
        </w:rPr>
        <w:footnoteRef/>
      </w:r>
      <w:r w:rsidRPr="00D63706">
        <w:rPr>
          <w:rFonts w:ascii="Arial" w:hAnsi="Arial" w:cs="Arial"/>
          <w:sz w:val="24"/>
          <w:szCs w:val="24"/>
        </w:rPr>
        <w:t xml:space="preserve"> This was precisely the experience of the author who joined the Royal Navy in 1983 and left in 1996</w:t>
      </w:r>
    </w:p>
  </w:footnote>
  <w:footnote w:id="157">
    <w:p w:rsidR="006456EC" w:rsidRPr="0076183B" w:rsidRDefault="006456EC" w:rsidP="00D820E5">
      <w:pPr>
        <w:pStyle w:val="FootnoteText"/>
        <w:jc w:val="both"/>
        <w:rPr>
          <w:rFonts w:ascii="Arial" w:hAnsi="Arial" w:cs="Arial"/>
          <w:sz w:val="24"/>
          <w:szCs w:val="24"/>
        </w:rPr>
      </w:pPr>
      <w:r w:rsidRPr="0076183B">
        <w:rPr>
          <w:rStyle w:val="FootnoteReference"/>
          <w:rFonts w:ascii="Arial" w:hAnsi="Arial" w:cs="Arial"/>
          <w:sz w:val="24"/>
          <w:szCs w:val="24"/>
        </w:rPr>
        <w:footnoteRef/>
      </w:r>
      <w:r w:rsidRPr="0076183B">
        <w:rPr>
          <w:rFonts w:ascii="Arial" w:hAnsi="Arial" w:cs="Arial"/>
          <w:sz w:val="24"/>
          <w:szCs w:val="24"/>
        </w:rPr>
        <w:t xml:space="preserve"> See T</w:t>
      </w:r>
      <w:r>
        <w:rPr>
          <w:rFonts w:ascii="Arial" w:hAnsi="Arial" w:cs="Arial"/>
          <w:sz w:val="24"/>
          <w:szCs w:val="24"/>
        </w:rPr>
        <w:t>.</w:t>
      </w:r>
      <w:r w:rsidRPr="0076183B">
        <w:rPr>
          <w:rFonts w:ascii="Arial" w:hAnsi="Arial" w:cs="Arial"/>
          <w:sz w:val="24"/>
          <w:szCs w:val="24"/>
        </w:rPr>
        <w:t xml:space="preserve"> Taylor, </w:t>
      </w:r>
      <w:r w:rsidRPr="0076183B">
        <w:rPr>
          <w:rFonts w:ascii="Arial" w:hAnsi="Arial" w:cs="Arial"/>
          <w:i/>
          <w:sz w:val="24"/>
          <w:szCs w:val="24"/>
        </w:rPr>
        <w:t>The Anatomy of the Nuremberg Trials</w:t>
      </w:r>
      <w:r w:rsidRPr="0076183B">
        <w:rPr>
          <w:rFonts w:ascii="Arial" w:hAnsi="Arial" w:cs="Arial"/>
          <w:sz w:val="24"/>
          <w:szCs w:val="24"/>
        </w:rPr>
        <w:t xml:space="preserve"> (London</w:t>
      </w:r>
      <w:r>
        <w:rPr>
          <w:rFonts w:ascii="Arial" w:hAnsi="Arial" w:cs="Arial"/>
          <w:sz w:val="24"/>
          <w:szCs w:val="24"/>
        </w:rPr>
        <w:t>:</w:t>
      </w:r>
      <w:r w:rsidRPr="0076183B">
        <w:rPr>
          <w:rFonts w:ascii="Arial" w:hAnsi="Arial" w:cs="Arial"/>
          <w:sz w:val="24"/>
          <w:szCs w:val="24"/>
        </w:rPr>
        <w:t xml:space="preserve"> Bloomsbury, 1993) 353 for the example of Field Marshall Wilhelm Keitel who was prepared to follow Hitler’s orders “regardless of law and morals”.</w:t>
      </w:r>
    </w:p>
  </w:footnote>
  <w:footnote w:id="158">
    <w:p w:rsidR="006456EC" w:rsidRPr="0052666B" w:rsidRDefault="006456EC" w:rsidP="00D820E5">
      <w:pPr>
        <w:pStyle w:val="FootnoteText"/>
        <w:jc w:val="both"/>
      </w:pPr>
      <w:r w:rsidRPr="0076183B">
        <w:rPr>
          <w:rStyle w:val="FootnoteReference"/>
          <w:rFonts w:ascii="Arial" w:hAnsi="Arial" w:cs="Arial"/>
          <w:sz w:val="24"/>
          <w:szCs w:val="24"/>
        </w:rPr>
        <w:footnoteRef/>
      </w:r>
      <w:r w:rsidRPr="0076183B">
        <w:rPr>
          <w:rFonts w:ascii="Arial" w:hAnsi="Arial" w:cs="Arial"/>
          <w:sz w:val="24"/>
          <w:szCs w:val="24"/>
        </w:rPr>
        <w:t xml:space="preserve"> See D</w:t>
      </w:r>
      <w:r>
        <w:rPr>
          <w:rFonts w:ascii="Arial" w:hAnsi="Arial" w:cs="Arial"/>
          <w:sz w:val="24"/>
          <w:szCs w:val="24"/>
        </w:rPr>
        <w:t>.</w:t>
      </w:r>
      <w:r w:rsidRPr="0076183B">
        <w:rPr>
          <w:rFonts w:ascii="Arial" w:hAnsi="Arial" w:cs="Arial"/>
          <w:sz w:val="24"/>
          <w:szCs w:val="24"/>
        </w:rPr>
        <w:t xml:space="preserve"> Mazur, </w:t>
      </w:r>
      <w:r w:rsidRPr="0076183B">
        <w:rPr>
          <w:rFonts w:ascii="Arial" w:hAnsi="Arial" w:cs="Arial"/>
          <w:i/>
          <w:sz w:val="24"/>
          <w:szCs w:val="24"/>
        </w:rPr>
        <w:t>A More Perfect Military: How the Constitution Can Make Our Military Stronger</w:t>
      </w:r>
      <w:r w:rsidRPr="0076183B">
        <w:rPr>
          <w:rFonts w:ascii="Arial" w:hAnsi="Arial" w:cs="Arial"/>
          <w:sz w:val="24"/>
          <w:szCs w:val="24"/>
        </w:rPr>
        <w:t xml:space="preserve"> (London</w:t>
      </w:r>
      <w:r>
        <w:rPr>
          <w:rFonts w:ascii="Arial" w:hAnsi="Arial" w:cs="Arial"/>
          <w:sz w:val="24"/>
          <w:szCs w:val="24"/>
        </w:rPr>
        <w:t>:</w:t>
      </w:r>
      <w:r w:rsidRPr="0076183B">
        <w:rPr>
          <w:rFonts w:ascii="Arial" w:hAnsi="Arial" w:cs="Arial"/>
          <w:sz w:val="24"/>
          <w:szCs w:val="24"/>
        </w:rPr>
        <w:t xml:space="preserve"> OUP, 2010) chapter 11</w:t>
      </w:r>
    </w:p>
  </w:footnote>
  <w:footnote w:id="159">
    <w:p w:rsidR="006456EC" w:rsidRPr="008C1AF8" w:rsidRDefault="006456EC" w:rsidP="008C1AF8">
      <w:pPr>
        <w:pStyle w:val="FootnoteText"/>
        <w:jc w:val="both"/>
        <w:rPr>
          <w:rFonts w:ascii="Arial" w:hAnsi="Arial" w:cs="Arial"/>
          <w:sz w:val="24"/>
          <w:szCs w:val="24"/>
        </w:rPr>
      </w:pPr>
      <w:r w:rsidRPr="008C1AF8">
        <w:rPr>
          <w:rStyle w:val="FootnoteReference"/>
          <w:rFonts w:ascii="Arial" w:hAnsi="Arial" w:cs="Arial"/>
          <w:sz w:val="24"/>
          <w:szCs w:val="24"/>
        </w:rPr>
        <w:footnoteRef/>
      </w:r>
      <w:r>
        <w:rPr>
          <w:rFonts w:ascii="Arial" w:hAnsi="Arial" w:cs="Arial"/>
          <w:sz w:val="24"/>
          <w:szCs w:val="24"/>
        </w:rPr>
        <w:t xml:space="preserve"> n 16 above</w:t>
      </w:r>
      <w:r w:rsidRPr="008C1AF8">
        <w:rPr>
          <w:rFonts w:ascii="Arial" w:hAnsi="Arial" w:cs="Arial"/>
          <w:sz w:val="24"/>
          <w:szCs w:val="24"/>
        </w:rPr>
        <w:t xml:space="preserve"> at 8</w:t>
      </w:r>
    </w:p>
  </w:footnote>
  <w:footnote w:id="160">
    <w:p w:rsidR="006456EC" w:rsidRPr="00CE6867" w:rsidRDefault="006456EC" w:rsidP="00CE6867">
      <w:pPr>
        <w:pStyle w:val="FootnoteText"/>
        <w:jc w:val="both"/>
        <w:rPr>
          <w:rFonts w:ascii="Arial" w:hAnsi="Arial" w:cs="Arial"/>
          <w:sz w:val="24"/>
          <w:szCs w:val="24"/>
        </w:rPr>
      </w:pPr>
      <w:r w:rsidRPr="00CE6867">
        <w:rPr>
          <w:rStyle w:val="FootnoteReference"/>
          <w:rFonts w:ascii="Arial" w:hAnsi="Arial" w:cs="Arial"/>
          <w:sz w:val="24"/>
          <w:szCs w:val="24"/>
        </w:rPr>
        <w:footnoteRef/>
      </w:r>
      <w:r w:rsidRPr="00CE6867">
        <w:rPr>
          <w:rFonts w:ascii="Arial" w:hAnsi="Arial" w:cs="Arial"/>
          <w:sz w:val="24"/>
          <w:szCs w:val="24"/>
        </w:rPr>
        <w:t xml:space="preserve"> </w:t>
      </w:r>
      <w:r>
        <w:rPr>
          <w:rFonts w:ascii="Arial" w:hAnsi="Arial" w:cs="Arial"/>
          <w:sz w:val="24"/>
          <w:szCs w:val="24"/>
        </w:rPr>
        <w:t>ibid at 18</w:t>
      </w:r>
    </w:p>
  </w:footnote>
  <w:footnote w:id="161">
    <w:p w:rsidR="006456EC" w:rsidRDefault="006456EC" w:rsidP="00615319">
      <w:pPr>
        <w:pStyle w:val="FootnoteText"/>
        <w:jc w:val="both"/>
        <w:rPr>
          <w:rFonts w:ascii="Arial" w:hAnsi="Arial" w:cs="Arial"/>
          <w:sz w:val="24"/>
          <w:szCs w:val="24"/>
        </w:rPr>
      </w:pPr>
      <w:r w:rsidRPr="00CE6867">
        <w:rPr>
          <w:rStyle w:val="FootnoteReference"/>
          <w:rFonts w:ascii="Arial" w:hAnsi="Arial" w:cs="Arial"/>
          <w:sz w:val="24"/>
          <w:szCs w:val="24"/>
        </w:rPr>
        <w:footnoteRef/>
      </w:r>
      <w:r w:rsidRPr="00CE6867">
        <w:rPr>
          <w:rFonts w:ascii="Arial" w:hAnsi="Arial" w:cs="Arial"/>
          <w:sz w:val="24"/>
          <w:szCs w:val="24"/>
        </w:rPr>
        <w:t xml:space="preserve"> Ministry of Defence, ‘The Armed Forces Covenant’ </w:t>
      </w:r>
      <w:r>
        <w:rPr>
          <w:rFonts w:ascii="Arial" w:hAnsi="Arial" w:cs="Arial"/>
          <w:sz w:val="24"/>
          <w:szCs w:val="24"/>
        </w:rPr>
        <w:t xml:space="preserve">(henceforth Covenant) </w:t>
      </w:r>
      <w:r w:rsidRPr="00CE6867">
        <w:rPr>
          <w:rFonts w:ascii="Arial" w:hAnsi="Arial" w:cs="Arial"/>
          <w:sz w:val="24"/>
          <w:szCs w:val="24"/>
        </w:rPr>
        <w:t>at</w:t>
      </w:r>
    </w:p>
    <w:p w:rsidR="006456EC" w:rsidRPr="00496118" w:rsidRDefault="006456EC" w:rsidP="00615319">
      <w:pPr>
        <w:pStyle w:val="FootnoteText"/>
        <w:jc w:val="both"/>
        <w:rPr>
          <w:rFonts w:ascii="Arial" w:hAnsi="Arial" w:cs="Arial"/>
          <w:sz w:val="24"/>
          <w:szCs w:val="24"/>
        </w:rPr>
      </w:pPr>
      <w:r w:rsidRPr="00CE6867">
        <w:rPr>
          <w:rFonts w:ascii="Arial" w:hAnsi="Arial" w:cs="Arial"/>
          <w:sz w:val="24"/>
          <w:szCs w:val="24"/>
        </w:rPr>
        <w:t xml:space="preserve"> </w:t>
      </w:r>
      <w:hyperlink r:id="rId19" w:history="1">
        <w:r w:rsidRPr="00E27E44">
          <w:rPr>
            <w:rStyle w:val="Hyperlink"/>
            <w:rFonts w:ascii="Arial" w:hAnsi="Arial" w:cs="Arial"/>
            <w:sz w:val="24"/>
            <w:szCs w:val="24"/>
          </w:rPr>
          <w:t>http://www.mod.uk/NR/rdonlyres/4E9E2014-5CE6-43F2-AE28-B6C5FA90B68F/0/Armed_Forces_Covenant.pdf</w:t>
        </w:r>
      </w:hyperlink>
      <w:r w:rsidR="00496118">
        <w:rPr>
          <w:rStyle w:val="Hyperlink"/>
          <w:rFonts w:ascii="Arial" w:hAnsi="Arial" w:cs="Arial"/>
          <w:sz w:val="24"/>
          <w:szCs w:val="24"/>
          <w:u w:val="none"/>
        </w:rPr>
        <w:t xml:space="preserve"> </w:t>
      </w:r>
      <w:r w:rsidR="00496118">
        <w:rPr>
          <w:rFonts w:ascii="Arial" w:hAnsi="Arial" w:cs="Arial"/>
          <w:sz w:val="24"/>
          <w:szCs w:val="24"/>
        </w:rPr>
        <w:t>(last visited 15 March 2012)</w:t>
      </w:r>
    </w:p>
  </w:footnote>
  <w:footnote w:id="162">
    <w:p w:rsidR="006456EC" w:rsidRDefault="006456EC" w:rsidP="00615319">
      <w:pPr>
        <w:pStyle w:val="FootnoteText"/>
        <w:jc w:val="both"/>
        <w:rPr>
          <w:rFonts w:ascii="Arial" w:hAnsi="Arial" w:cs="Arial"/>
          <w:sz w:val="24"/>
          <w:szCs w:val="24"/>
        </w:rPr>
      </w:pPr>
      <w:r w:rsidRPr="00615319">
        <w:rPr>
          <w:rStyle w:val="FootnoteReference"/>
          <w:rFonts w:ascii="Arial" w:hAnsi="Arial" w:cs="Arial"/>
          <w:sz w:val="24"/>
          <w:szCs w:val="24"/>
        </w:rPr>
        <w:footnoteRef/>
      </w:r>
      <w:r w:rsidRPr="00615319">
        <w:rPr>
          <w:rFonts w:ascii="Arial" w:hAnsi="Arial" w:cs="Arial"/>
          <w:sz w:val="24"/>
          <w:szCs w:val="24"/>
        </w:rPr>
        <w:t xml:space="preserve"> Ministry of Defence, ‘Soldiering – The Military Covenant’ at </w:t>
      </w:r>
    </w:p>
    <w:p w:rsidR="006456EC" w:rsidRPr="00CE6867" w:rsidRDefault="00067F17" w:rsidP="00CE6867">
      <w:pPr>
        <w:pStyle w:val="FootnoteText"/>
        <w:jc w:val="both"/>
        <w:rPr>
          <w:rFonts w:ascii="Arial" w:hAnsi="Arial" w:cs="Arial"/>
          <w:sz w:val="24"/>
          <w:szCs w:val="24"/>
        </w:rPr>
      </w:pPr>
      <w:hyperlink r:id="rId20" w:history="1">
        <w:proofErr w:type="gramStart"/>
        <w:r w:rsidR="006456EC" w:rsidRPr="00615319">
          <w:rPr>
            <w:rFonts w:ascii="Arial" w:hAnsi="Arial" w:cs="Arial"/>
            <w:color w:val="0000FF"/>
            <w:sz w:val="24"/>
            <w:szCs w:val="24"/>
            <w:u w:val="single"/>
          </w:rPr>
          <w:t>http://www.abnetwork.org/articles/military-covenant/</w:t>
        </w:r>
      </w:hyperlink>
      <w:r w:rsidR="00496118">
        <w:rPr>
          <w:rFonts w:ascii="Arial" w:hAnsi="Arial" w:cs="Arial"/>
          <w:sz w:val="24"/>
          <w:szCs w:val="24"/>
        </w:rPr>
        <w:t xml:space="preserve"> (last visited 15 March 2012).</w:t>
      </w:r>
      <w:proofErr w:type="gramEnd"/>
      <w:r w:rsidR="006456EC">
        <w:rPr>
          <w:rFonts w:ascii="Arial" w:hAnsi="Arial" w:cs="Arial"/>
          <w:sz w:val="24"/>
          <w:szCs w:val="24"/>
        </w:rPr>
        <w:t xml:space="preserve"> The original docum</w:t>
      </w:r>
      <w:r w:rsidR="007756D6">
        <w:rPr>
          <w:rFonts w:ascii="Arial" w:hAnsi="Arial" w:cs="Arial"/>
          <w:sz w:val="24"/>
          <w:szCs w:val="24"/>
        </w:rPr>
        <w:t>ent ADP5 was available on the Mo</w:t>
      </w:r>
      <w:r w:rsidR="006456EC">
        <w:rPr>
          <w:rFonts w:ascii="Arial" w:hAnsi="Arial" w:cs="Arial"/>
          <w:sz w:val="24"/>
          <w:szCs w:val="24"/>
        </w:rPr>
        <w:t xml:space="preserve">D’s website but has since been removed. See A. Forster, ‘Breaking the Covenant: Governance of the British Army in the Twenty-First Century’ (2006) 82 </w:t>
      </w:r>
      <w:r w:rsidR="006456EC" w:rsidRPr="00683AB5">
        <w:rPr>
          <w:rFonts w:ascii="Arial" w:hAnsi="Arial" w:cs="Arial"/>
          <w:i/>
          <w:sz w:val="24"/>
          <w:szCs w:val="24"/>
        </w:rPr>
        <w:t>International Affairs</w:t>
      </w:r>
      <w:r w:rsidR="006456EC">
        <w:rPr>
          <w:rFonts w:ascii="Arial" w:hAnsi="Arial" w:cs="Arial"/>
          <w:sz w:val="24"/>
          <w:szCs w:val="24"/>
        </w:rPr>
        <w:t xml:space="preserve"> 1043 and C. Tipping, ‘Understanding the Military Covenant’ (2008) 153(3) </w:t>
      </w:r>
      <w:r w:rsidR="006456EC" w:rsidRPr="00683AB5">
        <w:rPr>
          <w:rFonts w:ascii="Arial" w:hAnsi="Arial" w:cs="Arial"/>
          <w:i/>
          <w:sz w:val="24"/>
          <w:szCs w:val="24"/>
        </w:rPr>
        <w:t>Royal United Services Institute Journal</w:t>
      </w:r>
      <w:r w:rsidR="006456EC">
        <w:rPr>
          <w:rFonts w:ascii="Arial" w:hAnsi="Arial" w:cs="Arial"/>
          <w:sz w:val="24"/>
          <w:szCs w:val="24"/>
        </w:rPr>
        <w:t xml:space="preserve"> 12</w:t>
      </w:r>
    </w:p>
  </w:footnote>
  <w:footnote w:id="163">
    <w:p w:rsidR="006456EC" w:rsidRDefault="006456EC" w:rsidP="008A035C">
      <w:pPr>
        <w:pStyle w:val="FootnoteText"/>
        <w:jc w:val="both"/>
        <w:rPr>
          <w:rFonts w:ascii="Arial" w:hAnsi="Arial" w:cs="Arial"/>
          <w:sz w:val="24"/>
          <w:szCs w:val="24"/>
        </w:rPr>
      </w:pPr>
      <w:r w:rsidRPr="008A035C">
        <w:rPr>
          <w:rStyle w:val="FootnoteReference"/>
          <w:rFonts w:ascii="Arial" w:hAnsi="Arial" w:cs="Arial"/>
          <w:sz w:val="24"/>
          <w:szCs w:val="24"/>
        </w:rPr>
        <w:footnoteRef/>
      </w:r>
      <w:r w:rsidRPr="008A035C">
        <w:rPr>
          <w:rFonts w:ascii="Arial" w:hAnsi="Arial" w:cs="Arial"/>
          <w:sz w:val="24"/>
          <w:szCs w:val="24"/>
        </w:rPr>
        <w:t xml:space="preserve"> Although the Prime Minister David Cameron has stated that the principles of the Covenant were to be enshrined in law (at</w:t>
      </w:r>
    </w:p>
    <w:p w:rsidR="006456EC" w:rsidRDefault="00067F17" w:rsidP="008A035C">
      <w:pPr>
        <w:pStyle w:val="FootnoteText"/>
        <w:jc w:val="both"/>
        <w:rPr>
          <w:rFonts w:ascii="Arial" w:hAnsi="Arial" w:cs="Arial"/>
          <w:sz w:val="24"/>
          <w:szCs w:val="24"/>
        </w:rPr>
      </w:pPr>
      <w:hyperlink r:id="rId21" w:history="1">
        <w:r w:rsidR="006456EC" w:rsidRPr="008A035C">
          <w:rPr>
            <w:rFonts w:ascii="Arial" w:hAnsi="Arial" w:cs="Arial"/>
            <w:color w:val="0000FF"/>
            <w:sz w:val="24"/>
            <w:szCs w:val="24"/>
            <w:u w:val="single"/>
          </w:rPr>
          <w:t>http://www.number10.gov.uk/news/military-covenant-to-be-enshrined-in-law/</w:t>
        </w:r>
      </w:hyperlink>
      <w:r w:rsidR="00496118">
        <w:rPr>
          <w:rFonts w:ascii="Arial" w:hAnsi="Arial" w:cs="Arial"/>
          <w:sz w:val="24"/>
          <w:szCs w:val="24"/>
        </w:rPr>
        <w:t xml:space="preserve"> (last visited 15 March 2012)</w:t>
      </w:r>
      <w:r w:rsidR="006456EC" w:rsidRPr="008A035C">
        <w:rPr>
          <w:rFonts w:ascii="Arial" w:hAnsi="Arial" w:cs="Arial"/>
          <w:sz w:val="24"/>
          <w:szCs w:val="24"/>
        </w:rPr>
        <w:t xml:space="preserve">, it </w:t>
      </w:r>
    </w:p>
    <w:p w:rsidR="006456EC" w:rsidRPr="008A035C" w:rsidRDefault="006456EC" w:rsidP="008A035C">
      <w:pPr>
        <w:pStyle w:val="FootnoteText"/>
        <w:jc w:val="both"/>
        <w:rPr>
          <w:rFonts w:ascii="Arial" w:hAnsi="Arial" w:cs="Arial"/>
          <w:sz w:val="24"/>
          <w:szCs w:val="24"/>
        </w:rPr>
      </w:pPr>
      <w:r w:rsidRPr="008A035C">
        <w:rPr>
          <w:rFonts w:ascii="Arial" w:hAnsi="Arial" w:cs="Arial"/>
          <w:sz w:val="24"/>
          <w:szCs w:val="24"/>
        </w:rPr>
        <w:t>remains a “soft law” document with only the production of the annual armed forces covenant report  mandated by law (Armed Forces Act 2011</w:t>
      </w:r>
      <w:r>
        <w:rPr>
          <w:rFonts w:ascii="Arial" w:hAnsi="Arial" w:cs="Arial"/>
          <w:sz w:val="24"/>
          <w:szCs w:val="24"/>
        </w:rPr>
        <w:t>,</w:t>
      </w:r>
      <w:r w:rsidRPr="008A035C">
        <w:rPr>
          <w:rFonts w:ascii="Arial" w:hAnsi="Arial" w:cs="Arial"/>
          <w:sz w:val="24"/>
          <w:szCs w:val="24"/>
        </w:rPr>
        <w:t xml:space="preserve"> s 2, amending and inserting a new Part 16A into the Armed Forces Act 2006)</w:t>
      </w:r>
    </w:p>
  </w:footnote>
  <w:footnote w:id="164">
    <w:p w:rsidR="006456EC" w:rsidRPr="0083557D" w:rsidRDefault="006456EC" w:rsidP="0083557D">
      <w:pPr>
        <w:pStyle w:val="FootnoteText"/>
        <w:jc w:val="both"/>
        <w:rPr>
          <w:rFonts w:ascii="Arial" w:hAnsi="Arial" w:cs="Arial"/>
          <w:sz w:val="24"/>
          <w:szCs w:val="24"/>
        </w:rPr>
      </w:pPr>
      <w:r w:rsidRPr="0083557D">
        <w:rPr>
          <w:rStyle w:val="FootnoteReference"/>
          <w:rFonts w:ascii="Arial" w:hAnsi="Arial" w:cs="Arial"/>
          <w:sz w:val="24"/>
          <w:szCs w:val="24"/>
        </w:rPr>
        <w:footnoteRef/>
      </w:r>
      <w:r w:rsidRPr="0083557D">
        <w:rPr>
          <w:rFonts w:ascii="Arial" w:hAnsi="Arial" w:cs="Arial"/>
          <w:sz w:val="24"/>
          <w:szCs w:val="24"/>
        </w:rPr>
        <w:t xml:space="preserve"> </w:t>
      </w:r>
      <w:r>
        <w:rPr>
          <w:rFonts w:ascii="Arial" w:hAnsi="Arial" w:cs="Arial"/>
          <w:sz w:val="24"/>
          <w:szCs w:val="24"/>
        </w:rPr>
        <w:t>n 1</w:t>
      </w:r>
      <w:r w:rsidR="008C5395">
        <w:rPr>
          <w:rFonts w:ascii="Arial" w:hAnsi="Arial" w:cs="Arial"/>
          <w:sz w:val="24"/>
          <w:szCs w:val="24"/>
        </w:rPr>
        <w:t>61</w:t>
      </w:r>
      <w:r>
        <w:rPr>
          <w:rFonts w:ascii="Arial" w:hAnsi="Arial" w:cs="Arial"/>
          <w:sz w:val="24"/>
          <w:szCs w:val="24"/>
        </w:rPr>
        <w:t xml:space="preserve"> above</w:t>
      </w:r>
      <w:r w:rsidRPr="0083557D">
        <w:rPr>
          <w:rFonts w:ascii="Arial" w:hAnsi="Arial" w:cs="Arial"/>
          <w:sz w:val="24"/>
          <w:szCs w:val="24"/>
        </w:rPr>
        <w:t xml:space="preserve"> at 3</w:t>
      </w:r>
    </w:p>
  </w:footnote>
  <w:footnote w:id="165">
    <w:p w:rsidR="006456EC" w:rsidRPr="0083557D" w:rsidRDefault="006456EC" w:rsidP="0083557D">
      <w:pPr>
        <w:pStyle w:val="FootnoteText"/>
        <w:jc w:val="both"/>
        <w:rPr>
          <w:rFonts w:ascii="Arial" w:hAnsi="Arial" w:cs="Arial"/>
          <w:sz w:val="24"/>
          <w:szCs w:val="24"/>
        </w:rPr>
      </w:pPr>
      <w:r w:rsidRPr="0083557D">
        <w:rPr>
          <w:rStyle w:val="FootnoteReference"/>
          <w:rFonts w:ascii="Arial" w:hAnsi="Arial" w:cs="Arial"/>
          <w:sz w:val="24"/>
          <w:szCs w:val="24"/>
        </w:rPr>
        <w:footnoteRef/>
      </w:r>
      <w:r>
        <w:rPr>
          <w:rFonts w:ascii="Arial" w:hAnsi="Arial" w:cs="Arial"/>
          <w:sz w:val="24"/>
          <w:szCs w:val="24"/>
        </w:rPr>
        <w:t xml:space="preserve"> ibid</w:t>
      </w:r>
      <w:r w:rsidRPr="0083557D">
        <w:rPr>
          <w:rFonts w:ascii="Arial" w:hAnsi="Arial" w:cs="Arial"/>
          <w:sz w:val="24"/>
          <w:szCs w:val="24"/>
        </w:rPr>
        <w:t xml:space="preserve"> at 6</w:t>
      </w:r>
    </w:p>
  </w:footnote>
  <w:footnote w:id="166">
    <w:p w:rsidR="006456EC" w:rsidRDefault="006456EC" w:rsidP="0083557D">
      <w:pPr>
        <w:pStyle w:val="FootnoteText"/>
        <w:jc w:val="both"/>
        <w:rPr>
          <w:rFonts w:ascii="Arial" w:hAnsi="Arial" w:cs="Arial"/>
          <w:sz w:val="24"/>
          <w:szCs w:val="24"/>
        </w:rPr>
      </w:pPr>
      <w:r w:rsidRPr="0083557D">
        <w:rPr>
          <w:rStyle w:val="FootnoteReference"/>
          <w:rFonts w:ascii="Arial" w:hAnsi="Arial" w:cs="Arial"/>
          <w:sz w:val="24"/>
          <w:szCs w:val="24"/>
        </w:rPr>
        <w:footnoteRef/>
      </w:r>
      <w:r>
        <w:rPr>
          <w:rFonts w:ascii="Arial" w:hAnsi="Arial" w:cs="Arial"/>
          <w:sz w:val="24"/>
          <w:szCs w:val="24"/>
        </w:rPr>
        <w:t xml:space="preserve"> </w:t>
      </w:r>
      <w:proofErr w:type="gramStart"/>
      <w:r>
        <w:rPr>
          <w:rFonts w:ascii="Arial" w:hAnsi="Arial" w:cs="Arial"/>
          <w:sz w:val="24"/>
          <w:szCs w:val="24"/>
        </w:rPr>
        <w:t>i</w:t>
      </w:r>
      <w:r w:rsidRPr="0083557D">
        <w:rPr>
          <w:rFonts w:ascii="Arial" w:hAnsi="Arial" w:cs="Arial"/>
          <w:sz w:val="24"/>
          <w:szCs w:val="24"/>
        </w:rPr>
        <w:t>bid at 10</w:t>
      </w:r>
      <w:r>
        <w:rPr>
          <w:rFonts w:ascii="Arial" w:hAnsi="Arial" w:cs="Arial"/>
          <w:sz w:val="24"/>
          <w:szCs w:val="24"/>
        </w:rPr>
        <w:t>.</w:t>
      </w:r>
      <w:proofErr w:type="gramEnd"/>
      <w:r>
        <w:rPr>
          <w:rFonts w:ascii="Arial" w:hAnsi="Arial" w:cs="Arial"/>
          <w:sz w:val="24"/>
          <w:szCs w:val="24"/>
        </w:rPr>
        <w:t xml:space="preserve"> These expectations are expanded in Ministry of Defence, ‘The Armed Forces Covenant: Today and Tomorrow’ (henceforth Today and Tomorrow) at</w:t>
      </w:r>
    </w:p>
    <w:p w:rsidR="006456EC" w:rsidRPr="00496118" w:rsidRDefault="00067F17" w:rsidP="0083557D">
      <w:pPr>
        <w:pStyle w:val="FootnoteText"/>
        <w:jc w:val="both"/>
        <w:rPr>
          <w:rFonts w:ascii="Arial" w:hAnsi="Arial" w:cs="Arial"/>
          <w:sz w:val="24"/>
          <w:szCs w:val="24"/>
        </w:rPr>
      </w:pPr>
      <w:hyperlink r:id="rId22" w:history="1">
        <w:r w:rsidR="006456EC" w:rsidRPr="008A035C">
          <w:rPr>
            <w:rFonts w:ascii="Arial" w:hAnsi="Arial" w:cs="Arial"/>
            <w:color w:val="0000FF"/>
            <w:sz w:val="24"/>
            <w:szCs w:val="24"/>
            <w:u w:val="single"/>
          </w:rPr>
          <w:t>http://www.mod.uk/NR/rdonlyres/0117C914-174C-4DAE-B755-0A010F2427D5/0/Armed_Forces_Covenent_Today_and_Tomorrow.pdf</w:t>
        </w:r>
      </w:hyperlink>
      <w:r w:rsidR="00496118">
        <w:rPr>
          <w:rFonts w:ascii="Arial" w:hAnsi="Arial" w:cs="Arial"/>
          <w:color w:val="0000FF"/>
          <w:sz w:val="24"/>
          <w:szCs w:val="24"/>
        </w:rPr>
        <w:t xml:space="preserve"> </w:t>
      </w:r>
      <w:r w:rsidR="00496118">
        <w:rPr>
          <w:rFonts w:ascii="Arial" w:hAnsi="Arial" w:cs="Arial"/>
          <w:sz w:val="24"/>
          <w:szCs w:val="24"/>
        </w:rPr>
        <w:t>(last visited 15 March 2012)</w:t>
      </w:r>
    </w:p>
  </w:footnote>
  <w:footnote w:id="167">
    <w:p w:rsidR="006456EC" w:rsidRPr="0083557D" w:rsidRDefault="006456EC" w:rsidP="0083557D">
      <w:pPr>
        <w:pStyle w:val="FootnoteText"/>
        <w:jc w:val="both"/>
        <w:rPr>
          <w:rFonts w:ascii="Arial" w:hAnsi="Arial" w:cs="Arial"/>
          <w:sz w:val="24"/>
          <w:szCs w:val="24"/>
        </w:rPr>
      </w:pPr>
      <w:r w:rsidRPr="0083557D">
        <w:rPr>
          <w:rStyle w:val="FootnoteReference"/>
          <w:rFonts w:ascii="Arial" w:hAnsi="Arial" w:cs="Arial"/>
          <w:sz w:val="24"/>
          <w:szCs w:val="24"/>
        </w:rPr>
        <w:footnoteRef/>
      </w:r>
      <w:r>
        <w:rPr>
          <w:rFonts w:ascii="Arial" w:hAnsi="Arial" w:cs="Arial"/>
          <w:sz w:val="24"/>
          <w:szCs w:val="24"/>
        </w:rPr>
        <w:t xml:space="preserve"> ibid</w:t>
      </w:r>
      <w:r w:rsidRPr="0083557D">
        <w:rPr>
          <w:rFonts w:ascii="Arial" w:hAnsi="Arial" w:cs="Arial"/>
          <w:sz w:val="24"/>
          <w:szCs w:val="24"/>
        </w:rPr>
        <w:t xml:space="preserve"> at 6</w:t>
      </w:r>
    </w:p>
  </w:footnote>
  <w:footnote w:id="168">
    <w:p w:rsidR="006456EC" w:rsidRPr="0083557D" w:rsidRDefault="006456EC" w:rsidP="0083557D">
      <w:pPr>
        <w:pStyle w:val="FootnoteText"/>
        <w:jc w:val="both"/>
        <w:rPr>
          <w:rFonts w:ascii="Arial" w:hAnsi="Arial" w:cs="Arial"/>
          <w:sz w:val="24"/>
          <w:szCs w:val="24"/>
        </w:rPr>
      </w:pPr>
      <w:r w:rsidRPr="0083557D">
        <w:rPr>
          <w:rStyle w:val="FootnoteReference"/>
          <w:rFonts w:ascii="Arial" w:hAnsi="Arial" w:cs="Arial"/>
          <w:sz w:val="24"/>
          <w:szCs w:val="24"/>
        </w:rPr>
        <w:footnoteRef/>
      </w:r>
      <w:r w:rsidRPr="0083557D">
        <w:rPr>
          <w:rFonts w:ascii="Arial" w:hAnsi="Arial" w:cs="Arial"/>
          <w:sz w:val="24"/>
          <w:szCs w:val="24"/>
        </w:rPr>
        <w:t xml:space="preserve"> H</w:t>
      </w:r>
      <w:r>
        <w:rPr>
          <w:rFonts w:ascii="Arial" w:hAnsi="Arial" w:cs="Arial"/>
          <w:sz w:val="24"/>
          <w:szCs w:val="24"/>
        </w:rPr>
        <w:t>.</w:t>
      </w:r>
      <w:r w:rsidRPr="0083557D">
        <w:rPr>
          <w:rFonts w:ascii="Arial" w:hAnsi="Arial" w:cs="Arial"/>
          <w:sz w:val="24"/>
          <w:szCs w:val="24"/>
        </w:rPr>
        <w:t xml:space="preserve"> McCartney, ‘The Military Covenant and the Civil-Military Contract in Britain’ (2010)</w:t>
      </w:r>
      <w:r>
        <w:rPr>
          <w:rFonts w:ascii="Arial" w:hAnsi="Arial" w:cs="Arial"/>
          <w:sz w:val="24"/>
          <w:szCs w:val="24"/>
        </w:rPr>
        <w:t xml:space="preserve"> 86 </w:t>
      </w:r>
      <w:r w:rsidRPr="00683AB5">
        <w:rPr>
          <w:rFonts w:ascii="Arial" w:hAnsi="Arial" w:cs="Arial"/>
          <w:i/>
          <w:sz w:val="24"/>
          <w:szCs w:val="24"/>
        </w:rPr>
        <w:t>International Affairs</w:t>
      </w:r>
      <w:r>
        <w:rPr>
          <w:rFonts w:ascii="Arial" w:hAnsi="Arial" w:cs="Arial"/>
          <w:sz w:val="24"/>
          <w:szCs w:val="24"/>
        </w:rPr>
        <w:t xml:space="preserve"> 411,</w:t>
      </w:r>
      <w:r w:rsidRPr="0083557D">
        <w:rPr>
          <w:rFonts w:ascii="Arial" w:hAnsi="Arial" w:cs="Arial"/>
          <w:sz w:val="24"/>
          <w:szCs w:val="24"/>
        </w:rPr>
        <w:t xml:space="preserve"> 412</w:t>
      </w:r>
    </w:p>
  </w:footnote>
  <w:footnote w:id="169">
    <w:p w:rsidR="006456EC" w:rsidRDefault="006456EC" w:rsidP="0083557D">
      <w:pPr>
        <w:pStyle w:val="FootnoteText"/>
        <w:jc w:val="both"/>
      </w:pPr>
      <w:r w:rsidRPr="0083557D">
        <w:rPr>
          <w:rStyle w:val="FootnoteReference"/>
          <w:rFonts w:ascii="Arial" w:hAnsi="Arial" w:cs="Arial"/>
          <w:sz w:val="24"/>
          <w:szCs w:val="24"/>
        </w:rPr>
        <w:footnoteRef/>
      </w:r>
      <w:r w:rsidRPr="0083557D">
        <w:rPr>
          <w:rFonts w:ascii="Arial" w:hAnsi="Arial" w:cs="Arial"/>
          <w:sz w:val="24"/>
          <w:szCs w:val="24"/>
        </w:rPr>
        <w:t xml:space="preserve"> </w:t>
      </w:r>
      <w:r>
        <w:rPr>
          <w:rFonts w:ascii="Arial" w:hAnsi="Arial" w:cs="Arial"/>
          <w:sz w:val="24"/>
          <w:szCs w:val="24"/>
        </w:rPr>
        <w:t>n 1</w:t>
      </w:r>
      <w:r w:rsidR="008C5395">
        <w:rPr>
          <w:rFonts w:ascii="Arial" w:hAnsi="Arial" w:cs="Arial"/>
          <w:sz w:val="24"/>
          <w:szCs w:val="24"/>
        </w:rPr>
        <w:t>61</w:t>
      </w:r>
      <w:r>
        <w:rPr>
          <w:rFonts w:ascii="Arial" w:hAnsi="Arial" w:cs="Arial"/>
          <w:sz w:val="24"/>
          <w:szCs w:val="24"/>
        </w:rPr>
        <w:t xml:space="preserve"> above</w:t>
      </w:r>
      <w:r w:rsidRPr="0083557D">
        <w:rPr>
          <w:rFonts w:ascii="Arial" w:hAnsi="Arial" w:cs="Arial"/>
          <w:sz w:val="24"/>
          <w:szCs w:val="24"/>
        </w:rPr>
        <w:t xml:space="preserve"> at 1</w:t>
      </w:r>
    </w:p>
  </w:footnote>
  <w:footnote w:id="170">
    <w:p w:rsidR="006456EC" w:rsidRPr="0055737D" w:rsidRDefault="006456EC" w:rsidP="00683AB5">
      <w:pPr>
        <w:pStyle w:val="FootnoteText"/>
        <w:jc w:val="both"/>
        <w:rPr>
          <w:rFonts w:ascii="Arial" w:hAnsi="Arial" w:cs="Arial"/>
          <w:sz w:val="24"/>
          <w:szCs w:val="24"/>
        </w:rPr>
      </w:pPr>
      <w:r w:rsidRPr="0055737D">
        <w:rPr>
          <w:rStyle w:val="FootnoteReference"/>
          <w:rFonts w:ascii="Arial" w:hAnsi="Arial" w:cs="Arial"/>
          <w:sz w:val="24"/>
          <w:szCs w:val="24"/>
        </w:rPr>
        <w:footnoteRef/>
      </w:r>
      <w:r w:rsidRPr="0055737D">
        <w:rPr>
          <w:rFonts w:ascii="Arial" w:hAnsi="Arial" w:cs="Arial"/>
          <w:sz w:val="24"/>
          <w:szCs w:val="24"/>
        </w:rPr>
        <w:t xml:space="preserve"> A</w:t>
      </w:r>
      <w:r>
        <w:rPr>
          <w:rFonts w:ascii="Arial" w:hAnsi="Arial" w:cs="Arial"/>
          <w:sz w:val="24"/>
          <w:szCs w:val="24"/>
        </w:rPr>
        <w:t>.</w:t>
      </w:r>
      <w:r w:rsidRPr="0055737D">
        <w:rPr>
          <w:rFonts w:ascii="Arial" w:hAnsi="Arial" w:cs="Arial"/>
          <w:sz w:val="24"/>
          <w:szCs w:val="24"/>
        </w:rPr>
        <w:t xml:space="preserve"> Forster, ‘The Military Covenant and British Civil-Military Relations: Letting th</w:t>
      </w:r>
      <w:r>
        <w:rPr>
          <w:rFonts w:ascii="Arial" w:hAnsi="Arial" w:cs="Arial"/>
          <w:sz w:val="24"/>
          <w:szCs w:val="24"/>
        </w:rPr>
        <w:t>e Genie out of the Bottle’ (2012</w:t>
      </w:r>
      <w:r w:rsidRPr="0055737D">
        <w:rPr>
          <w:rFonts w:ascii="Arial" w:hAnsi="Arial" w:cs="Arial"/>
          <w:sz w:val="24"/>
          <w:szCs w:val="24"/>
        </w:rPr>
        <w:t xml:space="preserve">) </w:t>
      </w:r>
      <w:r>
        <w:rPr>
          <w:rFonts w:ascii="Arial" w:hAnsi="Arial" w:cs="Arial"/>
          <w:sz w:val="24"/>
          <w:szCs w:val="24"/>
        </w:rPr>
        <w:t xml:space="preserve">38 </w:t>
      </w:r>
      <w:r w:rsidRPr="00683AB5">
        <w:rPr>
          <w:rFonts w:ascii="Arial" w:hAnsi="Arial" w:cs="Arial"/>
          <w:i/>
          <w:sz w:val="24"/>
          <w:szCs w:val="24"/>
        </w:rPr>
        <w:t>Armed Forces and Society</w:t>
      </w:r>
      <w:r w:rsidRPr="0055737D">
        <w:rPr>
          <w:rFonts w:ascii="Arial" w:hAnsi="Arial" w:cs="Arial"/>
          <w:sz w:val="24"/>
          <w:szCs w:val="24"/>
        </w:rPr>
        <w:t xml:space="preserve"> </w:t>
      </w:r>
      <w:r>
        <w:rPr>
          <w:rFonts w:ascii="Arial" w:hAnsi="Arial" w:cs="Arial"/>
          <w:sz w:val="24"/>
          <w:szCs w:val="24"/>
        </w:rPr>
        <w:t>273</w:t>
      </w:r>
    </w:p>
  </w:footnote>
  <w:footnote w:id="171">
    <w:p w:rsidR="006456EC" w:rsidRPr="00335A73" w:rsidRDefault="006456EC" w:rsidP="00335A73">
      <w:pPr>
        <w:pStyle w:val="FootnoteText"/>
        <w:jc w:val="both"/>
        <w:rPr>
          <w:rFonts w:ascii="Arial" w:hAnsi="Arial" w:cs="Arial"/>
          <w:sz w:val="24"/>
          <w:szCs w:val="24"/>
        </w:rPr>
      </w:pPr>
      <w:r w:rsidRPr="00335A73">
        <w:rPr>
          <w:rStyle w:val="FootnoteReference"/>
          <w:rFonts w:ascii="Arial" w:hAnsi="Arial" w:cs="Arial"/>
          <w:sz w:val="24"/>
          <w:szCs w:val="24"/>
        </w:rPr>
        <w:footnoteRef/>
      </w:r>
      <w:r w:rsidRPr="00335A73">
        <w:rPr>
          <w:rFonts w:ascii="Arial" w:hAnsi="Arial" w:cs="Arial"/>
          <w:sz w:val="24"/>
          <w:szCs w:val="24"/>
        </w:rPr>
        <w:t xml:space="preserve"> </w:t>
      </w:r>
      <w:r>
        <w:rPr>
          <w:rFonts w:ascii="Arial" w:hAnsi="Arial" w:cs="Arial"/>
          <w:sz w:val="24"/>
          <w:szCs w:val="24"/>
        </w:rPr>
        <w:t>n 1</w:t>
      </w:r>
      <w:r w:rsidR="008C5395">
        <w:rPr>
          <w:rFonts w:ascii="Arial" w:hAnsi="Arial" w:cs="Arial"/>
          <w:sz w:val="24"/>
          <w:szCs w:val="24"/>
        </w:rPr>
        <w:t>61</w:t>
      </w:r>
      <w:r>
        <w:rPr>
          <w:rFonts w:ascii="Arial" w:hAnsi="Arial" w:cs="Arial"/>
          <w:sz w:val="24"/>
          <w:szCs w:val="24"/>
        </w:rPr>
        <w:t xml:space="preserve"> above</w:t>
      </w:r>
      <w:r w:rsidRPr="00335A73">
        <w:rPr>
          <w:rFonts w:ascii="Arial" w:hAnsi="Arial" w:cs="Arial"/>
          <w:sz w:val="24"/>
          <w:szCs w:val="24"/>
        </w:rPr>
        <w:t xml:space="preserve"> at 1</w:t>
      </w:r>
    </w:p>
  </w:footnote>
  <w:footnote w:id="172">
    <w:p w:rsidR="006456EC" w:rsidRDefault="006456EC" w:rsidP="00335A73">
      <w:pPr>
        <w:pStyle w:val="FootnoteText"/>
        <w:jc w:val="both"/>
      </w:pPr>
      <w:r w:rsidRPr="00335A73">
        <w:rPr>
          <w:rStyle w:val="FootnoteReference"/>
          <w:rFonts w:ascii="Arial" w:hAnsi="Arial" w:cs="Arial"/>
          <w:sz w:val="24"/>
          <w:szCs w:val="24"/>
        </w:rPr>
        <w:footnoteRef/>
      </w:r>
      <w:r>
        <w:rPr>
          <w:rFonts w:ascii="Arial" w:hAnsi="Arial" w:cs="Arial"/>
          <w:sz w:val="24"/>
          <w:szCs w:val="24"/>
        </w:rPr>
        <w:t xml:space="preserve"> ibid</w:t>
      </w:r>
      <w:r w:rsidRPr="00335A73">
        <w:rPr>
          <w:rFonts w:ascii="Arial" w:hAnsi="Arial" w:cs="Arial"/>
          <w:sz w:val="24"/>
          <w:szCs w:val="24"/>
        </w:rPr>
        <w:t xml:space="preserve"> at 9 (point 13)</w:t>
      </w:r>
    </w:p>
  </w:footnote>
  <w:footnote w:id="173">
    <w:p w:rsidR="006456EC" w:rsidRPr="00711F7A" w:rsidRDefault="006456EC" w:rsidP="00711F7A">
      <w:pPr>
        <w:pStyle w:val="FootnoteText"/>
        <w:jc w:val="both"/>
        <w:rPr>
          <w:rFonts w:ascii="Arial" w:hAnsi="Arial" w:cs="Arial"/>
          <w:sz w:val="24"/>
          <w:szCs w:val="24"/>
        </w:rPr>
      </w:pPr>
      <w:r w:rsidRPr="00711F7A">
        <w:rPr>
          <w:rStyle w:val="FootnoteReference"/>
          <w:rFonts w:ascii="Arial" w:hAnsi="Arial" w:cs="Arial"/>
          <w:sz w:val="24"/>
          <w:szCs w:val="24"/>
        </w:rPr>
        <w:footnoteRef/>
      </w:r>
      <w:r>
        <w:rPr>
          <w:rFonts w:ascii="Arial" w:hAnsi="Arial" w:cs="Arial"/>
          <w:sz w:val="24"/>
          <w:szCs w:val="24"/>
        </w:rPr>
        <w:t xml:space="preserve"> n </w:t>
      </w:r>
      <w:r w:rsidRPr="00711F7A">
        <w:rPr>
          <w:rFonts w:ascii="Arial" w:hAnsi="Arial" w:cs="Arial"/>
          <w:sz w:val="24"/>
          <w:szCs w:val="24"/>
        </w:rPr>
        <w:t>2</w:t>
      </w:r>
      <w:r>
        <w:rPr>
          <w:rFonts w:ascii="Arial" w:hAnsi="Arial" w:cs="Arial"/>
          <w:sz w:val="24"/>
          <w:szCs w:val="24"/>
        </w:rPr>
        <w:t xml:space="preserve"> above</w:t>
      </w:r>
    </w:p>
  </w:footnote>
  <w:footnote w:id="174">
    <w:p w:rsidR="006456EC" w:rsidRDefault="006456EC" w:rsidP="00711F7A">
      <w:pPr>
        <w:pStyle w:val="FootnoteText"/>
        <w:jc w:val="both"/>
      </w:pPr>
      <w:r w:rsidRPr="00711F7A">
        <w:rPr>
          <w:rStyle w:val="FootnoteReference"/>
          <w:rFonts w:ascii="Arial" w:hAnsi="Arial" w:cs="Arial"/>
          <w:sz w:val="24"/>
          <w:szCs w:val="24"/>
        </w:rPr>
        <w:footnoteRef/>
      </w:r>
      <w:r w:rsidRPr="00711F7A">
        <w:rPr>
          <w:rFonts w:ascii="Arial" w:hAnsi="Arial" w:cs="Arial"/>
          <w:sz w:val="24"/>
          <w:szCs w:val="24"/>
        </w:rPr>
        <w:t xml:space="preserve"> A</w:t>
      </w:r>
      <w:r>
        <w:rPr>
          <w:rFonts w:ascii="Arial" w:hAnsi="Arial" w:cs="Arial"/>
          <w:sz w:val="24"/>
          <w:szCs w:val="24"/>
        </w:rPr>
        <w:t>.</w:t>
      </w:r>
      <w:r w:rsidRPr="00711F7A">
        <w:rPr>
          <w:rFonts w:ascii="Arial" w:hAnsi="Arial" w:cs="Arial"/>
          <w:sz w:val="24"/>
          <w:szCs w:val="24"/>
        </w:rPr>
        <w:t xml:space="preserve"> Forster, ‘British Judicial Engagement and the Juridification of the Armed Forces’ (2012) 88 </w:t>
      </w:r>
      <w:r w:rsidRPr="00683AB5">
        <w:rPr>
          <w:rFonts w:ascii="Arial" w:hAnsi="Arial" w:cs="Arial"/>
          <w:i/>
          <w:sz w:val="24"/>
          <w:szCs w:val="24"/>
        </w:rPr>
        <w:t>International Affairs</w:t>
      </w:r>
      <w:r w:rsidRPr="00711F7A">
        <w:rPr>
          <w:rFonts w:ascii="Arial" w:hAnsi="Arial" w:cs="Arial"/>
          <w:sz w:val="24"/>
          <w:szCs w:val="24"/>
        </w:rPr>
        <w:t xml:space="preserve"> </w:t>
      </w:r>
      <w:r>
        <w:rPr>
          <w:rFonts w:ascii="Arial" w:hAnsi="Arial" w:cs="Arial"/>
          <w:sz w:val="24"/>
          <w:szCs w:val="24"/>
        </w:rPr>
        <w:t>283</w:t>
      </w:r>
    </w:p>
  </w:footnote>
  <w:footnote w:id="175">
    <w:p w:rsidR="006456EC" w:rsidRPr="00883254" w:rsidRDefault="006456EC" w:rsidP="00883254">
      <w:pPr>
        <w:pStyle w:val="FootnoteText"/>
        <w:jc w:val="both"/>
        <w:rPr>
          <w:rFonts w:ascii="Arial" w:hAnsi="Arial" w:cs="Arial"/>
          <w:sz w:val="24"/>
          <w:szCs w:val="24"/>
        </w:rPr>
      </w:pPr>
      <w:r w:rsidRPr="00883254">
        <w:rPr>
          <w:rStyle w:val="FootnoteReference"/>
          <w:rFonts w:ascii="Arial" w:hAnsi="Arial" w:cs="Arial"/>
          <w:sz w:val="24"/>
          <w:szCs w:val="24"/>
        </w:rPr>
        <w:footnoteRef/>
      </w:r>
      <w:r w:rsidRPr="00883254">
        <w:rPr>
          <w:rFonts w:ascii="Arial" w:hAnsi="Arial" w:cs="Arial"/>
          <w:sz w:val="24"/>
          <w:szCs w:val="24"/>
        </w:rPr>
        <w:t xml:space="preserve"> See for example the RAF manni</w:t>
      </w:r>
      <w:r w:rsidR="00496118">
        <w:rPr>
          <w:rFonts w:ascii="Arial" w:hAnsi="Arial" w:cs="Arial"/>
          <w:sz w:val="24"/>
          <w:szCs w:val="24"/>
        </w:rPr>
        <w:t>ng a float at Gay Pride in 2004</w:t>
      </w:r>
      <w:r w:rsidRPr="00883254">
        <w:rPr>
          <w:rFonts w:ascii="Arial" w:hAnsi="Arial" w:cs="Arial"/>
          <w:sz w:val="24"/>
          <w:szCs w:val="24"/>
        </w:rPr>
        <w:t xml:space="preserve"> at </w:t>
      </w:r>
      <w:hyperlink r:id="rId23" w:history="1">
        <w:r w:rsidRPr="00883254">
          <w:rPr>
            <w:rFonts w:ascii="Arial" w:hAnsi="Arial" w:cs="Arial"/>
            <w:color w:val="0000FF"/>
            <w:sz w:val="24"/>
            <w:szCs w:val="24"/>
            <w:u w:val="single"/>
          </w:rPr>
          <w:t>http://menmedia.co.uk/manchestereveningnews/news/s/128/128291_raf_joins_gay_parade.html</w:t>
        </w:r>
      </w:hyperlink>
      <w:r w:rsidR="00496118" w:rsidRPr="00496118">
        <w:rPr>
          <w:rFonts w:ascii="Arial" w:hAnsi="Arial" w:cs="Arial"/>
          <w:sz w:val="24"/>
          <w:szCs w:val="24"/>
        </w:rPr>
        <w:t xml:space="preserve"> </w:t>
      </w:r>
      <w:r w:rsidR="00496118">
        <w:rPr>
          <w:rFonts w:ascii="Arial" w:hAnsi="Arial" w:cs="Arial"/>
          <w:sz w:val="24"/>
          <w:szCs w:val="24"/>
        </w:rPr>
        <w:t>(last visited 15 March 2012), the  Army marching in 2005</w:t>
      </w:r>
      <w:r w:rsidRPr="00883254">
        <w:rPr>
          <w:rFonts w:ascii="Arial" w:hAnsi="Arial" w:cs="Arial"/>
          <w:sz w:val="24"/>
          <w:szCs w:val="24"/>
        </w:rPr>
        <w:t xml:space="preserve"> at </w:t>
      </w:r>
      <w:hyperlink r:id="rId24" w:history="1">
        <w:r w:rsidRPr="00883254">
          <w:rPr>
            <w:rFonts w:ascii="Arial" w:hAnsi="Arial" w:cs="Arial"/>
            <w:color w:val="0000FF"/>
            <w:sz w:val="24"/>
            <w:szCs w:val="24"/>
            <w:u w:val="single"/>
          </w:rPr>
          <w:t>http://www.proud2serve.net/news-a-updates/432-aug-05-british-army-participates-in-first-gay-pride-parade</w:t>
        </w:r>
      </w:hyperlink>
      <w:r w:rsidR="00496118" w:rsidRPr="00496118">
        <w:rPr>
          <w:rFonts w:ascii="Arial" w:hAnsi="Arial" w:cs="Arial"/>
          <w:sz w:val="24"/>
          <w:szCs w:val="24"/>
        </w:rPr>
        <w:t xml:space="preserve"> </w:t>
      </w:r>
      <w:r w:rsidR="00496118">
        <w:rPr>
          <w:rFonts w:ascii="Arial" w:hAnsi="Arial" w:cs="Arial"/>
          <w:sz w:val="24"/>
          <w:szCs w:val="24"/>
        </w:rPr>
        <w:t>(last visited 15 March 2012)</w:t>
      </w:r>
      <w:r w:rsidRPr="00883254">
        <w:rPr>
          <w:rFonts w:ascii="Arial" w:hAnsi="Arial" w:cs="Arial"/>
          <w:sz w:val="24"/>
          <w:szCs w:val="24"/>
        </w:rPr>
        <w:t xml:space="preserve"> the Royal Navy in 2006</w:t>
      </w:r>
      <w:r w:rsidR="00496118">
        <w:rPr>
          <w:rFonts w:ascii="Arial" w:hAnsi="Arial" w:cs="Arial"/>
          <w:sz w:val="24"/>
          <w:szCs w:val="24"/>
        </w:rPr>
        <w:t xml:space="preserve"> at</w:t>
      </w:r>
      <w:r w:rsidRPr="00883254">
        <w:rPr>
          <w:rFonts w:ascii="Arial" w:hAnsi="Arial" w:cs="Arial"/>
          <w:sz w:val="24"/>
          <w:szCs w:val="24"/>
        </w:rPr>
        <w:t xml:space="preserve"> </w:t>
      </w:r>
      <w:hyperlink r:id="rId25" w:history="1">
        <w:r w:rsidRPr="00883254">
          <w:rPr>
            <w:rFonts w:ascii="Arial" w:hAnsi="Arial" w:cs="Arial"/>
            <w:color w:val="0000FF"/>
            <w:sz w:val="24"/>
            <w:szCs w:val="24"/>
            <w:u w:val="single"/>
          </w:rPr>
          <w:t>http://www.proud2serve.net/military-news/146-jul-06-royal-navy-parades-for-europride</w:t>
        </w:r>
      </w:hyperlink>
      <w:r w:rsidR="00496118" w:rsidRPr="00496118">
        <w:rPr>
          <w:rFonts w:ascii="Arial" w:hAnsi="Arial" w:cs="Arial"/>
          <w:sz w:val="24"/>
          <w:szCs w:val="24"/>
        </w:rPr>
        <w:t xml:space="preserve"> </w:t>
      </w:r>
      <w:r w:rsidR="00496118">
        <w:rPr>
          <w:rFonts w:ascii="Arial" w:hAnsi="Arial" w:cs="Arial"/>
          <w:sz w:val="24"/>
          <w:szCs w:val="24"/>
        </w:rPr>
        <w:t>(last visited 15 March 2012).</w:t>
      </w:r>
      <w:r w:rsidRPr="00883254">
        <w:rPr>
          <w:rFonts w:ascii="Arial" w:hAnsi="Arial" w:cs="Arial"/>
          <w:sz w:val="24"/>
          <w:szCs w:val="24"/>
        </w:rPr>
        <w:t xml:space="preserve"> Since 2006 the Royal Navy has been allowed to wear full dress uniform and the RAF and Army from 2008</w:t>
      </w:r>
    </w:p>
  </w:footnote>
  <w:footnote w:id="176">
    <w:p w:rsidR="006456EC" w:rsidRPr="002B0CCC" w:rsidRDefault="006456EC" w:rsidP="00777B23">
      <w:pPr>
        <w:pStyle w:val="FootnoteText"/>
        <w:jc w:val="both"/>
        <w:rPr>
          <w:rFonts w:ascii="Arial" w:hAnsi="Arial" w:cs="Arial"/>
          <w:sz w:val="24"/>
          <w:szCs w:val="24"/>
        </w:rPr>
      </w:pPr>
      <w:r w:rsidRPr="00777B23">
        <w:rPr>
          <w:rStyle w:val="FootnoteReference"/>
          <w:rFonts w:ascii="Arial" w:hAnsi="Arial" w:cs="Arial"/>
          <w:sz w:val="24"/>
          <w:szCs w:val="24"/>
        </w:rPr>
        <w:footnoteRef/>
      </w:r>
      <w:r w:rsidRPr="00777B23">
        <w:rPr>
          <w:rFonts w:ascii="Arial" w:hAnsi="Arial" w:cs="Arial"/>
          <w:sz w:val="24"/>
          <w:szCs w:val="24"/>
        </w:rPr>
        <w:t xml:space="preserve"> See E</w:t>
      </w:r>
      <w:r>
        <w:rPr>
          <w:rFonts w:ascii="Arial" w:hAnsi="Arial" w:cs="Arial"/>
          <w:sz w:val="24"/>
          <w:szCs w:val="24"/>
        </w:rPr>
        <w:t>.</w:t>
      </w:r>
      <w:r w:rsidRPr="00777B23">
        <w:rPr>
          <w:rFonts w:ascii="Arial" w:hAnsi="Arial" w:cs="Arial"/>
          <w:sz w:val="24"/>
          <w:szCs w:val="24"/>
        </w:rPr>
        <w:t xml:space="preserve"> Reuter, ‘Second Class Citizen Soldiers: A Proposal for Greater First Amendment Protections for America’s Military Personnel’ (2007) 16 </w:t>
      </w:r>
      <w:r w:rsidRPr="00683AB5">
        <w:rPr>
          <w:rFonts w:ascii="Arial" w:hAnsi="Arial" w:cs="Arial"/>
          <w:i/>
          <w:sz w:val="24"/>
          <w:szCs w:val="24"/>
        </w:rPr>
        <w:t xml:space="preserve">William </w:t>
      </w:r>
      <w:r>
        <w:rPr>
          <w:rFonts w:ascii="Arial" w:hAnsi="Arial" w:cs="Arial"/>
          <w:i/>
          <w:sz w:val="24"/>
          <w:szCs w:val="24"/>
        </w:rPr>
        <w:t>and</w:t>
      </w:r>
      <w:r w:rsidRPr="00683AB5">
        <w:rPr>
          <w:rFonts w:ascii="Arial" w:hAnsi="Arial" w:cs="Arial"/>
          <w:i/>
          <w:sz w:val="24"/>
          <w:szCs w:val="24"/>
        </w:rPr>
        <w:t xml:space="preserve"> Mary Bill of Rights Journal</w:t>
      </w:r>
      <w:r w:rsidRPr="00777B23">
        <w:rPr>
          <w:rFonts w:ascii="Arial" w:hAnsi="Arial" w:cs="Arial"/>
          <w:sz w:val="24"/>
          <w:szCs w:val="24"/>
        </w:rPr>
        <w:t xml:space="preserve"> 315</w:t>
      </w:r>
      <w:r>
        <w:rPr>
          <w:rFonts w:ascii="Arial" w:hAnsi="Arial" w:cs="Arial"/>
          <w:sz w:val="24"/>
          <w:szCs w:val="24"/>
        </w:rPr>
        <w:t xml:space="preserve"> and D.M. Iskra, </w:t>
      </w:r>
      <w:r>
        <w:rPr>
          <w:rFonts w:ascii="Arial" w:hAnsi="Arial" w:cs="Arial"/>
          <w:i/>
          <w:sz w:val="24"/>
          <w:szCs w:val="24"/>
        </w:rPr>
        <w:t>Women in the United States Armed Forces: A Guide to the Issues</w:t>
      </w:r>
      <w:r>
        <w:rPr>
          <w:rFonts w:ascii="Arial" w:hAnsi="Arial" w:cs="Arial"/>
          <w:sz w:val="24"/>
          <w:szCs w:val="24"/>
        </w:rPr>
        <w:t xml:space="preserve"> (Oxford, </w:t>
      </w:r>
      <w:proofErr w:type="spellStart"/>
      <w:r>
        <w:rPr>
          <w:rFonts w:ascii="Arial" w:hAnsi="Arial" w:cs="Arial"/>
          <w:sz w:val="24"/>
          <w:szCs w:val="24"/>
        </w:rPr>
        <w:t>Praeger</w:t>
      </w:r>
      <w:proofErr w:type="spellEnd"/>
      <w:r>
        <w:rPr>
          <w:rFonts w:ascii="Arial" w:hAnsi="Arial" w:cs="Arial"/>
          <w:sz w:val="24"/>
          <w:szCs w:val="24"/>
        </w:rPr>
        <w:t>, 2010) chapter 3</w:t>
      </w:r>
    </w:p>
  </w:footnote>
  <w:footnote w:id="177">
    <w:p w:rsidR="006456EC" w:rsidRPr="00496118" w:rsidRDefault="006456EC" w:rsidP="002B0CCC">
      <w:pPr>
        <w:pStyle w:val="FootnoteText"/>
        <w:jc w:val="both"/>
        <w:rPr>
          <w:rFonts w:ascii="Arial" w:hAnsi="Arial" w:cs="Arial"/>
          <w:sz w:val="24"/>
          <w:szCs w:val="24"/>
        </w:rPr>
      </w:pPr>
      <w:r w:rsidRPr="002B0CCC">
        <w:rPr>
          <w:rStyle w:val="FootnoteReference"/>
          <w:rFonts w:ascii="Arial" w:hAnsi="Arial" w:cs="Arial"/>
          <w:sz w:val="24"/>
          <w:szCs w:val="24"/>
        </w:rPr>
        <w:footnoteRef/>
      </w:r>
      <w:r w:rsidRPr="002B0CCC">
        <w:rPr>
          <w:rFonts w:ascii="Arial" w:hAnsi="Arial" w:cs="Arial"/>
          <w:sz w:val="24"/>
          <w:szCs w:val="24"/>
        </w:rPr>
        <w:t xml:space="preserve"> A</w:t>
      </w:r>
      <w:r>
        <w:rPr>
          <w:rFonts w:ascii="Arial" w:hAnsi="Arial" w:cs="Arial"/>
          <w:sz w:val="24"/>
          <w:szCs w:val="24"/>
        </w:rPr>
        <w:t>.</w:t>
      </w:r>
      <w:r w:rsidRPr="002B0CCC">
        <w:rPr>
          <w:rFonts w:ascii="Arial" w:hAnsi="Arial" w:cs="Arial"/>
          <w:sz w:val="24"/>
          <w:szCs w:val="24"/>
        </w:rPr>
        <w:t xml:space="preserve"> </w:t>
      </w:r>
      <w:proofErr w:type="spellStart"/>
      <w:r w:rsidRPr="002B0CCC">
        <w:rPr>
          <w:rFonts w:ascii="Arial" w:hAnsi="Arial" w:cs="Arial"/>
          <w:sz w:val="24"/>
          <w:szCs w:val="24"/>
        </w:rPr>
        <w:t>Evertson</w:t>
      </w:r>
      <w:proofErr w:type="spellEnd"/>
      <w:r w:rsidRPr="002B0CCC">
        <w:rPr>
          <w:rFonts w:ascii="Arial" w:hAnsi="Arial" w:cs="Arial"/>
          <w:sz w:val="24"/>
          <w:szCs w:val="24"/>
        </w:rPr>
        <w:t>, A</w:t>
      </w:r>
      <w:r>
        <w:rPr>
          <w:rFonts w:ascii="Arial" w:hAnsi="Arial" w:cs="Arial"/>
          <w:sz w:val="24"/>
          <w:szCs w:val="24"/>
        </w:rPr>
        <w:t>.</w:t>
      </w:r>
      <w:r w:rsidRPr="002B0CCC">
        <w:rPr>
          <w:rFonts w:ascii="Arial" w:hAnsi="Arial" w:cs="Arial"/>
          <w:sz w:val="24"/>
          <w:szCs w:val="24"/>
        </w:rPr>
        <w:t xml:space="preserve"> Nesbitt, ‘The Glass Ceiling Effect and Its Impact on Mid-Level Female Officer Career Progression in the United States Marine Corps and Air Force’ unpublished MSc and MBA thesis</w:t>
      </w:r>
      <w:r w:rsidR="00496118">
        <w:rPr>
          <w:rFonts w:ascii="Arial" w:hAnsi="Arial" w:cs="Arial"/>
          <w:sz w:val="24"/>
          <w:szCs w:val="24"/>
        </w:rPr>
        <w:t xml:space="preserve"> Naval Postgraduate School 2004</w:t>
      </w:r>
      <w:r w:rsidRPr="002B0CCC">
        <w:rPr>
          <w:rFonts w:ascii="Arial" w:hAnsi="Arial" w:cs="Arial"/>
          <w:sz w:val="24"/>
          <w:szCs w:val="24"/>
        </w:rPr>
        <w:t xml:space="preserve"> at </w:t>
      </w:r>
      <w:hyperlink r:id="rId26" w:history="1">
        <w:r w:rsidRPr="002B0CCC">
          <w:rPr>
            <w:rFonts w:ascii="Arial" w:hAnsi="Arial" w:cs="Arial"/>
            <w:color w:val="0000FF"/>
            <w:sz w:val="24"/>
            <w:szCs w:val="24"/>
            <w:u w:val="single"/>
          </w:rPr>
          <w:t>http://www.dtic.mil/cgi-bin/GetTRDoc?Location=U2&amp;doc=GetTRDoc.pdf&amp;AD=ADA422296</w:t>
        </w:r>
      </w:hyperlink>
      <w:r w:rsidR="00496118">
        <w:rPr>
          <w:rFonts w:ascii="Arial" w:hAnsi="Arial" w:cs="Arial"/>
          <w:color w:val="0000FF"/>
          <w:sz w:val="24"/>
          <w:szCs w:val="24"/>
        </w:rPr>
        <w:t xml:space="preserve"> </w:t>
      </w:r>
      <w:r w:rsidR="00496118">
        <w:rPr>
          <w:rFonts w:ascii="Arial" w:hAnsi="Arial" w:cs="Arial"/>
          <w:sz w:val="24"/>
          <w:szCs w:val="24"/>
        </w:rPr>
        <w:t>(last visited 15 March 2012)</w:t>
      </w:r>
    </w:p>
  </w:footnote>
  <w:footnote w:id="178">
    <w:p w:rsidR="006456EC" w:rsidRPr="00EB6338" w:rsidRDefault="006456EC" w:rsidP="00EB6338">
      <w:pPr>
        <w:pStyle w:val="FootnoteText"/>
        <w:jc w:val="both"/>
        <w:rPr>
          <w:rFonts w:ascii="Arial" w:hAnsi="Arial" w:cs="Arial"/>
          <w:sz w:val="24"/>
          <w:szCs w:val="24"/>
        </w:rPr>
      </w:pPr>
      <w:r w:rsidRPr="00EB6338">
        <w:rPr>
          <w:rStyle w:val="FootnoteReference"/>
          <w:rFonts w:ascii="Arial" w:hAnsi="Arial" w:cs="Arial"/>
          <w:sz w:val="24"/>
          <w:szCs w:val="24"/>
        </w:rPr>
        <w:footnoteRef/>
      </w:r>
      <w:r w:rsidRPr="00EB6338">
        <w:rPr>
          <w:rFonts w:ascii="Arial" w:hAnsi="Arial" w:cs="Arial"/>
          <w:sz w:val="24"/>
          <w:szCs w:val="24"/>
        </w:rPr>
        <w:t xml:space="preserve"> E</w:t>
      </w:r>
      <w:r>
        <w:rPr>
          <w:rFonts w:ascii="Arial" w:hAnsi="Arial" w:cs="Arial"/>
          <w:sz w:val="24"/>
          <w:szCs w:val="24"/>
        </w:rPr>
        <w:t>.</w:t>
      </w:r>
      <w:r w:rsidRPr="00EB6338">
        <w:rPr>
          <w:rFonts w:ascii="Arial" w:hAnsi="Arial" w:cs="Arial"/>
          <w:sz w:val="24"/>
          <w:szCs w:val="24"/>
        </w:rPr>
        <w:t xml:space="preserve"> Ellis, </w:t>
      </w:r>
      <w:r w:rsidRPr="00EB6338">
        <w:rPr>
          <w:rFonts w:ascii="Arial" w:hAnsi="Arial" w:cs="Arial"/>
          <w:i/>
          <w:sz w:val="24"/>
          <w:szCs w:val="24"/>
        </w:rPr>
        <w:t>EU Anti-Discrimination Law</w:t>
      </w:r>
      <w:r w:rsidRPr="00EB6338">
        <w:rPr>
          <w:rFonts w:ascii="Arial" w:hAnsi="Arial" w:cs="Arial"/>
          <w:sz w:val="24"/>
          <w:szCs w:val="24"/>
        </w:rPr>
        <w:t xml:space="preserve"> (Oxford</w:t>
      </w:r>
      <w:r>
        <w:rPr>
          <w:rFonts w:ascii="Arial" w:hAnsi="Arial" w:cs="Arial"/>
          <w:sz w:val="24"/>
          <w:szCs w:val="24"/>
        </w:rPr>
        <w:t>:</w:t>
      </w:r>
      <w:r w:rsidRPr="00EB6338">
        <w:rPr>
          <w:rFonts w:ascii="Arial" w:hAnsi="Arial" w:cs="Arial"/>
          <w:sz w:val="24"/>
          <w:szCs w:val="24"/>
        </w:rPr>
        <w:t xml:space="preserve"> OUP, 2005) 281</w:t>
      </w:r>
    </w:p>
  </w:footnote>
  <w:footnote w:id="179">
    <w:p w:rsidR="006456EC" w:rsidRPr="00E60085" w:rsidRDefault="006456EC" w:rsidP="00E60085">
      <w:pPr>
        <w:pStyle w:val="FootnoteText"/>
        <w:jc w:val="both"/>
        <w:rPr>
          <w:rFonts w:ascii="Arial" w:hAnsi="Arial" w:cs="Arial"/>
          <w:sz w:val="24"/>
          <w:szCs w:val="24"/>
        </w:rPr>
      </w:pPr>
      <w:r w:rsidRPr="00E60085">
        <w:rPr>
          <w:rStyle w:val="FootnoteReference"/>
          <w:rFonts w:ascii="Arial" w:hAnsi="Arial" w:cs="Arial"/>
          <w:sz w:val="24"/>
          <w:szCs w:val="24"/>
        </w:rPr>
        <w:footnoteRef/>
      </w:r>
      <w:r w:rsidRPr="00E60085">
        <w:rPr>
          <w:rFonts w:ascii="Arial" w:hAnsi="Arial" w:cs="Arial"/>
          <w:sz w:val="24"/>
          <w:szCs w:val="24"/>
        </w:rPr>
        <w:t xml:space="preserve"> Case C-186/01 </w:t>
      </w:r>
      <w:r w:rsidRPr="007C6283">
        <w:rPr>
          <w:rFonts w:ascii="Arial" w:hAnsi="Arial" w:cs="Arial"/>
          <w:i/>
          <w:sz w:val="24"/>
          <w:szCs w:val="24"/>
        </w:rPr>
        <w:t>Dory v Germany</w:t>
      </w:r>
      <w:r w:rsidRPr="00E60085">
        <w:rPr>
          <w:rFonts w:ascii="Arial" w:hAnsi="Arial" w:cs="Arial"/>
          <w:sz w:val="24"/>
          <w:szCs w:val="24"/>
        </w:rPr>
        <w:t xml:space="preserve"> [2003] ECR I-2479 in which the German policy of confining military service only to men was challenged</w:t>
      </w:r>
    </w:p>
  </w:footnote>
  <w:footnote w:id="180">
    <w:p w:rsidR="006456EC" w:rsidRPr="000C60C1" w:rsidRDefault="006456EC" w:rsidP="000C60C1">
      <w:pPr>
        <w:pStyle w:val="FootnoteText"/>
        <w:jc w:val="both"/>
        <w:rPr>
          <w:rFonts w:ascii="Arial" w:hAnsi="Arial" w:cs="Arial"/>
          <w:sz w:val="24"/>
          <w:szCs w:val="24"/>
        </w:rPr>
      </w:pPr>
      <w:r w:rsidRPr="000C60C1">
        <w:rPr>
          <w:rStyle w:val="FootnoteReference"/>
          <w:rFonts w:ascii="Arial" w:hAnsi="Arial" w:cs="Arial"/>
          <w:sz w:val="24"/>
          <w:szCs w:val="24"/>
        </w:rPr>
        <w:footnoteRef/>
      </w:r>
      <w:r w:rsidR="008C5395">
        <w:rPr>
          <w:rFonts w:ascii="Arial" w:hAnsi="Arial" w:cs="Arial"/>
          <w:sz w:val="24"/>
          <w:szCs w:val="24"/>
        </w:rPr>
        <w:t xml:space="preserve"> n 105</w:t>
      </w:r>
      <w:r>
        <w:rPr>
          <w:rFonts w:ascii="Arial" w:hAnsi="Arial" w:cs="Arial"/>
          <w:sz w:val="24"/>
          <w:szCs w:val="24"/>
        </w:rPr>
        <w:t xml:space="preserve"> above</w:t>
      </w:r>
      <w:r w:rsidRPr="000C60C1">
        <w:rPr>
          <w:rFonts w:ascii="Arial" w:hAnsi="Arial" w:cs="Arial"/>
          <w:sz w:val="24"/>
          <w:szCs w:val="24"/>
        </w:rPr>
        <w:t xml:space="preserve"> Qualitative Report at 34</w:t>
      </w:r>
    </w:p>
  </w:footnote>
  <w:footnote w:id="181">
    <w:p w:rsidR="006456EC" w:rsidRDefault="006456EC" w:rsidP="000C60C1">
      <w:pPr>
        <w:pStyle w:val="FootnoteText"/>
        <w:jc w:val="both"/>
      </w:pPr>
      <w:r w:rsidRPr="000C60C1">
        <w:rPr>
          <w:rStyle w:val="FootnoteReference"/>
          <w:rFonts w:ascii="Arial" w:hAnsi="Arial" w:cs="Arial"/>
          <w:sz w:val="24"/>
          <w:szCs w:val="24"/>
        </w:rPr>
        <w:footnoteRef/>
      </w:r>
      <w:r w:rsidRPr="000C60C1">
        <w:rPr>
          <w:rFonts w:ascii="Arial" w:hAnsi="Arial" w:cs="Arial"/>
          <w:sz w:val="24"/>
          <w:szCs w:val="24"/>
        </w:rPr>
        <w:t xml:space="preserve"> The author served in HMS Invincible in 1990, the first ship on which women served at sea, and heard many arguments similar to these</w:t>
      </w:r>
      <w:r>
        <w:rPr>
          <w:rFonts w:ascii="Arial" w:hAnsi="Arial" w:cs="Arial"/>
          <w:sz w:val="24"/>
          <w:szCs w:val="24"/>
        </w:rPr>
        <w:t xml:space="preserve"> before they joined</w:t>
      </w:r>
      <w:r w:rsidRPr="000C60C1">
        <w:rPr>
          <w:rFonts w:ascii="Arial" w:hAnsi="Arial" w:cs="Arial"/>
          <w:sz w:val="24"/>
          <w:szCs w:val="24"/>
        </w:rPr>
        <w:t xml:space="preserve">. Interestingly when the author returned to sea in HMS Cardiff </w:t>
      </w:r>
      <w:r>
        <w:rPr>
          <w:rFonts w:ascii="Arial" w:hAnsi="Arial" w:cs="Arial"/>
          <w:sz w:val="24"/>
          <w:szCs w:val="24"/>
        </w:rPr>
        <w:t xml:space="preserve"> in 1993 </w:t>
      </w:r>
      <w:r w:rsidRPr="000C60C1">
        <w:rPr>
          <w:rFonts w:ascii="Arial" w:hAnsi="Arial" w:cs="Arial"/>
          <w:sz w:val="24"/>
          <w:szCs w:val="24"/>
        </w:rPr>
        <w:t>following flying training, women were totally integrated and accepted as members of the crew</w:t>
      </w:r>
    </w:p>
  </w:footnote>
  <w:footnote w:id="182">
    <w:p w:rsidR="006456EC" w:rsidRPr="00AF71C4" w:rsidRDefault="006456EC" w:rsidP="00AF71C4">
      <w:pPr>
        <w:pStyle w:val="FootnoteText"/>
        <w:jc w:val="both"/>
        <w:rPr>
          <w:rFonts w:ascii="Arial" w:hAnsi="Arial" w:cs="Arial"/>
          <w:sz w:val="24"/>
          <w:szCs w:val="24"/>
        </w:rPr>
      </w:pPr>
      <w:r w:rsidRPr="00AF71C4">
        <w:rPr>
          <w:rStyle w:val="FootnoteReference"/>
          <w:rFonts w:ascii="Arial" w:hAnsi="Arial" w:cs="Arial"/>
          <w:sz w:val="24"/>
          <w:szCs w:val="24"/>
        </w:rPr>
        <w:footnoteRef/>
      </w:r>
      <w:r w:rsidR="008C5395">
        <w:rPr>
          <w:rFonts w:ascii="Arial" w:hAnsi="Arial" w:cs="Arial"/>
          <w:sz w:val="24"/>
          <w:szCs w:val="24"/>
        </w:rPr>
        <w:t xml:space="preserve"> n 103</w:t>
      </w:r>
      <w:r>
        <w:rPr>
          <w:rFonts w:ascii="Arial" w:hAnsi="Arial" w:cs="Arial"/>
          <w:sz w:val="24"/>
          <w:szCs w:val="24"/>
        </w:rPr>
        <w:t xml:space="preserve"> above</w:t>
      </w:r>
    </w:p>
  </w:footnote>
  <w:footnote w:id="183">
    <w:p w:rsidR="006456EC" w:rsidRPr="00AF71C4" w:rsidRDefault="006456EC" w:rsidP="00AF71C4">
      <w:pPr>
        <w:pStyle w:val="FootnoteText"/>
        <w:jc w:val="both"/>
        <w:rPr>
          <w:rFonts w:ascii="Arial" w:hAnsi="Arial" w:cs="Arial"/>
          <w:sz w:val="24"/>
          <w:szCs w:val="24"/>
        </w:rPr>
      </w:pPr>
      <w:r w:rsidRPr="00AF71C4">
        <w:rPr>
          <w:rStyle w:val="FootnoteReference"/>
          <w:rFonts w:ascii="Arial" w:hAnsi="Arial" w:cs="Arial"/>
          <w:sz w:val="24"/>
          <w:szCs w:val="24"/>
        </w:rPr>
        <w:footnoteRef/>
      </w:r>
      <w:r w:rsidR="008C5395">
        <w:rPr>
          <w:rFonts w:ascii="Arial" w:hAnsi="Arial" w:cs="Arial"/>
          <w:sz w:val="24"/>
          <w:szCs w:val="24"/>
        </w:rPr>
        <w:t xml:space="preserve"> n 105</w:t>
      </w:r>
      <w:r>
        <w:rPr>
          <w:rFonts w:ascii="Arial" w:hAnsi="Arial" w:cs="Arial"/>
          <w:sz w:val="24"/>
          <w:szCs w:val="24"/>
        </w:rPr>
        <w:t xml:space="preserve"> above</w:t>
      </w:r>
      <w:r w:rsidRPr="00AF71C4">
        <w:rPr>
          <w:rFonts w:ascii="Arial" w:hAnsi="Arial" w:cs="Arial"/>
          <w:sz w:val="24"/>
          <w:szCs w:val="24"/>
        </w:rPr>
        <w:t xml:space="preserve"> Qualitative Report at 35</w:t>
      </w:r>
    </w:p>
  </w:footnote>
  <w:footnote w:id="184">
    <w:p w:rsidR="006456EC" w:rsidRPr="00AF71C4" w:rsidRDefault="006456EC" w:rsidP="00AF71C4">
      <w:pPr>
        <w:pStyle w:val="FootnoteText"/>
        <w:jc w:val="both"/>
        <w:rPr>
          <w:rFonts w:ascii="Arial" w:hAnsi="Arial" w:cs="Arial"/>
          <w:sz w:val="24"/>
          <w:szCs w:val="24"/>
        </w:rPr>
      </w:pPr>
      <w:r w:rsidRPr="00AF71C4">
        <w:rPr>
          <w:rStyle w:val="FootnoteReference"/>
          <w:rFonts w:ascii="Arial" w:hAnsi="Arial" w:cs="Arial"/>
          <w:sz w:val="24"/>
          <w:szCs w:val="24"/>
        </w:rPr>
        <w:footnoteRef/>
      </w:r>
      <w:r w:rsidR="008C5395">
        <w:rPr>
          <w:rFonts w:ascii="Arial" w:hAnsi="Arial" w:cs="Arial"/>
          <w:sz w:val="24"/>
          <w:szCs w:val="24"/>
        </w:rPr>
        <w:t xml:space="preserve"> n 105</w:t>
      </w:r>
      <w:r>
        <w:rPr>
          <w:rFonts w:ascii="Arial" w:hAnsi="Arial" w:cs="Arial"/>
          <w:sz w:val="24"/>
          <w:szCs w:val="24"/>
        </w:rPr>
        <w:t xml:space="preserve"> above</w:t>
      </w:r>
      <w:r w:rsidRPr="00AF71C4">
        <w:rPr>
          <w:rFonts w:ascii="Arial" w:hAnsi="Arial" w:cs="Arial"/>
          <w:sz w:val="24"/>
          <w:szCs w:val="24"/>
        </w:rPr>
        <w:t xml:space="preserve"> Quantitative Report at 40</w:t>
      </w:r>
    </w:p>
  </w:footnote>
  <w:footnote w:id="185">
    <w:p w:rsidR="006456EC" w:rsidRPr="00AF71C4" w:rsidRDefault="006456EC" w:rsidP="00AF71C4">
      <w:pPr>
        <w:pStyle w:val="FootnoteText"/>
        <w:jc w:val="both"/>
        <w:rPr>
          <w:rFonts w:ascii="Arial" w:hAnsi="Arial" w:cs="Arial"/>
          <w:sz w:val="24"/>
          <w:szCs w:val="24"/>
        </w:rPr>
      </w:pPr>
      <w:r w:rsidRPr="00AF71C4">
        <w:rPr>
          <w:rStyle w:val="FootnoteReference"/>
          <w:rFonts w:ascii="Arial" w:hAnsi="Arial" w:cs="Arial"/>
          <w:sz w:val="24"/>
          <w:szCs w:val="24"/>
        </w:rPr>
        <w:footnoteRef/>
      </w:r>
      <w:r>
        <w:rPr>
          <w:rFonts w:ascii="Arial" w:hAnsi="Arial" w:cs="Arial"/>
          <w:sz w:val="24"/>
          <w:szCs w:val="24"/>
        </w:rPr>
        <w:t xml:space="preserve"> ibid</w:t>
      </w:r>
    </w:p>
  </w:footnote>
  <w:footnote w:id="186">
    <w:p w:rsidR="006456EC" w:rsidRDefault="006456EC" w:rsidP="00AF71C4">
      <w:pPr>
        <w:pStyle w:val="FootnoteText"/>
        <w:jc w:val="both"/>
      </w:pPr>
      <w:r w:rsidRPr="00AF71C4">
        <w:rPr>
          <w:rStyle w:val="FootnoteReference"/>
          <w:rFonts w:ascii="Arial" w:hAnsi="Arial" w:cs="Arial"/>
          <w:sz w:val="24"/>
          <w:szCs w:val="24"/>
        </w:rPr>
        <w:footnoteRef/>
      </w:r>
      <w:r>
        <w:rPr>
          <w:rFonts w:ascii="Arial" w:hAnsi="Arial" w:cs="Arial"/>
          <w:sz w:val="24"/>
          <w:szCs w:val="24"/>
        </w:rPr>
        <w:t xml:space="preserve"> ibid</w:t>
      </w:r>
      <w:r w:rsidRPr="00AF71C4">
        <w:rPr>
          <w:rFonts w:ascii="Arial" w:hAnsi="Arial" w:cs="Arial"/>
          <w:sz w:val="24"/>
          <w:szCs w:val="24"/>
        </w:rPr>
        <w:t xml:space="preserve"> at 43</w:t>
      </w:r>
    </w:p>
  </w:footnote>
  <w:footnote w:id="187">
    <w:p w:rsidR="006456EC" w:rsidRPr="002634E6" w:rsidRDefault="006456EC" w:rsidP="002634E6">
      <w:pPr>
        <w:pStyle w:val="FootnoteText"/>
        <w:jc w:val="both"/>
        <w:rPr>
          <w:rFonts w:ascii="Arial" w:hAnsi="Arial" w:cs="Arial"/>
          <w:sz w:val="24"/>
          <w:szCs w:val="24"/>
        </w:rPr>
      </w:pPr>
      <w:r w:rsidRPr="002634E6">
        <w:rPr>
          <w:rStyle w:val="FootnoteReference"/>
          <w:rFonts w:ascii="Arial" w:hAnsi="Arial" w:cs="Arial"/>
          <w:sz w:val="24"/>
          <w:szCs w:val="24"/>
        </w:rPr>
        <w:footnoteRef/>
      </w:r>
      <w:r w:rsidRPr="002634E6">
        <w:rPr>
          <w:rFonts w:ascii="Arial" w:hAnsi="Arial" w:cs="Arial"/>
          <w:sz w:val="24"/>
          <w:szCs w:val="24"/>
        </w:rPr>
        <w:t xml:space="preserve"> </w:t>
      </w:r>
      <w:r>
        <w:rPr>
          <w:rFonts w:ascii="Arial" w:hAnsi="Arial" w:cs="Arial"/>
          <w:sz w:val="24"/>
          <w:szCs w:val="24"/>
        </w:rPr>
        <w:t>n 1</w:t>
      </w:r>
      <w:r w:rsidR="008C5395">
        <w:rPr>
          <w:rFonts w:ascii="Arial" w:hAnsi="Arial" w:cs="Arial"/>
          <w:sz w:val="24"/>
          <w:szCs w:val="24"/>
        </w:rPr>
        <w:t>61</w:t>
      </w:r>
      <w:r>
        <w:rPr>
          <w:rFonts w:ascii="Arial" w:hAnsi="Arial" w:cs="Arial"/>
          <w:sz w:val="24"/>
          <w:szCs w:val="24"/>
        </w:rPr>
        <w:t xml:space="preserve"> above </w:t>
      </w:r>
      <w:r w:rsidRPr="002634E6">
        <w:rPr>
          <w:rFonts w:ascii="Arial" w:hAnsi="Arial" w:cs="Arial"/>
          <w:sz w:val="24"/>
          <w:szCs w:val="24"/>
        </w:rPr>
        <w:t>at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777"/>
    <w:multiLevelType w:val="hybridMultilevel"/>
    <w:tmpl w:val="B9A21B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13A7F9F"/>
    <w:multiLevelType w:val="hybridMultilevel"/>
    <w:tmpl w:val="53BA5B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9D301D0"/>
    <w:multiLevelType w:val="multilevel"/>
    <w:tmpl w:val="556ED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CE6582"/>
    <w:multiLevelType w:val="hybridMultilevel"/>
    <w:tmpl w:val="33E40DE8"/>
    <w:lvl w:ilvl="0" w:tplc="8208F67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0B1867"/>
    <w:multiLevelType w:val="hybridMultilevel"/>
    <w:tmpl w:val="832C9930"/>
    <w:lvl w:ilvl="0" w:tplc="45A8CEC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61C39B4"/>
    <w:multiLevelType w:val="hybridMultilevel"/>
    <w:tmpl w:val="9CC83E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1E6728A"/>
    <w:multiLevelType w:val="hybridMultilevel"/>
    <w:tmpl w:val="CF5A34C6"/>
    <w:lvl w:ilvl="0" w:tplc="7528F67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D50F0A"/>
    <w:multiLevelType w:val="multilevel"/>
    <w:tmpl w:val="4B324F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8223B09"/>
    <w:multiLevelType w:val="hybridMultilevel"/>
    <w:tmpl w:val="37169B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A6455F"/>
    <w:multiLevelType w:val="multilevel"/>
    <w:tmpl w:val="055AA2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4616E7C"/>
    <w:multiLevelType w:val="hybridMultilevel"/>
    <w:tmpl w:val="12A2410E"/>
    <w:lvl w:ilvl="0" w:tplc="8716F29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4"/>
  </w:num>
  <w:num w:numId="6">
    <w:abstractNumId w:val="2"/>
  </w:num>
  <w:num w:numId="7">
    <w:abstractNumId w:val="7"/>
  </w:num>
  <w:num w:numId="8">
    <w:abstractNumId w:val="1"/>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BA"/>
    <w:rsid w:val="000033F4"/>
    <w:rsid w:val="00010DC1"/>
    <w:rsid w:val="000235D5"/>
    <w:rsid w:val="000237DF"/>
    <w:rsid w:val="00024002"/>
    <w:rsid w:val="0003308A"/>
    <w:rsid w:val="00034C22"/>
    <w:rsid w:val="00034E82"/>
    <w:rsid w:val="00040A04"/>
    <w:rsid w:val="00051D33"/>
    <w:rsid w:val="0005242C"/>
    <w:rsid w:val="00063BF7"/>
    <w:rsid w:val="00067F17"/>
    <w:rsid w:val="00073ADC"/>
    <w:rsid w:val="00084D58"/>
    <w:rsid w:val="000943B6"/>
    <w:rsid w:val="000A5F2B"/>
    <w:rsid w:val="000B4E69"/>
    <w:rsid w:val="000C07D4"/>
    <w:rsid w:val="000C60C1"/>
    <w:rsid w:val="000D05D4"/>
    <w:rsid w:val="000D3B99"/>
    <w:rsid w:val="000E178E"/>
    <w:rsid w:val="000E6050"/>
    <w:rsid w:val="000E707F"/>
    <w:rsid w:val="000E77A8"/>
    <w:rsid w:val="000F65FA"/>
    <w:rsid w:val="001013D1"/>
    <w:rsid w:val="00103AE5"/>
    <w:rsid w:val="00104E3A"/>
    <w:rsid w:val="001153BF"/>
    <w:rsid w:val="0011544A"/>
    <w:rsid w:val="00141216"/>
    <w:rsid w:val="00146776"/>
    <w:rsid w:val="00157316"/>
    <w:rsid w:val="001639F8"/>
    <w:rsid w:val="0017559C"/>
    <w:rsid w:val="00176AED"/>
    <w:rsid w:val="00177E14"/>
    <w:rsid w:val="00190ABF"/>
    <w:rsid w:val="00193546"/>
    <w:rsid w:val="00194556"/>
    <w:rsid w:val="001A0BC2"/>
    <w:rsid w:val="001A758F"/>
    <w:rsid w:val="001B2B84"/>
    <w:rsid w:val="001D43D5"/>
    <w:rsid w:val="001E395D"/>
    <w:rsid w:val="001E4D8D"/>
    <w:rsid w:val="001F7777"/>
    <w:rsid w:val="00200056"/>
    <w:rsid w:val="0020100D"/>
    <w:rsid w:val="00216C4A"/>
    <w:rsid w:val="00224C0F"/>
    <w:rsid w:val="0022570D"/>
    <w:rsid w:val="00225E5A"/>
    <w:rsid w:val="002272B3"/>
    <w:rsid w:val="002327FE"/>
    <w:rsid w:val="002411C5"/>
    <w:rsid w:val="00252BC6"/>
    <w:rsid w:val="00252CD4"/>
    <w:rsid w:val="00254022"/>
    <w:rsid w:val="00254131"/>
    <w:rsid w:val="002634E6"/>
    <w:rsid w:val="002742C1"/>
    <w:rsid w:val="00276B4C"/>
    <w:rsid w:val="00290B08"/>
    <w:rsid w:val="00293ADD"/>
    <w:rsid w:val="002A7D27"/>
    <w:rsid w:val="002B0CCC"/>
    <w:rsid w:val="002B6EF9"/>
    <w:rsid w:val="002C34D3"/>
    <w:rsid w:val="002C537A"/>
    <w:rsid w:val="002C59ED"/>
    <w:rsid w:val="002C5DA7"/>
    <w:rsid w:val="002D2382"/>
    <w:rsid w:val="002D4D3D"/>
    <w:rsid w:val="002D6656"/>
    <w:rsid w:val="002E77F8"/>
    <w:rsid w:val="002F05F7"/>
    <w:rsid w:val="002F1E3D"/>
    <w:rsid w:val="002F4AE2"/>
    <w:rsid w:val="002F4FA7"/>
    <w:rsid w:val="002F5518"/>
    <w:rsid w:val="0030016C"/>
    <w:rsid w:val="003059DE"/>
    <w:rsid w:val="003074C3"/>
    <w:rsid w:val="00313018"/>
    <w:rsid w:val="0031531E"/>
    <w:rsid w:val="003160BA"/>
    <w:rsid w:val="00325B80"/>
    <w:rsid w:val="003328D1"/>
    <w:rsid w:val="00334D57"/>
    <w:rsid w:val="00335A73"/>
    <w:rsid w:val="00335D3C"/>
    <w:rsid w:val="003400A0"/>
    <w:rsid w:val="0034065A"/>
    <w:rsid w:val="00341EA6"/>
    <w:rsid w:val="00343615"/>
    <w:rsid w:val="003438CE"/>
    <w:rsid w:val="00346683"/>
    <w:rsid w:val="00354F86"/>
    <w:rsid w:val="00361049"/>
    <w:rsid w:val="00361AB5"/>
    <w:rsid w:val="0036455A"/>
    <w:rsid w:val="00393C65"/>
    <w:rsid w:val="00394FF7"/>
    <w:rsid w:val="003960D1"/>
    <w:rsid w:val="003A1CAB"/>
    <w:rsid w:val="003A649F"/>
    <w:rsid w:val="003B1F8E"/>
    <w:rsid w:val="003D3209"/>
    <w:rsid w:val="003E1C9F"/>
    <w:rsid w:val="003F1684"/>
    <w:rsid w:val="003F1A89"/>
    <w:rsid w:val="004031CA"/>
    <w:rsid w:val="00405408"/>
    <w:rsid w:val="0041249F"/>
    <w:rsid w:val="004169BD"/>
    <w:rsid w:val="00444673"/>
    <w:rsid w:val="00454CEF"/>
    <w:rsid w:val="00456CAE"/>
    <w:rsid w:val="00461744"/>
    <w:rsid w:val="00474584"/>
    <w:rsid w:val="004763A9"/>
    <w:rsid w:val="00484501"/>
    <w:rsid w:val="00496118"/>
    <w:rsid w:val="00496B40"/>
    <w:rsid w:val="004A130B"/>
    <w:rsid w:val="004A4649"/>
    <w:rsid w:val="004A7445"/>
    <w:rsid w:val="004B349E"/>
    <w:rsid w:val="004B67FE"/>
    <w:rsid w:val="004C00AB"/>
    <w:rsid w:val="004C361B"/>
    <w:rsid w:val="004E0188"/>
    <w:rsid w:val="004E76B7"/>
    <w:rsid w:val="00506BB7"/>
    <w:rsid w:val="00506E0A"/>
    <w:rsid w:val="00515F1A"/>
    <w:rsid w:val="00520F1B"/>
    <w:rsid w:val="00526038"/>
    <w:rsid w:val="005301F9"/>
    <w:rsid w:val="0055737D"/>
    <w:rsid w:val="0056514E"/>
    <w:rsid w:val="00570A5A"/>
    <w:rsid w:val="00576F63"/>
    <w:rsid w:val="005770EF"/>
    <w:rsid w:val="00583EA6"/>
    <w:rsid w:val="00592FF8"/>
    <w:rsid w:val="005A0002"/>
    <w:rsid w:val="005A7289"/>
    <w:rsid w:val="005B14F6"/>
    <w:rsid w:val="005C5BBA"/>
    <w:rsid w:val="005C7130"/>
    <w:rsid w:val="005C7EB5"/>
    <w:rsid w:val="005E5C22"/>
    <w:rsid w:val="00600C55"/>
    <w:rsid w:val="00605F83"/>
    <w:rsid w:val="00606289"/>
    <w:rsid w:val="00610041"/>
    <w:rsid w:val="00615319"/>
    <w:rsid w:val="006247D3"/>
    <w:rsid w:val="0062709E"/>
    <w:rsid w:val="006327CC"/>
    <w:rsid w:val="00633658"/>
    <w:rsid w:val="00642350"/>
    <w:rsid w:val="006456EC"/>
    <w:rsid w:val="00647534"/>
    <w:rsid w:val="006512FD"/>
    <w:rsid w:val="006519EB"/>
    <w:rsid w:val="00653B6E"/>
    <w:rsid w:val="006570E9"/>
    <w:rsid w:val="00661EAF"/>
    <w:rsid w:val="00663713"/>
    <w:rsid w:val="00670B1D"/>
    <w:rsid w:val="00670B78"/>
    <w:rsid w:val="00681A8E"/>
    <w:rsid w:val="00682068"/>
    <w:rsid w:val="00683AB5"/>
    <w:rsid w:val="0068495E"/>
    <w:rsid w:val="006936BD"/>
    <w:rsid w:val="006A2E46"/>
    <w:rsid w:val="006A43E2"/>
    <w:rsid w:val="006A5CB8"/>
    <w:rsid w:val="006A6A75"/>
    <w:rsid w:val="006B4570"/>
    <w:rsid w:val="006C3315"/>
    <w:rsid w:val="006D1A4A"/>
    <w:rsid w:val="006D264C"/>
    <w:rsid w:val="006F22D0"/>
    <w:rsid w:val="006F4F42"/>
    <w:rsid w:val="00702C1F"/>
    <w:rsid w:val="00705E2F"/>
    <w:rsid w:val="00706178"/>
    <w:rsid w:val="00706D1F"/>
    <w:rsid w:val="007116B4"/>
    <w:rsid w:val="00711F7A"/>
    <w:rsid w:val="00717498"/>
    <w:rsid w:val="00720E10"/>
    <w:rsid w:val="007326E7"/>
    <w:rsid w:val="007436F5"/>
    <w:rsid w:val="00753B2C"/>
    <w:rsid w:val="007545B9"/>
    <w:rsid w:val="00756D2B"/>
    <w:rsid w:val="0075753B"/>
    <w:rsid w:val="007577FD"/>
    <w:rsid w:val="0076180B"/>
    <w:rsid w:val="007633FD"/>
    <w:rsid w:val="007651B1"/>
    <w:rsid w:val="007726EF"/>
    <w:rsid w:val="00773600"/>
    <w:rsid w:val="00775189"/>
    <w:rsid w:val="007756D6"/>
    <w:rsid w:val="00775833"/>
    <w:rsid w:val="00777B23"/>
    <w:rsid w:val="00782D8E"/>
    <w:rsid w:val="00791B67"/>
    <w:rsid w:val="00796111"/>
    <w:rsid w:val="007B2286"/>
    <w:rsid w:val="007B647E"/>
    <w:rsid w:val="007C6283"/>
    <w:rsid w:val="007D5B4B"/>
    <w:rsid w:val="007F145C"/>
    <w:rsid w:val="007F5316"/>
    <w:rsid w:val="007F587B"/>
    <w:rsid w:val="007F7156"/>
    <w:rsid w:val="007F73B4"/>
    <w:rsid w:val="00800F9E"/>
    <w:rsid w:val="00802E8A"/>
    <w:rsid w:val="00803A41"/>
    <w:rsid w:val="00805FA5"/>
    <w:rsid w:val="0080740D"/>
    <w:rsid w:val="00810C8F"/>
    <w:rsid w:val="008152A6"/>
    <w:rsid w:val="00831D82"/>
    <w:rsid w:val="00832087"/>
    <w:rsid w:val="0083557D"/>
    <w:rsid w:val="008373F5"/>
    <w:rsid w:val="0084342F"/>
    <w:rsid w:val="00843677"/>
    <w:rsid w:val="00846640"/>
    <w:rsid w:val="00862EC5"/>
    <w:rsid w:val="0087271A"/>
    <w:rsid w:val="0087358D"/>
    <w:rsid w:val="008748A4"/>
    <w:rsid w:val="00876295"/>
    <w:rsid w:val="00883254"/>
    <w:rsid w:val="00890903"/>
    <w:rsid w:val="00891BF5"/>
    <w:rsid w:val="00895DB8"/>
    <w:rsid w:val="008A035C"/>
    <w:rsid w:val="008C1AF8"/>
    <w:rsid w:val="008C5395"/>
    <w:rsid w:val="008D049A"/>
    <w:rsid w:val="008D0603"/>
    <w:rsid w:val="008E48EB"/>
    <w:rsid w:val="008E5B7A"/>
    <w:rsid w:val="008F7568"/>
    <w:rsid w:val="009049DE"/>
    <w:rsid w:val="00904C32"/>
    <w:rsid w:val="00904F8E"/>
    <w:rsid w:val="00913502"/>
    <w:rsid w:val="009140F4"/>
    <w:rsid w:val="00914B2C"/>
    <w:rsid w:val="00922138"/>
    <w:rsid w:val="009339F6"/>
    <w:rsid w:val="00941954"/>
    <w:rsid w:val="0094224D"/>
    <w:rsid w:val="00943876"/>
    <w:rsid w:val="009442B8"/>
    <w:rsid w:val="00946066"/>
    <w:rsid w:val="00950A47"/>
    <w:rsid w:val="00955F43"/>
    <w:rsid w:val="009607F9"/>
    <w:rsid w:val="009675BC"/>
    <w:rsid w:val="00970A88"/>
    <w:rsid w:val="00973430"/>
    <w:rsid w:val="009949A7"/>
    <w:rsid w:val="009953C6"/>
    <w:rsid w:val="00997C05"/>
    <w:rsid w:val="009A2FDC"/>
    <w:rsid w:val="009B09DE"/>
    <w:rsid w:val="009B2390"/>
    <w:rsid w:val="009B309B"/>
    <w:rsid w:val="009C48B9"/>
    <w:rsid w:val="009C7FE1"/>
    <w:rsid w:val="009D013E"/>
    <w:rsid w:val="009D033A"/>
    <w:rsid w:val="009D0AE8"/>
    <w:rsid w:val="009D6795"/>
    <w:rsid w:val="009E3821"/>
    <w:rsid w:val="009F0F87"/>
    <w:rsid w:val="009F4EAD"/>
    <w:rsid w:val="009F5BB5"/>
    <w:rsid w:val="009F7945"/>
    <w:rsid w:val="009F7D38"/>
    <w:rsid w:val="00A00580"/>
    <w:rsid w:val="00A17639"/>
    <w:rsid w:val="00A20E73"/>
    <w:rsid w:val="00A2466B"/>
    <w:rsid w:val="00A3181C"/>
    <w:rsid w:val="00A33712"/>
    <w:rsid w:val="00A43CAD"/>
    <w:rsid w:val="00A47EEA"/>
    <w:rsid w:val="00A54251"/>
    <w:rsid w:val="00A57D79"/>
    <w:rsid w:val="00A60852"/>
    <w:rsid w:val="00A73E21"/>
    <w:rsid w:val="00A74790"/>
    <w:rsid w:val="00A75F5B"/>
    <w:rsid w:val="00A86992"/>
    <w:rsid w:val="00A91982"/>
    <w:rsid w:val="00A95223"/>
    <w:rsid w:val="00AA0D81"/>
    <w:rsid w:val="00AA19B6"/>
    <w:rsid w:val="00AA3D03"/>
    <w:rsid w:val="00AA718E"/>
    <w:rsid w:val="00AA76DD"/>
    <w:rsid w:val="00AB0BC5"/>
    <w:rsid w:val="00AB14E8"/>
    <w:rsid w:val="00AB5D35"/>
    <w:rsid w:val="00AD38B2"/>
    <w:rsid w:val="00AD7968"/>
    <w:rsid w:val="00AE0800"/>
    <w:rsid w:val="00AE30FB"/>
    <w:rsid w:val="00AF36AA"/>
    <w:rsid w:val="00AF71C4"/>
    <w:rsid w:val="00B0666A"/>
    <w:rsid w:val="00B239EE"/>
    <w:rsid w:val="00B30072"/>
    <w:rsid w:val="00B33C12"/>
    <w:rsid w:val="00B35160"/>
    <w:rsid w:val="00B35E03"/>
    <w:rsid w:val="00B3793F"/>
    <w:rsid w:val="00B37F96"/>
    <w:rsid w:val="00B40297"/>
    <w:rsid w:val="00B416D6"/>
    <w:rsid w:val="00B57025"/>
    <w:rsid w:val="00B62172"/>
    <w:rsid w:val="00B625F2"/>
    <w:rsid w:val="00B627E2"/>
    <w:rsid w:val="00B6373A"/>
    <w:rsid w:val="00B74C2A"/>
    <w:rsid w:val="00B75B25"/>
    <w:rsid w:val="00B813F5"/>
    <w:rsid w:val="00B839BE"/>
    <w:rsid w:val="00B855F7"/>
    <w:rsid w:val="00B877B3"/>
    <w:rsid w:val="00B91E7E"/>
    <w:rsid w:val="00B976D1"/>
    <w:rsid w:val="00BA085D"/>
    <w:rsid w:val="00BA1625"/>
    <w:rsid w:val="00BB11ED"/>
    <w:rsid w:val="00BB47A0"/>
    <w:rsid w:val="00BB651F"/>
    <w:rsid w:val="00BE2927"/>
    <w:rsid w:val="00BE29DF"/>
    <w:rsid w:val="00BF34CA"/>
    <w:rsid w:val="00C05AD8"/>
    <w:rsid w:val="00C167E7"/>
    <w:rsid w:val="00C20E09"/>
    <w:rsid w:val="00C236FD"/>
    <w:rsid w:val="00C2481C"/>
    <w:rsid w:val="00C30915"/>
    <w:rsid w:val="00C360DA"/>
    <w:rsid w:val="00C42CE9"/>
    <w:rsid w:val="00C45FD8"/>
    <w:rsid w:val="00C461F2"/>
    <w:rsid w:val="00C57476"/>
    <w:rsid w:val="00C6698E"/>
    <w:rsid w:val="00C669C5"/>
    <w:rsid w:val="00C77333"/>
    <w:rsid w:val="00CA40CA"/>
    <w:rsid w:val="00CB6E0A"/>
    <w:rsid w:val="00CC1D62"/>
    <w:rsid w:val="00CC34C2"/>
    <w:rsid w:val="00CC380F"/>
    <w:rsid w:val="00CC51AF"/>
    <w:rsid w:val="00CD0C18"/>
    <w:rsid w:val="00CD4B5F"/>
    <w:rsid w:val="00CD4DB5"/>
    <w:rsid w:val="00CD5FBC"/>
    <w:rsid w:val="00CD78DB"/>
    <w:rsid w:val="00CE283B"/>
    <w:rsid w:val="00CE513A"/>
    <w:rsid w:val="00CE6867"/>
    <w:rsid w:val="00CF0865"/>
    <w:rsid w:val="00CF379C"/>
    <w:rsid w:val="00CF773E"/>
    <w:rsid w:val="00D01620"/>
    <w:rsid w:val="00D03656"/>
    <w:rsid w:val="00D06FAA"/>
    <w:rsid w:val="00D10C8A"/>
    <w:rsid w:val="00D16F3E"/>
    <w:rsid w:val="00D22D21"/>
    <w:rsid w:val="00D232F2"/>
    <w:rsid w:val="00D2396C"/>
    <w:rsid w:val="00D25F00"/>
    <w:rsid w:val="00D3023A"/>
    <w:rsid w:val="00D3120D"/>
    <w:rsid w:val="00D34726"/>
    <w:rsid w:val="00D355C0"/>
    <w:rsid w:val="00D37B90"/>
    <w:rsid w:val="00D4038F"/>
    <w:rsid w:val="00D45896"/>
    <w:rsid w:val="00D54EFD"/>
    <w:rsid w:val="00D56DBB"/>
    <w:rsid w:val="00D61619"/>
    <w:rsid w:val="00D63706"/>
    <w:rsid w:val="00D766D1"/>
    <w:rsid w:val="00D820E5"/>
    <w:rsid w:val="00D86731"/>
    <w:rsid w:val="00D9512D"/>
    <w:rsid w:val="00DA58B4"/>
    <w:rsid w:val="00DB3A11"/>
    <w:rsid w:val="00DB50CA"/>
    <w:rsid w:val="00DC70A7"/>
    <w:rsid w:val="00DD3250"/>
    <w:rsid w:val="00DF31BB"/>
    <w:rsid w:val="00DF492F"/>
    <w:rsid w:val="00E040FA"/>
    <w:rsid w:val="00E23146"/>
    <w:rsid w:val="00E27BCB"/>
    <w:rsid w:val="00E316A5"/>
    <w:rsid w:val="00E3300B"/>
    <w:rsid w:val="00E337C0"/>
    <w:rsid w:val="00E42649"/>
    <w:rsid w:val="00E45C1C"/>
    <w:rsid w:val="00E45D87"/>
    <w:rsid w:val="00E60085"/>
    <w:rsid w:val="00E65BA1"/>
    <w:rsid w:val="00E70AFD"/>
    <w:rsid w:val="00E763F7"/>
    <w:rsid w:val="00E86339"/>
    <w:rsid w:val="00E900A1"/>
    <w:rsid w:val="00E92D51"/>
    <w:rsid w:val="00EA4326"/>
    <w:rsid w:val="00EA4B11"/>
    <w:rsid w:val="00EB0490"/>
    <w:rsid w:val="00EB29F8"/>
    <w:rsid w:val="00EB6338"/>
    <w:rsid w:val="00ED1485"/>
    <w:rsid w:val="00ED4FF8"/>
    <w:rsid w:val="00EE5957"/>
    <w:rsid w:val="00EF29A3"/>
    <w:rsid w:val="00EF6E0E"/>
    <w:rsid w:val="00F1349A"/>
    <w:rsid w:val="00F24C4D"/>
    <w:rsid w:val="00F33FB2"/>
    <w:rsid w:val="00F34EFA"/>
    <w:rsid w:val="00F357F3"/>
    <w:rsid w:val="00F427FF"/>
    <w:rsid w:val="00F447DC"/>
    <w:rsid w:val="00F51581"/>
    <w:rsid w:val="00F515F3"/>
    <w:rsid w:val="00F56165"/>
    <w:rsid w:val="00F613C2"/>
    <w:rsid w:val="00F6632A"/>
    <w:rsid w:val="00F671B2"/>
    <w:rsid w:val="00F72617"/>
    <w:rsid w:val="00F72CE0"/>
    <w:rsid w:val="00F731AD"/>
    <w:rsid w:val="00F73CD4"/>
    <w:rsid w:val="00F7773C"/>
    <w:rsid w:val="00F8784A"/>
    <w:rsid w:val="00F933A3"/>
    <w:rsid w:val="00F934A5"/>
    <w:rsid w:val="00F93DC8"/>
    <w:rsid w:val="00F9410D"/>
    <w:rsid w:val="00F97014"/>
    <w:rsid w:val="00FA62B7"/>
    <w:rsid w:val="00FC265B"/>
    <w:rsid w:val="00FC5E7A"/>
    <w:rsid w:val="00FE398C"/>
    <w:rsid w:val="00FE5421"/>
    <w:rsid w:val="00FF1BD2"/>
    <w:rsid w:val="00FF28A8"/>
    <w:rsid w:val="00FF4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5D87"/>
    <w:pPr>
      <w:spacing w:after="0" w:line="240" w:lineRule="auto"/>
    </w:pPr>
    <w:rPr>
      <w:sz w:val="20"/>
      <w:szCs w:val="20"/>
    </w:rPr>
  </w:style>
  <w:style w:type="character" w:customStyle="1" w:styleId="FootnoteTextChar">
    <w:name w:val="Footnote Text Char"/>
    <w:basedOn w:val="DefaultParagraphFont"/>
    <w:link w:val="FootnoteText"/>
    <w:uiPriority w:val="99"/>
    <w:rsid w:val="00E45D87"/>
    <w:rPr>
      <w:lang w:eastAsia="en-US"/>
    </w:rPr>
  </w:style>
  <w:style w:type="character" w:styleId="FootnoteReference">
    <w:name w:val="footnote reference"/>
    <w:basedOn w:val="DefaultParagraphFont"/>
    <w:semiHidden/>
    <w:unhideWhenUsed/>
    <w:rsid w:val="00E45D87"/>
    <w:rPr>
      <w:vertAlign w:val="superscript"/>
    </w:rPr>
  </w:style>
  <w:style w:type="character" w:customStyle="1" w:styleId="apple-style-span">
    <w:name w:val="apple-style-span"/>
    <w:basedOn w:val="DefaultParagraphFont"/>
    <w:rsid w:val="007651B1"/>
  </w:style>
  <w:style w:type="character" w:customStyle="1" w:styleId="apple-converted-space">
    <w:name w:val="apple-converted-space"/>
    <w:basedOn w:val="DefaultParagraphFont"/>
    <w:rsid w:val="007651B1"/>
  </w:style>
  <w:style w:type="character" w:styleId="Hyperlink">
    <w:name w:val="Hyperlink"/>
    <w:basedOn w:val="DefaultParagraphFont"/>
    <w:uiPriority w:val="99"/>
    <w:unhideWhenUsed/>
    <w:rsid w:val="00AA76DD"/>
    <w:rPr>
      <w:color w:val="0000FF" w:themeColor="hyperlink"/>
      <w:u w:val="single"/>
    </w:rPr>
  </w:style>
  <w:style w:type="paragraph" w:styleId="Header">
    <w:name w:val="header"/>
    <w:basedOn w:val="Normal"/>
    <w:link w:val="HeaderChar"/>
    <w:uiPriority w:val="99"/>
    <w:unhideWhenUsed/>
    <w:rsid w:val="00C6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C5"/>
    <w:rPr>
      <w:sz w:val="22"/>
      <w:szCs w:val="22"/>
      <w:lang w:eastAsia="en-US"/>
    </w:rPr>
  </w:style>
  <w:style w:type="paragraph" w:styleId="Footer">
    <w:name w:val="footer"/>
    <w:basedOn w:val="Normal"/>
    <w:link w:val="FooterChar"/>
    <w:uiPriority w:val="99"/>
    <w:unhideWhenUsed/>
    <w:rsid w:val="00C6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C5"/>
    <w:rPr>
      <w:sz w:val="22"/>
      <w:szCs w:val="22"/>
      <w:lang w:eastAsia="en-US"/>
    </w:rPr>
  </w:style>
  <w:style w:type="paragraph" w:styleId="ListParagraph">
    <w:name w:val="List Paragraph"/>
    <w:basedOn w:val="Normal"/>
    <w:uiPriority w:val="34"/>
    <w:qFormat/>
    <w:rsid w:val="00C05AD8"/>
    <w:pPr>
      <w:ind w:left="720"/>
      <w:contextualSpacing/>
    </w:pPr>
  </w:style>
  <w:style w:type="character" w:styleId="FollowedHyperlink">
    <w:name w:val="FollowedHyperlink"/>
    <w:basedOn w:val="DefaultParagraphFont"/>
    <w:uiPriority w:val="99"/>
    <w:semiHidden/>
    <w:unhideWhenUsed/>
    <w:rsid w:val="00C05AD8"/>
    <w:rPr>
      <w:color w:val="800080" w:themeColor="followedHyperlink"/>
      <w:u w:val="single"/>
    </w:rPr>
  </w:style>
  <w:style w:type="paragraph" w:styleId="BalloonText">
    <w:name w:val="Balloon Text"/>
    <w:basedOn w:val="Normal"/>
    <w:link w:val="BalloonTextChar"/>
    <w:uiPriority w:val="99"/>
    <w:semiHidden/>
    <w:unhideWhenUsed/>
    <w:rsid w:val="00D56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B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5D87"/>
    <w:pPr>
      <w:spacing w:after="0" w:line="240" w:lineRule="auto"/>
    </w:pPr>
    <w:rPr>
      <w:sz w:val="20"/>
      <w:szCs w:val="20"/>
    </w:rPr>
  </w:style>
  <w:style w:type="character" w:customStyle="1" w:styleId="FootnoteTextChar">
    <w:name w:val="Footnote Text Char"/>
    <w:basedOn w:val="DefaultParagraphFont"/>
    <w:link w:val="FootnoteText"/>
    <w:uiPriority w:val="99"/>
    <w:rsid w:val="00E45D87"/>
    <w:rPr>
      <w:lang w:eastAsia="en-US"/>
    </w:rPr>
  </w:style>
  <w:style w:type="character" w:styleId="FootnoteReference">
    <w:name w:val="footnote reference"/>
    <w:basedOn w:val="DefaultParagraphFont"/>
    <w:semiHidden/>
    <w:unhideWhenUsed/>
    <w:rsid w:val="00E45D87"/>
    <w:rPr>
      <w:vertAlign w:val="superscript"/>
    </w:rPr>
  </w:style>
  <w:style w:type="character" w:customStyle="1" w:styleId="apple-style-span">
    <w:name w:val="apple-style-span"/>
    <w:basedOn w:val="DefaultParagraphFont"/>
    <w:rsid w:val="007651B1"/>
  </w:style>
  <w:style w:type="character" w:customStyle="1" w:styleId="apple-converted-space">
    <w:name w:val="apple-converted-space"/>
    <w:basedOn w:val="DefaultParagraphFont"/>
    <w:rsid w:val="007651B1"/>
  </w:style>
  <w:style w:type="character" w:styleId="Hyperlink">
    <w:name w:val="Hyperlink"/>
    <w:basedOn w:val="DefaultParagraphFont"/>
    <w:uiPriority w:val="99"/>
    <w:unhideWhenUsed/>
    <w:rsid w:val="00AA76DD"/>
    <w:rPr>
      <w:color w:val="0000FF" w:themeColor="hyperlink"/>
      <w:u w:val="single"/>
    </w:rPr>
  </w:style>
  <w:style w:type="paragraph" w:styleId="Header">
    <w:name w:val="header"/>
    <w:basedOn w:val="Normal"/>
    <w:link w:val="HeaderChar"/>
    <w:uiPriority w:val="99"/>
    <w:unhideWhenUsed/>
    <w:rsid w:val="00C6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C5"/>
    <w:rPr>
      <w:sz w:val="22"/>
      <w:szCs w:val="22"/>
      <w:lang w:eastAsia="en-US"/>
    </w:rPr>
  </w:style>
  <w:style w:type="paragraph" w:styleId="Footer">
    <w:name w:val="footer"/>
    <w:basedOn w:val="Normal"/>
    <w:link w:val="FooterChar"/>
    <w:uiPriority w:val="99"/>
    <w:unhideWhenUsed/>
    <w:rsid w:val="00C6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C5"/>
    <w:rPr>
      <w:sz w:val="22"/>
      <w:szCs w:val="22"/>
      <w:lang w:eastAsia="en-US"/>
    </w:rPr>
  </w:style>
  <w:style w:type="paragraph" w:styleId="ListParagraph">
    <w:name w:val="List Paragraph"/>
    <w:basedOn w:val="Normal"/>
    <w:uiPriority w:val="34"/>
    <w:qFormat/>
    <w:rsid w:val="00C05AD8"/>
    <w:pPr>
      <w:ind w:left="720"/>
      <w:contextualSpacing/>
    </w:pPr>
  </w:style>
  <w:style w:type="character" w:styleId="FollowedHyperlink">
    <w:name w:val="FollowedHyperlink"/>
    <w:basedOn w:val="DefaultParagraphFont"/>
    <w:uiPriority w:val="99"/>
    <w:semiHidden/>
    <w:unhideWhenUsed/>
    <w:rsid w:val="00C05AD8"/>
    <w:rPr>
      <w:color w:val="800080" w:themeColor="followedHyperlink"/>
      <w:u w:val="single"/>
    </w:rPr>
  </w:style>
  <w:style w:type="paragraph" w:styleId="BalloonText">
    <w:name w:val="Balloon Text"/>
    <w:basedOn w:val="Normal"/>
    <w:link w:val="BalloonTextChar"/>
    <w:uiPriority w:val="99"/>
    <w:semiHidden/>
    <w:unhideWhenUsed/>
    <w:rsid w:val="00D56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76668">
      <w:bodyDiv w:val="1"/>
      <w:marLeft w:val="0"/>
      <w:marRight w:val="0"/>
      <w:marTop w:val="0"/>
      <w:marBottom w:val="0"/>
      <w:divBdr>
        <w:top w:val="none" w:sz="0" w:space="0" w:color="auto"/>
        <w:left w:val="none" w:sz="0" w:space="0" w:color="auto"/>
        <w:bottom w:val="none" w:sz="0" w:space="0" w:color="auto"/>
        <w:right w:val="none" w:sz="0" w:space="0" w:color="auto"/>
      </w:divBdr>
      <w:divsChild>
        <w:div w:id="339552150">
          <w:marLeft w:val="9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dailymail.co.uk/news/article-1253546/Women-set-serve-submarines-Britain-follows-U-S-Navy-ruling.html" TargetMode="External"/><Relationship Id="rId13" Type="http://schemas.openxmlformats.org/officeDocument/2006/relationships/hyperlink" Target="http://www.mod.uk/NR/rdonlyres/7A18C2A3-C25B-4FA1-B8CB-49204A109105/0/women_combat_experiences_literature.pdf" TargetMode="External"/><Relationship Id="rId18" Type="http://schemas.openxmlformats.org/officeDocument/2006/relationships/hyperlink" Target="http://www.mod.uk/NR/rdonlyres/ACED4F62-2C04-4B19-AC50-E49552732385/0/impact_studies_homosexuality.pdf" TargetMode="External"/><Relationship Id="rId26" Type="http://schemas.openxmlformats.org/officeDocument/2006/relationships/hyperlink" Target="http://www.dtic.mil/cgi-bin/GetTRDoc?Location=U2&amp;doc=GetTRDoc.pdf&amp;AD=ADA422296" TargetMode="External"/><Relationship Id="rId3" Type="http://schemas.openxmlformats.org/officeDocument/2006/relationships/hyperlink" Target="http://www.mod.uk/NR/rdonlyres/98E4EAB6-CE02-4F39-9EF2-17DD054C5905/0/eqdivschemes20082011.p" TargetMode="External"/><Relationship Id="rId21" Type="http://schemas.openxmlformats.org/officeDocument/2006/relationships/hyperlink" Target="http://www.number10.gov.uk/news/military-covenant-to-be-enshrined-in-law/" TargetMode="External"/><Relationship Id="rId7" Type="http://schemas.openxmlformats.org/officeDocument/2006/relationships/hyperlink" Target="http://www.mod.uk/NR/rdonlyres/A9925990-82C2-420F-AB04-7003768CEC02/0/womenaf_fullreport.pdf" TargetMode="External"/><Relationship Id="rId12" Type="http://schemas.openxmlformats.org/officeDocument/2006/relationships/hyperlink" Target="http://www.mod.uk/NR/rdonlyres/9BFD1F54-2AB5-4CBA-9E82-9B413AAFBADC/0/study_woman_combat_quant_data.pdf" TargetMode="External"/><Relationship Id="rId17" Type="http://schemas.openxmlformats.org/officeDocument/2006/relationships/hyperlink" Target="http://www.proud2serve.net/military/2000modupdate.htm" TargetMode="External"/><Relationship Id="rId25" Type="http://schemas.openxmlformats.org/officeDocument/2006/relationships/hyperlink" Target="http://www.proud2serve.net/military-news/146-jul-06-royal-navy-parades-for-europride" TargetMode="External"/><Relationship Id="rId2" Type="http://schemas.openxmlformats.org/officeDocument/2006/relationships/hyperlink" Target="http://www.mod.uk/NR/rdonlyres/6D31D11A-8764-4DD8-9788-D20B5B14CA6D/0/eqdiversity_scheme2006_2009_ver1april06.pdf" TargetMode="External"/><Relationship Id="rId16" Type="http://schemas.openxmlformats.org/officeDocument/2006/relationships/hyperlink" Target="http://www.mod.uk/DefenceInternet/AboutDefence/WhatWeDo/Personnel/EqualityAndDiversity/ArmedForcesCodeOfSocialConductPolicyStatement.htm" TargetMode="External"/><Relationship Id="rId20" Type="http://schemas.openxmlformats.org/officeDocument/2006/relationships/hyperlink" Target="http://www.abnetwork.org/articles/military-covenant/" TargetMode="External"/><Relationship Id="rId1" Type="http://schemas.openxmlformats.org/officeDocument/2006/relationships/hyperlink" Target="http://webarchive.nationalarchives.gov.uk/tna/+/http://www.mod.uk/issues/racial_equality/index.html" TargetMode="External"/><Relationship Id="rId6" Type="http://schemas.openxmlformats.org/officeDocument/2006/relationships/hyperlink" Target="http://www.mod.uk/NR/rdonlyres/4C3078BC-DB83-4F88-AE68-4DE231C7003D/0/edsreport_200809.pdf" TargetMode="External"/><Relationship Id="rId11" Type="http://schemas.openxmlformats.org/officeDocument/2006/relationships/hyperlink" Target="http://www.mod.uk/NR/rdonlyres/49C587F5-5815-453C-BEB5-B409BD39F464/0/study_woman_combat_quali_data.pdf" TargetMode="External"/><Relationship Id="rId24" Type="http://schemas.openxmlformats.org/officeDocument/2006/relationships/hyperlink" Target="http://www.proud2serve.net/news-a-updates/432-aug-05-british-army-participates-in-first-gay-pride-parade" TargetMode="External"/><Relationship Id="rId5" Type="http://schemas.openxmlformats.org/officeDocument/2006/relationships/hyperlink" Target="http://www.mod.uk/NR/rdonlyres/190B0D7E-83AB-4EDF-B845-0C310EE070C0/0/annrpt_eds0607.pdf" TargetMode="External"/><Relationship Id="rId15" Type="http://schemas.openxmlformats.org/officeDocument/2006/relationships/hyperlink" Target="http://www.mod.uk/DefenceInternet/AboutDefence/People/Speeches/SofS/20111208DeliveringOnTheFrontlineOperationalSuccessAndSustainableArmedForces.htm" TargetMode="External"/><Relationship Id="rId23" Type="http://schemas.openxmlformats.org/officeDocument/2006/relationships/hyperlink" Target="http://menmedia.co.uk/manchestereveningnews/news/s/128/128291_raf_joins_gay_parade.html" TargetMode="External"/><Relationship Id="rId10" Type="http://schemas.openxmlformats.org/officeDocument/2006/relationships/hyperlink" Target="http://www.mod.uk/NR/rdonlyres/B358460B-4B2A-4AB5-9A63-15B6196B5364/0/Report_review_excl_woman_combat.pdf" TargetMode="External"/><Relationship Id="rId19" Type="http://schemas.openxmlformats.org/officeDocument/2006/relationships/hyperlink" Target="http://www.mod.uk/NR/rdonlyres/4E9E2014-5CE6-43F2-AE28-B6C5FA90B68F/0/Armed_Forces_Covenant.pdf" TargetMode="External"/><Relationship Id="rId4" Type="http://schemas.openxmlformats.org/officeDocument/2006/relationships/hyperlink" Target="http://www.mod.uk/NR/rdonlyres/190B0D7E-83AB-4EDF-B845-0C310EE070C0/0/annrpt_eds0607.pdf" TargetMode="External"/><Relationship Id="rId9" Type="http://schemas.openxmlformats.org/officeDocument/2006/relationships/hyperlink" Target="http://www.bbc.co.uk/programmes/b00wdhd5" TargetMode="External"/><Relationship Id="rId14" Type="http://schemas.openxmlformats.org/officeDocument/2006/relationships/hyperlink" Target="http://www.mod.uk/DefenceInternet/AboutDefence/People/Speeches/SofS/20111208DeliveringOnTheFrontlineOperationalSuccessAndSustainableArmedForces.htm" TargetMode="External"/><Relationship Id="rId22" Type="http://schemas.openxmlformats.org/officeDocument/2006/relationships/hyperlink" Target="http://www.mod.uk/NR/rdonlyres/0117C914-174C-4DAE-B755-0A010F2427D5/0/Armed_Forces_Covenent_Today_and_Tomorro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EE3D-D1F9-4CBB-AC3A-BCB56700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5917</TotalTime>
  <Pages>1</Pages>
  <Words>8540</Words>
  <Characters>44072</Characters>
  <Application>Microsoft Office Word</Application>
  <DocSecurity>0</DocSecurity>
  <Lines>722</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36</cp:revision>
  <cp:lastPrinted>2012-02-10T17:10:00Z</cp:lastPrinted>
  <dcterms:created xsi:type="dcterms:W3CDTF">2011-12-30T16:55:00Z</dcterms:created>
  <dcterms:modified xsi:type="dcterms:W3CDTF">2012-04-20T12:56:00Z</dcterms:modified>
</cp:coreProperties>
</file>