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D966" w14:textId="19672265" w:rsidR="004B2C0B" w:rsidRPr="00BC54D1" w:rsidRDefault="004B2C0B" w:rsidP="00F95451">
      <w:pPr>
        <w:rPr>
          <w:rFonts w:ascii="Times New Roman" w:hAnsi="Times New Roman"/>
          <w:b/>
        </w:rPr>
      </w:pPr>
      <w:bookmarkStart w:id="0" w:name="_Hlk68366531"/>
      <w:r w:rsidRPr="00BC54D1">
        <w:rPr>
          <w:rFonts w:ascii="Times New Roman" w:hAnsi="Times New Roman"/>
          <w:b/>
        </w:rPr>
        <w:t>R&amp;D spending intensity of private versus public firms</w:t>
      </w:r>
      <w:r w:rsidR="00144240" w:rsidRPr="00BC54D1">
        <w:rPr>
          <w:rFonts w:ascii="Times New Roman" w:hAnsi="Times New Roman"/>
          <w:b/>
        </w:rPr>
        <w:t xml:space="preserve">: the role of </w:t>
      </w:r>
      <w:r w:rsidR="00686382" w:rsidRPr="00BC54D1">
        <w:rPr>
          <w:rFonts w:ascii="Times New Roman" w:hAnsi="Times New Roman"/>
          <w:b/>
        </w:rPr>
        <w:t>cash flow</w:t>
      </w:r>
      <w:r w:rsidR="00144240" w:rsidRPr="00BC54D1">
        <w:rPr>
          <w:rFonts w:ascii="Times New Roman" w:hAnsi="Times New Roman"/>
          <w:b/>
        </w:rPr>
        <w:t>, leverage</w:t>
      </w:r>
      <w:r w:rsidR="00AB72B2" w:rsidRPr="00BC54D1">
        <w:rPr>
          <w:rFonts w:ascii="Times New Roman" w:hAnsi="Times New Roman"/>
          <w:b/>
        </w:rPr>
        <w:t>,</w:t>
      </w:r>
      <w:r w:rsidR="00144240" w:rsidRPr="00BC54D1">
        <w:rPr>
          <w:rFonts w:ascii="Times New Roman" w:hAnsi="Times New Roman"/>
          <w:b/>
        </w:rPr>
        <w:t xml:space="preserve"> and information quality</w:t>
      </w:r>
    </w:p>
    <w:p w14:paraId="3582A130" w14:textId="77777777" w:rsidR="004B2C0B" w:rsidRPr="00BC54D1" w:rsidRDefault="004B2C0B" w:rsidP="003E3350">
      <w:pPr>
        <w:jc w:val="center"/>
        <w:rPr>
          <w:rFonts w:ascii="Times New Roman" w:hAnsi="Times New Roman"/>
          <w:b/>
        </w:rPr>
      </w:pPr>
    </w:p>
    <w:bookmarkEnd w:id="0"/>
    <w:p w14:paraId="0974E290" w14:textId="77777777" w:rsidR="00E5297E" w:rsidRPr="00BC54D1" w:rsidRDefault="00E5297E">
      <w:pPr>
        <w:rPr>
          <w:rFonts w:ascii="Times New Roman" w:hAnsi="Times New Roman"/>
          <w:b/>
        </w:rPr>
      </w:pPr>
    </w:p>
    <w:p w14:paraId="63694CD0" w14:textId="77777777" w:rsidR="004A0DAE" w:rsidRPr="00BC54D1" w:rsidRDefault="004A0DAE" w:rsidP="004A0DAE">
      <w:pPr>
        <w:spacing w:before="120" w:after="120" w:line="360" w:lineRule="auto"/>
        <w:rPr>
          <w:rFonts w:ascii="Times New Roman" w:hAnsi="Times New Roman"/>
          <w:b/>
          <w:bCs/>
        </w:rPr>
      </w:pPr>
      <w:r w:rsidRPr="00BC54D1">
        <w:rPr>
          <w:rFonts w:ascii="Times New Roman" w:hAnsi="Times New Roman"/>
          <w:b/>
          <w:bCs/>
        </w:rPr>
        <w:t>Abstract</w:t>
      </w:r>
    </w:p>
    <w:p w14:paraId="046A0A2A" w14:textId="5B5CE588" w:rsidR="00D02BBF" w:rsidRPr="00BC54D1" w:rsidRDefault="00D02BBF" w:rsidP="00A32C88">
      <w:pPr>
        <w:spacing w:before="120" w:after="120" w:line="360" w:lineRule="auto"/>
        <w:jc w:val="both"/>
        <w:rPr>
          <w:rFonts w:ascii="Times New Roman" w:hAnsi="Times New Roman"/>
        </w:rPr>
      </w:pPr>
      <w:r w:rsidRPr="00BC54D1">
        <w:rPr>
          <w:rFonts w:ascii="Times New Roman" w:hAnsi="Times New Roman"/>
          <w:b/>
          <w:bCs/>
        </w:rPr>
        <w:t>Purpose</w:t>
      </w:r>
      <w:r w:rsidRPr="00BC54D1">
        <w:rPr>
          <w:rFonts w:ascii="Times New Roman" w:hAnsi="Times New Roman"/>
        </w:rPr>
        <w:t xml:space="preserve">: </w:t>
      </w:r>
      <w:r w:rsidR="00EC05BF" w:rsidRPr="00BC54D1">
        <w:rPr>
          <w:rFonts w:ascii="Times New Roman" w:hAnsi="Times New Roman"/>
        </w:rPr>
        <w:t>This study provides a large sample comparison of R&amp;D spending intensity in private and public firms and the extent to which these firms</w:t>
      </w:r>
      <w:r w:rsidR="00686382" w:rsidRPr="00BC54D1">
        <w:rPr>
          <w:rFonts w:ascii="Times New Roman" w:hAnsi="Times New Roman"/>
        </w:rPr>
        <w:t>’</w:t>
      </w:r>
      <w:r w:rsidR="00EC05BF" w:rsidRPr="00BC54D1">
        <w:rPr>
          <w:rFonts w:ascii="Times New Roman" w:hAnsi="Times New Roman"/>
        </w:rPr>
        <w:t xml:space="preserve"> unique characteristics affect their R&amp;D spending rate.</w:t>
      </w:r>
    </w:p>
    <w:p w14:paraId="017BB3CF" w14:textId="46FB0C36" w:rsidR="009B4368" w:rsidRPr="00BC54D1" w:rsidRDefault="009B4368" w:rsidP="00A32C88">
      <w:pPr>
        <w:spacing w:before="120" w:after="120" w:line="360" w:lineRule="auto"/>
        <w:jc w:val="both"/>
        <w:rPr>
          <w:rFonts w:ascii="Times New Roman" w:hAnsi="Times New Roman"/>
        </w:rPr>
      </w:pPr>
      <w:r w:rsidRPr="00BC54D1">
        <w:rPr>
          <w:rFonts w:ascii="Times New Roman" w:hAnsi="Times New Roman"/>
          <w:b/>
        </w:rPr>
        <w:t>Design/method/approach</w:t>
      </w:r>
      <w:r w:rsidRPr="00BC54D1">
        <w:rPr>
          <w:rFonts w:ascii="Times New Roman" w:hAnsi="Times New Roman"/>
        </w:rPr>
        <w:t xml:space="preserve">: </w:t>
      </w:r>
      <w:r w:rsidR="00EE5870" w:rsidRPr="00BC54D1">
        <w:rPr>
          <w:rFonts w:ascii="Times New Roman" w:hAnsi="Times New Roman"/>
        </w:rPr>
        <w:t>The study c</w:t>
      </w:r>
      <w:r w:rsidR="009A2BCE" w:rsidRPr="00BC54D1">
        <w:rPr>
          <w:rFonts w:ascii="Times New Roman" w:hAnsi="Times New Roman"/>
        </w:rPr>
        <w:t>ompar</w:t>
      </w:r>
      <w:r w:rsidR="00EE5870" w:rsidRPr="00BC54D1">
        <w:rPr>
          <w:rFonts w:ascii="Times New Roman" w:hAnsi="Times New Roman"/>
        </w:rPr>
        <w:t>es</w:t>
      </w:r>
      <w:r w:rsidR="00EC05BF" w:rsidRPr="00BC54D1">
        <w:rPr>
          <w:rFonts w:ascii="Times New Roman" w:hAnsi="Times New Roman"/>
        </w:rPr>
        <w:t xml:space="preserve"> both private and public data from UK firms for the period 200</w:t>
      </w:r>
      <w:r w:rsidR="009509AC" w:rsidRPr="00BC54D1">
        <w:rPr>
          <w:rFonts w:ascii="Times New Roman" w:hAnsi="Times New Roman"/>
        </w:rPr>
        <w:t>6</w:t>
      </w:r>
      <w:r w:rsidR="00EC05BF" w:rsidRPr="00BC54D1">
        <w:rPr>
          <w:rFonts w:ascii="Times New Roman" w:hAnsi="Times New Roman"/>
        </w:rPr>
        <w:t>-201</w:t>
      </w:r>
      <w:r w:rsidR="00FC5EC1" w:rsidRPr="00BC54D1">
        <w:rPr>
          <w:rFonts w:ascii="Times New Roman" w:hAnsi="Times New Roman"/>
        </w:rPr>
        <w:t>6</w:t>
      </w:r>
      <w:r w:rsidR="00EC05BF" w:rsidRPr="00BC54D1">
        <w:rPr>
          <w:rFonts w:ascii="Times New Roman" w:hAnsi="Times New Roman"/>
        </w:rPr>
        <w:t xml:space="preserve">, generating a total </w:t>
      </w:r>
      <w:r w:rsidR="00E560BD" w:rsidRPr="00BC54D1">
        <w:rPr>
          <w:rFonts w:ascii="Times New Roman" w:hAnsi="Times New Roman"/>
        </w:rPr>
        <w:t xml:space="preserve">matched </w:t>
      </w:r>
      <w:r w:rsidR="00EC05BF" w:rsidRPr="00BC54D1">
        <w:rPr>
          <w:rFonts w:ascii="Times New Roman" w:hAnsi="Times New Roman"/>
        </w:rPr>
        <w:t>2</w:t>
      </w:r>
      <w:r w:rsidR="00E560BD" w:rsidRPr="00BC54D1">
        <w:rPr>
          <w:rFonts w:ascii="Times New Roman" w:hAnsi="Times New Roman"/>
        </w:rPr>
        <w:t>3</w:t>
      </w:r>
      <w:r w:rsidR="00EC05BF" w:rsidRPr="00BC54D1">
        <w:rPr>
          <w:rFonts w:ascii="Times New Roman" w:hAnsi="Times New Roman"/>
        </w:rPr>
        <w:t>2</w:t>
      </w:r>
      <w:r w:rsidR="00E560BD" w:rsidRPr="00BC54D1">
        <w:rPr>
          <w:rFonts w:ascii="Times New Roman" w:hAnsi="Times New Roman"/>
        </w:rPr>
        <w:t>,0</w:t>
      </w:r>
      <w:r w:rsidR="00EC05BF" w:rsidRPr="00BC54D1">
        <w:rPr>
          <w:rFonts w:ascii="Times New Roman" w:hAnsi="Times New Roman"/>
        </w:rPr>
        <w:t>2</w:t>
      </w:r>
      <w:r w:rsidR="00E560BD" w:rsidRPr="00BC54D1">
        <w:rPr>
          <w:rFonts w:ascii="Times New Roman" w:hAnsi="Times New Roman"/>
        </w:rPr>
        <w:t>9</w:t>
      </w:r>
      <w:r w:rsidR="00EC05BF" w:rsidRPr="00BC54D1">
        <w:rPr>
          <w:rFonts w:ascii="Times New Roman" w:hAnsi="Times New Roman"/>
        </w:rPr>
        <w:t xml:space="preserve"> firm-year observations, </w:t>
      </w:r>
      <w:r w:rsidR="0076059A" w:rsidRPr="00BC54D1">
        <w:rPr>
          <w:rFonts w:ascii="Times New Roman" w:hAnsi="Times New Roman"/>
        </w:rPr>
        <w:t>a</w:t>
      </w:r>
      <w:r w:rsidR="009A2BCE" w:rsidRPr="00BC54D1">
        <w:rPr>
          <w:rFonts w:ascii="Times New Roman" w:hAnsi="Times New Roman"/>
        </w:rPr>
        <w:t xml:space="preserve">nd </w:t>
      </w:r>
      <w:r w:rsidR="00EE5870" w:rsidRPr="00BC54D1">
        <w:rPr>
          <w:rFonts w:ascii="Times New Roman" w:hAnsi="Times New Roman"/>
        </w:rPr>
        <w:t xml:space="preserve">applies </w:t>
      </w:r>
      <w:r w:rsidR="00686382" w:rsidRPr="00BC54D1">
        <w:rPr>
          <w:rFonts w:ascii="Times New Roman" w:hAnsi="Times New Roman"/>
        </w:rPr>
        <w:t xml:space="preserve">a </w:t>
      </w:r>
      <w:r w:rsidR="0076059A" w:rsidRPr="00BC54D1">
        <w:rPr>
          <w:rFonts w:ascii="Times New Roman" w:hAnsi="Times New Roman"/>
        </w:rPr>
        <w:t xml:space="preserve">probability model technique to our </w:t>
      </w:r>
      <w:r w:rsidR="009A2BCE" w:rsidRPr="00BC54D1">
        <w:rPr>
          <w:rFonts w:ascii="Times New Roman" w:hAnsi="Times New Roman"/>
        </w:rPr>
        <w:t xml:space="preserve">large </w:t>
      </w:r>
      <w:r w:rsidR="00EC05BF" w:rsidRPr="00BC54D1">
        <w:rPr>
          <w:rFonts w:ascii="Times New Roman" w:hAnsi="Times New Roman"/>
        </w:rPr>
        <w:t xml:space="preserve">panel </w:t>
      </w:r>
      <w:r w:rsidR="0076059A" w:rsidRPr="00BC54D1">
        <w:rPr>
          <w:rFonts w:ascii="Times New Roman" w:hAnsi="Times New Roman"/>
        </w:rPr>
        <w:t xml:space="preserve">datasets. </w:t>
      </w:r>
    </w:p>
    <w:p w14:paraId="59B4A05A" w14:textId="249F2AA0" w:rsidR="0031612E" w:rsidRPr="00BC54D1" w:rsidRDefault="009B4368" w:rsidP="00A32C88">
      <w:pPr>
        <w:spacing w:before="120" w:after="120" w:line="360" w:lineRule="auto"/>
        <w:jc w:val="both"/>
        <w:rPr>
          <w:rFonts w:ascii="Times New Roman" w:hAnsi="Times New Roman"/>
        </w:rPr>
      </w:pPr>
      <w:r w:rsidRPr="00BC54D1">
        <w:rPr>
          <w:rFonts w:ascii="Times New Roman" w:hAnsi="Times New Roman"/>
          <w:b/>
          <w:bCs/>
        </w:rPr>
        <w:t>Findings</w:t>
      </w:r>
      <w:r w:rsidRPr="00BC54D1">
        <w:rPr>
          <w:rFonts w:ascii="Times New Roman" w:hAnsi="Times New Roman"/>
        </w:rPr>
        <w:t>:</w:t>
      </w:r>
      <w:r w:rsidR="00EC05BF" w:rsidRPr="00BC54D1">
        <w:rPr>
          <w:rFonts w:ascii="Times New Roman" w:hAnsi="Times New Roman"/>
        </w:rPr>
        <w:t xml:space="preserve"> </w:t>
      </w:r>
      <w:r w:rsidR="009A2BCE" w:rsidRPr="00BC54D1">
        <w:rPr>
          <w:rFonts w:ascii="Times New Roman" w:hAnsi="Times New Roman"/>
        </w:rPr>
        <w:t>W</w:t>
      </w:r>
      <w:r w:rsidR="00EC05BF" w:rsidRPr="00BC54D1">
        <w:rPr>
          <w:rFonts w:ascii="Times New Roman" w:hAnsi="Times New Roman"/>
        </w:rPr>
        <w:t>e uncover that private firms show lower R&amp;D spending intensity compared to their public counterparts. Our evidence also shows that private</w:t>
      </w:r>
      <w:r w:rsidR="009A2BCE" w:rsidRPr="00BC54D1">
        <w:rPr>
          <w:rFonts w:ascii="Times New Roman" w:hAnsi="Times New Roman"/>
        </w:rPr>
        <w:t>ly</w:t>
      </w:r>
      <w:r w:rsidR="00EC05BF" w:rsidRPr="00BC54D1">
        <w:rPr>
          <w:rFonts w:ascii="Times New Roman" w:hAnsi="Times New Roman"/>
        </w:rPr>
        <w:t xml:space="preserve"> </w:t>
      </w:r>
      <w:r w:rsidR="009A2BCE" w:rsidRPr="00BC54D1">
        <w:rPr>
          <w:rFonts w:ascii="Times New Roman" w:hAnsi="Times New Roman"/>
        </w:rPr>
        <w:t xml:space="preserve">owned </w:t>
      </w:r>
      <w:r w:rsidR="00EC05BF" w:rsidRPr="00BC54D1">
        <w:rPr>
          <w:rFonts w:ascii="Times New Roman" w:hAnsi="Times New Roman"/>
        </w:rPr>
        <w:t xml:space="preserve">firms in </w:t>
      </w:r>
      <w:r w:rsidR="00686382" w:rsidRPr="00BC54D1">
        <w:rPr>
          <w:rFonts w:ascii="Times New Roman" w:hAnsi="Times New Roman"/>
        </w:rPr>
        <w:t xml:space="preserve">the </w:t>
      </w:r>
      <w:r w:rsidR="00EC05BF" w:rsidRPr="00BC54D1">
        <w:rPr>
          <w:rFonts w:ascii="Times New Roman" w:hAnsi="Times New Roman"/>
        </w:rPr>
        <w:t xml:space="preserve">technological </w:t>
      </w:r>
      <w:r w:rsidR="009A2BCE" w:rsidRPr="00BC54D1">
        <w:rPr>
          <w:rFonts w:ascii="Times New Roman" w:hAnsi="Times New Roman"/>
        </w:rPr>
        <w:t xml:space="preserve">(non-technological) </w:t>
      </w:r>
      <w:r w:rsidR="00EC05BF" w:rsidRPr="00BC54D1">
        <w:rPr>
          <w:rFonts w:ascii="Times New Roman" w:hAnsi="Times New Roman"/>
        </w:rPr>
        <w:t xml:space="preserve">sector display higher </w:t>
      </w:r>
      <w:r w:rsidR="009A2BCE" w:rsidRPr="00BC54D1">
        <w:rPr>
          <w:rFonts w:ascii="Times New Roman" w:hAnsi="Times New Roman"/>
        </w:rPr>
        <w:t xml:space="preserve">(lower) probability of </w:t>
      </w:r>
      <w:r w:rsidR="00EC05BF" w:rsidRPr="00BC54D1">
        <w:rPr>
          <w:rFonts w:ascii="Times New Roman" w:hAnsi="Times New Roman"/>
        </w:rPr>
        <w:t>R&amp;D spending intensity</w:t>
      </w:r>
      <w:r w:rsidR="009A2BCE" w:rsidRPr="00BC54D1">
        <w:rPr>
          <w:rFonts w:ascii="Times New Roman" w:hAnsi="Times New Roman"/>
        </w:rPr>
        <w:t>.</w:t>
      </w:r>
      <w:r w:rsidR="00EC05BF" w:rsidRPr="00BC54D1">
        <w:rPr>
          <w:rFonts w:ascii="Times New Roman" w:hAnsi="Times New Roman"/>
        </w:rPr>
        <w:t xml:space="preserve"> </w:t>
      </w:r>
      <w:r w:rsidR="009A2BCE" w:rsidRPr="00BC54D1">
        <w:rPr>
          <w:rFonts w:ascii="Times New Roman" w:hAnsi="Times New Roman"/>
        </w:rPr>
        <w:t>Compared with public firms, w</w:t>
      </w:r>
      <w:r w:rsidR="00EC05BF" w:rsidRPr="00BC54D1">
        <w:rPr>
          <w:rFonts w:ascii="Times New Roman" w:hAnsi="Times New Roman"/>
        </w:rPr>
        <w:t>e further observe that the intensity of private firms</w:t>
      </w:r>
      <w:r w:rsidR="00686382" w:rsidRPr="00BC54D1">
        <w:rPr>
          <w:rFonts w:ascii="Times New Roman" w:hAnsi="Times New Roman"/>
        </w:rPr>
        <w:t>’</w:t>
      </w:r>
      <w:r w:rsidR="00EC05BF" w:rsidRPr="00BC54D1">
        <w:rPr>
          <w:rFonts w:ascii="Times New Roman" w:hAnsi="Times New Roman"/>
        </w:rPr>
        <w:t xml:space="preserve"> R&amp;D spending increases with</w:t>
      </w:r>
      <w:r w:rsidR="009A2BCE" w:rsidRPr="00BC54D1">
        <w:rPr>
          <w:rFonts w:ascii="Times New Roman" w:hAnsi="Times New Roman"/>
        </w:rPr>
        <w:t xml:space="preserve"> </w:t>
      </w:r>
      <w:r w:rsidR="001E2C39" w:rsidRPr="00BC54D1">
        <w:rPr>
          <w:rFonts w:ascii="Times New Roman" w:hAnsi="Times New Roman"/>
        </w:rPr>
        <w:t xml:space="preserve">higher </w:t>
      </w:r>
      <w:r w:rsidR="00EC05BF" w:rsidRPr="00BC54D1">
        <w:rPr>
          <w:rFonts w:ascii="Times New Roman" w:hAnsi="Times New Roman"/>
        </w:rPr>
        <w:t>internal cash flow</w:t>
      </w:r>
      <w:r w:rsidR="003816B9" w:rsidRPr="00BC54D1">
        <w:rPr>
          <w:rFonts w:ascii="Times New Roman" w:hAnsi="Times New Roman"/>
        </w:rPr>
        <w:t>, leverage</w:t>
      </w:r>
      <w:r w:rsidR="00AB72B2" w:rsidRPr="00BC54D1">
        <w:rPr>
          <w:rFonts w:ascii="Times New Roman" w:hAnsi="Times New Roman"/>
        </w:rPr>
        <w:t>,</w:t>
      </w:r>
      <w:r w:rsidR="00EC05BF" w:rsidRPr="00BC54D1">
        <w:rPr>
          <w:rFonts w:ascii="Times New Roman" w:hAnsi="Times New Roman"/>
        </w:rPr>
        <w:t xml:space="preserve"> and industry information quality. Our results remain robust to alternative econometric models. </w:t>
      </w:r>
    </w:p>
    <w:p w14:paraId="01787FE8" w14:textId="5A4F4669" w:rsidR="004A0DAE" w:rsidRPr="00BC54D1" w:rsidRDefault="00102EA9" w:rsidP="00A32C88">
      <w:pPr>
        <w:spacing w:before="120" w:after="120" w:line="360" w:lineRule="auto"/>
        <w:jc w:val="both"/>
        <w:rPr>
          <w:rFonts w:ascii="Times New Roman" w:hAnsi="Times New Roman"/>
        </w:rPr>
      </w:pPr>
      <w:r w:rsidRPr="00BC54D1">
        <w:rPr>
          <w:rFonts w:ascii="Times New Roman" w:hAnsi="Times New Roman"/>
          <w:b/>
        </w:rPr>
        <w:t>Originality/value</w:t>
      </w:r>
      <w:r w:rsidRPr="00BC54D1">
        <w:rPr>
          <w:rFonts w:ascii="Times New Roman" w:hAnsi="Times New Roman"/>
        </w:rPr>
        <w:t xml:space="preserve">: </w:t>
      </w:r>
      <w:r w:rsidR="00EC05BF" w:rsidRPr="00BC54D1">
        <w:rPr>
          <w:rFonts w:ascii="Times New Roman" w:hAnsi="Times New Roman"/>
        </w:rPr>
        <w:t xml:space="preserve">By combining both private and public firms’ datasets, we </w:t>
      </w:r>
      <w:proofErr w:type="gramStart"/>
      <w:r w:rsidR="00EC05BF" w:rsidRPr="00BC54D1">
        <w:rPr>
          <w:rFonts w:ascii="Times New Roman" w:hAnsi="Times New Roman"/>
        </w:rPr>
        <w:t>are able to</w:t>
      </w:r>
      <w:proofErr w:type="gramEnd"/>
      <w:r w:rsidR="00EC05BF" w:rsidRPr="00BC54D1">
        <w:rPr>
          <w:rFonts w:ascii="Times New Roman" w:hAnsi="Times New Roman"/>
        </w:rPr>
        <w:t xml:space="preserve"> provide </w:t>
      </w:r>
      <w:r w:rsidR="006C7C3C" w:rsidRPr="00BC54D1">
        <w:rPr>
          <w:rFonts w:ascii="Times New Roman" w:hAnsi="Times New Roman"/>
        </w:rPr>
        <w:t xml:space="preserve">new </w:t>
      </w:r>
      <w:r w:rsidR="00EC05BF" w:rsidRPr="00BC54D1">
        <w:rPr>
          <w:rFonts w:ascii="Times New Roman" w:hAnsi="Times New Roman"/>
        </w:rPr>
        <w:t>evidence to suggest that the intensity of private firms</w:t>
      </w:r>
      <w:r w:rsidR="00686382" w:rsidRPr="00BC54D1">
        <w:rPr>
          <w:rFonts w:ascii="Times New Roman" w:hAnsi="Times New Roman"/>
        </w:rPr>
        <w:t>’</w:t>
      </w:r>
      <w:r w:rsidR="00EC05BF" w:rsidRPr="00BC54D1">
        <w:rPr>
          <w:rFonts w:ascii="Times New Roman" w:hAnsi="Times New Roman"/>
        </w:rPr>
        <w:t xml:space="preserve"> R&amp;D spending is dependent on internal cash flow, </w:t>
      </w:r>
      <w:r w:rsidR="006C7C3C" w:rsidRPr="00BC54D1">
        <w:rPr>
          <w:rFonts w:ascii="Times New Roman" w:hAnsi="Times New Roman"/>
        </w:rPr>
        <w:t xml:space="preserve">leverage and the </w:t>
      </w:r>
      <w:r w:rsidR="00EC05BF" w:rsidRPr="00BC54D1">
        <w:rPr>
          <w:rFonts w:ascii="Times New Roman" w:hAnsi="Times New Roman"/>
        </w:rPr>
        <w:t xml:space="preserve">industry information </w:t>
      </w:r>
      <w:r w:rsidR="006C7C3C" w:rsidRPr="00BC54D1">
        <w:rPr>
          <w:rFonts w:ascii="Times New Roman" w:hAnsi="Times New Roman"/>
        </w:rPr>
        <w:t xml:space="preserve">level. </w:t>
      </w:r>
      <w:r w:rsidR="00EC05BF" w:rsidRPr="00BC54D1">
        <w:rPr>
          <w:rFonts w:ascii="Times New Roman" w:hAnsi="Times New Roman"/>
        </w:rPr>
        <w:t xml:space="preserve">In fact, to the best of our knowledge, this is the first study that </w:t>
      </w:r>
      <w:r w:rsidR="00EE5870" w:rsidRPr="00BC54D1">
        <w:rPr>
          <w:rFonts w:ascii="Times New Roman" w:hAnsi="Times New Roman"/>
        </w:rPr>
        <w:t>explores</w:t>
      </w:r>
      <w:r w:rsidR="00EC05BF" w:rsidRPr="00BC54D1">
        <w:rPr>
          <w:rFonts w:ascii="Times New Roman" w:hAnsi="Times New Roman"/>
        </w:rPr>
        <w:t xml:space="preserve"> the</w:t>
      </w:r>
      <w:r w:rsidR="00EE5870" w:rsidRPr="00BC54D1">
        <w:rPr>
          <w:rFonts w:ascii="Times New Roman" w:hAnsi="Times New Roman"/>
        </w:rPr>
        <w:t xml:space="preserve">se relationships. </w:t>
      </w:r>
      <w:r w:rsidR="00C521B0" w:rsidRPr="00BC54D1">
        <w:rPr>
          <w:rFonts w:ascii="Times New Roman" w:hAnsi="Times New Roman"/>
        </w:rPr>
        <w:t xml:space="preserve">  </w:t>
      </w:r>
    </w:p>
    <w:p w14:paraId="0C31CDA1" w14:textId="2203C96F" w:rsidR="00BA0AD0" w:rsidRPr="00BC54D1" w:rsidRDefault="00BA0AD0" w:rsidP="00A32C88">
      <w:pPr>
        <w:spacing w:before="120" w:after="120" w:line="360" w:lineRule="auto"/>
        <w:jc w:val="both"/>
        <w:rPr>
          <w:sz w:val="22"/>
        </w:rPr>
      </w:pPr>
      <w:r w:rsidRPr="00BC54D1">
        <w:rPr>
          <w:rFonts w:ascii="Times New Roman" w:hAnsi="Times New Roman"/>
          <w:b/>
          <w:bCs/>
        </w:rPr>
        <w:t>Key words</w:t>
      </w:r>
      <w:r w:rsidRPr="00BC54D1">
        <w:rPr>
          <w:rFonts w:ascii="Times New Roman" w:hAnsi="Times New Roman"/>
        </w:rPr>
        <w:t>: Research and development, private firms, public firms, UK</w:t>
      </w:r>
    </w:p>
    <w:p w14:paraId="05391CB8" w14:textId="77777777" w:rsidR="00074093" w:rsidRPr="00BC54D1" w:rsidRDefault="00074093" w:rsidP="00A32C88">
      <w:pPr>
        <w:spacing w:before="120" w:after="120" w:line="360" w:lineRule="auto"/>
        <w:rPr>
          <w:rFonts w:ascii="Times New Roman" w:hAnsi="Times New Roman"/>
          <w:b/>
          <w:bCs/>
        </w:rPr>
      </w:pPr>
    </w:p>
    <w:p w14:paraId="0434E74C" w14:textId="77777777" w:rsidR="004A0DAE" w:rsidRPr="00BC54D1" w:rsidRDefault="004A0DAE" w:rsidP="00BA0AD0">
      <w:pPr>
        <w:spacing w:before="120" w:after="120" w:line="360" w:lineRule="auto"/>
        <w:rPr>
          <w:rFonts w:ascii="Times New Roman" w:hAnsi="Times New Roman"/>
          <w:b/>
        </w:rPr>
      </w:pPr>
      <w:r w:rsidRPr="00BC54D1">
        <w:rPr>
          <w:rFonts w:ascii="Times New Roman" w:hAnsi="Times New Roman"/>
          <w:b/>
        </w:rPr>
        <w:t>1. Introduction</w:t>
      </w:r>
    </w:p>
    <w:p w14:paraId="2748AE7F" w14:textId="0DE08AEE" w:rsidR="00B46493" w:rsidRPr="00BC54D1" w:rsidRDefault="00B46493" w:rsidP="00A32C88">
      <w:pPr>
        <w:spacing w:before="120" w:after="120" w:line="360" w:lineRule="auto"/>
        <w:jc w:val="both"/>
        <w:rPr>
          <w:rFonts w:ascii="Times New Roman" w:eastAsiaTheme="minorHAnsi" w:hAnsi="Times New Roman"/>
          <w:lang w:eastAsia="en-US"/>
        </w:rPr>
      </w:pPr>
      <w:bookmarkStart w:id="1" w:name="_Hlk76055791"/>
      <w:r w:rsidRPr="00BC54D1">
        <w:rPr>
          <w:rFonts w:ascii="Times New Roman" w:eastAsiaTheme="minorHAnsi" w:hAnsi="Times New Roman"/>
          <w:lang w:eastAsia="en-US"/>
        </w:rPr>
        <w:t xml:space="preserve">Research and development (R&amp;D) investment by both private and public firms has received growing academic interest (see e.g., Ahn </w:t>
      </w:r>
      <w:r w:rsidRPr="00BC54D1">
        <w:rPr>
          <w:rFonts w:ascii="Times New Roman" w:eastAsiaTheme="minorHAnsi" w:hAnsi="Times New Roman"/>
          <w:i/>
          <w:lang w:eastAsia="en-US"/>
        </w:rPr>
        <w:t>et al</w:t>
      </w:r>
      <w:r w:rsidR="00A10C2E" w:rsidRPr="00BC54D1">
        <w:rPr>
          <w:rFonts w:ascii="Times New Roman" w:eastAsiaTheme="minorHAnsi" w:hAnsi="Times New Roman"/>
          <w:lang w:eastAsia="en-US"/>
        </w:rPr>
        <w:t>.</w:t>
      </w:r>
      <w:r w:rsidRPr="00BC54D1">
        <w:rPr>
          <w:rFonts w:ascii="Times New Roman" w:eastAsiaTheme="minorHAnsi" w:hAnsi="Times New Roman"/>
          <w:lang w:eastAsia="en-US"/>
        </w:rPr>
        <w:t xml:space="preserve">, 2020; </w:t>
      </w:r>
      <w:r w:rsidRPr="00BC54D1">
        <w:rPr>
          <w:rFonts w:ascii="Times New Roman" w:eastAsiaTheme="minorHAnsi" w:hAnsi="Times New Roman"/>
          <w:shd w:val="clear" w:color="auto" w:fill="FFFFFF"/>
          <w:lang w:eastAsia="en-US"/>
        </w:rPr>
        <w:t>Boeing, 2016;</w:t>
      </w:r>
      <w:r w:rsidR="00F035CB" w:rsidRPr="00BC54D1">
        <w:rPr>
          <w:rFonts w:ascii="Times New Roman" w:eastAsiaTheme="minorHAnsi" w:hAnsi="Times New Roman"/>
          <w:shd w:val="clear" w:color="auto" w:fill="FFFFFF"/>
          <w:lang w:eastAsia="en-US"/>
        </w:rPr>
        <w:t xml:space="preserve"> </w:t>
      </w:r>
      <w:r w:rsidR="00F035CB" w:rsidRPr="00BC54D1">
        <w:rPr>
          <w:rFonts w:ascii="Times New Roman" w:hAnsi="Times New Roman"/>
        </w:rPr>
        <w:t xml:space="preserve">He and </w:t>
      </w:r>
      <w:proofErr w:type="spellStart"/>
      <w:r w:rsidR="00F035CB" w:rsidRPr="00BC54D1">
        <w:rPr>
          <w:rFonts w:ascii="Times New Roman" w:hAnsi="Times New Roman"/>
        </w:rPr>
        <w:t>Wintoki</w:t>
      </w:r>
      <w:proofErr w:type="spellEnd"/>
      <w:r w:rsidR="00F035CB" w:rsidRPr="00BC54D1">
        <w:rPr>
          <w:rFonts w:ascii="Times New Roman" w:hAnsi="Times New Roman"/>
        </w:rPr>
        <w:t>, 2016; Brown and Petersen, 2011</w:t>
      </w:r>
      <w:r w:rsidR="00F035CB" w:rsidRPr="00BC54D1">
        <w:rPr>
          <w:rFonts w:ascii="Times New Roman" w:eastAsiaTheme="minorHAnsi" w:hAnsi="Times New Roman"/>
          <w:lang w:eastAsia="en-US"/>
        </w:rPr>
        <w:t>;</w:t>
      </w:r>
      <w:r w:rsidR="0044730B" w:rsidRPr="00BC54D1">
        <w:rPr>
          <w:rFonts w:ascii="Times New Roman" w:eastAsiaTheme="minorHAnsi" w:hAnsi="Times New Roman"/>
          <w:lang w:eastAsia="en-US"/>
        </w:rPr>
        <w:t xml:space="preserve"> </w:t>
      </w:r>
      <w:r w:rsidRPr="00BC54D1">
        <w:rPr>
          <w:rFonts w:ascii="Times New Roman" w:eastAsiaTheme="minorHAnsi" w:hAnsi="Times New Roman"/>
          <w:lang w:eastAsia="en-US"/>
        </w:rPr>
        <w:t>Ishibashi and Matsumura, 2006). Evidence suggests that R&amp;D is critical in driving firm innovation and performance (</w:t>
      </w:r>
      <w:r w:rsidRPr="00BC54D1">
        <w:rPr>
          <w:rFonts w:ascii="Times New Roman" w:hAnsi="Times New Roman"/>
          <w:shd w:val="clear" w:color="auto" w:fill="FFFFFF"/>
        </w:rPr>
        <w:t xml:space="preserve">Liu </w:t>
      </w:r>
      <w:r w:rsidRPr="00BC54D1">
        <w:rPr>
          <w:rFonts w:ascii="Times New Roman" w:hAnsi="Times New Roman"/>
          <w:i/>
          <w:shd w:val="clear" w:color="auto" w:fill="FFFFFF"/>
        </w:rPr>
        <w:t>et al</w:t>
      </w:r>
      <w:r w:rsidRPr="00BC54D1">
        <w:rPr>
          <w:rFonts w:ascii="Times New Roman" w:hAnsi="Times New Roman"/>
          <w:shd w:val="clear" w:color="auto" w:fill="FFFFFF"/>
        </w:rPr>
        <w:t xml:space="preserve">., 2021; </w:t>
      </w:r>
      <w:proofErr w:type="spellStart"/>
      <w:r w:rsidRPr="00BC54D1">
        <w:rPr>
          <w:rFonts w:ascii="Times New Roman" w:hAnsi="Times New Roman"/>
          <w:shd w:val="clear" w:color="auto" w:fill="FFFFFF"/>
        </w:rPr>
        <w:t>Alam</w:t>
      </w:r>
      <w:proofErr w:type="spellEnd"/>
      <w:r w:rsidRPr="00BC54D1">
        <w:rPr>
          <w:rFonts w:ascii="Times New Roman" w:hAnsi="Times New Roman"/>
          <w:shd w:val="clear" w:color="auto" w:fill="FFFFFF"/>
        </w:rPr>
        <w:t xml:space="preserve"> </w:t>
      </w:r>
      <w:r w:rsidRPr="00BC54D1">
        <w:rPr>
          <w:rFonts w:ascii="Times New Roman" w:hAnsi="Times New Roman"/>
          <w:i/>
          <w:shd w:val="clear" w:color="auto" w:fill="FFFFFF"/>
        </w:rPr>
        <w:t>et al</w:t>
      </w:r>
      <w:r w:rsidRPr="00BC54D1">
        <w:rPr>
          <w:rFonts w:ascii="Times New Roman" w:hAnsi="Times New Roman"/>
          <w:shd w:val="clear" w:color="auto" w:fill="FFFFFF"/>
        </w:rPr>
        <w:t xml:space="preserve">., 2020; </w:t>
      </w:r>
      <w:proofErr w:type="spellStart"/>
      <w:r w:rsidRPr="00BC54D1">
        <w:rPr>
          <w:rFonts w:ascii="Times New Roman" w:hAnsi="Times New Roman"/>
          <w:shd w:val="clear" w:color="auto" w:fill="FFFFFF"/>
        </w:rPr>
        <w:t>Belderbos</w:t>
      </w:r>
      <w:proofErr w:type="spellEnd"/>
      <w:r w:rsidRPr="00BC54D1">
        <w:rPr>
          <w:rFonts w:ascii="Times New Roman" w:hAnsi="Times New Roman"/>
          <w:shd w:val="clear" w:color="auto" w:fill="FFFFFF"/>
        </w:rPr>
        <w:t xml:space="preserve"> </w:t>
      </w:r>
      <w:r w:rsidRPr="00BC54D1">
        <w:rPr>
          <w:rFonts w:ascii="Times New Roman" w:hAnsi="Times New Roman"/>
          <w:i/>
          <w:shd w:val="clear" w:color="auto" w:fill="FFFFFF"/>
        </w:rPr>
        <w:t>et al</w:t>
      </w:r>
      <w:r w:rsidRPr="00BC54D1">
        <w:rPr>
          <w:rFonts w:ascii="Times New Roman" w:hAnsi="Times New Roman"/>
          <w:shd w:val="clear" w:color="auto" w:fill="FFFFFF"/>
        </w:rPr>
        <w:t>., 2004</w:t>
      </w:r>
      <w:r w:rsidRPr="00BC54D1">
        <w:rPr>
          <w:rFonts w:ascii="Times New Roman" w:eastAsiaTheme="minorHAnsi" w:hAnsi="Times New Roman"/>
          <w:lang w:eastAsia="en-US"/>
        </w:rPr>
        <w:t>). For instance, Falk (2012) observe</w:t>
      </w:r>
      <w:r w:rsidR="00042CA6" w:rsidRPr="00BC54D1">
        <w:rPr>
          <w:rFonts w:ascii="Times New Roman" w:eastAsiaTheme="minorHAnsi" w:hAnsi="Times New Roman"/>
          <w:lang w:eastAsia="en-US"/>
        </w:rPr>
        <w:t>s</w:t>
      </w:r>
      <w:r w:rsidRPr="00BC54D1">
        <w:rPr>
          <w:rFonts w:ascii="Times New Roman" w:eastAsiaTheme="minorHAnsi" w:hAnsi="Times New Roman"/>
          <w:lang w:eastAsia="en-US"/>
        </w:rPr>
        <w:t xml:space="preserve"> that firm-level R&amp;D drives firm growth.</w:t>
      </w:r>
      <w:r w:rsidR="006C2D69" w:rsidRPr="00BC54D1">
        <w:rPr>
          <w:rFonts w:ascii="Times New Roman" w:eastAsiaTheme="minorHAnsi" w:hAnsi="Times New Roman"/>
          <w:lang w:eastAsia="en-US"/>
        </w:rPr>
        <w:t xml:space="preserve"> </w:t>
      </w:r>
      <w:r w:rsidRPr="00BC54D1">
        <w:rPr>
          <w:rFonts w:ascii="Times New Roman" w:eastAsiaTheme="minorHAnsi" w:hAnsi="Times New Roman"/>
          <w:lang w:eastAsia="en-US"/>
        </w:rPr>
        <w:t xml:space="preserve">A similar view is shared by many other authors (see e.g., Lee </w:t>
      </w:r>
      <w:r w:rsidR="006C2D69" w:rsidRPr="00BC54D1">
        <w:rPr>
          <w:rFonts w:ascii="Times New Roman" w:eastAsiaTheme="minorHAnsi" w:hAnsi="Times New Roman"/>
          <w:lang w:eastAsia="en-US"/>
        </w:rPr>
        <w:t xml:space="preserve">and </w:t>
      </w:r>
      <w:r w:rsidRPr="00BC54D1">
        <w:rPr>
          <w:rFonts w:ascii="Times New Roman" w:eastAsiaTheme="minorHAnsi" w:hAnsi="Times New Roman"/>
          <w:lang w:eastAsia="en-US"/>
        </w:rPr>
        <w:t xml:space="preserve">Min, 2015; </w:t>
      </w:r>
      <w:r w:rsidRPr="00BC54D1">
        <w:rPr>
          <w:rFonts w:ascii="Times New Roman" w:hAnsi="Times New Roman"/>
          <w:shd w:val="clear" w:color="auto" w:fill="FFFFFF"/>
        </w:rPr>
        <w:t xml:space="preserve">Hung </w:t>
      </w:r>
      <w:r w:rsidR="006C2D69" w:rsidRPr="00BC54D1">
        <w:rPr>
          <w:rFonts w:ascii="Times New Roman" w:hAnsi="Times New Roman"/>
          <w:shd w:val="clear" w:color="auto" w:fill="FFFFFF"/>
        </w:rPr>
        <w:t xml:space="preserve">and </w:t>
      </w:r>
      <w:r w:rsidRPr="00BC54D1">
        <w:rPr>
          <w:rFonts w:ascii="Times New Roman" w:hAnsi="Times New Roman"/>
          <w:shd w:val="clear" w:color="auto" w:fill="FFFFFF"/>
        </w:rPr>
        <w:t xml:space="preserve">Chou, 2013; Sher </w:t>
      </w:r>
      <w:r w:rsidR="006C2D69" w:rsidRPr="00BC54D1">
        <w:rPr>
          <w:rFonts w:ascii="Times New Roman" w:hAnsi="Times New Roman"/>
          <w:shd w:val="clear" w:color="auto" w:fill="FFFFFF"/>
        </w:rPr>
        <w:t xml:space="preserve">and </w:t>
      </w:r>
      <w:r w:rsidRPr="00BC54D1">
        <w:rPr>
          <w:rFonts w:ascii="Times New Roman" w:hAnsi="Times New Roman"/>
          <w:shd w:val="clear" w:color="auto" w:fill="FFFFFF"/>
        </w:rPr>
        <w:t>Yang, 2005</w:t>
      </w:r>
      <w:r w:rsidRPr="00BC54D1">
        <w:rPr>
          <w:rFonts w:ascii="Times New Roman" w:eastAsiaTheme="minorHAnsi" w:hAnsi="Times New Roman"/>
          <w:lang w:eastAsia="en-US"/>
        </w:rPr>
        <w:t xml:space="preserve">). In the same vein, R&amp;D is seen as an important businesses strategy for maintaining </w:t>
      </w:r>
      <w:r w:rsidR="006C2D69" w:rsidRPr="00BC54D1">
        <w:rPr>
          <w:rFonts w:ascii="Times New Roman" w:eastAsiaTheme="minorHAnsi" w:hAnsi="Times New Roman"/>
          <w:lang w:eastAsia="en-US"/>
        </w:rPr>
        <w:t xml:space="preserve">a </w:t>
      </w:r>
      <w:r w:rsidR="002B48A6" w:rsidRPr="00BC54D1">
        <w:rPr>
          <w:rFonts w:ascii="Times New Roman" w:eastAsiaTheme="minorHAnsi" w:hAnsi="Times New Roman"/>
          <w:lang w:eastAsia="en-US"/>
        </w:rPr>
        <w:t xml:space="preserve">firm’s </w:t>
      </w:r>
      <w:r w:rsidRPr="00BC54D1">
        <w:rPr>
          <w:rFonts w:ascii="Times New Roman" w:eastAsiaTheme="minorHAnsi" w:hAnsi="Times New Roman"/>
          <w:lang w:eastAsia="en-US"/>
        </w:rPr>
        <w:t xml:space="preserve">competitiveness </w:t>
      </w:r>
      <w:r w:rsidR="006C2D69" w:rsidRPr="00BC54D1">
        <w:rPr>
          <w:rFonts w:ascii="Times New Roman" w:eastAsiaTheme="minorHAnsi" w:hAnsi="Times New Roman"/>
          <w:lang w:eastAsia="en-US"/>
        </w:rPr>
        <w:t>i</w:t>
      </w:r>
      <w:r w:rsidRPr="00BC54D1">
        <w:rPr>
          <w:rFonts w:ascii="Times New Roman" w:eastAsiaTheme="minorHAnsi" w:hAnsi="Times New Roman"/>
          <w:lang w:eastAsia="en-US"/>
        </w:rPr>
        <w:t>n the market (</w:t>
      </w:r>
      <w:r w:rsidRPr="00BC54D1">
        <w:rPr>
          <w:rFonts w:ascii="Times New Roman" w:hAnsi="Times New Roman"/>
          <w:shd w:val="clear" w:color="auto" w:fill="FFFFFF"/>
        </w:rPr>
        <w:t>Boiko, 2021</w:t>
      </w:r>
      <w:r w:rsidRPr="00BC54D1">
        <w:rPr>
          <w:rFonts w:ascii="Times New Roman" w:eastAsiaTheme="minorHAnsi" w:hAnsi="Times New Roman"/>
          <w:lang w:eastAsia="en-US"/>
        </w:rPr>
        <w:t xml:space="preserve">). Thus, firms that engage in R&amp;D should have superior performance and competitive advantage </w:t>
      </w:r>
      <w:r w:rsidR="00EB5F2A" w:rsidRPr="00BC54D1">
        <w:rPr>
          <w:rFonts w:ascii="Times New Roman" w:eastAsiaTheme="minorHAnsi" w:hAnsi="Times New Roman"/>
          <w:lang w:eastAsia="en-US"/>
        </w:rPr>
        <w:t xml:space="preserve">over </w:t>
      </w:r>
      <w:r w:rsidRPr="00BC54D1">
        <w:rPr>
          <w:rFonts w:ascii="Times New Roman" w:eastAsiaTheme="minorHAnsi" w:hAnsi="Times New Roman"/>
          <w:lang w:eastAsia="en-US"/>
        </w:rPr>
        <w:t xml:space="preserve">those that engage less in R&amp;D. </w:t>
      </w:r>
      <w:r w:rsidR="00AB762F" w:rsidRPr="00BC54D1">
        <w:rPr>
          <w:rFonts w:ascii="Times New Roman" w:eastAsiaTheme="minorHAnsi" w:hAnsi="Times New Roman"/>
          <w:lang w:eastAsia="en-US"/>
        </w:rPr>
        <w:t xml:space="preserve">Broadly, there is an overwhelming </w:t>
      </w:r>
      <w:r w:rsidR="00600F1E" w:rsidRPr="00BC54D1">
        <w:rPr>
          <w:rFonts w:ascii="Times New Roman" w:eastAsiaTheme="minorHAnsi" w:hAnsi="Times New Roman"/>
          <w:lang w:eastAsia="en-US"/>
        </w:rPr>
        <w:t>acknowledgment</w:t>
      </w:r>
      <w:r w:rsidR="00AB762F" w:rsidRPr="00BC54D1">
        <w:rPr>
          <w:rFonts w:ascii="Times New Roman" w:eastAsiaTheme="minorHAnsi" w:hAnsi="Times New Roman"/>
          <w:lang w:eastAsia="en-US"/>
        </w:rPr>
        <w:t xml:space="preserve"> in the literature o</w:t>
      </w:r>
      <w:r w:rsidR="006C2D69" w:rsidRPr="00BC54D1">
        <w:rPr>
          <w:rFonts w:ascii="Times New Roman" w:eastAsiaTheme="minorHAnsi" w:hAnsi="Times New Roman"/>
          <w:lang w:eastAsia="en-US"/>
        </w:rPr>
        <w:t>f</w:t>
      </w:r>
      <w:r w:rsidR="00AB762F" w:rsidRPr="00BC54D1">
        <w:rPr>
          <w:rFonts w:ascii="Times New Roman" w:eastAsiaTheme="minorHAnsi" w:hAnsi="Times New Roman"/>
          <w:lang w:eastAsia="en-US"/>
        </w:rPr>
        <w:t xml:space="preserve"> the importance of R&amp;D in driving firm-level innovati</w:t>
      </w:r>
      <w:r w:rsidR="00D21E0C" w:rsidRPr="00BC54D1">
        <w:rPr>
          <w:rFonts w:ascii="Times New Roman" w:eastAsiaTheme="minorHAnsi" w:hAnsi="Times New Roman"/>
          <w:lang w:eastAsia="en-US"/>
        </w:rPr>
        <w:t>on</w:t>
      </w:r>
      <w:r w:rsidR="00AB762F" w:rsidRPr="00BC54D1">
        <w:rPr>
          <w:rFonts w:ascii="Times New Roman" w:eastAsiaTheme="minorHAnsi" w:hAnsi="Times New Roman"/>
          <w:lang w:eastAsia="en-US"/>
        </w:rPr>
        <w:t xml:space="preserve"> and performance. </w:t>
      </w:r>
    </w:p>
    <w:p w14:paraId="607F0725" w14:textId="6672C9E4" w:rsidR="002C0669" w:rsidRPr="00BC54D1" w:rsidRDefault="7759D9CA" w:rsidP="7759D9CA">
      <w:pPr>
        <w:spacing w:before="120" w:after="120" w:line="360" w:lineRule="auto"/>
        <w:jc w:val="both"/>
        <w:rPr>
          <w:rFonts w:ascii="Times New Roman" w:eastAsiaTheme="minorEastAsia" w:hAnsi="Times New Roman"/>
          <w:lang w:eastAsia="en-US"/>
        </w:rPr>
      </w:pPr>
      <w:r w:rsidRPr="00BC54D1">
        <w:rPr>
          <w:rFonts w:ascii="Times New Roman" w:eastAsiaTheme="minorEastAsia" w:hAnsi="Times New Roman"/>
          <w:lang w:eastAsia="en-US"/>
        </w:rPr>
        <w:t xml:space="preserve">Despite this critical role played by R&amp;D, existing evidence on whether private firms invest more in R&amp;D activities than public firms are mixed. Comparatively, very limited numbers of studies </w:t>
      </w:r>
      <w:r w:rsidRPr="00BC54D1">
        <w:rPr>
          <w:rFonts w:ascii="Times New Roman" w:eastAsiaTheme="minorEastAsia" w:hAnsi="Times New Roman"/>
          <w:lang w:eastAsia="en-US"/>
        </w:rPr>
        <w:lastRenderedPageBreak/>
        <w:t xml:space="preserve">examine the spending pattern of both private and public firms on R&amp;D activities. Also, we are unsure whether industry-level information matters in firms’ R&amp;D spending. Thus, in this study, we examine R&amp;D spending intensity in private and public firms. To the best of our knowledge, no past study has explored the R&amp;D intensity of private and public UK firms. Indeed, </w:t>
      </w:r>
      <w:r w:rsidRPr="00BC54D1">
        <w:rPr>
          <w:rFonts w:ascii="Times New Roman" w:hAnsi="Times New Roman"/>
        </w:rPr>
        <w:t xml:space="preserve">examining the R&amp;D intensity of these two categories of firms is essential in that it provides important insight into the extent to which firms commit resources into this course. In addition, since private firms are more likely to face financial constraints than public firms (Acharya and Xu, 2017; Gao </w:t>
      </w:r>
      <w:r w:rsidRPr="00BC54D1">
        <w:rPr>
          <w:rFonts w:ascii="Times New Roman" w:hAnsi="Times New Roman"/>
          <w:i/>
          <w:iCs/>
        </w:rPr>
        <w:t>et al</w:t>
      </w:r>
      <w:r w:rsidRPr="00BC54D1">
        <w:rPr>
          <w:rFonts w:ascii="Times New Roman" w:hAnsi="Times New Roman"/>
        </w:rPr>
        <w:t xml:space="preserve">., 2013), private firms are more likely to sponsor R&amp;D activities from their internally generated funds than public firms are. Thus, we investigate the extent to which internal cash flow and leverage affect the R&amp;D spending intensity of both private and public firms. Additionally, we seek to understand the extent to which industry information quality drives private – public firms’ R&amp;D intensity behaviour. Indeed, evidence depicts that public firms are seen to operate in a more transparent environment and disclose more information than their private counterparts (Aggarwal and Hsu, 2014). In line with this, private firms operating in a more informational flow environment or industry are more likely to respond quickly to anticipated investment opportunities in that industry (Badertscher </w:t>
      </w:r>
      <w:r w:rsidRPr="00BC54D1">
        <w:rPr>
          <w:rFonts w:ascii="Times New Roman" w:hAnsi="Times New Roman"/>
          <w:i/>
          <w:iCs/>
        </w:rPr>
        <w:t>et al</w:t>
      </w:r>
      <w:r w:rsidRPr="00BC54D1">
        <w:rPr>
          <w:rFonts w:ascii="Times New Roman" w:hAnsi="Times New Roman"/>
        </w:rPr>
        <w:t>., 2013). Thus, the level of industry information can facilitate private firms’ engagement in innovation (R&amp;D) intensity.</w:t>
      </w:r>
      <w:r w:rsidRPr="00BC54D1">
        <w:rPr>
          <w:rFonts w:ascii="Times New Roman" w:eastAsiaTheme="minorEastAsia" w:hAnsi="Times New Roman"/>
          <w:lang w:eastAsia="en-US"/>
        </w:rPr>
        <w:t xml:space="preserve"> </w:t>
      </w:r>
    </w:p>
    <w:p w14:paraId="3EE1BE9D" w14:textId="0393BF9F" w:rsidR="00521F1C" w:rsidRPr="00BC54D1" w:rsidRDefault="00521F1C" w:rsidP="00A32C88">
      <w:pPr>
        <w:spacing w:before="120" w:after="120" w:line="360" w:lineRule="auto"/>
        <w:jc w:val="both"/>
        <w:rPr>
          <w:rFonts w:ascii="Times New Roman" w:hAnsi="Times New Roman"/>
        </w:rPr>
      </w:pPr>
      <w:r w:rsidRPr="00BC54D1">
        <w:rPr>
          <w:rFonts w:ascii="Times New Roman" w:eastAsiaTheme="minorHAnsi" w:hAnsi="Times New Roman"/>
          <w:lang w:eastAsia="en-US"/>
        </w:rPr>
        <w:t xml:space="preserve">In addressing the above objectives, we use data from both private and public </w:t>
      </w:r>
      <w:r w:rsidR="00BC7755" w:rsidRPr="00BC54D1">
        <w:rPr>
          <w:rFonts w:ascii="Times New Roman" w:eastAsiaTheme="minorHAnsi" w:hAnsi="Times New Roman"/>
          <w:lang w:eastAsia="en-US"/>
        </w:rPr>
        <w:t xml:space="preserve">firms </w:t>
      </w:r>
      <w:r w:rsidRPr="00BC54D1">
        <w:rPr>
          <w:rFonts w:ascii="Times New Roman" w:eastAsiaTheme="minorHAnsi" w:hAnsi="Times New Roman"/>
          <w:lang w:eastAsia="en-US"/>
        </w:rPr>
        <w:t>from the UK for the period 200</w:t>
      </w:r>
      <w:r w:rsidR="0088664A" w:rsidRPr="00BC54D1">
        <w:rPr>
          <w:rFonts w:ascii="Times New Roman" w:eastAsiaTheme="minorHAnsi" w:hAnsi="Times New Roman"/>
          <w:lang w:eastAsia="en-US"/>
        </w:rPr>
        <w:t>6</w:t>
      </w:r>
      <w:r w:rsidRPr="00BC54D1">
        <w:rPr>
          <w:rFonts w:ascii="Times New Roman" w:eastAsiaTheme="minorHAnsi" w:hAnsi="Times New Roman"/>
          <w:lang w:eastAsia="en-US"/>
        </w:rPr>
        <w:t>-201</w:t>
      </w:r>
      <w:r w:rsidR="003B3CE8" w:rsidRPr="00BC54D1">
        <w:rPr>
          <w:rFonts w:ascii="Times New Roman" w:eastAsiaTheme="minorHAnsi" w:hAnsi="Times New Roman"/>
          <w:lang w:eastAsia="en-US"/>
        </w:rPr>
        <w:t>6</w:t>
      </w:r>
      <w:r w:rsidRPr="00BC54D1">
        <w:rPr>
          <w:rFonts w:ascii="Times New Roman" w:eastAsiaTheme="minorHAnsi" w:hAnsi="Times New Roman"/>
          <w:lang w:eastAsia="en-US"/>
        </w:rPr>
        <w:t xml:space="preserve"> and conduct our analysis by using </w:t>
      </w:r>
      <w:proofErr w:type="spellStart"/>
      <w:r w:rsidR="000675D7" w:rsidRPr="00BC54D1">
        <w:rPr>
          <w:rFonts w:ascii="Times New Roman" w:hAnsi="Times New Roman"/>
        </w:rPr>
        <w:t>probit</w:t>
      </w:r>
      <w:proofErr w:type="spellEnd"/>
      <w:r w:rsidR="000675D7" w:rsidRPr="00BC54D1">
        <w:rPr>
          <w:rFonts w:ascii="Times New Roman" w:hAnsi="Times New Roman"/>
        </w:rPr>
        <w:t xml:space="preserve"> </w:t>
      </w:r>
      <w:r w:rsidRPr="00BC54D1">
        <w:rPr>
          <w:rFonts w:ascii="Times New Roman" w:eastAsiaTheme="minorHAnsi" w:hAnsi="Times New Roman"/>
          <w:lang w:eastAsia="en-US"/>
        </w:rPr>
        <w:t xml:space="preserve">regression model. Our result from this study indicates that </w:t>
      </w:r>
      <w:r w:rsidRPr="00BC54D1">
        <w:rPr>
          <w:rFonts w:ascii="Times New Roman" w:hAnsi="Times New Roman"/>
        </w:rPr>
        <w:t xml:space="preserve">private firms are less likely to aggressively </w:t>
      </w:r>
      <w:r w:rsidR="00D528B1" w:rsidRPr="00BC54D1">
        <w:rPr>
          <w:rFonts w:ascii="Times New Roman" w:hAnsi="Times New Roman"/>
        </w:rPr>
        <w:t xml:space="preserve">engage in </w:t>
      </w:r>
      <w:r w:rsidRPr="00BC54D1">
        <w:rPr>
          <w:rFonts w:ascii="Times New Roman" w:hAnsi="Times New Roman"/>
        </w:rPr>
        <w:t>R&amp;D</w:t>
      </w:r>
      <w:r w:rsidR="00CC7041" w:rsidRPr="00BC54D1">
        <w:rPr>
          <w:rFonts w:ascii="Times New Roman" w:hAnsi="Times New Roman"/>
        </w:rPr>
        <w:t xml:space="preserve"> </w:t>
      </w:r>
      <w:r w:rsidRPr="00BC54D1">
        <w:rPr>
          <w:rFonts w:ascii="Times New Roman" w:hAnsi="Times New Roman"/>
        </w:rPr>
        <w:t xml:space="preserve">intensity. This result remains qualitatively </w:t>
      </w:r>
      <w:proofErr w:type="gramStart"/>
      <w:r w:rsidRPr="00BC54D1">
        <w:rPr>
          <w:rFonts w:ascii="Times New Roman" w:hAnsi="Times New Roman"/>
        </w:rPr>
        <w:t>similar to</w:t>
      </w:r>
      <w:proofErr w:type="gramEnd"/>
      <w:r w:rsidRPr="00BC54D1">
        <w:rPr>
          <w:rFonts w:ascii="Times New Roman" w:hAnsi="Times New Roman"/>
        </w:rPr>
        <w:t xml:space="preserve"> alternative econometric modelling. Next, </w:t>
      </w:r>
      <w:r w:rsidR="0017777E" w:rsidRPr="00BC54D1">
        <w:rPr>
          <w:rFonts w:ascii="Times New Roman" w:hAnsi="Times New Roman"/>
        </w:rPr>
        <w:t xml:space="preserve">our </w:t>
      </w:r>
      <w:r w:rsidRPr="00BC54D1">
        <w:rPr>
          <w:rFonts w:ascii="Times New Roman" w:hAnsi="Times New Roman"/>
        </w:rPr>
        <w:t xml:space="preserve">results indicate that private firms in the technology sector are more likely to allocate </w:t>
      </w:r>
      <w:r w:rsidR="00467C4F" w:rsidRPr="00BC54D1">
        <w:rPr>
          <w:rFonts w:ascii="Times New Roman" w:hAnsi="Times New Roman"/>
        </w:rPr>
        <w:t xml:space="preserve">greater </w:t>
      </w:r>
      <w:r w:rsidRPr="00BC54D1">
        <w:rPr>
          <w:rFonts w:ascii="Times New Roman" w:hAnsi="Times New Roman"/>
        </w:rPr>
        <w:t xml:space="preserve">resources into investment in R&amp;D than their non-technology counterparts. Further, we observe that private firms are likely to </w:t>
      </w:r>
      <w:r w:rsidR="00854D6A" w:rsidRPr="00BC54D1">
        <w:rPr>
          <w:rFonts w:ascii="Times New Roman" w:hAnsi="Times New Roman"/>
        </w:rPr>
        <w:t xml:space="preserve">rely </w:t>
      </w:r>
      <w:r w:rsidR="003A0B07" w:rsidRPr="00BC54D1">
        <w:rPr>
          <w:rFonts w:ascii="Times New Roman" w:hAnsi="Times New Roman"/>
        </w:rPr>
        <w:t xml:space="preserve">more </w:t>
      </w:r>
      <w:r w:rsidR="00854D6A" w:rsidRPr="00BC54D1">
        <w:rPr>
          <w:rFonts w:ascii="Times New Roman" w:hAnsi="Times New Roman"/>
        </w:rPr>
        <w:t xml:space="preserve">on internal cash flow </w:t>
      </w:r>
      <w:r w:rsidR="009914BE" w:rsidRPr="00BC54D1">
        <w:rPr>
          <w:rFonts w:ascii="Times New Roman" w:hAnsi="Times New Roman"/>
        </w:rPr>
        <w:t xml:space="preserve">and leverage </w:t>
      </w:r>
      <w:r w:rsidR="00854D6A" w:rsidRPr="00BC54D1">
        <w:rPr>
          <w:rFonts w:ascii="Times New Roman" w:hAnsi="Times New Roman"/>
        </w:rPr>
        <w:t>to sponsor</w:t>
      </w:r>
      <w:r w:rsidRPr="00BC54D1">
        <w:rPr>
          <w:rFonts w:ascii="Times New Roman" w:hAnsi="Times New Roman"/>
        </w:rPr>
        <w:t xml:space="preserve"> R&amp;D intensity than th</w:t>
      </w:r>
      <w:r w:rsidR="003A0B07" w:rsidRPr="00BC54D1">
        <w:rPr>
          <w:rFonts w:ascii="Times New Roman" w:hAnsi="Times New Roman"/>
        </w:rPr>
        <w:t>eir</w:t>
      </w:r>
      <w:r w:rsidRPr="00BC54D1">
        <w:rPr>
          <w:rFonts w:ascii="Times New Roman" w:hAnsi="Times New Roman"/>
        </w:rPr>
        <w:t xml:space="preserve"> </w:t>
      </w:r>
      <w:r w:rsidR="003A0B07" w:rsidRPr="00BC54D1">
        <w:rPr>
          <w:rFonts w:ascii="Times New Roman" w:hAnsi="Times New Roman"/>
        </w:rPr>
        <w:t>public counterparts</w:t>
      </w:r>
      <w:r w:rsidRPr="00BC54D1">
        <w:rPr>
          <w:rFonts w:ascii="Times New Roman" w:hAnsi="Times New Roman"/>
        </w:rPr>
        <w:t xml:space="preserve">. Finally, our </w:t>
      </w:r>
      <w:r w:rsidR="00D528B1" w:rsidRPr="00BC54D1">
        <w:rPr>
          <w:rFonts w:ascii="Times New Roman" w:hAnsi="Times New Roman"/>
        </w:rPr>
        <w:t xml:space="preserve">study </w:t>
      </w:r>
      <w:r w:rsidRPr="00BC54D1">
        <w:rPr>
          <w:rFonts w:ascii="Times New Roman" w:hAnsi="Times New Roman"/>
        </w:rPr>
        <w:t xml:space="preserve">shows that private firms operating in </w:t>
      </w:r>
      <w:r w:rsidR="00D9783B" w:rsidRPr="00BC54D1">
        <w:rPr>
          <w:rFonts w:ascii="Times New Roman" w:hAnsi="Times New Roman"/>
        </w:rPr>
        <w:t xml:space="preserve">an industry with </w:t>
      </w:r>
      <w:r w:rsidRPr="00BC54D1">
        <w:rPr>
          <w:rFonts w:ascii="Times New Roman" w:hAnsi="Times New Roman"/>
        </w:rPr>
        <w:t>high public firms’ presence</w:t>
      </w:r>
      <w:r w:rsidR="00D90701" w:rsidRPr="00BC54D1">
        <w:rPr>
          <w:rFonts w:ascii="Times New Roman" w:hAnsi="Times New Roman"/>
        </w:rPr>
        <w:t xml:space="preserve"> (information quality)</w:t>
      </w:r>
      <w:r w:rsidR="00A5683C" w:rsidRPr="00BC54D1">
        <w:rPr>
          <w:rFonts w:ascii="Times New Roman" w:hAnsi="Times New Roman"/>
        </w:rPr>
        <w:t xml:space="preserve"> </w:t>
      </w:r>
      <w:r w:rsidRPr="00BC54D1">
        <w:rPr>
          <w:rFonts w:ascii="Times New Roman" w:hAnsi="Times New Roman"/>
        </w:rPr>
        <w:t xml:space="preserve">are more likely to engage in innovation </w:t>
      </w:r>
      <w:r w:rsidR="003A0B07" w:rsidRPr="00BC54D1">
        <w:rPr>
          <w:rFonts w:ascii="Times New Roman" w:hAnsi="Times New Roman"/>
        </w:rPr>
        <w:t xml:space="preserve">(R&amp;D) </w:t>
      </w:r>
      <w:r w:rsidRPr="00BC54D1">
        <w:rPr>
          <w:rFonts w:ascii="Times New Roman" w:hAnsi="Times New Roman"/>
        </w:rPr>
        <w:t>intensity.</w:t>
      </w:r>
    </w:p>
    <w:p w14:paraId="641A16B7" w14:textId="567FE43F" w:rsidR="00C062CA" w:rsidRPr="00BC54D1" w:rsidRDefault="00752956" w:rsidP="00A32C88">
      <w:pPr>
        <w:spacing w:before="120" w:after="120" w:line="360" w:lineRule="auto"/>
        <w:jc w:val="both"/>
        <w:rPr>
          <w:rFonts w:ascii="Times New Roman" w:hAnsi="Times New Roman"/>
        </w:rPr>
      </w:pPr>
      <w:r w:rsidRPr="00BC54D1">
        <w:rPr>
          <w:rFonts w:ascii="Times New Roman" w:hAnsi="Times New Roman"/>
        </w:rPr>
        <w:t xml:space="preserve">We make primary contributions to the literature in the following ways. First, we contribute to the literature on R&amp;D </w:t>
      </w:r>
      <w:r w:rsidR="00AE34F6" w:rsidRPr="00BC54D1">
        <w:rPr>
          <w:rFonts w:ascii="Times New Roman" w:hAnsi="Times New Roman"/>
        </w:rPr>
        <w:t xml:space="preserve">investment </w:t>
      </w:r>
      <w:r w:rsidRPr="00BC54D1">
        <w:rPr>
          <w:rFonts w:ascii="Times New Roman" w:hAnsi="Times New Roman"/>
        </w:rPr>
        <w:t xml:space="preserve">(see e.g., </w:t>
      </w:r>
      <w:r w:rsidRPr="00BC54D1">
        <w:rPr>
          <w:rFonts w:ascii="Times New Roman" w:hAnsi="Times New Roman"/>
          <w:shd w:val="clear" w:color="auto" w:fill="FFFFFF"/>
        </w:rPr>
        <w:t xml:space="preserve">Leung and Sharma, 2021; </w:t>
      </w:r>
      <w:r w:rsidRPr="00BC54D1">
        <w:rPr>
          <w:rFonts w:ascii="Times New Roman" w:hAnsi="Times New Roman"/>
          <w:bCs/>
        </w:rPr>
        <w:t xml:space="preserve">Adomako </w:t>
      </w:r>
      <w:r w:rsidRPr="00BC54D1">
        <w:rPr>
          <w:rFonts w:ascii="Times New Roman" w:hAnsi="Times New Roman"/>
          <w:bCs/>
          <w:i/>
        </w:rPr>
        <w:t>et al</w:t>
      </w:r>
      <w:r w:rsidR="00A10C2E" w:rsidRPr="00BC54D1">
        <w:rPr>
          <w:rFonts w:ascii="Times New Roman" w:hAnsi="Times New Roman"/>
          <w:bCs/>
        </w:rPr>
        <w:t>.</w:t>
      </w:r>
      <w:r w:rsidRPr="00BC54D1">
        <w:rPr>
          <w:rFonts w:ascii="Times New Roman" w:hAnsi="Times New Roman"/>
          <w:bCs/>
        </w:rPr>
        <w:t xml:space="preserve">, 2019; </w:t>
      </w:r>
      <w:r w:rsidRPr="00BC54D1">
        <w:rPr>
          <w:rFonts w:ascii="Times New Roman" w:hAnsi="Times New Roman"/>
          <w:shd w:val="clear" w:color="auto" w:fill="FFFFFF"/>
        </w:rPr>
        <w:t>Padgett and Galan, 2010</w:t>
      </w:r>
      <w:r w:rsidRPr="00BC54D1">
        <w:rPr>
          <w:rFonts w:ascii="Times New Roman" w:hAnsi="Times New Roman"/>
        </w:rPr>
        <w:t xml:space="preserve">). While our paper builds on the R&amp;D </w:t>
      </w:r>
      <w:r w:rsidR="00A16ED5" w:rsidRPr="00BC54D1">
        <w:rPr>
          <w:rFonts w:ascii="Times New Roman" w:hAnsi="Times New Roman"/>
        </w:rPr>
        <w:t xml:space="preserve">investment </w:t>
      </w:r>
      <w:r w:rsidRPr="00BC54D1">
        <w:rPr>
          <w:rFonts w:ascii="Times New Roman" w:hAnsi="Times New Roman"/>
        </w:rPr>
        <w:t>literature, to the best of our knowledge, it is one of the first attempts to explore how R&amp;D investment varies across both private and public firms</w:t>
      </w:r>
      <w:r w:rsidR="00370E41" w:rsidRPr="00BC54D1">
        <w:rPr>
          <w:rFonts w:ascii="Times New Roman" w:hAnsi="Times New Roman"/>
        </w:rPr>
        <w:t>.</w:t>
      </w:r>
      <w:r w:rsidRPr="00BC54D1">
        <w:rPr>
          <w:rFonts w:ascii="Times New Roman" w:hAnsi="Times New Roman"/>
        </w:rPr>
        <w:t xml:space="preserve"> </w:t>
      </w:r>
      <w:r w:rsidR="00C062CA" w:rsidRPr="00BC54D1">
        <w:rPr>
          <w:rFonts w:ascii="Times New Roman" w:hAnsi="Times New Roman"/>
        </w:rPr>
        <w:t xml:space="preserve">Second, we demonstrate that private firms are more likely to finance R&amp;D intensity from the internally generated cash flow </w:t>
      </w:r>
      <w:r w:rsidR="00B32F4A" w:rsidRPr="00BC54D1">
        <w:rPr>
          <w:rFonts w:ascii="Times New Roman" w:hAnsi="Times New Roman"/>
        </w:rPr>
        <w:t>compared to the public ones. This supports</w:t>
      </w:r>
      <w:r w:rsidR="00C062CA" w:rsidRPr="00BC54D1">
        <w:rPr>
          <w:rFonts w:ascii="Times New Roman" w:hAnsi="Times New Roman"/>
        </w:rPr>
        <w:t xml:space="preserve"> </w:t>
      </w:r>
      <w:r w:rsidR="00B32F4A" w:rsidRPr="00BC54D1">
        <w:rPr>
          <w:rFonts w:ascii="Times New Roman" w:hAnsi="Times New Roman"/>
        </w:rPr>
        <w:t>private firms</w:t>
      </w:r>
      <w:r w:rsidR="00A32C88" w:rsidRPr="00BC54D1">
        <w:rPr>
          <w:rFonts w:ascii="Times New Roman" w:hAnsi="Times New Roman"/>
        </w:rPr>
        <w:t>’</w:t>
      </w:r>
      <w:r w:rsidR="00C062CA" w:rsidRPr="00BC54D1">
        <w:rPr>
          <w:rFonts w:ascii="Times New Roman" w:hAnsi="Times New Roman"/>
        </w:rPr>
        <w:t xml:space="preserve"> financial inflexibility problem (</w:t>
      </w:r>
      <w:r w:rsidR="006D7E05" w:rsidRPr="00BC54D1">
        <w:rPr>
          <w:rFonts w:ascii="Times New Roman" w:hAnsi="Times New Roman"/>
        </w:rPr>
        <w:t xml:space="preserve">e.g., </w:t>
      </w:r>
      <w:r w:rsidR="005B1892" w:rsidRPr="00BC54D1">
        <w:rPr>
          <w:rFonts w:ascii="Times New Roman" w:hAnsi="Times New Roman"/>
        </w:rPr>
        <w:t xml:space="preserve">Acharya and Xu, 2017; </w:t>
      </w:r>
      <w:r w:rsidR="00C062CA" w:rsidRPr="00BC54D1">
        <w:rPr>
          <w:rFonts w:ascii="Times New Roman" w:hAnsi="Times New Roman"/>
        </w:rPr>
        <w:t>Badertscher</w:t>
      </w:r>
      <w:r w:rsidR="00E67327" w:rsidRPr="00BC54D1">
        <w:rPr>
          <w:rFonts w:ascii="Times New Roman" w:hAnsi="Times New Roman"/>
        </w:rPr>
        <w:t xml:space="preserve"> </w:t>
      </w:r>
      <w:r w:rsidR="00E67327" w:rsidRPr="00BC54D1">
        <w:rPr>
          <w:rFonts w:ascii="Times New Roman" w:hAnsi="Times New Roman"/>
          <w:i/>
        </w:rPr>
        <w:t>et al</w:t>
      </w:r>
      <w:r w:rsidR="00E67327" w:rsidRPr="00BC54D1">
        <w:rPr>
          <w:rFonts w:ascii="Times New Roman" w:hAnsi="Times New Roman"/>
        </w:rPr>
        <w:t>.</w:t>
      </w:r>
      <w:r w:rsidR="00C062CA" w:rsidRPr="00BC54D1">
        <w:rPr>
          <w:rFonts w:ascii="Times New Roman" w:hAnsi="Times New Roman"/>
        </w:rPr>
        <w:t>, 2013; Rajan, 2012).</w:t>
      </w:r>
      <w:r w:rsidR="006C2D69" w:rsidRPr="00BC54D1">
        <w:rPr>
          <w:rFonts w:ascii="Times New Roman" w:hAnsi="Times New Roman"/>
        </w:rPr>
        <w:t xml:space="preserve"> </w:t>
      </w:r>
      <w:r w:rsidR="00C062CA" w:rsidRPr="00BC54D1">
        <w:rPr>
          <w:rFonts w:ascii="Times New Roman" w:hAnsi="Times New Roman"/>
        </w:rPr>
        <w:t xml:space="preserve">In other words, private </w:t>
      </w:r>
      <w:r w:rsidR="006D7E05" w:rsidRPr="00BC54D1">
        <w:rPr>
          <w:rFonts w:ascii="Times New Roman" w:hAnsi="Times New Roman"/>
        </w:rPr>
        <w:t>firms</w:t>
      </w:r>
      <w:r w:rsidR="00C062CA" w:rsidRPr="00BC54D1">
        <w:rPr>
          <w:rFonts w:ascii="Times New Roman" w:hAnsi="Times New Roman"/>
        </w:rPr>
        <w:t xml:space="preserve"> are more likely to experience higher cost</w:t>
      </w:r>
      <w:r w:rsidR="00181C0C" w:rsidRPr="00BC54D1">
        <w:rPr>
          <w:rFonts w:ascii="Times New Roman" w:hAnsi="Times New Roman"/>
        </w:rPr>
        <w:t>s</w:t>
      </w:r>
      <w:r w:rsidR="00C062CA" w:rsidRPr="00BC54D1">
        <w:rPr>
          <w:rFonts w:ascii="Times New Roman" w:hAnsi="Times New Roman"/>
        </w:rPr>
        <w:t xml:space="preserve"> in raising external finance for innovative activities than public firms. Thus, our study shows that private firms are more </w:t>
      </w:r>
      <w:r w:rsidR="00A32C88" w:rsidRPr="00BC54D1">
        <w:rPr>
          <w:rFonts w:ascii="Times New Roman" w:hAnsi="Times New Roman"/>
        </w:rPr>
        <w:t xml:space="preserve">likely </w:t>
      </w:r>
      <w:r w:rsidR="00C062CA" w:rsidRPr="00BC54D1">
        <w:rPr>
          <w:rFonts w:ascii="Times New Roman" w:hAnsi="Times New Roman"/>
        </w:rPr>
        <w:t xml:space="preserve">to increase innovation (R&amp;D) intensity when they hold more internal cash. </w:t>
      </w:r>
      <w:r w:rsidR="00C80E24" w:rsidRPr="00BC54D1">
        <w:rPr>
          <w:rFonts w:ascii="Times New Roman" w:hAnsi="Times New Roman"/>
        </w:rPr>
        <w:t>We further demonstrate that</w:t>
      </w:r>
      <w:r w:rsidR="00A32C88" w:rsidRPr="00BC54D1">
        <w:rPr>
          <w:rFonts w:ascii="Times New Roman" w:hAnsi="Times New Roman"/>
        </w:rPr>
        <w:t>,</w:t>
      </w:r>
      <w:r w:rsidR="00C80E24" w:rsidRPr="00BC54D1">
        <w:rPr>
          <w:rFonts w:ascii="Times New Roman" w:hAnsi="Times New Roman"/>
        </w:rPr>
        <w:t xml:space="preserve"> </w:t>
      </w:r>
      <w:r w:rsidR="00BD65FA" w:rsidRPr="00BC54D1">
        <w:rPr>
          <w:rFonts w:ascii="Times New Roman" w:hAnsi="Times New Roman"/>
        </w:rPr>
        <w:t>with only debt as their main external source</w:t>
      </w:r>
      <w:r w:rsidR="00C80E24" w:rsidRPr="00BC54D1">
        <w:rPr>
          <w:rFonts w:ascii="Times New Roman" w:hAnsi="Times New Roman"/>
        </w:rPr>
        <w:t xml:space="preserve"> of financing,</w:t>
      </w:r>
      <w:r w:rsidR="00BD65FA" w:rsidRPr="00BC54D1">
        <w:rPr>
          <w:rFonts w:ascii="Times New Roman" w:hAnsi="Times New Roman"/>
        </w:rPr>
        <w:t xml:space="preserve"> private </w:t>
      </w:r>
      <w:r w:rsidR="00C80E24" w:rsidRPr="00BC54D1">
        <w:rPr>
          <w:rFonts w:ascii="Times New Roman" w:hAnsi="Times New Roman"/>
        </w:rPr>
        <w:t xml:space="preserve">firms show a high likelihood to </w:t>
      </w:r>
      <w:r w:rsidR="00E17C4C" w:rsidRPr="00BC54D1">
        <w:rPr>
          <w:rFonts w:ascii="Times New Roman" w:hAnsi="Times New Roman"/>
        </w:rPr>
        <w:t>increase</w:t>
      </w:r>
      <w:r w:rsidR="00C80E24" w:rsidRPr="00BC54D1">
        <w:rPr>
          <w:rFonts w:ascii="Times New Roman" w:hAnsi="Times New Roman"/>
        </w:rPr>
        <w:t xml:space="preserve"> R&amp;D intensity with debt than the</w:t>
      </w:r>
      <w:r w:rsidR="00E17C4C" w:rsidRPr="00BC54D1">
        <w:rPr>
          <w:rFonts w:ascii="Times New Roman" w:hAnsi="Times New Roman"/>
        </w:rPr>
        <w:t>ir</w:t>
      </w:r>
      <w:r w:rsidR="00C80E24" w:rsidRPr="00BC54D1">
        <w:rPr>
          <w:rFonts w:ascii="Times New Roman" w:hAnsi="Times New Roman"/>
        </w:rPr>
        <w:t xml:space="preserve"> public </w:t>
      </w:r>
      <w:r w:rsidR="00E17C4C" w:rsidRPr="00BC54D1">
        <w:rPr>
          <w:rFonts w:ascii="Times New Roman" w:hAnsi="Times New Roman"/>
        </w:rPr>
        <w:t>peers</w:t>
      </w:r>
      <w:r w:rsidR="00C80E24" w:rsidRPr="00BC54D1">
        <w:rPr>
          <w:rFonts w:ascii="Times New Roman" w:hAnsi="Times New Roman"/>
        </w:rPr>
        <w:t xml:space="preserve">. </w:t>
      </w:r>
      <w:r w:rsidR="00EB7B27" w:rsidRPr="00BC54D1">
        <w:rPr>
          <w:rFonts w:ascii="Times New Roman" w:hAnsi="Times New Roman"/>
        </w:rPr>
        <w:t>This is inconsistent with Rajan</w:t>
      </w:r>
      <w:r w:rsidR="00A32C88" w:rsidRPr="00BC54D1">
        <w:rPr>
          <w:rFonts w:ascii="Times New Roman" w:hAnsi="Times New Roman"/>
        </w:rPr>
        <w:t>’s</w:t>
      </w:r>
      <w:r w:rsidR="00EB7B27" w:rsidRPr="00BC54D1">
        <w:rPr>
          <w:rFonts w:ascii="Times New Roman" w:hAnsi="Times New Roman"/>
        </w:rPr>
        <w:t xml:space="preserve"> (2012) assertion that private entrepreneurs have</w:t>
      </w:r>
      <w:r w:rsidR="00B35872" w:rsidRPr="00BC54D1">
        <w:rPr>
          <w:rFonts w:ascii="Times New Roman" w:hAnsi="Times New Roman"/>
        </w:rPr>
        <w:t xml:space="preserve"> a</w:t>
      </w:r>
      <w:r w:rsidR="00EB7B27" w:rsidRPr="00BC54D1">
        <w:rPr>
          <w:rFonts w:ascii="Times New Roman" w:hAnsi="Times New Roman"/>
        </w:rPr>
        <w:t xml:space="preserve"> low desire </w:t>
      </w:r>
      <w:r w:rsidR="00B35872" w:rsidRPr="00BC54D1">
        <w:rPr>
          <w:rFonts w:ascii="Times New Roman" w:hAnsi="Times New Roman"/>
        </w:rPr>
        <w:t>to finance</w:t>
      </w:r>
      <w:r w:rsidR="00EB7B27" w:rsidRPr="00BC54D1">
        <w:rPr>
          <w:rFonts w:ascii="Times New Roman" w:hAnsi="Times New Roman"/>
        </w:rPr>
        <w:t xml:space="preserve"> </w:t>
      </w:r>
      <w:r w:rsidR="00EB7B27" w:rsidRPr="00BC54D1">
        <w:rPr>
          <w:rFonts w:ascii="Times New Roman" w:hAnsi="Times New Roman"/>
        </w:rPr>
        <w:lastRenderedPageBreak/>
        <w:t>innovative activity with debt</w:t>
      </w:r>
      <w:r w:rsidR="003F17C5" w:rsidRPr="00BC54D1">
        <w:rPr>
          <w:rFonts w:ascii="Times New Roman" w:hAnsi="Times New Roman"/>
        </w:rPr>
        <w:t xml:space="preserve"> for fear of losing collateral security. </w:t>
      </w:r>
      <w:r w:rsidR="00C062CA" w:rsidRPr="00BC54D1">
        <w:rPr>
          <w:rFonts w:ascii="Times New Roman" w:hAnsi="Times New Roman"/>
        </w:rPr>
        <w:t>Our final contribution stems from the importance of an information quality environment in driving firm innovative activities among private firms. In industries with large public firms’ presence, information disclosure is more likely to be</w:t>
      </w:r>
      <w:r w:rsidR="000F403F" w:rsidRPr="00BC54D1">
        <w:rPr>
          <w:rFonts w:ascii="Times New Roman" w:hAnsi="Times New Roman"/>
        </w:rPr>
        <w:t xml:space="preserve"> in greater detail</w:t>
      </w:r>
      <w:r w:rsidR="00C062CA" w:rsidRPr="00BC54D1">
        <w:rPr>
          <w:rFonts w:ascii="Times New Roman" w:hAnsi="Times New Roman"/>
        </w:rPr>
        <w:t xml:space="preserve"> than </w:t>
      </w:r>
      <w:r w:rsidR="00D21C28" w:rsidRPr="00BC54D1">
        <w:rPr>
          <w:rFonts w:ascii="Times New Roman" w:hAnsi="Times New Roman"/>
        </w:rPr>
        <w:t>in</w:t>
      </w:r>
      <w:r w:rsidR="00C062CA" w:rsidRPr="00BC54D1">
        <w:rPr>
          <w:rFonts w:ascii="Times New Roman" w:hAnsi="Times New Roman"/>
        </w:rPr>
        <w:t xml:space="preserve"> industries with less public firms’ presence. Thus, private firms in</w:t>
      </w:r>
      <w:r w:rsidR="00A32C88" w:rsidRPr="00BC54D1">
        <w:rPr>
          <w:rFonts w:ascii="Times New Roman" w:hAnsi="Times New Roman"/>
        </w:rPr>
        <w:t xml:space="preserve"> an</w:t>
      </w:r>
      <w:r w:rsidR="00C062CA" w:rsidRPr="00BC54D1">
        <w:rPr>
          <w:rFonts w:ascii="Times New Roman" w:hAnsi="Times New Roman"/>
        </w:rPr>
        <w:t xml:space="preserve"> information quality environment are likely to leverage on this to respond </w:t>
      </w:r>
      <w:r w:rsidR="00AC6943" w:rsidRPr="00BC54D1">
        <w:rPr>
          <w:rFonts w:ascii="Times New Roman" w:hAnsi="Times New Roman"/>
        </w:rPr>
        <w:t xml:space="preserve">quickly </w:t>
      </w:r>
      <w:r w:rsidR="00C062CA" w:rsidRPr="00BC54D1">
        <w:rPr>
          <w:rFonts w:ascii="Times New Roman" w:hAnsi="Times New Roman"/>
        </w:rPr>
        <w:t xml:space="preserve">to innovative activities. Thus, in this study, we demonstrate that private firms operating in an environment </w:t>
      </w:r>
      <w:r w:rsidR="00D21C28" w:rsidRPr="00BC54D1">
        <w:rPr>
          <w:rFonts w:ascii="Times New Roman" w:hAnsi="Times New Roman"/>
        </w:rPr>
        <w:t xml:space="preserve">with </w:t>
      </w:r>
      <w:r w:rsidR="00C062CA" w:rsidRPr="00BC54D1">
        <w:rPr>
          <w:rFonts w:ascii="Times New Roman" w:hAnsi="Times New Roman"/>
        </w:rPr>
        <w:t>greater public firm</w:t>
      </w:r>
      <w:r w:rsidR="00D21C28" w:rsidRPr="00BC54D1">
        <w:rPr>
          <w:rFonts w:ascii="Times New Roman" w:hAnsi="Times New Roman"/>
        </w:rPr>
        <w:t>s’</w:t>
      </w:r>
      <w:r w:rsidR="00C062CA" w:rsidRPr="00BC54D1">
        <w:rPr>
          <w:rFonts w:ascii="Times New Roman" w:hAnsi="Times New Roman"/>
        </w:rPr>
        <w:t xml:space="preserve"> presence </w:t>
      </w:r>
      <w:r w:rsidR="00D90701" w:rsidRPr="00BC54D1">
        <w:rPr>
          <w:rFonts w:ascii="Times New Roman" w:hAnsi="Times New Roman"/>
        </w:rPr>
        <w:t xml:space="preserve">(i.e., which captures information quality) </w:t>
      </w:r>
      <w:r w:rsidR="00C062CA" w:rsidRPr="00BC54D1">
        <w:rPr>
          <w:rFonts w:ascii="Times New Roman" w:hAnsi="Times New Roman"/>
        </w:rPr>
        <w:t xml:space="preserve">are more likely to rapidly respond to innovation intensity </w:t>
      </w:r>
      <w:r w:rsidR="00BF622C" w:rsidRPr="00BC54D1">
        <w:rPr>
          <w:rFonts w:ascii="Times New Roman" w:hAnsi="Times New Roman"/>
        </w:rPr>
        <w:t>and have a better innovati</w:t>
      </w:r>
      <w:r w:rsidR="00B77BC8" w:rsidRPr="00BC54D1">
        <w:rPr>
          <w:rFonts w:ascii="Times New Roman" w:hAnsi="Times New Roman"/>
        </w:rPr>
        <w:t>on</w:t>
      </w:r>
      <w:r w:rsidR="00BF622C" w:rsidRPr="00BC54D1">
        <w:rPr>
          <w:rFonts w:ascii="Times New Roman" w:hAnsi="Times New Roman"/>
        </w:rPr>
        <w:t xml:space="preserve"> profile </w:t>
      </w:r>
      <w:r w:rsidR="00C062CA" w:rsidRPr="00BC54D1">
        <w:rPr>
          <w:rFonts w:ascii="Times New Roman" w:hAnsi="Times New Roman"/>
        </w:rPr>
        <w:t xml:space="preserve">than </w:t>
      </w:r>
      <w:r w:rsidR="00BF622C" w:rsidRPr="00BC54D1">
        <w:rPr>
          <w:rFonts w:ascii="Times New Roman" w:hAnsi="Times New Roman"/>
        </w:rPr>
        <w:t>their counterparts</w:t>
      </w:r>
      <w:r w:rsidR="00C062CA" w:rsidRPr="00BC54D1">
        <w:rPr>
          <w:rFonts w:ascii="Times New Roman" w:hAnsi="Times New Roman"/>
        </w:rPr>
        <w:t xml:space="preserve"> in industries with less </w:t>
      </w:r>
      <w:r w:rsidR="00512619" w:rsidRPr="00BC54D1">
        <w:rPr>
          <w:rFonts w:ascii="Times New Roman" w:hAnsi="Times New Roman"/>
        </w:rPr>
        <w:t>public firms’ presence</w:t>
      </w:r>
      <w:r w:rsidR="00C062CA" w:rsidRPr="00BC54D1">
        <w:rPr>
          <w:rFonts w:ascii="Times New Roman" w:hAnsi="Times New Roman"/>
        </w:rPr>
        <w:t>. By doing</w:t>
      </w:r>
      <w:r w:rsidR="00AC6943" w:rsidRPr="00BC54D1">
        <w:rPr>
          <w:rFonts w:ascii="Times New Roman" w:hAnsi="Times New Roman"/>
        </w:rPr>
        <w:t xml:space="preserve"> this</w:t>
      </w:r>
      <w:r w:rsidR="00C062CA" w:rsidRPr="00BC54D1">
        <w:rPr>
          <w:rFonts w:ascii="Times New Roman" w:hAnsi="Times New Roman"/>
        </w:rPr>
        <w:t>, we show that industry</w:t>
      </w:r>
      <w:r w:rsidR="00A32C88" w:rsidRPr="00BC54D1">
        <w:rPr>
          <w:rFonts w:ascii="Times New Roman" w:hAnsi="Times New Roman"/>
        </w:rPr>
        <w:t>-</w:t>
      </w:r>
      <w:r w:rsidR="00AC6943" w:rsidRPr="00BC54D1">
        <w:rPr>
          <w:rFonts w:ascii="Times New Roman" w:hAnsi="Times New Roman"/>
        </w:rPr>
        <w:t xml:space="preserve">level information </w:t>
      </w:r>
      <w:r w:rsidR="00C062CA" w:rsidRPr="00BC54D1">
        <w:rPr>
          <w:rFonts w:ascii="Times New Roman" w:hAnsi="Times New Roman"/>
        </w:rPr>
        <w:t xml:space="preserve">plays </w:t>
      </w:r>
      <w:r w:rsidR="00F02883" w:rsidRPr="00BC54D1">
        <w:rPr>
          <w:rFonts w:ascii="Times New Roman" w:hAnsi="Times New Roman"/>
        </w:rPr>
        <w:t xml:space="preserve">an </w:t>
      </w:r>
      <w:r w:rsidR="00C062CA" w:rsidRPr="00BC54D1">
        <w:rPr>
          <w:rFonts w:ascii="Times New Roman" w:hAnsi="Times New Roman"/>
        </w:rPr>
        <w:t>important role in explaining the heterogeneity of innovati</w:t>
      </w:r>
      <w:r w:rsidR="00E46435" w:rsidRPr="00BC54D1">
        <w:rPr>
          <w:rFonts w:ascii="Times New Roman" w:hAnsi="Times New Roman"/>
        </w:rPr>
        <w:t>on</w:t>
      </w:r>
      <w:r w:rsidR="00C062CA" w:rsidRPr="00BC54D1">
        <w:rPr>
          <w:rFonts w:ascii="Times New Roman" w:hAnsi="Times New Roman"/>
        </w:rPr>
        <w:t xml:space="preserve"> intensity among firms. </w:t>
      </w:r>
    </w:p>
    <w:p w14:paraId="2682E40F" w14:textId="53CF3C66" w:rsidR="00521F1C" w:rsidRPr="00BC54D1" w:rsidRDefault="00521F1C" w:rsidP="00A32C88">
      <w:pPr>
        <w:spacing w:before="120" w:after="120" w:line="360" w:lineRule="auto"/>
        <w:jc w:val="both"/>
        <w:rPr>
          <w:rFonts w:ascii="Times New Roman" w:eastAsiaTheme="minorHAnsi" w:hAnsi="Times New Roman"/>
          <w:lang w:eastAsia="en-US"/>
        </w:rPr>
      </w:pPr>
      <w:r w:rsidRPr="00BC54D1">
        <w:rPr>
          <w:rFonts w:ascii="Times New Roman" w:eastAsiaTheme="minorHAnsi" w:hAnsi="Times New Roman"/>
          <w:lang w:eastAsia="en-US"/>
        </w:rPr>
        <w:t>We structure the rem</w:t>
      </w:r>
      <w:r w:rsidR="00E84BE9" w:rsidRPr="00BC54D1">
        <w:rPr>
          <w:rFonts w:ascii="Times New Roman" w:eastAsiaTheme="minorHAnsi" w:hAnsi="Times New Roman"/>
          <w:lang w:eastAsia="en-US"/>
        </w:rPr>
        <w:t>a</w:t>
      </w:r>
      <w:r w:rsidRPr="00BC54D1">
        <w:rPr>
          <w:rFonts w:ascii="Times New Roman" w:eastAsiaTheme="minorHAnsi" w:hAnsi="Times New Roman"/>
          <w:lang w:eastAsia="en-US"/>
        </w:rPr>
        <w:t xml:space="preserve">inder of this article as follows: </w:t>
      </w:r>
      <w:r w:rsidR="00E84BE9" w:rsidRPr="00BC54D1">
        <w:rPr>
          <w:rFonts w:ascii="Times New Roman" w:eastAsiaTheme="minorHAnsi" w:hAnsi="Times New Roman"/>
          <w:lang w:eastAsia="en-US"/>
        </w:rPr>
        <w:t xml:space="preserve">Section </w:t>
      </w:r>
      <w:r w:rsidRPr="00BC54D1">
        <w:rPr>
          <w:rFonts w:ascii="Times New Roman" w:eastAsiaTheme="minorHAnsi" w:hAnsi="Times New Roman"/>
          <w:lang w:eastAsia="en-US"/>
        </w:rPr>
        <w:t xml:space="preserve">2 </w:t>
      </w:r>
      <w:r w:rsidR="00437F52" w:rsidRPr="00BC54D1">
        <w:rPr>
          <w:rFonts w:ascii="Times New Roman" w:eastAsiaTheme="minorHAnsi" w:hAnsi="Times New Roman"/>
          <w:lang w:eastAsia="en-US"/>
        </w:rPr>
        <w:t xml:space="preserve">offers a </w:t>
      </w:r>
      <w:r w:rsidRPr="00BC54D1">
        <w:rPr>
          <w:rFonts w:ascii="Times New Roman" w:eastAsiaTheme="minorHAnsi" w:hAnsi="Times New Roman"/>
          <w:lang w:eastAsia="en-US"/>
        </w:rPr>
        <w:t>review</w:t>
      </w:r>
      <w:r w:rsidR="00437F52" w:rsidRPr="00BC54D1">
        <w:rPr>
          <w:rFonts w:ascii="Times New Roman" w:eastAsiaTheme="minorHAnsi" w:hAnsi="Times New Roman"/>
          <w:lang w:eastAsia="en-US"/>
        </w:rPr>
        <w:t xml:space="preserve"> of the</w:t>
      </w:r>
      <w:r w:rsidRPr="00BC54D1">
        <w:rPr>
          <w:rFonts w:ascii="Times New Roman" w:eastAsiaTheme="minorHAnsi" w:hAnsi="Times New Roman"/>
          <w:lang w:eastAsia="en-US"/>
        </w:rPr>
        <w:t xml:space="preserve"> related literature</w:t>
      </w:r>
      <w:r w:rsidR="00E84BE9" w:rsidRPr="00BC54D1">
        <w:rPr>
          <w:rFonts w:ascii="Times New Roman" w:eastAsiaTheme="minorHAnsi" w:hAnsi="Times New Roman"/>
          <w:lang w:eastAsia="en-US"/>
        </w:rPr>
        <w:t xml:space="preserve">, </w:t>
      </w:r>
      <w:r w:rsidRPr="00BC54D1">
        <w:rPr>
          <w:rFonts w:ascii="Times New Roman" w:eastAsiaTheme="minorHAnsi" w:hAnsi="Times New Roman"/>
          <w:lang w:eastAsia="en-US"/>
        </w:rPr>
        <w:t xml:space="preserve">Section 3 </w:t>
      </w:r>
      <w:r w:rsidR="00437F52" w:rsidRPr="00BC54D1">
        <w:rPr>
          <w:rFonts w:ascii="Times New Roman" w:eastAsiaTheme="minorHAnsi" w:hAnsi="Times New Roman"/>
          <w:lang w:eastAsia="en-US"/>
        </w:rPr>
        <w:t>focuses</w:t>
      </w:r>
      <w:r w:rsidR="000F1AF2" w:rsidRPr="00BC54D1">
        <w:rPr>
          <w:rFonts w:ascii="Times New Roman" w:eastAsiaTheme="minorHAnsi" w:hAnsi="Times New Roman"/>
          <w:lang w:eastAsia="en-US"/>
        </w:rPr>
        <w:t xml:space="preserve"> on</w:t>
      </w:r>
      <w:r w:rsidR="00437F52" w:rsidRPr="00BC54D1">
        <w:rPr>
          <w:rFonts w:ascii="Times New Roman" w:eastAsiaTheme="minorHAnsi" w:hAnsi="Times New Roman"/>
          <w:lang w:eastAsia="en-US"/>
        </w:rPr>
        <w:t xml:space="preserve"> </w:t>
      </w:r>
      <w:r w:rsidRPr="00BC54D1">
        <w:rPr>
          <w:rFonts w:ascii="Times New Roman" w:eastAsiaTheme="minorHAnsi" w:hAnsi="Times New Roman"/>
          <w:lang w:eastAsia="en-US"/>
        </w:rPr>
        <w:t>data and empirical methods</w:t>
      </w:r>
      <w:r w:rsidR="00E84BE9" w:rsidRPr="00BC54D1">
        <w:rPr>
          <w:rFonts w:ascii="Times New Roman" w:eastAsiaTheme="minorHAnsi" w:hAnsi="Times New Roman"/>
          <w:lang w:eastAsia="en-US"/>
        </w:rPr>
        <w:t xml:space="preserve">, </w:t>
      </w:r>
      <w:r w:rsidR="00A32C88" w:rsidRPr="00BC54D1">
        <w:rPr>
          <w:rFonts w:ascii="Times New Roman" w:eastAsiaTheme="minorHAnsi" w:hAnsi="Times New Roman"/>
          <w:lang w:eastAsia="en-US"/>
        </w:rPr>
        <w:t>S</w:t>
      </w:r>
      <w:r w:rsidRPr="00BC54D1">
        <w:rPr>
          <w:rFonts w:ascii="Times New Roman" w:eastAsiaTheme="minorHAnsi" w:hAnsi="Times New Roman"/>
          <w:lang w:eastAsia="en-US"/>
        </w:rPr>
        <w:t xml:space="preserve">ection 4 presents and discusses results, and, finally, </w:t>
      </w:r>
      <w:r w:rsidR="00E84BE9" w:rsidRPr="00BC54D1">
        <w:rPr>
          <w:rFonts w:ascii="Times New Roman" w:eastAsiaTheme="minorHAnsi" w:hAnsi="Times New Roman"/>
          <w:lang w:eastAsia="en-US"/>
        </w:rPr>
        <w:t xml:space="preserve">Section </w:t>
      </w:r>
      <w:r w:rsidRPr="00BC54D1">
        <w:rPr>
          <w:rFonts w:ascii="Times New Roman" w:eastAsiaTheme="minorHAnsi" w:hAnsi="Times New Roman"/>
          <w:lang w:eastAsia="en-US"/>
        </w:rPr>
        <w:t>5 concludes the study.</w:t>
      </w:r>
    </w:p>
    <w:bookmarkEnd w:id="1"/>
    <w:p w14:paraId="1B61412A" w14:textId="77777777" w:rsidR="00D472F2" w:rsidRPr="00BC54D1" w:rsidRDefault="00D472F2" w:rsidP="00A32C88">
      <w:pPr>
        <w:spacing w:before="120" w:after="120" w:line="360" w:lineRule="auto"/>
        <w:rPr>
          <w:rFonts w:ascii="Times New Roman" w:hAnsi="Times New Roman"/>
          <w:b/>
          <w:iCs/>
        </w:rPr>
      </w:pPr>
    </w:p>
    <w:p w14:paraId="0203DC50" w14:textId="03B98719" w:rsidR="004A0DAE" w:rsidRPr="00BC54D1" w:rsidRDefault="004A0DAE" w:rsidP="004A0DAE">
      <w:pPr>
        <w:spacing w:line="360" w:lineRule="auto"/>
        <w:rPr>
          <w:rFonts w:ascii="Times New Roman" w:hAnsi="Times New Roman"/>
          <w:b/>
          <w:iCs/>
        </w:rPr>
      </w:pPr>
      <w:r w:rsidRPr="00BC54D1">
        <w:rPr>
          <w:rFonts w:ascii="Times New Roman" w:hAnsi="Times New Roman"/>
          <w:b/>
          <w:iCs/>
        </w:rPr>
        <w:t xml:space="preserve">2. </w:t>
      </w:r>
      <w:r w:rsidR="00F73AFF" w:rsidRPr="00BC54D1">
        <w:rPr>
          <w:rFonts w:ascii="Times New Roman" w:hAnsi="Times New Roman"/>
          <w:b/>
          <w:iCs/>
        </w:rPr>
        <w:t>Related l</w:t>
      </w:r>
      <w:r w:rsidRPr="00BC54D1">
        <w:rPr>
          <w:rFonts w:ascii="Times New Roman" w:hAnsi="Times New Roman"/>
          <w:b/>
          <w:iCs/>
        </w:rPr>
        <w:t>iterature</w:t>
      </w:r>
    </w:p>
    <w:p w14:paraId="09F45470" w14:textId="5930A13D" w:rsidR="001A01B6" w:rsidRPr="00BC54D1" w:rsidRDefault="001A01B6" w:rsidP="00A32C88">
      <w:pPr>
        <w:spacing w:before="120" w:after="120" w:line="360" w:lineRule="auto"/>
        <w:jc w:val="both"/>
        <w:rPr>
          <w:rFonts w:ascii="Times New Roman" w:hAnsi="Times New Roman"/>
        </w:rPr>
      </w:pPr>
      <w:r w:rsidRPr="00BC54D1">
        <w:rPr>
          <w:rFonts w:ascii="Times New Roman" w:hAnsi="Times New Roman"/>
        </w:rPr>
        <w:t xml:space="preserve">The theoretical literature </w:t>
      </w:r>
      <w:r w:rsidR="000F1AF2" w:rsidRPr="00BC54D1">
        <w:rPr>
          <w:rFonts w:ascii="Times New Roman" w:hAnsi="Times New Roman"/>
        </w:rPr>
        <w:t>offers</w:t>
      </w:r>
      <w:r w:rsidRPr="00BC54D1">
        <w:rPr>
          <w:rFonts w:ascii="Times New Roman" w:hAnsi="Times New Roman"/>
        </w:rPr>
        <w:t xml:space="preserve"> different explanations relating to the investment in research and development (R&amp;D) of both private and public firms (see e.g., Ishibashi </w:t>
      </w:r>
      <w:r w:rsidR="002638CD" w:rsidRPr="00BC54D1">
        <w:rPr>
          <w:rFonts w:ascii="Times New Roman" w:hAnsi="Times New Roman"/>
        </w:rPr>
        <w:t xml:space="preserve">and </w:t>
      </w:r>
      <w:r w:rsidRPr="00BC54D1">
        <w:rPr>
          <w:rFonts w:ascii="Times New Roman" w:hAnsi="Times New Roman"/>
        </w:rPr>
        <w:t xml:space="preserve">Matsumura, 2006; Hall </w:t>
      </w:r>
      <w:r w:rsidR="002638CD" w:rsidRPr="00BC54D1">
        <w:rPr>
          <w:rFonts w:ascii="Times New Roman" w:hAnsi="Times New Roman"/>
        </w:rPr>
        <w:t xml:space="preserve">and </w:t>
      </w:r>
      <w:r w:rsidRPr="00BC54D1">
        <w:rPr>
          <w:rFonts w:ascii="Times New Roman" w:hAnsi="Times New Roman"/>
        </w:rPr>
        <w:t xml:space="preserve">Lerner, 2010; Rajan, 2012; Acharya </w:t>
      </w:r>
      <w:r w:rsidR="002638CD" w:rsidRPr="00BC54D1">
        <w:rPr>
          <w:rFonts w:ascii="Times New Roman" w:hAnsi="Times New Roman"/>
        </w:rPr>
        <w:t xml:space="preserve">and </w:t>
      </w:r>
      <w:r w:rsidRPr="00BC54D1">
        <w:rPr>
          <w:rFonts w:ascii="Times New Roman" w:hAnsi="Times New Roman"/>
        </w:rPr>
        <w:t>Xu, 2017; Edmans</w:t>
      </w:r>
      <w:r w:rsidR="00E67327" w:rsidRPr="00BC54D1">
        <w:rPr>
          <w:rFonts w:ascii="Times New Roman" w:hAnsi="Times New Roman"/>
        </w:rPr>
        <w:t xml:space="preserve"> </w:t>
      </w:r>
      <w:r w:rsidR="00E67327" w:rsidRPr="00BC54D1">
        <w:rPr>
          <w:rFonts w:ascii="Times New Roman" w:hAnsi="Times New Roman"/>
          <w:i/>
        </w:rPr>
        <w:t>et al</w:t>
      </w:r>
      <w:r w:rsidR="00E67327" w:rsidRPr="00BC54D1">
        <w:rPr>
          <w:rFonts w:ascii="Times New Roman" w:hAnsi="Times New Roman"/>
        </w:rPr>
        <w:t>.</w:t>
      </w:r>
      <w:r w:rsidRPr="00BC54D1">
        <w:rPr>
          <w:rFonts w:ascii="Times New Roman" w:hAnsi="Times New Roman"/>
        </w:rPr>
        <w:t>, 2017). The first explanation suggests that, compared to private firms, public firm managers are forced to meet the short-term earnings performance target imposed by the equity market (Porter, 1992; Graham</w:t>
      </w:r>
      <w:r w:rsidR="00E67327" w:rsidRPr="00BC54D1">
        <w:rPr>
          <w:rFonts w:ascii="Times New Roman" w:hAnsi="Times New Roman"/>
        </w:rPr>
        <w:t xml:space="preserve"> </w:t>
      </w:r>
      <w:r w:rsidR="00E67327" w:rsidRPr="00BC54D1">
        <w:rPr>
          <w:rFonts w:ascii="Times New Roman" w:hAnsi="Times New Roman"/>
          <w:i/>
        </w:rPr>
        <w:t>et al</w:t>
      </w:r>
      <w:r w:rsidR="00E67327" w:rsidRPr="00BC54D1">
        <w:rPr>
          <w:rFonts w:ascii="Times New Roman" w:hAnsi="Times New Roman"/>
        </w:rPr>
        <w:t>.</w:t>
      </w:r>
      <w:r w:rsidRPr="00BC54D1">
        <w:rPr>
          <w:rFonts w:ascii="Times New Roman" w:hAnsi="Times New Roman"/>
        </w:rPr>
        <w:t xml:space="preserve">, 2005). One way to achieve or establish such </w:t>
      </w:r>
      <w:r w:rsidR="00E67327" w:rsidRPr="00BC54D1">
        <w:rPr>
          <w:rFonts w:ascii="Times New Roman" w:hAnsi="Times New Roman"/>
        </w:rPr>
        <w:t xml:space="preserve">a </w:t>
      </w:r>
      <w:r w:rsidRPr="00BC54D1">
        <w:rPr>
          <w:rFonts w:ascii="Times New Roman" w:hAnsi="Times New Roman"/>
        </w:rPr>
        <w:t>market performance record is to disinvest in long</w:t>
      </w:r>
      <w:r w:rsidR="00E67327" w:rsidRPr="00BC54D1">
        <w:rPr>
          <w:rFonts w:ascii="Times New Roman" w:hAnsi="Times New Roman"/>
        </w:rPr>
        <w:t>-</w:t>
      </w:r>
      <w:r w:rsidRPr="00BC54D1">
        <w:rPr>
          <w:rFonts w:ascii="Times New Roman" w:hAnsi="Times New Roman"/>
        </w:rPr>
        <w:t>term innovation (R&amp;D) activity (Gopalan</w:t>
      </w:r>
      <w:r w:rsidR="00E67327" w:rsidRPr="00BC54D1">
        <w:rPr>
          <w:rFonts w:ascii="Times New Roman" w:hAnsi="Times New Roman"/>
        </w:rPr>
        <w:t xml:space="preserve"> </w:t>
      </w:r>
      <w:r w:rsidR="00E67327" w:rsidRPr="00BC54D1">
        <w:rPr>
          <w:rFonts w:ascii="Times New Roman" w:hAnsi="Times New Roman"/>
          <w:i/>
        </w:rPr>
        <w:t>et al.</w:t>
      </w:r>
      <w:r w:rsidRPr="00BC54D1">
        <w:rPr>
          <w:rFonts w:ascii="Times New Roman" w:hAnsi="Times New Roman"/>
        </w:rPr>
        <w:t xml:space="preserve">, 2014; Acharya </w:t>
      </w:r>
      <w:r w:rsidR="00CC75B7" w:rsidRPr="00BC54D1">
        <w:rPr>
          <w:rFonts w:ascii="Times New Roman" w:hAnsi="Times New Roman"/>
        </w:rPr>
        <w:t xml:space="preserve">and </w:t>
      </w:r>
      <w:r w:rsidRPr="00BC54D1">
        <w:rPr>
          <w:rFonts w:ascii="Times New Roman" w:hAnsi="Times New Roman"/>
        </w:rPr>
        <w:t>Lambrecht, 2015; Edmans</w:t>
      </w:r>
      <w:r w:rsidR="00E67327" w:rsidRPr="00BC54D1">
        <w:rPr>
          <w:rFonts w:ascii="Times New Roman" w:hAnsi="Times New Roman"/>
        </w:rPr>
        <w:t xml:space="preserve"> </w:t>
      </w:r>
      <w:r w:rsidR="00E67327" w:rsidRPr="00BC54D1">
        <w:rPr>
          <w:rFonts w:ascii="Times New Roman" w:hAnsi="Times New Roman"/>
          <w:i/>
        </w:rPr>
        <w:t>et al</w:t>
      </w:r>
      <w:r w:rsidR="00E67327" w:rsidRPr="00BC54D1">
        <w:rPr>
          <w:rFonts w:ascii="Times New Roman" w:hAnsi="Times New Roman"/>
        </w:rPr>
        <w:t>.</w:t>
      </w:r>
      <w:r w:rsidRPr="00BC54D1">
        <w:rPr>
          <w:rFonts w:ascii="Times New Roman" w:hAnsi="Times New Roman"/>
        </w:rPr>
        <w:t xml:space="preserve">, 2017). Acharya </w:t>
      </w:r>
      <w:r w:rsidR="00CC75B7" w:rsidRPr="00BC54D1">
        <w:rPr>
          <w:rFonts w:ascii="Times New Roman" w:hAnsi="Times New Roman"/>
        </w:rPr>
        <w:t xml:space="preserve">and </w:t>
      </w:r>
      <w:r w:rsidRPr="00BC54D1">
        <w:rPr>
          <w:rFonts w:ascii="Times New Roman" w:hAnsi="Times New Roman"/>
        </w:rPr>
        <w:t>Lambrecht (2015) further suggest that the under-pressured public firm managers have limited motivations to undertake long-term investment in innovation. Relatedly, Ferreira</w:t>
      </w:r>
      <w:r w:rsidR="00E67327" w:rsidRPr="00BC54D1">
        <w:rPr>
          <w:rFonts w:ascii="Times New Roman" w:hAnsi="Times New Roman"/>
        </w:rPr>
        <w:t xml:space="preserve"> </w:t>
      </w:r>
      <w:r w:rsidR="00E67327" w:rsidRPr="00BC54D1">
        <w:rPr>
          <w:rFonts w:ascii="Times New Roman" w:hAnsi="Times New Roman"/>
          <w:i/>
        </w:rPr>
        <w:t>et al</w:t>
      </w:r>
      <w:r w:rsidR="00E67327" w:rsidRPr="00BC54D1">
        <w:rPr>
          <w:rFonts w:ascii="Times New Roman" w:hAnsi="Times New Roman"/>
        </w:rPr>
        <w:t>.</w:t>
      </w:r>
      <w:r w:rsidRPr="00BC54D1">
        <w:rPr>
          <w:rFonts w:ascii="Times New Roman" w:hAnsi="Times New Roman"/>
        </w:rPr>
        <w:t xml:space="preserve"> (2014) share</w:t>
      </w:r>
      <w:r w:rsidR="00E67327" w:rsidRPr="00BC54D1">
        <w:rPr>
          <w:rFonts w:ascii="Times New Roman" w:hAnsi="Times New Roman"/>
        </w:rPr>
        <w:t>d a</w:t>
      </w:r>
      <w:r w:rsidRPr="00BC54D1">
        <w:rPr>
          <w:rFonts w:ascii="Times New Roman" w:hAnsi="Times New Roman"/>
        </w:rPr>
        <w:t xml:space="preserve"> similar sentiment in their no tolerance for failure model. They argue that managers of publicly listed firms are rationally biased against innovation projects</w:t>
      </w:r>
      <w:r w:rsidR="00E67327" w:rsidRPr="00BC54D1">
        <w:rPr>
          <w:rFonts w:ascii="Times New Roman" w:hAnsi="Times New Roman"/>
        </w:rPr>
        <w:t>,</w:t>
      </w:r>
      <w:r w:rsidRPr="00BC54D1">
        <w:rPr>
          <w:rFonts w:ascii="Times New Roman" w:hAnsi="Times New Roman"/>
        </w:rPr>
        <w:t xml:space="preserve"> especially those projects with higher failure rates. The authors further argue that private firm shareholders have no such short-term incentives because the lack of stock liquidity forces these shareholders to take a long investment horizon. Thus, short-term performance pressure is much weaker in private firms than</w:t>
      </w:r>
      <w:r w:rsidR="00E67327" w:rsidRPr="00BC54D1">
        <w:rPr>
          <w:rFonts w:ascii="Times New Roman" w:hAnsi="Times New Roman"/>
        </w:rPr>
        <w:t xml:space="preserve"> in</w:t>
      </w:r>
      <w:r w:rsidRPr="00BC54D1">
        <w:rPr>
          <w:rFonts w:ascii="Times New Roman" w:hAnsi="Times New Roman"/>
        </w:rPr>
        <w:t xml:space="preserve"> public ones. </w:t>
      </w:r>
    </w:p>
    <w:p w14:paraId="7D57FEF6" w14:textId="084D91E9" w:rsidR="001A01B6" w:rsidRPr="00BC54D1" w:rsidRDefault="001A01B6" w:rsidP="00A32C88">
      <w:pPr>
        <w:spacing w:before="120" w:after="120" w:line="360" w:lineRule="auto"/>
        <w:jc w:val="both"/>
        <w:rPr>
          <w:rFonts w:ascii="Times New Roman" w:hAnsi="Times New Roman"/>
        </w:rPr>
      </w:pPr>
      <w:r w:rsidRPr="00BC54D1">
        <w:rPr>
          <w:rFonts w:ascii="Times New Roman" w:hAnsi="Times New Roman"/>
        </w:rPr>
        <w:t>Contrary to the short-termism model, others suggest that the social welfare responsibility of firms influence</w:t>
      </w:r>
      <w:r w:rsidR="0030507E" w:rsidRPr="00BC54D1">
        <w:rPr>
          <w:rFonts w:ascii="Times New Roman" w:hAnsi="Times New Roman"/>
        </w:rPr>
        <w:t>s</w:t>
      </w:r>
      <w:r w:rsidRPr="00BC54D1">
        <w:rPr>
          <w:rFonts w:ascii="Times New Roman" w:hAnsi="Times New Roman"/>
        </w:rPr>
        <w:t xml:space="preserve"> their innovation activities. For instance, in their market presence model, Clausen (2009) and Ishibashi </w:t>
      </w:r>
      <w:r w:rsidR="00B75F8A" w:rsidRPr="00BC54D1">
        <w:rPr>
          <w:rFonts w:ascii="Times New Roman" w:hAnsi="Times New Roman"/>
        </w:rPr>
        <w:t xml:space="preserve">and </w:t>
      </w:r>
      <w:r w:rsidRPr="00BC54D1">
        <w:rPr>
          <w:rFonts w:ascii="Times New Roman" w:hAnsi="Times New Roman"/>
        </w:rPr>
        <w:t>Matsumura (2006) indicate that the welfare-maximi</w:t>
      </w:r>
      <w:r w:rsidR="006C2D69" w:rsidRPr="00BC54D1">
        <w:rPr>
          <w:rFonts w:ascii="Times New Roman" w:hAnsi="Times New Roman"/>
        </w:rPr>
        <w:t>s</w:t>
      </w:r>
      <w:r w:rsidRPr="00BC54D1">
        <w:rPr>
          <w:rFonts w:ascii="Times New Roman" w:hAnsi="Times New Roman"/>
        </w:rPr>
        <w:t>ing public firms tend to invest more in R&amp;D activities than their private counterpart</w:t>
      </w:r>
      <w:r w:rsidR="00E67327" w:rsidRPr="00BC54D1">
        <w:rPr>
          <w:rFonts w:ascii="Times New Roman" w:hAnsi="Times New Roman"/>
        </w:rPr>
        <w:t>s</w:t>
      </w:r>
      <w:r w:rsidRPr="00BC54D1">
        <w:rPr>
          <w:rFonts w:ascii="Times New Roman" w:hAnsi="Times New Roman"/>
        </w:rPr>
        <w:t>. The low social welfare mandate of private firms suggests that these firms only invest in R&amp;D for profit maximi</w:t>
      </w:r>
      <w:r w:rsidR="006C2D69" w:rsidRPr="00BC54D1">
        <w:rPr>
          <w:rFonts w:ascii="Times New Roman" w:hAnsi="Times New Roman"/>
        </w:rPr>
        <w:t>s</w:t>
      </w:r>
      <w:r w:rsidRPr="00BC54D1">
        <w:rPr>
          <w:rFonts w:ascii="Times New Roman" w:hAnsi="Times New Roman"/>
        </w:rPr>
        <w:t>ation purposes. The model shows that the externality of R&amp;D resulting from the social welfare motive of public firms stimulate</w:t>
      </w:r>
      <w:r w:rsidR="00E67327" w:rsidRPr="00BC54D1">
        <w:rPr>
          <w:rFonts w:ascii="Times New Roman" w:hAnsi="Times New Roman"/>
        </w:rPr>
        <w:t>s</w:t>
      </w:r>
      <w:r w:rsidRPr="00BC54D1">
        <w:rPr>
          <w:rFonts w:ascii="Times New Roman" w:hAnsi="Times New Roman"/>
        </w:rPr>
        <w:t xml:space="preserve"> more R&amp;D spending </w:t>
      </w:r>
      <w:r w:rsidR="00A21C66" w:rsidRPr="00BC54D1">
        <w:rPr>
          <w:rFonts w:ascii="Times New Roman" w:hAnsi="Times New Roman"/>
        </w:rPr>
        <w:t>compared to</w:t>
      </w:r>
      <w:r w:rsidRPr="00BC54D1">
        <w:rPr>
          <w:rFonts w:ascii="Times New Roman" w:hAnsi="Times New Roman"/>
        </w:rPr>
        <w:t xml:space="preserve"> private firms.</w:t>
      </w:r>
    </w:p>
    <w:p w14:paraId="33DD1F00" w14:textId="5D00A980" w:rsidR="001A01B6" w:rsidRPr="00BC54D1" w:rsidRDefault="001A01B6" w:rsidP="00A32C88">
      <w:pPr>
        <w:spacing w:before="120" w:after="120" w:line="360" w:lineRule="auto"/>
        <w:jc w:val="both"/>
        <w:rPr>
          <w:rFonts w:ascii="Times New Roman" w:hAnsi="Times New Roman"/>
        </w:rPr>
      </w:pPr>
      <w:r w:rsidRPr="00BC54D1">
        <w:rPr>
          <w:rFonts w:ascii="Times New Roman" w:hAnsi="Times New Roman"/>
        </w:rPr>
        <w:lastRenderedPageBreak/>
        <w:t xml:space="preserve">Moreover, financing advantages is another view that has been suggested in the literature (see e.g., Acharya </w:t>
      </w:r>
      <w:r w:rsidR="00F072E0" w:rsidRPr="00BC54D1">
        <w:rPr>
          <w:rFonts w:ascii="Times New Roman" w:hAnsi="Times New Roman"/>
        </w:rPr>
        <w:t>and</w:t>
      </w:r>
      <w:r w:rsidRPr="00BC54D1">
        <w:rPr>
          <w:rFonts w:ascii="Times New Roman" w:hAnsi="Times New Roman"/>
        </w:rPr>
        <w:t xml:space="preserve"> Xu, 2017; Rajan, 2012; Brown</w:t>
      </w:r>
      <w:r w:rsidR="00E67327" w:rsidRPr="00BC54D1">
        <w:rPr>
          <w:rFonts w:ascii="Times New Roman" w:hAnsi="Times New Roman"/>
        </w:rPr>
        <w:t xml:space="preserve"> </w:t>
      </w:r>
      <w:r w:rsidR="00E67327" w:rsidRPr="00BC54D1">
        <w:rPr>
          <w:rFonts w:ascii="Times New Roman" w:hAnsi="Times New Roman"/>
          <w:i/>
        </w:rPr>
        <w:t>et al</w:t>
      </w:r>
      <w:r w:rsidR="00E67327" w:rsidRPr="00BC54D1">
        <w:rPr>
          <w:rFonts w:ascii="Times New Roman" w:hAnsi="Times New Roman"/>
        </w:rPr>
        <w:t>.</w:t>
      </w:r>
      <w:r w:rsidRPr="00BC54D1">
        <w:rPr>
          <w:rFonts w:ascii="Times New Roman" w:hAnsi="Times New Roman"/>
        </w:rPr>
        <w:t>, 2012; Aghion</w:t>
      </w:r>
      <w:r w:rsidR="00E67327" w:rsidRPr="00BC54D1">
        <w:rPr>
          <w:rFonts w:ascii="Times New Roman" w:hAnsi="Times New Roman"/>
        </w:rPr>
        <w:t xml:space="preserve"> </w:t>
      </w:r>
      <w:r w:rsidR="00E67327" w:rsidRPr="00BC54D1">
        <w:rPr>
          <w:rFonts w:ascii="Times New Roman" w:hAnsi="Times New Roman"/>
          <w:i/>
        </w:rPr>
        <w:t>et al</w:t>
      </w:r>
      <w:r w:rsidR="00E67327" w:rsidRPr="00BC54D1">
        <w:rPr>
          <w:rFonts w:ascii="Times New Roman" w:hAnsi="Times New Roman"/>
        </w:rPr>
        <w:t>.</w:t>
      </w:r>
      <w:r w:rsidRPr="00BC54D1">
        <w:rPr>
          <w:rFonts w:ascii="Times New Roman" w:hAnsi="Times New Roman"/>
        </w:rPr>
        <w:t xml:space="preserve">, 2010). Being a publicly listed firm as opposed to </w:t>
      </w:r>
      <w:r w:rsidR="00E67327" w:rsidRPr="00BC54D1">
        <w:rPr>
          <w:rFonts w:ascii="Times New Roman" w:hAnsi="Times New Roman"/>
        </w:rPr>
        <w:t xml:space="preserve">a </w:t>
      </w:r>
      <w:r w:rsidRPr="00BC54D1">
        <w:rPr>
          <w:rFonts w:ascii="Times New Roman" w:hAnsi="Times New Roman"/>
        </w:rPr>
        <w:t xml:space="preserve">privately held one is associated with some benefits which can potentially impact corporate R&amp;D strategy. Under the financing model, private firms have limited financing options compared to public ones, i.e., they rely mainly on debt financing whenever internally generated cash flow is inadequate (Acharya </w:t>
      </w:r>
      <w:r w:rsidR="00B75F8A" w:rsidRPr="00BC54D1">
        <w:rPr>
          <w:rFonts w:ascii="Times New Roman" w:hAnsi="Times New Roman"/>
        </w:rPr>
        <w:t>and</w:t>
      </w:r>
      <w:r w:rsidRPr="00BC54D1">
        <w:rPr>
          <w:rFonts w:ascii="Times New Roman" w:hAnsi="Times New Roman"/>
        </w:rPr>
        <w:t xml:space="preserve"> Xu, 2017; Gao </w:t>
      </w:r>
      <w:r w:rsidRPr="00BC54D1">
        <w:rPr>
          <w:rFonts w:ascii="Times New Roman" w:hAnsi="Times New Roman"/>
          <w:i/>
          <w:iCs/>
        </w:rPr>
        <w:t>et al</w:t>
      </w:r>
      <w:r w:rsidRPr="00BC54D1">
        <w:rPr>
          <w:rFonts w:ascii="Times New Roman" w:hAnsi="Times New Roman"/>
        </w:rPr>
        <w:t xml:space="preserve">., 2013; </w:t>
      </w:r>
      <w:proofErr w:type="spellStart"/>
      <w:r w:rsidRPr="00BC54D1">
        <w:rPr>
          <w:rFonts w:ascii="Times New Roman" w:hAnsi="Times New Roman"/>
        </w:rPr>
        <w:t>Brav</w:t>
      </w:r>
      <w:proofErr w:type="spellEnd"/>
      <w:r w:rsidRPr="00BC54D1">
        <w:rPr>
          <w:rFonts w:ascii="Times New Roman" w:hAnsi="Times New Roman"/>
        </w:rPr>
        <w:t>, 2009). Given that debt financing does not encourage R&amp;D behaviour (Atanassov</w:t>
      </w:r>
      <w:r w:rsidR="00E67327" w:rsidRPr="00BC54D1">
        <w:rPr>
          <w:rFonts w:ascii="Times New Roman" w:hAnsi="Times New Roman"/>
        </w:rPr>
        <w:t xml:space="preserve"> </w:t>
      </w:r>
      <w:r w:rsidR="00E67327" w:rsidRPr="00BC54D1">
        <w:rPr>
          <w:rFonts w:ascii="Times New Roman" w:hAnsi="Times New Roman"/>
          <w:i/>
        </w:rPr>
        <w:t>et al</w:t>
      </w:r>
      <w:r w:rsidR="00E67327" w:rsidRPr="00BC54D1">
        <w:rPr>
          <w:rFonts w:ascii="Times New Roman" w:hAnsi="Times New Roman"/>
        </w:rPr>
        <w:t>.</w:t>
      </w:r>
      <w:r w:rsidRPr="00BC54D1">
        <w:rPr>
          <w:rFonts w:ascii="Times New Roman" w:hAnsi="Times New Roman"/>
        </w:rPr>
        <w:t>, 2007; Aghion</w:t>
      </w:r>
      <w:r w:rsidR="00E67327" w:rsidRPr="00BC54D1">
        <w:rPr>
          <w:rFonts w:ascii="Times New Roman" w:hAnsi="Times New Roman"/>
        </w:rPr>
        <w:t xml:space="preserve"> </w:t>
      </w:r>
      <w:r w:rsidR="00E67327" w:rsidRPr="00BC54D1">
        <w:rPr>
          <w:rFonts w:ascii="Times New Roman" w:hAnsi="Times New Roman"/>
          <w:i/>
        </w:rPr>
        <w:t>et al</w:t>
      </w:r>
      <w:r w:rsidR="00E67327" w:rsidRPr="00BC54D1">
        <w:rPr>
          <w:rFonts w:ascii="Times New Roman" w:hAnsi="Times New Roman"/>
        </w:rPr>
        <w:t>.</w:t>
      </w:r>
      <w:r w:rsidRPr="00BC54D1">
        <w:rPr>
          <w:rFonts w:ascii="Times New Roman" w:hAnsi="Times New Roman"/>
        </w:rPr>
        <w:t xml:space="preserve">, 2004), it may become problematic for private firms to achieve optimal R&amp;D investment. </w:t>
      </w:r>
    </w:p>
    <w:p w14:paraId="44FB11C0" w14:textId="5720DD43" w:rsidR="001A01B6" w:rsidRPr="00BC54D1" w:rsidRDefault="001A01B6" w:rsidP="00A32C88">
      <w:pPr>
        <w:spacing w:before="120" w:after="120" w:line="360" w:lineRule="auto"/>
        <w:jc w:val="both"/>
        <w:rPr>
          <w:rFonts w:ascii="Times New Roman" w:hAnsi="Times New Roman"/>
        </w:rPr>
      </w:pPr>
      <w:r w:rsidRPr="00BC54D1">
        <w:rPr>
          <w:rFonts w:ascii="Times New Roman" w:hAnsi="Times New Roman"/>
        </w:rPr>
        <w:t xml:space="preserve">In contrast, public firms’ easier access to the equity markets enables the financing of risky innovative activities (Allen </w:t>
      </w:r>
      <w:r w:rsidR="00B109A5" w:rsidRPr="00BC54D1">
        <w:rPr>
          <w:rFonts w:ascii="Times New Roman" w:hAnsi="Times New Roman"/>
        </w:rPr>
        <w:t xml:space="preserve">and </w:t>
      </w:r>
      <w:r w:rsidRPr="00BC54D1">
        <w:rPr>
          <w:rFonts w:ascii="Times New Roman" w:hAnsi="Times New Roman"/>
        </w:rPr>
        <w:t>Gale, 1999). That is, because the firms’ stocks are freely traded in the market, it allows shareholders to achieve the benefit associated with portfolio diversification and risk sharing, which in turn encourages managers to make more corporate decisions (Faccio</w:t>
      </w:r>
      <w:r w:rsidR="00E67327" w:rsidRPr="00BC54D1">
        <w:rPr>
          <w:rFonts w:ascii="Times New Roman" w:hAnsi="Times New Roman"/>
        </w:rPr>
        <w:t xml:space="preserve"> </w:t>
      </w:r>
      <w:r w:rsidR="00E67327" w:rsidRPr="00BC54D1">
        <w:rPr>
          <w:rFonts w:ascii="Times New Roman" w:hAnsi="Times New Roman"/>
          <w:i/>
        </w:rPr>
        <w:t>et al</w:t>
      </w:r>
      <w:r w:rsidR="00E67327" w:rsidRPr="00BC54D1">
        <w:rPr>
          <w:rFonts w:ascii="Times New Roman" w:hAnsi="Times New Roman"/>
        </w:rPr>
        <w:t>.</w:t>
      </w:r>
      <w:r w:rsidRPr="00BC54D1">
        <w:rPr>
          <w:rFonts w:ascii="Times New Roman" w:hAnsi="Times New Roman"/>
        </w:rPr>
        <w:t xml:space="preserve">, 2011). Extending this view, </w:t>
      </w:r>
      <w:proofErr w:type="spellStart"/>
      <w:r w:rsidRPr="00BC54D1">
        <w:rPr>
          <w:rFonts w:ascii="Times New Roman" w:hAnsi="Times New Roman"/>
        </w:rPr>
        <w:t>Nohria</w:t>
      </w:r>
      <w:proofErr w:type="spellEnd"/>
      <w:r w:rsidRPr="00BC54D1">
        <w:rPr>
          <w:rFonts w:ascii="Times New Roman" w:hAnsi="Times New Roman"/>
        </w:rPr>
        <w:t xml:space="preserve"> and Gulati (1996) suggest that the easy accessibility of public equity markets generate</w:t>
      </w:r>
      <w:r w:rsidR="00E67327" w:rsidRPr="00BC54D1">
        <w:rPr>
          <w:rFonts w:ascii="Times New Roman" w:hAnsi="Times New Roman"/>
        </w:rPr>
        <w:t>s</w:t>
      </w:r>
      <w:r w:rsidRPr="00BC54D1">
        <w:rPr>
          <w:rFonts w:ascii="Times New Roman" w:hAnsi="Times New Roman"/>
        </w:rPr>
        <w:t xml:space="preserve"> financial slack which protects these firms from the uncertainty associated with innovative activities, and this consequently encourages a culture of experimentation. As firms become motivated and engage in experimentation, the pursuit of long-term R&amp;D projects is encouraged (Aghion</w:t>
      </w:r>
      <w:r w:rsidR="00E67327" w:rsidRPr="00BC54D1">
        <w:rPr>
          <w:rFonts w:ascii="Times New Roman" w:hAnsi="Times New Roman"/>
        </w:rPr>
        <w:t xml:space="preserve"> </w:t>
      </w:r>
      <w:r w:rsidR="00E67327" w:rsidRPr="00BC54D1">
        <w:rPr>
          <w:rFonts w:ascii="Times New Roman" w:hAnsi="Times New Roman"/>
          <w:i/>
        </w:rPr>
        <w:t>et al</w:t>
      </w:r>
      <w:r w:rsidR="00E67327" w:rsidRPr="00BC54D1">
        <w:rPr>
          <w:rFonts w:ascii="Times New Roman" w:hAnsi="Times New Roman"/>
        </w:rPr>
        <w:t>.</w:t>
      </w:r>
      <w:r w:rsidRPr="00BC54D1">
        <w:rPr>
          <w:rFonts w:ascii="Times New Roman" w:hAnsi="Times New Roman"/>
        </w:rPr>
        <w:t>, 2010). Relatedly, Rajan (2012) also shares similar sentiment when he argue</w:t>
      </w:r>
      <w:r w:rsidR="00F62C4A" w:rsidRPr="00BC54D1">
        <w:rPr>
          <w:rFonts w:ascii="Times New Roman" w:hAnsi="Times New Roman"/>
        </w:rPr>
        <w:t>s</w:t>
      </w:r>
      <w:r w:rsidRPr="00BC54D1">
        <w:rPr>
          <w:rFonts w:ascii="Times New Roman" w:hAnsi="Times New Roman"/>
        </w:rPr>
        <w:t xml:space="preserve"> that the ability of listed firms to secure equity capital alters the intensive innovation of these firms. In his model, he argues that </w:t>
      </w:r>
      <w:r w:rsidR="00E67327" w:rsidRPr="00BC54D1">
        <w:rPr>
          <w:rFonts w:ascii="Times New Roman" w:hAnsi="Times New Roman"/>
        </w:rPr>
        <w:t xml:space="preserve">the </w:t>
      </w:r>
      <w:r w:rsidRPr="00BC54D1">
        <w:rPr>
          <w:rFonts w:ascii="Times New Roman" w:hAnsi="Times New Roman"/>
        </w:rPr>
        <w:t>equity market plays an important role in providing the capital and incentives that entrepreneurial firms need to innovate, transform, develop, create</w:t>
      </w:r>
      <w:r w:rsidR="00AC68EC" w:rsidRPr="00BC54D1">
        <w:rPr>
          <w:rFonts w:ascii="Times New Roman" w:hAnsi="Times New Roman"/>
        </w:rPr>
        <w:t>,</w:t>
      </w:r>
      <w:r w:rsidRPr="00BC54D1">
        <w:rPr>
          <w:rFonts w:ascii="Times New Roman" w:hAnsi="Times New Roman"/>
        </w:rPr>
        <w:t xml:space="preserve"> and generate profits. Thus, with easy access to </w:t>
      </w:r>
      <w:r w:rsidR="00E67327" w:rsidRPr="00BC54D1">
        <w:rPr>
          <w:rFonts w:ascii="Times New Roman" w:hAnsi="Times New Roman"/>
        </w:rPr>
        <w:t xml:space="preserve">the </w:t>
      </w:r>
      <w:r w:rsidRPr="00BC54D1">
        <w:rPr>
          <w:rFonts w:ascii="Times New Roman" w:hAnsi="Times New Roman"/>
        </w:rPr>
        <w:t>equity market</w:t>
      </w:r>
      <w:r w:rsidR="00E67327" w:rsidRPr="00BC54D1">
        <w:rPr>
          <w:rFonts w:ascii="Times New Roman" w:hAnsi="Times New Roman"/>
        </w:rPr>
        <w:t>,</w:t>
      </w:r>
      <w:r w:rsidRPr="00BC54D1">
        <w:rPr>
          <w:rFonts w:ascii="Times New Roman" w:hAnsi="Times New Roman"/>
        </w:rPr>
        <w:t xml:space="preserve"> public firms are more </w:t>
      </w:r>
      <w:r w:rsidR="00E67327" w:rsidRPr="00BC54D1">
        <w:rPr>
          <w:rFonts w:ascii="Times New Roman" w:hAnsi="Times New Roman"/>
        </w:rPr>
        <w:t xml:space="preserve">likely </w:t>
      </w:r>
      <w:r w:rsidRPr="00BC54D1">
        <w:rPr>
          <w:rFonts w:ascii="Times New Roman" w:hAnsi="Times New Roman"/>
        </w:rPr>
        <w:t>to conduct capital</w:t>
      </w:r>
      <w:r w:rsidR="00E67327" w:rsidRPr="00BC54D1">
        <w:rPr>
          <w:rFonts w:ascii="Times New Roman" w:hAnsi="Times New Roman"/>
        </w:rPr>
        <w:t>-</w:t>
      </w:r>
      <w:r w:rsidRPr="00BC54D1">
        <w:rPr>
          <w:rFonts w:ascii="Times New Roman" w:hAnsi="Times New Roman"/>
        </w:rPr>
        <w:t>intensive</w:t>
      </w:r>
      <w:r w:rsidR="00E67327" w:rsidRPr="00BC54D1">
        <w:rPr>
          <w:rFonts w:ascii="Times New Roman" w:hAnsi="Times New Roman"/>
        </w:rPr>
        <w:t xml:space="preserve"> </w:t>
      </w:r>
      <w:r w:rsidRPr="00BC54D1">
        <w:rPr>
          <w:rFonts w:ascii="Times New Roman" w:hAnsi="Times New Roman"/>
        </w:rPr>
        <w:t xml:space="preserve">innovation. Extending this assumption, </w:t>
      </w:r>
      <w:proofErr w:type="gramStart"/>
      <w:r w:rsidRPr="00BC54D1">
        <w:rPr>
          <w:rFonts w:ascii="Times New Roman" w:hAnsi="Times New Roman"/>
        </w:rPr>
        <w:t>Hall</w:t>
      </w:r>
      <w:proofErr w:type="gramEnd"/>
      <w:r w:rsidRPr="00BC54D1">
        <w:rPr>
          <w:rFonts w:ascii="Times New Roman" w:hAnsi="Times New Roman"/>
        </w:rPr>
        <w:t xml:space="preserve"> </w:t>
      </w:r>
      <w:r w:rsidR="00F62C4A" w:rsidRPr="00BC54D1">
        <w:rPr>
          <w:rFonts w:ascii="Times New Roman" w:hAnsi="Times New Roman"/>
        </w:rPr>
        <w:t xml:space="preserve">and </w:t>
      </w:r>
      <w:r w:rsidRPr="00BC54D1">
        <w:rPr>
          <w:rFonts w:ascii="Times New Roman" w:hAnsi="Times New Roman"/>
        </w:rPr>
        <w:t>Lerner (2010) suggest that the unattractiveness of intangible assets to the debt market makes equity financing a preferred option. That is, because innovative activities are often uncertain and volatile, they become unattractive to many creditors to accept as collateral (</w:t>
      </w:r>
      <w:proofErr w:type="spellStart"/>
      <w:r w:rsidRPr="00BC54D1">
        <w:rPr>
          <w:rFonts w:ascii="Times New Roman" w:hAnsi="Times New Roman"/>
        </w:rPr>
        <w:t>Stigliz</w:t>
      </w:r>
      <w:proofErr w:type="spellEnd"/>
      <w:r w:rsidRPr="00BC54D1">
        <w:rPr>
          <w:rFonts w:ascii="Times New Roman" w:hAnsi="Times New Roman"/>
        </w:rPr>
        <w:t xml:space="preserve">, 1985). Moreover, pointing to the collateral argument, Rajan (2012) shows that the possibility of entrepreneurial firms losing their critical assets to creditors in the event of project failure discourages them from being innovative. However, through </w:t>
      </w:r>
      <w:r w:rsidR="002C65EF" w:rsidRPr="00BC54D1">
        <w:rPr>
          <w:rFonts w:ascii="Times New Roman" w:hAnsi="Times New Roman"/>
        </w:rPr>
        <w:t xml:space="preserve">the </w:t>
      </w:r>
      <w:r w:rsidRPr="00BC54D1">
        <w:rPr>
          <w:rFonts w:ascii="Times New Roman" w:hAnsi="Times New Roman"/>
        </w:rPr>
        <w:t>equity market</w:t>
      </w:r>
      <w:r w:rsidR="00F62C4A" w:rsidRPr="00BC54D1">
        <w:rPr>
          <w:rFonts w:ascii="Times New Roman" w:hAnsi="Times New Roman"/>
        </w:rPr>
        <w:t>,</w:t>
      </w:r>
      <w:r w:rsidRPr="00BC54D1">
        <w:rPr>
          <w:rFonts w:ascii="Times New Roman" w:hAnsi="Times New Roman"/>
        </w:rPr>
        <w:t xml:space="preserve"> publicly listed firms can easily finance innovative projects without needing collateral security. Consequently, listed firms may enjoy </w:t>
      </w:r>
      <w:r w:rsidR="002C65EF" w:rsidRPr="00BC54D1">
        <w:rPr>
          <w:rFonts w:ascii="Times New Roman" w:hAnsi="Times New Roman"/>
        </w:rPr>
        <w:t xml:space="preserve">a </w:t>
      </w:r>
      <w:r w:rsidRPr="00BC54D1">
        <w:rPr>
          <w:rFonts w:ascii="Times New Roman" w:hAnsi="Times New Roman"/>
        </w:rPr>
        <w:t xml:space="preserve">lower cost of capital as </w:t>
      </w:r>
      <w:r w:rsidR="002C65EF" w:rsidRPr="00BC54D1">
        <w:rPr>
          <w:rFonts w:ascii="Times New Roman" w:hAnsi="Times New Roman"/>
        </w:rPr>
        <w:t xml:space="preserve">their </w:t>
      </w:r>
      <w:r w:rsidRPr="00BC54D1">
        <w:rPr>
          <w:rFonts w:ascii="Times New Roman" w:hAnsi="Times New Roman"/>
        </w:rPr>
        <w:t>investors</w:t>
      </w:r>
      <w:r w:rsidR="002C65EF" w:rsidRPr="00BC54D1">
        <w:rPr>
          <w:rFonts w:ascii="Times New Roman" w:hAnsi="Times New Roman"/>
        </w:rPr>
        <w:t>’</w:t>
      </w:r>
      <w:r w:rsidRPr="00BC54D1">
        <w:rPr>
          <w:rFonts w:ascii="Times New Roman" w:hAnsi="Times New Roman"/>
        </w:rPr>
        <w:t xml:space="preserve"> portfolio</w:t>
      </w:r>
      <w:r w:rsidR="00A83435" w:rsidRPr="00BC54D1">
        <w:rPr>
          <w:rFonts w:ascii="Times New Roman" w:hAnsi="Times New Roman"/>
        </w:rPr>
        <w:t>s</w:t>
      </w:r>
      <w:r w:rsidRPr="00BC54D1">
        <w:rPr>
          <w:rFonts w:ascii="Times New Roman" w:hAnsi="Times New Roman"/>
        </w:rPr>
        <w:t xml:space="preserve"> become more liquid and diversified (Pagano</w:t>
      </w:r>
      <w:r w:rsidR="002C65EF" w:rsidRPr="00BC54D1">
        <w:rPr>
          <w:rFonts w:ascii="Times New Roman" w:hAnsi="Times New Roman"/>
        </w:rPr>
        <w:t xml:space="preserve"> </w:t>
      </w:r>
      <w:r w:rsidR="002C65EF" w:rsidRPr="00BC54D1">
        <w:rPr>
          <w:rFonts w:ascii="Times New Roman" w:hAnsi="Times New Roman"/>
          <w:i/>
        </w:rPr>
        <w:t>et al</w:t>
      </w:r>
      <w:r w:rsidR="002C65EF" w:rsidRPr="00BC54D1">
        <w:rPr>
          <w:rFonts w:ascii="Times New Roman" w:hAnsi="Times New Roman"/>
        </w:rPr>
        <w:t>.</w:t>
      </w:r>
      <w:r w:rsidRPr="00BC54D1">
        <w:rPr>
          <w:rFonts w:ascii="Times New Roman" w:hAnsi="Times New Roman"/>
        </w:rPr>
        <w:t>, 1998).</w:t>
      </w:r>
    </w:p>
    <w:p w14:paraId="6EE4C8EA" w14:textId="6B11C47E" w:rsidR="001A01B6" w:rsidRPr="00BC54D1" w:rsidRDefault="001A01B6" w:rsidP="00A32C88">
      <w:pPr>
        <w:spacing w:before="120" w:after="120" w:line="360" w:lineRule="auto"/>
        <w:jc w:val="both"/>
        <w:rPr>
          <w:rFonts w:ascii="Times New Roman" w:hAnsi="Times New Roman"/>
        </w:rPr>
      </w:pPr>
      <w:r w:rsidRPr="00BC54D1">
        <w:rPr>
          <w:rFonts w:ascii="Times New Roman" w:hAnsi="Times New Roman"/>
        </w:rPr>
        <w:t xml:space="preserve">Overall, given the contrasting predictions on how </w:t>
      </w:r>
      <w:r w:rsidR="0069069C" w:rsidRPr="00BC54D1">
        <w:rPr>
          <w:rFonts w:ascii="Times New Roman" w:hAnsi="Times New Roman"/>
        </w:rPr>
        <w:t xml:space="preserve">a </w:t>
      </w:r>
      <w:r w:rsidRPr="00BC54D1">
        <w:rPr>
          <w:rFonts w:ascii="Times New Roman" w:hAnsi="Times New Roman"/>
        </w:rPr>
        <w:t xml:space="preserve">firm’s listing status (private &amp; </w:t>
      </w:r>
      <w:r w:rsidR="0069069C" w:rsidRPr="00BC54D1">
        <w:rPr>
          <w:rFonts w:ascii="Times New Roman" w:hAnsi="Times New Roman"/>
        </w:rPr>
        <w:t>p</w:t>
      </w:r>
      <w:r w:rsidRPr="00BC54D1">
        <w:rPr>
          <w:rFonts w:ascii="Times New Roman" w:hAnsi="Times New Roman"/>
        </w:rPr>
        <w:t>ublic) is likely to impact its innovative (R&amp;D) activities, it becomes an empirical question as to how privately held firms</w:t>
      </w:r>
      <w:r w:rsidR="0069069C" w:rsidRPr="00BC54D1">
        <w:rPr>
          <w:rFonts w:ascii="Times New Roman" w:hAnsi="Times New Roman"/>
        </w:rPr>
        <w:t>’</w:t>
      </w:r>
      <w:r w:rsidRPr="00BC54D1">
        <w:rPr>
          <w:rFonts w:ascii="Times New Roman" w:hAnsi="Times New Roman"/>
        </w:rPr>
        <w:t xml:space="preserve"> R&amp;D behave</w:t>
      </w:r>
      <w:r w:rsidR="00F62C4A" w:rsidRPr="00BC54D1">
        <w:rPr>
          <w:rFonts w:ascii="Times New Roman" w:hAnsi="Times New Roman"/>
        </w:rPr>
        <w:t>s</w:t>
      </w:r>
      <w:r w:rsidRPr="00BC54D1">
        <w:rPr>
          <w:rFonts w:ascii="Times New Roman" w:hAnsi="Times New Roman"/>
        </w:rPr>
        <w:t xml:space="preserve">. Additionally, we further conjecture that the R&amp;D behaviour of privately held firms may vary based on the firms’ internal and external sources of financing. </w:t>
      </w:r>
      <w:r w:rsidR="00F62C4A" w:rsidRPr="00BC54D1">
        <w:rPr>
          <w:rFonts w:ascii="Times New Roman" w:hAnsi="Times New Roman"/>
        </w:rPr>
        <w:t>Simply put</w:t>
      </w:r>
      <w:r w:rsidRPr="00BC54D1">
        <w:rPr>
          <w:rFonts w:ascii="Times New Roman" w:hAnsi="Times New Roman"/>
        </w:rPr>
        <w:t xml:space="preserve">, because private firms often have limited financing options, those with R&amp;D intensive activities may rely more on internal financing and may only use debt (second choice) when internally generated </w:t>
      </w:r>
      <w:r w:rsidR="00686382" w:rsidRPr="00BC54D1">
        <w:rPr>
          <w:rFonts w:ascii="Times New Roman" w:hAnsi="Times New Roman"/>
        </w:rPr>
        <w:t xml:space="preserve">cash flow </w:t>
      </w:r>
      <w:r w:rsidRPr="00BC54D1">
        <w:rPr>
          <w:rFonts w:ascii="Times New Roman" w:hAnsi="Times New Roman"/>
        </w:rPr>
        <w:t xml:space="preserve">is insufficient (Acharya </w:t>
      </w:r>
      <w:r w:rsidR="005C7D36" w:rsidRPr="00BC54D1">
        <w:rPr>
          <w:rFonts w:ascii="Times New Roman" w:hAnsi="Times New Roman"/>
        </w:rPr>
        <w:t xml:space="preserve">and </w:t>
      </w:r>
      <w:r w:rsidRPr="00BC54D1">
        <w:rPr>
          <w:rFonts w:ascii="Times New Roman" w:hAnsi="Times New Roman"/>
        </w:rPr>
        <w:t xml:space="preserve">Xu, 2017; Gao </w:t>
      </w:r>
      <w:r w:rsidRPr="00BC54D1">
        <w:rPr>
          <w:rFonts w:ascii="Times New Roman" w:hAnsi="Times New Roman"/>
          <w:i/>
          <w:iCs/>
        </w:rPr>
        <w:t>et al</w:t>
      </w:r>
      <w:r w:rsidRPr="00BC54D1">
        <w:rPr>
          <w:rFonts w:ascii="Times New Roman" w:hAnsi="Times New Roman"/>
          <w:iCs/>
        </w:rPr>
        <w:t>.,</w:t>
      </w:r>
      <w:r w:rsidRPr="00BC54D1">
        <w:rPr>
          <w:rFonts w:ascii="Times New Roman" w:hAnsi="Times New Roman"/>
        </w:rPr>
        <w:t xml:space="preserve"> 2013; </w:t>
      </w:r>
      <w:proofErr w:type="spellStart"/>
      <w:r w:rsidRPr="00BC54D1">
        <w:rPr>
          <w:rFonts w:ascii="Times New Roman" w:hAnsi="Times New Roman"/>
        </w:rPr>
        <w:t>Brav</w:t>
      </w:r>
      <w:proofErr w:type="spellEnd"/>
      <w:r w:rsidRPr="00BC54D1">
        <w:rPr>
          <w:rFonts w:ascii="Times New Roman" w:hAnsi="Times New Roman"/>
        </w:rPr>
        <w:t xml:space="preserve">, 2009). However, the exposure to stock market short-termism (i.e., </w:t>
      </w:r>
      <w:r w:rsidR="00C53D4D" w:rsidRPr="00BC54D1">
        <w:rPr>
          <w:rFonts w:ascii="Times New Roman" w:hAnsi="Times New Roman"/>
        </w:rPr>
        <w:t xml:space="preserve">to </w:t>
      </w:r>
      <w:r w:rsidRPr="00BC54D1">
        <w:rPr>
          <w:rFonts w:ascii="Times New Roman" w:hAnsi="Times New Roman"/>
        </w:rPr>
        <w:t>satisfy annual earnings growth) could prevent public firm managers using internally generated fund</w:t>
      </w:r>
      <w:r w:rsidR="0069069C" w:rsidRPr="00BC54D1">
        <w:rPr>
          <w:rFonts w:ascii="Times New Roman" w:hAnsi="Times New Roman"/>
        </w:rPr>
        <w:t>s</w:t>
      </w:r>
      <w:r w:rsidRPr="00BC54D1">
        <w:rPr>
          <w:rFonts w:ascii="Times New Roman" w:hAnsi="Times New Roman"/>
        </w:rPr>
        <w:t xml:space="preserve"> to sponsor R&amp;D. Further, the infusion of public equity benefits makes them less dependent on internal cash and external debt to </w:t>
      </w:r>
      <w:r w:rsidRPr="00BC54D1">
        <w:rPr>
          <w:rFonts w:ascii="Times New Roman" w:hAnsi="Times New Roman"/>
        </w:rPr>
        <w:lastRenderedPageBreak/>
        <w:t xml:space="preserve">finance R&amp;D activity (Acharya </w:t>
      </w:r>
      <w:r w:rsidR="005C7D36" w:rsidRPr="00BC54D1">
        <w:rPr>
          <w:rFonts w:ascii="Times New Roman" w:hAnsi="Times New Roman"/>
        </w:rPr>
        <w:t xml:space="preserve">and </w:t>
      </w:r>
      <w:r w:rsidRPr="00BC54D1">
        <w:rPr>
          <w:rFonts w:ascii="Times New Roman" w:hAnsi="Times New Roman"/>
        </w:rPr>
        <w:t xml:space="preserve">Xu, 2017). Noting the implications of </w:t>
      </w:r>
      <w:r w:rsidR="00F62C4A" w:rsidRPr="00BC54D1">
        <w:rPr>
          <w:rFonts w:ascii="Times New Roman" w:hAnsi="Times New Roman"/>
        </w:rPr>
        <w:t xml:space="preserve">the various </w:t>
      </w:r>
      <w:r w:rsidRPr="00BC54D1">
        <w:rPr>
          <w:rFonts w:ascii="Times New Roman" w:hAnsi="Times New Roman"/>
        </w:rPr>
        <w:t xml:space="preserve">theoretical models, we argue that the impact of firm status (private </w:t>
      </w:r>
      <w:r w:rsidR="006E074D" w:rsidRPr="00BC54D1">
        <w:rPr>
          <w:rFonts w:ascii="Times New Roman" w:hAnsi="Times New Roman"/>
        </w:rPr>
        <w:t>vs public</w:t>
      </w:r>
      <w:r w:rsidRPr="00BC54D1">
        <w:rPr>
          <w:rFonts w:ascii="Times New Roman" w:hAnsi="Times New Roman"/>
        </w:rPr>
        <w:t xml:space="preserve">) on R&amp;D activity varies with the degree of internal and external finance dependence. </w:t>
      </w:r>
    </w:p>
    <w:p w14:paraId="59FCB4DD" w14:textId="2D1AAFBF" w:rsidR="001A01B6" w:rsidRPr="00BC54D1" w:rsidRDefault="008C65A2" w:rsidP="00A32C88">
      <w:pPr>
        <w:spacing w:before="120" w:after="120" w:line="360" w:lineRule="auto"/>
        <w:jc w:val="both"/>
        <w:rPr>
          <w:rFonts w:ascii="Times New Roman" w:hAnsi="Times New Roman"/>
        </w:rPr>
      </w:pPr>
      <w:r w:rsidRPr="00BC54D1">
        <w:rPr>
          <w:rFonts w:ascii="Times New Roman" w:hAnsi="Times New Roman"/>
        </w:rPr>
        <w:t>Lastly</w:t>
      </w:r>
      <w:r w:rsidR="001A01B6" w:rsidRPr="00BC54D1">
        <w:rPr>
          <w:rFonts w:ascii="Times New Roman" w:hAnsi="Times New Roman"/>
        </w:rPr>
        <w:t>, we also argue that the information environment within which (private) firms operate may affect their R&amp;D activities. Thus, listed firms disclose more information to the markets and</w:t>
      </w:r>
      <w:r w:rsidR="0069069C" w:rsidRPr="00BC54D1">
        <w:rPr>
          <w:rFonts w:ascii="Times New Roman" w:hAnsi="Times New Roman"/>
        </w:rPr>
        <w:t>,</w:t>
      </w:r>
      <w:r w:rsidR="001A01B6" w:rsidRPr="00BC54D1">
        <w:rPr>
          <w:rFonts w:ascii="Times New Roman" w:hAnsi="Times New Roman"/>
        </w:rPr>
        <w:t xml:space="preserve"> given that they are closely monitored by their peers</w:t>
      </w:r>
      <w:r w:rsidR="004D3390" w:rsidRPr="00BC54D1">
        <w:rPr>
          <w:rFonts w:ascii="Times New Roman" w:hAnsi="Times New Roman"/>
        </w:rPr>
        <w:t>,</w:t>
      </w:r>
      <w:r w:rsidR="001A01B6" w:rsidRPr="00BC54D1">
        <w:rPr>
          <w:rFonts w:ascii="Times New Roman" w:hAnsi="Times New Roman"/>
        </w:rPr>
        <w:t xml:space="preserve"> including private ones</w:t>
      </w:r>
      <w:r w:rsidR="004D3390" w:rsidRPr="00BC54D1">
        <w:rPr>
          <w:rFonts w:ascii="Times New Roman" w:hAnsi="Times New Roman"/>
        </w:rPr>
        <w:t>,</w:t>
      </w:r>
      <w:r w:rsidR="001A01B6" w:rsidRPr="00BC54D1">
        <w:rPr>
          <w:rFonts w:ascii="Times New Roman" w:hAnsi="Times New Roman"/>
        </w:rPr>
        <w:t xml:space="preserve"> (Aggarwal </w:t>
      </w:r>
      <w:r w:rsidR="006E074D" w:rsidRPr="00BC54D1">
        <w:rPr>
          <w:rFonts w:ascii="Times New Roman" w:hAnsi="Times New Roman"/>
        </w:rPr>
        <w:t>and</w:t>
      </w:r>
      <w:r w:rsidR="001A01B6" w:rsidRPr="00BC54D1">
        <w:rPr>
          <w:rFonts w:ascii="Times New Roman" w:hAnsi="Times New Roman"/>
        </w:rPr>
        <w:t xml:space="preserve"> Hsu, 2014; Bhattacharya </w:t>
      </w:r>
      <w:r w:rsidR="006E074D" w:rsidRPr="00BC54D1">
        <w:rPr>
          <w:rFonts w:ascii="Times New Roman" w:hAnsi="Times New Roman"/>
        </w:rPr>
        <w:t>and</w:t>
      </w:r>
      <w:r w:rsidR="001A01B6" w:rsidRPr="00BC54D1">
        <w:rPr>
          <w:rFonts w:ascii="Times New Roman" w:hAnsi="Times New Roman"/>
        </w:rPr>
        <w:t xml:space="preserve"> Ritter, 1983), these monitoring firms may tend to respond promptly to any investment opportunity they identify</w:t>
      </w:r>
      <w:r w:rsidR="00460610" w:rsidRPr="00BC54D1">
        <w:rPr>
          <w:rFonts w:ascii="Times New Roman" w:hAnsi="Times New Roman"/>
        </w:rPr>
        <w:t xml:space="preserve"> in the information disc</w:t>
      </w:r>
      <w:r w:rsidR="00235142" w:rsidRPr="00BC54D1">
        <w:rPr>
          <w:rFonts w:ascii="Times New Roman" w:hAnsi="Times New Roman"/>
        </w:rPr>
        <w:t>losed</w:t>
      </w:r>
      <w:r w:rsidR="001A01B6" w:rsidRPr="00BC54D1">
        <w:rPr>
          <w:rFonts w:ascii="Times New Roman" w:hAnsi="Times New Roman"/>
        </w:rPr>
        <w:t xml:space="preserve">. For instance, while Asker </w:t>
      </w:r>
      <w:r w:rsidR="001A01B6" w:rsidRPr="00BC54D1">
        <w:rPr>
          <w:rFonts w:ascii="Times New Roman" w:hAnsi="Times New Roman"/>
          <w:i/>
          <w:iCs/>
        </w:rPr>
        <w:t>et al</w:t>
      </w:r>
      <w:r w:rsidR="001A01B6" w:rsidRPr="00BC54D1">
        <w:rPr>
          <w:rFonts w:ascii="Times New Roman" w:hAnsi="Times New Roman"/>
          <w:iCs/>
        </w:rPr>
        <w:t>.</w:t>
      </w:r>
      <w:r w:rsidR="001A01B6" w:rsidRPr="00BC54D1">
        <w:rPr>
          <w:rFonts w:ascii="Times New Roman" w:hAnsi="Times New Roman"/>
          <w:i/>
          <w:iCs/>
        </w:rPr>
        <w:t xml:space="preserve"> </w:t>
      </w:r>
      <w:r w:rsidR="001A01B6" w:rsidRPr="00BC54D1">
        <w:rPr>
          <w:rFonts w:ascii="Times New Roman" w:hAnsi="Times New Roman"/>
        </w:rPr>
        <w:t xml:space="preserve">(2012) observe that private firms are more responsive to growth opportunities than their public counterparts, </w:t>
      </w:r>
      <w:r w:rsidR="00FE19CF" w:rsidRPr="00BC54D1">
        <w:rPr>
          <w:rFonts w:ascii="Times New Roman" w:hAnsi="Times New Roman"/>
        </w:rPr>
        <w:t>Badertscher</w:t>
      </w:r>
      <w:r w:rsidR="001A01B6" w:rsidRPr="00BC54D1">
        <w:rPr>
          <w:rFonts w:ascii="Times New Roman" w:hAnsi="Times New Roman"/>
        </w:rPr>
        <w:t xml:space="preserve"> </w:t>
      </w:r>
      <w:r w:rsidR="001A01B6" w:rsidRPr="00BC54D1">
        <w:rPr>
          <w:rFonts w:ascii="Times New Roman" w:hAnsi="Times New Roman"/>
          <w:i/>
          <w:iCs/>
        </w:rPr>
        <w:t>et al.</w:t>
      </w:r>
      <w:r w:rsidR="001A01B6" w:rsidRPr="00BC54D1">
        <w:rPr>
          <w:rFonts w:ascii="Times New Roman" w:hAnsi="Times New Roman"/>
        </w:rPr>
        <w:t xml:space="preserve"> (2013) assert that the responsiveness of private firms to investment growth opportunities is </w:t>
      </w:r>
      <w:r w:rsidR="005C3E25" w:rsidRPr="00BC54D1">
        <w:rPr>
          <w:rFonts w:ascii="Times New Roman" w:hAnsi="Times New Roman"/>
        </w:rPr>
        <w:t>linked to</w:t>
      </w:r>
      <w:r w:rsidR="001A01B6" w:rsidRPr="00BC54D1">
        <w:rPr>
          <w:rFonts w:ascii="Times New Roman" w:hAnsi="Times New Roman"/>
        </w:rPr>
        <w:t xml:space="preserve"> </w:t>
      </w:r>
      <w:r w:rsidR="00BF44D8" w:rsidRPr="00BC54D1">
        <w:rPr>
          <w:rFonts w:ascii="Times New Roman" w:hAnsi="Times New Roman"/>
        </w:rPr>
        <w:t xml:space="preserve">the </w:t>
      </w:r>
      <w:r w:rsidR="000F15F7" w:rsidRPr="00BC54D1">
        <w:rPr>
          <w:rFonts w:ascii="Times New Roman" w:hAnsi="Times New Roman"/>
        </w:rPr>
        <w:t>firms’</w:t>
      </w:r>
      <w:r w:rsidR="00BF44D8" w:rsidRPr="00BC54D1">
        <w:rPr>
          <w:rFonts w:ascii="Times New Roman" w:hAnsi="Times New Roman"/>
        </w:rPr>
        <w:t xml:space="preserve"> </w:t>
      </w:r>
      <w:r w:rsidR="003E4908" w:rsidRPr="00BC54D1">
        <w:rPr>
          <w:rFonts w:ascii="Times New Roman" w:hAnsi="Times New Roman"/>
        </w:rPr>
        <w:t>prompt</w:t>
      </w:r>
      <w:r w:rsidRPr="00BC54D1">
        <w:rPr>
          <w:rFonts w:ascii="Times New Roman" w:hAnsi="Times New Roman"/>
        </w:rPr>
        <w:t xml:space="preserve"> reaction t</w:t>
      </w:r>
      <w:r w:rsidR="00BF44D8" w:rsidRPr="00BC54D1">
        <w:rPr>
          <w:rFonts w:ascii="Times New Roman" w:hAnsi="Times New Roman"/>
        </w:rPr>
        <w:t>o</w:t>
      </w:r>
      <w:r w:rsidR="001A01B6" w:rsidRPr="00BC54D1">
        <w:rPr>
          <w:rFonts w:ascii="Times New Roman" w:hAnsi="Times New Roman"/>
        </w:rPr>
        <w:t xml:space="preserve"> </w:t>
      </w:r>
      <w:r w:rsidRPr="00BC54D1">
        <w:rPr>
          <w:rFonts w:ascii="Times New Roman" w:hAnsi="Times New Roman"/>
        </w:rPr>
        <w:t xml:space="preserve">the </w:t>
      </w:r>
      <w:r w:rsidR="001A01B6" w:rsidRPr="00BC54D1">
        <w:rPr>
          <w:rFonts w:ascii="Times New Roman" w:hAnsi="Times New Roman"/>
        </w:rPr>
        <w:t>industry information. Given the above proposition, we provide further analysis on the extent to which private firms</w:t>
      </w:r>
      <w:r w:rsidR="0069069C" w:rsidRPr="00BC54D1">
        <w:rPr>
          <w:rFonts w:ascii="Times New Roman" w:hAnsi="Times New Roman"/>
        </w:rPr>
        <w:t>’</w:t>
      </w:r>
      <w:r w:rsidR="001A01B6" w:rsidRPr="00BC54D1">
        <w:rPr>
          <w:rFonts w:ascii="Times New Roman" w:hAnsi="Times New Roman"/>
        </w:rPr>
        <w:t xml:space="preserve"> R&amp;D behaviour is driven by the industry information level.</w:t>
      </w:r>
    </w:p>
    <w:p w14:paraId="7F0EAE06" w14:textId="77777777" w:rsidR="004A0DAE" w:rsidRPr="00BC54D1" w:rsidRDefault="004A0DAE" w:rsidP="00A32C88">
      <w:pPr>
        <w:spacing w:before="120" w:after="120" w:line="360" w:lineRule="auto"/>
        <w:rPr>
          <w:rFonts w:ascii="Times New Roman" w:hAnsi="Times New Roman"/>
          <w:b/>
        </w:rPr>
      </w:pPr>
    </w:p>
    <w:p w14:paraId="71370680" w14:textId="45708434" w:rsidR="004A0DAE" w:rsidRPr="00BC54D1" w:rsidRDefault="004A0DAE" w:rsidP="004A0DAE">
      <w:pPr>
        <w:spacing w:before="120" w:after="120" w:line="360" w:lineRule="auto"/>
        <w:rPr>
          <w:rFonts w:ascii="Times New Roman" w:hAnsi="Times New Roman"/>
          <w:b/>
        </w:rPr>
      </w:pPr>
      <w:r w:rsidRPr="00BC54D1">
        <w:rPr>
          <w:rFonts w:ascii="Times New Roman" w:hAnsi="Times New Roman"/>
          <w:b/>
        </w:rPr>
        <w:t>3. Method</w:t>
      </w:r>
    </w:p>
    <w:p w14:paraId="45BB27C5" w14:textId="77777777" w:rsidR="00C24C5A" w:rsidRPr="00BC54D1" w:rsidRDefault="00C24C5A" w:rsidP="00C24C5A">
      <w:pPr>
        <w:jc w:val="both"/>
        <w:rPr>
          <w:rFonts w:ascii="Times New Roman" w:hAnsi="Times New Roman"/>
          <w:b/>
          <w:i/>
        </w:rPr>
      </w:pPr>
      <w:r w:rsidRPr="00BC54D1">
        <w:rPr>
          <w:rFonts w:ascii="Times New Roman" w:hAnsi="Times New Roman"/>
          <w:b/>
          <w:i/>
        </w:rPr>
        <w:t>3.1. Data</w:t>
      </w:r>
    </w:p>
    <w:p w14:paraId="37F18B61" w14:textId="124A2BBC" w:rsidR="00C24C5A" w:rsidRPr="00BC54D1" w:rsidRDefault="00AB72B2" w:rsidP="00345697">
      <w:pPr>
        <w:spacing w:before="120" w:after="120" w:line="360" w:lineRule="auto"/>
        <w:ind w:left="11" w:hanging="11"/>
        <w:jc w:val="both"/>
        <w:rPr>
          <w:rFonts w:ascii="Times New Roman" w:hAnsi="Times New Roman"/>
        </w:rPr>
      </w:pPr>
      <w:bookmarkStart w:id="2" w:name="_Hlk77018341"/>
      <w:r w:rsidRPr="00BC54D1">
        <w:rPr>
          <w:rFonts w:ascii="Times New Roman" w:hAnsi="Times New Roman"/>
        </w:rPr>
        <w:t>The data for the firms examined in this study was obtained from the Amadeus</w:t>
      </w:r>
      <w:r w:rsidR="0084406A" w:rsidRPr="00BC54D1">
        <w:rPr>
          <w:rFonts w:ascii="Times New Roman" w:hAnsi="Times New Roman"/>
        </w:rPr>
        <w:t xml:space="preserve"> </w:t>
      </w:r>
      <w:r w:rsidRPr="00BC54D1">
        <w:rPr>
          <w:rFonts w:ascii="Times New Roman" w:hAnsi="Times New Roman"/>
        </w:rPr>
        <w:t>database supplied</w:t>
      </w:r>
      <w:r w:rsidR="0084406A" w:rsidRPr="00BC54D1">
        <w:rPr>
          <w:rFonts w:ascii="Times New Roman" w:hAnsi="Times New Roman"/>
        </w:rPr>
        <w:t xml:space="preserve"> </w:t>
      </w:r>
      <w:r w:rsidRPr="00BC54D1">
        <w:rPr>
          <w:rFonts w:ascii="Times New Roman" w:hAnsi="Times New Roman"/>
        </w:rPr>
        <w:t>by Bureau van</w:t>
      </w:r>
      <w:r w:rsidR="00345697" w:rsidRPr="00BC54D1">
        <w:rPr>
          <w:rFonts w:ascii="Times New Roman" w:hAnsi="Times New Roman"/>
        </w:rPr>
        <w:t xml:space="preserve"> </w:t>
      </w:r>
      <w:r w:rsidRPr="00BC54D1">
        <w:rPr>
          <w:rFonts w:ascii="Times New Roman" w:hAnsi="Times New Roman"/>
        </w:rPr>
        <w:t>Dijk, which covers both private and public UK firms for the period 2006–2016. Amadeus</w:t>
      </w:r>
      <w:r w:rsidR="0067091C">
        <w:rPr>
          <w:rFonts w:ascii="Times New Roman" w:hAnsi="Times New Roman"/>
        </w:rPr>
        <w:t xml:space="preserve"> </w:t>
      </w:r>
      <w:r w:rsidRPr="00BC54D1">
        <w:rPr>
          <w:rFonts w:ascii="Times New Roman" w:hAnsi="Times New Roman"/>
        </w:rPr>
        <w:t>database provides financial statement data for a large</w:t>
      </w:r>
      <w:r w:rsidR="00345697" w:rsidRPr="00BC54D1">
        <w:rPr>
          <w:rFonts w:ascii="Times New Roman" w:hAnsi="Times New Roman"/>
        </w:rPr>
        <w:t xml:space="preserve"> </w:t>
      </w:r>
      <w:r w:rsidRPr="00BC54D1">
        <w:rPr>
          <w:rFonts w:ascii="Times New Roman" w:hAnsi="Times New Roman"/>
        </w:rPr>
        <w:t>set of European firms including UK private and public firms and it is compiled from several well-established national information</w:t>
      </w:r>
      <w:r w:rsidRPr="00BC54D1">
        <w:rPr>
          <w:rStyle w:val="normaltextrun"/>
          <w:rFonts w:ascii="Times New Roman" w:hAnsi="Times New Roman"/>
          <w:shd w:val="clear" w:color="auto" w:fill="FFFFFF"/>
        </w:rPr>
        <w:t xml:space="preserve"> collectors (Burgstahler et al., 2006; Badertscher et al., 2013). </w:t>
      </w:r>
      <w:r w:rsidR="00C24C5A" w:rsidRPr="00BC54D1">
        <w:rPr>
          <w:rFonts w:ascii="Times New Roman" w:hAnsi="Times New Roman"/>
        </w:rPr>
        <w:t>The database</w:t>
      </w:r>
      <w:r w:rsidR="0069069C" w:rsidRPr="00BC54D1">
        <w:rPr>
          <w:rFonts w:ascii="Times New Roman" w:hAnsi="Times New Roman"/>
        </w:rPr>
        <w:t>’s</w:t>
      </w:r>
      <w:r w:rsidR="00C24C5A" w:rsidRPr="00BC54D1">
        <w:rPr>
          <w:rFonts w:ascii="Times New Roman" w:hAnsi="Times New Roman"/>
        </w:rPr>
        <w:t xml:space="preserve"> unique coverage of financial information on private and public firms enables us to measure firm-year R&amp;D intensity and other characteristics. Consistent with prior empirical studies (e.g.</w:t>
      </w:r>
      <w:r w:rsidR="00115F18" w:rsidRPr="00BC54D1">
        <w:rPr>
          <w:rFonts w:ascii="Times New Roman" w:hAnsi="Times New Roman"/>
        </w:rPr>
        <w:t>,</w:t>
      </w:r>
      <w:r w:rsidR="00C24C5A" w:rsidRPr="00BC54D1">
        <w:rPr>
          <w:rFonts w:ascii="Times New Roman" w:hAnsi="Times New Roman"/>
        </w:rPr>
        <w:t xml:space="preserve"> Acharya and Xu, 2017), we exclude financial and utilities firms from our sample because investment models are not suited for these firms. Again, we also drop firms with fewer than two years of complete data</w:t>
      </w:r>
      <w:r w:rsidR="0069069C" w:rsidRPr="00BC54D1">
        <w:rPr>
          <w:rFonts w:ascii="Times New Roman" w:hAnsi="Times New Roman"/>
        </w:rPr>
        <w:t>,</w:t>
      </w:r>
      <w:r w:rsidR="00C24C5A" w:rsidRPr="00BC54D1">
        <w:rPr>
          <w:rFonts w:ascii="Times New Roman" w:hAnsi="Times New Roman"/>
        </w:rPr>
        <w:t xml:space="preserve"> and each observation requires non-missing data on total assets</w:t>
      </w:r>
      <w:r w:rsidR="00115F18" w:rsidRPr="00BC54D1">
        <w:rPr>
          <w:rFonts w:ascii="Times New Roman" w:hAnsi="Times New Roman"/>
        </w:rPr>
        <w:t xml:space="preserve"> (Brown </w:t>
      </w:r>
      <w:r w:rsidR="00115F18" w:rsidRPr="00BC54D1">
        <w:rPr>
          <w:rFonts w:ascii="Times New Roman" w:hAnsi="Times New Roman"/>
          <w:i/>
          <w:iCs/>
        </w:rPr>
        <w:t>et al</w:t>
      </w:r>
      <w:r w:rsidR="00115F18" w:rsidRPr="00BC54D1">
        <w:rPr>
          <w:rFonts w:ascii="Times New Roman" w:hAnsi="Times New Roman"/>
          <w:iCs/>
        </w:rPr>
        <w:t>.,</w:t>
      </w:r>
      <w:r w:rsidR="00115F18" w:rsidRPr="00BC54D1">
        <w:rPr>
          <w:rFonts w:ascii="Times New Roman" w:hAnsi="Times New Roman"/>
        </w:rPr>
        <w:t xml:space="preserve"> 2012)</w:t>
      </w:r>
      <w:r w:rsidR="00C24C5A" w:rsidRPr="00BC54D1">
        <w:rPr>
          <w:rFonts w:ascii="Times New Roman" w:hAnsi="Times New Roman"/>
        </w:rPr>
        <w:t xml:space="preserve">. After </w:t>
      </w:r>
      <w:r w:rsidR="00A84CAE" w:rsidRPr="00BC54D1">
        <w:rPr>
          <w:rFonts w:ascii="Times New Roman" w:hAnsi="Times New Roman"/>
        </w:rPr>
        <w:t>these</w:t>
      </w:r>
      <w:r w:rsidR="00C24C5A" w:rsidRPr="00BC54D1">
        <w:rPr>
          <w:rFonts w:ascii="Times New Roman" w:hAnsi="Times New Roman"/>
        </w:rPr>
        <w:t xml:space="preserve"> process</w:t>
      </w:r>
      <w:r w:rsidR="00A84CAE" w:rsidRPr="00BC54D1">
        <w:rPr>
          <w:rFonts w:ascii="Times New Roman" w:hAnsi="Times New Roman"/>
        </w:rPr>
        <w:t>es</w:t>
      </w:r>
      <w:r w:rsidR="00C24C5A" w:rsidRPr="00BC54D1">
        <w:rPr>
          <w:rFonts w:ascii="Times New Roman" w:hAnsi="Times New Roman"/>
        </w:rPr>
        <w:t xml:space="preserve">, the full sample contains 61,278 private firms with 604,369 firm-year observations and 1,358 public firms with 12,356 firm-year observations operating in 10 industries over a </w:t>
      </w:r>
      <w:r w:rsidR="0069069C" w:rsidRPr="00BC54D1">
        <w:rPr>
          <w:rFonts w:ascii="Times New Roman" w:hAnsi="Times New Roman"/>
        </w:rPr>
        <w:t>10</w:t>
      </w:r>
      <w:r w:rsidR="00C24C5A" w:rsidRPr="00BC54D1">
        <w:rPr>
          <w:rFonts w:ascii="Times New Roman" w:hAnsi="Times New Roman"/>
        </w:rPr>
        <w:t>-year period.</w:t>
      </w:r>
    </w:p>
    <w:bookmarkEnd w:id="2"/>
    <w:p w14:paraId="088C91B1" w14:textId="48BE56D6" w:rsidR="00C24C5A" w:rsidRPr="00BC54D1" w:rsidRDefault="00C24C5A" w:rsidP="004A0DAE">
      <w:pPr>
        <w:spacing w:before="120" w:after="120" w:line="360" w:lineRule="auto"/>
        <w:rPr>
          <w:rFonts w:ascii="Times New Roman" w:hAnsi="Times New Roman"/>
          <w:bCs/>
        </w:rPr>
      </w:pPr>
    </w:p>
    <w:p w14:paraId="753FC887" w14:textId="77777777" w:rsidR="00C24C5A" w:rsidRPr="00BC54D1" w:rsidRDefault="00C24C5A" w:rsidP="00C24C5A">
      <w:pPr>
        <w:jc w:val="both"/>
        <w:rPr>
          <w:rFonts w:ascii="Times New Roman" w:hAnsi="Times New Roman"/>
          <w:b/>
          <w:bCs/>
          <w:i/>
          <w:iCs/>
        </w:rPr>
      </w:pPr>
      <w:r w:rsidRPr="00BC54D1">
        <w:rPr>
          <w:rFonts w:ascii="Times New Roman" w:hAnsi="Times New Roman"/>
          <w:b/>
          <w:bCs/>
          <w:i/>
          <w:iCs/>
        </w:rPr>
        <w:t>3.2. Measurement of variables</w:t>
      </w:r>
    </w:p>
    <w:p w14:paraId="60D0BA2A" w14:textId="77777777" w:rsidR="00A32C88" w:rsidRPr="00BC54D1" w:rsidRDefault="00A32C88" w:rsidP="00C24C5A">
      <w:pPr>
        <w:jc w:val="both"/>
        <w:rPr>
          <w:rFonts w:ascii="Times New Roman" w:hAnsi="Times New Roman"/>
          <w:b/>
          <w:bCs/>
          <w:i/>
          <w:iCs/>
        </w:rPr>
      </w:pPr>
    </w:p>
    <w:p w14:paraId="2AFCD0E4" w14:textId="77777777" w:rsidR="00C24C5A" w:rsidRPr="00BC54D1" w:rsidRDefault="00C24C5A" w:rsidP="00C24C5A">
      <w:pPr>
        <w:spacing w:line="360" w:lineRule="auto"/>
        <w:rPr>
          <w:rFonts w:ascii="Times New Roman" w:hAnsi="Times New Roman"/>
          <w:b/>
          <w:i/>
        </w:rPr>
      </w:pPr>
      <w:r w:rsidRPr="00BC54D1">
        <w:rPr>
          <w:rFonts w:ascii="Times New Roman" w:hAnsi="Times New Roman"/>
          <w:b/>
          <w:bCs/>
          <w:i/>
          <w:iCs/>
        </w:rPr>
        <w:t>3.2.1. Dependent variable</w:t>
      </w:r>
    </w:p>
    <w:p w14:paraId="3FE67965" w14:textId="0B944CDD" w:rsidR="00C24C5A" w:rsidRPr="00BC54D1" w:rsidRDefault="00C24C5A" w:rsidP="00A32C88">
      <w:pPr>
        <w:spacing w:before="120" w:after="120" w:line="360" w:lineRule="auto"/>
        <w:jc w:val="both"/>
        <w:rPr>
          <w:rFonts w:ascii="Times New Roman" w:hAnsi="Times New Roman"/>
        </w:rPr>
      </w:pPr>
      <w:r w:rsidRPr="00BC54D1">
        <w:rPr>
          <w:rFonts w:ascii="Times New Roman" w:hAnsi="Times New Roman"/>
        </w:rPr>
        <w:t>The research and development (R&amp;D) intensity</w:t>
      </w:r>
      <w:r w:rsidRPr="00BC54D1">
        <w:rPr>
          <w:rFonts w:ascii="Times New Roman" w:hAnsi="Times New Roman"/>
          <w:iCs/>
        </w:rPr>
        <w:t xml:space="preserve"> </w:t>
      </w:r>
      <w:r w:rsidRPr="00BC54D1">
        <w:rPr>
          <w:rFonts w:ascii="Times New Roman" w:hAnsi="Times New Roman"/>
        </w:rPr>
        <w:t>is our main dependent variable</w:t>
      </w:r>
      <w:r w:rsidR="003B3CE8" w:rsidRPr="00BC54D1">
        <w:rPr>
          <w:rFonts w:ascii="Times New Roman" w:hAnsi="Times New Roman"/>
        </w:rPr>
        <w:t>,</w:t>
      </w:r>
      <w:r w:rsidRPr="00BC54D1">
        <w:rPr>
          <w:rFonts w:ascii="Times New Roman" w:hAnsi="Times New Roman"/>
        </w:rPr>
        <w:t xml:space="preserve"> and </w:t>
      </w:r>
      <w:r w:rsidR="00FD4D05" w:rsidRPr="00BC54D1">
        <w:rPr>
          <w:rFonts w:ascii="Times New Roman" w:hAnsi="Times New Roman"/>
        </w:rPr>
        <w:t xml:space="preserve">this </w:t>
      </w:r>
      <w:r w:rsidRPr="00BC54D1">
        <w:rPr>
          <w:rFonts w:ascii="Times New Roman" w:hAnsi="Times New Roman"/>
        </w:rPr>
        <w:t xml:space="preserve">variable is defined as the total annual R&amp;D expenditure scaled by total assets, </w:t>
      </w:r>
      <w:proofErr w:type="gramStart"/>
      <w:r w:rsidRPr="00BC54D1">
        <w:rPr>
          <w:rFonts w:ascii="Times New Roman" w:hAnsi="Times New Roman"/>
        </w:rPr>
        <w:t>similar to</w:t>
      </w:r>
      <w:proofErr w:type="gramEnd"/>
      <w:r w:rsidRPr="00BC54D1">
        <w:rPr>
          <w:rFonts w:ascii="Times New Roman" w:hAnsi="Times New Roman"/>
        </w:rPr>
        <w:t xml:space="preserve"> prior research (e.g., see Brown </w:t>
      </w:r>
      <w:r w:rsidRPr="00BC54D1">
        <w:rPr>
          <w:rFonts w:ascii="Times New Roman" w:hAnsi="Times New Roman"/>
          <w:i/>
          <w:iCs/>
        </w:rPr>
        <w:t>et al</w:t>
      </w:r>
      <w:r w:rsidRPr="00BC54D1">
        <w:rPr>
          <w:rFonts w:ascii="Times New Roman" w:hAnsi="Times New Roman"/>
        </w:rPr>
        <w:t>., 20</w:t>
      </w:r>
      <w:r w:rsidR="00B82F04" w:rsidRPr="00BC54D1">
        <w:rPr>
          <w:rFonts w:ascii="Times New Roman" w:hAnsi="Times New Roman"/>
        </w:rPr>
        <w:t>12</w:t>
      </w:r>
      <w:r w:rsidRPr="00BC54D1">
        <w:rPr>
          <w:rFonts w:ascii="Times New Roman" w:hAnsi="Times New Roman"/>
        </w:rPr>
        <w:t xml:space="preserve">; Hall </w:t>
      </w:r>
      <w:r w:rsidR="00FD4D05" w:rsidRPr="00BC54D1">
        <w:rPr>
          <w:rFonts w:ascii="Times New Roman" w:hAnsi="Times New Roman"/>
        </w:rPr>
        <w:t xml:space="preserve">and </w:t>
      </w:r>
      <w:r w:rsidRPr="00BC54D1">
        <w:rPr>
          <w:rFonts w:ascii="Times New Roman" w:hAnsi="Times New Roman"/>
        </w:rPr>
        <w:t xml:space="preserve">Lerner, 2010). Because our reported R&amp;D expense have large missing values, we use a dummy to represent R&amp;D intensity if the value is positive (Gonzalez and Pazo, 2008; Arrighetti </w:t>
      </w:r>
      <w:r w:rsidRPr="00BC54D1">
        <w:rPr>
          <w:rFonts w:ascii="Times New Roman" w:hAnsi="Times New Roman"/>
          <w:i/>
          <w:iCs/>
        </w:rPr>
        <w:t>et al</w:t>
      </w:r>
      <w:r w:rsidRPr="00BC54D1">
        <w:rPr>
          <w:rFonts w:ascii="Times New Roman" w:hAnsi="Times New Roman"/>
        </w:rPr>
        <w:t xml:space="preserve">., 2014). </w:t>
      </w:r>
      <w:r w:rsidR="00B82F04" w:rsidRPr="00BC54D1">
        <w:rPr>
          <w:rFonts w:ascii="Times New Roman" w:hAnsi="Times New Roman"/>
        </w:rPr>
        <w:t>Again, we also use the ratio of R&amp;D</w:t>
      </w:r>
      <w:r w:rsidR="008D48AF" w:rsidRPr="00BC54D1">
        <w:rPr>
          <w:rFonts w:ascii="Times New Roman" w:hAnsi="Times New Roman"/>
        </w:rPr>
        <w:t xml:space="preserve"> measure for robustness purposes. </w:t>
      </w:r>
      <w:r w:rsidR="00B82F04" w:rsidRPr="00BC54D1">
        <w:rPr>
          <w:rFonts w:ascii="Times New Roman" w:hAnsi="Times New Roman"/>
        </w:rPr>
        <w:t xml:space="preserve"> </w:t>
      </w:r>
      <w:r w:rsidRPr="00BC54D1">
        <w:rPr>
          <w:rFonts w:ascii="Times New Roman" w:hAnsi="Times New Roman"/>
        </w:rPr>
        <w:t xml:space="preserve"> </w:t>
      </w:r>
    </w:p>
    <w:p w14:paraId="3417F5EF" w14:textId="77777777" w:rsidR="00C24C5A" w:rsidRPr="00BC54D1" w:rsidRDefault="00C24C5A" w:rsidP="00C24C5A">
      <w:pPr>
        <w:jc w:val="both"/>
        <w:rPr>
          <w:rFonts w:ascii="Times New Roman" w:hAnsi="Times New Roman"/>
          <w:b/>
          <w:bCs/>
          <w:i/>
          <w:iCs/>
        </w:rPr>
      </w:pPr>
      <w:r w:rsidRPr="00BC54D1">
        <w:rPr>
          <w:rFonts w:ascii="Times New Roman" w:hAnsi="Times New Roman"/>
          <w:b/>
          <w:bCs/>
          <w:i/>
          <w:iCs/>
        </w:rPr>
        <w:lastRenderedPageBreak/>
        <w:t>3.2.2. Independent variable</w:t>
      </w:r>
    </w:p>
    <w:p w14:paraId="7AE8E068" w14:textId="4C557C51" w:rsidR="00EA089C" w:rsidRPr="00BC54D1" w:rsidRDefault="00C24C5A" w:rsidP="00C24C5A">
      <w:pPr>
        <w:spacing w:before="120" w:after="120" w:line="360" w:lineRule="auto"/>
        <w:ind w:left="-6" w:hanging="11"/>
        <w:jc w:val="both"/>
        <w:rPr>
          <w:rFonts w:ascii="Times New Roman" w:hAnsi="Times New Roman"/>
          <w:iCs/>
        </w:rPr>
      </w:pPr>
      <w:r w:rsidRPr="00BC54D1">
        <w:rPr>
          <w:rFonts w:ascii="Times New Roman" w:hAnsi="Times New Roman"/>
        </w:rPr>
        <w:t>As suggested, the listing status of a firm affects the level of its R&amp;D investment intensity. To capture this effect, we use indicator variables for private firm and public firm to represent our independent variable. Specifically, private firm (</w:t>
      </w:r>
      <w:r w:rsidRPr="00BC54D1">
        <w:rPr>
          <w:rFonts w:ascii="Times New Roman" w:hAnsi="Times New Roman"/>
          <w:i/>
          <w:iCs/>
        </w:rPr>
        <w:t>PRIV</w:t>
      </w:r>
      <w:r w:rsidR="009E4BC0" w:rsidRPr="00BC54D1">
        <w:rPr>
          <w:rFonts w:ascii="Times New Roman" w:hAnsi="Times New Roman"/>
          <w:i/>
          <w:iCs/>
        </w:rPr>
        <w:t xml:space="preserve"> = 1 or 0</w:t>
      </w:r>
      <w:r w:rsidRPr="00BC54D1">
        <w:rPr>
          <w:rFonts w:ascii="Times New Roman" w:hAnsi="Times New Roman"/>
          <w:iCs/>
        </w:rPr>
        <w:t>)</w:t>
      </w:r>
      <w:r w:rsidRPr="00BC54D1">
        <w:rPr>
          <w:rFonts w:ascii="Times New Roman" w:hAnsi="Times New Roman"/>
        </w:rPr>
        <w:t xml:space="preserve"> </w:t>
      </w:r>
      <w:r w:rsidRPr="00BC54D1">
        <w:rPr>
          <w:rFonts w:ascii="Times New Roman" w:hAnsi="Times New Roman"/>
          <w:iCs/>
        </w:rPr>
        <w:t xml:space="preserve">is a dummy variable that takes the value of 1 and 0 otherwise (i.e., 0 represents a public firm), </w:t>
      </w:r>
      <w:proofErr w:type="gramStart"/>
      <w:r w:rsidRPr="00BC54D1">
        <w:rPr>
          <w:rFonts w:ascii="Times New Roman" w:hAnsi="Times New Roman"/>
          <w:iCs/>
        </w:rPr>
        <w:t>similar to</w:t>
      </w:r>
      <w:proofErr w:type="gramEnd"/>
      <w:r w:rsidRPr="00BC54D1">
        <w:rPr>
          <w:rFonts w:ascii="Times New Roman" w:hAnsi="Times New Roman"/>
          <w:iCs/>
        </w:rPr>
        <w:t xml:space="preserve"> Acharya </w:t>
      </w:r>
      <w:r w:rsidR="00EA089C" w:rsidRPr="00BC54D1">
        <w:rPr>
          <w:rFonts w:ascii="Times New Roman" w:hAnsi="Times New Roman"/>
          <w:iCs/>
        </w:rPr>
        <w:t>and</w:t>
      </w:r>
      <w:r w:rsidRPr="00BC54D1">
        <w:rPr>
          <w:rFonts w:ascii="Times New Roman" w:hAnsi="Times New Roman"/>
          <w:iCs/>
        </w:rPr>
        <w:t xml:space="preserve"> Xu (2017).  </w:t>
      </w:r>
    </w:p>
    <w:p w14:paraId="179240FE" w14:textId="77777777" w:rsidR="00C24C5A" w:rsidRPr="00BC54D1" w:rsidRDefault="00C24C5A" w:rsidP="00EA089C">
      <w:pPr>
        <w:spacing w:before="120" w:after="120" w:line="360" w:lineRule="auto"/>
        <w:ind w:left="-6" w:hanging="11"/>
        <w:jc w:val="both"/>
        <w:rPr>
          <w:rFonts w:ascii="Times New Roman" w:hAnsi="Times New Roman"/>
          <w:iCs/>
        </w:rPr>
      </w:pPr>
    </w:p>
    <w:p w14:paraId="60D4095E" w14:textId="77777777" w:rsidR="00C24C5A" w:rsidRPr="00BC54D1" w:rsidRDefault="00C24C5A" w:rsidP="00C24C5A">
      <w:pPr>
        <w:jc w:val="both"/>
        <w:rPr>
          <w:rFonts w:ascii="Times New Roman" w:hAnsi="Times New Roman"/>
          <w:b/>
          <w:bCs/>
          <w:i/>
          <w:iCs/>
        </w:rPr>
      </w:pPr>
      <w:r w:rsidRPr="00BC54D1">
        <w:rPr>
          <w:rFonts w:ascii="Times New Roman" w:hAnsi="Times New Roman"/>
          <w:b/>
          <w:bCs/>
          <w:i/>
          <w:iCs/>
        </w:rPr>
        <w:t>3.2.3. Control variables</w:t>
      </w:r>
    </w:p>
    <w:p w14:paraId="4C46B237" w14:textId="4ADC9A62" w:rsidR="00C24C5A" w:rsidRPr="00BC54D1" w:rsidRDefault="00C24C5A" w:rsidP="00A32C88">
      <w:pPr>
        <w:spacing w:before="120" w:after="120" w:line="360" w:lineRule="auto"/>
        <w:jc w:val="both"/>
        <w:rPr>
          <w:rFonts w:ascii="Times New Roman" w:hAnsi="Times New Roman"/>
        </w:rPr>
      </w:pPr>
      <w:proofErr w:type="gramStart"/>
      <w:r w:rsidRPr="00BC54D1">
        <w:rPr>
          <w:rFonts w:ascii="Times New Roman" w:hAnsi="Times New Roman"/>
        </w:rPr>
        <w:t>Similar to</w:t>
      </w:r>
      <w:proofErr w:type="gramEnd"/>
      <w:r w:rsidRPr="00BC54D1">
        <w:rPr>
          <w:rFonts w:ascii="Times New Roman" w:hAnsi="Times New Roman"/>
        </w:rPr>
        <w:t xml:space="preserve"> previous studies (e.g., Acharya </w:t>
      </w:r>
      <w:r w:rsidR="0069069C" w:rsidRPr="00BC54D1">
        <w:rPr>
          <w:rFonts w:ascii="Times New Roman" w:hAnsi="Times New Roman"/>
        </w:rPr>
        <w:t xml:space="preserve">and </w:t>
      </w:r>
      <w:r w:rsidRPr="00BC54D1">
        <w:rPr>
          <w:rFonts w:ascii="Times New Roman" w:hAnsi="Times New Roman"/>
        </w:rPr>
        <w:t xml:space="preserve">Xu, 2017; Arrighetti </w:t>
      </w:r>
      <w:r w:rsidRPr="00BC54D1">
        <w:rPr>
          <w:rFonts w:ascii="Times New Roman" w:hAnsi="Times New Roman"/>
          <w:i/>
        </w:rPr>
        <w:t>et al</w:t>
      </w:r>
      <w:r w:rsidRPr="00BC54D1">
        <w:rPr>
          <w:rFonts w:ascii="Times New Roman" w:hAnsi="Times New Roman"/>
        </w:rPr>
        <w:t xml:space="preserve">., 2014), we control for the following variables in our R&amp;D intensity model. Thus, </w:t>
      </w:r>
      <w:r w:rsidR="00686382" w:rsidRPr="00BC54D1">
        <w:rPr>
          <w:rFonts w:ascii="Times New Roman" w:hAnsi="Times New Roman"/>
        </w:rPr>
        <w:t xml:space="preserve">cash flow </w:t>
      </w:r>
      <w:r w:rsidRPr="00BC54D1">
        <w:rPr>
          <w:rFonts w:ascii="Times New Roman" w:hAnsi="Times New Roman"/>
        </w:rPr>
        <w:t>(</w:t>
      </w:r>
      <w:r w:rsidRPr="00BC54D1">
        <w:rPr>
          <w:rFonts w:ascii="Times New Roman" w:hAnsi="Times New Roman"/>
          <w:i/>
          <w:iCs/>
        </w:rPr>
        <w:t>CF</w:t>
      </w:r>
      <w:r w:rsidRPr="00BC54D1">
        <w:rPr>
          <w:rFonts w:ascii="Times New Roman" w:hAnsi="Times New Roman"/>
        </w:rPr>
        <w:t>) is captured as the sum of income before extraordinary items (interest, taxes) and depreciation and amortisation deflated by the book value of total assets. Sales growth (</w:t>
      </w:r>
      <w:r w:rsidRPr="00BC54D1">
        <w:rPr>
          <w:rFonts w:ascii="Times New Roman" w:hAnsi="Times New Roman"/>
          <w:i/>
          <w:iCs/>
        </w:rPr>
        <w:t>SGR</w:t>
      </w:r>
      <w:r w:rsidRPr="00BC54D1">
        <w:rPr>
          <w:rFonts w:ascii="Times New Roman" w:hAnsi="Times New Roman"/>
        </w:rPr>
        <w:t xml:space="preserve">) is used as our proxy for investment </w:t>
      </w:r>
      <w:proofErr w:type="gramStart"/>
      <w:r w:rsidRPr="00BC54D1">
        <w:rPr>
          <w:rFonts w:ascii="Times New Roman" w:hAnsi="Times New Roman"/>
        </w:rPr>
        <w:t>opportunities</w:t>
      </w:r>
      <w:proofErr w:type="gramEnd"/>
      <w:r w:rsidRPr="00BC54D1">
        <w:rPr>
          <w:rFonts w:ascii="Times New Roman" w:hAnsi="Times New Roman"/>
        </w:rPr>
        <w:t xml:space="preserve"> and it is measured as log of sales scaled by lagged sales to proxy for growth. Logarithm of total assets is used to proxy for firm size (</w:t>
      </w:r>
      <w:r w:rsidRPr="00BC54D1">
        <w:rPr>
          <w:rFonts w:ascii="Times New Roman" w:hAnsi="Times New Roman"/>
          <w:i/>
          <w:iCs/>
        </w:rPr>
        <w:t>SZ</w:t>
      </w:r>
      <w:r w:rsidRPr="00BC54D1">
        <w:rPr>
          <w:rFonts w:ascii="Times New Roman" w:hAnsi="Times New Roman"/>
        </w:rPr>
        <w:t>); cash and cash equivalent</w:t>
      </w:r>
      <w:r w:rsidR="001F1AB4" w:rsidRPr="00BC54D1">
        <w:rPr>
          <w:rFonts w:ascii="Times New Roman" w:hAnsi="Times New Roman"/>
        </w:rPr>
        <w:t>s</w:t>
      </w:r>
      <w:r w:rsidRPr="00BC54D1">
        <w:rPr>
          <w:rFonts w:ascii="Times New Roman" w:hAnsi="Times New Roman"/>
        </w:rPr>
        <w:t xml:space="preserve"> are scaled by total assets to proxy for cash holdings (</w:t>
      </w:r>
      <w:r w:rsidRPr="00BC54D1">
        <w:rPr>
          <w:rFonts w:ascii="Times New Roman" w:hAnsi="Times New Roman"/>
          <w:i/>
          <w:iCs/>
        </w:rPr>
        <w:t>CH</w:t>
      </w:r>
      <w:r w:rsidRPr="00BC54D1">
        <w:rPr>
          <w:rFonts w:ascii="Times New Roman" w:hAnsi="Times New Roman"/>
        </w:rPr>
        <w:t>); leverage (</w:t>
      </w:r>
      <w:r w:rsidRPr="00BC54D1">
        <w:rPr>
          <w:rFonts w:ascii="Times New Roman" w:hAnsi="Times New Roman"/>
          <w:i/>
          <w:iCs/>
        </w:rPr>
        <w:t>LEV</w:t>
      </w:r>
      <w:r w:rsidRPr="00BC54D1">
        <w:rPr>
          <w:rFonts w:ascii="Times New Roman" w:hAnsi="Times New Roman"/>
        </w:rPr>
        <w:t>) is measured as total debt scaled by total assets; profitability is defined as profit for the period scaled by total assets (</w:t>
      </w:r>
      <w:r w:rsidRPr="00BC54D1">
        <w:rPr>
          <w:rFonts w:ascii="Times New Roman" w:hAnsi="Times New Roman"/>
          <w:i/>
          <w:iCs/>
        </w:rPr>
        <w:t>PR</w:t>
      </w:r>
      <w:r w:rsidRPr="00BC54D1">
        <w:rPr>
          <w:rFonts w:ascii="Times New Roman" w:hAnsi="Times New Roman"/>
        </w:rPr>
        <w:t>); firm years of operation are used to proxy for firm years (</w:t>
      </w:r>
      <w:r w:rsidRPr="00BC54D1">
        <w:rPr>
          <w:rFonts w:ascii="Times New Roman" w:hAnsi="Times New Roman"/>
          <w:i/>
          <w:iCs/>
        </w:rPr>
        <w:t>FY</w:t>
      </w:r>
      <w:r w:rsidRPr="00BC54D1">
        <w:rPr>
          <w:rFonts w:ascii="Times New Roman" w:hAnsi="Times New Roman"/>
        </w:rPr>
        <w:t>); and long-term debt that matures after one year is divided by total debt (</w:t>
      </w:r>
      <w:r w:rsidRPr="00BC54D1">
        <w:rPr>
          <w:rFonts w:ascii="Times New Roman" w:hAnsi="Times New Roman"/>
          <w:i/>
          <w:iCs/>
        </w:rPr>
        <w:t>DMAT</w:t>
      </w:r>
      <w:r w:rsidRPr="00BC54D1">
        <w:rPr>
          <w:rFonts w:ascii="Times New Roman" w:hAnsi="Times New Roman"/>
        </w:rPr>
        <w:t>). Further, it is suggested that the information environment of firms affect</w:t>
      </w:r>
      <w:r w:rsidR="0069069C" w:rsidRPr="00BC54D1">
        <w:rPr>
          <w:rFonts w:ascii="Times New Roman" w:hAnsi="Times New Roman"/>
        </w:rPr>
        <w:t>s</w:t>
      </w:r>
      <w:r w:rsidRPr="00BC54D1">
        <w:rPr>
          <w:rFonts w:ascii="Times New Roman" w:hAnsi="Times New Roman"/>
        </w:rPr>
        <w:t xml:space="preserve"> how they invest (</w:t>
      </w:r>
      <w:r w:rsidR="00FE19CF" w:rsidRPr="00BC54D1">
        <w:rPr>
          <w:rFonts w:ascii="Times New Roman" w:hAnsi="Times New Roman"/>
        </w:rPr>
        <w:t>Badertscher</w:t>
      </w:r>
      <w:r w:rsidRPr="00BC54D1">
        <w:rPr>
          <w:rFonts w:ascii="Times New Roman" w:hAnsi="Times New Roman"/>
        </w:rPr>
        <w:t xml:space="preserve"> </w:t>
      </w:r>
      <w:r w:rsidRPr="00BC54D1">
        <w:rPr>
          <w:rFonts w:ascii="Times New Roman" w:hAnsi="Times New Roman"/>
          <w:i/>
          <w:iCs/>
        </w:rPr>
        <w:t>et al</w:t>
      </w:r>
      <w:r w:rsidRPr="00BC54D1">
        <w:rPr>
          <w:rFonts w:ascii="Times New Roman" w:hAnsi="Times New Roman"/>
          <w:iCs/>
        </w:rPr>
        <w:t>.,</w:t>
      </w:r>
      <w:r w:rsidRPr="00BC54D1">
        <w:rPr>
          <w:rFonts w:ascii="Times New Roman" w:hAnsi="Times New Roman"/>
        </w:rPr>
        <w:t xml:space="preserve"> 2013; Aggarwal and Hsu, 2014). Consistent with </w:t>
      </w:r>
      <w:r w:rsidR="00FE19CF" w:rsidRPr="00BC54D1">
        <w:rPr>
          <w:rFonts w:ascii="Times New Roman" w:hAnsi="Times New Roman"/>
        </w:rPr>
        <w:t>Badertscher</w:t>
      </w:r>
      <w:r w:rsidRPr="00BC54D1">
        <w:rPr>
          <w:rFonts w:ascii="Times New Roman" w:hAnsi="Times New Roman"/>
        </w:rPr>
        <w:t xml:space="preserve"> </w:t>
      </w:r>
      <w:r w:rsidRPr="00BC54D1">
        <w:rPr>
          <w:rFonts w:ascii="Times New Roman" w:hAnsi="Times New Roman"/>
          <w:i/>
          <w:iCs/>
        </w:rPr>
        <w:t>et al.</w:t>
      </w:r>
      <w:r w:rsidRPr="00BC54D1">
        <w:rPr>
          <w:rFonts w:ascii="Times New Roman" w:hAnsi="Times New Roman"/>
        </w:rPr>
        <w:t xml:space="preserve"> (2013), we further include </w:t>
      </w:r>
      <w:r w:rsidR="0069069C" w:rsidRPr="00BC54D1">
        <w:rPr>
          <w:rFonts w:ascii="Times New Roman" w:hAnsi="Times New Roman"/>
        </w:rPr>
        <w:t xml:space="preserve">an </w:t>
      </w:r>
      <w:r w:rsidRPr="00BC54D1">
        <w:rPr>
          <w:rFonts w:ascii="Times New Roman" w:hAnsi="Times New Roman"/>
        </w:rPr>
        <w:t>information quality (</w:t>
      </w:r>
      <w:r w:rsidRPr="00BC54D1">
        <w:rPr>
          <w:rFonts w:ascii="Times New Roman" w:hAnsi="Times New Roman"/>
          <w:i/>
          <w:iCs/>
        </w:rPr>
        <w:t>IQ</w:t>
      </w:r>
      <w:r w:rsidRPr="00BC54D1">
        <w:rPr>
          <w:rFonts w:ascii="Times New Roman" w:hAnsi="Times New Roman"/>
          <w:iCs/>
        </w:rPr>
        <w:t>)</w:t>
      </w:r>
      <w:r w:rsidRPr="00BC54D1">
        <w:rPr>
          <w:rFonts w:ascii="Times New Roman" w:hAnsi="Times New Roman"/>
        </w:rPr>
        <w:t xml:space="preserve"> </w:t>
      </w:r>
      <w:r w:rsidR="0088517E" w:rsidRPr="00BC54D1">
        <w:rPr>
          <w:rFonts w:ascii="Times New Roman" w:hAnsi="Times New Roman"/>
        </w:rPr>
        <w:t>variable,</w:t>
      </w:r>
      <w:r w:rsidRPr="00BC54D1">
        <w:rPr>
          <w:rFonts w:ascii="Times New Roman" w:hAnsi="Times New Roman"/>
        </w:rPr>
        <w:t xml:space="preserve"> </w:t>
      </w:r>
      <w:r w:rsidR="0088517E" w:rsidRPr="00BC54D1">
        <w:rPr>
          <w:rFonts w:ascii="Times New Roman" w:hAnsi="Times New Roman"/>
        </w:rPr>
        <w:t xml:space="preserve">and it is </w:t>
      </w:r>
      <w:r w:rsidRPr="00BC54D1">
        <w:rPr>
          <w:rFonts w:ascii="Times New Roman" w:hAnsi="Times New Roman"/>
        </w:rPr>
        <w:t>measured as the ratio of public firms’ sales to total industry sales.</w:t>
      </w:r>
      <w:r w:rsidR="006C2D69" w:rsidRPr="00BC54D1">
        <w:rPr>
          <w:rFonts w:ascii="Times New Roman" w:hAnsi="Times New Roman"/>
        </w:rPr>
        <w:t xml:space="preserve"> </w:t>
      </w:r>
      <w:r w:rsidRPr="00BC54D1">
        <w:rPr>
          <w:rFonts w:ascii="Times New Roman" w:hAnsi="Times New Roman"/>
        </w:rPr>
        <w:t xml:space="preserve">Lastly, we include fixed effect variables to account for industry and time fixed effects in the </w:t>
      </w:r>
      <w:proofErr w:type="spellStart"/>
      <w:r w:rsidRPr="00BC54D1">
        <w:rPr>
          <w:rFonts w:ascii="Times New Roman" w:hAnsi="Times New Roman"/>
        </w:rPr>
        <w:t>probit</w:t>
      </w:r>
      <w:proofErr w:type="spellEnd"/>
      <w:r w:rsidRPr="00BC54D1">
        <w:rPr>
          <w:rFonts w:ascii="Times New Roman" w:hAnsi="Times New Roman"/>
        </w:rPr>
        <w:t xml:space="preserve"> model. The acronyms and definitions of all the variables are provided in Table </w:t>
      </w:r>
      <w:r w:rsidR="00DD56F2" w:rsidRPr="00BC54D1">
        <w:rPr>
          <w:rFonts w:ascii="Times New Roman" w:hAnsi="Times New Roman"/>
        </w:rPr>
        <w:t>I</w:t>
      </w:r>
      <w:r w:rsidRPr="00BC54D1">
        <w:rPr>
          <w:rFonts w:ascii="Times New Roman" w:hAnsi="Times New Roman"/>
        </w:rPr>
        <w:t xml:space="preserve">. </w:t>
      </w:r>
    </w:p>
    <w:p w14:paraId="6345D2F7" w14:textId="77777777" w:rsidR="00C24C5A" w:rsidRPr="00BC54D1" w:rsidRDefault="00C24C5A" w:rsidP="00A32C88">
      <w:pPr>
        <w:spacing w:before="120" w:after="120" w:line="360" w:lineRule="auto"/>
        <w:jc w:val="both"/>
        <w:rPr>
          <w:rFonts w:ascii="Times New Roman" w:hAnsi="Times New Roman"/>
        </w:rPr>
      </w:pPr>
    </w:p>
    <w:p w14:paraId="42CBF606" w14:textId="4CC21DC2" w:rsidR="00C24C5A" w:rsidRPr="00BC54D1" w:rsidRDefault="00C24C5A" w:rsidP="00A32C88">
      <w:pPr>
        <w:spacing w:before="120" w:after="120" w:line="360" w:lineRule="auto"/>
        <w:ind w:left="-5"/>
        <w:jc w:val="center"/>
        <w:rPr>
          <w:rFonts w:ascii="Times New Roman" w:hAnsi="Times New Roman"/>
          <w:b/>
          <w:bCs/>
          <w:i/>
          <w:iCs/>
        </w:rPr>
      </w:pPr>
      <w:r w:rsidRPr="00BC54D1">
        <w:rPr>
          <w:rFonts w:ascii="Times New Roman" w:hAnsi="Times New Roman"/>
          <w:b/>
        </w:rPr>
        <w:t xml:space="preserve">  </w:t>
      </w:r>
      <w:r w:rsidRPr="00BC54D1">
        <w:rPr>
          <w:rFonts w:ascii="Times New Roman" w:hAnsi="Times New Roman"/>
          <w:b/>
          <w:bCs/>
          <w:i/>
          <w:iCs/>
        </w:rPr>
        <w:t xml:space="preserve">[Table </w:t>
      </w:r>
      <w:r w:rsidR="00DD56F2" w:rsidRPr="00BC54D1">
        <w:rPr>
          <w:rFonts w:ascii="Times New Roman" w:hAnsi="Times New Roman"/>
          <w:b/>
          <w:bCs/>
          <w:i/>
          <w:iCs/>
        </w:rPr>
        <w:t xml:space="preserve">I </w:t>
      </w:r>
      <w:r w:rsidRPr="00BC54D1">
        <w:rPr>
          <w:rFonts w:ascii="Times New Roman" w:hAnsi="Times New Roman"/>
          <w:b/>
          <w:bCs/>
          <w:i/>
          <w:iCs/>
        </w:rPr>
        <w:t>about here]</w:t>
      </w:r>
    </w:p>
    <w:p w14:paraId="747B547F" w14:textId="77777777" w:rsidR="00A32C88" w:rsidRPr="00BC54D1" w:rsidRDefault="00A32C88" w:rsidP="00A32C88">
      <w:pPr>
        <w:spacing w:before="120" w:after="120" w:line="360" w:lineRule="auto"/>
        <w:ind w:left="-5"/>
        <w:jc w:val="center"/>
        <w:rPr>
          <w:rFonts w:ascii="Times New Roman" w:hAnsi="Times New Roman"/>
        </w:rPr>
      </w:pPr>
    </w:p>
    <w:p w14:paraId="1FC4BFD2" w14:textId="4DFC6761" w:rsidR="00C24C5A" w:rsidRPr="00BC54D1" w:rsidRDefault="00C24C5A" w:rsidP="00C24C5A">
      <w:pPr>
        <w:jc w:val="both"/>
        <w:rPr>
          <w:rFonts w:ascii="Times New Roman" w:hAnsi="Times New Roman"/>
          <w:b/>
          <w:bCs/>
          <w:i/>
          <w:iCs/>
        </w:rPr>
      </w:pPr>
      <w:r w:rsidRPr="00BC54D1">
        <w:rPr>
          <w:rFonts w:ascii="Times New Roman" w:hAnsi="Times New Roman"/>
          <w:b/>
          <w:bCs/>
          <w:i/>
          <w:iCs/>
        </w:rPr>
        <w:t>3.</w:t>
      </w:r>
      <w:r w:rsidR="00952257" w:rsidRPr="00BC54D1">
        <w:rPr>
          <w:rFonts w:ascii="Times New Roman" w:hAnsi="Times New Roman"/>
          <w:b/>
          <w:bCs/>
          <w:i/>
          <w:iCs/>
        </w:rPr>
        <w:t>3</w:t>
      </w:r>
      <w:r w:rsidRPr="00BC54D1">
        <w:rPr>
          <w:rFonts w:ascii="Times New Roman" w:hAnsi="Times New Roman"/>
          <w:b/>
          <w:bCs/>
          <w:i/>
          <w:iCs/>
        </w:rPr>
        <w:t>.</w:t>
      </w:r>
      <w:r w:rsidR="006C2D69" w:rsidRPr="00BC54D1">
        <w:rPr>
          <w:rFonts w:ascii="Times New Roman" w:hAnsi="Times New Roman"/>
          <w:b/>
          <w:bCs/>
          <w:i/>
          <w:iCs/>
        </w:rPr>
        <w:t xml:space="preserve"> </w:t>
      </w:r>
      <w:r w:rsidRPr="00BC54D1">
        <w:rPr>
          <w:rFonts w:ascii="Times New Roman" w:hAnsi="Times New Roman"/>
          <w:b/>
          <w:bCs/>
          <w:i/>
          <w:iCs/>
        </w:rPr>
        <w:t xml:space="preserve">Matched sample </w:t>
      </w:r>
    </w:p>
    <w:p w14:paraId="59FFADEF" w14:textId="73E35055" w:rsidR="00C24C5A" w:rsidRPr="00BC54D1" w:rsidRDefault="7759D9CA" w:rsidP="00A32C88">
      <w:pPr>
        <w:spacing w:before="120" w:after="120" w:line="360" w:lineRule="auto"/>
        <w:jc w:val="both"/>
        <w:rPr>
          <w:rFonts w:ascii="Times New Roman" w:hAnsi="Times New Roman"/>
        </w:rPr>
      </w:pPr>
      <w:r w:rsidRPr="00BC54D1">
        <w:rPr>
          <w:rFonts w:ascii="Times New Roman" w:hAnsi="Times New Roman"/>
        </w:rPr>
        <w:t xml:space="preserve">Ideally, to achieve the aim of this study, we would need to compare R&amp;D intensity behaviour of two identical firms that differ only in their listing status. To get close to this aim, we need to find firms both private and public that are observably </w:t>
      </w:r>
      <w:proofErr w:type="gramStart"/>
      <w:r w:rsidRPr="00BC54D1">
        <w:rPr>
          <w:rFonts w:ascii="Times New Roman" w:hAnsi="Times New Roman"/>
        </w:rPr>
        <w:t>similar to</w:t>
      </w:r>
      <w:proofErr w:type="gramEnd"/>
      <w:r w:rsidRPr="00BC54D1">
        <w:rPr>
          <w:rFonts w:ascii="Times New Roman" w:hAnsi="Times New Roman"/>
        </w:rPr>
        <w:t xml:space="preserve"> each other. We adopt a matching technique, and our preferred match is based on size and industry. This is because investment behaviours (R&amp;D intensity) among private and public firms are found to differ substantially across industries and size (Acharya and Xu, 2017; Asker </w:t>
      </w:r>
      <w:r w:rsidRPr="00BC54D1">
        <w:rPr>
          <w:rFonts w:ascii="Times New Roman" w:hAnsi="Times New Roman"/>
          <w:i/>
          <w:iCs/>
        </w:rPr>
        <w:t>et al</w:t>
      </w:r>
      <w:r w:rsidRPr="00BC54D1">
        <w:rPr>
          <w:rFonts w:ascii="Times New Roman" w:hAnsi="Times New Roman"/>
        </w:rPr>
        <w:t xml:space="preserve">., 2015). To minimise the differences in industry and size distributions, we identify a sample of industry and size matched private and public firms. For each private firm of the sample period, we match it with a public firm closest in size and in the same SIC industry code, </w:t>
      </w:r>
      <w:proofErr w:type="gramStart"/>
      <w:r w:rsidRPr="00BC54D1">
        <w:rPr>
          <w:rFonts w:ascii="Times New Roman" w:hAnsi="Times New Roman"/>
        </w:rPr>
        <w:t>similar to</w:t>
      </w:r>
      <w:proofErr w:type="gramEnd"/>
      <w:r w:rsidRPr="00BC54D1">
        <w:rPr>
          <w:rFonts w:ascii="Times New Roman" w:hAnsi="Times New Roman"/>
        </w:rPr>
        <w:t xml:space="preserve"> prior research (see Acharya and Xu, 2017; Asker </w:t>
      </w:r>
      <w:r w:rsidRPr="00BC54D1">
        <w:rPr>
          <w:rFonts w:ascii="Times New Roman" w:hAnsi="Times New Roman"/>
          <w:i/>
          <w:iCs/>
        </w:rPr>
        <w:t>et al</w:t>
      </w:r>
      <w:r w:rsidRPr="00BC54D1">
        <w:rPr>
          <w:rFonts w:ascii="Times New Roman" w:hAnsi="Times New Roman"/>
        </w:rPr>
        <w:t xml:space="preserve">., 2015). Thus, we use size (log of total assets) and industry to estimate propensity score with a 5% </w:t>
      </w:r>
      <w:proofErr w:type="spellStart"/>
      <w:r w:rsidRPr="00BC54D1">
        <w:rPr>
          <w:rFonts w:ascii="Times New Roman" w:hAnsi="Times New Roman"/>
        </w:rPr>
        <w:t>caliper</w:t>
      </w:r>
      <w:proofErr w:type="spellEnd"/>
      <w:r w:rsidRPr="00BC54D1">
        <w:rPr>
          <w:rFonts w:ascii="Times New Roman" w:hAnsi="Times New Roman"/>
        </w:rPr>
        <w:t xml:space="preserve">, consistent with Asker </w:t>
      </w:r>
      <w:r w:rsidRPr="00BC54D1">
        <w:rPr>
          <w:rFonts w:ascii="Times New Roman" w:hAnsi="Times New Roman"/>
          <w:i/>
          <w:iCs/>
        </w:rPr>
        <w:t>et al.</w:t>
      </w:r>
      <w:r w:rsidRPr="00BC54D1">
        <w:rPr>
          <w:rFonts w:ascii="Times New Roman" w:hAnsi="Times New Roman"/>
        </w:rPr>
        <w:t>’s (2015) nearest-neighbour matching.  The time series observations for the matched pair are kept, preserving the panel structure of the data. This procedure results in 232,029 matched private and public observations.</w:t>
      </w:r>
    </w:p>
    <w:p w14:paraId="6701531C" w14:textId="2A7BC8C2" w:rsidR="004A0DAE" w:rsidRPr="00BC54D1" w:rsidRDefault="004A0DAE" w:rsidP="00A32C88">
      <w:pPr>
        <w:spacing w:before="120" w:after="120" w:line="360" w:lineRule="auto"/>
        <w:rPr>
          <w:rFonts w:ascii="Times New Roman" w:hAnsi="Times New Roman"/>
          <w:b/>
          <w:i/>
        </w:rPr>
      </w:pPr>
    </w:p>
    <w:p w14:paraId="0A1AFB0E" w14:textId="7E217343" w:rsidR="004A0DAE" w:rsidRPr="00BC54D1" w:rsidRDefault="004A0DAE" w:rsidP="004A0DAE">
      <w:pPr>
        <w:spacing w:before="240" w:line="360" w:lineRule="auto"/>
        <w:rPr>
          <w:rFonts w:ascii="Times New Roman" w:hAnsi="Times New Roman"/>
          <w:b/>
          <w:i/>
        </w:rPr>
      </w:pPr>
      <w:r w:rsidRPr="00BC54D1">
        <w:rPr>
          <w:rFonts w:ascii="Times New Roman" w:hAnsi="Times New Roman"/>
          <w:b/>
          <w:i/>
        </w:rPr>
        <w:t>3.</w:t>
      </w:r>
      <w:r w:rsidR="00F177F2" w:rsidRPr="00BC54D1">
        <w:rPr>
          <w:rFonts w:ascii="Times New Roman" w:hAnsi="Times New Roman"/>
          <w:b/>
          <w:i/>
        </w:rPr>
        <w:t>4</w:t>
      </w:r>
      <w:r w:rsidRPr="00BC54D1">
        <w:rPr>
          <w:rFonts w:ascii="Times New Roman" w:hAnsi="Times New Roman"/>
          <w:b/>
          <w:i/>
        </w:rPr>
        <w:t>. Model specification</w:t>
      </w:r>
    </w:p>
    <w:p w14:paraId="17259E54" w14:textId="54355840" w:rsidR="00712412" w:rsidRPr="00BC54D1" w:rsidRDefault="00712412" w:rsidP="00A32C88">
      <w:pPr>
        <w:spacing w:before="120" w:after="120" w:line="360" w:lineRule="auto"/>
        <w:jc w:val="both"/>
        <w:rPr>
          <w:rFonts w:ascii="Times New Roman" w:hAnsi="Times New Roman"/>
        </w:rPr>
      </w:pPr>
      <w:r w:rsidRPr="00BC54D1">
        <w:rPr>
          <w:rFonts w:ascii="Times New Roman" w:hAnsi="Times New Roman"/>
        </w:rPr>
        <w:t>Our prediction is that a firm</w:t>
      </w:r>
      <w:r w:rsidR="0069069C" w:rsidRPr="00BC54D1">
        <w:rPr>
          <w:rFonts w:ascii="Times New Roman" w:hAnsi="Times New Roman"/>
        </w:rPr>
        <w:t>’s</w:t>
      </w:r>
      <w:r w:rsidRPr="00BC54D1">
        <w:rPr>
          <w:rFonts w:ascii="Times New Roman" w:hAnsi="Times New Roman"/>
        </w:rPr>
        <w:t xml:space="preserve"> R&amp;D intensity is likely to be determined by its listing status (private versus public). To test this, we employ </w:t>
      </w:r>
      <w:proofErr w:type="spellStart"/>
      <w:r w:rsidRPr="00BC54D1">
        <w:rPr>
          <w:rFonts w:ascii="Times New Roman" w:hAnsi="Times New Roman"/>
        </w:rPr>
        <w:t>probit</w:t>
      </w:r>
      <w:proofErr w:type="spellEnd"/>
      <w:r w:rsidRPr="00BC54D1">
        <w:rPr>
          <w:rFonts w:ascii="Times New Roman" w:hAnsi="Times New Roman"/>
        </w:rPr>
        <w:t xml:space="preserve"> regression model where both our dependent variable (</w:t>
      </w:r>
      <w:r w:rsidRPr="00BC54D1">
        <w:rPr>
          <w:rFonts w:ascii="Times New Roman" w:hAnsi="Times New Roman"/>
          <w:i/>
          <w:iCs/>
        </w:rPr>
        <w:t>R&amp;D intensity</w:t>
      </w:r>
      <w:r w:rsidRPr="00BC54D1">
        <w:rPr>
          <w:rFonts w:ascii="Times New Roman" w:hAnsi="Times New Roman"/>
        </w:rPr>
        <w:t xml:space="preserve">) and independent variable </w:t>
      </w:r>
      <w:r w:rsidRPr="00BC54D1">
        <w:rPr>
          <w:rFonts w:ascii="Times New Roman" w:hAnsi="Times New Roman"/>
          <w:iCs/>
        </w:rPr>
        <w:t>(</w:t>
      </w:r>
      <w:r w:rsidRPr="00BC54D1">
        <w:rPr>
          <w:rFonts w:ascii="Times New Roman" w:hAnsi="Times New Roman"/>
          <w:i/>
          <w:iCs/>
        </w:rPr>
        <w:t>PRIV</w:t>
      </w:r>
      <w:r w:rsidRPr="00BC54D1">
        <w:rPr>
          <w:rFonts w:ascii="Times New Roman" w:hAnsi="Times New Roman"/>
          <w:iCs/>
        </w:rPr>
        <w:t>)</w:t>
      </w:r>
      <w:r w:rsidRPr="00BC54D1">
        <w:rPr>
          <w:rFonts w:ascii="Times New Roman" w:hAnsi="Times New Roman"/>
        </w:rPr>
        <w:t xml:space="preserve"> are a dummy equal to 1 and 0 otherwise. Thus, </w:t>
      </w:r>
      <w:r w:rsidRPr="00BC54D1">
        <w:rPr>
          <w:rFonts w:ascii="Times New Roman" w:hAnsi="Times New Roman"/>
          <w:i/>
          <w:iCs/>
        </w:rPr>
        <w:t xml:space="preserve">R&amp;D </w:t>
      </w:r>
      <w:proofErr w:type="spellStart"/>
      <w:proofErr w:type="gramStart"/>
      <w:r w:rsidRPr="00BC54D1">
        <w:rPr>
          <w:rFonts w:ascii="Times New Roman" w:hAnsi="Times New Roman"/>
          <w:i/>
          <w:iCs/>
        </w:rPr>
        <w:t>intensity</w:t>
      </w:r>
      <w:r w:rsidRPr="00BC54D1">
        <w:rPr>
          <w:rFonts w:ascii="Times New Roman" w:hAnsi="Times New Roman"/>
          <w:i/>
          <w:iCs/>
          <w:vertAlign w:val="subscript"/>
        </w:rPr>
        <w:t>ij</w:t>
      </w:r>
      <w:proofErr w:type="spellEnd"/>
      <w:r w:rsidRPr="00BC54D1">
        <w:rPr>
          <w:rFonts w:ascii="Times New Roman" w:hAnsi="Times New Roman"/>
          <w:i/>
          <w:iCs/>
          <w:vertAlign w:val="subscript"/>
        </w:rPr>
        <w:t xml:space="preserve">  </w:t>
      </w:r>
      <w:r w:rsidRPr="00BC54D1">
        <w:rPr>
          <w:rFonts w:ascii="Times New Roman" w:hAnsi="Times New Roman"/>
        </w:rPr>
        <w:t>represents</w:t>
      </w:r>
      <w:proofErr w:type="gramEnd"/>
      <w:r w:rsidRPr="00BC54D1">
        <w:rPr>
          <w:rFonts w:ascii="Times New Roman" w:hAnsi="Times New Roman"/>
        </w:rPr>
        <w:t xml:space="preserve"> that a firm (</w:t>
      </w:r>
      <w:proofErr w:type="spellStart"/>
      <w:r w:rsidRPr="00BC54D1">
        <w:rPr>
          <w:rFonts w:ascii="Times New Roman" w:hAnsi="Times New Roman"/>
        </w:rPr>
        <w:t>i</w:t>
      </w:r>
      <w:proofErr w:type="spellEnd"/>
      <w:r w:rsidRPr="00BC54D1">
        <w:rPr>
          <w:rFonts w:ascii="Times New Roman" w:hAnsi="Times New Roman"/>
        </w:rPr>
        <w:t xml:space="preserve">) may belong to an outcome (j) (i.e., committing an </w:t>
      </w:r>
      <w:r w:rsidRPr="00BC54D1">
        <w:rPr>
          <w:rFonts w:ascii="Times New Roman" w:hAnsi="Times New Roman"/>
          <w:i/>
          <w:iCs/>
        </w:rPr>
        <w:t>R&amp;D intensity</w:t>
      </w:r>
      <w:r w:rsidRPr="00BC54D1">
        <w:rPr>
          <w:rFonts w:ascii="Times New Roman" w:hAnsi="Times New Roman"/>
        </w:rPr>
        <w:t xml:space="preserve"> if j =1, or not committing </w:t>
      </w:r>
      <w:r w:rsidRPr="00BC54D1">
        <w:rPr>
          <w:rFonts w:ascii="Times New Roman" w:hAnsi="Times New Roman"/>
          <w:i/>
          <w:iCs/>
        </w:rPr>
        <w:t>R&amp;D intensity</w:t>
      </w:r>
      <w:r w:rsidRPr="00BC54D1">
        <w:rPr>
          <w:rFonts w:ascii="Times New Roman" w:hAnsi="Times New Roman"/>
        </w:rPr>
        <w:t xml:space="preserve"> if j=0)</w:t>
      </w:r>
      <w:r w:rsidR="006C2D69" w:rsidRPr="00BC54D1">
        <w:rPr>
          <w:rFonts w:ascii="Times New Roman" w:hAnsi="Times New Roman"/>
        </w:rPr>
        <w:t xml:space="preserve"> </w:t>
      </w:r>
      <w:r w:rsidRPr="00BC54D1">
        <w:rPr>
          <w:rFonts w:ascii="Times New Roman" w:hAnsi="Times New Roman"/>
        </w:rPr>
        <w:t xml:space="preserve">as a function of </w:t>
      </w:r>
      <w:r w:rsidR="0069069C" w:rsidRPr="00BC54D1">
        <w:rPr>
          <w:rFonts w:ascii="Times New Roman" w:hAnsi="Times New Roman"/>
        </w:rPr>
        <w:t xml:space="preserve">the </w:t>
      </w:r>
      <w:r w:rsidRPr="00BC54D1">
        <w:rPr>
          <w:rFonts w:ascii="Times New Roman" w:hAnsi="Times New Roman"/>
        </w:rPr>
        <w:t xml:space="preserve">firm’s status (private - </w:t>
      </w:r>
      <w:r w:rsidRPr="00BC54D1">
        <w:rPr>
          <w:rFonts w:ascii="Times New Roman" w:hAnsi="Times New Roman"/>
          <w:i/>
          <w:iCs/>
        </w:rPr>
        <w:t>PRIV</w:t>
      </w:r>
      <w:r w:rsidRPr="00BC54D1">
        <w:rPr>
          <w:rFonts w:ascii="Times New Roman" w:hAnsi="Times New Roman"/>
        </w:rPr>
        <w:t xml:space="preserve"> = 1 and 0 = public) and a vector of measured firm-specific characteristics (</w:t>
      </w:r>
      <w:r w:rsidRPr="00BC54D1">
        <w:rPr>
          <w:rFonts w:ascii="Times New Roman" w:hAnsi="Times New Roman"/>
          <w:i/>
          <w:iCs/>
        </w:rPr>
        <w:t>controls</w:t>
      </w:r>
      <w:r w:rsidRPr="00BC54D1">
        <w:rPr>
          <w:rFonts w:ascii="Times New Roman" w:hAnsi="Times New Roman"/>
        </w:rPr>
        <w:t xml:space="preserve">). Our adopted approach is </w:t>
      </w:r>
      <w:proofErr w:type="gramStart"/>
      <w:r w:rsidRPr="00BC54D1">
        <w:rPr>
          <w:rFonts w:ascii="Times New Roman" w:hAnsi="Times New Roman"/>
        </w:rPr>
        <w:t>similar to</w:t>
      </w:r>
      <w:proofErr w:type="gramEnd"/>
      <w:r w:rsidRPr="00BC54D1">
        <w:rPr>
          <w:rFonts w:ascii="Times New Roman" w:hAnsi="Times New Roman"/>
        </w:rPr>
        <w:t xml:space="preserve"> Acharya </w:t>
      </w:r>
      <w:r w:rsidR="0051732B" w:rsidRPr="00BC54D1">
        <w:rPr>
          <w:rFonts w:ascii="Times New Roman" w:hAnsi="Times New Roman"/>
        </w:rPr>
        <w:t xml:space="preserve">and </w:t>
      </w:r>
      <w:r w:rsidRPr="00BC54D1">
        <w:rPr>
          <w:rFonts w:ascii="Times New Roman" w:hAnsi="Times New Roman"/>
        </w:rPr>
        <w:t xml:space="preserve">Xu (2017). Specifically, we estimate the following </w:t>
      </w:r>
      <w:proofErr w:type="spellStart"/>
      <w:r w:rsidRPr="00BC54D1">
        <w:rPr>
          <w:rFonts w:ascii="Times New Roman" w:hAnsi="Times New Roman"/>
        </w:rPr>
        <w:t>probit</w:t>
      </w:r>
      <w:proofErr w:type="spellEnd"/>
      <w:r w:rsidRPr="00BC54D1">
        <w:rPr>
          <w:rFonts w:ascii="Times New Roman" w:hAnsi="Times New Roman"/>
        </w:rPr>
        <w:t xml:space="preserve"> regression model to test our prediction:</w:t>
      </w:r>
    </w:p>
    <w:p w14:paraId="48EE6FD6" w14:textId="3D8AE628" w:rsidR="004F5AD5" w:rsidRPr="00BC54D1" w:rsidRDefault="00857480" w:rsidP="00A32C88">
      <w:pPr>
        <w:spacing w:before="120" w:after="120" w:line="360" w:lineRule="auto"/>
      </w:pPr>
      <m:oMath>
        <m:sSub>
          <m:sSubPr>
            <m:ctrlPr>
              <w:rPr>
                <w:rFonts w:ascii="Cambria Math" w:hAnsi="Cambria Math"/>
                <w:bCs/>
                <w:i/>
              </w:rPr>
            </m:ctrlPr>
          </m:sSubPr>
          <m:e>
            <m:r>
              <w:rPr>
                <w:rFonts w:ascii="Cambria Math" w:hAnsi="Cambria Math"/>
              </w:rPr>
              <m:t>R&amp;D Intensity</m:t>
            </m:r>
          </m:e>
          <m:sub>
            <m:r>
              <w:rPr>
                <w:rFonts w:ascii="Cambria Math" w:hAnsi="Cambria Math"/>
              </w:rPr>
              <m:t>ijt</m:t>
            </m:r>
          </m:sub>
        </m:sSub>
      </m:oMath>
      <w:r w:rsidR="00712412" w:rsidRPr="00BC54D1">
        <w:rPr>
          <w:rFonts w:ascii="Times New Roman" w:hAnsi="Times New Roman"/>
          <w:bCs/>
          <w:i/>
        </w:rPr>
        <w:t xml:space="preserve"> = </w:t>
      </w:r>
      <m:oMath>
        <m:r>
          <w:rPr>
            <w:rFonts w:ascii="Cambria Math" w:hAnsi="Cambria Math"/>
          </w:rPr>
          <m:t>α</m:t>
        </m:r>
      </m:oMath>
      <w:r w:rsidR="00712412" w:rsidRPr="00BC54D1">
        <w:rPr>
          <w:rFonts w:ascii="Times New Roman" w:hAnsi="Times New Roman"/>
          <w:bCs/>
          <w:i/>
        </w:rPr>
        <w:t xml:space="preserve"> + </w:t>
      </w:r>
      <m:oMath>
        <m:sSub>
          <m:sSubPr>
            <m:ctrlPr>
              <w:rPr>
                <w:rFonts w:ascii="Cambria Math" w:hAnsi="Cambria Math"/>
                <w:bCs/>
                <w:i/>
              </w:rPr>
            </m:ctrlPr>
          </m:sSubPr>
          <m:e>
            <m:r>
              <w:rPr>
                <w:rFonts w:ascii="Cambria Math" w:hAnsi="Cambria Math"/>
              </w:rPr>
              <m:t>β</m:t>
            </m:r>
          </m:e>
          <m:sub>
            <m:r>
              <w:rPr>
                <w:rFonts w:ascii="Cambria Math" w:hAnsi="Cambria Math"/>
              </w:rPr>
              <m:t>1</m:t>
            </m:r>
          </m:sub>
        </m:sSub>
        <m:sSub>
          <m:sSubPr>
            <m:ctrlPr>
              <w:rPr>
                <w:rFonts w:ascii="Cambria Math" w:hAnsi="Cambria Math"/>
                <w:bCs/>
                <w:i/>
              </w:rPr>
            </m:ctrlPr>
          </m:sSubPr>
          <m:e>
            <m:r>
              <w:rPr>
                <w:rFonts w:ascii="Cambria Math" w:hAnsi="Cambria Math"/>
              </w:rPr>
              <m:t>PRIV</m:t>
            </m:r>
          </m:e>
          <m:sub>
            <m:r>
              <w:rPr>
                <w:rFonts w:ascii="Cambria Math" w:hAnsi="Cambria Math"/>
              </w:rPr>
              <m:t>ijt</m:t>
            </m:r>
          </m:sub>
        </m:sSub>
        <m:r>
          <w:rPr>
            <w:rFonts w:ascii="Cambria Math" w:hAnsi="Cambria Math"/>
          </w:rPr>
          <m:t xml:space="preserve">+ </m:t>
        </m:r>
        <m:sSub>
          <m:sSubPr>
            <m:ctrlPr>
              <w:rPr>
                <w:rFonts w:ascii="Cambria Math" w:hAnsi="Cambria Math"/>
                <w:bCs/>
                <w:i/>
              </w:rPr>
            </m:ctrlPr>
          </m:sSubPr>
          <m:e>
            <m:r>
              <w:rPr>
                <w:rFonts w:ascii="Cambria Math" w:hAnsi="Cambria Math"/>
              </w:rPr>
              <m:t>β</m:t>
            </m:r>
          </m:e>
          <m:sub>
            <m:r>
              <w:rPr>
                <w:rFonts w:ascii="Cambria Math" w:hAnsi="Cambria Math"/>
              </w:rPr>
              <m:t>2</m:t>
            </m:r>
          </m:sub>
        </m:sSub>
        <m:sSub>
          <m:sSubPr>
            <m:ctrlPr>
              <w:rPr>
                <w:rFonts w:ascii="Cambria Math" w:hAnsi="Cambria Math"/>
                <w:bCs/>
                <w:i/>
              </w:rPr>
            </m:ctrlPr>
          </m:sSubPr>
          <m:e>
            <m:r>
              <w:rPr>
                <w:rFonts w:ascii="Cambria Math" w:hAnsi="Cambria Math"/>
              </w:rPr>
              <m:t>Controls</m:t>
            </m:r>
          </m:e>
          <m:sub>
            <m:r>
              <w:rPr>
                <w:rFonts w:ascii="Cambria Math" w:hAnsi="Cambria Math"/>
              </w:rPr>
              <m:t>ijt-1</m:t>
            </m:r>
          </m:sub>
        </m:sSub>
      </m:oMath>
      <w:r w:rsidR="00712412" w:rsidRPr="00BC54D1">
        <w:rPr>
          <w:rFonts w:ascii="Times New Roman" w:hAnsi="Times New Roman"/>
          <w:bCs/>
          <w:i/>
        </w:rPr>
        <w:t xml:space="preserve">+ </w:t>
      </w:r>
      <m:oMath>
        <m:sSub>
          <m:sSubPr>
            <m:ctrlPr>
              <w:rPr>
                <w:rFonts w:ascii="Cambria Math" w:hAnsi="Cambria Math"/>
                <w:bCs/>
                <w:i/>
              </w:rPr>
            </m:ctrlPr>
          </m:sSubPr>
          <m:e>
            <m:r>
              <w:rPr>
                <w:rFonts w:ascii="Cambria Math" w:hAnsi="Cambria Math"/>
              </w:rPr>
              <m:t>ϕ</m:t>
            </m:r>
          </m:e>
          <m:sub>
            <m:r>
              <w:rPr>
                <w:rFonts w:ascii="Cambria Math" w:hAnsi="Cambria Math"/>
              </w:rPr>
              <m:t>j</m:t>
            </m:r>
          </m:sub>
        </m:sSub>
        <m:r>
          <w:rPr>
            <w:rFonts w:ascii="Cambria Math" w:hAnsi="Cambria Math"/>
          </w:rPr>
          <m:t xml:space="preserve">+ </m:t>
        </m:r>
        <m:sSub>
          <m:sSubPr>
            <m:ctrlPr>
              <w:rPr>
                <w:rFonts w:ascii="Cambria Math" w:hAnsi="Cambria Math"/>
                <w:bCs/>
                <w:i/>
              </w:rPr>
            </m:ctrlPr>
          </m:sSubPr>
          <m:e>
            <m:r>
              <w:rPr>
                <w:rFonts w:ascii="Cambria Math" w:hAnsi="Cambria Math"/>
              </w:rPr>
              <m:t>ζ</m:t>
            </m:r>
          </m:e>
          <m:sub>
            <m:r>
              <w:rPr>
                <w:rFonts w:ascii="Cambria Math" w:hAnsi="Cambria Math"/>
              </w:rPr>
              <m:t>t</m:t>
            </m:r>
          </m:sub>
        </m:sSub>
        <m:r>
          <w:rPr>
            <w:rFonts w:ascii="Cambria Math" w:hAnsi="Cambria Math"/>
          </w:rPr>
          <m:t>+</m:t>
        </m:r>
      </m:oMath>
      <w:r w:rsidR="00712412" w:rsidRPr="00BC54D1">
        <w:rPr>
          <w:rFonts w:ascii="Times New Roman" w:hAnsi="Times New Roman"/>
          <w:bCs/>
          <w:i/>
        </w:rPr>
        <w:t xml:space="preserve"> </w:t>
      </w:r>
      <m:oMath>
        <m:sSub>
          <m:sSubPr>
            <m:ctrlPr>
              <w:rPr>
                <w:rFonts w:ascii="Cambria Math" w:hAnsi="Cambria Math"/>
                <w:bCs/>
                <w:i/>
              </w:rPr>
            </m:ctrlPr>
          </m:sSubPr>
          <m:e>
            <m:r>
              <w:rPr>
                <w:rFonts w:ascii="Cambria Math" w:hAnsi="Cambria Math"/>
              </w:rPr>
              <m:t>ε</m:t>
            </m:r>
          </m:e>
          <m:sub>
            <m:r>
              <w:rPr>
                <w:rFonts w:ascii="Cambria Math" w:hAnsi="Cambria Math"/>
              </w:rPr>
              <m:t>ijt</m:t>
            </m:r>
          </m:sub>
        </m:sSub>
      </m:oMath>
      <w:r w:rsidR="00712412" w:rsidRPr="00BC54D1">
        <w:rPr>
          <w:rFonts w:ascii="Times New Roman" w:hAnsi="Times New Roman"/>
          <w:bCs/>
          <w:i/>
        </w:rPr>
        <w:t xml:space="preserve">  ………</w:t>
      </w:r>
      <w:r w:rsidR="00EB5B5D" w:rsidRPr="00BC54D1">
        <w:rPr>
          <w:rFonts w:ascii="Times New Roman" w:hAnsi="Times New Roman"/>
          <w:bCs/>
          <w:i/>
        </w:rPr>
        <w:t>……..</w:t>
      </w:r>
      <w:r w:rsidR="00712412" w:rsidRPr="00BC54D1">
        <w:rPr>
          <w:rFonts w:ascii="Times New Roman" w:hAnsi="Times New Roman"/>
          <w:bCs/>
          <w:i/>
        </w:rPr>
        <w:t xml:space="preserve">….… </w:t>
      </w:r>
      <w:r w:rsidR="00712412" w:rsidRPr="00BC54D1">
        <w:rPr>
          <w:rFonts w:ascii="Times New Roman" w:hAnsi="Times New Roman"/>
          <w:bCs/>
        </w:rPr>
        <w:t>(</w:t>
      </w:r>
      <w:r w:rsidR="00712412" w:rsidRPr="00BC54D1">
        <w:rPr>
          <w:rFonts w:ascii="Times New Roman" w:hAnsi="Times New Roman"/>
          <w:bCs/>
          <w:i/>
        </w:rPr>
        <w:t>1</w:t>
      </w:r>
      <w:r w:rsidR="00712412" w:rsidRPr="00BC54D1">
        <w:rPr>
          <w:rFonts w:ascii="Times New Roman" w:hAnsi="Times New Roman"/>
          <w:bCs/>
        </w:rPr>
        <w:t>)</w:t>
      </w:r>
    </w:p>
    <w:p w14:paraId="180CE63C" w14:textId="349C6F23" w:rsidR="00FC2424" w:rsidRPr="00BC54D1" w:rsidRDefault="004F5AD5" w:rsidP="00A32C88">
      <w:pPr>
        <w:pStyle w:val="NormalWeb"/>
        <w:spacing w:before="120" w:beforeAutospacing="0" w:after="120" w:afterAutospacing="0" w:line="360" w:lineRule="auto"/>
        <w:jc w:val="both"/>
        <w:rPr>
          <w:vertAlign w:val="superscript"/>
        </w:rPr>
      </w:pPr>
      <w:proofErr w:type="spellStart"/>
      <w:r w:rsidRPr="00BC54D1">
        <w:t>Private</w:t>
      </w:r>
      <w:r w:rsidRPr="00BC54D1">
        <w:rPr>
          <w:vertAlign w:val="subscript"/>
        </w:rPr>
        <w:t>i</w:t>
      </w:r>
      <w:proofErr w:type="spellEnd"/>
      <w:r w:rsidRPr="00BC54D1">
        <w:t xml:space="preserve"> (</w:t>
      </w:r>
      <w:r w:rsidRPr="00BC54D1">
        <w:rPr>
          <w:i/>
          <w:iCs/>
        </w:rPr>
        <w:t>PRIV</w:t>
      </w:r>
      <w:r w:rsidRPr="00BC54D1">
        <w:t xml:space="preserve">) = </w:t>
      </w:r>
      <w:r w:rsidRPr="00BC54D1">
        <w:rPr>
          <w:rFonts w:ascii="Symbol" w:eastAsia="Symbol" w:hAnsi="Symbol" w:cs="Symbol"/>
        </w:rPr>
        <w:t></w:t>
      </w:r>
      <w:r w:rsidRPr="00BC54D1">
        <w:t xml:space="preserve">1 if </w:t>
      </w:r>
      <w:proofErr w:type="spellStart"/>
      <w:r w:rsidRPr="00BC54D1">
        <w:t>Private</w:t>
      </w:r>
      <w:r w:rsidR="00A95E21" w:rsidRPr="00BC54D1">
        <w:rPr>
          <w:vertAlign w:val="subscript"/>
        </w:rPr>
        <w:t>i</w:t>
      </w:r>
      <w:proofErr w:type="spellEnd"/>
      <w:r w:rsidRPr="00BC54D1">
        <w:t xml:space="preserve"> &gt; 0</w:t>
      </w:r>
      <w:r w:rsidR="00852115" w:rsidRPr="00BC54D1">
        <w:t xml:space="preserve"> or </w:t>
      </w:r>
      <w:proofErr w:type="spellStart"/>
      <w:r w:rsidR="00852115" w:rsidRPr="00BC54D1">
        <w:t>Private</w:t>
      </w:r>
      <w:r w:rsidR="00A95E21" w:rsidRPr="00BC54D1">
        <w:rPr>
          <w:vertAlign w:val="subscript"/>
        </w:rPr>
        <w:t>i</w:t>
      </w:r>
      <w:proofErr w:type="spellEnd"/>
      <w:r w:rsidR="00852115" w:rsidRPr="00BC54D1">
        <w:t xml:space="preserve"> </w:t>
      </w:r>
      <w:r w:rsidR="00FC2424" w:rsidRPr="00BC54D1">
        <w:rPr>
          <w:rFonts w:ascii="Symbol" w:eastAsia="Symbol" w:hAnsi="Symbol" w:cs="Symbol"/>
        </w:rPr>
        <w:t></w:t>
      </w:r>
      <w:r w:rsidR="00FC2424" w:rsidRPr="00BC54D1">
        <w:t xml:space="preserve"> 0.</w:t>
      </w:r>
      <w:r w:rsidR="00FC2424" w:rsidRPr="00BC54D1">
        <w:rPr>
          <w:vertAlign w:val="superscript"/>
        </w:rPr>
        <w:t xml:space="preserve"> </w:t>
      </w:r>
      <w:r w:rsidR="00553FF2" w:rsidRPr="00BC54D1">
        <w:rPr>
          <w:rFonts w:ascii="Symbol" w:eastAsia="Symbol" w:hAnsi="Symbol" w:cs="Symbol"/>
        </w:rPr>
        <w:t></w:t>
      </w:r>
      <w:r w:rsidR="00FC2424" w:rsidRPr="00BC54D1">
        <w:t xml:space="preserve"> </w:t>
      </w:r>
      <w:r w:rsidR="00A95E21" w:rsidRPr="00BC54D1">
        <w:t xml:space="preserve"> </w:t>
      </w:r>
      <w:r w:rsidR="00A95E21" w:rsidRPr="00BC54D1">
        <w:rPr>
          <w:vertAlign w:val="superscript"/>
        </w:rPr>
        <w:t xml:space="preserve">     </w:t>
      </w:r>
      <w:r w:rsidR="00A95E21" w:rsidRPr="00BC54D1">
        <w:t>OR</w:t>
      </w:r>
    </w:p>
    <w:p w14:paraId="0BFFD290" w14:textId="3B58F0FC" w:rsidR="00FC2424" w:rsidRPr="00BC54D1" w:rsidRDefault="00FC2424" w:rsidP="00A32C88">
      <w:pPr>
        <w:pStyle w:val="NormalWeb"/>
        <w:spacing w:before="120" w:beforeAutospacing="0" w:after="120" w:afterAutospacing="0" w:line="360" w:lineRule="auto"/>
        <w:jc w:val="both"/>
        <w:rPr>
          <w:vertAlign w:val="subscript"/>
        </w:rPr>
      </w:pPr>
      <w:r w:rsidRPr="00BC54D1">
        <w:rPr>
          <w:vertAlign w:val="superscript"/>
        </w:rPr>
        <w:t xml:space="preserve"> </w:t>
      </w:r>
      <w:proofErr w:type="spellStart"/>
      <w:r w:rsidRPr="00BC54D1">
        <w:t>Private</w:t>
      </w:r>
      <w:r w:rsidRPr="00BC54D1">
        <w:rPr>
          <w:vertAlign w:val="subscript"/>
        </w:rPr>
        <w:t>i</w:t>
      </w:r>
      <w:proofErr w:type="spellEnd"/>
      <w:r w:rsidRPr="00BC54D1">
        <w:t xml:space="preserve"> (</w:t>
      </w:r>
      <w:r w:rsidRPr="00BC54D1">
        <w:rPr>
          <w:i/>
          <w:iCs/>
        </w:rPr>
        <w:t>PRIV</w:t>
      </w:r>
      <w:r w:rsidRPr="00BC54D1">
        <w:t xml:space="preserve">) = </w:t>
      </w:r>
      <w:r w:rsidRPr="00BC54D1">
        <w:rPr>
          <w:rFonts w:ascii="Symbol" w:eastAsia="Symbol" w:hAnsi="Symbol" w:cs="Symbol"/>
        </w:rPr>
        <w:t></w:t>
      </w:r>
      <w:r w:rsidRPr="00BC54D1">
        <w:t xml:space="preserve">if </w:t>
      </w:r>
      <w:proofErr w:type="spellStart"/>
      <w:r w:rsidRPr="00BC54D1">
        <w:t>Private</w:t>
      </w:r>
      <w:r w:rsidR="00A95E21" w:rsidRPr="00BC54D1">
        <w:rPr>
          <w:vertAlign w:val="subscript"/>
        </w:rPr>
        <w:t>i</w:t>
      </w:r>
      <w:proofErr w:type="spellEnd"/>
      <w:r w:rsidRPr="00BC54D1">
        <w:t xml:space="preserve"> </w:t>
      </w:r>
      <w:r w:rsidRPr="00BC54D1">
        <w:rPr>
          <w:rFonts w:ascii="Symbol" w:eastAsia="Symbol" w:hAnsi="Symbol" w:cs="Symbol"/>
        </w:rPr>
        <w:t></w:t>
      </w:r>
      <w:r w:rsidRPr="00BC54D1">
        <w:t xml:space="preserve"> 1 </w:t>
      </w:r>
      <w:r w:rsidR="00553FF2" w:rsidRPr="00BC54D1">
        <w:t>if</w:t>
      </w:r>
      <w:r w:rsidRPr="00BC54D1">
        <w:t xml:space="preserve"> </w:t>
      </w:r>
      <w:proofErr w:type="spellStart"/>
      <w:r w:rsidRPr="00BC54D1">
        <w:t>P</w:t>
      </w:r>
      <w:r w:rsidR="00A95E21" w:rsidRPr="00BC54D1">
        <w:t>ublic</w:t>
      </w:r>
      <w:r w:rsidR="00A95E21" w:rsidRPr="00BC54D1">
        <w:rPr>
          <w:vertAlign w:val="subscript"/>
        </w:rPr>
        <w:t>i</w:t>
      </w:r>
      <w:proofErr w:type="spellEnd"/>
      <w:r w:rsidRPr="00BC54D1">
        <w:t xml:space="preserve"> </w:t>
      </w:r>
      <w:r w:rsidR="00A95E21" w:rsidRPr="00BC54D1">
        <w:rPr>
          <w:rFonts w:ascii="Symbol" w:eastAsia="Symbol" w:hAnsi="Symbol" w:cs="Symbol"/>
        </w:rPr>
        <w:t></w:t>
      </w:r>
      <w:r w:rsidR="00A95E21" w:rsidRPr="00BC54D1">
        <w:t xml:space="preserve"> </w:t>
      </w:r>
      <w:r w:rsidRPr="00BC54D1">
        <w:t>0</w:t>
      </w:r>
      <w:r w:rsidR="00553FF2" w:rsidRPr="00BC54D1">
        <w:t xml:space="preserve"> </w:t>
      </w:r>
      <w:r w:rsidR="00553FF2" w:rsidRPr="00BC54D1">
        <w:rPr>
          <w:rFonts w:ascii="Symbol" w:eastAsia="Symbol" w:hAnsi="Symbol" w:cs="Symbol"/>
        </w:rPr>
        <w:t></w:t>
      </w:r>
      <w:r w:rsidR="00553FF2" w:rsidRPr="00BC54D1">
        <w:t xml:space="preserve">  </w:t>
      </w:r>
    </w:p>
    <w:p w14:paraId="07F759FE" w14:textId="5AA71AA6" w:rsidR="00712412" w:rsidRPr="00BC54D1" w:rsidRDefault="00712412" w:rsidP="7759D9CA">
      <w:pPr>
        <w:pStyle w:val="NormalWeb"/>
        <w:spacing w:before="120" w:beforeAutospacing="0" w:after="120" w:afterAutospacing="0" w:line="360" w:lineRule="auto"/>
        <w:jc w:val="both"/>
      </w:pPr>
      <w:r w:rsidRPr="00BC54D1">
        <w:t xml:space="preserve">In equation (1), where </w:t>
      </w:r>
      <w:r w:rsidRPr="00BC54D1">
        <w:rPr>
          <w:i/>
          <w:iCs/>
        </w:rPr>
        <w:t xml:space="preserve">R&amp;D </w:t>
      </w:r>
      <w:proofErr w:type="spellStart"/>
      <w:r w:rsidRPr="00BC54D1">
        <w:rPr>
          <w:i/>
          <w:iCs/>
        </w:rPr>
        <w:t>intensity</w:t>
      </w:r>
      <w:r w:rsidRPr="00BC54D1">
        <w:rPr>
          <w:i/>
          <w:iCs/>
          <w:vertAlign w:val="subscript"/>
        </w:rPr>
        <w:t>ijt</w:t>
      </w:r>
      <w:proofErr w:type="spellEnd"/>
      <w:r w:rsidRPr="00BC54D1">
        <w:rPr>
          <w:i/>
          <w:iCs/>
          <w:vertAlign w:val="subscript"/>
        </w:rPr>
        <w:t xml:space="preserve"> </w:t>
      </w:r>
      <w:r w:rsidRPr="00BC54D1">
        <w:t>is the probability of firm (</w:t>
      </w:r>
      <w:proofErr w:type="spellStart"/>
      <w:r w:rsidRPr="00BC54D1">
        <w:t>i</w:t>
      </w:r>
      <w:proofErr w:type="spellEnd"/>
      <w:r w:rsidRPr="00BC54D1">
        <w:t xml:space="preserve">) committing innovation intensity, while </w:t>
      </w:r>
      <w:r w:rsidRPr="00BC54D1">
        <w:rPr>
          <w:i/>
          <w:iCs/>
        </w:rPr>
        <w:t>PRIV</w:t>
      </w:r>
      <w:r w:rsidRPr="00BC54D1">
        <w:t xml:space="preserve"> is also a dummy of 1 and 0 otherwise if a firm is a private one, </w:t>
      </w:r>
      <w:r w:rsidRPr="00BC54D1">
        <w:rPr>
          <w:i/>
          <w:iCs/>
        </w:rPr>
        <w:t>Controls</w:t>
      </w:r>
      <w:r w:rsidRPr="00BC54D1">
        <w:t xml:space="preserve"> are other investment-related determinants,</w:t>
      </w:r>
      <w:r w:rsidR="0069069C" w:rsidRPr="00BC54D1">
        <w:t xml:space="preserve"> and</w:t>
      </w:r>
      <w:r w:rsidRPr="00BC54D1">
        <w:t xml:space="preserve"> </w:t>
      </w:r>
      <m:oMath>
        <m:sSub>
          <m:sSubPr>
            <m:ctrlPr>
              <w:rPr>
                <w:rFonts w:ascii="Cambria Math" w:hAnsi="Cambria Math"/>
                <w:bCs/>
                <w:i/>
              </w:rPr>
            </m:ctrlPr>
          </m:sSubPr>
          <m:e>
            <m:r>
              <w:rPr>
                <w:rFonts w:ascii="Cambria Math" w:hAnsi="Cambria Math"/>
              </w:rPr>
              <m:t>ϕ</m:t>
            </m:r>
          </m:e>
          <m:sub>
            <m:r>
              <w:rPr>
                <w:rFonts w:ascii="Cambria Math" w:hAnsi="Cambria Math"/>
              </w:rPr>
              <m:t>j</m:t>
            </m:r>
          </m:sub>
        </m:sSub>
        <m:r>
          <w:rPr>
            <w:rFonts w:ascii="Cambria Math" w:hAnsi="Cambria Math"/>
          </w:rPr>
          <m:t xml:space="preserve">,  </m:t>
        </m:r>
        <m:sSub>
          <m:sSubPr>
            <m:ctrlPr>
              <w:rPr>
                <w:rFonts w:ascii="Cambria Math" w:hAnsi="Cambria Math"/>
                <w:bCs/>
                <w:i/>
              </w:rPr>
            </m:ctrlPr>
          </m:sSubPr>
          <m:e>
            <m:r>
              <w:rPr>
                <w:rFonts w:ascii="Cambria Math" w:hAnsi="Cambria Math"/>
              </w:rPr>
              <m:t>ζ</m:t>
            </m:r>
          </m:e>
          <m:sub>
            <m:r>
              <w:rPr>
                <w:rFonts w:ascii="Cambria Math" w:hAnsi="Cambria Math"/>
              </w:rPr>
              <m:t>t</m:t>
            </m:r>
          </m:sub>
        </m:sSub>
        <m:r>
          <w:rPr>
            <w:rFonts w:ascii="Cambria Math" w:hAnsi="Cambria Math"/>
          </w:rPr>
          <m:t xml:space="preserve"> and</m:t>
        </m:r>
      </m:oMath>
      <w:r w:rsidRPr="00BC54D1">
        <w:rPr>
          <w:i/>
          <w:iCs/>
        </w:rPr>
        <w:t xml:space="preserve"> </w:t>
      </w:r>
      <m:oMath>
        <m:sSub>
          <m:sSubPr>
            <m:ctrlPr>
              <w:rPr>
                <w:rFonts w:ascii="Cambria Math" w:hAnsi="Cambria Math"/>
                <w:bCs/>
                <w:i/>
              </w:rPr>
            </m:ctrlPr>
          </m:sSubPr>
          <m:e>
            <m:r>
              <w:rPr>
                <w:rFonts w:ascii="Cambria Math" w:hAnsi="Cambria Math"/>
              </w:rPr>
              <m:t>ε</m:t>
            </m:r>
          </m:e>
          <m:sub>
            <m:r>
              <w:rPr>
                <w:rFonts w:ascii="Cambria Math" w:hAnsi="Cambria Math"/>
              </w:rPr>
              <m:t>ijt</m:t>
            </m:r>
          </m:sub>
        </m:sSub>
      </m:oMath>
      <w:r w:rsidRPr="00BC54D1">
        <w:t xml:space="preserve"> are unobservable fixed and time effects and the error term respectively.</w:t>
      </w:r>
      <w:r w:rsidR="006C2D69" w:rsidRPr="00BC54D1">
        <w:t xml:space="preserve"> </w:t>
      </w:r>
      <w:r w:rsidRPr="00BC54D1">
        <w:t xml:space="preserve">In estimating our equation (1), we use </w:t>
      </w:r>
      <w:r w:rsidR="0069069C" w:rsidRPr="00BC54D1">
        <w:t xml:space="preserve">a </w:t>
      </w:r>
      <w:bookmarkStart w:id="3" w:name="_Hlk87711920"/>
      <w:proofErr w:type="spellStart"/>
      <w:r w:rsidRPr="00BC54D1">
        <w:t>probit</w:t>
      </w:r>
      <w:proofErr w:type="spellEnd"/>
      <w:r w:rsidRPr="00BC54D1">
        <w:t xml:space="preserve"> regression model </w:t>
      </w:r>
      <w:bookmarkEnd w:id="3"/>
      <w:r w:rsidRPr="00BC54D1">
        <w:t xml:space="preserve">where </w:t>
      </w:r>
      <w:r w:rsidRPr="00BC54D1">
        <w:rPr>
          <w:i/>
          <w:iCs/>
        </w:rPr>
        <w:t>R&amp;D intensity</w:t>
      </w:r>
      <w:r w:rsidRPr="00BC54D1">
        <w:t xml:space="preserve"> is regressed on </w:t>
      </w:r>
      <w:proofErr w:type="gramStart"/>
      <w:r w:rsidRPr="00BC54D1">
        <w:rPr>
          <w:i/>
          <w:iCs/>
        </w:rPr>
        <w:t>PRIV</w:t>
      </w:r>
      <w:proofErr w:type="gramEnd"/>
      <w:r w:rsidRPr="00BC54D1">
        <w:t xml:space="preserve"> and </w:t>
      </w:r>
      <w:r w:rsidRPr="00BC54D1">
        <w:rPr>
          <w:i/>
          <w:iCs/>
        </w:rPr>
        <w:t xml:space="preserve">controls </w:t>
      </w:r>
      <w:r w:rsidRPr="00BC54D1">
        <w:t>and the reported estimates are based on robust standard error.</w:t>
      </w:r>
      <w:r w:rsidR="006C2D69" w:rsidRPr="00BC54D1">
        <w:t xml:space="preserve"> </w:t>
      </w:r>
      <w:r w:rsidRPr="00BC54D1">
        <w:t xml:space="preserve">For robustness checks, we also use </w:t>
      </w:r>
      <w:bookmarkStart w:id="4" w:name="_Hlk87712022"/>
      <w:r w:rsidR="000675D7" w:rsidRPr="00BC54D1">
        <w:t xml:space="preserve">logit </w:t>
      </w:r>
      <w:r w:rsidRPr="00BC54D1">
        <w:t xml:space="preserve">regression specification </w:t>
      </w:r>
      <w:bookmarkEnd w:id="4"/>
      <w:r w:rsidRPr="00BC54D1">
        <w:t xml:space="preserve">and an alternative dependent variable measure where R&amp;D intensity is measured as the ratio of total assets. In addition to this, we also employ simultaneous equations model to deal with possible endogeneity concern. </w:t>
      </w:r>
    </w:p>
    <w:p w14:paraId="7F4EB86D" w14:textId="77777777" w:rsidR="004A0DAE" w:rsidRPr="00BC54D1" w:rsidRDefault="004A0DAE" w:rsidP="00A32C88">
      <w:pPr>
        <w:spacing w:before="120" w:after="120" w:line="360" w:lineRule="auto"/>
      </w:pPr>
    </w:p>
    <w:p w14:paraId="0A062184" w14:textId="77777777" w:rsidR="00C16B2F" w:rsidRPr="00BC54D1" w:rsidRDefault="004A0DAE" w:rsidP="00FD077E">
      <w:pPr>
        <w:pStyle w:val="Heading1"/>
        <w:numPr>
          <w:ilvl w:val="0"/>
          <w:numId w:val="0"/>
        </w:numPr>
        <w:spacing w:after="0" w:line="360" w:lineRule="auto"/>
        <w:rPr>
          <w:rFonts w:ascii="Times New Roman" w:hAnsi="Times New Roman" w:cs="Times New Roman"/>
          <w:color w:val="auto"/>
          <w:sz w:val="24"/>
          <w:szCs w:val="24"/>
        </w:rPr>
      </w:pPr>
      <w:r w:rsidRPr="00BC54D1">
        <w:rPr>
          <w:rFonts w:ascii="Times New Roman" w:hAnsi="Times New Roman" w:cs="Times New Roman"/>
          <w:color w:val="auto"/>
          <w:sz w:val="24"/>
          <w:szCs w:val="24"/>
        </w:rPr>
        <w:t>4. Results and discussion</w:t>
      </w:r>
    </w:p>
    <w:p w14:paraId="2840786E" w14:textId="77777777" w:rsidR="004A0DAE" w:rsidRPr="00BC54D1" w:rsidRDefault="004A0DAE" w:rsidP="004A0DAE">
      <w:pPr>
        <w:pStyle w:val="Heading1"/>
        <w:numPr>
          <w:ilvl w:val="0"/>
          <w:numId w:val="0"/>
        </w:numPr>
        <w:spacing w:before="240" w:after="0" w:line="360" w:lineRule="auto"/>
        <w:rPr>
          <w:rFonts w:ascii="Times New Roman" w:hAnsi="Times New Roman" w:cs="Times New Roman"/>
          <w:i/>
          <w:color w:val="auto"/>
          <w:sz w:val="24"/>
          <w:szCs w:val="24"/>
        </w:rPr>
      </w:pPr>
      <w:r w:rsidRPr="00BC54D1">
        <w:rPr>
          <w:rFonts w:ascii="Times New Roman" w:hAnsi="Times New Roman" w:cs="Times New Roman"/>
          <w:i/>
          <w:color w:val="auto"/>
          <w:sz w:val="24"/>
          <w:szCs w:val="24"/>
        </w:rPr>
        <w:t xml:space="preserve">4.1. Summary statistics and bivariate correlations </w:t>
      </w:r>
    </w:p>
    <w:p w14:paraId="7C12449D" w14:textId="4BFFEA6C" w:rsidR="00712412" w:rsidRPr="00BC54D1" w:rsidRDefault="00712412" w:rsidP="00A32C88">
      <w:pPr>
        <w:spacing w:before="120" w:after="120" w:line="360" w:lineRule="auto"/>
        <w:jc w:val="both"/>
        <w:rPr>
          <w:rFonts w:ascii="Times New Roman" w:hAnsi="Times New Roman"/>
        </w:rPr>
      </w:pPr>
      <w:r w:rsidRPr="00BC54D1">
        <w:rPr>
          <w:rFonts w:ascii="Times New Roman" w:hAnsi="Times New Roman"/>
        </w:rPr>
        <w:t xml:space="preserve">Table </w:t>
      </w:r>
      <w:r w:rsidR="00DD56F2" w:rsidRPr="00BC54D1">
        <w:rPr>
          <w:rFonts w:ascii="Times New Roman" w:hAnsi="Times New Roman"/>
        </w:rPr>
        <w:t xml:space="preserve">II </w:t>
      </w:r>
      <w:r w:rsidRPr="00BC54D1">
        <w:rPr>
          <w:rFonts w:ascii="Times New Roman" w:hAnsi="Times New Roman"/>
        </w:rPr>
        <w:t xml:space="preserve">presents summary statistics for our variables of interest used in this empirical study. It is important to highlight some of the key findings. In Table </w:t>
      </w:r>
      <w:r w:rsidR="00DD56F2" w:rsidRPr="00BC54D1">
        <w:rPr>
          <w:rFonts w:ascii="Times New Roman" w:hAnsi="Times New Roman"/>
        </w:rPr>
        <w:t>II</w:t>
      </w:r>
      <w:r w:rsidRPr="00BC54D1">
        <w:rPr>
          <w:rFonts w:ascii="Times New Roman" w:hAnsi="Times New Roman"/>
        </w:rPr>
        <w:t>, we report the firm characteristics and R&amp;D intensity of private and public firms in the full sample (Panel A) and the matched sample (Panel B). In the full sample, private firms on average keep high cash flow</w:t>
      </w:r>
      <w:r w:rsidR="001813B6" w:rsidRPr="00BC54D1">
        <w:rPr>
          <w:rFonts w:ascii="Times New Roman" w:hAnsi="Times New Roman"/>
        </w:rPr>
        <w:t xml:space="preserve">, </w:t>
      </w:r>
      <w:r w:rsidRPr="00BC54D1">
        <w:rPr>
          <w:rFonts w:ascii="Times New Roman" w:hAnsi="Times New Roman"/>
          <w:i/>
          <w:iCs/>
        </w:rPr>
        <w:t>CF</w:t>
      </w:r>
      <w:r w:rsidRPr="00BC54D1">
        <w:rPr>
          <w:rFonts w:ascii="Times New Roman" w:hAnsi="Times New Roman"/>
        </w:rPr>
        <w:t>,</w:t>
      </w:r>
      <w:r w:rsidR="001813B6" w:rsidRPr="00BC54D1">
        <w:rPr>
          <w:rFonts w:ascii="Times New Roman" w:hAnsi="Times New Roman"/>
        </w:rPr>
        <w:t xml:space="preserve"> and</w:t>
      </w:r>
      <w:r w:rsidRPr="00BC54D1">
        <w:rPr>
          <w:rFonts w:ascii="Times New Roman" w:hAnsi="Times New Roman"/>
        </w:rPr>
        <w:t xml:space="preserve"> leverage</w:t>
      </w:r>
      <w:r w:rsidR="001813B6" w:rsidRPr="00BC54D1">
        <w:rPr>
          <w:rFonts w:ascii="Times New Roman" w:hAnsi="Times New Roman"/>
        </w:rPr>
        <w:t xml:space="preserve">, </w:t>
      </w:r>
      <w:r w:rsidRPr="00BC54D1">
        <w:rPr>
          <w:rFonts w:ascii="Times New Roman" w:hAnsi="Times New Roman"/>
          <w:i/>
          <w:iCs/>
        </w:rPr>
        <w:t>LEV</w:t>
      </w:r>
      <w:r w:rsidR="001813B6" w:rsidRPr="00BC54D1">
        <w:rPr>
          <w:rFonts w:ascii="Times New Roman" w:hAnsi="Times New Roman"/>
          <w:iCs/>
        </w:rPr>
        <w:t>,</w:t>
      </w:r>
      <w:r w:rsidRPr="00BC54D1">
        <w:rPr>
          <w:rFonts w:ascii="Times New Roman" w:hAnsi="Times New Roman"/>
        </w:rPr>
        <w:t xml:space="preserve"> and are more profitab</w:t>
      </w:r>
      <w:r w:rsidR="001813B6" w:rsidRPr="00BC54D1">
        <w:rPr>
          <w:rFonts w:ascii="Times New Roman" w:hAnsi="Times New Roman"/>
        </w:rPr>
        <w:t>le,</w:t>
      </w:r>
      <w:r w:rsidRPr="00BC54D1">
        <w:rPr>
          <w:rFonts w:ascii="Times New Roman" w:hAnsi="Times New Roman"/>
          <w:i/>
          <w:iCs/>
        </w:rPr>
        <w:t xml:space="preserve"> PR</w:t>
      </w:r>
      <w:r w:rsidRPr="00BC54D1">
        <w:rPr>
          <w:rFonts w:ascii="Times New Roman" w:hAnsi="Times New Roman"/>
        </w:rPr>
        <w:t xml:space="preserve"> (0.062, 0.260, and 0.046)</w:t>
      </w:r>
      <w:r w:rsidR="001813B6" w:rsidRPr="00BC54D1">
        <w:rPr>
          <w:rFonts w:ascii="Times New Roman" w:hAnsi="Times New Roman"/>
        </w:rPr>
        <w:t>,</w:t>
      </w:r>
      <w:r w:rsidRPr="00BC54D1">
        <w:rPr>
          <w:rFonts w:ascii="Times New Roman" w:hAnsi="Times New Roman"/>
        </w:rPr>
        <w:t xml:space="preserve"> compared with public firms (0.027, 0.144 and 0.042)</w:t>
      </w:r>
      <w:r w:rsidR="00696434" w:rsidRPr="00BC54D1">
        <w:rPr>
          <w:rFonts w:ascii="Times New Roman" w:hAnsi="Times New Roman"/>
        </w:rPr>
        <w:t xml:space="preserve"> respectively.</w:t>
      </w:r>
      <w:r w:rsidRPr="00BC54D1">
        <w:rPr>
          <w:rFonts w:ascii="Times New Roman" w:hAnsi="Times New Roman"/>
        </w:rPr>
        <w:t xml:space="preserve"> Public firms on average are bigger in size</w:t>
      </w:r>
      <w:r w:rsidR="001813B6" w:rsidRPr="00BC54D1">
        <w:rPr>
          <w:rFonts w:ascii="Times New Roman" w:hAnsi="Times New Roman"/>
        </w:rPr>
        <w:t xml:space="preserve">, </w:t>
      </w:r>
      <w:r w:rsidRPr="00BC54D1">
        <w:rPr>
          <w:rFonts w:ascii="Times New Roman" w:hAnsi="Times New Roman"/>
          <w:i/>
          <w:iCs/>
        </w:rPr>
        <w:t>SZ</w:t>
      </w:r>
      <w:r w:rsidR="001813B6" w:rsidRPr="00BC54D1">
        <w:rPr>
          <w:rFonts w:ascii="Times New Roman" w:hAnsi="Times New Roman"/>
          <w:iCs/>
        </w:rPr>
        <w:t>,</w:t>
      </w:r>
      <w:r w:rsidRPr="00BC54D1">
        <w:rPr>
          <w:rFonts w:ascii="Times New Roman" w:hAnsi="Times New Roman"/>
        </w:rPr>
        <w:t xml:space="preserve"> and </w:t>
      </w:r>
      <w:r w:rsidR="00DA1A4E" w:rsidRPr="00BC54D1">
        <w:rPr>
          <w:rFonts w:ascii="Times New Roman" w:hAnsi="Times New Roman"/>
        </w:rPr>
        <w:t xml:space="preserve">older, </w:t>
      </w:r>
      <w:r w:rsidR="00DA1A4E" w:rsidRPr="00BC54D1">
        <w:rPr>
          <w:rFonts w:ascii="Times New Roman" w:hAnsi="Times New Roman"/>
          <w:i/>
          <w:iCs/>
        </w:rPr>
        <w:t>FY</w:t>
      </w:r>
      <w:r w:rsidR="001813B6" w:rsidRPr="00BC54D1">
        <w:rPr>
          <w:rFonts w:ascii="Times New Roman" w:hAnsi="Times New Roman"/>
          <w:iCs/>
        </w:rPr>
        <w:t>,</w:t>
      </w:r>
      <w:r w:rsidRPr="00BC54D1">
        <w:rPr>
          <w:rFonts w:ascii="Times New Roman" w:hAnsi="Times New Roman"/>
        </w:rPr>
        <w:t xml:space="preserve"> compared with private firms. The age of the firm is the difference between the current year (201</w:t>
      </w:r>
      <w:r w:rsidR="00EB5B5D" w:rsidRPr="00BC54D1">
        <w:rPr>
          <w:rFonts w:ascii="Times New Roman" w:hAnsi="Times New Roman"/>
        </w:rPr>
        <w:t>5</w:t>
      </w:r>
      <w:r w:rsidRPr="00BC54D1">
        <w:rPr>
          <w:rFonts w:ascii="Times New Roman" w:hAnsi="Times New Roman"/>
        </w:rPr>
        <w:t>) and the founding year of a firm. Again, public firms use longer maturity</w:t>
      </w:r>
      <w:r w:rsidR="001813B6"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DM</w:t>
      </w:r>
      <w:r w:rsidRPr="00BC54D1">
        <w:rPr>
          <w:rFonts w:ascii="Times New Roman" w:hAnsi="Times New Roman"/>
        </w:rPr>
        <w:t>, hold more cash holdings</w:t>
      </w:r>
      <w:r w:rsidR="001813B6"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CH</w:t>
      </w:r>
      <w:r w:rsidR="001813B6" w:rsidRPr="00BC54D1">
        <w:rPr>
          <w:rFonts w:ascii="Times New Roman" w:hAnsi="Times New Roman"/>
          <w:iCs/>
        </w:rPr>
        <w:t>,</w:t>
      </w:r>
      <w:r w:rsidRPr="00BC54D1">
        <w:rPr>
          <w:rFonts w:ascii="Times New Roman" w:hAnsi="Times New Roman"/>
        </w:rPr>
        <w:t xml:space="preserve"> and higher sales growth</w:t>
      </w:r>
      <w:r w:rsidR="001813B6"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SGR</w:t>
      </w:r>
      <w:r w:rsidRPr="00BC54D1">
        <w:rPr>
          <w:rFonts w:ascii="Times New Roman" w:hAnsi="Times New Roman"/>
        </w:rPr>
        <w:t>. In terms of information quality</w:t>
      </w:r>
      <w:r w:rsidR="001813B6"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IQ</w:t>
      </w:r>
      <w:r w:rsidRPr="00BC54D1">
        <w:rPr>
          <w:rFonts w:ascii="Times New Roman" w:hAnsi="Times New Roman"/>
        </w:rPr>
        <w:t>, public firms</w:t>
      </w:r>
      <w:r w:rsidR="001813B6" w:rsidRPr="00BC54D1">
        <w:rPr>
          <w:rFonts w:ascii="Times New Roman" w:hAnsi="Times New Roman"/>
        </w:rPr>
        <w:t>’</w:t>
      </w:r>
      <w:r w:rsidRPr="00BC54D1">
        <w:rPr>
          <w:rFonts w:ascii="Times New Roman" w:hAnsi="Times New Roman"/>
        </w:rPr>
        <w:t xml:space="preserve"> operational environment produces more information than </w:t>
      </w:r>
      <w:r w:rsidR="001813B6" w:rsidRPr="00BC54D1">
        <w:rPr>
          <w:rFonts w:ascii="Times New Roman" w:hAnsi="Times New Roman"/>
        </w:rPr>
        <w:t xml:space="preserve">that of </w:t>
      </w:r>
      <w:r w:rsidRPr="00BC54D1">
        <w:rPr>
          <w:rFonts w:ascii="Times New Roman" w:hAnsi="Times New Roman"/>
        </w:rPr>
        <w:t>private firms. This is unsurprising</w:t>
      </w:r>
      <w:r w:rsidR="001813B6" w:rsidRPr="00BC54D1">
        <w:rPr>
          <w:rFonts w:ascii="Times New Roman" w:hAnsi="Times New Roman"/>
        </w:rPr>
        <w:t>,</w:t>
      </w:r>
      <w:r w:rsidRPr="00BC54D1">
        <w:rPr>
          <w:rFonts w:ascii="Times New Roman" w:hAnsi="Times New Roman"/>
        </w:rPr>
        <w:t xml:space="preserve"> given that </w:t>
      </w:r>
      <w:r w:rsidRPr="00BC54D1">
        <w:rPr>
          <w:rFonts w:ascii="Times New Roman" w:hAnsi="Times New Roman"/>
        </w:rPr>
        <w:lastRenderedPageBreak/>
        <w:t xml:space="preserve">private entities provide little information to the market for fear of losing investment opportunities to their rivals. </w:t>
      </w:r>
    </w:p>
    <w:p w14:paraId="287F8E7D" w14:textId="7A0C0A67" w:rsidR="00712412" w:rsidRPr="00BC54D1" w:rsidRDefault="00712412" w:rsidP="00B6263C">
      <w:pPr>
        <w:spacing w:before="120" w:after="120" w:line="360" w:lineRule="auto"/>
        <w:ind w:left="11" w:hanging="11"/>
        <w:jc w:val="both"/>
        <w:rPr>
          <w:rFonts w:ascii="Times New Roman" w:hAnsi="Times New Roman"/>
        </w:rPr>
      </w:pPr>
      <w:r w:rsidRPr="00BC54D1">
        <w:rPr>
          <w:rFonts w:ascii="Times New Roman" w:hAnsi="Times New Roman"/>
        </w:rPr>
        <w:t xml:space="preserve">As for R&amp;D intensity activities, Panel A of Table </w:t>
      </w:r>
      <w:r w:rsidR="00DD56F2" w:rsidRPr="00BC54D1">
        <w:rPr>
          <w:rFonts w:ascii="Times New Roman" w:hAnsi="Times New Roman"/>
        </w:rPr>
        <w:t xml:space="preserve">II </w:t>
      </w:r>
      <w:r w:rsidRPr="00BC54D1">
        <w:rPr>
          <w:rFonts w:ascii="Times New Roman" w:hAnsi="Times New Roman"/>
        </w:rPr>
        <w:t xml:space="preserve">shows that public firms spend more on R&amp;D than private firms. Thus, in terms of R&amp;D activity, private entities on average have significantly </w:t>
      </w:r>
      <w:r w:rsidR="001813B6" w:rsidRPr="00BC54D1">
        <w:rPr>
          <w:rFonts w:ascii="Times New Roman" w:hAnsi="Times New Roman"/>
        </w:rPr>
        <w:t xml:space="preserve">less </w:t>
      </w:r>
      <w:r w:rsidRPr="00BC54D1">
        <w:rPr>
          <w:rFonts w:ascii="Times New Roman" w:hAnsi="Times New Roman"/>
        </w:rPr>
        <w:t>innovation (R&amp;D) intensity compared with public firms (0.001 versus 0.017)</w:t>
      </w:r>
      <w:r w:rsidR="00696434" w:rsidRPr="00BC54D1">
        <w:rPr>
          <w:rFonts w:ascii="Times New Roman" w:hAnsi="Times New Roman"/>
        </w:rPr>
        <w:t xml:space="preserve">. This partly confirms the proposition that, unlike public </w:t>
      </w:r>
      <w:r w:rsidR="00820DAF" w:rsidRPr="00BC54D1">
        <w:rPr>
          <w:rFonts w:ascii="Times New Roman" w:hAnsi="Times New Roman"/>
        </w:rPr>
        <w:t>firms, privately</w:t>
      </w:r>
      <w:r w:rsidR="00696434" w:rsidRPr="00BC54D1">
        <w:rPr>
          <w:rFonts w:ascii="Times New Roman" w:hAnsi="Times New Roman"/>
        </w:rPr>
        <w:t xml:space="preserve"> </w:t>
      </w:r>
      <w:r w:rsidR="00820DAF" w:rsidRPr="00BC54D1">
        <w:rPr>
          <w:rFonts w:ascii="Times New Roman" w:hAnsi="Times New Roman"/>
        </w:rPr>
        <w:t>owned entities</w:t>
      </w:r>
      <w:r w:rsidR="00696434" w:rsidRPr="00BC54D1">
        <w:rPr>
          <w:rFonts w:ascii="Times New Roman" w:hAnsi="Times New Roman"/>
        </w:rPr>
        <w:t xml:space="preserve"> only invest in R&amp;D for profit </w:t>
      </w:r>
      <w:r w:rsidR="00820DAF" w:rsidRPr="00BC54D1">
        <w:rPr>
          <w:rFonts w:ascii="Times New Roman" w:hAnsi="Times New Roman"/>
        </w:rPr>
        <w:t>opportunities</w:t>
      </w:r>
      <w:r w:rsidR="00696434" w:rsidRPr="00BC54D1">
        <w:rPr>
          <w:rFonts w:ascii="Times New Roman" w:hAnsi="Times New Roman"/>
        </w:rPr>
        <w:t xml:space="preserve"> and not for welfare</w:t>
      </w:r>
      <w:r w:rsidR="00820DAF" w:rsidRPr="00BC54D1">
        <w:rPr>
          <w:rFonts w:ascii="Times New Roman" w:hAnsi="Times New Roman"/>
        </w:rPr>
        <w:t xml:space="preserve"> motives (Clausen, 2009).</w:t>
      </w:r>
      <w:r w:rsidR="006C2D69" w:rsidRPr="00BC54D1">
        <w:rPr>
          <w:rFonts w:ascii="Times New Roman" w:hAnsi="Times New Roman"/>
        </w:rPr>
        <w:t xml:space="preserve"> </w:t>
      </w:r>
      <w:r w:rsidRPr="00BC54D1">
        <w:rPr>
          <w:rFonts w:ascii="Times New Roman" w:hAnsi="Times New Roman"/>
        </w:rPr>
        <w:t>Overall, similar differences between private and public firms are also observed in the matched sample</w:t>
      </w:r>
      <w:r w:rsidRPr="00BC54D1">
        <w:rPr>
          <w:rFonts w:ascii="Times New Roman" w:hAnsi="Times New Roman"/>
          <w:i/>
          <w:iCs/>
        </w:rPr>
        <w:t xml:space="preserve"> </w:t>
      </w:r>
      <w:r w:rsidRPr="00BC54D1">
        <w:rPr>
          <w:rFonts w:ascii="Times New Roman" w:hAnsi="Times New Roman"/>
        </w:rPr>
        <w:t xml:space="preserve">(Panel B of Table </w:t>
      </w:r>
      <w:r w:rsidR="00DD56F2" w:rsidRPr="00BC54D1">
        <w:rPr>
          <w:rFonts w:ascii="Times New Roman" w:hAnsi="Times New Roman"/>
        </w:rPr>
        <w:t>II</w:t>
      </w:r>
      <w:r w:rsidRPr="00BC54D1">
        <w:rPr>
          <w:rFonts w:ascii="Times New Roman" w:hAnsi="Times New Roman"/>
        </w:rPr>
        <w:t>).</w:t>
      </w:r>
      <w:r w:rsidR="00B6263C" w:rsidRPr="00BC54D1">
        <w:rPr>
          <w:rFonts w:ascii="Times New Roman" w:eastAsiaTheme="minorHAnsi" w:hAnsi="Times New Roman"/>
          <w:lang w:eastAsia="en-US"/>
        </w:rPr>
        <w:t xml:space="preserve"> </w:t>
      </w:r>
    </w:p>
    <w:p w14:paraId="408A0B7B" w14:textId="3AF81B36" w:rsidR="00712412" w:rsidRPr="00BC54D1" w:rsidRDefault="00712412" w:rsidP="00A32C88">
      <w:pPr>
        <w:spacing w:before="120" w:after="120" w:line="360" w:lineRule="auto"/>
        <w:jc w:val="both"/>
        <w:rPr>
          <w:rFonts w:ascii="Times New Roman" w:hAnsi="Times New Roman"/>
        </w:rPr>
      </w:pPr>
      <w:r w:rsidRPr="00BC54D1">
        <w:rPr>
          <w:rFonts w:ascii="Times New Roman" w:hAnsi="Times New Roman"/>
        </w:rPr>
        <w:t xml:space="preserve">In Table </w:t>
      </w:r>
      <w:r w:rsidR="00DD56F2" w:rsidRPr="00BC54D1">
        <w:rPr>
          <w:rFonts w:ascii="Times New Roman" w:hAnsi="Times New Roman"/>
        </w:rPr>
        <w:t>III</w:t>
      </w:r>
      <w:r w:rsidRPr="00BC54D1">
        <w:rPr>
          <w:rFonts w:ascii="Times New Roman" w:hAnsi="Times New Roman"/>
        </w:rPr>
        <w:t>, we also report the Pearson correlations among the sample variables used in this study. Specifically, we observe positive correlations between investment (</w:t>
      </w:r>
      <w:r w:rsidRPr="00BC54D1">
        <w:rPr>
          <w:rFonts w:ascii="Times New Roman" w:hAnsi="Times New Roman"/>
          <w:i/>
          <w:iCs/>
        </w:rPr>
        <w:t>R&amp;D</w:t>
      </w:r>
      <w:r w:rsidRPr="00BC54D1">
        <w:rPr>
          <w:rFonts w:ascii="Times New Roman" w:hAnsi="Times New Roman"/>
        </w:rPr>
        <w:t>) and cash holdings</w:t>
      </w:r>
      <w:r w:rsidR="001813B6" w:rsidRPr="00BC54D1">
        <w:rPr>
          <w:rFonts w:ascii="Times New Roman" w:hAnsi="Times New Roman"/>
        </w:rPr>
        <w:t xml:space="preserve">, </w:t>
      </w:r>
      <w:r w:rsidRPr="00BC54D1">
        <w:rPr>
          <w:rFonts w:ascii="Times New Roman" w:hAnsi="Times New Roman"/>
          <w:i/>
          <w:iCs/>
        </w:rPr>
        <w:t>CH</w:t>
      </w:r>
      <w:r w:rsidR="001813B6" w:rsidRPr="00BC54D1">
        <w:rPr>
          <w:rFonts w:ascii="Times New Roman" w:hAnsi="Times New Roman"/>
          <w:iCs/>
        </w:rPr>
        <w:t>,</w:t>
      </w:r>
      <w:r w:rsidRPr="00BC54D1">
        <w:rPr>
          <w:rFonts w:ascii="Times New Roman" w:hAnsi="Times New Roman"/>
        </w:rPr>
        <w:t xml:space="preserve"> and profitability</w:t>
      </w:r>
      <w:r w:rsidR="001813B6" w:rsidRPr="00BC54D1">
        <w:rPr>
          <w:rFonts w:ascii="Times New Roman" w:hAnsi="Times New Roman"/>
        </w:rPr>
        <w:t xml:space="preserve">, </w:t>
      </w:r>
      <w:r w:rsidRPr="00BC54D1">
        <w:rPr>
          <w:rFonts w:ascii="Times New Roman" w:hAnsi="Times New Roman"/>
          <w:i/>
          <w:iCs/>
        </w:rPr>
        <w:t>PR</w:t>
      </w:r>
      <w:r w:rsidR="001813B6" w:rsidRPr="00BC54D1">
        <w:rPr>
          <w:rFonts w:ascii="Times New Roman" w:hAnsi="Times New Roman"/>
          <w:iCs/>
        </w:rPr>
        <w:t>,</w:t>
      </w:r>
      <w:r w:rsidRPr="00BC54D1">
        <w:rPr>
          <w:rFonts w:ascii="Times New Roman" w:hAnsi="Times New Roman"/>
        </w:rPr>
        <w:t xml:space="preserve"> while cash flow</w:t>
      </w:r>
      <w:r w:rsidR="001813B6"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CF</w:t>
      </w:r>
      <w:r w:rsidRPr="00BC54D1">
        <w:rPr>
          <w:rFonts w:ascii="Times New Roman" w:hAnsi="Times New Roman"/>
        </w:rPr>
        <w:t>, leverage and debt maturity</w:t>
      </w:r>
      <w:r w:rsidR="001813B6"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DM</w:t>
      </w:r>
      <w:r w:rsidR="001813B6" w:rsidRPr="00BC54D1">
        <w:rPr>
          <w:rFonts w:ascii="Times New Roman" w:hAnsi="Times New Roman"/>
          <w:iCs/>
        </w:rPr>
        <w:t>,</w:t>
      </w:r>
      <w:r w:rsidRPr="00BC54D1">
        <w:rPr>
          <w:rFonts w:ascii="Times New Roman" w:hAnsi="Times New Roman"/>
        </w:rPr>
        <w:t xml:space="preserve"> show a negative relation. Overall, the correlation matrix indicates that correlations between the covariates are low and exhibit no serious multicollinearity issues. </w:t>
      </w:r>
    </w:p>
    <w:p w14:paraId="17759449" w14:textId="386C2445" w:rsidR="004C0BC0" w:rsidRPr="00BC54D1" w:rsidRDefault="004C0BC0" w:rsidP="004C0BC0">
      <w:pPr>
        <w:spacing w:before="120" w:after="120" w:line="360" w:lineRule="auto"/>
        <w:jc w:val="center"/>
        <w:rPr>
          <w:rFonts w:ascii="Times New Roman" w:hAnsi="Times New Roman"/>
          <w:b/>
          <w:bCs/>
          <w:i/>
          <w:iCs/>
          <w:szCs w:val="22"/>
        </w:rPr>
      </w:pPr>
      <w:r w:rsidRPr="00BC54D1">
        <w:rPr>
          <w:rFonts w:ascii="Times New Roman" w:hAnsi="Times New Roman"/>
          <w:b/>
          <w:bCs/>
          <w:i/>
          <w:iCs/>
          <w:szCs w:val="22"/>
        </w:rPr>
        <w:t>[Tables II &amp; III about here]</w:t>
      </w:r>
    </w:p>
    <w:p w14:paraId="022AE282" w14:textId="7041557E" w:rsidR="00A03402" w:rsidRPr="00BC54D1" w:rsidRDefault="00A03402" w:rsidP="00A32C88">
      <w:pPr>
        <w:spacing w:before="120" w:after="120" w:line="360" w:lineRule="auto"/>
      </w:pPr>
    </w:p>
    <w:p w14:paraId="781AA684" w14:textId="36F08FCE" w:rsidR="008E4200" w:rsidRPr="00BC54D1" w:rsidRDefault="008E4200" w:rsidP="008E4200">
      <w:pPr>
        <w:pStyle w:val="Heading2"/>
        <w:numPr>
          <w:ilvl w:val="0"/>
          <w:numId w:val="0"/>
        </w:numPr>
        <w:spacing w:before="240" w:after="0" w:line="360" w:lineRule="auto"/>
        <w:jc w:val="both"/>
        <w:rPr>
          <w:rFonts w:ascii="Times New Roman" w:hAnsi="Times New Roman" w:cs="Times New Roman"/>
          <w:i/>
          <w:color w:val="auto"/>
          <w:sz w:val="24"/>
          <w:szCs w:val="28"/>
        </w:rPr>
      </w:pPr>
      <w:r w:rsidRPr="00BC54D1">
        <w:rPr>
          <w:rFonts w:ascii="Times New Roman" w:hAnsi="Times New Roman" w:cs="Times New Roman"/>
          <w:i/>
          <w:color w:val="auto"/>
          <w:sz w:val="24"/>
          <w:szCs w:val="28"/>
        </w:rPr>
        <w:t xml:space="preserve">4.2. Firm </w:t>
      </w:r>
      <w:r w:rsidR="00390B24" w:rsidRPr="00BC54D1">
        <w:rPr>
          <w:rFonts w:ascii="Times New Roman" w:hAnsi="Times New Roman" w:cs="Times New Roman"/>
          <w:i/>
          <w:color w:val="auto"/>
          <w:sz w:val="24"/>
          <w:szCs w:val="28"/>
        </w:rPr>
        <w:t xml:space="preserve">listing status </w:t>
      </w:r>
      <w:r w:rsidRPr="00BC54D1">
        <w:rPr>
          <w:rFonts w:ascii="Times New Roman" w:hAnsi="Times New Roman" w:cs="Times New Roman"/>
          <w:i/>
          <w:color w:val="auto"/>
          <w:sz w:val="24"/>
          <w:szCs w:val="28"/>
        </w:rPr>
        <w:t>(</w:t>
      </w:r>
      <w:r w:rsidR="00390B24" w:rsidRPr="00BC54D1">
        <w:rPr>
          <w:rFonts w:ascii="Times New Roman" w:hAnsi="Times New Roman" w:cs="Times New Roman"/>
          <w:i/>
          <w:color w:val="auto"/>
          <w:sz w:val="24"/>
          <w:szCs w:val="28"/>
        </w:rPr>
        <w:t>p</w:t>
      </w:r>
      <w:r w:rsidRPr="00BC54D1">
        <w:rPr>
          <w:rFonts w:ascii="Times New Roman" w:hAnsi="Times New Roman" w:cs="Times New Roman"/>
          <w:i/>
          <w:color w:val="auto"/>
          <w:sz w:val="24"/>
          <w:szCs w:val="28"/>
        </w:rPr>
        <w:t xml:space="preserve">rivate vs </w:t>
      </w:r>
      <w:r w:rsidR="00390B24" w:rsidRPr="00BC54D1">
        <w:rPr>
          <w:rFonts w:ascii="Times New Roman" w:hAnsi="Times New Roman" w:cs="Times New Roman"/>
          <w:i/>
          <w:color w:val="auto"/>
          <w:sz w:val="24"/>
          <w:szCs w:val="28"/>
        </w:rPr>
        <w:t>p</w:t>
      </w:r>
      <w:r w:rsidRPr="00BC54D1">
        <w:rPr>
          <w:rFonts w:ascii="Times New Roman" w:hAnsi="Times New Roman" w:cs="Times New Roman"/>
          <w:i/>
          <w:color w:val="auto"/>
          <w:sz w:val="24"/>
          <w:szCs w:val="28"/>
        </w:rPr>
        <w:t xml:space="preserve">ublic) and R&amp;D </w:t>
      </w:r>
      <w:r w:rsidR="00390B24" w:rsidRPr="00BC54D1">
        <w:rPr>
          <w:rFonts w:ascii="Times New Roman" w:hAnsi="Times New Roman" w:cs="Times New Roman"/>
          <w:i/>
          <w:color w:val="auto"/>
          <w:sz w:val="24"/>
          <w:szCs w:val="28"/>
        </w:rPr>
        <w:t>i</w:t>
      </w:r>
      <w:r w:rsidRPr="00BC54D1">
        <w:rPr>
          <w:rFonts w:ascii="Times New Roman" w:hAnsi="Times New Roman" w:cs="Times New Roman"/>
          <w:i/>
          <w:color w:val="auto"/>
          <w:sz w:val="24"/>
          <w:szCs w:val="28"/>
        </w:rPr>
        <w:t xml:space="preserve">ntensity investment </w:t>
      </w:r>
    </w:p>
    <w:p w14:paraId="17EAB8AB" w14:textId="11C16C03" w:rsidR="00671681" w:rsidRPr="00BC54D1" w:rsidRDefault="06607826" w:rsidP="06607826">
      <w:pPr>
        <w:spacing w:before="120" w:after="120" w:line="360" w:lineRule="auto"/>
        <w:ind w:left="-15"/>
        <w:jc w:val="both"/>
        <w:rPr>
          <w:rFonts w:ascii="Times New Roman" w:hAnsi="Times New Roman"/>
        </w:rPr>
      </w:pPr>
      <w:r w:rsidRPr="00BC54D1">
        <w:rPr>
          <w:rFonts w:ascii="Times New Roman" w:hAnsi="Times New Roman"/>
        </w:rPr>
        <w:t>In Table IV, we present the regression results of our baseline models to suggest the level of R&amp;D intensity between private and public firms. We adopt two main estimation methods in testing our model: probability model (</w:t>
      </w:r>
      <w:proofErr w:type="spellStart"/>
      <w:r w:rsidRPr="00BC54D1">
        <w:rPr>
          <w:rFonts w:ascii="Times New Roman" w:hAnsi="Times New Roman"/>
        </w:rPr>
        <w:t>probit</w:t>
      </w:r>
      <w:proofErr w:type="spellEnd"/>
      <w:r w:rsidRPr="00BC54D1">
        <w:rPr>
          <w:rFonts w:ascii="Times New Roman" w:hAnsi="Times New Roman"/>
        </w:rPr>
        <w:t>) and logit model. Our dependent variable (</w:t>
      </w:r>
      <w:r w:rsidRPr="00BC54D1">
        <w:rPr>
          <w:rFonts w:ascii="Times New Roman" w:hAnsi="Times New Roman"/>
          <w:i/>
          <w:iCs/>
        </w:rPr>
        <w:t>R&amp;D_ Intensity</w:t>
      </w:r>
      <w:r w:rsidRPr="00BC54D1">
        <w:rPr>
          <w:rFonts w:ascii="Times New Roman" w:hAnsi="Times New Roman"/>
        </w:rPr>
        <w:t>) takes the value of one (1) if the ratio of the firm’s R&amp;D spending is positive, and zero (0) otherwise (Gonzalez and Pazo, 2008; Acharya and Subramanian, 2009). The independent variable (</w:t>
      </w:r>
      <w:r w:rsidRPr="00BC54D1">
        <w:rPr>
          <w:rFonts w:ascii="Times New Roman" w:hAnsi="Times New Roman"/>
          <w:i/>
          <w:iCs/>
        </w:rPr>
        <w:t>PRIV = 1 or 0</w:t>
      </w:r>
      <w:r w:rsidRPr="00BC54D1">
        <w:rPr>
          <w:rFonts w:ascii="Times New Roman" w:hAnsi="Times New Roman"/>
        </w:rPr>
        <w:t xml:space="preserve">) is also represented by a dummy of one (1) if the firm is a private entity and zero (0) in the other case (Acharya and Xu, 2017). Our main results are based on </w:t>
      </w:r>
      <w:proofErr w:type="spellStart"/>
      <w:r w:rsidRPr="00BC54D1">
        <w:rPr>
          <w:rFonts w:ascii="Times New Roman" w:hAnsi="Times New Roman"/>
        </w:rPr>
        <w:t>probit</w:t>
      </w:r>
      <w:proofErr w:type="spellEnd"/>
      <w:r w:rsidRPr="00BC54D1">
        <w:rPr>
          <w:rFonts w:ascii="Times New Roman" w:hAnsi="Times New Roman"/>
        </w:rPr>
        <w:t xml:space="preserve"> models (1 &amp; 2), while models 3 &amp; 4 and 5 &amp; 6 show an alternative specification logit model and an alternative dependent variable measure respectively, which are used for robustness purposes. Specifically, models 1 &amp; 2 show a negative and significant effect of </w:t>
      </w:r>
      <w:r w:rsidRPr="00BC54D1">
        <w:rPr>
          <w:rFonts w:ascii="Times New Roman" w:hAnsi="Times New Roman"/>
          <w:i/>
          <w:iCs/>
        </w:rPr>
        <w:t>PRIV</w:t>
      </w:r>
      <w:r w:rsidRPr="00BC54D1">
        <w:rPr>
          <w:rFonts w:ascii="Times New Roman" w:hAnsi="Times New Roman"/>
        </w:rPr>
        <w:t xml:space="preserve"> on </w:t>
      </w:r>
      <w:proofErr w:type="spellStart"/>
      <w:r w:rsidRPr="00BC54D1">
        <w:rPr>
          <w:rFonts w:ascii="Times New Roman" w:hAnsi="Times New Roman"/>
          <w:i/>
          <w:iCs/>
        </w:rPr>
        <w:t>R&amp;D_Intensity</w:t>
      </w:r>
      <w:proofErr w:type="spellEnd"/>
      <w:r w:rsidRPr="00BC54D1">
        <w:rPr>
          <w:rFonts w:ascii="Times New Roman" w:hAnsi="Times New Roman"/>
        </w:rPr>
        <w:t xml:space="preserve"> even after including conventional control variables in the fully specified </w:t>
      </w:r>
      <w:proofErr w:type="spellStart"/>
      <w:r w:rsidRPr="00BC54D1">
        <w:rPr>
          <w:rFonts w:ascii="Times New Roman" w:hAnsi="Times New Roman"/>
        </w:rPr>
        <w:t>probit</w:t>
      </w:r>
      <w:proofErr w:type="spellEnd"/>
      <w:r w:rsidRPr="00BC54D1">
        <w:rPr>
          <w:rFonts w:ascii="Times New Roman" w:hAnsi="Times New Roman"/>
        </w:rPr>
        <w:t xml:space="preserve"> model (2). Thus, employing a probability model to our matched sample, the variable of interest, </w:t>
      </w:r>
      <w:r w:rsidRPr="00BC54D1">
        <w:rPr>
          <w:rFonts w:ascii="Times New Roman" w:hAnsi="Times New Roman"/>
          <w:i/>
          <w:iCs/>
        </w:rPr>
        <w:t>PRIV</w:t>
      </w:r>
      <w:r w:rsidRPr="00BC54D1">
        <w:rPr>
          <w:rFonts w:ascii="Times New Roman" w:hAnsi="Times New Roman"/>
        </w:rPr>
        <w:t xml:space="preserve">, shows that, compared to public firms, </w:t>
      </w:r>
      <w:bookmarkStart w:id="5" w:name="_Hlk87706415"/>
      <w:r w:rsidRPr="00BC54D1">
        <w:rPr>
          <w:rFonts w:ascii="Times New Roman" w:hAnsi="Times New Roman"/>
        </w:rPr>
        <w:t>private firms (</w:t>
      </w:r>
      <w:r w:rsidRPr="00BC54D1">
        <w:rPr>
          <w:rFonts w:ascii="Times New Roman" w:hAnsi="Times New Roman"/>
          <w:i/>
          <w:iCs/>
        </w:rPr>
        <w:t>PRIV</w:t>
      </w:r>
      <w:r w:rsidRPr="00BC54D1">
        <w:rPr>
          <w:rFonts w:ascii="Times New Roman" w:hAnsi="Times New Roman"/>
        </w:rPr>
        <w:t>) are less likely to aggressively commit R&amp;D intensity</w:t>
      </w:r>
      <w:bookmarkEnd w:id="5"/>
      <w:r w:rsidRPr="00BC54D1">
        <w:rPr>
          <w:rFonts w:ascii="Times New Roman" w:hAnsi="Times New Roman"/>
        </w:rPr>
        <w:t>. The finding partly supports the assertion that the limited financing options available to private firms inhibit their innovative activities (</w:t>
      </w:r>
      <w:proofErr w:type="spellStart"/>
      <w:r w:rsidRPr="00BC54D1">
        <w:rPr>
          <w:rFonts w:ascii="Times New Roman" w:hAnsi="Times New Roman"/>
        </w:rPr>
        <w:t>Rajan</w:t>
      </w:r>
      <w:proofErr w:type="spellEnd"/>
      <w:r w:rsidRPr="00BC54D1">
        <w:rPr>
          <w:rFonts w:ascii="Times New Roman" w:hAnsi="Times New Roman"/>
        </w:rPr>
        <w:t xml:space="preserve">, 2012; </w:t>
      </w:r>
      <w:proofErr w:type="spellStart"/>
      <w:r w:rsidRPr="00BC54D1">
        <w:rPr>
          <w:rFonts w:ascii="Times New Roman" w:hAnsi="Times New Roman"/>
        </w:rPr>
        <w:t>Archarya</w:t>
      </w:r>
      <w:proofErr w:type="spellEnd"/>
      <w:r w:rsidRPr="00BC54D1">
        <w:rPr>
          <w:rFonts w:ascii="Times New Roman" w:hAnsi="Times New Roman"/>
        </w:rPr>
        <w:t xml:space="preserve"> and Xu, 2017). Another possible explanation is that, because innovation (R&amp;D) activities require substantial capital and outcomes are highly uncertain (Holmstrom, 1989), private firms, for fear of project failure, may be discouraged from committing to such projects. Thus, unlike public firms, privately owned firms do not invest for welfare reasons and are likely to disinvest when opportunities for making profits are unavailable (Clausen, 2009; Ishibashi and Matsumura, 2006). Our results remain qualitatively similar across the logit models (3 &amp; 4) where </w:t>
      </w:r>
      <w:r w:rsidRPr="00BC54D1">
        <w:rPr>
          <w:rFonts w:ascii="Times New Roman" w:hAnsi="Times New Roman"/>
          <w:i/>
          <w:iCs/>
        </w:rPr>
        <w:t>PRIV</w:t>
      </w:r>
      <w:r w:rsidRPr="00BC54D1">
        <w:rPr>
          <w:rFonts w:ascii="Times New Roman" w:hAnsi="Times New Roman"/>
        </w:rPr>
        <w:t xml:space="preserve"> still remains negative and statistically significant to </w:t>
      </w:r>
      <w:proofErr w:type="spellStart"/>
      <w:r w:rsidRPr="00BC54D1">
        <w:rPr>
          <w:rFonts w:ascii="Times New Roman" w:hAnsi="Times New Roman"/>
          <w:i/>
          <w:iCs/>
        </w:rPr>
        <w:t>R&amp;D_Intensity</w:t>
      </w:r>
      <w:proofErr w:type="spellEnd"/>
      <w:r w:rsidRPr="00BC54D1">
        <w:rPr>
          <w:rFonts w:ascii="Times New Roman" w:hAnsi="Times New Roman"/>
        </w:rPr>
        <w:t xml:space="preserve">, providing collaborative evidence to the earlier results reported in models 1 &amp; 2. Again, in models 5 &amp; 6, we </w:t>
      </w:r>
      <w:r w:rsidRPr="00BC54D1">
        <w:rPr>
          <w:rFonts w:ascii="Times New Roman" w:hAnsi="Times New Roman"/>
        </w:rPr>
        <w:lastRenderedPageBreak/>
        <w:t xml:space="preserve">employ ordinary least square (OLS) to an alternative dependent variable (R&amp;D ratio) and find that </w:t>
      </w:r>
      <w:r w:rsidRPr="00BC54D1">
        <w:rPr>
          <w:rFonts w:ascii="Times New Roman" w:hAnsi="Times New Roman"/>
          <w:i/>
          <w:iCs/>
        </w:rPr>
        <w:t>PRIV</w:t>
      </w:r>
      <w:r w:rsidRPr="00BC54D1">
        <w:rPr>
          <w:rFonts w:ascii="Times New Roman" w:hAnsi="Times New Roman"/>
        </w:rPr>
        <w:t xml:space="preserve"> is still negative and significant. Moreover, having recorded similar results employing different econometric estimators, endogeneity </w:t>
      </w:r>
      <w:r w:rsidR="00FE71C5" w:rsidRPr="00BC54D1">
        <w:rPr>
          <w:rFonts w:ascii="Times New Roman" w:hAnsi="Times New Roman"/>
        </w:rPr>
        <w:t>problem is likely</w:t>
      </w:r>
      <w:r w:rsidRPr="00BC54D1">
        <w:rPr>
          <w:rFonts w:ascii="Times New Roman" w:hAnsi="Times New Roman"/>
        </w:rPr>
        <w:t xml:space="preserve"> to affect the validity of our results. For instance, it has been argued that a firm decision to go private or public may be influenced by the </w:t>
      </w:r>
      <w:r w:rsidR="00FE71C5" w:rsidRPr="00BC54D1">
        <w:rPr>
          <w:rFonts w:ascii="Times New Roman" w:hAnsi="Times New Roman"/>
        </w:rPr>
        <w:t>firm’s financing</w:t>
      </w:r>
      <w:r w:rsidRPr="00BC54D1">
        <w:rPr>
          <w:rFonts w:ascii="Times New Roman" w:hAnsi="Times New Roman"/>
        </w:rPr>
        <w:t xml:space="preserve"> and investment </w:t>
      </w:r>
      <w:r w:rsidR="00FE71C5" w:rsidRPr="00BC54D1">
        <w:rPr>
          <w:rFonts w:ascii="Times New Roman" w:hAnsi="Times New Roman"/>
        </w:rPr>
        <w:t>policies (</w:t>
      </w:r>
      <w:r w:rsidRPr="00BC54D1">
        <w:rPr>
          <w:rFonts w:ascii="Times New Roman" w:hAnsi="Times New Roman"/>
        </w:rPr>
        <w:t xml:space="preserve">Acharya and Xu, 2017; Asker, Farre-Mensa, and </w:t>
      </w:r>
      <w:proofErr w:type="spellStart"/>
      <w:r w:rsidRPr="00BC54D1">
        <w:rPr>
          <w:rFonts w:ascii="Times New Roman" w:hAnsi="Times New Roman"/>
        </w:rPr>
        <w:t>Ljungqvist</w:t>
      </w:r>
      <w:proofErr w:type="spellEnd"/>
      <w:r w:rsidRPr="00BC54D1">
        <w:rPr>
          <w:rFonts w:ascii="Times New Roman" w:hAnsi="Times New Roman"/>
        </w:rPr>
        <w:t xml:space="preserve">, 2012; </w:t>
      </w:r>
      <w:proofErr w:type="spellStart"/>
      <w:r w:rsidRPr="00BC54D1">
        <w:rPr>
          <w:rFonts w:ascii="Times New Roman" w:hAnsi="Times New Roman"/>
        </w:rPr>
        <w:t>Brav</w:t>
      </w:r>
      <w:proofErr w:type="spellEnd"/>
      <w:r w:rsidRPr="00BC54D1">
        <w:rPr>
          <w:rFonts w:ascii="Times New Roman" w:hAnsi="Times New Roman"/>
        </w:rPr>
        <w:t xml:space="preserve">, 2009). Supporting this view, Asker </w:t>
      </w:r>
      <w:r w:rsidRPr="00BC54D1">
        <w:rPr>
          <w:rFonts w:ascii="Times New Roman" w:hAnsi="Times New Roman"/>
          <w:i/>
          <w:iCs/>
        </w:rPr>
        <w:t>et al</w:t>
      </w:r>
      <w:r w:rsidRPr="00BC54D1">
        <w:rPr>
          <w:rFonts w:ascii="Times New Roman" w:hAnsi="Times New Roman"/>
        </w:rPr>
        <w:t xml:space="preserve">. (2012) </w:t>
      </w:r>
      <w:r w:rsidR="00A9054C" w:rsidRPr="00BC54D1">
        <w:rPr>
          <w:rFonts w:ascii="Times New Roman" w:hAnsi="Times New Roman"/>
        </w:rPr>
        <w:t>show that</w:t>
      </w:r>
      <w:r w:rsidRPr="00BC54D1">
        <w:rPr>
          <w:rFonts w:ascii="Times New Roman" w:hAnsi="Times New Roman"/>
        </w:rPr>
        <w:t xml:space="preserve"> private firms tend to respond more quickly to growth opportunities than their public counterparts while Badertscher </w:t>
      </w:r>
      <w:r w:rsidRPr="00BC54D1">
        <w:rPr>
          <w:rFonts w:ascii="Times New Roman" w:hAnsi="Times New Roman"/>
          <w:i/>
          <w:iCs/>
        </w:rPr>
        <w:t>et al</w:t>
      </w:r>
      <w:r w:rsidRPr="00BC54D1">
        <w:rPr>
          <w:rFonts w:ascii="Times New Roman" w:hAnsi="Times New Roman"/>
        </w:rPr>
        <w:t xml:space="preserve">. (2013) contend that the responsiveness of private firms to investment growth opportunities is </w:t>
      </w:r>
      <w:r w:rsidR="00FE71C5" w:rsidRPr="00BC54D1">
        <w:rPr>
          <w:rFonts w:ascii="Times New Roman" w:hAnsi="Times New Roman"/>
        </w:rPr>
        <w:t>linked</w:t>
      </w:r>
      <w:r w:rsidR="00A9054C" w:rsidRPr="00BC54D1">
        <w:rPr>
          <w:rFonts w:ascii="Times New Roman" w:hAnsi="Times New Roman"/>
        </w:rPr>
        <w:t xml:space="preserve"> to</w:t>
      </w:r>
      <w:r w:rsidRPr="00BC54D1">
        <w:rPr>
          <w:rFonts w:ascii="Times New Roman" w:hAnsi="Times New Roman"/>
        </w:rPr>
        <w:t xml:space="preserve"> these</w:t>
      </w:r>
      <w:r w:rsidR="0090456E" w:rsidRPr="00BC54D1">
        <w:rPr>
          <w:rFonts w:ascii="Times New Roman" w:hAnsi="Times New Roman"/>
        </w:rPr>
        <w:t xml:space="preserve"> </w:t>
      </w:r>
      <w:r w:rsidRPr="00BC54D1">
        <w:rPr>
          <w:rFonts w:ascii="Times New Roman" w:hAnsi="Times New Roman"/>
        </w:rPr>
        <w:t>firms</w:t>
      </w:r>
      <w:r w:rsidR="0090456E" w:rsidRPr="00BC54D1">
        <w:rPr>
          <w:rFonts w:ascii="Times New Roman" w:hAnsi="Times New Roman"/>
        </w:rPr>
        <w:t>’</w:t>
      </w:r>
      <w:r w:rsidRPr="00BC54D1">
        <w:rPr>
          <w:rFonts w:ascii="Times New Roman" w:hAnsi="Times New Roman"/>
        </w:rPr>
        <w:t xml:space="preserve"> proactive reaction to the </w:t>
      </w:r>
      <w:r w:rsidR="00FE71C5" w:rsidRPr="00BC54D1">
        <w:rPr>
          <w:rFonts w:ascii="Times New Roman" w:hAnsi="Times New Roman"/>
        </w:rPr>
        <w:t xml:space="preserve">market </w:t>
      </w:r>
      <w:r w:rsidRPr="00BC54D1">
        <w:rPr>
          <w:rFonts w:ascii="Times New Roman" w:hAnsi="Times New Roman"/>
        </w:rPr>
        <w:t xml:space="preserve">information. Thus, given the fact that, </w:t>
      </w:r>
      <w:r w:rsidR="00FA07BE" w:rsidRPr="00BC54D1">
        <w:rPr>
          <w:rFonts w:ascii="Times New Roman" w:hAnsi="Times New Roman"/>
        </w:rPr>
        <w:t xml:space="preserve">a </w:t>
      </w:r>
      <w:r w:rsidRPr="00BC54D1">
        <w:rPr>
          <w:rFonts w:ascii="Times New Roman" w:hAnsi="Times New Roman"/>
        </w:rPr>
        <w:t xml:space="preserve">firm listing status (private or public) is not exogenous factor, it is possible that our reported findings might have been caused by some unobserved external factors. To further ensure that our result is not plagued by endogeneity, we adopt simultaneous equations model </w:t>
      </w:r>
      <w:r w:rsidR="0090456E" w:rsidRPr="00BC54D1">
        <w:rPr>
          <w:rFonts w:ascii="Times New Roman" w:hAnsi="Times New Roman"/>
        </w:rPr>
        <w:t>approach, and it is stated as follows:</w:t>
      </w:r>
    </w:p>
    <w:p w14:paraId="621B68C3" w14:textId="77777777" w:rsidR="0090456E" w:rsidRPr="00BC54D1" w:rsidRDefault="0090456E" w:rsidP="00CA0F2C">
      <w:pPr>
        <w:pStyle w:val="NormalWeb"/>
        <w:spacing w:before="120" w:beforeAutospacing="0" w:after="120" w:afterAutospacing="0" w:line="360" w:lineRule="auto"/>
        <w:jc w:val="both"/>
      </w:pPr>
    </w:p>
    <w:p w14:paraId="3B9FDFB7" w14:textId="4A1380F7" w:rsidR="00671681" w:rsidRPr="00BC54D1" w:rsidRDefault="00857480" w:rsidP="00671681">
      <w:pPr>
        <w:spacing w:line="480" w:lineRule="auto"/>
        <w:jc w:val="center"/>
      </w:pPr>
      <m:oMath>
        <m:sSub>
          <m:sSubPr>
            <m:ctrlPr>
              <w:rPr>
                <w:rFonts w:ascii="Cambria Math" w:hAnsi="Cambria Math"/>
                <w:i/>
              </w:rPr>
            </m:ctrlPr>
          </m:sSubPr>
          <m:e>
            <m:r>
              <w:rPr>
                <w:rFonts w:ascii="Cambria Math" w:hAnsi="Cambria Math"/>
              </w:rPr>
              <m:t>PRIV</m:t>
            </m:r>
          </m:e>
          <m:sub>
            <m:r>
              <w:rPr>
                <w:rFonts w:ascii="Cambria Math" w:hAnsi="Cambria Math"/>
              </w:rPr>
              <m:t>i,t</m:t>
            </m:r>
          </m:sub>
        </m:sSub>
        <m:r>
          <w:rPr>
            <w:rFonts w:ascii="Cambria Math" w:hAnsi="Cambria Math"/>
          </w:rPr>
          <m:t>=α+β</m:t>
        </m:r>
        <m:sSub>
          <m:sSubPr>
            <m:ctrlPr>
              <w:rPr>
                <w:rFonts w:ascii="Cambria Math" w:hAnsi="Cambria Math"/>
                <w:i/>
              </w:rPr>
            </m:ctrlPr>
          </m:sSubPr>
          <m:e>
            <m:r>
              <w:rPr>
                <w:rFonts w:ascii="Cambria Math" w:hAnsi="Cambria Math"/>
              </w:rPr>
              <m:t>R&amp;D</m:t>
            </m:r>
          </m:e>
          <m:sub>
            <m:r>
              <w:rPr>
                <w:rFonts w:ascii="Cambria Math" w:hAnsi="Cambria Math"/>
              </w:rPr>
              <m:t>i,t</m:t>
            </m:r>
          </m:sub>
        </m:sSub>
        <m:r>
          <w:rPr>
            <w:rFonts w:ascii="Cambria Math" w:hAnsi="Cambria Math"/>
          </w:rPr>
          <m:t>+β</m:t>
        </m:r>
        <m:sSub>
          <m:sSubPr>
            <m:ctrlPr>
              <w:rPr>
                <w:rFonts w:ascii="Cambria Math" w:hAnsi="Cambria Math"/>
                <w:i/>
              </w:rPr>
            </m:ctrlPr>
          </m:sSubPr>
          <m:e>
            <m:r>
              <w:rPr>
                <w:rFonts w:ascii="Cambria Math" w:hAnsi="Cambria Math"/>
              </w:rPr>
              <m:t>IV</m:t>
            </m:r>
          </m:e>
          <m:sub>
            <m:r>
              <w:rPr>
                <w:rFonts w:ascii="Cambria Math" w:hAnsi="Cambria Math"/>
              </w:rPr>
              <m:t>i,t</m:t>
            </m:r>
          </m:sub>
        </m:sSub>
        <m:r>
          <w:rPr>
            <w:rFonts w:ascii="Cambria Math" w:hAnsi="Cambria Math"/>
          </w:rPr>
          <m:t>+ β</m:t>
        </m:r>
        <m:sSub>
          <m:sSubPr>
            <m:ctrlPr>
              <w:rPr>
                <w:rFonts w:ascii="Cambria Math" w:hAnsi="Cambria Math"/>
                <w:i/>
              </w:rPr>
            </m:ctrlPr>
          </m:sSubPr>
          <m:e>
            <m:r>
              <w:rPr>
                <w:rFonts w:ascii="Cambria Math" w:hAnsi="Cambria Math"/>
              </w:rPr>
              <m:t>Controls</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w:r w:rsidR="00671681" w:rsidRPr="00BC54D1">
        <w:t>………</w:t>
      </w:r>
      <w:proofErr w:type="gramStart"/>
      <w:r w:rsidR="00671681" w:rsidRPr="00BC54D1">
        <w:t>…</w:t>
      </w:r>
      <w:r w:rsidR="004279E5" w:rsidRPr="00BC54D1">
        <w:t>..</w:t>
      </w:r>
      <w:proofErr w:type="gramEnd"/>
      <w:r w:rsidR="00671681" w:rsidRPr="00BC54D1">
        <w:t>………………........……..….….…….(</w:t>
      </w:r>
      <w:r w:rsidR="002B7AFD" w:rsidRPr="00BC54D1">
        <w:t>2</w:t>
      </w:r>
      <w:r w:rsidR="00AE27AE" w:rsidRPr="00BC54D1">
        <w:t>i</w:t>
      </w:r>
      <w:r w:rsidR="00671681" w:rsidRPr="00BC54D1">
        <w:t>)</w:t>
      </w:r>
    </w:p>
    <w:p w14:paraId="4272C066" w14:textId="69476476" w:rsidR="00D247EB" w:rsidRPr="00BC54D1" w:rsidRDefault="00857480" w:rsidP="00CA0F2C">
      <w:pPr>
        <w:spacing w:line="480" w:lineRule="auto"/>
        <w:jc w:val="center"/>
      </w:pPr>
      <m:oMath>
        <m:sSub>
          <m:sSubPr>
            <m:ctrlPr>
              <w:rPr>
                <w:rFonts w:ascii="Cambria Math" w:hAnsi="Cambria Math"/>
                <w:i/>
              </w:rPr>
            </m:ctrlPr>
          </m:sSubPr>
          <m:e>
            <m:r>
              <w:rPr>
                <w:rFonts w:ascii="Cambria Math" w:hAnsi="Cambria Math"/>
              </w:rPr>
              <m:t>R&amp;D</m:t>
            </m:r>
          </m:e>
          <m:sub>
            <m:r>
              <w:rPr>
                <w:rFonts w:ascii="Cambria Math" w:hAnsi="Cambria Math"/>
              </w:rPr>
              <m:t>i,t</m:t>
            </m:r>
          </m:sub>
        </m:sSub>
        <m:r>
          <w:rPr>
            <w:rFonts w:ascii="Cambria Math" w:hAnsi="Cambria Math"/>
          </w:rPr>
          <m:t>=α+ α</m:t>
        </m:r>
        <m:sSub>
          <m:sSubPr>
            <m:ctrlPr>
              <w:rPr>
                <w:rFonts w:ascii="Cambria Math" w:hAnsi="Cambria Math"/>
                <w:i/>
              </w:rPr>
            </m:ctrlPr>
          </m:sSubPr>
          <m:e>
            <m:r>
              <w:rPr>
                <w:rFonts w:ascii="Cambria Math" w:hAnsi="Cambria Math"/>
              </w:rPr>
              <m:t>PRIV</m:t>
            </m:r>
          </m:e>
          <m:sub>
            <m:r>
              <w:rPr>
                <w:rFonts w:ascii="Cambria Math" w:hAnsi="Cambria Math"/>
              </w:rPr>
              <m:t>t</m:t>
            </m:r>
          </m:sub>
        </m:sSub>
        <m:r>
          <w:rPr>
            <w:rFonts w:ascii="Cambria Math" w:hAnsi="Cambria Math"/>
          </w:rPr>
          <m:t>+β</m:t>
        </m:r>
        <m:sSub>
          <m:sSubPr>
            <m:ctrlPr>
              <w:rPr>
                <w:rFonts w:ascii="Cambria Math" w:hAnsi="Cambria Math"/>
                <w:i/>
              </w:rPr>
            </m:ctrlPr>
          </m:sSubPr>
          <m:e>
            <m:r>
              <w:rPr>
                <w:rFonts w:ascii="Cambria Math" w:hAnsi="Cambria Math"/>
              </w:rPr>
              <m:t>Controls</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w:r w:rsidR="00671681" w:rsidRPr="00BC54D1">
        <w:t>………………</w:t>
      </w:r>
      <w:proofErr w:type="gramStart"/>
      <w:r w:rsidR="00671681" w:rsidRPr="00BC54D1">
        <w:t>…</w:t>
      </w:r>
      <w:r w:rsidR="004279E5" w:rsidRPr="00BC54D1">
        <w:t>..</w:t>
      </w:r>
      <w:proofErr w:type="gramEnd"/>
      <w:r w:rsidR="00AE27AE" w:rsidRPr="00BC54D1">
        <w:t>…………</w:t>
      </w:r>
      <w:r w:rsidR="00671681" w:rsidRPr="00BC54D1">
        <w:t>…………………….…………….….(</w:t>
      </w:r>
      <w:r w:rsidR="002B7AFD" w:rsidRPr="00BC54D1">
        <w:t>2</w:t>
      </w:r>
      <w:r w:rsidR="00671681" w:rsidRPr="00BC54D1">
        <w:t>ii)</w:t>
      </w:r>
    </w:p>
    <w:p w14:paraId="2756AC02" w14:textId="0A06CD9A" w:rsidR="008E4200" w:rsidRPr="00BC54D1" w:rsidRDefault="7759D9CA" w:rsidP="7759D9CA">
      <w:pPr>
        <w:widowControl w:val="0"/>
        <w:autoSpaceDE w:val="0"/>
        <w:autoSpaceDN w:val="0"/>
        <w:adjustRightInd w:val="0"/>
        <w:spacing w:before="120" w:after="120" w:line="360" w:lineRule="auto"/>
        <w:jc w:val="both"/>
        <w:rPr>
          <w:rFonts w:ascii="Times New Roman" w:hAnsi="Times New Roman"/>
          <w:b/>
          <w:bCs/>
          <w:i/>
          <w:iCs/>
        </w:rPr>
      </w:pPr>
      <w:r w:rsidRPr="00BC54D1">
        <w:rPr>
          <w:rFonts w:ascii="Times New Roman" w:hAnsi="Times New Roman"/>
        </w:rPr>
        <w:t xml:space="preserve">In the first stage equation – </w:t>
      </w:r>
      <w:r w:rsidRPr="00BC54D1">
        <w:rPr>
          <w:rFonts w:ascii="Times New Roman" w:hAnsi="Times New Roman"/>
          <w:i/>
          <w:iCs/>
        </w:rPr>
        <w:t>PRIV</w:t>
      </w:r>
      <w:r w:rsidRPr="00BC54D1">
        <w:rPr>
          <w:rFonts w:ascii="Times New Roman" w:hAnsi="Times New Roman"/>
        </w:rPr>
        <w:t xml:space="preserve"> - 2i), we include R&amp;D investment and instrumental variable – </w:t>
      </w:r>
      <w:r w:rsidRPr="00BC54D1">
        <w:rPr>
          <w:rFonts w:ascii="Times New Roman" w:hAnsi="Times New Roman"/>
          <w:i/>
          <w:iCs/>
        </w:rPr>
        <w:t>IV:</w:t>
      </w:r>
      <w:r w:rsidRPr="00BC54D1">
        <w:rPr>
          <w:rFonts w:ascii="Times New Roman" w:hAnsi="Times New Roman"/>
        </w:rPr>
        <w:t xml:space="preserve"> </w:t>
      </w:r>
      <w:r w:rsidRPr="00BC54D1">
        <w:rPr>
          <w:rFonts w:ascii="Times New Roman" w:hAnsi="Times New Roman"/>
          <w:i/>
          <w:iCs/>
        </w:rPr>
        <w:t>ID-</w:t>
      </w:r>
      <w:proofErr w:type="spellStart"/>
      <w:r w:rsidRPr="00BC54D1">
        <w:rPr>
          <w:rFonts w:ascii="Times New Roman" w:hAnsi="Times New Roman"/>
          <w:i/>
          <w:iCs/>
        </w:rPr>
        <w:t>SGR</w:t>
      </w:r>
      <w:r w:rsidRPr="00BC54D1">
        <w:rPr>
          <w:rFonts w:ascii="Times New Roman" w:hAnsi="Times New Roman"/>
          <w:vertAlign w:val="subscript"/>
        </w:rPr>
        <w:t>it</w:t>
      </w:r>
      <w:proofErr w:type="spellEnd"/>
      <w:r w:rsidRPr="00BC54D1">
        <w:rPr>
          <w:rFonts w:ascii="Times New Roman" w:hAnsi="Times New Roman"/>
          <w:i/>
          <w:iCs/>
        </w:rPr>
        <w:t xml:space="preserve"> - industry-median growth</w:t>
      </w:r>
      <w:r w:rsidRPr="00BC54D1">
        <w:rPr>
          <w:rFonts w:ascii="Times New Roman" w:hAnsi="Times New Roman"/>
        </w:rPr>
        <w:t>) together with other controls defined in Table 1. Both theoretically and empirically, instrumental variable (</w:t>
      </w:r>
      <w:r w:rsidRPr="00BC54D1">
        <w:rPr>
          <w:rFonts w:ascii="Times New Roman" w:hAnsi="Times New Roman"/>
          <w:i/>
          <w:iCs/>
        </w:rPr>
        <w:t>ID-</w:t>
      </w:r>
      <w:proofErr w:type="spellStart"/>
      <w:r w:rsidRPr="00BC54D1">
        <w:rPr>
          <w:rFonts w:ascii="Times New Roman" w:hAnsi="Times New Roman"/>
          <w:i/>
          <w:iCs/>
        </w:rPr>
        <w:t>SGR</w:t>
      </w:r>
      <w:r w:rsidRPr="00BC54D1">
        <w:rPr>
          <w:rFonts w:ascii="Times New Roman" w:hAnsi="Times New Roman"/>
          <w:vertAlign w:val="subscript"/>
        </w:rPr>
        <w:t>it</w:t>
      </w:r>
      <w:proofErr w:type="spellEnd"/>
      <w:r w:rsidRPr="00BC54D1">
        <w:rPr>
          <w:rFonts w:ascii="Times New Roman" w:hAnsi="Times New Roman"/>
          <w:i/>
          <w:iCs/>
        </w:rPr>
        <w:t xml:space="preserve"> - </w:t>
      </w:r>
      <w:r w:rsidRPr="00BC54D1">
        <w:rPr>
          <w:rFonts w:ascii="Times New Roman" w:hAnsi="Times New Roman"/>
        </w:rPr>
        <w:t>industry-median growth</w:t>
      </w:r>
      <w:r w:rsidRPr="00BC54D1">
        <w:rPr>
          <w:rFonts w:ascii="Times New Roman" w:hAnsi="Times New Roman"/>
          <w:i/>
          <w:iCs/>
        </w:rPr>
        <w:t xml:space="preserve">) </w:t>
      </w:r>
      <w:r w:rsidRPr="00BC54D1">
        <w:rPr>
          <w:rFonts w:ascii="Times New Roman" w:hAnsi="Times New Roman"/>
        </w:rPr>
        <w:t xml:space="preserve">needs to be strongly correlated with the endogenous variable - </w:t>
      </w:r>
      <w:r w:rsidRPr="00BC54D1">
        <w:rPr>
          <w:rFonts w:ascii="Times New Roman" w:hAnsi="Times New Roman"/>
          <w:i/>
          <w:iCs/>
        </w:rPr>
        <w:t>PRIV</w:t>
      </w:r>
      <w:r w:rsidRPr="00BC54D1">
        <w:rPr>
          <w:rFonts w:ascii="Times New Roman" w:hAnsi="Times New Roman"/>
        </w:rPr>
        <w:t xml:space="preserve"> to satisfy the relevance criterion. Thus, we argue that private or public firms’ reaction to the industry growth opportunities will indirectly affect how much they allocate to R&amp;D activity. In our case, industry-median growth opportunity should be correlated with the private or public firm’s responsiveness to investment activities. This is confirmed by our strong positive coefficient reported on ID</w:t>
      </w:r>
      <w:r w:rsidRPr="00BC54D1">
        <w:rPr>
          <w:rFonts w:ascii="Times New Roman" w:hAnsi="Times New Roman"/>
          <w:i/>
          <w:iCs/>
        </w:rPr>
        <w:t>-</w:t>
      </w:r>
      <w:proofErr w:type="spellStart"/>
      <w:r w:rsidRPr="00BC54D1">
        <w:rPr>
          <w:rFonts w:ascii="Times New Roman" w:hAnsi="Times New Roman"/>
          <w:i/>
          <w:iCs/>
        </w:rPr>
        <w:t>SGR</w:t>
      </w:r>
      <w:r w:rsidRPr="00BC54D1">
        <w:rPr>
          <w:rFonts w:ascii="Times New Roman" w:hAnsi="Times New Roman"/>
          <w:vertAlign w:val="subscript"/>
        </w:rPr>
        <w:t>it</w:t>
      </w:r>
      <w:proofErr w:type="spellEnd"/>
      <w:r w:rsidRPr="00BC54D1">
        <w:rPr>
          <w:rFonts w:ascii="Times New Roman" w:hAnsi="Times New Roman"/>
          <w:i/>
          <w:iCs/>
        </w:rPr>
        <w:t xml:space="preserve"> </w:t>
      </w:r>
      <w:r w:rsidRPr="00BC54D1">
        <w:rPr>
          <w:rFonts w:ascii="Times New Roman" w:hAnsi="Times New Roman"/>
        </w:rPr>
        <w:t xml:space="preserve">in the first stage - </w:t>
      </w:r>
      <w:r w:rsidRPr="00BC54D1">
        <w:rPr>
          <w:rFonts w:ascii="Times New Roman" w:hAnsi="Times New Roman"/>
          <w:i/>
          <w:iCs/>
        </w:rPr>
        <w:t xml:space="preserve">PRIV </w:t>
      </w:r>
      <w:r w:rsidRPr="00BC54D1">
        <w:rPr>
          <w:rFonts w:ascii="Times New Roman" w:hAnsi="Times New Roman"/>
        </w:rPr>
        <w:t xml:space="preserve">regression. That </w:t>
      </w:r>
      <w:proofErr w:type="gramStart"/>
      <w:r w:rsidRPr="00BC54D1">
        <w:rPr>
          <w:rFonts w:ascii="Times New Roman" w:hAnsi="Times New Roman"/>
        </w:rPr>
        <w:t>is ,</w:t>
      </w:r>
      <w:proofErr w:type="gramEnd"/>
      <w:r w:rsidRPr="00BC54D1">
        <w:rPr>
          <w:rFonts w:ascii="Times New Roman" w:hAnsi="Times New Roman"/>
        </w:rPr>
        <w:t xml:space="preserve"> we regress </w:t>
      </w:r>
      <w:r w:rsidRPr="00BC54D1">
        <w:rPr>
          <w:rFonts w:ascii="Times New Roman" w:hAnsi="Times New Roman"/>
          <w:i/>
          <w:iCs/>
        </w:rPr>
        <w:t>PRIV</w:t>
      </w:r>
      <w:r w:rsidRPr="00BC54D1">
        <w:rPr>
          <w:rFonts w:ascii="Times New Roman" w:hAnsi="Times New Roman"/>
        </w:rPr>
        <w:t xml:space="preserve"> on the determinants (i.e., including endogenous variable - R&amp;D) to obtain the predicted values, which are then included in the </w:t>
      </w:r>
      <w:r w:rsidRPr="00BC54D1">
        <w:rPr>
          <w:rFonts w:ascii="Times New Roman" w:hAnsi="Times New Roman"/>
          <w:i/>
          <w:iCs/>
        </w:rPr>
        <w:t>R&amp;D intensity</w:t>
      </w:r>
      <w:r w:rsidRPr="00BC54D1">
        <w:rPr>
          <w:rFonts w:ascii="Times New Roman" w:hAnsi="Times New Roman"/>
        </w:rPr>
        <w:t xml:space="preserve"> (measured as R&amp;D dummy and R&amp;D ratio) equation (2ii).</w:t>
      </w:r>
      <w:r w:rsidRPr="00BC54D1">
        <w:rPr>
          <w:rFonts w:ascii="Times New Roman" w:hAnsi="Times New Roman"/>
          <w:b/>
          <w:bCs/>
          <w:lang w:eastAsia="en-US"/>
        </w:rPr>
        <w:t xml:space="preserve"> </w:t>
      </w:r>
      <w:r w:rsidRPr="00BC54D1">
        <w:rPr>
          <w:rFonts w:ascii="Times New Roman" w:hAnsi="Times New Roman"/>
        </w:rPr>
        <w:t xml:space="preserve">Still our reported results in Table V shows a negative coefficient on </w:t>
      </w:r>
      <w:r w:rsidRPr="00BC54D1">
        <w:rPr>
          <w:rFonts w:ascii="Times New Roman" w:hAnsi="Times New Roman"/>
          <w:i/>
          <w:iCs/>
        </w:rPr>
        <w:t xml:space="preserve">PRIV, </w:t>
      </w:r>
      <w:proofErr w:type="gramStart"/>
      <w:r w:rsidRPr="00BC54D1">
        <w:rPr>
          <w:rFonts w:ascii="Times New Roman" w:hAnsi="Times New Roman"/>
        </w:rPr>
        <w:t>similar to</w:t>
      </w:r>
      <w:proofErr w:type="gramEnd"/>
      <w:r w:rsidRPr="00BC54D1">
        <w:rPr>
          <w:rFonts w:ascii="Times New Roman" w:hAnsi="Times New Roman"/>
        </w:rPr>
        <w:t xml:space="preserve"> the main</w:t>
      </w:r>
      <w:r w:rsidRPr="00BC54D1">
        <w:rPr>
          <w:rFonts w:ascii="Times New Roman" w:hAnsi="Times New Roman"/>
          <w:i/>
          <w:iCs/>
        </w:rPr>
        <w:t xml:space="preserve"> </w:t>
      </w:r>
      <w:r w:rsidRPr="00BC54D1">
        <w:rPr>
          <w:rFonts w:ascii="Times New Roman" w:hAnsi="Times New Roman"/>
        </w:rPr>
        <w:t xml:space="preserve">results in Table IV. Overall, our results are robust to all these alternative techniques. </w:t>
      </w:r>
    </w:p>
    <w:p w14:paraId="3E303603" w14:textId="1AC9A362" w:rsidR="00A32C88" w:rsidRPr="00BC54D1" w:rsidRDefault="004A0DAE" w:rsidP="00B123B7">
      <w:pPr>
        <w:spacing w:before="240" w:line="360" w:lineRule="auto"/>
        <w:rPr>
          <w:rFonts w:ascii="Times New Roman" w:hAnsi="Times New Roman"/>
          <w:b/>
          <w:bCs/>
          <w:i/>
          <w:iCs/>
        </w:rPr>
      </w:pPr>
      <w:r w:rsidRPr="00BC54D1">
        <w:rPr>
          <w:rFonts w:ascii="Times New Roman" w:hAnsi="Times New Roman"/>
          <w:b/>
          <w:bCs/>
          <w:i/>
          <w:iCs/>
        </w:rPr>
        <w:t>4.</w:t>
      </w:r>
      <w:r w:rsidR="007E7774" w:rsidRPr="00BC54D1">
        <w:rPr>
          <w:rFonts w:ascii="Times New Roman" w:hAnsi="Times New Roman"/>
          <w:b/>
          <w:bCs/>
          <w:i/>
          <w:iCs/>
        </w:rPr>
        <w:t>3</w:t>
      </w:r>
      <w:r w:rsidRPr="00BC54D1">
        <w:rPr>
          <w:rFonts w:ascii="Times New Roman" w:hAnsi="Times New Roman"/>
          <w:b/>
          <w:bCs/>
          <w:i/>
          <w:iCs/>
        </w:rPr>
        <w:t xml:space="preserve">. </w:t>
      </w:r>
      <w:r w:rsidR="00193EFC" w:rsidRPr="00BC54D1">
        <w:rPr>
          <w:rFonts w:ascii="Times New Roman" w:hAnsi="Times New Roman"/>
          <w:b/>
          <w:bCs/>
          <w:i/>
          <w:iCs/>
        </w:rPr>
        <w:t>Further tests</w:t>
      </w:r>
    </w:p>
    <w:p w14:paraId="448D973B" w14:textId="77777777" w:rsidR="00A32C88" w:rsidRPr="00BC54D1" w:rsidRDefault="00A32C88" w:rsidP="00A32C88">
      <w:pPr>
        <w:spacing w:line="360" w:lineRule="auto"/>
        <w:rPr>
          <w:rFonts w:ascii="Times New Roman" w:hAnsi="Times New Roman"/>
          <w:b/>
          <w:bCs/>
          <w:i/>
          <w:iCs/>
        </w:rPr>
      </w:pPr>
    </w:p>
    <w:p w14:paraId="7C3C394C" w14:textId="406A7F9A" w:rsidR="008E4200" w:rsidRPr="00BC54D1" w:rsidRDefault="008E4200" w:rsidP="00B123B7">
      <w:pPr>
        <w:spacing w:line="360" w:lineRule="auto"/>
        <w:rPr>
          <w:rFonts w:ascii="Times New Roman" w:hAnsi="Times New Roman"/>
          <w:b/>
          <w:bCs/>
          <w:i/>
          <w:szCs w:val="28"/>
        </w:rPr>
      </w:pPr>
      <w:r w:rsidRPr="00BC54D1">
        <w:rPr>
          <w:rFonts w:ascii="Times New Roman" w:hAnsi="Times New Roman"/>
          <w:b/>
          <w:bCs/>
          <w:i/>
          <w:szCs w:val="28"/>
        </w:rPr>
        <w:t>4.</w:t>
      </w:r>
      <w:r w:rsidR="00B957FC" w:rsidRPr="00BC54D1">
        <w:rPr>
          <w:rFonts w:ascii="Times New Roman" w:hAnsi="Times New Roman"/>
          <w:b/>
          <w:bCs/>
          <w:i/>
          <w:szCs w:val="28"/>
        </w:rPr>
        <w:t>3</w:t>
      </w:r>
      <w:r w:rsidRPr="00BC54D1">
        <w:rPr>
          <w:rFonts w:ascii="Times New Roman" w:hAnsi="Times New Roman"/>
          <w:b/>
          <w:bCs/>
          <w:i/>
          <w:szCs w:val="28"/>
        </w:rPr>
        <w:t>.</w:t>
      </w:r>
      <w:r w:rsidR="007E5EBF" w:rsidRPr="00BC54D1">
        <w:rPr>
          <w:rFonts w:ascii="Times New Roman" w:hAnsi="Times New Roman"/>
          <w:b/>
          <w:bCs/>
          <w:i/>
          <w:szCs w:val="28"/>
        </w:rPr>
        <w:t>1.</w:t>
      </w:r>
      <w:r w:rsidRPr="00BC54D1">
        <w:rPr>
          <w:rFonts w:ascii="Times New Roman" w:hAnsi="Times New Roman"/>
          <w:b/>
          <w:bCs/>
          <w:i/>
          <w:szCs w:val="28"/>
        </w:rPr>
        <w:t xml:space="preserve"> Firm </w:t>
      </w:r>
      <w:r w:rsidR="00382730" w:rsidRPr="00BC54D1">
        <w:rPr>
          <w:rFonts w:ascii="Times New Roman" w:hAnsi="Times New Roman"/>
          <w:b/>
          <w:bCs/>
          <w:i/>
          <w:szCs w:val="28"/>
        </w:rPr>
        <w:t>l</w:t>
      </w:r>
      <w:r w:rsidRPr="00BC54D1">
        <w:rPr>
          <w:rFonts w:ascii="Times New Roman" w:hAnsi="Times New Roman"/>
          <w:b/>
          <w:bCs/>
          <w:i/>
          <w:szCs w:val="28"/>
        </w:rPr>
        <w:t xml:space="preserve">isting </w:t>
      </w:r>
      <w:r w:rsidR="00382730" w:rsidRPr="00BC54D1">
        <w:rPr>
          <w:rFonts w:ascii="Times New Roman" w:hAnsi="Times New Roman"/>
          <w:b/>
          <w:bCs/>
          <w:i/>
          <w:szCs w:val="28"/>
        </w:rPr>
        <w:t>s</w:t>
      </w:r>
      <w:r w:rsidRPr="00BC54D1">
        <w:rPr>
          <w:rFonts w:ascii="Times New Roman" w:hAnsi="Times New Roman"/>
          <w:b/>
          <w:bCs/>
          <w:i/>
          <w:szCs w:val="28"/>
        </w:rPr>
        <w:t>tatus (</w:t>
      </w:r>
      <w:r w:rsidR="00382730" w:rsidRPr="00BC54D1">
        <w:rPr>
          <w:rFonts w:ascii="Times New Roman" w:hAnsi="Times New Roman"/>
          <w:b/>
          <w:bCs/>
          <w:i/>
          <w:szCs w:val="28"/>
        </w:rPr>
        <w:t>p</w:t>
      </w:r>
      <w:r w:rsidRPr="00BC54D1">
        <w:rPr>
          <w:rFonts w:ascii="Times New Roman" w:hAnsi="Times New Roman"/>
          <w:b/>
          <w:bCs/>
          <w:i/>
          <w:szCs w:val="28"/>
        </w:rPr>
        <w:t xml:space="preserve">rivate vs </w:t>
      </w:r>
      <w:r w:rsidR="00382730" w:rsidRPr="00BC54D1">
        <w:rPr>
          <w:rFonts w:ascii="Times New Roman" w:hAnsi="Times New Roman"/>
          <w:b/>
          <w:bCs/>
          <w:i/>
          <w:szCs w:val="28"/>
        </w:rPr>
        <w:t>p</w:t>
      </w:r>
      <w:r w:rsidRPr="00BC54D1">
        <w:rPr>
          <w:rFonts w:ascii="Times New Roman" w:hAnsi="Times New Roman"/>
          <w:b/>
          <w:bCs/>
          <w:i/>
          <w:szCs w:val="28"/>
        </w:rPr>
        <w:t>ublic) and R&amp;D</w:t>
      </w:r>
      <w:r w:rsidR="002C4930" w:rsidRPr="00BC54D1">
        <w:rPr>
          <w:rFonts w:ascii="Times New Roman" w:hAnsi="Times New Roman"/>
          <w:b/>
          <w:bCs/>
          <w:i/>
          <w:szCs w:val="28"/>
        </w:rPr>
        <w:t xml:space="preserve"> </w:t>
      </w:r>
      <w:r w:rsidR="00382730" w:rsidRPr="00BC54D1">
        <w:rPr>
          <w:rFonts w:ascii="Times New Roman" w:hAnsi="Times New Roman"/>
          <w:b/>
          <w:bCs/>
          <w:i/>
          <w:szCs w:val="28"/>
        </w:rPr>
        <w:t>i</w:t>
      </w:r>
      <w:r w:rsidRPr="00BC54D1">
        <w:rPr>
          <w:rFonts w:ascii="Times New Roman" w:hAnsi="Times New Roman"/>
          <w:b/>
          <w:bCs/>
          <w:i/>
          <w:szCs w:val="28"/>
        </w:rPr>
        <w:t>ntensity – Sector</w:t>
      </w:r>
      <w:r w:rsidR="001813B6" w:rsidRPr="00BC54D1">
        <w:rPr>
          <w:rFonts w:ascii="Times New Roman" w:hAnsi="Times New Roman"/>
          <w:b/>
          <w:bCs/>
          <w:i/>
          <w:szCs w:val="28"/>
        </w:rPr>
        <w:t>-</w:t>
      </w:r>
      <w:r w:rsidRPr="00BC54D1">
        <w:rPr>
          <w:rFonts w:ascii="Times New Roman" w:hAnsi="Times New Roman"/>
          <w:b/>
          <w:bCs/>
          <w:i/>
          <w:szCs w:val="28"/>
        </w:rPr>
        <w:t>level evidence</w:t>
      </w:r>
    </w:p>
    <w:p w14:paraId="1970FCD0" w14:textId="4C55D110" w:rsidR="008E4200" w:rsidRPr="00BC54D1" w:rsidRDefault="008E4200" w:rsidP="00A32C88">
      <w:pPr>
        <w:spacing w:before="120" w:after="120" w:line="360" w:lineRule="auto"/>
        <w:jc w:val="both"/>
        <w:rPr>
          <w:rFonts w:ascii="Times New Roman" w:hAnsi="Times New Roman"/>
        </w:rPr>
      </w:pPr>
      <w:r w:rsidRPr="00BC54D1">
        <w:rPr>
          <w:rFonts w:ascii="Times New Roman" w:hAnsi="Times New Roman"/>
        </w:rPr>
        <w:t>In this section, we provide further evidence of private firms</w:t>
      </w:r>
      <w:r w:rsidR="001813B6" w:rsidRPr="00BC54D1">
        <w:rPr>
          <w:rFonts w:ascii="Times New Roman" w:hAnsi="Times New Roman"/>
        </w:rPr>
        <w:t>’</w:t>
      </w:r>
      <w:r w:rsidRPr="00BC54D1">
        <w:rPr>
          <w:rFonts w:ascii="Times New Roman" w:hAnsi="Times New Roman"/>
        </w:rPr>
        <w:t xml:space="preserve"> R&amp;D behaviour at the industry level. Specifically, we test if firms</w:t>
      </w:r>
      <w:r w:rsidR="001813B6" w:rsidRPr="00BC54D1">
        <w:rPr>
          <w:rFonts w:ascii="Times New Roman" w:hAnsi="Times New Roman"/>
        </w:rPr>
        <w:t>’</w:t>
      </w:r>
      <w:r w:rsidRPr="00BC54D1">
        <w:rPr>
          <w:rFonts w:ascii="Times New Roman" w:hAnsi="Times New Roman"/>
        </w:rPr>
        <w:t xml:space="preserve"> (private vs public) R&amp;D spending intensity varies across different sectors. Our primary argument is that firms operating in </w:t>
      </w:r>
      <w:r w:rsidR="001813B6" w:rsidRPr="00BC54D1">
        <w:rPr>
          <w:rFonts w:ascii="Times New Roman" w:hAnsi="Times New Roman"/>
        </w:rPr>
        <w:t xml:space="preserve">the </w:t>
      </w:r>
      <w:r w:rsidRPr="00BC54D1">
        <w:rPr>
          <w:rFonts w:ascii="Times New Roman" w:hAnsi="Times New Roman"/>
        </w:rPr>
        <w:t xml:space="preserve">technological industry often allocate huge resources to R&amp;D activity (Acharya and Xu, 2017; Clausen, 2009; Klette </w:t>
      </w:r>
      <w:r w:rsidRPr="00BC54D1">
        <w:rPr>
          <w:rFonts w:ascii="Times New Roman" w:hAnsi="Times New Roman"/>
          <w:i/>
        </w:rPr>
        <w:t>et al</w:t>
      </w:r>
      <w:r w:rsidRPr="00BC54D1">
        <w:rPr>
          <w:rFonts w:ascii="Times New Roman" w:hAnsi="Times New Roman"/>
        </w:rPr>
        <w:t xml:space="preserve">., 2000; Trajtenberg, 1990). Due to do this, we perform this analysis by first disaggregating our data into two main sectors: technology sector (TEC) and non-technology sector (NTEC) using dummies, </w:t>
      </w:r>
      <w:r w:rsidRPr="00BC54D1">
        <w:rPr>
          <w:rFonts w:ascii="Times New Roman" w:hAnsi="Times New Roman"/>
        </w:rPr>
        <w:lastRenderedPageBreak/>
        <w:t xml:space="preserve">and then interact the dummies with private firms’ status (PRIV = 1 or 0 otherwise) to obtain the interaction terms. We re-run our </w:t>
      </w:r>
      <w:proofErr w:type="spellStart"/>
      <w:r w:rsidR="000675D7" w:rsidRPr="00BC54D1">
        <w:rPr>
          <w:rFonts w:ascii="Times New Roman" w:hAnsi="Times New Roman"/>
        </w:rPr>
        <w:t>probit</w:t>
      </w:r>
      <w:proofErr w:type="spellEnd"/>
      <w:r w:rsidR="000675D7" w:rsidRPr="00BC54D1">
        <w:rPr>
          <w:rFonts w:ascii="Times New Roman" w:hAnsi="Times New Roman"/>
        </w:rPr>
        <w:t xml:space="preserve"> </w:t>
      </w:r>
      <w:r w:rsidRPr="00BC54D1">
        <w:rPr>
          <w:rFonts w:ascii="Times New Roman" w:hAnsi="Times New Roman"/>
        </w:rPr>
        <w:t xml:space="preserve">model 2 </w:t>
      </w:r>
      <w:r w:rsidR="0077103E" w:rsidRPr="00BC54D1">
        <w:rPr>
          <w:rFonts w:ascii="Times New Roman" w:hAnsi="Times New Roman"/>
        </w:rPr>
        <w:t xml:space="preserve">(fully specified) </w:t>
      </w:r>
      <w:r w:rsidRPr="00BC54D1">
        <w:rPr>
          <w:rFonts w:ascii="Times New Roman" w:hAnsi="Times New Roman"/>
        </w:rPr>
        <w:t xml:space="preserve">by including the respective interaction terms (PRIV_TEC) and PRIV_NTEC) in the respective models, 1 &amp; 2 in Table </w:t>
      </w:r>
      <w:r w:rsidR="00DD56F2" w:rsidRPr="00BC54D1">
        <w:rPr>
          <w:rFonts w:ascii="Times New Roman" w:hAnsi="Times New Roman"/>
        </w:rPr>
        <w:t>V</w:t>
      </w:r>
      <w:r w:rsidR="00CC2473" w:rsidRPr="00BC54D1">
        <w:rPr>
          <w:rFonts w:ascii="Times New Roman" w:hAnsi="Times New Roman"/>
        </w:rPr>
        <w:t>I</w:t>
      </w:r>
      <w:r w:rsidRPr="00BC54D1">
        <w:rPr>
          <w:rFonts w:ascii="Times New Roman" w:hAnsi="Times New Roman"/>
        </w:rPr>
        <w:t xml:space="preserve">. The results of this analysis are presented in Table </w:t>
      </w:r>
      <w:r w:rsidR="00DD56F2" w:rsidRPr="00BC54D1">
        <w:rPr>
          <w:rFonts w:ascii="Times New Roman" w:hAnsi="Times New Roman"/>
        </w:rPr>
        <w:t>V</w:t>
      </w:r>
      <w:r w:rsidRPr="00BC54D1">
        <w:rPr>
          <w:rFonts w:ascii="Times New Roman" w:hAnsi="Times New Roman"/>
        </w:rPr>
        <w:t xml:space="preserve">. From the results, we find that the R&amp;D investment behaviour of </w:t>
      </w:r>
      <w:r w:rsidR="00931EE6" w:rsidRPr="00BC54D1">
        <w:rPr>
          <w:rFonts w:ascii="Times New Roman" w:hAnsi="Times New Roman"/>
        </w:rPr>
        <w:t xml:space="preserve">both </w:t>
      </w:r>
      <w:r w:rsidRPr="00BC54D1">
        <w:rPr>
          <w:rFonts w:ascii="Times New Roman" w:hAnsi="Times New Roman"/>
        </w:rPr>
        <w:t xml:space="preserve">private </w:t>
      </w:r>
      <w:r w:rsidR="00931EE6" w:rsidRPr="00BC54D1">
        <w:rPr>
          <w:rFonts w:ascii="Times New Roman" w:hAnsi="Times New Roman"/>
        </w:rPr>
        <w:t xml:space="preserve">and public </w:t>
      </w:r>
      <w:r w:rsidRPr="00BC54D1">
        <w:rPr>
          <w:rFonts w:ascii="Times New Roman" w:hAnsi="Times New Roman"/>
        </w:rPr>
        <w:t xml:space="preserve">firms differs across our two sectoral groups. </w:t>
      </w:r>
      <w:proofErr w:type="gramStart"/>
      <w:r w:rsidRPr="00BC54D1">
        <w:rPr>
          <w:rFonts w:ascii="Times New Roman" w:hAnsi="Times New Roman"/>
        </w:rPr>
        <w:t>In particular, we</w:t>
      </w:r>
      <w:proofErr w:type="gramEnd"/>
      <w:r w:rsidRPr="00BC54D1">
        <w:rPr>
          <w:rFonts w:ascii="Times New Roman" w:hAnsi="Times New Roman"/>
        </w:rPr>
        <w:t xml:space="preserve"> observe that, </w:t>
      </w:r>
      <w:r w:rsidR="00933C03" w:rsidRPr="00BC54D1">
        <w:rPr>
          <w:rFonts w:ascii="Times New Roman" w:hAnsi="Times New Roman"/>
        </w:rPr>
        <w:t xml:space="preserve">in </w:t>
      </w:r>
      <w:r w:rsidRPr="00BC54D1">
        <w:rPr>
          <w:rFonts w:ascii="Times New Roman" w:hAnsi="Times New Roman"/>
        </w:rPr>
        <w:t>the technology sector, private firms show a strong positive coefficient sign</w:t>
      </w:r>
      <w:r w:rsidR="001813B6" w:rsidRPr="00BC54D1">
        <w:rPr>
          <w:rFonts w:ascii="Times New Roman" w:hAnsi="Times New Roman"/>
        </w:rPr>
        <w:t>,</w:t>
      </w:r>
      <w:r w:rsidRPr="00BC54D1">
        <w:rPr>
          <w:rFonts w:ascii="Times New Roman" w:hAnsi="Times New Roman"/>
        </w:rPr>
        <w:t xml:space="preserve"> 4.864 (t-stats 52.77)</w:t>
      </w:r>
      <w:r w:rsidR="0031700F" w:rsidRPr="00BC54D1">
        <w:rPr>
          <w:rFonts w:ascii="Times New Roman" w:hAnsi="Times New Roman"/>
        </w:rPr>
        <w:t xml:space="preserve"> </w:t>
      </w:r>
      <w:r w:rsidRPr="00BC54D1">
        <w:rPr>
          <w:rFonts w:ascii="Times New Roman" w:hAnsi="Times New Roman"/>
        </w:rPr>
        <w:t>while those non-technology ones suggest a negative coefficient</w:t>
      </w:r>
      <w:r w:rsidR="001813B6" w:rsidRPr="00BC54D1">
        <w:rPr>
          <w:rFonts w:ascii="Times New Roman" w:hAnsi="Times New Roman"/>
        </w:rPr>
        <w:t>,</w:t>
      </w:r>
      <w:r w:rsidRPr="00BC54D1">
        <w:rPr>
          <w:rFonts w:ascii="Times New Roman" w:hAnsi="Times New Roman"/>
        </w:rPr>
        <w:t xml:space="preserve"> -0.609 (t-stats 2.63)</w:t>
      </w:r>
      <w:r w:rsidR="001813B6" w:rsidRPr="00BC54D1">
        <w:rPr>
          <w:rFonts w:ascii="Times New Roman" w:hAnsi="Times New Roman"/>
        </w:rPr>
        <w:t>,</w:t>
      </w:r>
      <w:r w:rsidRPr="00BC54D1">
        <w:rPr>
          <w:rFonts w:ascii="Times New Roman" w:hAnsi="Times New Roman"/>
        </w:rPr>
        <w:t xml:space="preserve"> on R&amp;D intensity. These findings suggest that private firms in the technology sector are more likely to </w:t>
      </w:r>
      <w:r w:rsidR="00E84D2F" w:rsidRPr="00BC54D1">
        <w:rPr>
          <w:rFonts w:ascii="Times New Roman" w:hAnsi="Times New Roman"/>
        </w:rPr>
        <w:t>commit R&amp;D intensity compared with public ones</w:t>
      </w:r>
      <w:r w:rsidR="001813B6" w:rsidRPr="00BC54D1">
        <w:rPr>
          <w:rFonts w:ascii="Times New Roman" w:hAnsi="Times New Roman"/>
        </w:rPr>
        <w:t>,</w:t>
      </w:r>
      <w:r w:rsidRPr="00BC54D1">
        <w:rPr>
          <w:rFonts w:ascii="Times New Roman" w:hAnsi="Times New Roman"/>
        </w:rPr>
        <w:t xml:space="preserve"> whereas those </w:t>
      </w:r>
      <w:r w:rsidR="00E84D2F" w:rsidRPr="00BC54D1">
        <w:rPr>
          <w:rFonts w:ascii="Times New Roman" w:hAnsi="Times New Roman"/>
        </w:rPr>
        <w:t xml:space="preserve">in </w:t>
      </w:r>
      <w:r w:rsidRPr="00BC54D1">
        <w:rPr>
          <w:rFonts w:ascii="Times New Roman" w:hAnsi="Times New Roman"/>
        </w:rPr>
        <w:t xml:space="preserve">non-technology show lower commitment to R&amp;D intensity. </w:t>
      </w:r>
      <w:r w:rsidR="003158F9" w:rsidRPr="00BC54D1">
        <w:rPr>
          <w:rFonts w:ascii="Times New Roman" w:hAnsi="Times New Roman"/>
        </w:rPr>
        <w:t>C</w:t>
      </w:r>
      <w:r w:rsidR="0031700F" w:rsidRPr="00BC54D1">
        <w:rPr>
          <w:rFonts w:ascii="Times New Roman" w:hAnsi="Times New Roman"/>
        </w:rPr>
        <w:t xml:space="preserve">ompared to public firms, privately held R&amp;D firms are more probable to intensify their innovation spending but such investment intensity is lowered for non-technology private ones. </w:t>
      </w:r>
      <w:r w:rsidRPr="00BC54D1">
        <w:rPr>
          <w:rFonts w:ascii="Times New Roman" w:hAnsi="Times New Roman"/>
        </w:rPr>
        <w:t>Thus, noting the magnitude of coefficient estimates</w:t>
      </w:r>
      <w:r w:rsidR="001813B6" w:rsidRPr="00BC54D1">
        <w:rPr>
          <w:rFonts w:ascii="Times New Roman" w:hAnsi="Times New Roman"/>
        </w:rPr>
        <w:t>,</w:t>
      </w:r>
      <w:r w:rsidRPr="00BC54D1">
        <w:rPr>
          <w:rFonts w:ascii="Times New Roman" w:hAnsi="Times New Roman"/>
        </w:rPr>
        <w:t xml:space="preserve"> 4.864 and -0.609 for technology sector and non-technology sector respectively, private firms in the technology industry intensely support more R&amp;D investment, which is consistent with Clausen’s (2009) assertion.</w:t>
      </w:r>
      <w:r w:rsidR="009F04D7" w:rsidRPr="00BC54D1">
        <w:rPr>
          <w:rFonts w:ascii="Times New Roman" w:hAnsi="Times New Roman"/>
        </w:rPr>
        <w:t xml:space="preserve"> However, non-technology private firms are likely to experience lower R&amp;D intensity compared to their public counterparts. </w:t>
      </w:r>
      <w:r w:rsidR="00D01340" w:rsidRPr="00BC54D1">
        <w:rPr>
          <w:rFonts w:ascii="Times New Roman" w:hAnsi="Times New Roman"/>
        </w:rPr>
        <w:t>Implicitly,</w:t>
      </w:r>
      <w:r w:rsidR="0017014A" w:rsidRPr="00BC54D1">
        <w:rPr>
          <w:rFonts w:ascii="Times New Roman" w:hAnsi="Times New Roman"/>
        </w:rPr>
        <w:t xml:space="preserve"> our results </w:t>
      </w:r>
      <w:r w:rsidR="00A1490D" w:rsidRPr="00BC54D1">
        <w:rPr>
          <w:rFonts w:ascii="Times New Roman" w:hAnsi="Times New Roman"/>
        </w:rPr>
        <w:t>s</w:t>
      </w:r>
      <w:r w:rsidR="00D01340" w:rsidRPr="00BC54D1">
        <w:rPr>
          <w:rFonts w:ascii="Times New Roman" w:hAnsi="Times New Roman"/>
        </w:rPr>
        <w:t>how</w:t>
      </w:r>
      <w:r w:rsidR="0017014A" w:rsidRPr="00BC54D1">
        <w:rPr>
          <w:rFonts w:ascii="Times New Roman" w:hAnsi="Times New Roman"/>
        </w:rPr>
        <w:t xml:space="preserve"> that</w:t>
      </w:r>
      <w:r w:rsidR="00A1490D" w:rsidRPr="00BC54D1">
        <w:rPr>
          <w:rFonts w:ascii="Times New Roman" w:hAnsi="Times New Roman"/>
        </w:rPr>
        <w:t xml:space="preserve"> </w:t>
      </w:r>
      <w:r w:rsidR="00623143" w:rsidRPr="00BC54D1">
        <w:rPr>
          <w:rFonts w:ascii="Times New Roman" w:hAnsi="Times New Roman"/>
        </w:rPr>
        <w:t xml:space="preserve">while </w:t>
      </w:r>
      <w:r w:rsidR="00A1490D" w:rsidRPr="00BC54D1">
        <w:rPr>
          <w:rFonts w:ascii="Times New Roman" w:hAnsi="Times New Roman"/>
        </w:rPr>
        <w:t xml:space="preserve">private </w:t>
      </w:r>
      <w:r w:rsidR="00623143" w:rsidRPr="00BC54D1">
        <w:rPr>
          <w:rFonts w:ascii="Times New Roman" w:hAnsi="Times New Roman"/>
        </w:rPr>
        <w:t xml:space="preserve">(public) </w:t>
      </w:r>
      <w:r w:rsidR="00A1490D" w:rsidRPr="00BC54D1">
        <w:rPr>
          <w:rFonts w:ascii="Times New Roman" w:hAnsi="Times New Roman"/>
        </w:rPr>
        <w:t xml:space="preserve">firms in technology are more </w:t>
      </w:r>
      <w:r w:rsidR="00623143" w:rsidRPr="00BC54D1">
        <w:rPr>
          <w:rFonts w:ascii="Times New Roman" w:hAnsi="Times New Roman"/>
        </w:rPr>
        <w:t xml:space="preserve">(less) </w:t>
      </w:r>
      <w:r w:rsidR="00A1490D" w:rsidRPr="00BC54D1">
        <w:rPr>
          <w:rFonts w:ascii="Times New Roman" w:hAnsi="Times New Roman"/>
        </w:rPr>
        <w:t xml:space="preserve">likely to commit </w:t>
      </w:r>
      <w:r w:rsidR="00D01340" w:rsidRPr="00BC54D1">
        <w:rPr>
          <w:rFonts w:ascii="Times New Roman" w:hAnsi="Times New Roman"/>
        </w:rPr>
        <w:t xml:space="preserve">to </w:t>
      </w:r>
      <w:r w:rsidR="00A1490D" w:rsidRPr="00BC54D1">
        <w:rPr>
          <w:rFonts w:ascii="Times New Roman" w:hAnsi="Times New Roman"/>
        </w:rPr>
        <w:t xml:space="preserve">R&amp;D intensity </w:t>
      </w:r>
      <w:r w:rsidR="00563B50" w:rsidRPr="00BC54D1">
        <w:rPr>
          <w:rFonts w:ascii="Times New Roman" w:hAnsi="Times New Roman"/>
        </w:rPr>
        <w:t xml:space="preserve">those in non-technology </w:t>
      </w:r>
      <w:r w:rsidR="00EC45F9" w:rsidRPr="00BC54D1">
        <w:rPr>
          <w:rFonts w:ascii="Times New Roman" w:hAnsi="Times New Roman"/>
        </w:rPr>
        <w:t>decrease</w:t>
      </w:r>
      <w:r w:rsidR="00563B50" w:rsidRPr="00BC54D1">
        <w:rPr>
          <w:rFonts w:ascii="Times New Roman" w:hAnsi="Times New Roman"/>
        </w:rPr>
        <w:t xml:space="preserve"> (</w:t>
      </w:r>
      <w:r w:rsidR="00EC45F9" w:rsidRPr="00BC54D1">
        <w:rPr>
          <w:rFonts w:ascii="Times New Roman" w:hAnsi="Times New Roman"/>
        </w:rPr>
        <w:t xml:space="preserve">increase) </w:t>
      </w:r>
      <w:r w:rsidR="00563B50" w:rsidRPr="00BC54D1">
        <w:rPr>
          <w:rFonts w:ascii="Times New Roman" w:hAnsi="Times New Roman"/>
        </w:rPr>
        <w:t>such intensity</w:t>
      </w:r>
      <w:r w:rsidR="00EC45F9" w:rsidRPr="00BC54D1">
        <w:rPr>
          <w:rFonts w:ascii="Times New Roman" w:hAnsi="Times New Roman"/>
        </w:rPr>
        <w:t>.</w:t>
      </w:r>
      <w:r w:rsidR="00563B50" w:rsidRPr="00BC54D1">
        <w:rPr>
          <w:rFonts w:ascii="Times New Roman" w:hAnsi="Times New Roman"/>
        </w:rPr>
        <w:t xml:space="preserve"> </w:t>
      </w:r>
    </w:p>
    <w:p w14:paraId="7F1D8D44" w14:textId="0D19CB56" w:rsidR="005275D2" w:rsidRPr="00BC54D1" w:rsidRDefault="005275D2" w:rsidP="005275D2">
      <w:pPr>
        <w:spacing w:before="120" w:after="120" w:line="360" w:lineRule="auto"/>
        <w:jc w:val="center"/>
        <w:rPr>
          <w:rFonts w:ascii="Times New Roman" w:hAnsi="Times New Roman"/>
          <w:b/>
          <w:bCs/>
          <w:i/>
          <w:iCs/>
          <w:szCs w:val="22"/>
        </w:rPr>
      </w:pPr>
      <w:r w:rsidRPr="00BC54D1">
        <w:rPr>
          <w:rFonts w:ascii="Times New Roman" w:hAnsi="Times New Roman"/>
          <w:b/>
          <w:bCs/>
          <w:i/>
          <w:iCs/>
          <w:szCs w:val="22"/>
        </w:rPr>
        <w:t>[Tables V about here]</w:t>
      </w:r>
    </w:p>
    <w:p w14:paraId="4185ADFF" w14:textId="77777777" w:rsidR="00352673" w:rsidRPr="00BC54D1" w:rsidRDefault="00352673" w:rsidP="00A32C88">
      <w:pPr>
        <w:spacing w:before="120" w:after="120" w:line="360" w:lineRule="auto"/>
        <w:jc w:val="both"/>
        <w:rPr>
          <w:rFonts w:ascii="Times New Roman" w:hAnsi="Times New Roman"/>
        </w:rPr>
      </w:pPr>
    </w:p>
    <w:p w14:paraId="1E9F7A67" w14:textId="13423366" w:rsidR="008E4200" w:rsidRPr="00BC54D1" w:rsidRDefault="008E4200" w:rsidP="00CA3A97">
      <w:pPr>
        <w:spacing w:line="360" w:lineRule="auto"/>
        <w:jc w:val="both"/>
        <w:rPr>
          <w:rFonts w:ascii="Times New Roman" w:hAnsi="Times New Roman"/>
          <w:b/>
          <w:bCs/>
          <w:i/>
          <w:iCs/>
        </w:rPr>
      </w:pPr>
      <w:r w:rsidRPr="00BC54D1">
        <w:rPr>
          <w:rFonts w:ascii="Times New Roman" w:hAnsi="Times New Roman"/>
          <w:b/>
          <w:bCs/>
          <w:i/>
          <w:iCs/>
        </w:rPr>
        <w:t>4.</w:t>
      </w:r>
      <w:r w:rsidR="005275D2" w:rsidRPr="00BC54D1">
        <w:rPr>
          <w:rFonts w:ascii="Times New Roman" w:hAnsi="Times New Roman"/>
          <w:b/>
          <w:bCs/>
          <w:i/>
          <w:iCs/>
        </w:rPr>
        <w:t>3</w:t>
      </w:r>
      <w:r w:rsidRPr="00BC54D1">
        <w:rPr>
          <w:rFonts w:ascii="Times New Roman" w:hAnsi="Times New Roman"/>
          <w:b/>
          <w:bCs/>
          <w:i/>
          <w:iCs/>
        </w:rPr>
        <w:t>.</w:t>
      </w:r>
      <w:r w:rsidR="005275D2" w:rsidRPr="00BC54D1">
        <w:rPr>
          <w:rFonts w:ascii="Times New Roman" w:hAnsi="Times New Roman"/>
          <w:b/>
          <w:bCs/>
          <w:i/>
          <w:iCs/>
        </w:rPr>
        <w:t>2.</w:t>
      </w:r>
      <w:r w:rsidRPr="00BC54D1">
        <w:rPr>
          <w:rFonts w:ascii="Times New Roman" w:hAnsi="Times New Roman"/>
          <w:b/>
          <w:bCs/>
          <w:i/>
          <w:iCs/>
        </w:rPr>
        <w:t xml:space="preserve"> Firm </w:t>
      </w:r>
      <w:r w:rsidR="00E4596A" w:rsidRPr="00BC54D1">
        <w:rPr>
          <w:rFonts w:ascii="Times New Roman" w:hAnsi="Times New Roman"/>
          <w:b/>
          <w:bCs/>
          <w:i/>
          <w:iCs/>
        </w:rPr>
        <w:t>l</w:t>
      </w:r>
      <w:r w:rsidRPr="00BC54D1">
        <w:rPr>
          <w:rFonts w:ascii="Times New Roman" w:hAnsi="Times New Roman"/>
          <w:b/>
          <w:bCs/>
          <w:i/>
          <w:iCs/>
        </w:rPr>
        <w:t xml:space="preserve">isting </w:t>
      </w:r>
      <w:r w:rsidR="00E4596A" w:rsidRPr="00BC54D1">
        <w:rPr>
          <w:rFonts w:ascii="Times New Roman" w:hAnsi="Times New Roman"/>
          <w:b/>
          <w:bCs/>
          <w:i/>
          <w:iCs/>
        </w:rPr>
        <w:t>s</w:t>
      </w:r>
      <w:r w:rsidRPr="00BC54D1">
        <w:rPr>
          <w:rFonts w:ascii="Times New Roman" w:hAnsi="Times New Roman"/>
          <w:b/>
          <w:bCs/>
          <w:i/>
          <w:iCs/>
        </w:rPr>
        <w:t>tatus (</w:t>
      </w:r>
      <w:r w:rsidR="00E4596A" w:rsidRPr="00BC54D1">
        <w:rPr>
          <w:rFonts w:ascii="Times New Roman" w:hAnsi="Times New Roman"/>
          <w:b/>
          <w:bCs/>
          <w:i/>
          <w:iCs/>
        </w:rPr>
        <w:t>p</w:t>
      </w:r>
      <w:r w:rsidRPr="00BC54D1">
        <w:rPr>
          <w:rFonts w:ascii="Times New Roman" w:hAnsi="Times New Roman"/>
          <w:b/>
          <w:bCs/>
          <w:i/>
          <w:iCs/>
        </w:rPr>
        <w:t xml:space="preserve">rivate vs </w:t>
      </w:r>
      <w:r w:rsidR="00E4596A" w:rsidRPr="00BC54D1">
        <w:rPr>
          <w:rFonts w:ascii="Times New Roman" w:hAnsi="Times New Roman"/>
          <w:b/>
          <w:bCs/>
          <w:i/>
          <w:iCs/>
        </w:rPr>
        <w:t>p</w:t>
      </w:r>
      <w:r w:rsidRPr="00BC54D1">
        <w:rPr>
          <w:rFonts w:ascii="Times New Roman" w:hAnsi="Times New Roman"/>
          <w:b/>
          <w:bCs/>
          <w:i/>
          <w:iCs/>
        </w:rPr>
        <w:t xml:space="preserve">ublic) and R&amp;D intensity: </w:t>
      </w:r>
      <w:r w:rsidR="00884F02" w:rsidRPr="00BC54D1">
        <w:rPr>
          <w:rFonts w:ascii="Times New Roman" w:hAnsi="Times New Roman"/>
          <w:b/>
          <w:bCs/>
          <w:i/>
          <w:iCs/>
        </w:rPr>
        <w:t>The of cash flow</w:t>
      </w:r>
      <w:r w:rsidRPr="00BC54D1">
        <w:rPr>
          <w:rFonts w:ascii="Times New Roman" w:hAnsi="Times New Roman"/>
          <w:b/>
          <w:bCs/>
          <w:i/>
          <w:iCs/>
        </w:rPr>
        <w:t xml:space="preserve">  </w:t>
      </w:r>
    </w:p>
    <w:p w14:paraId="672775CA" w14:textId="6DBA88B3" w:rsidR="008E4200" w:rsidRPr="00BC54D1" w:rsidRDefault="008E4200" w:rsidP="00A32C88">
      <w:pPr>
        <w:spacing w:before="120" w:after="120" w:line="360" w:lineRule="auto"/>
        <w:jc w:val="both"/>
        <w:rPr>
          <w:rFonts w:ascii="Times New Roman" w:hAnsi="Times New Roman"/>
        </w:rPr>
      </w:pPr>
      <w:r w:rsidRPr="00BC54D1">
        <w:rPr>
          <w:rFonts w:ascii="Times New Roman" w:hAnsi="Times New Roman"/>
        </w:rPr>
        <w:t>As observed</w:t>
      </w:r>
      <w:r w:rsidR="00240873" w:rsidRPr="00BC54D1">
        <w:rPr>
          <w:rFonts w:ascii="Times New Roman" w:hAnsi="Times New Roman"/>
        </w:rPr>
        <w:t xml:space="preserve">, </w:t>
      </w:r>
      <w:r w:rsidRPr="00BC54D1">
        <w:rPr>
          <w:rFonts w:ascii="Times New Roman" w:hAnsi="Times New Roman"/>
        </w:rPr>
        <w:t xml:space="preserve">our </w:t>
      </w:r>
      <w:r w:rsidR="00240873" w:rsidRPr="00BC54D1">
        <w:rPr>
          <w:rFonts w:ascii="Times New Roman" w:hAnsi="Times New Roman"/>
        </w:rPr>
        <w:t>main</w:t>
      </w:r>
      <w:r w:rsidRPr="00BC54D1">
        <w:rPr>
          <w:rFonts w:ascii="Times New Roman" w:hAnsi="Times New Roman"/>
        </w:rPr>
        <w:t xml:space="preserve"> </w:t>
      </w:r>
      <w:r w:rsidR="00240873" w:rsidRPr="00BC54D1">
        <w:rPr>
          <w:rFonts w:ascii="Times New Roman" w:hAnsi="Times New Roman"/>
        </w:rPr>
        <w:t>result</w:t>
      </w:r>
      <w:r w:rsidRPr="00BC54D1">
        <w:rPr>
          <w:rFonts w:ascii="Times New Roman" w:hAnsi="Times New Roman"/>
        </w:rPr>
        <w:t xml:space="preserve"> </w:t>
      </w:r>
      <w:r w:rsidR="00240873" w:rsidRPr="00BC54D1">
        <w:rPr>
          <w:rFonts w:ascii="Times New Roman" w:hAnsi="Times New Roman"/>
        </w:rPr>
        <w:t>(model</w:t>
      </w:r>
      <w:r w:rsidR="00796CE9" w:rsidRPr="00BC54D1">
        <w:rPr>
          <w:rFonts w:ascii="Times New Roman" w:hAnsi="Times New Roman"/>
        </w:rPr>
        <w:t>s</w:t>
      </w:r>
      <w:r w:rsidR="00240873" w:rsidRPr="00BC54D1">
        <w:rPr>
          <w:rFonts w:ascii="Times New Roman" w:hAnsi="Times New Roman"/>
        </w:rPr>
        <w:t xml:space="preserve"> 1 &amp; 2 of Table </w:t>
      </w:r>
      <w:r w:rsidR="00DD56F2" w:rsidRPr="00BC54D1">
        <w:rPr>
          <w:rFonts w:ascii="Times New Roman" w:hAnsi="Times New Roman"/>
        </w:rPr>
        <w:t>IV</w:t>
      </w:r>
      <w:r w:rsidR="00240873" w:rsidRPr="00BC54D1">
        <w:rPr>
          <w:rFonts w:ascii="Times New Roman" w:hAnsi="Times New Roman"/>
        </w:rPr>
        <w:t xml:space="preserve">) </w:t>
      </w:r>
      <w:r w:rsidRPr="00BC54D1">
        <w:rPr>
          <w:rFonts w:ascii="Times New Roman" w:hAnsi="Times New Roman"/>
        </w:rPr>
        <w:t xml:space="preserve">shows a lower R&amp;D intensity for private firms compared to public ones. One reason that could possibly explain lower R&amp;D behaviour of privately held firms is that these firms often face financing constraints problem (Saunders </w:t>
      </w:r>
      <w:r w:rsidR="005C5D5F" w:rsidRPr="00BC54D1">
        <w:rPr>
          <w:rFonts w:ascii="Times New Roman" w:hAnsi="Times New Roman"/>
        </w:rPr>
        <w:t>and</w:t>
      </w:r>
      <w:r w:rsidRPr="00BC54D1">
        <w:rPr>
          <w:rFonts w:ascii="Times New Roman" w:hAnsi="Times New Roman"/>
        </w:rPr>
        <w:t xml:space="preserve"> Steffen, 2009; </w:t>
      </w:r>
      <w:r w:rsidR="00772F58" w:rsidRPr="00BC54D1">
        <w:rPr>
          <w:rFonts w:ascii="Times New Roman" w:hAnsi="Times New Roman"/>
        </w:rPr>
        <w:t>Gao</w:t>
      </w:r>
      <w:r w:rsidRPr="00BC54D1">
        <w:rPr>
          <w:rFonts w:ascii="Times New Roman" w:hAnsi="Times New Roman"/>
        </w:rPr>
        <w:t xml:space="preserve"> </w:t>
      </w:r>
      <w:r w:rsidRPr="00BC54D1">
        <w:rPr>
          <w:rFonts w:ascii="Times New Roman" w:hAnsi="Times New Roman"/>
          <w:i/>
          <w:iCs/>
        </w:rPr>
        <w:t>et al</w:t>
      </w:r>
      <w:r w:rsidRPr="00BC54D1">
        <w:rPr>
          <w:rFonts w:ascii="Times New Roman" w:hAnsi="Times New Roman"/>
          <w:iCs/>
        </w:rPr>
        <w:t>.,</w:t>
      </w:r>
      <w:r w:rsidRPr="00BC54D1">
        <w:rPr>
          <w:rFonts w:ascii="Times New Roman" w:hAnsi="Times New Roman"/>
        </w:rPr>
        <w:t xml:space="preserve"> 2013; Acharya and Xu, 2017). </w:t>
      </w:r>
      <w:bookmarkStart w:id="6" w:name="_Hlk76053335"/>
      <w:r w:rsidRPr="00BC54D1">
        <w:rPr>
          <w:rFonts w:ascii="Times New Roman" w:hAnsi="Times New Roman"/>
        </w:rPr>
        <w:t xml:space="preserve">Compared to public ones, private firms are known to offer minimal information about their intangible activities (Santos and Winton, 2008). Such low information makes it difficult and even more costly for them to raise external funds to sponsor innovation activities (Saunders </w:t>
      </w:r>
      <w:r w:rsidR="005C5D5F" w:rsidRPr="00BC54D1">
        <w:rPr>
          <w:rFonts w:ascii="Times New Roman" w:hAnsi="Times New Roman"/>
        </w:rPr>
        <w:t>and</w:t>
      </w:r>
      <w:r w:rsidRPr="00BC54D1">
        <w:rPr>
          <w:rFonts w:ascii="Times New Roman" w:hAnsi="Times New Roman"/>
        </w:rPr>
        <w:t xml:space="preserve"> Steffen, 2009; Rajan, 2012; Badertscher</w:t>
      </w:r>
      <w:r w:rsidR="00796CE9" w:rsidRPr="00BC54D1">
        <w:rPr>
          <w:rFonts w:ascii="Times New Roman" w:hAnsi="Times New Roman"/>
        </w:rPr>
        <w:t xml:space="preserve"> </w:t>
      </w:r>
      <w:r w:rsidR="00796CE9" w:rsidRPr="00BC54D1">
        <w:rPr>
          <w:rFonts w:ascii="Times New Roman" w:hAnsi="Times New Roman"/>
          <w:i/>
        </w:rPr>
        <w:t>et al</w:t>
      </w:r>
      <w:r w:rsidR="00796CE9" w:rsidRPr="00BC54D1">
        <w:rPr>
          <w:rFonts w:ascii="Times New Roman" w:hAnsi="Times New Roman"/>
        </w:rPr>
        <w:t>.</w:t>
      </w:r>
      <w:r w:rsidRPr="00BC54D1">
        <w:rPr>
          <w:rFonts w:ascii="Times New Roman" w:hAnsi="Times New Roman"/>
        </w:rPr>
        <w:t xml:space="preserve">, 2013). As a result of this, private firms are more likely to sponsor innovation (R&amp;D) </w:t>
      </w:r>
      <w:r w:rsidR="00772F58" w:rsidRPr="00BC54D1">
        <w:rPr>
          <w:rFonts w:ascii="Times New Roman" w:hAnsi="Times New Roman"/>
        </w:rPr>
        <w:t>activity</w:t>
      </w:r>
      <w:r w:rsidRPr="00BC54D1">
        <w:rPr>
          <w:rFonts w:ascii="Times New Roman" w:hAnsi="Times New Roman"/>
        </w:rPr>
        <w:t xml:space="preserve"> from their internally generated funds</w:t>
      </w:r>
      <w:bookmarkEnd w:id="6"/>
      <w:r w:rsidRPr="00BC54D1">
        <w:rPr>
          <w:rFonts w:ascii="Times New Roman" w:hAnsi="Times New Roman"/>
        </w:rPr>
        <w:t xml:space="preserve">. </w:t>
      </w:r>
      <w:r w:rsidR="00772F58" w:rsidRPr="00BC54D1">
        <w:rPr>
          <w:rFonts w:ascii="Times New Roman" w:hAnsi="Times New Roman"/>
        </w:rPr>
        <w:t>Further</w:t>
      </w:r>
      <w:r w:rsidRPr="00BC54D1">
        <w:rPr>
          <w:rFonts w:ascii="Times New Roman" w:hAnsi="Times New Roman"/>
        </w:rPr>
        <w:t>, noting the financing benefits enjoy</w:t>
      </w:r>
      <w:r w:rsidR="0070102F" w:rsidRPr="00BC54D1">
        <w:rPr>
          <w:rFonts w:ascii="Times New Roman" w:hAnsi="Times New Roman"/>
        </w:rPr>
        <w:t>ed</w:t>
      </w:r>
      <w:r w:rsidRPr="00BC54D1">
        <w:rPr>
          <w:rFonts w:ascii="Times New Roman" w:hAnsi="Times New Roman"/>
        </w:rPr>
        <w:t xml:space="preserve"> by publicly listed firms and the private incentives of managers to engage in earnings management (Stein, 1989; Ferreira</w:t>
      </w:r>
      <w:r w:rsidR="00796CE9" w:rsidRPr="00BC54D1">
        <w:rPr>
          <w:rFonts w:ascii="Times New Roman" w:hAnsi="Times New Roman"/>
        </w:rPr>
        <w:t xml:space="preserve"> </w:t>
      </w:r>
      <w:r w:rsidR="00796CE9" w:rsidRPr="00BC54D1">
        <w:rPr>
          <w:rFonts w:ascii="Times New Roman" w:hAnsi="Times New Roman"/>
          <w:i/>
        </w:rPr>
        <w:t>et al</w:t>
      </w:r>
      <w:r w:rsidR="00796CE9" w:rsidRPr="00BC54D1">
        <w:rPr>
          <w:rFonts w:ascii="Times New Roman" w:hAnsi="Times New Roman"/>
        </w:rPr>
        <w:t>.</w:t>
      </w:r>
      <w:r w:rsidRPr="00BC54D1">
        <w:rPr>
          <w:rFonts w:ascii="Times New Roman" w:hAnsi="Times New Roman"/>
        </w:rPr>
        <w:t xml:space="preserve">, 2014; Acharya </w:t>
      </w:r>
      <w:r w:rsidR="00A44AC4" w:rsidRPr="00BC54D1">
        <w:rPr>
          <w:rFonts w:ascii="Times New Roman" w:hAnsi="Times New Roman"/>
        </w:rPr>
        <w:t>and</w:t>
      </w:r>
      <w:r w:rsidRPr="00BC54D1">
        <w:rPr>
          <w:rFonts w:ascii="Times New Roman" w:hAnsi="Times New Roman"/>
        </w:rPr>
        <w:t xml:space="preserve"> Lambrecht, 2015), it is less probable that managers of listed firms will use internally generated fund</w:t>
      </w:r>
      <w:r w:rsidR="00796CE9" w:rsidRPr="00BC54D1">
        <w:rPr>
          <w:rFonts w:ascii="Times New Roman" w:hAnsi="Times New Roman"/>
        </w:rPr>
        <w:t>s</w:t>
      </w:r>
      <w:r w:rsidRPr="00BC54D1">
        <w:rPr>
          <w:rFonts w:ascii="Times New Roman" w:hAnsi="Times New Roman"/>
        </w:rPr>
        <w:t xml:space="preserve"> to finance R&amp;D activity.</w:t>
      </w:r>
      <w:r w:rsidR="000254BF" w:rsidRPr="00BC54D1">
        <w:rPr>
          <w:rFonts w:ascii="Times New Roman" w:hAnsi="Times New Roman"/>
        </w:rPr>
        <w:t xml:space="preserve"> </w:t>
      </w:r>
      <w:r w:rsidRPr="00BC54D1">
        <w:rPr>
          <w:rFonts w:ascii="Times New Roman" w:hAnsi="Times New Roman"/>
        </w:rPr>
        <w:t>In line with th</w:t>
      </w:r>
      <w:r w:rsidR="00772F58" w:rsidRPr="00BC54D1">
        <w:rPr>
          <w:rFonts w:ascii="Times New Roman" w:hAnsi="Times New Roman"/>
        </w:rPr>
        <w:t>is</w:t>
      </w:r>
      <w:r w:rsidRPr="00BC54D1">
        <w:rPr>
          <w:rFonts w:ascii="Times New Roman" w:hAnsi="Times New Roman"/>
        </w:rPr>
        <w:t xml:space="preserve">, we reason that, relative to public firms, private ones are more likely to finance R&amp;D intensity from their internally generated cash flow due to their financial inflexibility problem. </w:t>
      </w:r>
    </w:p>
    <w:p w14:paraId="3C8E05F5" w14:textId="62F418B5" w:rsidR="0081032D" w:rsidRPr="00BC54D1" w:rsidRDefault="008E4200" w:rsidP="00A32C88">
      <w:pPr>
        <w:spacing w:before="120" w:after="120" w:line="360" w:lineRule="auto"/>
        <w:ind w:left="-15"/>
        <w:jc w:val="both"/>
        <w:rPr>
          <w:rFonts w:ascii="Times New Roman" w:hAnsi="Times New Roman"/>
        </w:rPr>
      </w:pPr>
      <w:r w:rsidRPr="00BC54D1">
        <w:rPr>
          <w:rFonts w:ascii="Times New Roman" w:hAnsi="Times New Roman"/>
        </w:rPr>
        <w:t xml:space="preserve">To test this empirically, we augment our baseline </w:t>
      </w:r>
      <w:proofErr w:type="spellStart"/>
      <w:r w:rsidRPr="00BC54D1">
        <w:rPr>
          <w:rFonts w:ascii="Times New Roman" w:hAnsi="Times New Roman"/>
        </w:rPr>
        <w:t>probit</w:t>
      </w:r>
      <w:proofErr w:type="spellEnd"/>
      <w:r w:rsidRPr="00BC54D1">
        <w:rPr>
          <w:rFonts w:ascii="Times New Roman" w:hAnsi="Times New Roman"/>
        </w:rPr>
        <w:t xml:space="preserve"> model (2) by including the interaction term (</w:t>
      </w:r>
      <w:r w:rsidRPr="00BC54D1">
        <w:rPr>
          <w:rFonts w:ascii="Times New Roman" w:hAnsi="Times New Roman"/>
          <w:i/>
          <w:iCs/>
        </w:rPr>
        <w:t>PRIV_CF</w:t>
      </w:r>
      <w:r w:rsidRPr="00BC54D1">
        <w:rPr>
          <w:rFonts w:ascii="Times New Roman" w:hAnsi="Times New Roman"/>
        </w:rPr>
        <w:t xml:space="preserve">). In Table </w:t>
      </w:r>
      <w:r w:rsidR="00DD56F2" w:rsidRPr="00BC54D1">
        <w:rPr>
          <w:rFonts w:ascii="Times New Roman" w:hAnsi="Times New Roman"/>
        </w:rPr>
        <w:t>V</w:t>
      </w:r>
      <w:r w:rsidR="00726C83" w:rsidRPr="00BC54D1">
        <w:rPr>
          <w:rFonts w:ascii="Times New Roman" w:hAnsi="Times New Roman"/>
        </w:rPr>
        <w:t>I</w:t>
      </w:r>
      <w:r w:rsidRPr="00BC54D1">
        <w:rPr>
          <w:rFonts w:ascii="Times New Roman" w:hAnsi="Times New Roman"/>
        </w:rPr>
        <w:t xml:space="preserve">, model 3 shows the coefficient estimates for the covariate term </w:t>
      </w:r>
      <w:r w:rsidRPr="00BC54D1">
        <w:rPr>
          <w:rFonts w:ascii="Times New Roman" w:hAnsi="Times New Roman"/>
          <w:i/>
          <w:iCs/>
        </w:rPr>
        <w:t>PRIV_ CF</w:t>
      </w:r>
      <w:r w:rsidRPr="00BC54D1">
        <w:rPr>
          <w:rFonts w:ascii="Times New Roman" w:hAnsi="Times New Roman"/>
        </w:rPr>
        <w:t xml:space="preserve"> to be positive and both statistically and economically significant at 1% confidence level. Thus, the </w:t>
      </w:r>
      <w:proofErr w:type="spellStart"/>
      <w:r w:rsidRPr="00BC54D1">
        <w:rPr>
          <w:rFonts w:ascii="Times New Roman" w:hAnsi="Times New Roman"/>
        </w:rPr>
        <w:t>probit</w:t>
      </w:r>
      <w:proofErr w:type="spellEnd"/>
      <w:r w:rsidRPr="00BC54D1">
        <w:rPr>
          <w:rFonts w:ascii="Times New Roman" w:hAnsi="Times New Roman"/>
        </w:rPr>
        <w:t xml:space="preserve"> model estimate is 1.035 (t-stats 3.45), </w:t>
      </w:r>
      <w:bookmarkStart w:id="7" w:name="_Hlk87706520"/>
      <w:r w:rsidRPr="00BC54D1">
        <w:rPr>
          <w:rFonts w:ascii="Times New Roman" w:hAnsi="Times New Roman"/>
        </w:rPr>
        <w:t>which suggests that</w:t>
      </w:r>
      <w:r w:rsidR="00796CE9" w:rsidRPr="00BC54D1">
        <w:rPr>
          <w:rFonts w:ascii="Times New Roman" w:hAnsi="Times New Roman"/>
        </w:rPr>
        <w:t>,</w:t>
      </w:r>
      <w:r w:rsidRPr="00BC54D1">
        <w:rPr>
          <w:rFonts w:ascii="Times New Roman" w:hAnsi="Times New Roman"/>
        </w:rPr>
        <w:t xml:space="preserve"> compared to public </w:t>
      </w:r>
      <w:r w:rsidRPr="00BC54D1">
        <w:rPr>
          <w:rFonts w:ascii="Times New Roman" w:hAnsi="Times New Roman"/>
        </w:rPr>
        <w:lastRenderedPageBreak/>
        <w:t>firms, private ones have a high likelihood to commit R&amp;D intensity when they have more internal cash flow</w:t>
      </w:r>
      <w:bookmarkEnd w:id="7"/>
      <w:r w:rsidRPr="00BC54D1">
        <w:rPr>
          <w:rFonts w:ascii="Times New Roman" w:hAnsi="Times New Roman"/>
        </w:rPr>
        <w:t>, which is consistent with</w:t>
      </w:r>
      <w:r w:rsidR="000254BF" w:rsidRPr="00BC54D1">
        <w:rPr>
          <w:rFonts w:ascii="Times New Roman" w:hAnsi="Times New Roman"/>
        </w:rPr>
        <w:t xml:space="preserve"> argument in the extant literature (see e.g.,</w:t>
      </w:r>
      <w:r w:rsidRPr="00BC54D1">
        <w:rPr>
          <w:rFonts w:ascii="Times New Roman" w:hAnsi="Times New Roman"/>
        </w:rPr>
        <w:t xml:space="preserve"> Acharya and Xu</w:t>
      </w:r>
      <w:r w:rsidR="000254BF" w:rsidRPr="00BC54D1">
        <w:rPr>
          <w:rFonts w:ascii="Times New Roman" w:hAnsi="Times New Roman"/>
        </w:rPr>
        <w:t xml:space="preserve">, </w:t>
      </w:r>
      <w:r w:rsidRPr="00BC54D1">
        <w:rPr>
          <w:rFonts w:ascii="Times New Roman" w:hAnsi="Times New Roman"/>
        </w:rPr>
        <w:t>2017</w:t>
      </w:r>
      <w:r w:rsidR="008E7F16" w:rsidRPr="00BC54D1">
        <w:rPr>
          <w:rFonts w:ascii="Times New Roman" w:hAnsi="Times New Roman"/>
        </w:rPr>
        <w:t xml:space="preserve">; </w:t>
      </w:r>
      <w:r w:rsidR="00161109" w:rsidRPr="00BC54D1">
        <w:rPr>
          <w:rFonts w:ascii="Times New Roman" w:hAnsi="Times New Roman"/>
        </w:rPr>
        <w:t xml:space="preserve">He and </w:t>
      </w:r>
      <w:proofErr w:type="spellStart"/>
      <w:r w:rsidR="00161109" w:rsidRPr="00BC54D1">
        <w:rPr>
          <w:rFonts w:ascii="Times New Roman" w:hAnsi="Times New Roman"/>
        </w:rPr>
        <w:t>Wintoki</w:t>
      </w:r>
      <w:proofErr w:type="spellEnd"/>
      <w:r w:rsidR="00161109" w:rsidRPr="00BC54D1">
        <w:rPr>
          <w:rFonts w:ascii="Times New Roman" w:hAnsi="Times New Roman"/>
        </w:rPr>
        <w:t xml:space="preserve">, 2016; </w:t>
      </w:r>
      <w:r w:rsidR="008E7F16" w:rsidRPr="00BC54D1">
        <w:rPr>
          <w:rFonts w:ascii="Times New Roman" w:hAnsi="Times New Roman"/>
        </w:rPr>
        <w:t>Brown and Petersen, 2011</w:t>
      </w:r>
      <w:r w:rsidRPr="00BC54D1">
        <w:rPr>
          <w:rFonts w:ascii="Times New Roman" w:hAnsi="Times New Roman"/>
        </w:rPr>
        <w:t xml:space="preserve">). Thus, relative to public firms, privately owned firms are more </w:t>
      </w:r>
      <w:r w:rsidR="00796CE9" w:rsidRPr="00BC54D1">
        <w:rPr>
          <w:rFonts w:ascii="Times New Roman" w:hAnsi="Times New Roman"/>
        </w:rPr>
        <w:t xml:space="preserve">likely </w:t>
      </w:r>
      <w:r w:rsidRPr="00BC54D1">
        <w:rPr>
          <w:rFonts w:ascii="Times New Roman" w:hAnsi="Times New Roman"/>
        </w:rPr>
        <w:t>to increase innovation (R&amp;D) intensity when they hold more internal cash.</w:t>
      </w:r>
    </w:p>
    <w:p w14:paraId="2C312F13" w14:textId="77777777" w:rsidR="00A32C88" w:rsidRPr="00BC54D1" w:rsidRDefault="00A32C88" w:rsidP="00A32C88">
      <w:pPr>
        <w:spacing w:before="120" w:after="120" w:line="360" w:lineRule="auto"/>
        <w:ind w:left="-15"/>
        <w:jc w:val="both"/>
        <w:rPr>
          <w:rFonts w:ascii="Times New Roman" w:hAnsi="Times New Roman"/>
        </w:rPr>
      </w:pPr>
    </w:p>
    <w:p w14:paraId="50445C5D" w14:textId="04198D21" w:rsidR="008E4200" w:rsidRPr="00BC54D1" w:rsidRDefault="008E4200" w:rsidP="00B123B7">
      <w:pPr>
        <w:spacing w:before="100" w:beforeAutospacing="1" w:after="100" w:afterAutospacing="1" w:line="360" w:lineRule="auto"/>
        <w:rPr>
          <w:rFonts w:ascii="Times New Roman" w:hAnsi="Times New Roman"/>
          <w:b/>
          <w:bCs/>
        </w:rPr>
      </w:pPr>
      <w:r w:rsidRPr="00BC54D1">
        <w:rPr>
          <w:rFonts w:ascii="Times New Roman" w:hAnsi="Times New Roman"/>
          <w:b/>
          <w:bCs/>
          <w:i/>
          <w:iCs/>
        </w:rPr>
        <w:t>4.</w:t>
      </w:r>
      <w:r w:rsidR="00B957FC" w:rsidRPr="00BC54D1">
        <w:rPr>
          <w:rFonts w:ascii="Times New Roman" w:hAnsi="Times New Roman"/>
          <w:b/>
          <w:bCs/>
          <w:i/>
          <w:iCs/>
        </w:rPr>
        <w:t>5</w:t>
      </w:r>
      <w:r w:rsidRPr="00BC54D1">
        <w:rPr>
          <w:rFonts w:ascii="Times New Roman" w:hAnsi="Times New Roman"/>
          <w:b/>
          <w:bCs/>
          <w:i/>
          <w:iCs/>
        </w:rPr>
        <w:t xml:space="preserve">. Firm </w:t>
      </w:r>
      <w:r w:rsidR="00E4596A" w:rsidRPr="00BC54D1">
        <w:rPr>
          <w:rFonts w:ascii="Times New Roman" w:hAnsi="Times New Roman"/>
          <w:b/>
          <w:bCs/>
          <w:i/>
          <w:iCs/>
        </w:rPr>
        <w:t>l</w:t>
      </w:r>
      <w:r w:rsidRPr="00BC54D1">
        <w:rPr>
          <w:rFonts w:ascii="Times New Roman" w:hAnsi="Times New Roman"/>
          <w:b/>
          <w:bCs/>
          <w:i/>
          <w:iCs/>
        </w:rPr>
        <w:t xml:space="preserve">isting </w:t>
      </w:r>
      <w:r w:rsidR="00E4596A" w:rsidRPr="00BC54D1">
        <w:rPr>
          <w:rFonts w:ascii="Times New Roman" w:hAnsi="Times New Roman"/>
          <w:b/>
          <w:bCs/>
          <w:i/>
          <w:iCs/>
        </w:rPr>
        <w:t>s</w:t>
      </w:r>
      <w:r w:rsidRPr="00BC54D1">
        <w:rPr>
          <w:rFonts w:ascii="Times New Roman" w:hAnsi="Times New Roman"/>
          <w:b/>
          <w:bCs/>
          <w:i/>
          <w:iCs/>
        </w:rPr>
        <w:t>tatus (</w:t>
      </w:r>
      <w:r w:rsidR="00E4596A" w:rsidRPr="00BC54D1">
        <w:rPr>
          <w:rFonts w:ascii="Times New Roman" w:hAnsi="Times New Roman"/>
          <w:b/>
          <w:bCs/>
          <w:i/>
          <w:iCs/>
        </w:rPr>
        <w:t>p</w:t>
      </w:r>
      <w:r w:rsidRPr="00BC54D1">
        <w:rPr>
          <w:rFonts w:ascii="Times New Roman" w:hAnsi="Times New Roman"/>
          <w:b/>
          <w:bCs/>
          <w:i/>
          <w:iCs/>
        </w:rPr>
        <w:t xml:space="preserve">rivate vs </w:t>
      </w:r>
      <w:r w:rsidR="00E4596A" w:rsidRPr="00BC54D1">
        <w:rPr>
          <w:rFonts w:ascii="Times New Roman" w:hAnsi="Times New Roman"/>
          <w:b/>
          <w:bCs/>
          <w:i/>
          <w:iCs/>
        </w:rPr>
        <w:t>p</w:t>
      </w:r>
      <w:r w:rsidRPr="00BC54D1">
        <w:rPr>
          <w:rFonts w:ascii="Times New Roman" w:hAnsi="Times New Roman"/>
          <w:b/>
          <w:bCs/>
          <w:i/>
          <w:iCs/>
        </w:rPr>
        <w:t xml:space="preserve">ublic) and R&amp;D intensity: the role of leverage </w:t>
      </w:r>
    </w:p>
    <w:p w14:paraId="69982E94" w14:textId="59283624" w:rsidR="008E4200" w:rsidRPr="00BC54D1" w:rsidRDefault="008E4200" w:rsidP="00A32C88">
      <w:pPr>
        <w:spacing w:before="120" w:after="120" w:line="360" w:lineRule="auto"/>
        <w:jc w:val="both"/>
        <w:rPr>
          <w:rFonts w:ascii="Times New Roman" w:hAnsi="Times New Roman"/>
        </w:rPr>
      </w:pPr>
      <w:r w:rsidRPr="00BC54D1">
        <w:rPr>
          <w:rFonts w:ascii="Times New Roman" w:hAnsi="Times New Roman"/>
        </w:rPr>
        <w:t xml:space="preserve">Rajan (2012) posits that the ability to secure external capital alters the innovative nature of firms. Relative to private firms, public entities enjoy the benefits of cheaply raising capital from the equity markets to innovate, transform and create value for shareholders (Acharya </w:t>
      </w:r>
      <w:r w:rsidR="00C85F12" w:rsidRPr="00BC54D1">
        <w:rPr>
          <w:rFonts w:ascii="Times New Roman" w:hAnsi="Times New Roman"/>
        </w:rPr>
        <w:t>and</w:t>
      </w:r>
      <w:r w:rsidRPr="00BC54D1">
        <w:rPr>
          <w:rFonts w:ascii="Times New Roman" w:hAnsi="Times New Roman"/>
        </w:rPr>
        <w:t xml:space="preserve"> Xu, 2017</w:t>
      </w:r>
      <w:r w:rsidR="00CA1407" w:rsidRPr="00BC54D1">
        <w:rPr>
          <w:rFonts w:ascii="Times New Roman" w:hAnsi="Times New Roman"/>
        </w:rPr>
        <w:t xml:space="preserve">; Brown </w:t>
      </w:r>
      <w:r w:rsidR="00CA1407" w:rsidRPr="00BC54D1">
        <w:rPr>
          <w:rFonts w:ascii="Times New Roman" w:hAnsi="Times New Roman"/>
          <w:i/>
          <w:iCs/>
        </w:rPr>
        <w:t>et al</w:t>
      </w:r>
      <w:r w:rsidR="00CA1407" w:rsidRPr="00BC54D1">
        <w:rPr>
          <w:rFonts w:ascii="Times New Roman" w:hAnsi="Times New Roman"/>
          <w:iCs/>
        </w:rPr>
        <w:t>.,</w:t>
      </w:r>
      <w:r w:rsidR="00CA1407" w:rsidRPr="00BC54D1">
        <w:rPr>
          <w:rFonts w:ascii="Times New Roman" w:hAnsi="Times New Roman"/>
        </w:rPr>
        <w:t xml:space="preserve"> 2012</w:t>
      </w:r>
      <w:r w:rsidRPr="00BC54D1">
        <w:rPr>
          <w:rFonts w:ascii="Times New Roman" w:hAnsi="Times New Roman"/>
        </w:rPr>
        <w:t xml:space="preserve">). This makes equity capital </w:t>
      </w:r>
      <w:proofErr w:type="gramStart"/>
      <w:r w:rsidRPr="00BC54D1">
        <w:rPr>
          <w:rFonts w:ascii="Times New Roman" w:hAnsi="Times New Roman"/>
        </w:rPr>
        <w:t>more preferable</w:t>
      </w:r>
      <w:proofErr w:type="gramEnd"/>
      <w:r w:rsidRPr="00BC54D1">
        <w:rPr>
          <w:rFonts w:ascii="Times New Roman" w:hAnsi="Times New Roman"/>
        </w:rPr>
        <w:t xml:space="preserve"> to debt in financing innovation activity (Hall </w:t>
      </w:r>
      <w:r w:rsidR="00C85F12" w:rsidRPr="00BC54D1">
        <w:rPr>
          <w:rFonts w:ascii="Times New Roman" w:hAnsi="Times New Roman"/>
        </w:rPr>
        <w:t>and</w:t>
      </w:r>
      <w:r w:rsidRPr="00BC54D1">
        <w:rPr>
          <w:rFonts w:ascii="Times New Roman" w:hAnsi="Times New Roman"/>
        </w:rPr>
        <w:t xml:space="preserve"> Lerner, 2010). Further,</w:t>
      </w:r>
      <w:r w:rsidR="00796CE9" w:rsidRPr="00BC54D1">
        <w:rPr>
          <w:rFonts w:ascii="Times New Roman" w:hAnsi="Times New Roman"/>
        </w:rPr>
        <w:t xml:space="preserve"> given</w:t>
      </w:r>
      <w:r w:rsidRPr="00BC54D1">
        <w:rPr>
          <w:rFonts w:ascii="Times New Roman" w:hAnsi="Times New Roman"/>
        </w:rPr>
        <w:t xml:space="preserve"> the possibility of losing critical collateral assets to creditors in the event of innovation project failure (Rajan, 2012), listed firms find it more convenient to issue equity to finance such projects (Hall </w:t>
      </w:r>
      <w:r w:rsidR="00583D2A" w:rsidRPr="00BC54D1">
        <w:rPr>
          <w:rFonts w:ascii="Times New Roman" w:hAnsi="Times New Roman"/>
        </w:rPr>
        <w:t>and</w:t>
      </w:r>
      <w:r w:rsidRPr="00BC54D1">
        <w:rPr>
          <w:rFonts w:ascii="Times New Roman" w:hAnsi="Times New Roman"/>
        </w:rPr>
        <w:t xml:space="preserve"> Lerner, 2010; Acharya </w:t>
      </w:r>
      <w:r w:rsidR="001A353C" w:rsidRPr="00BC54D1">
        <w:rPr>
          <w:rFonts w:ascii="Times New Roman" w:hAnsi="Times New Roman"/>
        </w:rPr>
        <w:t>and</w:t>
      </w:r>
      <w:r w:rsidRPr="00BC54D1">
        <w:rPr>
          <w:rFonts w:ascii="Times New Roman" w:hAnsi="Times New Roman"/>
        </w:rPr>
        <w:t xml:space="preserve"> Xu, 2017). In contrast, privately held firms have limited external financing options (i.e., debt only) and this limitation cause</w:t>
      </w:r>
      <w:r w:rsidR="00796CE9" w:rsidRPr="00BC54D1">
        <w:rPr>
          <w:rFonts w:ascii="Times New Roman" w:hAnsi="Times New Roman"/>
        </w:rPr>
        <w:t>s</w:t>
      </w:r>
      <w:r w:rsidRPr="00BC54D1">
        <w:rPr>
          <w:rFonts w:ascii="Times New Roman" w:hAnsi="Times New Roman"/>
        </w:rPr>
        <w:t xml:space="preserve"> these firms to use more debt financing</w:t>
      </w:r>
      <w:r w:rsidR="00796CE9" w:rsidRPr="00BC54D1">
        <w:rPr>
          <w:rFonts w:ascii="Times New Roman" w:hAnsi="Times New Roman"/>
        </w:rPr>
        <w:t>,</w:t>
      </w:r>
      <w:r w:rsidRPr="00BC54D1">
        <w:rPr>
          <w:rFonts w:ascii="Times New Roman" w:hAnsi="Times New Roman"/>
        </w:rPr>
        <w:t xml:space="preserve"> especially when internal funds are inadequate (</w:t>
      </w:r>
      <w:proofErr w:type="spellStart"/>
      <w:r w:rsidRPr="00BC54D1">
        <w:rPr>
          <w:rFonts w:ascii="Times New Roman" w:hAnsi="Times New Roman"/>
        </w:rPr>
        <w:t>Brav</w:t>
      </w:r>
      <w:proofErr w:type="spellEnd"/>
      <w:r w:rsidRPr="00BC54D1">
        <w:rPr>
          <w:rFonts w:ascii="Times New Roman" w:hAnsi="Times New Roman"/>
        </w:rPr>
        <w:t>, 2009; Asker</w:t>
      </w:r>
      <w:r w:rsidR="00796CE9" w:rsidRPr="00BC54D1">
        <w:rPr>
          <w:rFonts w:ascii="Times New Roman" w:hAnsi="Times New Roman"/>
        </w:rPr>
        <w:t xml:space="preserve"> </w:t>
      </w:r>
      <w:r w:rsidR="00796CE9" w:rsidRPr="00BC54D1">
        <w:rPr>
          <w:rFonts w:ascii="Times New Roman" w:hAnsi="Times New Roman"/>
          <w:i/>
        </w:rPr>
        <w:t>et al</w:t>
      </w:r>
      <w:r w:rsidR="00796CE9" w:rsidRPr="00BC54D1">
        <w:rPr>
          <w:rFonts w:ascii="Times New Roman" w:hAnsi="Times New Roman"/>
        </w:rPr>
        <w:t>.</w:t>
      </w:r>
      <w:r w:rsidRPr="00BC54D1">
        <w:rPr>
          <w:rFonts w:ascii="Times New Roman" w:hAnsi="Times New Roman"/>
        </w:rPr>
        <w:t>, 2012; Gao</w:t>
      </w:r>
      <w:r w:rsidR="00796CE9" w:rsidRPr="00BC54D1">
        <w:rPr>
          <w:rFonts w:ascii="Times New Roman" w:hAnsi="Times New Roman"/>
        </w:rPr>
        <w:t xml:space="preserve"> </w:t>
      </w:r>
      <w:r w:rsidR="00796CE9" w:rsidRPr="00BC54D1">
        <w:rPr>
          <w:rFonts w:ascii="Times New Roman" w:hAnsi="Times New Roman"/>
          <w:i/>
        </w:rPr>
        <w:t>et al</w:t>
      </w:r>
      <w:r w:rsidR="00796CE9" w:rsidRPr="00BC54D1">
        <w:rPr>
          <w:rFonts w:ascii="Times New Roman" w:hAnsi="Times New Roman"/>
        </w:rPr>
        <w:t>.</w:t>
      </w:r>
      <w:r w:rsidRPr="00BC54D1">
        <w:rPr>
          <w:rFonts w:ascii="Times New Roman" w:hAnsi="Times New Roman"/>
        </w:rPr>
        <w:t xml:space="preserve">, 2013). For instance, Gao </w:t>
      </w:r>
      <w:r w:rsidRPr="00BC54D1">
        <w:rPr>
          <w:rFonts w:ascii="Times New Roman" w:hAnsi="Times New Roman"/>
          <w:i/>
          <w:iCs/>
        </w:rPr>
        <w:t>et al</w:t>
      </w:r>
      <w:r w:rsidRPr="00BC54D1">
        <w:rPr>
          <w:rFonts w:ascii="Times New Roman" w:hAnsi="Times New Roman"/>
          <w:iCs/>
        </w:rPr>
        <w:t>.</w:t>
      </w:r>
      <w:r w:rsidRPr="00BC54D1">
        <w:rPr>
          <w:rFonts w:ascii="Times New Roman" w:hAnsi="Times New Roman"/>
        </w:rPr>
        <w:t xml:space="preserve"> (2013) suggest that private firms drastically keep higher leverage than their public counterparts. Given th</w:t>
      </w:r>
      <w:r w:rsidR="00D97726" w:rsidRPr="00BC54D1">
        <w:rPr>
          <w:rFonts w:ascii="Times New Roman" w:hAnsi="Times New Roman"/>
        </w:rPr>
        <w:t>is</w:t>
      </w:r>
      <w:r w:rsidRPr="00BC54D1">
        <w:rPr>
          <w:rFonts w:ascii="Times New Roman" w:hAnsi="Times New Roman"/>
        </w:rPr>
        <w:t xml:space="preserve"> contrasting argument, it is </w:t>
      </w:r>
      <w:r w:rsidR="00D97726" w:rsidRPr="00BC54D1">
        <w:rPr>
          <w:rFonts w:ascii="Times New Roman" w:hAnsi="Times New Roman"/>
        </w:rPr>
        <w:t xml:space="preserve">more </w:t>
      </w:r>
      <w:r w:rsidRPr="00BC54D1">
        <w:rPr>
          <w:rFonts w:ascii="Times New Roman" w:hAnsi="Times New Roman"/>
        </w:rPr>
        <w:t xml:space="preserve">probable that </w:t>
      </w:r>
      <w:r w:rsidR="00D97726" w:rsidRPr="00BC54D1">
        <w:rPr>
          <w:rFonts w:ascii="Times New Roman" w:hAnsi="Times New Roman"/>
        </w:rPr>
        <w:t xml:space="preserve">the </w:t>
      </w:r>
      <w:r w:rsidRPr="00BC54D1">
        <w:rPr>
          <w:rFonts w:ascii="Times New Roman" w:hAnsi="Times New Roman"/>
        </w:rPr>
        <w:t>private firms’ R&amp;D intensity will be more sensitive to leverage than the public ones</w:t>
      </w:r>
      <w:r w:rsidR="00390141" w:rsidRPr="00BC54D1">
        <w:rPr>
          <w:rFonts w:ascii="Times New Roman" w:hAnsi="Times New Roman"/>
        </w:rPr>
        <w:t>.</w:t>
      </w:r>
      <w:r w:rsidRPr="00BC54D1">
        <w:rPr>
          <w:rFonts w:ascii="Times New Roman" w:hAnsi="Times New Roman"/>
        </w:rPr>
        <w:t xml:space="preserve"> </w:t>
      </w:r>
    </w:p>
    <w:p w14:paraId="26E577F0" w14:textId="7A95EA4E" w:rsidR="000B023E" w:rsidRPr="00BC54D1" w:rsidRDefault="008E4200" w:rsidP="00A32C88">
      <w:pPr>
        <w:spacing w:before="120" w:after="120" w:line="360" w:lineRule="auto"/>
        <w:ind w:left="-15"/>
        <w:jc w:val="both"/>
        <w:rPr>
          <w:rFonts w:ascii="Times New Roman" w:hAnsi="Times New Roman"/>
        </w:rPr>
      </w:pPr>
      <w:r w:rsidRPr="00BC54D1">
        <w:rPr>
          <w:rFonts w:ascii="Times New Roman" w:hAnsi="Times New Roman"/>
        </w:rPr>
        <w:t>To empirically test this assumption, we interact our independent dummy variable (</w:t>
      </w:r>
      <w:r w:rsidRPr="00BC54D1">
        <w:rPr>
          <w:rFonts w:ascii="Times New Roman" w:hAnsi="Times New Roman"/>
          <w:i/>
          <w:iCs/>
        </w:rPr>
        <w:t>PRIV = 1 or 0</w:t>
      </w:r>
      <w:r w:rsidRPr="00BC54D1">
        <w:rPr>
          <w:rFonts w:ascii="Times New Roman" w:hAnsi="Times New Roman"/>
        </w:rPr>
        <w:t xml:space="preserve">) with leverage (LEV) and then include the interaction term in the fully specified </w:t>
      </w:r>
      <w:proofErr w:type="spellStart"/>
      <w:r w:rsidRPr="00BC54D1">
        <w:rPr>
          <w:rFonts w:ascii="Times New Roman" w:hAnsi="Times New Roman"/>
        </w:rPr>
        <w:t>probit</w:t>
      </w:r>
      <w:proofErr w:type="spellEnd"/>
      <w:r w:rsidRPr="00BC54D1">
        <w:rPr>
          <w:rFonts w:ascii="Times New Roman" w:hAnsi="Times New Roman"/>
        </w:rPr>
        <w:t xml:space="preserve"> model (1). Table </w:t>
      </w:r>
      <w:r w:rsidR="00DD56F2" w:rsidRPr="00BC54D1">
        <w:rPr>
          <w:rFonts w:ascii="Times New Roman" w:hAnsi="Times New Roman"/>
        </w:rPr>
        <w:t>V</w:t>
      </w:r>
      <w:r w:rsidR="001C0168" w:rsidRPr="00BC54D1">
        <w:rPr>
          <w:rFonts w:ascii="Times New Roman" w:hAnsi="Times New Roman"/>
        </w:rPr>
        <w:t>I</w:t>
      </w:r>
      <w:r w:rsidRPr="00BC54D1">
        <w:rPr>
          <w:rFonts w:ascii="Times New Roman" w:hAnsi="Times New Roman"/>
        </w:rPr>
        <w:t xml:space="preserve"> presents the results. Specifically, our finding shows that the coefficient for </w:t>
      </w:r>
      <w:r w:rsidRPr="00BC54D1">
        <w:rPr>
          <w:rFonts w:ascii="Times New Roman" w:hAnsi="Times New Roman"/>
          <w:i/>
          <w:iCs/>
        </w:rPr>
        <w:t>PRIV_LEV</w:t>
      </w:r>
      <w:r w:rsidRPr="00BC54D1">
        <w:rPr>
          <w:rFonts w:ascii="Times New Roman" w:hAnsi="Times New Roman"/>
        </w:rPr>
        <w:t xml:space="preserve"> is both positive and significant, </w:t>
      </w:r>
      <w:bookmarkStart w:id="8" w:name="_Hlk87706583"/>
      <w:r w:rsidRPr="00BC54D1">
        <w:rPr>
          <w:rFonts w:ascii="Times New Roman" w:hAnsi="Times New Roman"/>
        </w:rPr>
        <w:t>indicating that privately</w:t>
      </w:r>
      <w:r w:rsidR="00796CE9" w:rsidRPr="00BC54D1">
        <w:rPr>
          <w:rFonts w:ascii="Times New Roman" w:hAnsi="Times New Roman"/>
        </w:rPr>
        <w:t xml:space="preserve"> </w:t>
      </w:r>
      <w:r w:rsidRPr="00BC54D1">
        <w:rPr>
          <w:rFonts w:ascii="Times New Roman" w:hAnsi="Times New Roman"/>
        </w:rPr>
        <w:t>held firms are more likely to use debt financing to support innovation (R&amp;D) intensity than their public counterparts</w:t>
      </w:r>
      <w:bookmarkEnd w:id="8"/>
      <w:r w:rsidRPr="00BC54D1">
        <w:rPr>
          <w:rFonts w:ascii="Times New Roman" w:hAnsi="Times New Roman"/>
        </w:rPr>
        <w:t>. The overall results suggest that the limited external financing options of private firms force them to apply more debt to financing R&amp;D intensity compared to public ones</w:t>
      </w:r>
      <w:r w:rsidR="00993D5D" w:rsidRPr="00BC54D1">
        <w:rPr>
          <w:rFonts w:ascii="Times New Roman" w:hAnsi="Times New Roman"/>
        </w:rPr>
        <w:t xml:space="preserve"> (Acharya </w:t>
      </w:r>
      <w:r w:rsidR="00583D2A" w:rsidRPr="00BC54D1">
        <w:rPr>
          <w:rFonts w:ascii="Times New Roman" w:hAnsi="Times New Roman"/>
        </w:rPr>
        <w:t>and</w:t>
      </w:r>
      <w:r w:rsidR="00993D5D" w:rsidRPr="00BC54D1">
        <w:rPr>
          <w:rFonts w:ascii="Times New Roman" w:hAnsi="Times New Roman"/>
        </w:rPr>
        <w:t xml:space="preserve"> Xu, 2017; </w:t>
      </w:r>
      <w:r w:rsidR="00C85D75" w:rsidRPr="00BC54D1">
        <w:rPr>
          <w:rFonts w:ascii="Times New Roman" w:hAnsi="Times New Roman"/>
        </w:rPr>
        <w:t xml:space="preserve">Gao </w:t>
      </w:r>
      <w:r w:rsidR="00C85D75" w:rsidRPr="00BC54D1">
        <w:rPr>
          <w:rFonts w:ascii="Times New Roman" w:hAnsi="Times New Roman"/>
          <w:i/>
          <w:iCs/>
        </w:rPr>
        <w:t>et al</w:t>
      </w:r>
      <w:r w:rsidR="00C85D75" w:rsidRPr="00BC54D1">
        <w:rPr>
          <w:rFonts w:ascii="Times New Roman" w:hAnsi="Times New Roman"/>
          <w:iCs/>
        </w:rPr>
        <w:t>.,</w:t>
      </w:r>
      <w:r w:rsidR="00C85D75" w:rsidRPr="00BC54D1">
        <w:rPr>
          <w:rFonts w:ascii="Times New Roman" w:hAnsi="Times New Roman"/>
        </w:rPr>
        <w:t xml:space="preserve"> 2013; </w:t>
      </w:r>
      <w:proofErr w:type="spellStart"/>
      <w:r w:rsidR="00C85D75" w:rsidRPr="00BC54D1">
        <w:rPr>
          <w:rFonts w:ascii="Times New Roman" w:hAnsi="Times New Roman"/>
        </w:rPr>
        <w:t>Brav</w:t>
      </w:r>
      <w:proofErr w:type="spellEnd"/>
      <w:r w:rsidR="00C85D75" w:rsidRPr="00BC54D1">
        <w:rPr>
          <w:rFonts w:ascii="Times New Roman" w:hAnsi="Times New Roman"/>
        </w:rPr>
        <w:t>, 2009)</w:t>
      </w:r>
      <w:r w:rsidRPr="00BC54D1">
        <w:rPr>
          <w:rFonts w:ascii="Times New Roman" w:hAnsi="Times New Roman"/>
        </w:rPr>
        <w:t xml:space="preserve">. </w:t>
      </w:r>
      <w:r w:rsidR="008328D2" w:rsidRPr="00BC54D1">
        <w:rPr>
          <w:rFonts w:ascii="Times New Roman" w:hAnsi="Times New Roman"/>
        </w:rPr>
        <w:t>This is inconsistent with the claim that private entrepreneurs</w:t>
      </w:r>
      <w:r w:rsidR="00796CE9" w:rsidRPr="00BC54D1">
        <w:rPr>
          <w:rFonts w:ascii="Times New Roman" w:hAnsi="Times New Roman"/>
        </w:rPr>
        <w:t>’</w:t>
      </w:r>
      <w:r w:rsidR="008328D2" w:rsidRPr="00BC54D1">
        <w:rPr>
          <w:rFonts w:ascii="Times New Roman" w:hAnsi="Times New Roman"/>
        </w:rPr>
        <w:t xml:space="preserve"> fear of losing collateral security may prevent them from financing innovative activities with debt (Rajan, 2012). </w:t>
      </w:r>
      <w:r w:rsidRPr="00BC54D1">
        <w:rPr>
          <w:rFonts w:ascii="Times New Roman" w:hAnsi="Times New Roman"/>
        </w:rPr>
        <w:t xml:space="preserve">Thus, </w:t>
      </w:r>
      <w:r w:rsidR="008328D2" w:rsidRPr="00BC54D1">
        <w:rPr>
          <w:rFonts w:ascii="Times New Roman" w:hAnsi="Times New Roman"/>
        </w:rPr>
        <w:t>the limited</w:t>
      </w:r>
      <w:r w:rsidRPr="00BC54D1">
        <w:rPr>
          <w:rFonts w:ascii="Times New Roman" w:hAnsi="Times New Roman"/>
        </w:rPr>
        <w:t xml:space="preserve"> financing options available to </w:t>
      </w:r>
      <w:r w:rsidR="008328D2" w:rsidRPr="00BC54D1">
        <w:rPr>
          <w:rFonts w:ascii="Times New Roman" w:hAnsi="Times New Roman"/>
        </w:rPr>
        <w:t>these</w:t>
      </w:r>
      <w:r w:rsidR="00603A33" w:rsidRPr="00BC54D1">
        <w:rPr>
          <w:rFonts w:ascii="Times New Roman" w:hAnsi="Times New Roman"/>
        </w:rPr>
        <w:t xml:space="preserve"> </w:t>
      </w:r>
      <w:r w:rsidRPr="00BC54D1">
        <w:rPr>
          <w:rFonts w:ascii="Times New Roman" w:hAnsi="Times New Roman"/>
        </w:rPr>
        <w:t>private</w:t>
      </w:r>
      <w:r w:rsidR="00603A33" w:rsidRPr="00BC54D1">
        <w:rPr>
          <w:rFonts w:ascii="Times New Roman" w:hAnsi="Times New Roman"/>
        </w:rPr>
        <w:t xml:space="preserve"> R&amp;D</w:t>
      </w:r>
      <w:r w:rsidR="008328D2" w:rsidRPr="00BC54D1">
        <w:rPr>
          <w:rFonts w:ascii="Times New Roman" w:hAnsi="Times New Roman"/>
        </w:rPr>
        <w:t xml:space="preserve"> firms</w:t>
      </w:r>
      <w:r w:rsidRPr="00BC54D1">
        <w:rPr>
          <w:rFonts w:ascii="Times New Roman" w:hAnsi="Times New Roman"/>
        </w:rPr>
        <w:t xml:space="preserve"> </w:t>
      </w:r>
      <w:r w:rsidR="008328D2" w:rsidRPr="00BC54D1">
        <w:rPr>
          <w:rFonts w:ascii="Times New Roman" w:hAnsi="Times New Roman"/>
        </w:rPr>
        <w:t xml:space="preserve">make them more likely to </w:t>
      </w:r>
      <w:r w:rsidR="007112FB" w:rsidRPr="00BC54D1">
        <w:rPr>
          <w:rFonts w:ascii="Times New Roman" w:hAnsi="Times New Roman"/>
        </w:rPr>
        <w:t>use debt financing</w:t>
      </w:r>
      <w:r w:rsidR="00796CE9" w:rsidRPr="00BC54D1">
        <w:rPr>
          <w:rFonts w:ascii="Times New Roman" w:hAnsi="Times New Roman"/>
        </w:rPr>
        <w:t>,</w:t>
      </w:r>
      <w:r w:rsidR="007112FB" w:rsidRPr="00BC54D1">
        <w:rPr>
          <w:rFonts w:ascii="Times New Roman" w:hAnsi="Times New Roman"/>
        </w:rPr>
        <w:t xml:space="preserve"> </w:t>
      </w:r>
      <w:r w:rsidR="00603A33" w:rsidRPr="00BC54D1">
        <w:rPr>
          <w:rFonts w:ascii="Times New Roman" w:hAnsi="Times New Roman"/>
        </w:rPr>
        <w:t>unlike their public counterparts.</w:t>
      </w:r>
      <w:r w:rsidRPr="00BC54D1">
        <w:rPr>
          <w:rFonts w:ascii="Times New Roman" w:hAnsi="Times New Roman"/>
        </w:rPr>
        <w:t xml:space="preserve"> </w:t>
      </w:r>
    </w:p>
    <w:p w14:paraId="4CE5D4AA" w14:textId="4178FCD1" w:rsidR="008E4200" w:rsidRPr="00BC54D1" w:rsidRDefault="008E4200" w:rsidP="00A32C88">
      <w:pPr>
        <w:spacing w:before="120" w:after="120" w:line="360" w:lineRule="auto"/>
        <w:jc w:val="both"/>
        <w:rPr>
          <w:rFonts w:ascii="Times New Roman" w:hAnsi="Times New Roman"/>
        </w:rPr>
      </w:pPr>
    </w:p>
    <w:p w14:paraId="281C61A4" w14:textId="644AA5A6" w:rsidR="008E4200" w:rsidRPr="00BC54D1" w:rsidRDefault="008E4200" w:rsidP="00CA3A97">
      <w:pPr>
        <w:spacing w:line="360" w:lineRule="auto"/>
        <w:jc w:val="both"/>
        <w:rPr>
          <w:rFonts w:ascii="Times New Roman" w:hAnsi="Times New Roman"/>
          <w:b/>
          <w:bCs/>
          <w:i/>
          <w:iCs/>
        </w:rPr>
      </w:pPr>
      <w:r w:rsidRPr="00BC54D1">
        <w:rPr>
          <w:rFonts w:ascii="Times New Roman" w:hAnsi="Times New Roman"/>
          <w:b/>
          <w:bCs/>
          <w:i/>
          <w:iCs/>
        </w:rPr>
        <w:t>4.</w:t>
      </w:r>
      <w:r w:rsidR="00B957FC" w:rsidRPr="00BC54D1">
        <w:rPr>
          <w:rFonts w:ascii="Times New Roman" w:hAnsi="Times New Roman"/>
          <w:b/>
          <w:bCs/>
          <w:i/>
          <w:iCs/>
        </w:rPr>
        <w:t>6</w:t>
      </w:r>
      <w:r w:rsidRPr="00BC54D1">
        <w:rPr>
          <w:rFonts w:ascii="Times New Roman" w:hAnsi="Times New Roman"/>
          <w:b/>
          <w:bCs/>
          <w:i/>
          <w:iCs/>
        </w:rPr>
        <w:t xml:space="preserve">. Firm </w:t>
      </w:r>
      <w:r w:rsidR="00267256" w:rsidRPr="00BC54D1">
        <w:rPr>
          <w:rFonts w:ascii="Times New Roman" w:hAnsi="Times New Roman"/>
          <w:b/>
          <w:bCs/>
          <w:i/>
          <w:iCs/>
        </w:rPr>
        <w:t>l</w:t>
      </w:r>
      <w:r w:rsidRPr="00BC54D1">
        <w:rPr>
          <w:rFonts w:ascii="Times New Roman" w:hAnsi="Times New Roman"/>
          <w:b/>
          <w:bCs/>
          <w:i/>
          <w:iCs/>
        </w:rPr>
        <w:t xml:space="preserve">isting </w:t>
      </w:r>
      <w:r w:rsidR="00267256" w:rsidRPr="00BC54D1">
        <w:rPr>
          <w:rFonts w:ascii="Times New Roman" w:hAnsi="Times New Roman"/>
          <w:b/>
          <w:bCs/>
          <w:i/>
          <w:iCs/>
        </w:rPr>
        <w:t>s</w:t>
      </w:r>
      <w:r w:rsidRPr="00BC54D1">
        <w:rPr>
          <w:rFonts w:ascii="Times New Roman" w:hAnsi="Times New Roman"/>
          <w:b/>
          <w:bCs/>
          <w:i/>
          <w:iCs/>
        </w:rPr>
        <w:t>tatus (</w:t>
      </w:r>
      <w:r w:rsidR="00267256" w:rsidRPr="00BC54D1">
        <w:rPr>
          <w:rFonts w:ascii="Times New Roman" w:hAnsi="Times New Roman"/>
          <w:b/>
          <w:bCs/>
          <w:i/>
          <w:iCs/>
        </w:rPr>
        <w:t>p</w:t>
      </w:r>
      <w:r w:rsidRPr="00BC54D1">
        <w:rPr>
          <w:rFonts w:ascii="Times New Roman" w:hAnsi="Times New Roman"/>
          <w:b/>
          <w:bCs/>
          <w:i/>
          <w:iCs/>
        </w:rPr>
        <w:t xml:space="preserve">rivate vs </w:t>
      </w:r>
      <w:r w:rsidR="00267256" w:rsidRPr="00BC54D1">
        <w:rPr>
          <w:rFonts w:ascii="Times New Roman" w:hAnsi="Times New Roman"/>
          <w:b/>
          <w:bCs/>
          <w:i/>
          <w:iCs/>
        </w:rPr>
        <w:t>p</w:t>
      </w:r>
      <w:r w:rsidRPr="00BC54D1">
        <w:rPr>
          <w:rFonts w:ascii="Times New Roman" w:hAnsi="Times New Roman"/>
          <w:b/>
          <w:bCs/>
          <w:i/>
          <w:iCs/>
        </w:rPr>
        <w:t xml:space="preserve">ublic) and R&amp;D intensity: the role of information quality </w:t>
      </w:r>
    </w:p>
    <w:p w14:paraId="63DA88EC" w14:textId="4A51ECBF" w:rsidR="008E4200" w:rsidRPr="00BC54D1" w:rsidRDefault="008E4200" w:rsidP="00A32C88">
      <w:pPr>
        <w:spacing w:before="120" w:after="120" w:line="360" w:lineRule="auto"/>
        <w:jc w:val="both"/>
        <w:rPr>
          <w:rFonts w:ascii="Times New Roman" w:hAnsi="Times New Roman"/>
        </w:rPr>
      </w:pPr>
      <w:r w:rsidRPr="00BC54D1">
        <w:rPr>
          <w:rFonts w:ascii="Times New Roman" w:hAnsi="Times New Roman"/>
        </w:rPr>
        <w:t xml:space="preserve">Next, we examine how the information environment affects </w:t>
      </w:r>
      <w:bookmarkStart w:id="9" w:name="_Hlk76054589"/>
      <w:r w:rsidRPr="00BC54D1">
        <w:rPr>
          <w:rFonts w:ascii="Times New Roman" w:hAnsi="Times New Roman"/>
        </w:rPr>
        <w:t>private – public firms</w:t>
      </w:r>
      <w:r w:rsidR="00796CE9" w:rsidRPr="00BC54D1">
        <w:rPr>
          <w:rFonts w:ascii="Times New Roman" w:hAnsi="Times New Roman"/>
        </w:rPr>
        <w:t>’</w:t>
      </w:r>
      <w:r w:rsidRPr="00BC54D1">
        <w:rPr>
          <w:rFonts w:ascii="Times New Roman" w:hAnsi="Times New Roman"/>
        </w:rPr>
        <w:t xml:space="preserve"> R&amp;D intensity behaviour</w:t>
      </w:r>
      <w:bookmarkEnd w:id="9"/>
      <w:r w:rsidRPr="00BC54D1">
        <w:rPr>
          <w:rFonts w:ascii="Times New Roman" w:hAnsi="Times New Roman"/>
        </w:rPr>
        <w:t xml:space="preserve">. For instance, </w:t>
      </w:r>
      <w:bookmarkStart w:id="10" w:name="_Hlk76054819"/>
      <w:r w:rsidRPr="00BC54D1">
        <w:rPr>
          <w:rFonts w:ascii="Times New Roman" w:hAnsi="Times New Roman"/>
        </w:rPr>
        <w:t>public firms disclose more information and are seen to operate in</w:t>
      </w:r>
      <w:r w:rsidR="00796CE9" w:rsidRPr="00BC54D1">
        <w:rPr>
          <w:rFonts w:ascii="Times New Roman" w:hAnsi="Times New Roman"/>
        </w:rPr>
        <w:t xml:space="preserve"> a</w:t>
      </w:r>
      <w:r w:rsidRPr="00BC54D1">
        <w:rPr>
          <w:rFonts w:ascii="Times New Roman" w:hAnsi="Times New Roman"/>
        </w:rPr>
        <w:t xml:space="preserve"> more transparent environment (Aggarwal and Hsu, 2014). </w:t>
      </w:r>
      <w:bookmarkEnd w:id="10"/>
      <w:r w:rsidR="00B1431A" w:rsidRPr="00BC54D1">
        <w:rPr>
          <w:rFonts w:ascii="Times New Roman" w:hAnsi="Times New Roman"/>
        </w:rPr>
        <w:t xml:space="preserve">Asker </w:t>
      </w:r>
      <w:r w:rsidR="00B1431A" w:rsidRPr="00BC54D1">
        <w:rPr>
          <w:rFonts w:ascii="Times New Roman" w:hAnsi="Times New Roman"/>
          <w:i/>
          <w:iCs/>
        </w:rPr>
        <w:t>et al</w:t>
      </w:r>
      <w:r w:rsidR="00B1431A" w:rsidRPr="00BC54D1">
        <w:rPr>
          <w:rFonts w:ascii="Times New Roman" w:hAnsi="Times New Roman"/>
          <w:iCs/>
        </w:rPr>
        <w:t>.</w:t>
      </w:r>
      <w:r w:rsidR="00B1431A" w:rsidRPr="00BC54D1">
        <w:rPr>
          <w:rFonts w:ascii="Times New Roman" w:hAnsi="Times New Roman"/>
        </w:rPr>
        <w:t xml:space="preserve"> (2012) posit that private firms respond more quickly to growth opportunities than their public counterparts while </w:t>
      </w:r>
      <w:r w:rsidR="00FE19CF" w:rsidRPr="00BC54D1">
        <w:rPr>
          <w:rFonts w:ascii="Times New Roman" w:hAnsi="Times New Roman"/>
        </w:rPr>
        <w:t>Badertscher</w:t>
      </w:r>
      <w:r w:rsidR="00B1431A" w:rsidRPr="00BC54D1">
        <w:rPr>
          <w:rFonts w:ascii="Times New Roman" w:hAnsi="Times New Roman"/>
        </w:rPr>
        <w:t xml:space="preserve"> </w:t>
      </w:r>
      <w:r w:rsidR="00B1431A" w:rsidRPr="00BC54D1">
        <w:rPr>
          <w:rFonts w:ascii="Times New Roman" w:hAnsi="Times New Roman"/>
          <w:i/>
        </w:rPr>
        <w:t>et al</w:t>
      </w:r>
      <w:r w:rsidR="00B1431A" w:rsidRPr="00BC54D1">
        <w:rPr>
          <w:rFonts w:ascii="Times New Roman" w:hAnsi="Times New Roman"/>
        </w:rPr>
        <w:t xml:space="preserve">. (2013) contend that the responsiveness of private firms to investment growth opportunities is </w:t>
      </w:r>
      <w:r w:rsidR="00FB262A" w:rsidRPr="00BC54D1">
        <w:rPr>
          <w:rFonts w:ascii="Times New Roman" w:hAnsi="Times New Roman"/>
        </w:rPr>
        <w:lastRenderedPageBreak/>
        <w:t>linked</w:t>
      </w:r>
      <w:r w:rsidR="00B1431A" w:rsidRPr="00BC54D1">
        <w:rPr>
          <w:rFonts w:ascii="Times New Roman" w:hAnsi="Times New Roman"/>
        </w:rPr>
        <w:t xml:space="preserve"> to their proactive </w:t>
      </w:r>
      <w:r w:rsidR="00FB262A" w:rsidRPr="00BC54D1">
        <w:rPr>
          <w:rFonts w:ascii="Times New Roman" w:hAnsi="Times New Roman"/>
        </w:rPr>
        <w:t>reaction</w:t>
      </w:r>
      <w:r w:rsidR="00B1431A" w:rsidRPr="00BC54D1">
        <w:rPr>
          <w:rFonts w:ascii="Times New Roman" w:hAnsi="Times New Roman"/>
        </w:rPr>
        <w:t xml:space="preserve"> to the industry information.</w:t>
      </w:r>
      <w:r w:rsidR="00FB262A" w:rsidRPr="00BC54D1">
        <w:rPr>
          <w:rFonts w:ascii="Times New Roman" w:hAnsi="Times New Roman"/>
        </w:rPr>
        <w:t xml:space="preserve"> </w:t>
      </w:r>
      <w:r w:rsidR="00B404A5" w:rsidRPr="00BC54D1">
        <w:rPr>
          <w:rFonts w:ascii="Times New Roman" w:hAnsi="Times New Roman"/>
        </w:rPr>
        <w:t xml:space="preserve">Based on their model, </w:t>
      </w:r>
      <w:r w:rsidR="00FE19CF" w:rsidRPr="00BC54D1">
        <w:rPr>
          <w:rFonts w:ascii="Times New Roman" w:hAnsi="Times New Roman"/>
        </w:rPr>
        <w:t>Badertscher</w:t>
      </w:r>
      <w:r w:rsidR="00FB262A" w:rsidRPr="00BC54D1">
        <w:rPr>
          <w:rFonts w:ascii="Times New Roman" w:hAnsi="Times New Roman"/>
        </w:rPr>
        <w:t xml:space="preserve"> </w:t>
      </w:r>
      <w:r w:rsidR="00FB262A" w:rsidRPr="00BC54D1">
        <w:rPr>
          <w:rFonts w:ascii="Times New Roman" w:hAnsi="Times New Roman"/>
          <w:i/>
          <w:iCs/>
        </w:rPr>
        <w:t>et al</w:t>
      </w:r>
      <w:r w:rsidR="00FB262A" w:rsidRPr="00BC54D1">
        <w:rPr>
          <w:rFonts w:ascii="Times New Roman" w:hAnsi="Times New Roman"/>
          <w:iCs/>
        </w:rPr>
        <w:t>.</w:t>
      </w:r>
      <w:r w:rsidR="00FB262A" w:rsidRPr="00BC54D1">
        <w:rPr>
          <w:rFonts w:ascii="Times New Roman" w:hAnsi="Times New Roman"/>
        </w:rPr>
        <w:t xml:space="preserve"> (2013)</w:t>
      </w:r>
      <w:r w:rsidRPr="00BC54D1">
        <w:rPr>
          <w:rFonts w:ascii="Times New Roman" w:hAnsi="Times New Roman"/>
        </w:rPr>
        <w:t xml:space="preserve"> </w:t>
      </w:r>
      <w:r w:rsidR="00B404A5" w:rsidRPr="00BC54D1">
        <w:rPr>
          <w:rFonts w:ascii="Times New Roman" w:hAnsi="Times New Roman"/>
        </w:rPr>
        <w:t>suggest</w:t>
      </w:r>
      <w:r w:rsidRPr="00BC54D1">
        <w:rPr>
          <w:rFonts w:ascii="Times New Roman" w:hAnsi="Times New Roman"/>
        </w:rPr>
        <w:t xml:space="preserve"> that as </w:t>
      </w:r>
      <w:r w:rsidR="009958C0" w:rsidRPr="00BC54D1">
        <w:rPr>
          <w:rFonts w:ascii="Times New Roman" w:hAnsi="Times New Roman"/>
        </w:rPr>
        <w:t>the industry</w:t>
      </w:r>
      <w:r w:rsidRPr="00BC54D1">
        <w:rPr>
          <w:rFonts w:ascii="Times New Roman" w:hAnsi="Times New Roman"/>
        </w:rPr>
        <w:t xml:space="preserve"> release</w:t>
      </w:r>
      <w:r w:rsidR="009958C0" w:rsidRPr="00BC54D1">
        <w:rPr>
          <w:rFonts w:ascii="Times New Roman" w:hAnsi="Times New Roman"/>
        </w:rPr>
        <w:t>s</w:t>
      </w:r>
      <w:r w:rsidRPr="00BC54D1">
        <w:rPr>
          <w:rFonts w:ascii="Times New Roman" w:hAnsi="Times New Roman"/>
        </w:rPr>
        <w:t xml:space="preserve"> more public information, private firms become aware of the opportunities in that </w:t>
      </w:r>
      <w:proofErr w:type="gramStart"/>
      <w:r w:rsidR="0062635E" w:rsidRPr="00BC54D1">
        <w:rPr>
          <w:rFonts w:ascii="Times New Roman" w:hAnsi="Times New Roman"/>
        </w:rPr>
        <w:t>particular</w:t>
      </w:r>
      <w:r w:rsidRPr="00BC54D1">
        <w:rPr>
          <w:rFonts w:ascii="Times New Roman" w:hAnsi="Times New Roman"/>
        </w:rPr>
        <w:t xml:space="preserve"> industry</w:t>
      </w:r>
      <w:proofErr w:type="gramEnd"/>
      <w:r w:rsidRPr="00BC54D1">
        <w:rPr>
          <w:rFonts w:ascii="Times New Roman" w:hAnsi="Times New Roman"/>
        </w:rPr>
        <w:t xml:space="preserve"> and may respond appropriately to these investment opportunities. That is, </w:t>
      </w:r>
      <w:r w:rsidR="0062635E" w:rsidRPr="00BC54D1">
        <w:rPr>
          <w:rFonts w:ascii="Times New Roman" w:hAnsi="Times New Roman"/>
        </w:rPr>
        <w:t xml:space="preserve">the resulting </w:t>
      </w:r>
      <w:r w:rsidRPr="00BC54D1">
        <w:rPr>
          <w:rFonts w:ascii="Times New Roman" w:hAnsi="Times New Roman"/>
        </w:rPr>
        <w:t xml:space="preserve">information quality in the industry </w:t>
      </w:r>
      <w:r w:rsidR="0062635E" w:rsidRPr="00BC54D1">
        <w:rPr>
          <w:rFonts w:ascii="Times New Roman" w:hAnsi="Times New Roman"/>
        </w:rPr>
        <w:t xml:space="preserve">provides an opportunity to these </w:t>
      </w:r>
      <w:r w:rsidRPr="00BC54D1">
        <w:rPr>
          <w:rFonts w:ascii="Times New Roman" w:hAnsi="Times New Roman"/>
        </w:rPr>
        <w:t>privately</w:t>
      </w:r>
      <w:r w:rsidR="00B6049A" w:rsidRPr="00BC54D1">
        <w:rPr>
          <w:rFonts w:ascii="Times New Roman" w:hAnsi="Times New Roman"/>
        </w:rPr>
        <w:t xml:space="preserve"> </w:t>
      </w:r>
      <w:r w:rsidRPr="00BC54D1">
        <w:rPr>
          <w:rFonts w:ascii="Times New Roman" w:hAnsi="Times New Roman"/>
        </w:rPr>
        <w:t>held firms</w:t>
      </w:r>
      <w:r w:rsidR="002F7A92" w:rsidRPr="00BC54D1">
        <w:rPr>
          <w:rFonts w:ascii="Times New Roman" w:hAnsi="Times New Roman"/>
        </w:rPr>
        <w:t xml:space="preserve"> </w:t>
      </w:r>
      <w:r w:rsidRPr="00BC54D1">
        <w:rPr>
          <w:rFonts w:ascii="Times New Roman" w:hAnsi="Times New Roman"/>
        </w:rPr>
        <w:t xml:space="preserve">to respond more </w:t>
      </w:r>
      <w:bookmarkStart w:id="11" w:name="_Hlk76055373"/>
      <w:r w:rsidRPr="00BC54D1">
        <w:rPr>
          <w:rFonts w:ascii="Times New Roman" w:hAnsi="Times New Roman"/>
        </w:rPr>
        <w:t xml:space="preserve">rapidly to the anticipated investment opportunities in that industry. </w:t>
      </w:r>
      <w:bookmarkEnd w:id="11"/>
    </w:p>
    <w:p w14:paraId="51C3B65A" w14:textId="637A6707" w:rsidR="008E4200" w:rsidRPr="00BC54D1" w:rsidRDefault="008E4200" w:rsidP="00A32C88">
      <w:pPr>
        <w:spacing w:before="120" w:after="120" w:line="360" w:lineRule="auto"/>
        <w:jc w:val="both"/>
        <w:rPr>
          <w:rFonts w:ascii="Times New Roman" w:hAnsi="Times New Roman"/>
        </w:rPr>
      </w:pPr>
      <w:r w:rsidRPr="00BC54D1">
        <w:rPr>
          <w:rFonts w:ascii="Times New Roman" w:hAnsi="Times New Roman"/>
        </w:rPr>
        <w:t xml:space="preserve">Extending this argument, we posit that private firms operating in an information quality environment are more likely to rapidly respond to innovation </w:t>
      </w:r>
      <w:r w:rsidR="00B404A5" w:rsidRPr="00BC54D1">
        <w:rPr>
          <w:rFonts w:ascii="Times New Roman" w:hAnsi="Times New Roman"/>
        </w:rPr>
        <w:t>activity</w:t>
      </w:r>
      <w:r w:rsidRPr="00BC54D1">
        <w:rPr>
          <w:rFonts w:ascii="Times New Roman" w:hAnsi="Times New Roman"/>
        </w:rPr>
        <w:t xml:space="preserve">. Thus, </w:t>
      </w:r>
      <w:bookmarkStart w:id="12" w:name="_Hlk76055468"/>
      <w:r w:rsidRPr="00BC54D1">
        <w:rPr>
          <w:rFonts w:ascii="Times New Roman" w:hAnsi="Times New Roman"/>
        </w:rPr>
        <w:t xml:space="preserve">greater transparency </w:t>
      </w:r>
      <w:r w:rsidR="003F6747" w:rsidRPr="00BC54D1">
        <w:rPr>
          <w:rFonts w:ascii="Times New Roman" w:hAnsi="Times New Roman"/>
        </w:rPr>
        <w:t xml:space="preserve">or information flow </w:t>
      </w:r>
      <w:r w:rsidR="00FA71C9" w:rsidRPr="00BC54D1">
        <w:rPr>
          <w:rFonts w:ascii="Times New Roman" w:hAnsi="Times New Roman"/>
        </w:rPr>
        <w:t xml:space="preserve">in an industry </w:t>
      </w:r>
      <w:r w:rsidRPr="00BC54D1">
        <w:rPr>
          <w:rFonts w:ascii="Times New Roman" w:hAnsi="Times New Roman"/>
        </w:rPr>
        <w:t xml:space="preserve">can facilitate private firms engaging in innovation (R&amp;D) intensity. </w:t>
      </w:r>
      <w:bookmarkEnd w:id="12"/>
    </w:p>
    <w:p w14:paraId="5F44A018" w14:textId="420A534E" w:rsidR="006D41D0" w:rsidRPr="00BC54D1" w:rsidRDefault="7759D9CA" w:rsidP="00A32C88">
      <w:pPr>
        <w:spacing w:before="120" w:after="120" w:line="360" w:lineRule="auto"/>
        <w:ind w:left="-15"/>
        <w:jc w:val="both"/>
        <w:rPr>
          <w:rFonts w:ascii="Times New Roman" w:hAnsi="Times New Roman"/>
        </w:rPr>
      </w:pPr>
      <w:r w:rsidRPr="00BC54D1">
        <w:rPr>
          <w:rFonts w:ascii="Times New Roman" w:hAnsi="Times New Roman"/>
        </w:rPr>
        <w:t>To empirically examine this, we measure industry information quality (</w:t>
      </w:r>
      <w:r w:rsidRPr="00BC54D1">
        <w:rPr>
          <w:rFonts w:ascii="Times New Roman" w:hAnsi="Times New Roman"/>
          <w:i/>
          <w:iCs/>
        </w:rPr>
        <w:t>IQ</w:t>
      </w:r>
      <w:r w:rsidRPr="00BC54D1">
        <w:rPr>
          <w:rFonts w:ascii="Times New Roman" w:hAnsi="Times New Roman"/>
        </w:rPr>
        <w:t xml:space="preserve">) as the ratio of public firms’ sales to total industry sales, consistent with Badertscher </w:t>
      </w:r>
      <w:r w:rsidRPr="00BC54D1">
        <w:rPr>
          <w:rFonts w:ascii="Times New Roman" w:hAnsi="Times New Roman"/>
          <w:i/>
          <w:iCs/>
        </w:rPr>
        <w:t>et al.</w:t>
      </w:r>
      <w:r w:rsidRPr="00BC54D1">
        <w:rPr>
          <w:rFonts w:ascii="Times New Roman" w:hAnsi="Times New Roman"/>
        </w:rPr>
        <w:t xml:space="preserve"> (2013). We interact our private (</w:t>
      </w:r>
      <w:r w:rsidRPr="00BC54D1">
        <w:rPr>
          <w:rFonts w:ascii="Times New Roman" w:hAnsi="Times New Roman"/>
          <w:i/>
          <w:iCs/>
        </w:rPr>
        <w:t>PRIV = 1 or 0</w:t>
      </w:r>
      <w:r w:rsidRPr="00BC54D1">
        <w:rPr>
          <w:rFonts w:ascii="Times New Roman" w:hAnsi="Times New Roman"/>
        </w:rPr>
        <w:t>) firm indicator variable with the information quality- (</w:t>
      </w:r>
      <w:r w:rsidRPr="00BC54D1">
        <w:rPr>
          <w:rFonts w:ascii="Times New Roman" w:hAnsi="Times New Roman"/>
          <w:i/>
          <w:iCs/>
        </w:rPr>
        <w:t>IQ</w:t>
      </w:r>
      <w:r w:rsidRPr="00BC54D1">
        <w:rPr>
          <w:rFonts w:ascii="Times New Roman" w:hAnsi="Times New Roman"/>
        </w:rPr>
        <w:t>) and then include the interaction term (</w:t>
      </w:r>
      <w:r w:rsidRPr="00BC54D1">
        <w:rPr>
          <w:rFonts w:ascii="Times New Roman" w:hAnsi="Times New Roman"/>
          <w:i/>
          <w:iCs/>
        </w:rPr>
        <w:t>PRIV_ IQ</w:t>
      </w:r>
      <w:r w:rsidRPr="00BC54D1">
        <w:rPr>
          <w:rFonts w:ascii="Times New Roman" w:hAnsi="Times New Roman"/>
        </w:rPr>
        <w:t xml:space="preserve">) in our </w:t>
      </w:r>
      <w:proofErr w:type="spellStart"/>
      <w:r w:rsidRPr="00BC54D1">
        <w:rPr>
          <w:rFonts w:ascii="Times New Roman" w:hAnsi="Times New Roman"/>
        </w:rPr>
        <w:t>probit</w:t>
      </w:r>
      <w:proofErr w:type="spellEnd"/>
      <w:r w:rsidRPr="00BC54D1">
        <w:rPr>
          <w:rFonts w:ascii="Times New Roman" w:hAnsi="Times New Roman"/>
        </w:rPr>
        <w:t xml:space="preserve"> specification. The modified equation is estimated, and the results are presented in Table VI. Specifically, we observe in model 5 that the interaction term coefficient (</w:t>
      </w:r>
      <w:r w:rsidRPr="00BC54D1">
        <w:rPr>
          <w:rFonts w:ascii="Times New Roman" w:hAnsi="Times New Roman"/>
          <w:i/>
          <w:iCs/>
        </w:rPr>
        <w:t>PRIV_ IQ</w:t>
      </w:r>
      <w:r w:rsidRPr="00BC54D1">
        <w:rPr>
          <w:rFonts w:ascii="Times New Roman" w:hAnsi="Times New Roman"/>
        </w:rPr>
        <w:t xml:space="preserve">) is positive and statistically significant at 1% confidence level. The </w:t>
      </w:r>
      <w:proofErr w:type="spellStart"/>
      <w:r w:rsidRPr="00BC54D1">
        <w:rPr>
          <w:rFonts w:ascii="Times New Roman" w:hAnsi="Times New Roman"/>
        </w:rPr>
        <w:t>probit</w:t>
      </w:r>
      <w:proofErr w:type="spellEnd"/>
      <w:r w:rsidRPr="00BC54D1">
        <w:rPr>
          <w:rFonts w:ascii="Times New Roman" w:hAnsi="Times New Roman"/>
        </w:rPr>
        <w:t xml:space="preserve"> estimates on the covariate </w:t>
      </w:r>
      <w:r w:rsidRPr="00BC54D1">
        <w:rPr>
          <w:rFonts w:ascii="Times New Roman" w:hAnsi="Times New Roman"/>
          <w:i/>
          <w:iCs/>
        </w:rPr>
        <w:t>PRIV_IQ</w:t>
      </w:r>
      <w:r w:rsidRPr="00BC54D1">
        <w:rPr>
          <w:rFonts w:ascii="Times New Roman" w:hAnsi="Times New Roman"/>
        </w:rPr>
        <w:t xml:space="preserve"> variable is 4.418, largely confirming the assertion that private firms operating in an industry with better information flow are more likely to intensify their R&amp;D spending. Thus, the industry information quality induces private firms to commit innovation (R&amp;D) intensity. </w:t>
      </w:r>
    </w:p>
    <w:p w14:paraId="56871D0D" w14:textId="66BEB1CE" w:rsidR="008E4200" w:rsidRPr="00BC54D1" w:rsidRDefault="008E4200" w:rsidP="00A32C88">
      <w:pPr>
        <w:spacing w:before="120" w:after="120" w:line="360" w:lineRule="auto"/>
        <w:jc w:val="both"/>
        <w:rPr>
          <w:rFonts w:ascii="Times New Roman" w:hAnsi="Times New Roman"/>
        </w:rPr>
      </w:pPr>
    </w:p>
    <w:p w14:paraId="46CE9A32" w14:textId="706C4DA1" w:rsidR="004A0DAE" w:rsidRPr="00BC54D1" w:rsidRDefault="3E6C7172" w:rsidP="00B123B7">
      <w:pPr>
        <w:pStyle w:val="Heading1"/>
        <w:numPr>
          <w:ilvl w:val="0"/>
          <w:numId w:val="0"/>
        </w:numPr>
        <w:spacing w:before="240" w:after="0" w:line="360" w:lineRule="auto"/>
        <w:rPr>
          <w:rFonts w:ascii="Times New Roman" w:hAnsi="Times New Roman" w:cs="Times New Roman"/>
          <w:color w:val="auto"/>
          <w:sz w:val="24"/>
          <w:szCs w:val="24"/>
        </w:rPr>
      </w:pPr>
      <w:r w:rsidRPr="00BC54D1">
        <w:rPr>
          <w:rFonts w:ascii="Times New Roman" w:hAnsi="Times New Roman" w:cs="Times New Roman"/>
          <w:color w:val="auto"/>
          <w:sz w:val="24"/>
          <w:szCs w:val="24"/>
        </w:rPr>
        <w:t xml:space="preserve">5. Conclusion </w:t>
      </w:r>
    </w:p>
    <w:p w14:paraId="4DEF806C" w14:textId="0F0FAC56" w:rsidR="00A32C88" w:rsidRPr="00BC54D1" w:rsidRDefault="00414076" w:rsidP="00A32C88">
      <w:pPr>
        <w:spacing w:before="120" w:after="120" w:line="360" w:lineRule="auto"/>
        <w:jc w:val="both"/>
        <w:rPr>
          <w:rFonts w:ascii="Times New Roman" w:hAnsi="Times New Roman"/>
          <w:bCs/>
        </w:rPr>
      </w:pPr>
      <w:r w:rsidRPr="00BC54D1">
        <w:rPr>
          <w:rFonts w:ascii="Times New Roman" w:hAnsi="Times New Roman"/>
          <w:bCs/>
        </w:rPr>
        <w:t>In this study, we examine the R&amp;D intensity of both p</w:t>
      </w:r>
      <w:r w:rsidR="00E11AA0" w:rsidRPr="00BC54D1">
        <w:rPr>
          <w:rFonts w:ascii="Times New Roman" w:hAnsi="Times New Roman"/>
          <w:bCs/>
        </w:rPr>
        <w:t>rivate</w:t>
      </w:r>
      <w:r w:rsidRPr="00BC54D1">
        <w:rPr>
          <w:rFonts w:ascii="Times New Roman" w:hAnsi="Times New Roman"/>
          <w:bCs/>
        </w:rPr>
        <w:t xml:space="preserve"> and p</w:t>
      </w:r>
      <w:r w:rsidR="00E11AA0" w:rsidRPr="00BC54D1">
        <w:rPr>
          <w:rFonts w:ascii="Times New Roman" w:hAnsi="Times New Roman"/>
          <w:bCs/>
        </w:rPr>
        <w:t>ublic</w:t>
      </w:r>
      <w:r w:rsidRPr="00BC54D1">
        <w:rPr>
          <w:rFonts w:ascii="Times New Roman" w:hAnsi="Times New Roman"/>
          <w:bCs/>
        </w:rPr>
        <w:t xml:space="preserve"> UK firms for the period 2006 - 201</w:t>
      </w:r>
      <w:r w:rsidR="00CC1A38" w:rsidRPr="00BC54D1">
        <w:rPr>
          <w:rFonts w:ascii="Times New Roman" w:hAnsi="Times New Roman"/>
          <w:bCs/>
        </w:rPr>
        <w:t>6</w:t>
      </w:r>
      <w:r w:rsidRPr="00BC54D1">
        <w:rPr>
          <w:rFonts w:ascii="Times New Roman" w:hAnsi="Times New Roman"/>
          <w:bCs/>
        </w:rPr>
        <w:t xml:space="preserve">. Although there are </w:t>
      </w:r>
      <w:proofErr w:type="gramStart"/>
      <w:r w:rsidRPr="00BC54D1">
        <w:rPr>
          <w:rFonts w:ascii="Times New Roman" w:hAnsi="Times New Roman"/>
          <w:bCs/>
        </w:rPr>
        <w:t>a number of</w:t>
      </w:r>
      <w:proofErr w:type="gramEnd"/>
      <w:r w:rsidRPr="00BC54D1">
        <w:rPr>
          <w:rFonts w:ascii="Times New Roman" w:hAnsi="Times New Roman"/>
          <w:bCs/>
        </w:rPr>
        <w:t xml:space="preserve"> empirical studies that explain</w:t>
      </w:r>
      <w:r w:rsidR="00C7240C" w:rsidRPr="00BC54D1">
        <w:rPr>
          <w:rFonts w:ascii="Times New Roman" w:hAnsi="Times New Roman"/>
          <w:bCs/>
        </w:rPr>
        <w:t xml:space="preserve"> the effect of</w:t>
      </w:r>
      <w:r w:rsidRPr="00BC54D1">
        <w:rPr>
          <w:rFonts w:ascii="Times New Roman" w:hAnsi="Times New Roman"/>
          <w:bCs/>
        </w:rPr>
        <w:t xml:space="preserve"> R&amp;D intensity on various corporate decisions (see e.g., </w:t>
      </w:r>
      <w:r w:rsidRPr="00BC54D1">
        <w:rPr>
          <w:rFonts w:ascii="Times New Roman" w:hAnsi="Times New Roman"/>
          <w:shd w:val="clear" w:color="auto" w:fill="FFFFFF"/>
        </w:rPr>
        <w:t xml:space="preserve">Leung and Sharma, 2021; </w:t>
      </w:r>
      <w:r w:rsidRPr="00BC54D1">
        <w:rPr>
          <w:rFonts w:ascii="Times New Roman" w:hAnsi="Times New Roman"/>
          <w:bCs/>
        </w:rPr>
        <w:t xml:space="preserve">Adomako </w:t>
      </w:r>
      <w:r w:rsidRPr="00BC54D1">
        <w:rPr>
          <w:rFonts w:ascii="Times New Roman" w:hAnsi="Times New Roman"/>
          <w:bCs/>
          <w:i/>
          <w:iCs/>
        </w:rPr>
        <w:t>et al</w:t>
      </w:r>
      <w:r w:rsidR="001A1025" w:rsidRPr="00BC54D1">
        <w:rPr>
          <w:rFonts w:ascii="Times New Roman" w:hAnsi="Times New Roman"/>
          <w:bCs/>
          <w:iCs/>
        </w:rPr>
        <w:t>.</w:t>
      </w:r>
      <w:r w:rsidRPr="00BC54D1">
        <w:rPr>
          <w:rFonts w:ascii="Times New Roman" w:hAnsi="Times New Roman"/>
          <w:bCs/>
          <w:iCs/>
        </w:rPr>
        <w:t>,</w:t>
      </w:r>
      <w:r w:rsidRPr="00BC54D1">
        <w:rPr>
          <w:rFonts w:ascii="Times New Roman" w:hAnsi="Times New Roman"/>
          <w:bCs/>
        </w:rPr>
        <w:t xml:space="preserve"> 2019; </w:t>
      </w:r>
      <w:r w:rsidRPr="00BC54D1">
        <w:rPr>
          <w:rFonts w:ascii="Times New Roman" w:hAnsi="Times New Roman"/>
          <w:shd w:val="clear" w:color="auto" w:fill="FFFFFF"/>
        </w:rPr>
        <w:t xml:space="preserve">Padgett and Galan, 2010; </w:t>
      </w:r>
      <w:r w:rsidRPr="00BC54D1">
        <w:rPr>
          <w:rFonts w:ascii="Times New Roman" w:hAnsi="Times New Roman"/>
          <w:bCs/>
        </w:rPr>
        <w:t xml:space="preserve">Lin </w:t>
      </w:r>
      <w:r w:rsidRPr="00BC54D1">
        <w:rPr>
          <w:rFonts w:ascii="Times New Roman" w:hAnsi="Times New Roman"/>
          <w:bCs/>
          <w:i/>
          <w:iCs/>
        </w:rPr>
        <w:t>et al</w:t>
      </w:r>
      <w:r w:rsidR="001A1025" w:rsidRPr="00BC54D1">
        <w:rPr>
          <w:rFonts w:ascii="Times New Roman" w:hAnsi="Times New Roman"/>
          <w:bCs/>
          <w:iCs/>
        </w:rPr>
        <w:t>.</w:t>
      </w:r>
      <w:r w:rsidRPr="00BC54D1">
        <w:rPr>
          <w:rFonts w:ascii="Times New Roman" w:hAnsi="Times New Roman"/>
          <w:bCs/>
          <w:iCs/>
        </w:rPr>
        <w:t>,</w:t>
      </w:r>
      <w:r w:rsidRPr="00BC54D1">
        <w:rPr>
          <w:rFonts w:ascii="Times New Roman" w:hAnsi="Times New Roman"/>
          <w:bCs/>
        </w:rPr>
        <w:t xml:space="preserve"> 2006) our study is among the first to examine how R&amp;D investment varies across private and public firms in the UK. </w:t>
      </w:r>
      <w:r w:rsidR="00A86E72" w:rsidRPr="00BC54D1">
        <w:rPr>
          <w:rFonts w:ascii="Times New Roman" w:hAnsi="Times New Roman"/>
          <w:bCs/>
        </w:rPr>
        <w:t xml:space="preserve">Thus, we gain insights into theories of private firm R&amp;D investment by comparing private </w:t>
      </w:r>
      <w:r w:rsidR="003175B8" w:rsidRPr="00BC54D1">
        <w:rPr>
          <w:rFonts w:ascii="Times New Roman" w:hAnsi="Times New Roman"/>
          <w:bCs/>
        </w:rPr>
        <w:t xml:space="preserve">with public firms. </w:t>
      </w:r>
      <w:r w:rsidRPr="00BC54D1">
        <w:rPr>
          <w:rFonts w:ascii="Times New Roman" w:eastAsiaTheme="minorHAnsi" w:hAnsi="Times New Roman"/>
          <w:lang w:eastAsia="en-US"/>
        </w:rPr>
        <w:t>We observe that</w:t>
      </w:r>
      <w:r w:rsidR="00B6049A" w:rsidRPr="00BC54D1">
        <w:rPr>
          <w:rFonts w:ascii="Times New Roman" w:eastAsiaTheme="minorHAnsi" w:hAnsi="Times New Roman"/>
          <w:lang w:eastAsia="en-US"/>
        </w:rPr>
        <w:t>,</w:t>
      </w:r>
      <w:r w:rsidRPr="00BC54D1">
        <w:rPr>
          <w:rFonts w:ascii="Times New Roman" w:eastAsiaTheme="minorHAnsi" w:hAnsi="Times New Roman"/>
          <w:lang w:eastAsia="en-US"/>
        </w:rPr>
        <w:t xml:space="preserve"> in general, </w:t>
      </w:r>
      <w:r w:rsidRPr="00BC54D1">
        <w:rPr>
          <w:rFonts w:ascii="Times New Roman" w:hAnsi="Times New Roman"/>
        </w:rPr>
        <w:t>private firms are less likely to commit R&amp;D intensity</w:t>
      </w:r>
      <w:r w:rsidR="005F2738" w:rsidRPr="00BC54D1">
        <w:rPr>
          <w:rFonts w:ascii="Times New Roman" w:hAnsi="Times New Roman"/>
        </w:rPr>
        <w:t xml:space="preserve"> </w:t>
      </w:r>
      <w:r w:rsidR="00FF0B8F" w:rsidRPr="00BC54D1">
        <w:rPr>
          <w:rFonts w:ascii="Times New Roman" w:hAnsi="Times New Roman"/>
        </w:rPr>
        <w:t xml:space="preserve">compared to their public </w:t>
      </w:r>
      <w:r w:rsidR="00594FAD" w:rsidRPr="00BC54D1">
        <w:rPr>
          <w:rFonts w:ascii="Times New Roman" w:hAnsi="Times New Roman"/>
        </w:rPr>
        <w:t>counterparts</w:t>
      </w:r>
      <w:r w:rsidRPr="00BC54D1">
        <w:rPr>
          <w:rFonts w:ascii="Times New Roman" w:hAnsi="Times New Roman"/>
        </w:rPr>
        <w:t xml:space="preserve">. However, </w:t>
      </w:r>
      <w:r w:rsidR="003B75D6" w:rsidRPr="00BC54D1">
        <w:rPr>
          <w:rFonts w:ascii="Times New Roman" w:hAnsi="Times New Roman"/>
        </w:rPr>
        <w:t xml:space="preserve">compared to public ones, private firms are more likely to commit R&amp;D intensity </w:t>
      </w:r>
      <w:r w:rsidR="0085179C" w:rsidRPr="00BC54D1">
        <w:rPr>
          <w:rFonts w:ascii="Times New Roman" w:hAnsi="Times New Roman"/>
        </w:rPr>
        <w:t xml:space="preserve">in the technology </w:t>
      </w:r>
      <w:r w:rsidR="00271172" w:rsidRPr="00BC54D1">
        <w:rPr>
          <w:rFonts w:ascii="Times New Roman" w:hAnsi="Times New Roman"/>
        </w:rPr>
        <w:t>sector,</w:t>
      </w:r>
      <w:r w:rsidR="0085179C" w:rsidRPr="00BC54D1">
        <w:rPr>
          <w:rFonts w:ascii="Times New Roman" w:hAnsi="Times New Roman"/>
        </w:rPr>
        <w:t xml:space="preserve"> </w:t>
      </w:r>
      <w:r w:rsidR="008B7089" w:rsidRPr="00BC54D1">
        <w:rPr>
          <w:rFonts w:ascii="Times New Roman" w:hAnsi="Times New Roman"/>
        </w:rPr>
        <w:t xml:space="preserve">but </w:t>
      </w:r>
      <w:r w:rsidR="006B4D65" w:rsidRPr="00BC54D1">
        <w:rPr>
          <w:rFonts w:ascii="Times New Roman" w:hAnsi="Times New Roman"/>
        </w:rPr>
        <w:t xml:space="preserve">such </w:t>
      </w:r>
      <w:r w:rsidR="009D101A" w:rsidRPr="00BC54D1">
        <w:rPr>
          <w:rFonts w:ascii="Times New Roman" w:hAnsi="Times New Roman"/>
        </w:rPr>
        <w:t>intensity is lessened among</w:t>
      </w:r>
      <w:r w:rsidR="006B4D65" w:rsidRPr="00BC54D1">
        <w:rPr>
          <w:rFonts w:ascii="Times New Roman" w:hAnsi="Times New Roman"/>
        </w:rPr>
        <w:t xml:space="preserve"> </w:t>
      </w:r>
      <w:r w:rsidR="003B75D6" w:rsidRPr="00BC54D1">
        <w:rPr>
          <w:rFonts w:ascii="Times New Roman" w:hAnsi="Times New Roman"/>
        </w:rPr>
        <w:t xml:space="preserve">private firms </w:t>
      </w:r>
      <w:r w:rsidR="009D101A" w:rsidRPr="00BC54D1">
        <w:rPr>
          <w:rFonts w:ascii="Times New Roman" w:hAnsi="Times New Roman"/>
        </w:rPr>
        <w:t xml:space="preserve">in </w:t>
      </w:r>
      <w:r w:rsidR="0085179C" w:rsidRPr="00BC54D1">
        <w:rPr>
          <w:rFonts w:ascii="Times New Roman" w:hAnsi="Times New Roman"/>
        </w:rPr>
        <w:t>non-technology counterparts compared to public ones</w:t>
      </w:r>
      <w:r w:rsidR="009D101A" w:rsidRPr="00BC54D1">
        <w:rPr>
          <w:rFonts w:ascii="Times New Roman" w:hAnsi="Times New Roman"/>
        </w:rPr>
        <w:t>.</w:t>
      </w:r>
      <w:r w:rsidR="0085179C" w:rsidRPr="00BC54D1">
        <w:rPr>
          <w:rFonts w:ascii="Times New Roman" w:hAnsi="Times New Roman"/>
        </w:rPr>
        <w:t xml:space="preserve"> </w:t>
      </w:r>
      <w:r w:rsidRPr="00BC54D1">
        <w:rPr>
          <w:rFonts w:ascii="Times New Roman" w:hAnsi="Times New Roman"/>
        </w:rPr>
        <w:t xml:space="preserve">Similarly, private firms are more likely to </w:t>
      </w:r>
      <w:r w:rsidR="00E11AA0" w:rsidRPr="00BC54D1">
        <w:rPr>
          <w:rFonts w:ascii="Times New Roman" w:hAnsi="Times New Roman"/>
        </w:rPr>
        <w:t>use internally generated cash flow to sponsor</w:t>
      </w:r>
      <w:r w:rsidRPr="00BC54D1">
        <w:rPr>
          <w:rFonts w:ascii="Times New Roman" w:hAnsi="Times New Roman"/>
        </w:rPr>
        <w:t xml:space="preserve"> R&amp;D </w:t>
      </w:r>
      <w:r w:rsidR="00E11AA0" w:rsidRPr="00BC54D1">
        <w:rPr>
          <w:rFonts w:ascii="Times New Roman" w:hAnsi="Times New Roman"/>
        </w:rPr>
        <w:t xml:space="preserve">investment </w:t>
      </w:r>
      <w:r w:rsidRPr="00BC54D1">
        <w:rPr>
          <w:rFonts w:ascii="Times New Roman" w:hAnsi="Times New Roman"/>
        </w:rPr>
        <w:t>intensity than the</w:t>
      </w:r>
      <w:r w:rsidR="00E11AA0" w:rsidRPr="00BC54D1">
        <w:rPr>
          <w:rFonts w:ascii="Times New Roman" w:hAnsi="Times New Roman"/>
        </w:rPr>
        <w:t>ir public peers.</w:t>
      </w:r>
      <w:r w:rsidRPr="00BC54D1">
        <w:rPr>
          <w:rFonts w:ascii="Times New Roman" w:hAnsi="Times New Roman"/>
        </w:rPr>
        <w:t xml:space="preserve"> </w:t>
      </w:r>
      <w:r w:rsidR="00E11AA0" w:rsidRPr="00BC54D1">
        <w:rPr>
          <w:rFonts w:ascii="Times New Roman" w:hAnsi="Times New Roman"/>
        </w:rPr>
        <w:t>We further find that</w:t>
      </w:r>
      <w:r w:rsidR="001A7C0A" w:rsidRPr="00BC54D1">
        <w:rPr>
          <w:rFonts w:ascii="Times New Roman" w:hAnsi="Times New Roman"/>
        </w:rPr>
        <w:t>, unlike public firms</w:t>
      </w:r>
      <w:r w:rsidR="00B6049A" w:rsidRPr="00BC54D1">
        <w:rPr>
          <w:rFonts w:ascii="Times New Roman" w:hAnsi="Times New Roman"/>
        </w:rPr>
        <w:t>,</w:t>
      </w:r>
      <w:r w:rsidR="00E11AA0" w:rsidRPr="00BC54D1">
        <w:rPr>
          <w:rFonts w:ascii="Times New Roman" w:hAnsi="Times New Roman"/>
        </w:rPr>
        <w:t xml:space="preserve"> private ones </w:t>
      </w:r>
      <w:r w:rsidR="001A7C0A" w:rsidRPr="00BC54D1">
        <w:rPr>
          <w:rFonts w:ascii="Times New Roman" w:hAnsi="Times New Roman"/>
        </w:rPr>
        <w:t xml:space="preserve">have a high probability of using debt to increase R&amp;D intensity. </w:t>
      </w:r>
      <w:r w:rsidRPr="00BC54D1">
        <w:rPr>
          <w:rFonts w:ascii="Times New Roman" w:hAnsi="Times New Roman"/>
        </w:rPr>
        <w:t>Finally, we</w:t>
      </w:r>
      <w:r w:rsidR="00DF45DE" w:rsidRPr="00BC54D1">
        <w:rPr>
          <w:rFonts w:ascii="Times New Roman" w:hAnsi="Times New Roman"/>
        </w:rPr>
        <w:t xml:space="preserve"> contribute to the literature by</w:t>
      </w:r>
      <w:r w:rsidRPr="00BC54D1">
        <w:rPr>
          <w:rFonts w:ascii="Times New Roman" w:hAnsi="Times New Roman"/>
        </w:rPr>
        <w:t xml:space="preserve"> demonstrat</w:t>
      </w:r>
      <w:r w:rsidR="00DF45DE" w:rsidRPr="00BC54D1">
        <w:rPr>
          <w:rFonts w:ascii="Times New Roman" w:hAnsi="Times New Roman"/>
        </w:rPr>
        <w:t>ing</w:t>
      </w:r>
      <w:r w:rsidRPr="00BC54D1">
        <w:rPr>
          <w:rFonts w:ascii="Times New Roman" w:hAnsi="Times New Roman"/>
        </w:rPr>
        <w:t xml:space="preserve"> the role of information quality in driving R&amp;D investment among private firms. In all, our results remain robust to various econometric models. Indeed, our study highlights the variation of R&amp;D intensity among private and public firms, thereby offering </w:t>
      </w:r>
      <w:r w:rsidR="00B6049A" w:rsidRPr="00BC54D1">
        <w:rPr>
          <w:rFonts w:ascii="Times New Roman" w:hAnsi="Times New Roman"/>
        </w:rPr>
        <w:t xml:space="preserve">a </w:t>
      </w:r>
      <w:r w:rsidRPr="00BC54D1">
        <w:rPr>
          <w:rFonts w:ascii="Times New Roman" w:hAnsi="Times New Roman"/>
        </w:rPr>
        <w:t xml:space="preserve">useful contribution to the existing literature on corporate innovation. </w:t>
      </w:r>
      <w:r w:rsidR="00BF0096" w:rsidRPr="00BC54D1">
        <w:rPr>
          <w:rFonts w:ascii="Times New Roman" w:hAnsi="Times New Roman"/>
        </w:rPr>
        <w:t xml:space="preserve">From the theoretical perspective, our evidence </w:t>
      </w:r>
      <w:r w:rsidR="00B010C8" w:rsidRPr="00BC54D1">
        <w:rPr>
          <w:rFonts w:ascii="Times New Roman" w:hAnsi="Times New Roman"/>
        </w:rPr>
        <w:t>offers</w:t>
      </w:r>
      <w:r w:rsidR="00BF0096" w:rsidRPr="00BC54D1">
        <w:rPr>
          <w:rFonts w:ascii="Times New Roman" w:hAnsi="Times New Roman"/>
        </w:rPr>
        <w:t xml:space="preserve"> support for the financing frictions</w:t>
      </w:r>
      <w:r w:rsidR="00B010C8" w:rsidRPr="00BC54D1">
        <w:rPr>
          <w:rFonts w:ascii="Times New Roman" w:hAnsi="Times New Roman"/>
        </w:rPr>
        <w:t xml:space="preserve"> </w:t>
      </w:r>
      <w:r w:rsidR="00B010C8" w:rsidRPr="00BC54D1">
        <w:rPr>
          <w:rFonts w:ascii="Times New Roman" w:hAnsi="Times New Roman"/>
        </w:rPr>
        <w:lastRenderedPageBreak/>
        <w:t xml:space="preserve">associated with innovative activity (Brown, </w:t>
      </w:r>
      <w:proofErr w:type="gramStart"/>
      <w:r w:rsidR="00B010C8" w:rsidRPr="00BC54D1">
        <w:rPr>
          <w:rFonts w:ascii="Times New Roman" w:hAnsi="Times New Roman"/>
        </w:rPr>
        <w:t>Martinsson</w:t>
      </w:r>
      <w:proofErr w:type="gramEnd"/>
      <w:r w:rsidR="00B010C8" w:rsidRPr="00BC54D1">
        <w:rPr>
          <w:rFonts w:ascii="Times New Roman" w:hAnsi="Times New Roman"/>
        </w:rPr>
        <w:t xml:space="preserve"> and Petersen, 2012). Thus, different from prior research (e.g., Brown, Martinsson and Petersen, 2012; Gonzalez and Pazo, 2008), we </w:t>
      </w:r>
      <w:r w:rsidR="00255529" w:rsidRPr="00BC54D1">
        <w:rPr>
          <w:rFonts w:ascii="Times New Roman" w:hAnsi="Times New Roman"/>
        </w:rPr>
        <w:t>state</w:t>
      </w:r>
      <w:r w:rsidR="00B010C8" w:rsidRPr="00BC54D1">
        <w:rPr>
          <w:rFonts w:ascii="Times New Roman" w:hAnsi="Times New Roman"/>
        </w:rPr>
        <w:t xml:space="preserve"> that</w:t>
      </w:r>
      <w:r w:rsidR="001E268D" w:rsidRPr="00BC54D1">
        <w:rPr>
          <w:rFonts w:ascii="Times New Roman" w:hAnsi="Times New Roman"/>
        </w:rPr>
        <w:t xml:space="preserve"> </w:t>
      </w:r>
      <w:r w:rsidR="00386DD9" w:rsidRPr="00BC54D1">
        <w:rPr>
          <w:rFonts w:ascii="Times New Roman" w:hAnsi="Times New Roman"/>
        </w:rPr>
        <w:t xml:space="preserve">compared to public firms, </w:t>
      </w:r>
      <w:proofErr w:type="gramStart"/>
      <w:r w:rsidR="00255529" w:rsidRPr="00BC54D1">
        <w:rPr>
          <w:rFonts w:ascii="Times New Roman" w:hAnsi="Times New Roman"/>
        </w:rPr>
        <w:t>privately-held</w:t>
      </w:r>
      <w:proofErr w:type="gramEnd"/>
      <w:r w:rsidR="00255529" w:rsidRPr="00BC54D1">
        <w:rPr>
          <w:rFonts w:ascii="Times New Roman" w:hAnsi="Times New Roman"/>
        </w:rPr>
        <w:t xml:space="preserve"> </w:t>
      </w:r>
      <w:r w:rsidR="001E268D" w:rsidRPr="00BC54D1">
        <w:rPr>
          <w:rFonts w:ascii="Times New Roman" w:hAnsi="Times New Roman"/>
        </w:rPr>
        <w:t xml:space="preserve">R&amp;D </w:t>
      </w:r>
      <w:r w:rsidR="00255529" w:rsidRPr="00BC54D1">
        <w:rPr>
          <w:rFonts w:ascii="Times New Roman" w:hAnsi="Times New Roman"/>
        </w:rPr>
        <w:t xml:space="preserve">firms </w:t>
      </w:r>
      <w:r w:rsidR="00385D5E" w:rsidRPr="00BC54D1">
        <w:rPr>
          <w:rFonts w:ascii="Times New Roman" w:hAnsi="Times New Roman"/>
        </w:rPr>
        <w:t xml:space="preserve">are more susceptible to financing constraints </w:t>
      </w:r>
      <w:r w:rsidR="00DB7332" w:rsidRPr="00BC54D1">
        <w:rPr>
          <w:rFonts w:ascii="Times New Roman" w:hAnsi="Times New Roman"/>
        </w:rPr>
        <w:t xml:space="preserve">and that they rely more on internal cash and debt to finance their innovative (R&amp;D) activity. </w:t>
      </w:r>
      <w:r w:rsidR="00DD6FE7" w:rsidRPr="00BC54D1">
        <w:rPr>
          <w:rFonts w:ascii="Times New Roman" w:hAnsi="Times New Roman"/>
        </w:rPr>
        <w:t xml:space="preserve">The implication of this results is further confirmed </w:t>
      </w:r>
      <w:r w:rsidR="005259FB" w:rsidRPr="00BC54D1">
        <w:rPr>
          <w:rFonts w:ascii="Times New Roman" w:hAnsi="Times New Roman"/>
        </w:rPr>
        <w:t>in the work</w:t>
      </w:r>
      <w:r w:rsidR="00243D50" w:rsidRPr="00BC54D1">
        <w:rPr>
          <w:rFonts w:ascii="Times New Roman" w:hAnsi="Times New Roman"/>
        </w:rPr>
        <w:t>s</w:t>
      </w:r>
      <w:r w:rsidR="005259FB" w:rsidRPr="00BC54D1">
        <w:rPr>
          <w:rFonts w:ascii="Times New Roman" w:hAnsi="Times New Roman"/>
        </w:rPr>
        <w:t xml:space="preserve"> of</w:t>
      </w:r>
      <w:r w:rsidR="00DD6FE7" w:rsidRPr="00BC54D1">
        <w:rPr>
          <w:rFonts w:ascii="Times New Roman" w:hAnsi="Times New Roman"/>
        </w:rPr>
        <w:t xml:space="preserve"> Brown et al. (2012) </w:t>
      </w:r>
      <w:r w:rsidR="005259FB" w:rsidRPr="00BC54D1">
        <w:rPr>
          <w:rFonts w:ascii="Times New Roman" w:hAnsi="Times New Roman"/>
        </w:rPr>
        <w:t xml:space="preserve">and </w:t>
      </w:r>
      <w:proofErr w:type="spellStart"/>
      <w:r w:rsidR="005259FB" w:rsidRPr="00BC54D1">
        <w:rPr>
          <w:rFonts w:ascii="Times New Roman" w:hAnsi="Times New Roman"/>
        </w:rPr>
        <w:t>Uppenberg</w:t>
      </w:r>
      <w:proofErr w:type="spellEnd"/>
      <w:r w:rsidR="005259FB" w:rsidRPr="00BC54D1">
        <w:rPr>
          <w:rFonts w:ascii="Times New Roman" w:hAnsi="Times New Roman"/>
        </w:rPr>
        <w:t xml:space="preserve"> (2009) </w:t>
      </w:r>
      <w:r w:rsidR="00243D50" w:rsidRPr="00BC54D1">
        <w:rPr>
          <w:rFonts w:ascii="Times New Roman" w:hAnsi="Times New Roman"/>
        </w:rPr>
        <w:t>who</w:t>
      </w:r>
      <w:r w:rsidR="005259FB" w:rsidRPr="00BC54D1">
        <w:rPr>
          <w:rFonts w:ascii="Times New Roman" w:hAnsi="Times New Roman"/>
        </w:rPr>
        <w:t xml:space="preserve"> </w:t>
      </w:r>
      <w:r w:rsidR="00DD6FE7" w:rsidRPr="00BC54D1">
        <w:rPr>
          <w:rFonts w:ascii="Times New Roman" w:hAnsi="Times New Roman"/>
        </w:rPr>
        <w:t xml:space="preserve">suggest that UK public firms issue more equity financing to </w:t>
      </w:r>
      <w:r w:rsidR="00103075" w:rsidRPr="00BC54D1">
        <w:rPr>
          <w:rFonts w:ascii="Times New Roman" w:hAnsi="Times New Roman"/>
        </w:rPr>
        <w:t xml:space="preserve">support </w:t>
      </w:r>
      <w:r w:rsidR="00DD6FE7" w:rsidRPr="00BC54D1">
        <w:rPr>
          <w:rFonts w:ascii="Times New Roman" w:hAnsi="Times New Roman"/>
        </w:rPr>
        <w:t xml:space="preserve">their R&amp;D </w:t>
      </w:r>
      <w:r w:rsidR="00103075" w:rsidRPr="00BC54D1">
        <w:rPr>
          <w:rFonts w:ascii="Times New Roman" w:hAnsi="Times New Roman"/>
        </w:rPr>
        <w:t xml:space="preserve">activities. </w:t>
      </w:r>
      <w:r w:rsidR="008D319B" w:rsidRPr="00BC54D1">
        <w:rPr>
          <w:rFonts w:ascii="Times New Roman" w:hAnsi="Times New Roman"/>
        </w:rPr>
        <w:t>Beyond the financing difficulties, our results show that private R&amp;D firms operating in informationally flow environment (proxied by information quality</w:t>
      </w:r>
      <w:r w:rsidR="00CD618A" w:rsidRPr="00BC54D1">
        <w:rPr>
          <w:rFonts w:ascii="Times New Roman" w:hAnsi="Times New Roman"/>
        </w:rPr>
        <w:t>)</w:t>
      </w:r>
      <w:r w:rsidR="008D319B" w:rsidRPr="00BC54D1">
        <w:rPr>
          <w:rFonts w:ascii="Times New Roman" w:hAnsi="Times New Roman"/>
        </w:rPr>
        <w:t xml:space="preserve"> </w:t>
      </w:r>
      <w:r w:rsidR="00CD618A" w:rsidRPr="00BC54D1">
        <w:rPr>
          <w:rFonts w:ascii="Times New Roman" w:hAnsi="Times New Roman"/>
        </w:rPr>
        <w:t xml:space="preserve">are likely to intensify </w:t>
      </w:r>
      <w:r w:rsidR="006C6EDB" w:rsidRPr="00BC54D1">
        <w:rPr>
          <w:rFonts w:ascii="Times New Roman" w:hAnsi="Times New Roman"/>
        </w:rPr>
        <w:t>their R</w:t>
      </w:r>
      <w:r w:rsidR="00CD618A" w:rsidRPr="00BC54D1">
        <w:rPr>
          <w:rFonts w:ascii="Times New Roman" w:hAnsi="Times New Roman"/>
        </w:rPr>
        <w:t xml:space="preserve">&amp;D spending. </w:t>
      </w:r>
      <w:r w:rsidR="000C4318" w:rsidRPr="00BC54D1">
        <w:rPr>
          <w:rFonts w:ascii="Times New Roman" w:hAnsi="Times New Roman"/>
        </w:rPr>
        <w:t xml:space="preserve">This </w:t>
      </w:r>
      <w:r w:rsidR="006C6EDB" w:rsidRPr="00BC54D1">
        <w:rPr>
          <w:rFonts w:ascii="Times New Roman" w:hAnsi="Times New Roman"/>
        </w:rPr>
        <w:t>evidence adds</w:t>
      </w:r>
      <w:r w:rsidR="000C4318" w:rsidRPr="00BC54D1">
        <w:rPr>
          <w:rFonts w:ascii="Times New Roman" w:hAnsi="Times New Roman"/>
        </w:rPr>
        <w:t xml:space="preserve"> </w:t>
      </w:r>
      <w:r w:rsidR="006C6EDB" w:rsidRPr="00BC54D1">
        <w:rPr>
          <w:rFonts w:ascii="Times New Roman" w:hAnsi="Times New Roman"/>
        </w:rPr>
        <w:t xml:space="preserve">a new dimension to the observed R&amp;D intensity in private firms. </w:t>
      </w:r>
      <w:r w:rsidRPr="00BC54D1">
        <w:rPr>
          <w:rFonts w:ascii="Times New Roman" w:hAnsi="Times New Roman"/>
          <w:bCs/>
        </w:rPr>
        <w:t xml:space="preserve">Despite these </w:t>
      </w:r>
      <w:r w:rsidR="009C6107" w:rsidRPr="00BC54D1">
        <w:rPr>
          <w:rFonts w:ascii="Times New Roman" w:hAnsi="Times New Roman"/>
          <w:bCs/>
        </w:rPr>
        <w:t xml:space="preserve">important </w:t>
      </w:r>
      <w:r w:rsidRPr="00BC54D1">
        <w:rPr>
          <w:rFonts w:ascii="Times New Roman" w:hAnsi="Times New Roman"/>
          <w:bCs/>
        </w:rPr>
        <w:t>findings, we would like to point out that our use of a single country’s data limits the generalisability of our findings. Thus, future studies may also consider extending this study across multiple countries</w:t>
      </w:r>
      <w:r w:rsidR="00F1685A" w:rsidRPr="00BC54D1">
        <w:rPr>
          <w:rFonts w:ascii="Times New Roman" w:hAnsi="Times New Roman"/>
          <w:bCs/>
        </w:rPr>
        <w:t>.</w:t>
      </w:r>
      <w:r w:rsidR="00C0611F" w:rsidRPr="00BC54D1">
        <w:rPr>
          <w:rFonts w:ascii="Times New Roman" w:hAnsi="Times New Roman"/>
          <w:bCs/>
        </w:rPr>
        <w:t xml:space="preserve"> Also, future studies can investigate whether both public and private firms benefit from R&amp;D investment</w:t>
      </w:r>
      <w:r w:rsidR="006C3478" w:rsidRPr="00BC54D1">
        <w:rPr>
          <w:rFonts w:ascii="Times New Roman" w:hAnsi="Times New Roman"/>
          <w:bCs/>
        </w:rPr>
        <w:t xml:space="preserve"> and </w:t>
      </w:r>
      <w:bookmarkStart w:id="13" w:name="_Hlk87710843"/>
      <w:r w:rsidR="006C3478" w:rsidRPr="00BC54D1">
        <w:rPr>
          <w:rFonts w:ascii="Times New Roman" w:hAnsi="Times New Roman"/>
          <w:bCs/>
        </w:rPr>
        <w:t>any potential mimicking effects on corporate innovation between public and private firms</w:t>
      </w:r>
      <w:bookmarkEnd w:id="13"/>
      <w:r w:rsidR="00C0611F" w:rsidRPr="00BC54D1">
        <w:rPr>
          <w:rFonts w:ascii="Times New Roman" w:hAnsi="Times New Roman"/>
          <w:bCs/>
        </w:rPr>
        <w:t>.</w:t>
      </w:r>
      <w:r w:rsidRPr="00BC54D1">
        <w:rPr>
          <w:rFonts w:ascii="Times New Roman" w:hAnsi="Times New Roman"/>
          <w:bCs/>
        </w:rPr>
        <w:t xml:space="preserve"> </w:t>
      </w:r>
    </w:p>
    <w:p w14:paraId="49464F80" w14:textId="77777777" w:rsidR="00A32C88" w:rsidRPr="00BC54D1" w:rsidRDefault="00A32C88">
      <w:pPr>
        <w:rPr>
          <w:rFonts w:ascii="Times New Roman" w:hAnsi="Times New Roman"/>
          <w:bCs/>
        </w:rPr>
      </w:pPr>
      <w:r w:rsidRPr="00BC54D1">
        <w:rPr>
          <w:rFonts w:ascii="Times New Roman" w:hAnsi="Times New Roman"/>
          <w:bCs/>
        </w:rPr>
        <w:br w:type="page"/>
      </w:r>
    </w:p>
    <w:p w14:paraId="11CE94D4" w14:textId="2964C8D4" w:rsidR="00712412" w:rsidRPr="00BC54D1" w:rsidRDefault="3E6C7172" w:rsidP="00A32C88">
      <w:pPr>
        <w:spacing w:before="120" w:after="120" w:line="360" w:lineRule="auto"/>
        <w:jc w:val="both"/>
        <w:rPr>
          <w:rFonts w:ascii="Times New Roman" w:hAnsi="Times New Roman"/>
          <w:bCs/>
        </w:rPr>
      </w:pPr>
      <w:r w:rsidRPr="00BC54D1">
        <w:rPr>
          <w:rFonts w:ascii="Times New Roman" w:hAnsi="Times New Roman"/>
          <w:b/>
          <w:bCs/>
        </w:rPr>
        <w:lastRenderedPageBreak/>
        <w:t>Reference</w:t>
      </w:r>
      <w:r w:rsidR="00A32C88" w:rsidRPr="00BC54D1">
        <w:rPr>
          <w:rFonts w:ascii="Times New Roman" w:hAnsi="Times New Roman"/>
          <w:b/>
          <w:bCs/>
        </w:rPr>
        <w:t>s</w:t>
      </w:r>
    </w:p>
    <w:p w14:paraId="78A6B0B3" w14:textId="2A033023" w:rsidR="00352673" w:rsidRPr="00BC54D1" w:rsidRDefault="00352673" w:rsidP="00352673">
      <w:pPr>
        <w:spacing w:before="100" w:beforeAutospacing="1" w:after="100" w:afterAutospacing="1"/>
        <w:jc w:val="both"/>
        <w:rPr>
          <w:rFonts w:ascii="Times New Roman" w:hAnsi="Times New Roman"/>
        </w:rPr>
      </w:pPr>
      <w:r w:rsidRPr="00BC54D1">
        <w:rPr>
          <w:rFonts w:ascii="Times New Roman" w:hAnsi="Times New Roman"/>
        </w:rPr>
        <w:t xml:space="preserve">Acharya, V. </w:t>
      </w:r>
      <w:r w:rsidR="00937C58" w:rsidRPr="00BC54D1">
        <w:rPr>
          <w:rFonts w:ascii="Times New Roman" w:hAnsi="Times New Roman"/>
        </w:rPr>
        <w:t>and</w:t>
      </w:r>
      <w:r w:rsidRPr="00BC54D1">
        <w:rPr>
          <w:rFonts w:ascii="Times New Roman" w:hAnsi="Times New Roman"/>
        </w:rPr>
        <w:t xml:space="preserve"> Xu, Z. (2017)</w:t>
      </w:r>
      <w:r w:rsidR="00937C58" w:rsidRPr="00BC54D1">
        <w:rPr>
          <w:rFonts w:ascii="Times New Roman" w:hAnsi="Times New Roman"/>
        </w:rPr>
        <w:t>,</w:t>
      </w:r>
      <w:r w:rsidRPr="00BC54D1">
        <w:rPr>
          <w:rFonts w:ascii="Times New Roman" w:hAnsi="Times New Roman"/>
        </w:rPr>
        <w:t xml:space="preserve"> </w:t>
      </w:r>
      <w:r w:rsidR="00937C58" w:rsidRPr="00BC54D1">
        <w:rPr>
          <w:rFonts w:ascii="Times New Roman" w:hAnsi="Times New Roman"/>
        </w:rPr>
        <w:t>‘</w:t>
      </w:r>
      <w:r w:rsidRPr="00BC54D1">
        <w:rPr>
          <w:rFonts w:ascii="Times New Roman" w:hAnsi="Times New Roman"/>
        </w:rPr>
        <w:t xml:space="preserve">Financial dependence and innovation: </w:t>
      </w:r>
      <w:r w:rsidR="00A10C2E" w:rsidRPr="00BC54D1">
        <w:rPr>
          <w:rFonts w:ascii="Times New Roman" w:hAnsi="Times New Roman"/>
        </w:rPr>
        <w:t>t</w:t>
      </w:r>
      <w:r w:rsidRPr="00BC54D1">
        <w:rPr>
          <w:rFonts w:ascii="Times New Roman" w:hAnsi="Times New Roman"/>
        </w:rPr>
        <w:t>he case of public versus private firms</w:t>
      </w:r>
      <w:r w:rsidR="00937C58" w:rsidRPr="00BC54D1">
        <w:rPr>
          <w:rFonts w:ascii="Times New Roman" w:hAnsi="Times New Roman"/>
        </w:rPr>
        <w:t>’,</w:t>
      </w:r>
      <w:r w:rsidRPr="00BC54D1">
        <w:rPr>
          <w:rFonts w:ascii="Times New Roman" w:hAnsi="Times New Roman"/>
        </w:rPr>
        <w:t xml:space="preserve"> </w:t>
      </w:r>
      <w:r w:rsidRPr="00BC54D1">
        <w:rPr>
          <w:rFonts w:ascii="Times New Roman" w:hAnsi="Times New Roman"/>
          <w:i/>
        </w:rPr>
        <w:t>Journal of Financial Economics</w:t>
      </w:r>
      <w:r w:rsidRPr="00BC54D1">
        <w:rPr>
          <w:rFonts w:ascii="Times New Roman" w:hAnsi="Times New Roman"/>
        </w:rPr>
        <w:t xml:space="preserve">, </w:t>
      </w:r>
      <w:r w:rsidR="00937C58" w:rsidRPr="00BC54D1">
        <w:rPr>
          <w:rFonts w:ascii="Times New Roman" w:hAnsi="Times New Roman"/>
        </w:rPr>
        <w:t xml:space="preserve">Vol. </w:t>
      </w:r>
      <w:r w:rsidRPr="00BC54D1">
        <w:rPr>
          <w:rFonts w:ascii="Times New Roman" w:hAnsi="Times New Roman"/>
        </w:rPr>
        <w:t>124</w:t>
      </w:r>
      <w:r w:rsidR="00937C58" w:rsidRPr="00BC54D1">
        <w:rPr>
          <w:rFonts w:ascii="Times New Roman" w:hAnsi="Times New Roman"/>
        </w:rPr>
        <w:t xml:space="preserve">, pp. </w:t>
      </w:r>
      <w:r w:rsidRPr="00BC54D1">
        <w:rPr>
          <w:rFonts w:ascii="Times New Roman" w:hAnsi="Times New Roman"/>
        </w:rPr>
        <w:t>223</w:t>
      </w:r>
      <w:r w:rsidR="00A10C2E" w:rsidRPr="00BC54D1">
        <w:rPr>
          <w:rFonts w:ascii="Times New Roman" w:hAnsi="Times New Roman"/>
        </w:rPr>
        <w:t>-</w:t>
      </w:r>
      <w:r w:rsidRPr="00BC54D1">
        <w:rPr>
          <w:rFonts w:ascii="Times New Roman" w:hAnsi="Times New Roman"/>
        </w:rPr>
        <w:t>243.</w:t>
      </w:r>
    </w:p>
    <w:p w14:paraId="2DD5C76D" w14:textId="46948880" w:rsidR="00352673" w:rsidRPr="00BC54D1" w:rsidRDefault="00352673" w:rsidP="00352673">
      <w:pPr>
        <w:spacing w:before="100" w:beforeAutospacing="1" w:after="100" w:afterAutospacing="1"/>
        <w:jc w:val="both"/>
        <w:rPr>
          <w:rFonts w:ascii="Times New Roman" w:hAnsi="Times New Roman"/>
        </w:rPr>
      </w:pPr>
      <w:r w:rsidRPr="00BC54D1">
        <w:rPr>
          <w:rFonts w:ascii="Times New Roman" w:hAnsi="Times New Roman"/>
        </w:rPr>
        <w:t>Acharya, V.</w:t>
      </w:r>
      <w:r w:rsidR="00937C58" w:rsidRPr="00BC54D1">
        <w:rPr>
          <w:rFonts w:ascii="Times New Roman" w:hAnsi="Times New Roman"/>
        </w:rPr>
        <w:t xml:space="preserve"> and</w:t>
      </w:r>
      <w:r w:rsidRPr="00BC54D1">
        <w:rPr>
          <w:rFonts w:ascii="Times New Roman" w:hAnsi="Times New Roman"/>
        </w:rPr>
        <w:t xml:space="preserve"> Lambrecht, B.M. </w:t>
      </w:r>
      <w:r w:rsidR="00937C58" w:rsidRPr="00BC54D1">
        <w:rPr>
          <w:rFonts w:ascii="Times New Roman" w:hAnsi="Times New Roman"/>
        </w:rPr>
        <w:t>(</w:t>
      </w:r>
      <w:r w:rsidRPr="00BC54D1">
        <w:rPr>
          <w:rFonts w:ascii="Times New Roman" w:hAnsi="Times New Roman"/>
        </w:rPr>
        <w:t>2015</w:t>
      </w:r>
      <w:r w:rsidR="00937C58" w:rsidRPr="00BC54D1">
        <w:rPr>
          <w:rFonts w:ascii="Times New Roman" w:hAnsi="Times New Roman"/>
        </w:rPr>
        <w:t>),</w:t>
      </w:r>
      <w:r w:rsidRPr="00BC54D1">
        <w:rPr>
          <w:rFonts w:ascii="Times New Roman" w:hAnsi="Times New Roman"/>
        </w:rPr>
        <w:t xml:space="preserve"> </w:t>
      </w:r>
      <w:r w:rsidR="00937C58" w:rsidRPr="00BC54D1">
        <w:rPr>
          <w:rFonts w:ascii="Times New Roman" w:hAnsi="Times New Roman"/>
        </w:rPr>
        <w:t>‘</w:t>
      </w:r>
      <w:r w:rsidRPr="00BC54D1">
        <w:rPr>
          <w:rFonts w:ascii="Times New Roman" w:hAnsi="Times New Roman"/>
        </w:rPr>
        <w:t>A theory of income smoothing when insiders know more than outsiders</w:t>
      </w:r>
      <w:r w:rsidR="00937C58"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Review of Financial Studies</w:t>
      </w:r>
      <w:r w:rsidR="00A10C2E" w:rsidRPr="00BC54D1">
        <w:rPr>
          <w:rFonts w:ascii="Times New Roman" w:hAnsi="Times New Roman"/>
          <w:iCs/>
        </w:rPr>
        <w:t>,</w:t>
      </w:r>
      <w:r w:rsidRPr="00BC54D1">
        <w:rPr>
          <w:rFonts w:ascii="Times New Roman" w:hAnsi="Times New Roman"/>
        </w:rPr>
        <w:t xml:space="preserve"> </w:t>
      </w:r>
      <w:r w:rsidR="00937C58" w:rsidRPr="00BC54D1">
        <w:rPr>
          <w:rFonts w:ascii="Times New Roman" w:hAnsi="Times New Roman"/>
        </w:rPr>
        <w:t xml:space="preserve">Vol. </w:t>
      </w:r>
      <w:r w:rsidRPr="00BC54D1">
        <w:rPr>
          <w:rFonts w:ascii="Times New Roman" w:hAnsi="Times New Roman"/>
        </w:rPr>
        <w:t xml:space="preserve">28, </w:t>
      </w:r>
      <w:r w:rsidR="00937C58" w:rsidRPr="00BC54D1">
        <w:rPr>
          <w:rFonts w:ascii="Times New Roman" w:hAnsi="Times New Roman"/>
        </w:rPr>
        <w:t>pp.</w:t>
      </w:r>
      <w:r w:rsidRPr="00BC54D1">
        <w:rPr>
          <w:rFonts w:ascii="Times New Roman" w:hAnsi="Times New Roman"/>
        </w:rPr>
        <w:t>2534</w:t>
      </w:r>
      <w:r w:rsidR="00A10C2E" w:rsidRPr="00BC54D1">
        <w:rPr>
          <w:rFonts w:ascii="Times New Roman" w:hAnsi="Times New Roman"/>
        </w:rPr>
        <w:t>-</w:t>
      </w:r>
      <w:r w:rsidRPr="00BC54D1">
        <w:rPr>
          <w:rFonts w:ascii="Times New Roman" w:hAnsi="Times New Roman"/>
        </w:rPr>
        <w:t>2574.</w:t>
      </w:r>
    </w:p>
    <w:p w14:paraId="7D5078EF" w14:textId="13BFCFF7" w:rsidR="00352673" w:rsidRPr="00BC54D1" w:rsidRDefault="00352673" w:rsidP="00352673">
      <w:pPr>
        <w:spacing w:before="100" w:beforeAutospacing="1" w:after="100" w:afterAutospacing="1"/>
        <w:jc w:val="both"/>
        <w:rPr>
          <w:rFonts w:ascii="Times New Roman" w:hAnsi="Times New Roman"/>
        </w:rPr>
      </w:pPr>
      <w:r w:rsidRPr="00BC54D1">
        <w:rPr>
          <w:rFonts w:ascii="Times New Roman" w:hAnsi="Times New Roman"/>
        </w:rPr>
        <w:t>Acharya, V.</w:t>
      </w:r>
      <w:r w:rsidR="00A10C2E" w:rsidRPr="00BC54D1">
        <w:rPr>
          <w:rFonts w:ascii="Times New Roman" w:hAnsi="Times New Roman"/>
        </w:rPr>
        <w:t xml:space="preserve"> and</w:t>
      </w:r>
      <w:r w:rsidRPr="00BC54D1">
        <w:rPr>
          <w:rFonts w:ascii="Times New Roman" w:hAnsi="Times New Roman"/>
        </w:rPr>
        <w:t xml:space="preserve"> Subramanian, K. </w:t>
      </w:r>
      <w:r w:rsidR="00937C58" w:rsidRPr="00BC54D1">
        <w:rPr>
          <w:rFonts w:ascii="Times New Roman" w:hAnsi="Times New Roman"/>
        </w:rPr>
        <w:t>(</w:t>
      </w:r>
      <w:r w:rsidRPr="00BC54D1">
        <w:rPr>
          <w:rFonts w:ascii="Times New Roman" w:hAnsi="Times New Roman"/>
        </w:rPr>
        <w:t>2009</w:t>
      </w:r>
      <w:r w:rsidR="00937C58" w:rsidRPr="00BC54D1">
        <w:rPr>
          <w:rFonts w:ascii="Times New Roman" w:hAnsi="Times New Roman"/>
        </w:rPr>
        <w:t>),</w:t>
      </w:r>
      <w:r w:rsidRPr="00BC54D1">
        <w:rPr>
          <w:rFonts w:ascii="Times New Roman" w:hAnsi="Times New Roman"/>
        </w:rPr>
        <w:t xml:space="preserve"> </w:t>
      </w:r>
      <w:r w:rsidR="00937C58" w:rsidRPr="00BC54D1">
        <w:rPr>
          <w:rFonts w:ascii="Times New Roman" w:hAnsi="Times New Roman"/>
        </w:rPr>
        <w:t>‘</w:t>
      </w:r>
      <w:r w:rsidRPr="00BC54D1">
        <w:rPr>
          <w:rFonts w:ascii="Times New Roman" w:hAnsi="Times New Roman"/>
        </w:rPr>
        <w:t>Bankruptcy codes and innovation</w:t>
      </w:r>
      <w:r w:rsidR="00937C58"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Review of Financial Studies</w:t>
      </w:r>
      <w:r w:rsidR="00A10C2E" w:rsidRPr="00BC54D1">
        <w:rPr>
          <w:rFonts w:ascii="Times New Roman" w:hAnsi="Times New Roman"/>
          <w:iCs/>
        </w:rPr>
        <w:t>,</w:t>
      </w:r>
      <w:r w:rsidRPr="00BC54D1">
        <w:rPr>
          <w:rFonts w:ascii="Times New Roman" w:hAnsi="Times New Roman"/>
          <w:i/>
          <w:iCs/>
        </w:rPr>
        <w:t xml:space="preserve"> </w:t>
      </w:r>
      <w:r w:rsidR="00937C58" w:rsidRPr="00BC54D1">
        <w:rPr>
          <w:rFonts w:ascii="Times New Roman" w:hAnsi="Times New Roman"/>
        </w:rPr>
        <w:t xml:space="preserve">Vol. </w:t>
      </w:r>
      <w:r w:rsidRPr="00BC54D1">
        <w:rPr>
          <w:rFonts w:ascii="Times New Roman" w:hAnsi="Times New Roman"/>
        </w:rPr>
        <w:t xml:space="preserve">22, </w:t>
      </w:r>
      <w:r w:rsidR="00937C58" w:rsidRPr="00BC54D1">
        <w:rPr>
          <w:rFonts w:ascii="Times New Roman" w:hAnsi="Times New Roman"/>
        </w:rPr>
        <w:t>pp.</w:t>
      </w:r>
      <w:r w:rsidRPr="00BC54D1">
        <w:rPr>
          <w:rFonts w:ascii="Times New Roman" w:hAnsi="Times New Roman"/>
        </w:rPr>
        <w:t>4949</w:t>
      </w:r>
      <w:r w:rsidR="00A10C2E" w:rsidRPr="00BC54D1">
        <w:rPr>
          <w:rFonts w:ascii="Times New Roman" w:hAnsi="Times New Roman"/>
        </w:rPr>
        <w:t>-</w:t>
      </w:r>
      <w:r w:rsidRPr="00BC54D1">
        <w:rPr>
          <w:rFonts w:ascii="Times New Roman" w:hAnsi="Times New Roman"/>
        </w:rPr>
        <w:t xml:space="preserve">4988. </w:t>
      </w:r>
    </w:p>
    <w:p w14:paraId="310E5BD7" w14:textId="6FD9B576" w:rsidR="006F4A74" w:rsidRPr="00BC54D1" w:rsidRDefault="006F4A74" w:rsidP="00407BF4">
      <w:pPr>
        <w:spacing w:before="100" w:beforeAutospacing="1" w:after="100" w:afterAutospacing="1"/>
        <w:jc w:val="both"/>
        <w:rPr>
          <w:rFonts w:ascii="Times New Roman" w:hAnsi="Times New Roman"/>
          <w:b/>
        </w:rPr>
      </w:pPr>
      <w:r w:rsidRPr="00BC54D1">
        <w:rPr>
          <w:rFonts w:ascii="Times New Roman" w:hAnsi="Times New Roman"/>
        </w:rPr>
        <w:t xml:space="preserve">Adomako, S., Amankwah-Amoah, J., Danso, A., Danquah, J. K., Hussain, Z. </w:t>
      </w:r>
      <w:r w:rsidR="00937C58" w:rsidRPr="00BC54D1">
        <w:rPr>
          <w:rFonts w:ascii="Times New Roman" w:hAnsi="Times New Roman"/>
        </w:rPr>
        <w:t>and</w:t>
      </w:r>
      <w:r w:rsidRPr="00BC54D1">
        <w:rPr>
          <w:rFonts w:ascii="Times New Roman" w:hAnsi="Times New Roman"/>
        </w:rPr>
        <w:t xml:space="preserve"> Khan, Z. (2019)</w:t>
      </w:r>
      <w:r w:rsidR="00937C58" w:rsidRPr="00BC54D1">
        <w:rPr>
          <w:rFonts w:ascii="Times New Roman" w:hAnsi="Times New Roman"/>
        </w:rPr>
        <w:t>,</w:t>
      </w:r>
      <w:r w:rsidRPr="00BC54D1">
        <w:rPr>
          <w:rFonts w:ascii="Times New Roman" w:hAnsi="Times New Roman"/>
        </w:rPr>
        <w:t xml:space="preserve"> </w:t>
      </w:r>
      <w:r w:rsidR="00937C58" w:rsidRPr="00BC54D1">
        <w:rPr>
          <w:rFonts w:ascii="Times New Roman" w:hAnsi="Times New Roman"/>
        </w:rPr>
        <w:t>‘</w:t>
      </w:r>
      <w:r w:rsidRPr="00BC54D1">
        <w:rPr>
          <w:rFonts w:ascii="Times New Roman" w:hAnsi="Times New Roman"/>
        </w:rPr>
        <w:t>R&amp;D intensity, knowledge creation process and new product performance: the mediating role of international R&amp;D teams</w:t>
      </w:r>
      <w:r w:rsidR="00937C58" w:rsidRPr="00BC54D1">
        <w:rPr>
          <w:rFonts w:ascii="Times New Roman" w:hAnsi="Times New Roman"/>
        </w:rPr>
        <w:t>’</w:t>
      </w:r>
      <w:r w:rsidR="00A10C2E" w:rsidRPr="00BC54D1">
        <w:rPr>
          <w:rFonts w:ascii="Times New Roman" w:hAnsi="Times New Roman"/>
        </w:rPr>
        <w:t>,</w:t>
      </w:r>
      <w:r w:rsidRPr="00BC54D1">
        <w:rPr>
          <w:rFonts w:ascii="Times New Roman" w:hAnsi="Times New Roman"/>
        </w:rPr>
        <w:t> </w:t>
      </w:r>
      <w:r w:rsidRPr="00BC54D1">
        <w:rPr>
          <w:rFonts w:ascii="Times New Roman" w:hAnsi="Times New Roman"/>
          <w:i/>
          <w:iCs/>
        </w:rPr>
        <w:t>Journal of Business Research</w:t>
      </w:r>
      <w:r w:rsidR="00835472" w:rsidRPr="00BC54D1">
        <w:rPr>
          <w:rFonts w:ascii="Times New Roman" w:hAnsi="Times New Roman"/>
        </w:rPr>
        <w:t>, VOL. 28, pp.  719 -727.</w:t>
      </w:r>
    </w:p>
    <w:p w14:paraId="0BFCB489" w14:textId="23789EBD" w:rsidR="00352673" w:rsidRPr="00BC54D1" w:rsidRDefault="00352673" w:rsidP="00407BF4">
      <w:pPr>
        <w:spacing w:before="100" w:beforeAutospacing="1" w:after="100" w:afterAutospacing="1"/>
        <w:jc w:val="both"/>
        <w:rPr>
          <w:rFonts w:ascii="Times New Roman" w:hAnsi="Times New Roman"/>
        </w:rPr>
      </w:pPr>
      <w:r w:rsidRPr="00BC54D1">
        <w:rPr>
          <w:rFonts w:ascii="Times New Roman" w:hAnsi="Times New Roman"/>
        </w:rPr>
        <w:t>Aggarwal, V. A., and Hsu</w:t>
      </w:r>
      <w:r w:rsidR="00A10C2E" w:rsidRPr="00BC54D1">
        <w:rPr>
          <w:rFonts w:ascii="Times New Roman" w:hAnsi="Times New Roman"/>
        </w:rPr>
        <w:t>, D.H</w:t>
      </w:r>
      <w:r w:rsidRPr="00BC54D1">
        <w:rPr>
          <w:rFonts w:ascii="Times New Roman" w:hAnsi="Times New Roman"/>
        </w:rPr>
        <w:t>. (2014)</w:t>
      </w:r>
      <w:r w:rsidR="00937C58" w:rsidRPr="00BC54D1">
        <w:rPr>
          <w:rFonts w:ascii="Times New Roman" w:hAnsi="Times New Roman"/>
        </w:rPr>
        <w:t>,</w:t>
      </w:r>
      <w:r w:rsidRPr="00BC54D1">
        <w:rPr>
          <w:rFonts w:ascii="Times New Roman" w:hAnsi="Times New Roman"/>
        </w:rPr>
        <w:t xml:space="preserve"> </w:t>
      </w:r>
      <w:r w:rsidR="00937C58" w:rsidRPr="00BC54D1">
        <w:rPr>
          <w:rFonts w:ascii="Times New Roman" w:hAnsi="Times New Roman"/>
        </w:rPr>
        <w:t>‘</w:t>
      </w:r>
      <w:r w:rsidRPr="00BC54D1">
        <w:rPr>
          <w:rFonts w:ascii="Times New Roman" w:hAnsi="Times New Roman"/>
        </w:rPr>
        <w:t xml:space="preserve">Entrepreneurial </w:t>
      </w:r>
      <w:r w:rsidR="00A10C2E" w:rsidRPr="00BC54D1">
        <w:rPr>
          <w:rFonts w:ascii="Times New Roman" w:hAnsi="Times New Roman"/>
        </w:rPr>
        <w:t>e</w:t>
      </w:r>
      <w:r w:rsidRPr="00BC54D1">
        <w:rPr>
          <w:rFonts w:ascii="Times New Roman" w:hAnsi="Times New Roman"/>
        </w:rPr>
        <w:t xml:space="preserve">xits and </w:t>
      </w:r>
      <w:r w:rsidR="00A10C2E" w:rsidRPr="00BC54D1">
        <w:rPr>
          <w:rFonts w:ascii="Times New Roman" w:hAnsi="Times New Roman"/>
        </w:rPr>
        <w:t>i</w:t>
      </w:r>
      <w:r w:rsidRPr="00BC54D1">
        <w:rPr>
          <w:rFonts w:ascii="Times New Roman" w:hAnsi="Times New Roman"/>
        </w:rPr>
        <w:t>nnovation</w:t>
      </w:r>
      <w:r w:rsidR="00937C58"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 xml:space="preserve">Management </w:t>
      </w:r>
      <w:r w:rsidR="00937C58" w:rsidRPr="00BC54D1">
        <w:rPr>
          <w:rFonts w:ascii="Times New Roman" w:hAnsi="Times New Roman"/>
          <w:i/>
          <w:iCs/>
        </w:rPr>
        <w:t>Science</w:t>
      </w:r>
      <w:r w:rsidR="00937C58" w:rsidRPr="00BC54D1">
        <w:rPr>
          <w:rFonts w:ascii="Times New Roman" w:hAnsi="Times New Roman"/>
        </w:rPr>
        <w:t xml:space="preserve">, Vol </w:t>
      </w:r>
      <w:r w:rsidRPr="00BC54D1">
        <w:rPr>
          <w:rFonts w:ascii="Times New Roman" w:hAnsi="Times New Roman"/>
        </w:rPr>
        <w:t xml:space="preserve">60, </w:t>
      </w:r>
      <w:r w:rsidR="00937C58" w:rsidRPr="00BC54D1">
        <w:rPr>
          <w:rFonts w:ascii="Times New Roman" w:hAnsi="Times New Roman"/>
        </w:rPr>
        <w:t xml:space="preserve">pp. </w:t>
      </w:r>
      <w:r w:rsidRPr="00BC54D1">
        <w:rPr>
          <w:rFonts w:ascii="Times New Roman" w:hAnsi="Times New Roman"/>
        </w:rPr>
        <w:t>867</w:t>
      </w:r>
      <w:r w:rsidR="00A10C2E" w:rsidRPr="00BC54D1">
        <w:rPr>
          <w:rFonts w:ascii="Times New Roman" w:hAnsi="Times New Roman"/>
        </w:rPr>
        <w:t>-</w:t>
      </w:r>
      <w:r w:rsidRPr="00BC54D1">
        <w:rPr>
          <w:rFonts w:ascii="Times New Roman" w:hAnsi="Times New Roman"/>
        </w:rPr>
        <w:t xml:space="preserve">887. </w:t>
      </w:r>
    </w:p>
    <w:p w14:paraId="4495E33E" w14:textId="58F2CFD9" w:rsidR="00EE1FF6" w:rsidRPr="00BC54D1" w:rsidRDefault="00EE1FF6" w:rsidP="00EE1FF6">
      <w:pPr>
        <w:spacing w:before="100" w:beforeAutospacing="1" w:after="100" w:afterAutospacing="1"/>
        <w:jc w:val="both"/>
        <w:rPr>
          <w:rFonts w:ascii="Times New Roman" w:hAnsi="Times New Roman"/>
        </w:rPr>
      </w:pPr>
      <w:r w:rsidRPr="00BC54D1">
        <w:rPr>
          <w:rFonts w:ascii="Times New Roman" w:hAnsi="Times New Roman"/>
        </w:rPr>
        <w:t>Aghion, P.</w:t>
      </w:r>
      <w:r w:rsidR="008F4536" w:rsidRPr="00BC54D1">
        <w:rPr>
          <w:rFonts w:ascii="Times New Roman" w:hAnsi="Times New Roman"/>
        </w:rPr>
        <w:t xml:space="preserve">, </w:t>
      </w:r>
      <w:proofErr w:type="spellStart"/>
      <w:r w:rsidRPr="00BC54D1">
        <w:rPr>
          <w:rFonts w:ascii="Times New Roman" w:hAnsi="Times New Roman"/>
        </w:rPr>
        <w:t>Angeletos</w:t>
      </w:r>
      <w:proofErr w:type="spellEnd"/>
      <w:r w:rsidR="008F4536" w:rsidRPr="00BC54D1">
        <w:rPr>
          <w:rFonts w:ascii="Times New Roman" w:hAnsi="Times New Roman"/>
        </w:rPr>
        <w:t>, G. M.,</w:t>
      </w:r>
      <w:r w:rsidRPr="00BC54D1">
        <w:rPr>
          <w:rFonts w:ascii="Times New Roman" w:hAnsi="Times New Roman"/>
        </w:rPr>
        <w:t xml:space="preserve"> Banerjee</w:t>
      </w:r>
      <w:r w:rsidR="008F4536" w:rsidRPr="00BC54D1">
        <w:rPr>
          <w:rFonts w:ascii="Times New Roman" w:hAnsi="Times New Roman"/>
        </w:rPr>
        <w:t xml:space="preserve">, A. </w:t>
      </w:r>
      <w:r w:rsidR="00937C58" w:rsidRPr="00BC54D1">
        <w:rPr>
          <w:rFonts w:ascii="Times New Roman" w:hAnsi="Times New Roman"/>
        </w:rPr>
        <w:t>and</w:t>
      </w:r>
      <w:r w:rsidRPr="00BC54D1">
        <w:rPr>
          <w:rFonts w:ascii="Times New Roman" w:hAnsi="Times New Roman"/>
        </w:rPr>
        <w:t xml:space="preserve"> Manova</w:t>
      </w:r>
      <w:r w:rsidR="008F4536" w:rsidRPr="00BC54D1">
        <w:rPr>
          <w:rFonts w:ascii="Times New Roman" w:hAnsi="Times New Roman"/>
        </w:rPr>
        <w:t>, K. (</w:t>
      </w:r>
      <w:r w:rsidR="00B83029" w:rsidRPr="00BC54D1">
        <w:rPr>
          <w:rFonts w:ascii="Times New Roman" w:hAnsi="Times New Roman"/>
        </w:rPr>
        <w:t>2010)</w:t>
      </w:r>
      <w:r w:rsidR="00937C58" w:rsidRPr="00BC54D1">
        <w:rPr>
          <w:rFonts w:ascii="Times New Roman" w:hAnsi="Times New Roman"/>
        </w:rPr>
        <w:t>,</w:t>
      </w:r>
      <w:r w:rsidRPr="00BC54D1">
        <w:rPr>
          <w:rFonts w:ascii="Times New Roman" w:hAnsi="Times New Roman"/>
        </w:rPr>
        <w:t xml:space="preserve"> </w:t>
      </w:r>
      <w:r w:rsidR="00937C58" w:rsidRPr="00BC54D1">
        <w:rPr>
          <w:rFonts w:ascii="Times New Roman" w:hAnsi="Times New Roman"/>
        </w:rPr>
        <w:t>‘</w:t>
      </w:r>
      <w:r w:rsidRPr="00BC54D1">
        <w:rPr>
          <w:rFonts w:ascii="Times New Roman" w:hAnsi="Times New Roman"/>
        </w:rPr>
        <w:t xml:space="preserve">Volatility and </w:t>
      </w:r>
      <w:r w:rsidR="00902A9D" w:rsidRPr="00BC54D1">
        <w:rPr>
          <w:rFonts w:ascii="Times New Roman" w:hAnsi="Times New Roman"/>
        </w:rPr>
        <w:t>g</w:t>
      </w:r>
      <w:r w:rsidRPr="00BC54D1">
        <w:rPr>
          <w:rFonts w:ascii="Times New Roman" w:hAnsi="Times New Roman"/>
        </w:rPr>
        <w:t xml:space="preserve">rowth: </w:t>
      </w:r>
      <w:r w:rsidR="00902A9D" w:rsidRPr="00BC54D1">
        <w:rPr>
          <w:rFonts w:ascii="Times New Roman" w:hAnsi="Times New Roman"/>
        </w:rPr>
        <w:t>c</w:t>
      </w:r>
      <w:r w:rsidRPr="00BC54D1">
        <w:rPr>
          <w:rFonts w:ascii="Times New Roman" w:hAnsi="Times New Roman"/>
        </w:rPr>
        <w:t xml:space="preserve">redit </w:t>
      </w:r>
      <w:r w:rsidR="00902A9D" w:rsidRPr="00BC54D1">
        <w:rPr>
          <w:rFonts w:ascii="Times New Roman" w:hAnsi="Times New Roman"/>
        </w:rPr>
        <w:t>c</w:t>
      </w:r>
      <w:r w:rsidRPr="00BC54D1">
        <w:rPr>
          <w:rFonts w:ascii="Times New Roman" w:hAnsi="Times New Roman"/>
        </w:rPr>
        <w:t xml:space="preserve">onstraints and the </w:t>
      </w:r>
      <w:r w:rsidR="00902A9D" w:rsidRPr="00BC54D1">
        <w:rPr>
          <w:rFonts w:ascii="Times New Roman" w:hAnsi="Times New Roman"/>
        </w:rPr>
        <w:t>c</w:t>
      </w:r>
      <w:r w:rsidRPr="00BC54D1">
        <w:rPr>
          <w:rFonts w:ascii="Times New Roman" w:hAnsi="Times New Roman"/>
        </w:rPr>
        <w:t xml:space="preserve">omposition of </w:t>
      </w:r>
      <w:r w:rsidR="00902A9D" w:rsidRPr="00BC54D1">
        <w:rPr>
          <w:rFonts w:ascii="Times New Roman" w:hAnsi="Times New Roman"/>
        </w:rPr>
        <w:t>i</w:t>
      </w:r>
      <w:r w:rsidRPr="00BC54D1">
        <w:rPr>
          <w:rFonts w:ascii="Times New Roman" w:hAnsi="Times New Roman"/>
        </w:rPr>
        <w:t>nvestment</w:t>
      </w:r>
      <w:r w:rsidR="00937C58"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Journal of Monetary Economics</w:t>
      </w:r>
      <w:r w:rsidRPr="00BC54D1">
        <w:rPr>
          <w:rFonts w:ascii="Times New Roman" w:hAnsi="Times New Roman"/>
        </w:rPr>
        <w:t xml:space="preserve">, </w:t>
      </w:r>
      <w:r w:rsidR="00937C58" w:rsidRPr="00BC54D1">
        <w:rPr>
          <w:rFonts w:ascii="Times New Roman" w:hAnsi="Times New Roman"/>
        </w:rPr>
        <w:t xml:space="preserve">Vol. </w:t>
      </w:r>
      <w:r w:rsidRPr="00BC54D1">
        <w:rPr>
          <w:rFonts w:ascii="Times New Roman" w:hAnsi="Times New Roman"/>
        </w:rPr>
        <w:t>57</w:t>
      </w:r>
      <w:r w:rsidR="00B83029" w:rsidRPr="00BC54D1">
        <w:rPr>
          <w:rFonts w:ascii="Times New Roman" w:hAnsi="Times New Roman"/>
        </w:rPr>
        <w:t>,</w:t>
      </w:r>
      <w:r w:rsidRPr="00BC54D1">
        <w:rPr>
          <w:rFonts w:ascii="Times New Roman" w:hAnsi="Times New Roman"/>
        </w:rPr>
        <w:t xml:space="preserve"> </w:t>
      </w:r>
      <w:r w:rsidR="00937C58" w:rsidRPr="00BC54D1">
        <w:rPr>
          <w:rFonts w:ascii="Times New Roman" w:hAnsi="Times New Roman"/>
        </w:rPr>
        <w:t xml:space="preserve">pp. </w:t>
      </w:r>
      <w:r w:rsidRPr="00BC54D1">
        <w:rPr>
          <w:rFonts w:ascii="Times New Roman" w:hAnsi="Times New Roman"/>
        </w:rPr>
        <w:t>246</w:t>
      </w:r>
      <w:r w:rsidR="00902A9D" w:rsidRPr="00BC54D1">
        <w:rPr>
          <w:rFonts w:ascii="Times New Roman" w:hAnsi="Times New Roman"/>
        </w:rPr>
        <w:t>-</w:t>
      </w:r>
      <w:r w:rsidRPr="00BC54D1">
        <w:rPr>
          <w:rFonts w:ascii="Times New Roman" w:hAnsi="Times New Roman"/>
        </w:rPr>
        <w:t xml:space="preserve">265. </w:t>
      </w:r>
    </w:p>
    <w:p w14:paraId="1D377BF5" w14:textId="14034973" w:rsidR="00EE1FF6" w:rsidRPr="00BC54D1" w:rsidRDefault="00EE1FF6" w:rsidP="00407BF4">
      <w:pPr>
        <w:spacing w:before="100" w:beforeAutospacing="1" w:after="100" w:afterAutospacing="1"/>
        <w:jc w:val="both"/>
        <w:rPr>
          <w:rFonts w:ascii="Times New Roman" w:hAnsi="Times New Roman"/>
        </w:rPr>
      </w:pPr>
      <w:r w:rsidRPr="00BC54D1">
        <w:rPr>
          <w:rFonts w:ascii="Times New Roman" w:hAnsi="Times New Roman"/>
        </w:rPr>
        <w:t>Aghion, P.</w:t>
      </w:r>
      <w:r w:rsidR="00B83029" w:rsidRPr="00BC54D1">
        <w:rPr>
          <w:rFonts w:ascii="Times New Roman" w:hAnsi="Times New Roman"/>
        </w:rPr>
        <w:t>,</w:t>
      </w:r>
      <w:r w:rsidRPr="00BC54D1">
        <w:rPr>
          <w:rFonts w:ascii="Times New Roman" w:hAnsi="Times New Roman"/>
        </w:rPr>
        <w:t xml:space="preserve"> Bond</w:t>
      </w:r>
      <w:r w:rsidR="00B83029" w:rsidRPr="00BC54D1">
        <w:rPr>
          <w:rFonts w:ascii="Times New Roman" w:hAnsi="Times New Roman"/>
        </w:rPr>
        <w:t>, S.,</w:t>
      </w:r>
      <w:r w:rsidRPr="00BC54D1">
        <w:rPr>
          <w:rFonts w:ascii="Times New Roman" w:hAnsi="Times New Roman"/>
        </w:rPr>
        <w:t xml:space="preserve"> Klemm</w:t>
      </w:r>
      <w:r w:rsidR="00B83029" w:rsidRPr="00BC54D1">
        <w:rPr>
          <w:rFonts w:ascii="Times New Roman" w:hAnsi="Times New Roman"/>
        </w:rPr>
        <w:t xml:space="preserve">, A. </w:t>
      </w:r>
      <w:r w:rsidR="001567E5" w:rsidRPr="00BC54D1">
        <w:rPr>
          <w:rFonts w:ascii="Times New Roman" w:hAnsi="Times New Roman"/>
        </w:rPr>
        <w:t>and</w:t>
      </w:r>
      <w:r w:rsidRPr="00BC54D1">
        <w:rPr>
          <w:rFonts w:ascii="Times New Roman" w:hAnsi="Times New Roman"/>
        </w:rPr>
        <w:t xml:space="preserve"> Marinescu</w:t>
      </w:r>
      <w:r w:rsidR="00B83029" w:rsidRPr="00BC54D1">
        <w:rPr>
          <w:rFonts w:ascii="Times New Roman" w:hAnsi="Times New Roman"/>
        </w:rPr>
        <w:t>, I. (2004)</w:t>
      </w:r>
      <w:r w:rsidR="001567E5" w:rsidRPr="00BC54D1">
        <w:rPr>
          <w:rFonts w:ascii="Times New Roman" w:hAnsi="Times New Roman"/>
        </w:rPr>
        <w:t>, ‘</w:t>
      </w:r>
      <w:r w:rsidRPr="00BC54D1">
        <w:rPr>
          <w:rFonts w:ascii="Times New Roman" w:hAnsi="Times New Roman"/>
        </w:rPr>
        <w:t xml:space="preserve">Technology and </w:t>
      </w:r>
      <w:r w:rsidR="00902A9D" w:rsidRPr="00BC54D1">
        <w:rPr>
          <w:rFonts w:ascii="Times New Roman" w:hAnsi="Times New Roman"/>
        </w:rPr>
        <w:t>f</w:t>
      </w:r>
      <w:r w:rsidRPr="00BC54D1">
        <w:rPr>
          <w:rFonts w:ascii="Times New Roman" w:hAnsi="Times New Roman"/>
        </w:rPr>
        <w:t xml:space="preserve">inancial </w:t>
      </w:r>
      <w:r w:rsidR="00902A9D" w:rsidRPr="00BC54D1">
        <w:rPr>
          <w:rFonts w:ascii="Times New Roman" w:hAnsi="Times New Roman"/>
        </w:rPr>
        <w:t>s</w:t>
      </w:r>
      <w:r w:rsidRPr="00BC54D1">
        <w:rPr>
          <w:rFonts w:ascii="Times New Roman" w:hAnsi="Times New Roman"/>
        </w:rPr>
        <w:t xml:space="preserve">tructure: </w:t>
      </w:r>
      <w:r w:rsidR="00902A9D" w:rsidRPr="00BC54D1">
        <w:rPr>
          <w:rFonts w:ascii="Times New Roman" w:hAnsi="Times New Roman"/>
        </w:rPr>
        <w:t>a</w:t>
      </w:r>
      <w:r w:rsidRPr="00BC54D1">
        <w:rPr>
          <w:rFonts w:ascii="Times New Roman" w:hAnsi="Times New Roman"/>
        </w:rPr>
        <w:t xml:space="preserve">re </w:t>
      </w:r>
      <w:r w:rsidR="00902A9D" w:rsidRPr="00BC54D1">
        <w:rPr>
          <w:rFonts w:ascii="Times New Roman" w:hAnsi="Times New Roman"/>
        </w:rPr>
        <w:t>i</w:t>
      </w:r>
      <w:r w:rsidRPr="00BC54D1">
        <w:rPr>
          <w:rFonts w:ascii="Times New Roman" w:hAnsi="Times New Roman"/>
        </w:rPr>
        <w:t xml:space="preserve">nnovative </w:t>
      </w:r>
      <w:r w:rsidR="00902A9D" w:rsidRPr="00BC54D1">
        <w:rPr>
          <w:rFonts w:ascii="Times New Roman" w:hAnsi="Times New Roman"/>
        </w:rPr>
        <w:t>f</w:t>
      </w:r>
      <w:r w:rsidRPr="00BC54D1">
        <w:rPr>
          <w:rFonts w:ascii="Times New Roman" w:hAnsi="Times New Roman"/>
        </w:rPr>
        <w:t xml:space="preserve">irms </w:t>
      </w:r>
      <w:r w:rsidR="00902A9D" w:rsidRPr="00BC54D1">
        <w:rPr>
          <w:rFonts w:ascii="Times New Roman" w:hAnsi="Times New Roman"/>
        </w:rPr>
        <w:t>d</w:t>
      </w:r>
      <w:r w:rsidRPr="00BC54D1">
        <w:rPr>
          <w:rFonts w:ascii="Times New Roman" w:hAnsi="Times New Roman"/>
        </w:rPr>
        <w:t>ifferent?</w:t>
      </w:r>
      <w:r w:rsidR="001567E5"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Journal of the European Economic Association</w:t>
      </w:r>
      <w:r w:rsidRPr="00BC54D1">
        <w:rPr>
          <w:rFonts w:ascii="Times New Roman" w:hAnsi="Times New Roman"/>
        </w:rPr>
        <w:t xml:space="preserve">, </w:t>
      </w:r>
      <w:r w:rsidR="001567E5" w:rsidRPr="00BC54D1">
        <w:rPr>
          <w:rFonts w:ascii="Times New Roman" w:hAnsi="Times New Roman"/>
        </w:rPr>
        <w:t xml:space="preserve">Vol. </w:t>
      </w:r>
      <w:r w:rsidRPr="00BC54D1">
        <w:rPr>
          <w:rFonts w:ascii="Times New Roman" w:hAnsi="Times New Roman"/>
        </w:rPr>
        <w:t xml:space="preserve">2, </w:t>
      </w:r>
      <w:r w:rsidR="001567E5" w:rsidRPr="00BC54D1">
        <w:rPr>
          <w:rFonts w:ascii="Times New Roman" w:hAnsi="Times New Roman"/>
        </w:rPr>
        <w:t xml:space="preserve">pp. </w:t>
      </w:r>
      <w:r w:rsidRPr="00BC54D1">
        <w:rPr>
          <w:rFonts w:ascii="Times New Roman" w:hAnsi="Times New Roman"/>
        </w:rPr>
        <w:t>277</w:t>
      </w:r>
      <w:r w:rsidR="00902A9D" w:rsidRPr="00BC54D1">
        <w:rPr>
          <w:rFonts w:ascii="Times New Roman" w:hAnsi="Times New Roman"/>
        </w:rPr>
        <w:t>-</w:t>
      </w:r>
      <w:r w:rsidRPr="00BC54D1">
        <w:rPr>
          <w:rFonts w:ascii="Times New Roman" w:hAnsi="Times New Roman"/>
        </w:rPr>
        <w:t xml:space="preserve">288. </w:t>
      </w:r>
    </w:p>
    <w:p w14:paraId="5C8F59AB" w14:textId="01346FED" w:rsidR="00E4569B" w:rsidRPr="00BC54D1" w:rsidRDefault="00E4569B" w:rsidP="00E4569B">
      <w:pPr>
        <w:spacing w:after="160" w:line="259" w:lineRule="auto"/>
        <w:jc w:val="both"/>
        <w:rPr>
          <w:rFonts w:ascii="Times New Roman" w:eastAsiaTheme="minorHAnsi" w:hAnsi="Times New Roman"/>
          <w:shd w:val="clear" w:color="auto" w:fill="FFFFFF"/>
          <w:lang w:eastAsia="en-US"/>
        </w:rPr>
      </w:pPr>
      <w:r w:rsidRPr="00BC54D1">
        <w:rPr>
          <w:rFonts w:ascii="Times New Roman" w:eastAsiaTheme="minorHAnsi" w:hAnsi="Times New Roman"/>
          <w:shd w:val="clear" w:color="auto" w:fill="FFFFFF"/>
          <w:lang w:eastAsia="en-US"/>
        </w:rPr>
        <w:t>Ahn, J. M., Lee, W.</w:t>
      </w:r>
      <w:r w:rsidR="00902A9D" w:rsidRPr="00BC54D1">
        <w:rPr>
          <w:rFonts w:ascii="Times New Roman" w:eastAsiaTheme="minorHAnsi" w:hAnsi="Times New Roman"/>
          <w:shd w:val="clear" w:color="auto" w:fill="FFFFFF"/>
          <w:lang w:eastAsia="en-US"/>
        </w:rPr>
        <w:t xml:space="preserve"> and</w:t>
      </w:r>
      <w:r w:rsidRPr="00BC54D1">
        <w:rPr>
          <w:rFonts w:ascii="Times New Roman" w:eastAsiaTheme="minorHAnsi" w:hAnsi="Times New Roman"/>
          <w:shd w:val="clear" w:color="auto" w:fill="FFFFFF"/>
          <w:lang w:eastAsia="en-US"/>
        </w:rPr>
        <w:t xml:space="preserve"> Mortara, L. (2020)</w:t>
      </w:r>
      <w:r w:rsidR="005C5548"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 xml:space="preserve"> </w:t>
      </w:r>
      <w:r w:rsidR="005C5548"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 xml:space="preserve">Do government R&amp;D subsidies stimulate collaboration initiatives in private </w:t>
      </w:r>
      <w:r w:rsidR="00F11854" w:rsidRPr="00BC54D1">
        <w:rPr>
          <w:rFonts w:ascii="Times New Roman" w:eastAsiaTheme="minorHAnsi" w:hAnsi="Times New Roman"/>
          <w:shd w:val="clear" w:color="auto" w:fill="FFFFFF"/>
          <w:lang w:eastAsia="en-US"/>
        </w:rPr>
        <w:t>firms?</w:t>
      </w:r>
      <w:r w:rsidR="00902A9D" w:rsidRPr="00BC54D1">
        <w:rPr>
          <w:rFonts w:ascii="Times New Roman" w:eastAsiaTheme="minorHAnsi" w:hAnsi="Times New Roman"/>
          <w:shd w:val="clear" w:color="auto" w:fill="FFFFFF"/>
          <w:lang w:eastAsia="en-US"/>
        </w:rPr>
        <w:t>’</w:t>
      </w:r>
      <w:r w:rsidR="00465A15"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 xml:space="preserve"> </w:t>
      </w:r>
      <w:r w:rsidRPr="00BC54D1">
        <w:rPr>
          <w:rFonts w:ascii="Times New Roman" w:eastAsiaTheme="minorHAnsi" w:hAnsi="Times New Roman"/>
          <w:i/>
          <w:iCs/>
          <w:shd w:val="clear" w:color="auto" w:fill="FFFFFF"/>
          <w:lang w:eastAsia="en-US"/>
        </w:rPr>
        <w:t>Technological Forecasting and Social Change</w:t>
      </w:r>
      <w:r w:rsidRPr="00BC54D1">
        <w:rPr>
          <w:rFonts w:ascii="Times New Roman" w:eastAsiaTheme="minorHAnsi" w:hAnsi="Times New Roman"/>
          <w:shd w:val="clear" w:color="auto" w:fill="FFFFFF"/>
          <w:lang w:eastAsia="en-US"/>
        </w:rPr>
        <w:t xml:space="preserve">, </w:t>
      </w:r>
      <w:r w:rsidR="005C5548" w:rsidRPr="00BC54D1">
        <w:rPr>
          <w:rFonts w:ascii="Times New Roman" w:hAnsi="Times New Roman"/>
        </w:rPr>
        <w:t>Vol</w:t>
      </w:r>
      <w:r w:rsidR="005C5548" w:rsidRPr="00BC54D1">
        <w:rPr>
          <w:rFonts w:ascii="Times New Roman" w:eastAsiaTheme="minorHAnsi" w:hAnsi="Times New Roman"/>
          <w:shd w:val="clear" w:color="auto" w:fill="FFFFFF"/>
          <w:lang w:eastAsia="en-US"/>
        </w:rPr>
        <w:t xml:space="preserve">. </w:t>
      </w:r>
      <w:r w:rsidRPr="00BC54D1">
        <w:rPr>
          <w:rFonts w:ascii="Times New Roman" w:eastAsiaTheme="minorHAnsi" w:hAnsi="Times New Roman"/>
          <w:shd w:val="clear" w:color="auto" w:fill="FFFFFF"/>
          <w:lang w:eastAsia="en-US"/>
        </w:rPr>
        <w:t xml:space="preserve">151, </w:t>
      </w:r>
      <w:r w:rsidR="005C5548" w:rsidRPr="00BC54D1">
        <w:rPr>
          <w:rFonts w:ascii="Times New Roman" w:eastAsiaTheme="minorHAnsi" w:hAnsi="Times New Roman"/>
          <w:shd w:val="clear" w:color="auto" w:fill="FFFFFF"/>
          <w:lang w:eastAsia="en-US"/>
        </w:rPr>
        <w:t xml:space="preserve">p. </w:t>
      </w:r>
      <w:r w:rsidRPr="00BC54D1">
        <w:rPr>
          <w:rFonts w:ascii="Times New Roman" w:eastAsiaTheme="minorHAnsi" w:hAnsi="Times New Roman"/>
          <w:shd w:val="clear" w:color="auto" w:fill="FFFFFF"/>
          <w:lang w:eastAsia="en-US"/>
        </w:rPr>
        <w:t>119840.</w:t>
      </w:r>
    </w:p>
    <w:p w14:paraId="42DF1FBC" w14:textId="7BB0E8F5" w:rsidR="00D10986" w:rsidRPr="00BC54D1" w:rsidRDefault="00D10986" w:rsidP="004733DD">
      <w:pPr>
        <w:spacing w:before="100" w:beforeAutospacing="1" w:after="100" w:afterAutospacing="1"/>
        <w:jc w:val="both"/>
        <w:rPr>
          <w:rFonts w:ascii="Times New Roman" w:hAnsi="Times New Roman"/>
        </w:rPr>
      </w:pPr>
      <w:proofErr w:type="spellStart"/>
      <w:r w:rsidRPr="00BC54D1">
        <w:rPr>
          <w:rFonts w:ascii="Times New Roman" w:hAnsi="Times New Roman"/>
        </w:rPr>
        <w:t>Alam</w:t>
      </w:r>
      <w:proofErr w:type="spellEnd"/>
      <w:r w:rsidRPr="00BC54D1">
        <w:rPr>
          <w:rFonts w:ascii="Times New Roman" w:hAnsi="Times New Roman"/>
        </w:rPr>
        <w:t xml:space="preserve">, A., Uddin, M., </w:t>
      </w:r>
      <w:proofErr w:type="spellStart"/>
      <w:r w:rsidRPr="00BC54D1">
        <w:rPr>
          <w:rFonts w:ascii="Times New Roman" w:hAnsi="Times New Roman"/>
        </w:rPr>
        <w:t>Yazdifar</w:t>
      </w:r>
      <w:proofErr w:type="spellEnd"/>
      <w:r w:rsidRPr="00BC54D1">
        <w:rPr>
          <w:rFonts w:ascii="Times New Roman" w:hAnsi="Times New Roman"/>
        </w:rPr>
        <w:t xml:space="preserve">, H., Shafique, S. </w:t>
      </w:r>
      <w:r w:rsidR="005C5548" w:rsidRPr="00BC54D1">
        <w:rPr>
          <w:rFonts w:ascii="Times New Roman" w:hAnsi="Times New Roman"/>
        </w:rPr>
        <w:t>and</w:t>
      </w:r>
      <w:r w:rsidRPr="00BC54D1">
        <w:rPr>
          <w:rFonts w:ascii="Times New Roman" w:hAnsi="Times New Roman"/>
        </w:rPr>
        <w:t xml:space="preserve"> Lartey, T. (2020)</w:t>
      </w:r>
      <w:r w:rsidR="00465A15" w:rsidRPr="00BC54D1">
        <w:rPr>
          <w:rFonts w:ascii="Times New Roman" w:hAnsi="Times New Roman"/>
        </w:rPr>
        <w:t>,</w:t>
      </w:r>
      <w:r w:rsidRPr="00BC54D1">
        <w:rPr>
          <w:rFonts w:ascii="Times New Roman" w:hAnsi="Times New Roman"/>
        </w:rPr>
        <w:t xml:space="preserve"> </w:t>
      </w:r>
      <w:r w:rsidR="00902A9D" w:rsidRPr="00BC54D1">
        <w:rPr>
          <w:rFonts w:ascii="Times New Roman" w:hAnsi="Times New Roman"/>
        </w:rPr>
        <w:t>‘</w:t>
      </w:r>
      <w:r w:rsidRPr="00BC54D1">
        <w:rPr>
          <w:rFonts w:ascii="Times New Roman" w:hAnsi="Times New Roman"/>
        </w:rPr>
        <w:t xml:space="preserve">R&amp;D investment, firm performance and moderating role of system and safeguard: </w:t>
      </w:r>
      <w:r w:rsidR="00A10C2E" w:rsidRPr="00BC54D1">
        <w:rPr>
          <w:rFonts w:ascii="Times New Roman" w:hAnsi="Times New Roman"/>
        </w:rPr>
        <w:t>e</w:t>
      </w:r>
      <w:r w:rsidRPr="00BC54D1">
        <w:rPr>
          <w:rFonts w:ascii="Times New Roman" w:hAnsi="Times New Roman"/>
        </w:rPr>
        <w:t>vidence from emerging markets</w:t>
      </w:r>
      <w:r w:rsidR="00902A9D" w:rsidRPr="00BC54D1">
        <w:rPr>
          <w:rFonts w:ascii="Times New Roman" w:hAnsi="Times New Roman"/>
        </w:rPr>
        <w:t>’,</w:t>
      </w:r>
      <w:r w:rsidRPr="00BC54D1">
        <w:rPr>
          <w:rFonts w:ascii="Times New Roman" w:hAnsi="Times New Roman"/>
        </w:rPr>
        <w:t> </w:t>
      </w:r>
      <w:r w:rsidRPr="00BC54D1">
        <w:rPr>
          <w:rFonts w:ascii="Times New Roman" w:hAnsi="Times New Roman"/>
          <w:i/>
          <w:iCs/>
        </w:rPr>
        <w:t>Journal of Business Research</w:t>
      </w:r>
      <w:r w:rsidRPr="00BC54D1">
        <w:rPr>
          <w:rFonts w:ascii="Times New Roman" w:hAnsi="Times New Roman"/>
        </w:rPr>
        <w:t>, </w:t>
      </w:r>
      <w:r w:rsidR="005C5548" w:rsidRPr="00BC54D1">
        <w:rPr>
          <w:rFonts w:ascii="Times New Roman" w:hAnsi="Times New Roman"/>
        </w:rPr>
        <w:t>Vol.</w:t>
      </w:r>
      <w:r w:rsidR="005C5548" w:rsidRPr="00BC54D1">
        <w:rPr>
          <w:rFonts w:ascii="Times New Roman" w:hAnsi="Times New Roman"/>
          <w:i/>
          <w:iCs/>
        </w:rPr>
        <w:t xml:space="preserve"> </w:t>
      </w:r>
      <w:r w:rsidRPr="00BC54D1">
        <w:rPr>
          <w:rFonts w:ascii="Times New Roman" w:hAnsi="Times New Roman"/>
        </w:rPr>
        <w:t xml:space="preserve">106, </w:t>
      </w:r>
      <w:r w:rsidR="005C5548" w:rsidRPr="00BC54D1">
        <w:rPr>
          <w:rFonts w:ascii="Times New Roman" w:hAnsi="Times New Roman"/>
        </w:rPr>
        <w:t xml:space="preserve">pp. </w:t>
      </w:r>
      <w:r w:rsidRPr="00BC54D1">
        <w:rPr>
          <w:rFonts w:ascii="Times New Roman" w:hAnsi="Times New Roman"/>
        </w:rPr>
        <w:t>94-105.</w:t>
      </w:r>
    </w:p>
    <w:p w14:paraId="030F08F3" w14:textId="2E9644C3" w:rsidR="001C033B" w:rsidRPr="00BC54D1" w:rsidRDefault="004733DD" w:rsidP="004733DD">
      <w:pPr>
        <w:spacing w:before="100" w:beforeAutospacing="1" w:after="100" w:afterAutospacing="1"/>
        <w:jc w:val="both"/>
        <w:rPr>
          <w:rFonts w:ascii="Times New Roman" w:hAnsi="Times New Roman"/>
        </w:rPr>
      </w:pPr>
      <w:r w:rsidRPr="00BC54D1">
        <w:rPr>
          <w:rFonts w:ascii="Times New Roman" w:hAnsi="Times New Roman"/>
        </w:rPr>
        <w:t xml:space="preserve">Allen, F., Gale, D. </w:t>
      </w:r>
      <w:r w:rsidR="00B83029" w:rsidRPr="00BC54D1">
        <w:rPr>
          <w:rFonts w:ascii="Times New Roman" w:hAnsi="Times New Roman"/>
        </w:rPr>
        <w:t>(</w:t>
      </w:r>
      <w:r w:rsidRPr="00BC54D1">
        <w:rPr>
          <w:rFonts w:ascii="Times New Roman" w:hAnsi="Times New Roman"/>
        </w:rPr>
        <w:t>1999</w:t>
      </w:r>
      <w:r w:rsidR="00B83029" w:rsidRPr="00BC54D1">
        <w:rPr>
          <w:rFonts w:ascii="Times New Roman" w:hAnsi="Times New Roman"/>
        </w:rPr>
        <w:t>)</w:t>
      </w:r>
      <w:r w:rsidR="00B1768B" w:rsidRPr="00BC54D1">
        <w:rPr>
          <w:rFonts w:ascii="Times New Roman" w:hAnsi="Times New Roman"/>
        </w:rPr>
        <w:t>,</w:t>
      </w:r>
      <w:r w:rsidRPr="00BC54D1">
        <w:rPr>
          <w:rFonts w:ascii="Times New Roman" w:hAnsi="Times New Roman"/>
        </w:rPr>
        <w:t xml:space="preserve"> </w:t>
      </w:r>
      <w:r w:rsidR="00B1768B" w:rsidRPr="00BC54D1">
        <w:rPr>
          <w:rFonts w:ascii="Times New Roman" w:hAnsi="Times New Roman"/>
        </w:rPr>
        <w:t>‘</w:t>
      </w:r>
      <w:r w:rsidRPr="00BC54D1">
        <w:rPr>
          <w:rFonts w:ascii="Times New Roman" w:hAnsi="Times New Roman"/>
        </w:rPr>
        <w:t>Diversity of opinion and financing of new technologies</w:t>
      </w:r>
      <w:r w:rsidR="00BE4134" w:rsidRPr="00BC54D1">
        <w:rPr>
          <w:rFonts w:ascii="Times New Roman" w:hAnsi="Times New Roman"/>
        </w:rPr>
        <w:t>’,</w:t>
      </w:r>
      <w:r w:rsidRPr="00BC54D1">
        <w:rPr>
          <w:rFonts w:ascii="Times New Roman" w:hAnsi="Times New Roman"/>
        </w:rPr>
        <w:t xml:space="preserve"> </w:t>
      </w:r>
      <w:r w:rsidRPr="00BC54D1">
        <w:rPr>
          <w:rFonts w:ascii="Times New Roman" w:hAnsi="Times New Roman"/>
          <w:i/>
        </w:rPr>
        <w:t>J</w:t>
      </w:r>
      <w:r w:rsidRPr="00BC54D1">
        <w:rPr>
          <w:rFonts w:ascii="Times New Roman" w:hAnsi="Times New Roman"/>
          <w:i/>
          <w:iCs/>
        </w:rPr>
        <w:t>ournal of Financial Intermediation</w:t>
      </w:r>
      <w:r w:rsidR="00902A9D" w:rsidRPr="00BC54D1">
        <w:rPr>
          <w:rFonts w:ascii="Times New Roman" w:hAnsi="Times New Roman"/>
          <w:iCs/>
        </w:rPr>
        <w:t>,</w:t>
      </w:r>
      <w:r w:rsidRPr="00BC54D1">
        <w:rPr>
          <w:rFonts w:ascii="Times New Roman" w:hAnsi="Times New Roman"/>
          <w:i/>
          <w:iCs/>
        </w:rPr>
        <w:t xml:space="preserve"> </w:t>
      </w:r>
      <w:r w:rsidR="00B1768B" w:rsidRPr="00BC54D1">
        <w:rPr>
          <w:rFonts w:ascii="Times New Roman" w:hAnsi="Times New Roman"/>
        </w:rPr>
        <w:t xml:space="preserve">Vol. </w:t>
      </w:r>
      <w:r w:rsidRPr="00BC54D1">
        <w:rPr>
          <w:rFonts w:ascii="Times New Roman" w:hAnsi="Times New Roman"/>
        </w:rPr>
        <w:t xml:space="preserve">8, </w:t>
      </w:r>
      <w:r w:rsidR="00B1768B" w:rsidRPr="00BC54D1">
        <w:rPr>
          <w:rFonts w:ascii="Times New Roman" w:hAnsi="Times New Roman"/>
        </w:rPr>
        <w:t xml:space="preserve">pp. </w:t>
      </w:r>
      <w:r w:rsidRPr="00BC54D1">
        <w:rPr>
          <w:rFonts w:ascii="Times New Roman" w:hAnsi="Times New Roman"/>
        </w:rPr>
        <w:t>68</w:t>
      </w:r>
      <w:r w:rsidR="00902A9D" w:rsidRPr="00BC54D1">
        <w:rPr>
          <w:rFonts w:ascii="Times New Roman" w:hAnsi="Times New Roman"/>
        </w:rPr>
        <w:t>-</w:t>
      </w:r>
      <w:r w:rsidRPr="00BC54D1">
        <w:rPr>
          <w:rFonts w:ascii="Times New Roman" w:hAnsi="Times New Roman"/>
        </w:rPr>
        <w:t>89.</w:t>
      </w:r>
    </w:p>
    <w:p w14:paraId="4B3CDDEE" w14:textId="6C527F3A" w:rsidR="004733DD" w:rsidRPr="00BC54D1" w:rsidRDefault="001C033B" w:rsidP="004733DD">
      <w:pPr>
        <w:spacing w:before="100" w:beforeAutospacing="1" w:after="100" w:afterAutospacing="1"/>
        <w:jc w:val="both"/>
        <w:rPr>
          <w:rFonts w:ascii="Times New Roman" w:hAnsi="Times New Roman"/>
        </w:rPr>
      </w:pPr>
      <w:r w:rsidRPr="00BC54D1">
        <w:rPr>
          <w:rFonts w:ascii="Times New Roman" w:hAnsi="Times New Roman"/>
        </w:rPr>
        <w:t>Arrighetti, A., Landini, F.</w:t>
      </w:r>
      <w:r w:rsidR="00802D64" w:rsidRPr="00BC54D1">
        <w:rPr>
          <w:rFonts w:ascii="Times New Roman" w:hAnsi="Times New Roman"/>
        </w:rPr>
        <w:t xml:space="preserve"> and </w:t>
      </w:r>
      <w:proofErr w:type="spellStart"/>
      <w:r w:rsidRPr="00BC54D1">
        <w:rPr>
          <w:rFonts w:ascii="Times New Roman" w:hAnsi="Times New Roman"/>
        </w:rPr>
        <w:t>Lasagni</w:t>
      </w:r>
      <w:proofErr w:type="spellEnd"/>
      <w:r w:rsidRPr="00BC54D1">
        <w:rPr>
          <w:rFonts w:ascii="Times New Roman" w:hAnsi="Times New Roman"/>
        </w:rPr>
        <w:t>, A. (2014)</w:t>
      </w:r>
      <w:r w:rsidR="00BE4134" w:rsidRPr="00BC54D1">
        <w:rPr>
          <w:rFonts w:ascii="Times New Roman" w:hAnsi="Times New Roman"/>
        </w:rPr>
        <w:t>,</w:t>
      </w:r>
      <w:r w:rsidRPr="00BC54D1">
        <w:rPr>
          <w:rFonts w:ascii="Times New Roman" w:hAnsi="Times New Roman"/>
        </w:rPr>
        <w:t xml:space="preserve"> </w:t>
      </w:r>
      <w:r w:rsidR="00BE4134" w:rsidRPr="00BC54D1">
        <w:rPr>
          <w:rFonts w:ascii="Times New Roman" w:hAnsi="Times New Roman"/>
        </w:rPr>
        <w:t>‘</w:t>
      </w:r>
      <w:r w:rsidRPr="00BC54D1">
        <w:rPr>
          <w:rFonts w:ascii="Times New Roman" w:hAnsi="Times New Roman"/>
        </w:rPr>
        <w:t xml:space="preserve">Intangible </w:t>
      </w:r>
      <w:r w:rsidR="00902A9D" w:rsidRPr="00BC54D1">
        <w:rPr>
          <w:rFonts w:ascii="Times New Roman" w:hAnsi="Times New Roman"/>
        </w:rPr>
        <w:t>a</w:t>
      </w:r>
      <w:r w:rsidRPr="00BC54D1">
        <w:rPr>
          <w:rFonts w:ascii="Times New Roman" w:hAnsi="Times New Roman"/>
        </w:rPr>
        <w:t>ssets and firm heterogeneity</w:t>
      </w:r>
      <w:r w:rsidR="0074300F" w:rsidRPr="00BC54D1">
        <w:rPr>
          <w:rFonts w:ascii="Times New Roman" w:hAnsi="Times New Roman"/>
        </w:rPr>
        <w:t xml:space="preserve">: </w:t>
      </w:r>
      <w:r w:rsidR="00A10C2E" w:rsidRPr="00BC54D1">
        <w:rPr>
          <w:rFonts w:ascii="Times New Roman" w:hAnsi="Times New Roman"/>
        </w:rPr>
        <w:t>e</w:t>
      </w:r>
      <w:r w:rsidR="0074300F" w:rsidRPr="00BC54D1">
        <w:rPr>
          <w:rFonts w:ascii="Times New Roman" w:hAnsi="Times New Roman"/>
        </w:rPr>
        <w:t>vidence from Italy</w:t>
      </w:r>
      <w:r w:rsidR="00BE4134" w:rsidRPr="00BC54D1">
        <w:rPr>
          <w:rFonts w:ascii="Times New Roman" w:hAnsi="Times New Roman"/>
        </w:rPr>
        <w:t>’,</w:t>
      </w:r>
      <w:r w:rsidRPr="00BC54D1">
        <w:rPr>
          <w:rFonts w:ascii="Times New Roman" w:hAnsi="Times New Roman"/>
        </w:rPr>
        <w:t xml:space="preserve"> </w:t>
      </w:r>
      <w:r w:rsidR="0074300F" w:rsidRPr="00BC54D1">
        <w:rPr>
          <w:rFonts w:ascii="Times New Roman" w:hAnsi="Times New Roman"/>
          <w:i/>
          <w:iCs/>
        </w:rPr>
        <w:t>Research Policy</w:t>
      </w:r>
      <w:r w:rsidR="00802D64" w:rsidRPr="00BC54D1">
        <w:rPr>
          <w:rFonts w:ascii="Times New Roman" w:hAnsi="Times New Roman"/>
          <w:iCs/>
        </w:rPr>
        <w:t>,</w:t>
      </w:r>
      <w:r w:rsidR="00D52FAF" w:rsidRPr="00BC54D1">
        <w:rPr>
          <w:rFonts w:ascii="Times New Roman" w:hAnsi="Times New Roman"/>
        </w:rPr>
        <w:t xml:space="preserve"> </w:t>
      </w:r>
      <w:r w:rsidR="00BE4134" w:rsidRPr="00BC54D1">
        <w:rPr>
          <w:rFonts w:ascii="Times New Roman" w:hAnsi="Times New Roman"/>
        </w:rPr>
        <w:t xml:space="preserve">Vol. </w:t>
      </w:r>
      <w:r w:rsidR="00D52FAF" w:rsidRPr="00BC54D1">
        <w:rPr>
          <w:rFonts w:ascii="Times New Roman" w:hAnsi="Times New Roman"/>
        </w:rPr>
        <w:t>43</w:t>
      </w:r>
      <w:r w:rsidR="0074300F" w:rsidRPr="00BC54D1">
        <w:rPr>
          <w:rFonts w:ascii="Times New Roman" w:hAnsi="Times New Roman"/>
        </w:rPr>
        <w:t xml:space="preserve">, </w:t>
      </w:r>
      <w:r w:rsidR="00BE4134" w:rsidRPr="00BC54D1">
        <w:rPr>
          <w:rFonts w:ascii="Times New Roman" w:hAnsi="Times New Roman"/>
        </w:rPr>
        <w:t xml:space="preserve">pp. </w:t>
      </w:r>
      <w:r w:rsidR="0074300F" w:rsidRPr="00BC54D1">
        <w:rPr>
          <w:rFonts w:ascii="Times New Roman" w:hAnsi="Times New Roman"/>
        </w:rPr>
        <w:t>202</w:t>
      </w:r>
      <w:r w:rsidR="00802D64" w:rsidRPr="00BC54D1">
        <w:rPr>
          <w:rFonts w:ascii="Times New Roman" w:hAnsi="Times New Roman"/>
        </w:rPr>
        <w:t>-</w:t>
      </w:r>
      <w:r w:rsidR="0074300F" w:rsidRPr="00BC54D1">
        <w:rPr>
          <w:rFonts w:ascii="Times New Roman" w:hAnsi="Times New Roman"/>
        </w:rPr>
        <w:t>213</w:t>
      </w:r>
      <w:r w:rsidRPr="00BC54D1">
        <w:rPr>
          <w:rFonts w:ascii="Times New Roman" w:hAnsi="Times New Roman"/>
        </w:rPr>
        <w:t xml:space="preserve">. </w:t>
      </w:r>
      <w:r w:rsidR="004733DD" w:rsidRPr="00BC54D1">
        <w:rPr>
          <w:rFonts w:ascii="Times New Roman" w:hAnsi="Times New Roman"/>
        </w:rPr>
        <w:t xml:space="preserve"> </w:t>
      </w:r>
    </w:p>
    <w:p w14:paraId="31A5FF52" w14:textId="4260E531" w:rsidR="003D0338" w:rsidRPr="00BC54D1" w:rsidRDefault="003D0338" w:rsidP="003D0338">
      <w:pPr>
        <w:spacing w:before="100" w:beforeAutospacing="1" w:after="100" w:afterAutospacing="1"/>
        <w:jc w:val="both"/>
        <w:rPr>
          <w:rFonts w:ascii="Times New Roman" w:hAnsi="Times New Roman"/>
        </w:rPr>
      </w:pPr>
      <w:r w:rsidRPr="00BC54D1">
        <w:rPr>
          <w:rFonts w:ascii="Times New Roman" w:hAnsi="Times New Roman"/>
        </w:rPr>
        <w:t xml:space="preserve">Asker, J., Farre-Mensa, J. </w:t>
      </w:r>
      <w:r w:rsidR="001F6BC5" w:rsidRPr="00BC54D1">
        <w:rPr>
          <w:rFonts w:ascii="Times New Roman" w:hAnsi="Times New Roman"/>
        </w:rPr>
        <w:t>and</w:t>
      </w:r>
      <w:r w:rsidRPr="00BC54D1">
        <w:rPr>
          <w:rFonts w:ascii="Times New Roman" w:hAnsi="Times New Roman"/>
        </w:rPr>
        <w:t xml:space="preserve"> Ljungqvist, A. (2012)</w:t>
      </w:r>
      <w:r w:rsidR="001F6BC5" w:rsidRPr="00BC54D1">
        <w:rPr>
          <w:rFonts w:ascii="Times New Roman" w:hAnsi="Times New Roman"/>
        </w:rPr>
        <w:t>,</w:t>
      </w:r>
      <w:r w:rsidRPr="00BC54D1">
        <w:rPr>
          <w:rFonts w:ascii="Times New Roman" w:hAnsi="Times New Roman"/>
        </w:rPr>
        <w:t xml:space="preserve"> </w:t>
      </w:r>
      <w:r w:rsidR="001F6BC5" w:rsidRPr="00BC54D1">
        <w:rPr>
          <w:rFonts w:ascii="Times New Roman" w:hAnsi="Times New Roman"/>
        </w:rPr>
        <w:t>‘</w:t>
      </w:r>
      <w:r w:rsidRPr="00BC54D1">
        <w:rPr>
          <w:rFonts w:ascii="Times New Roman" w:hAnsi="Times New Roman"/>
        </w:rPr>
        <w:t xml:space="preserve">Comparing the investment </w:t>
      </w:r>
      <w:r w:rsidR="008768A6" w:rsidRPr="00BC54D1">
        <w:rPr>
          <w:rFonts w:ascii="Times New Roman" w:hAnsi="Times New Roman"/>
        </w:rPr>
        <w:t>behaviour</w:t>
      </w:r>
      <w:r w:rsidRPr="00BC54D1">
        <w:rPr>
          <w:rFonts w:ascii="Times New Roman" w:hAnsi="Times New Roman"/>
        </w:rPr>
        <w:t xml:space="preserve"> of public and private firms</w:t>
      </w:r>
      <w:r w:rsidR="001F6BC5" w:rsidRPr="00BC54D1">
        <w:rPr>
          <w:rFonts w:ascii="Times New Roman" w:hAnsi="Times New Roman"/>
        </w:rPr>
        <w:t>’,</w:t>
      </w:r>
      <w:r w:rsidRPr="00BC54D1">
        <w:rPr>
          <w:rFonts w:ascii="Times New Roman" w:hAnsi="Times New Roman"/>
        </w:rPr>
        <w:t xml:space="preserve"> Unpublished working paper, New York University and Harvard University.</w:t>
      </w:r>
    </w:p>
    <w:p w14:paraId="1FC2DB14" w14:textId="33E7C5D0" w:rsidR="003C33E9" w:rsidRPr="00BC54D1" w:rsidRDefault="003D0338" w:rsidP="003D0338">
      <w:pPr>
        <w:spacing w:before="100" w:beforeAutospacing="1" w:after="100" w:afterAutospacing="1"/>
        <w:jc w:val="both"/>
        <w:rPr>
          <w:rFonts w:ascii="Times New Roman" w:hAnsi="Times New Roman"/>
        </w:rPr>
      </w:pPr>
      <w:r w:rsidRPr="00BC54D1">
        <w:rPr>
          <w:rFonts w:ascii="Times New Roman" w:hAnsi="Times New Roman"/>
        </w:rPr>
        <w:t>Asker, J., Farre-Mensa, J.</w:t>
      </w:r>
      <w:r w:rsidR="00B83029" w:rsidRPr="00BC54D1">
        <w:rPr>
          <w:rFonts w:ascii="Times New Roman" w:hAnsi="Times New Roman"/>
        </w:rPr>
        <w:t xml:space="preserve"> </w:t>
      </w:r>
      <w:r w:rsidR="001F6BC5" w:rsidRPr="00BC54D1">
        <w:rPr>
          <w:rFonts w:ascii="Times New Roman" w:hAnsi="Times New Roman"/>
        </w:rPr>
        <w:t>and</w:t>
      </w:r>
      <w:r w:rsidRPr="00BC54D1">
        <w:rPr>
          <w:rFonts w:ascii="Times New Roman" w:hAnsi="Times New Roman"/>
        </w:rPr>
        <w:t xml:space="preserve"> Ljungqvist, A. </w:t>
      </w:r>
      <w:r w:rsidR="00B83029" w:rsidRPr="00BC54D1">
        <w:rPr>
          <w:rFonts w:ascii="Times New Roman" w:hAnsi="Times New Roman"/>
        </w:rPr>
        <w:t>(</w:t>
      </w:r>
      <w:r w:rsidRPr="00BC54D1">
        <w:rPr>
          <w:rFonts w:ascii="Times New Roman" w:hAnsi="Times New Roman"/>
        </w:rPr>
        <w:t>2015</w:t>
      </w:r>
      <w:r w:rsidR="00B83029" w:rsidRPr="00BC54D1">
        <w:rPr>
          <w:rFonts w:ascii="Times New Roman" w:hAnsi="Times New Roman"/>
        </w:rPr>
        <w:t>)</w:t>
      </w:r>
      <w:r w:rsidR="001F6BC5" w:rsidRPr="00BC54D1">
        <w:rPr>
          <w:rFonts w:ascii="Times New Roman" w:hAnsi="Times New Roman"/>
        </w:rPr>
        <w:t>,</w:t>
      </w:r>
      <w:r w:rsidRPr="00BC54D1">
        <w:rPr>
          <w:rFonts w:ascii="Times New Roman" w:hAnsi="Times New Roman"/>
        </w:rPr>
        <w:t xml:space="preserve"> </w:t>
      </w:r>
      <w:r w:rsidR="001F6BC5" w:rsidRPr="00BC54D1">
        <w:rPr>
          <w:rFonts w:ascii="Times New Roman" w:hAnsi="Times New Roman"/>
        </w:rPr>
        <w:t>‘</w:t>
      </w:r>
      <w:r w:rsidRPr="00BC54D1">
        <w:rPr>
          <w:rFonts w:ascii="Times New Roman" w:hAnsi="Times New Roman"/>
        </w:rPr>
        <w:t>Corporate investment and stock market listing: a puzzle</w:t>
      </w:r>
      <w:r w:rsidR="001F6BC5"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Review of Financial Studies</w:t>
      </w:r>
      <w:r w:rsidR="00802D64" w:rsidRPr="00BC54D1">
        <w:rPr>
          <w:rFonts w:ascii="Times New Roman" w:hAnsi="Times New Roman"/>
          <w:iCs/>
        </w:rPr>
        <w:t>,</w:t>
      </w:r>
      <w:r w:rsidRPr="00BC54D1">
        <w:rPr>
          <w:rFonts w:ascii="Times New Roman" w:hAnsi="Times New Roman"/>
        </w:rPr>
        <w:t xml:space="preserve"> </w:t>
      </w:r>
      <w:r w:rsidR="001F6BC5" w:rsidRPr="00BC54D1">
        <w:rPr>
          <w:rFonts w:ascii="Times New Roman" w:hAnsi="Times New Roman"/>
        </w:rPr>
        <w:t xml:space="preserve">Vol. </w:t>
      </w:r>
      <w:r w:rsidRPr="00BC54D1">
        <w:rPr>
          <w:rFonts w:ascii="Times New Roman" w:hAnsi="Times New Roman"/>
        </w:rPr>
        <w:t xml:space="preserve">28, </w:t>
      </w:r>
      <w:r w:rsidR="001F6BC5" w:rsidRPr="00BC54D1">
        <w:rPr>
          <w:rFonts w:ascii="Times New Roman" w:hAnsi="Times New Roman"/>
        </w:rPr>
        <w:t xml:space="preserve">pp. </w:t>
      </w:r>
      <w:r w:rsidRPr="00BC54D1">
        <w:rPr>
          <w:rFonts w:ascii="Times New Roman" w:hAnsi="Times New Roman"/>
        </w:rPr>
        <w:t>342</w:t>
      </w:r>
      <w:r w:rsidR="00802D64" w:rsidRPr="00BC54D1">
        <w:rPr>
          <w:rFonts w:ascii="Times New Roman" w:hAnsi="Times New Roman"/>
        </w:rPr>
        <w:t>-</w:t>
      </w:r>
      <w:r w:rsidRPr="00BC54D1">
        <w:rPr>
          <w:rFonts w:ascii="Times New Roman" w:hAnsi="Times New Roman"/>
        </w:rPr>
        <w:t>390.</w:t>
      </w:r>
    </w:p>
    <w:p w14:paraId="4840ABF4" w14:textId="5ECE534C" w:rsidR="003D0338" w:rsidRPr="00BC54D1" w:rsidRDefault="003C33E9" w:rsidP="003D0338">
      <w:pPr>
        <w:spacing w:before="100" w:beforeAutospacing="1" w:after="100" w:afterAutospacing="1"/>
        <w:jc w:val="both"/>
        <w:rPr>
          <w:rFonts w:ascii="Times New Roman" w:hAnsi="Times New Roman"/>
        </w:rPr>
      </w:pPr>
      <w:r w:rsidRPr="00BC54D1">
        <w:rPr>
          <w:rFonts w:ascii="Times New Roman" w:hAnsi="Times New Roman"/>
        </w:rPr>
        <w:t>Atanassov, J.</w:t>
      </w:r>
      <w:r w:rsidR="00B83029" w:rsidRPr="00BC54D1">
        <w:rPr>
          <w:rFonts w:ascii="Times New Roman" w:hAnsi="Times New Roman"/>
        </w:rPr>
        <w:t>,</w:t>
      </w:r>
      <w:r w:rsidRPr="00BC54D1">
        <w:rPr>
          <w:rFonts w:ascii="Times New Roman" w:hAnsi="Times New Roman"/>
        </w:rPr>
        <w:t xml:space="preserve"> Nanda</w:t>
      </w:r>
      <w:r w:rsidR="00B83029" w:rsidRPr="00BC54D1">
        <w:rPr>
          <w:rFonts w:ascii="Times New Roman" w:hAnsi="Times New Roman"/>
        </w:rPr>
        <w:t>, V.</w:t>
      </w:r>
      <w:r w:rsidR="002A2EB0" w:rsidRPr="00BC54D1">
        <w:rPr>
          <w:rFonts w:ascii="Times New Roman" w:hAnsi="Times New Roman"/>
        </w:rPr>
        <w:t xml:space="preserve"> and</w:t>
      </w:r>
      <w:r w:rsidRPr="00BC54D1">
        <w:rPr>
          <w:rFonts w:ascii="Times New Roman" w:hAnsi="Times New Roman"/>
        </w:rPr>
        <w:t xml:space="preserve"> Seru</w:t>
      </w:r>
      <w:r w:rsidR="00B83029" w:rsidRPr="00BC54D1">
        <w:rPr>
          <w:rFonts w:ascii="Times New Roman" w:hAnsi="Times New Roman"/>
        </w:rPr>
        <w:t>, A.</w:t>
      </w:r>
      <w:r w:rsidRPr="00BC54D1">
        <w:rPr>
          <w:rFonts w:ascii="Times New Roman" w:hAnsi="Times New Roman"/>
        </w:rPr>
        <w:t xml:space="preserve"> (2007)</w:t>
      </w:r>
      <w:r w:rsidR="002A2EB0" w:rsidRPr="00BC54D1">
        <w:rPr>
          <w:rFonts w:ascii="Times New Roman" w:hAnsi="Times New Roman"/>
        </w:rPr>
        <w:t>,</w:t>
      </w:r>
      <w:r w:rsidRPr="00BC54D1">
        <w:rPr>
          <w:rFonts w:ascii="Times New Roman" w:hAnsi="Times New Roman"/>
        </w:rPr>
        <w:t xml:space="preserve"> </w:t>
      </w:r>
      <w:r w:rsidR="002A2EB0" w:rsidRPr="00BC54D1">
        <w:rPr>
          <w:rFonts w:ascii="Times New Roman" w:hAnsi="Times New Roman"/>
        </w:rPr>
        <w:t>‘</w:t>
      </w:r>
      <w:r w:rsidRPr="00BC54D1">
        <w:rPr>
          <w:rFonts w:ascii="Times New Roman" w:hAnsi="Times New Roman"/>
        </w:rPr>
        <w:t xml:space="preserve">Finance and </w:t>
      </w:r>
      <w:r w:rsidR="00802D64" w:rsidRPr="00BC54D1">
        <w:rPr>
          <w:rFonts w:ascii="Times New Roman" w:hAnsi="Times New Roman"/>
        </w:rPr>
        <w:t>i</w:t>
      </w:r>
      <w:r w:rsidRPr="00BC54D1">
        <w:rPr>
          <w:rFonts w:ascii="Times New Roman" w:hAnsi="Times New Roman"/>
        </w:rPr>
        <w:t xml:space="preserve">nnovation: </w:t>
      </w:r>
      <w:r w:rsidR="00A10C2E" w:rsidRPr="00BC54D1">
        <w:rPr>
          <w:rFonts w:ascii="Times New Roman" w:hAnsi="Times New Roman"/>
        </w:rPr>
        <w:t>t</w:t>
      </w:r>
      <w:r w:rsidRPr="00BC54D1">
        <w:rPr>
          <w:rFonts w:ascii="Times New Roman" w:hAnsi="Times New Roman"/>
        </w:rPr>
        <w:t xml:space="preserve">he </w:t>
      </w:r>
      <w:r w:rsidR="00802D64" w:rsidRPr="00BC54D1">
        <w:rPr>
          <w:rFonts w:ascii="Times New Roman" w:hAnsi="Times New Roman"/>
        </w:rPr>
        <w:t>c</w:t>
      </w:r>
      <w:r w:rsidRPr="00BC54D1">
        <w:rPr>
          <w:rFonts w:ascii="Times New Roman" w:hAnsi="Times New Roman"/>
        </w:rPr>
        <w:t xml:space="preserve">ase of </w:t>
      </w:r>
      <w:r w:rsidR="00802D64" w:rsidRPr="00BC54D1">
        <w:rPr>
          <w:rFonts w:ascii="Times New Roman" w:hAnsi="Times New Roman"/>
        </w:rPr>
        <w:t>p</w:t>
      </w:r>
      <w:r w:rsidRPr="00BC54D1">
        <w:rPr>
          <w:rFonts w:ascii="Times New Roman" w:hAnsi="Times New Roman"/>
        </w:rPr>
        <w:t xml:space="preserve">ublicly </w:t>
      </w:r>
      <w:r w:rsidR="00802D64" w:rsidRPr="00BC54D1">
        <w:rPr>
          <w:rFonts w:ascii="Times New Roman" w:hAnsi="Times New Roman"/>
        </w:rPr>
        <w:t>t</w:t>
      </w:r>
      <w:r w:rsidRPr="00BC54D1">
        <w:rPr>
          <w:rFonts w:ascii="Times New Roman" w:hAnsi="Times New Roman"/>
        </w:rPr>
        <w:t xml:space="preserve">raded </w:t>
      </w:r>
      <w:r w:rsidR="00802D64" w:rsidRPr="00BC54D1">
        <w:rPr>
          <w:rFonts w:ascii="Times New Roman" w:hAnsi="Times New Roman"/>
        </w:rPr>
        <w:t>f</w:t>
      </w:r>
      <w:r w:rsidRPr="00BC54D1">
        <w:rPr>
          <w:rFonts w:ascii="Times New Roman" w:hAnsi="Times New Roman"/>
        </w:rPr>
        <w:t>irms.</w:t>
      </w:r>
      <w:r w:rsidR="00802D64" w:rsidRPr="00BC54D1">
        <w:rPr>
          <w:rFonts w:ascii="Times New Roman" w:hAnsi="Times New Roman"/>
        </w:rPr>
        <w:t>’</w:t>
      </w:r>
      <w:r w:rsidRPr="00BC54D1">
        <w:rPr>
          <w:rFonts w:ascii="Times New Roman" w:hAnsi="Times New Roman"/>
        </w:rPr>
        <w:t xml:space="preserve"> Working Paper, University of Oregon.</w:t>
      </w:r>
      <w:r w:rsidR="003D0338" w:rsidRPr="00BC54D1">
        <w:rPr>
          <w:rFonts w:ascii="Times New Roman" w:hAnsi="Times New Roman"/>
        </w:rPr>
        <w:t xml:space="preserve"> </w:t>
      </w:r>
    </w:p>
    <w:p w14:paraId="74118E33" w14:textId="6D0F99F9" w:rsidR="003D0338" w:rsidRPr="00BC54D1" w:rsidRDefault="003D0338" w:rsidP="003D0338">
      <w:pPr>
        <w:pStyle w:val="NormalWeb"/>
        <w:jc w:val="both"/>
      </w:pPr>
      <w:r w:rsidRPr="00BC54D1">
        <w:t xml:space="preserve">Badertscher, B., Shroff, N. </w:t>
      </w:r>
      <w:r w:rsidR="002A2EB0" w:rsidRPr="00BC54D1">
        <w:t>and</w:t>
      </w:r>
      <w:r w:rsidRPr="00BC54D1">
        <w:t xml:space="preserve"> White, H.D. (2013)</w:t>
      </w:r>
      <w:r w:rsidR="002A2EB0" w:rsidRPr="00BC54D1">
        <w:t>,</w:t>
      </w:r>
      <w:r w:rsidRPr="00BC54D1">
        <w:t xml:space="preserve"> </w:t>
      </w:r>
      <w:r w:rsidR="002A2EB0" w:rsidRPr="00BC54D1">
        <w:t>‘</w:t>
      </w:r>
      <w:r w:rsidRPr="00BC54D1">
        <w:t>Externalities of public firm presence: Evidence from private firms' investment decisions</w:t>
      </w:r>
      <w:r w:rsidR="002A2EB0" w:rsidRPr="00BC54D1">
        <w:t>’,</w:t>
      </w:r>
      <w:r w:rsidRPr="00BC54D1">
        <w:t> </w:t>
      </w:r>
      <w:r w:rsidRPr="00BC54D1">
        <w:rPr>
          <w:i/>
          <w:iCs/>
        </w:rPr>
        <w:t>Journal of Financial Economics</w:t>
      </w:r>
      <w:r w:rsidRPr="00BC54D1">
        <w:t>, </w:t>
      </w:r>
      <w:r w:rsidR="002A2EB0" w:rsidRPr="00BC54D1">
        <w:t>Vol</w:t>
      </w:r>
      <w:r w:rsidR="002A2EB0" w:rsidRPr="00BC54D1">
        <w:rPr>
          <w:i/>
          <w:iCs/>
        </w:rPr>
        <w:t xml:space="preserve">. </w:t>
      </w:r>
      <w:r w:rsidRPr="00BC54D1">
        <w:t>109</w:t>
      </w:r>
      <w:r w:rsidR="002A2EB0" w:rsidRPr="00BC54D1">
        <w:t xml:space="preserve"> No. </w:t>
      </w:r>
      <w:r w:rsidRPr="00BC54D1">
        <w:t xml:space="preserve">3, </w:t>
      </w:r>
      <w:r w:rsidR="002A2EB0" w:rsidRPr="00BC54D1">
        <w:t xml:space="preserve">pp. </w:t>
      </w:r>
      <w:r w:rsidRPr="00BC54D1">
        <w:t>682-706.</w:t>
      </w:r>
    </w:p>
    <w:p w14:paraId="7BBEEF1F" w14:textId="06054F8F" w:rsidR="00730984" w:rsidRPr="00BC54D1" w:rsidRDefault="00730984" w:rsidP="008768A6">
      <w:pPr>
        <w:spacing w:before="100" w:beforeAutospacing="1" w:after="100" w:afterAutospacing="1"/>
        <w:jc w:val="both"/>
        <w:rPr>
          <w:rFonts w:ascii="Times New Roman" w:hAnsi="Times New Roman"/>
        </w:rPr>
      </w:pPr>
      <w:proofErr w:type="spellStart"/>
      <w:r w:rsidRPr="00BC54D1">
        <w:rPr>
          <w:rFonts w:ascii="Times New Roman" w:hAnsi="Times New Roman"/>
        </w:rPr>
        <w:t>Belderbos</w:t>
      </w:r>
      <w:proofErr w:type="spellEnd"/>
      <w:r w:rsidRPr="00BC54D1">
        <w:rPr>
          <w:rFonts w:ascii="Times New Roman" w:hAnsi="Times New Roman"/>
        </w:rPr>
        <w:t xml:space="preserve">, R., Carree, M. </w:t>
      </w:r>
      <w:r w:rsidR="00BC0C3F" w:rsidRPr="00BC54D1">
        <w:rPr>
          <w:rFonts w:ascii="Times New Roman" w:hAnsi="Times New Roman"/>
        </w:rPr>
        <w:t>and</w:t>
      </w:r>
      <w:r w:rsidRPr="00BC54D1">
        <w:rPr>
          <w:rFonts w:ascii="Times New Roman" w:hAnsi="Times New Roman"/>
        </w:rPr>
        <w:t xml:space="preserve"> Lokshin, B. (2004)</w:t>
      </w:r>
      <w:r w:rsidR="00BC0C3F" w:rsidRPr="00BC54D1">
        <w:rPr>
          <w:rFonts w:ascii="Times New Roman" w:hAnsi="Times New Roman"/>
        </w:rPr>
        <w:t>,</w:t>
      </w:r>
      <w:r w:rsidRPr="00BC54D1">
        <w:rPr>
          <w:rFonts w:ascii="Times New Roman" w:hAnsi="Times New Roman"/>
        </w:rPr>
        <w:t xml:space="preserve"> </w:t>
      </w:r>
      <w:r w:rsidR="00BC0C3F" w:rsidRPr="00BC54D1">
        <w:rPr>
          <w:rFonts w:ascii="Times New Roman" w:hAnsi="Times New Roman"/>
        </w:rPr>
        <w:t>‘</w:t>
      </w:r>
      <w:r w:rsidRPr="00BC54D1">
        <w:rPr>
          <w:rFonts w:ascii="Times New Roman" w:hAnsi="Times New Roman"/>
        </w:rPr>
        <w:t>Cooperative R&amp;D and firm performance</w:t>
      </w:r>
      <w:r w:rsidR="00465A15" w:rsidRPr="00BC54D1">
        <w:rPr>
          <w:rFonts w:ascii="Times New Roman" w:hAnsi="Times New Roman"/>
        </w:rPr>
        <w:t>,’</w:t>
      </w:r>
      <w:r w:rsidRPr="00BC54D1">
        <w:rPr>
          <w:rFonts w:ascii="Times New Roman" w:hAnsi="Times New Roman"/>
        </w:rPr>
        <w:t> </w:t>
      </w:r>
      <w:r w:rsidRPr="00BC54D1">
        <w:rPr>
          <w:rFonts w:ascii="Times New Roman" w:hAnsi="Times New Roman"/>
          <w:i/>
          <w:iCs/>
        </w:rPr>
        <w:t xml:space="preserve">Research </w:t>
      </w:r>
      <w:r w:rsidR="00802D64" w:rsidRPr="00BC54D1">
        <w:rPr>
          <w:rFonts w:ascii="Times New Roman" w:hAnsi="Times New Roman"/>
          <w:i/>
          <w:iCs/>
        </w:rPr>
        <w:t>P</w:t>
      </w:r>
      <w:r w:rsidRPr="00BC54D1">
        <w:rPr>
          <w:rFonts w:ascii="Times New Roman" w:hAnsi="Times New Roman"/>
          <w:i/>
          <w:iCs/>
        </w:rPr>
        <w:t>olicy</w:t>
      </w:r>
      <w:r w:rsidRPr="00BC54D1">
        <w:rPr>
          <w:rFonts w:ascii="Times New Roman" w:hAnsi="Times New Roman"/>
        </w:rPr>
        <w:t>, </w:t>
      </w:r>
      <w:r w:rsidR="00BC0C3F" w:rsidRPr="00BC54D1">
        <w:rPr>
          <w:rFonts w:ascii="Times New Roman" w:hAnsi="Times New Roman"/>
        </w:rPr>
        <w:t>Vol</w:t>
      </w:r>
      <w:r w:rsidR="00BC0C3F" w:rsidRPr="00BC54D1">
        <w:rPr>
          <w:rFonts w:ascii="Times New Roman" w:hAnsi="Times New Roman"/>
          <w:i/>
          <w:iCs/>
        </w:rPr>
        <w:t>.</w:t>
      </w:r>
      <w:r w:rsidR="00BC0C3F" w:rsidRPr="00BC54D1">
        <w:rPr>
          <w:rFonts w:ascii="Times New Roman" w:hAnsi="Times New Roman"/>
        </w:rPr>
        <w:t xml:space="preserve"> </w:t>
      </w:r>
      <w:r w:rsidRPr="00BC54D1">
        <w:rPr>
          <w:rFonts w:ascii="Times New Roman" w:hAnsi="Times New Roman"/>
        </w:rPr>
        <w:t>33</w:t>
      </w:r>
      <w:r w:rsidR="00BC0C3F" w:rsidRPr="00BC54D1">
        <w:rPr>
          <w:rFonts w:ascii="Times New Roman" w:hAnsi="Times New Roman"/>
        </w:rPr>
        <w:t xml:space="preserve"> No. </w:t>
      </w:r>
      <w:r w:rsidRPr="00BC54D1">
        <w:rPr>
          <w:rFonts w:ascii="Times New Roman" w:hAnsi="Times New Roman"/>
        </w:rPr>
        <w:t xml:space="preserve">10, </w:t>
      </w:r>
      <w:r w:rsidR="00BC0C3F" w:rsidRPr="00BC54D1">
        <w:rPr>
          <w:rFonts w:ascii="Times New Roman" w:hAnsi="Times New Roman"/>
        </w:rPr>
        <w:t xml:space="preserve">pp. </w:t>
      </w:r>
      <w:r w:rsidRPr="00BC54D1">
        <w:rPr>
          <w:rFonts w:ascii="Times New Roman" w:hAnsi="Times New Roman"/>
        </w:rPr>
        <w:t>1477-1492.</w:t>
      </w:r>
    </w:p>
    <w:p w14:paraId="5C8568B6" w14:textId="100E8A45" w:rsidR="00BF75E1" w:rsidRPr="00BC54D1" w:rsidRDefault="00BF75E1" w:rsidP="00802D64">
      <w:pPr>
        <w:spacing w:after="160"/>
        <w:jc w:val="both"/>
        <w:rPr>
          <w:rFonts w:ascii="Times New Roman" w:hAnsi="Times New Roman"/>
        </w:rPr>
      </w:pPr>
      <w:r w:rsidRPr="00BC54D1">
        <w:rPr>
          <w:rFonts w:ascii="Times New Roman" w:hAnsi="Times New Roman"/>
        </w:rPr>
        <w:t xml:space="preserve">Bhattacharya, </w:t>
      </w:r>
      <w:proofErr w:type="gramStart"/>
      <w:r w:rsidRPr="00BC54D1">
        <w:rPr>
          <w:rFonts w:ascii="Times New Roman" w:hAnsi="Times New Roman"/>
        </w:rPr>
        <w:t>S.</w:t>
      </w:r>
      <w:proofErr w:type="gramEnd"/>
      <w:r w:rsidRPr="00BC54D1">
        <w:rPr>
          <w:rFonts w:ascii="Times New Roman" w:hAnsi="Times New Roman"/>
        </w:rPr>
        <w:t xml:space="preserve"> </w:t>
      </w:r>
      <w:r w:rsidR="001A7BEE" w:rsidRPr="00BC54D1">
        <w:rPr>
          <w:rFonts w:ascii="Times New Roman" w:hAnsi="Times New Roman"/>
        </w:rPr>
        <w:t>and</w:t>
      </w:r>
      <w:r w:rsidRPr="00BC54D1">
        <w:rPr>
          <w:rFonts w:ascii="Times New Roman" w:hAnsi="Times New Roman"/>
        </w:rPr>
        <w:t xml:space="preserve"> Ritter</w:t>
      </w:r>
      <w:r w:rsidR="00B83029" w:rsidRPr="00BC54D1">
        <w:rPr>
          <w:rFonts w:ascii="Times New Roman" w:hAnsi="Times New Roman"/>
        </w:rPr>
        <w:t>, J.R. (1983)</w:t>
      </w:r>
      <w:r w:rsidR="00B0108B" w:rsidRPr="00BC54D1">
        <w:rPr>
          <w:rFonts w:ascii="Times New Roman" w:hAnsi="Times New Roman"/>
        </w:rPr>
        <w:t>, ‘</w:t>
      </w:r>
      <w:r w:rsidRPr="00BC54D1">
        <w:rPr>
          <w:rFonts w:ascii="Times New Roman" w:hAnsi="Times New Roman"/>
        </w:rPr>
        <w:t xml:space="preserve">Innovation and </w:t>
      </w:r>
      <w:r w:rsidR="00802D64" w:rsidRPr="00BC54D1">
        <w:rPr>
          <w:rFonts w:ascii="Times New Roman" w:hAnsi="Times New Roman"/>
        </w:rPr>
        <w:t>c</w:t>
      </w:r>
      <w:r w:rsidRPr="00BC54D1">
        <w:rPr>
          <w:rFonts w:ascii="Times New Roman" w:hAnsi="Times New Roman"/>
        </w:rPr>
        <w:t xml:space="preserve">ommunication: </w:t>
      </w:r>
      <w:r w:rsidR="00A10C2E" w:rsidRPr="00BC54D1">
        <w:rPr>
          <w:rFonts w:ascii="Times New Roman" w:hAnsi="Times New Roman"/>
        </w:rPr>
        <w:t>s</w:t>
      </w:r>
      <w:r w:rsidRPr="00BC54D1">
        <w:rPr>
          <w:rFonts w:ascii="Times New Roman" w:hAnsi="Times New Roman"/>
        </w:rPr>
        <w:t xml:space="preserve">ignalling with </w:t>
      </w:r>
      <w:r w:rsidR="00802D64" w:rsidRPr="00BC54D1">
        <w:rPr>
          <w:rFonts w:ascii="Times New Roman" w:hAnsi="Times New Roman"/>
        </w:rPr>
        <w:t>p</w:t>
      </w:r>
      <w:r w:rsidRPr="00BC54D1">
        <w:rPr>
          <w:rFonts w:ascii="Times New Roman" w:hAnsi="Times New Roman"/>
        </w:rPr>
        <w:t xml:space="preserve">artial </w:t>
      </w:r>
      <w:r w:rsidR="00802D64" w:rsidRPr="00BC54D1">
        <w:rPr>
          <w:rFonts w:ascii="Times New Roman" w:hAnsi="Times New Roman"/>
        </w:rPr>
        <w:t>d</w:t>
      </w:r>
      <w:r w:rsidRPr="00BC54D1">
        <w:rPr>
          <w:rFonts w:ascii="Times New Roman" w:hAnsi="Times New Roman"/>
        </w:rPr>
        <w:t>isclosure</w:t>
      </w:r>
      <w:r w:rsidR="001A7BEE" w:rsidRPr="00BC54D1">
        <w:rPr>
          <w:rFonts w:ascii="Times New Roman" w:hAnsi="Times New Roman"/>
        </w:rPr>
        <w:t>’</w:t>
      </w:r>
      <w:r w:rsidR="00465A15" w:rsidRPr="00BC54D1">
        <w:rPr>
          <w:rFonts w:ascii="Times New Roman" w:hAnsi="Times New Roman"/>
        </w:rPr>
        <w:t>,</w:t>
      </w:r>
      <w:r w:rsidR="006C2D69" w:rsidRPr="00BC54D1">
        <w:rPr>
          <w:rFonts w:ascii="Times New Roman" w:hAnsi="Times New Roman"/>
        </w:rPr>
        <w:t xml:space="preserve"> </w:t>
      </w:r>
      <w:r w:rsidRPr="00BC54D1">
        <w:rPr>
          <w:rFonts w:ascii="Times New Roman" w:hAnsi="Times New Roman"/>
          <w:i/>
          <w:iCs/>
        </w:rPr>
        <w:t>Review of Economic Studies</w:t>
      </w:r>
      <w:r w:rsidRPr="00BC54D1">
        <w:rPr>
          <w:rFonts w:ascii="Times New Roman" w:hAnsi="Times New Roman"/>
        </w:rPr>
        <w:t xml:space="preserve">, </w:t>
      </w:r>
      <w:r w:rsidR="00B0108B" w:rsidRPr="00BC54D1">
        <w:rPr>
          <w:rFonts w:ascii="Times New Roman" w:hAnsi="Times New Roman"/>
        </w:rPr>
        <w:t xml:space="preserve">Vol. </w:t>
      </w:r>
      <w:r w:rsidRPr="00BC54D1">
        <w:rPr>
          <w:rFonts w:ascii="Times New Roman" w:hAnsi="Times New Roman"/>
        </w:rPr>
        <w:t xml:space="preserve">50, </w:t>
      </w:r>
      <w:r w:rsidR="00B0108B" w:rsidRPr="00BC54D1">
        <w:rPr>
          <w:rFonts w:ascii="Times New Roman" w:hAnsi="Times New Roman"/>
        </w:rPr>
        <w:t xml:space="preserve">pp. </w:t>
      </w:r>
      <w:r w:rsidRPr="00BC54D1">
        <w:rPr>
          <w:rFonts w:ascii="Times New Roman" w:hAnsi="Times New Roman"/>
        </w:rPr>
        <w:t>331</w:t>
      </w:r>
      <w:r w:rsidR="00802D64" w:rsidRPr="00BC54D1">
        <w:rPr>
          <w:rFonts w:ascii="Times New Roman" w:hAnsi="Times New Roman"/>
        </w:rPr>
        <w:t>-</w:t>
      </w:r>
      <w:r w:rsidRPr="00BC54D1">
        <w:rPr>
          <w:rFonts w:ascii="Times New Roman" w:hAnsi="Times New Roman"/>
        </w:rPr>
        <w:t>346.</w:t>
      </w:r>
    </w:p>
    <w:p w14:paraId="026FD5B5" w14:textId="45C6D1EE" w:rsidR="00E4569B" w:rsidRPr="00BC54D1" w:rsidRDefault="00E4569B" w:rsidP="00E4569B">
      <w:pPr>
        <w:spacing w:after="160" w:line="259" w:lineRule="auto"/>
        <w:jc w:val="both"/>
        <w:rPr>
          <w:rFonts w:ascii="Times New Roman" w:eastAsiaTheme="minorHAnsi" w:hAnsi="Times New Roman"/>
          <w:shd w:val="clear" w:color="auto" w:fill="FFFFFF"/>
          <w:lang w:eastAsia="en-US"/>
        </w:rPr>
      </w:pPr>
      <w:r w:rsidRPr="00BC54D1">
        <w:rPr>
          <w:rFonts w:ascii="Times New Roman" w:eastAsiaTheme="minorHAnsi" w:hAnsi="Times New Roman"/>
          <w:shd w:val="clear" w:color="auto" w:fill="FFFFFF"/>
          <w:lang w:eastAsia="en-US"/>
        </w:rPr>
        <w:t>Boeing, P. (2016)</w:t>
      </w:r>
      <w:r w:rsidR="0012006D"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 xml:space="preserve"> </w:t>
      </w:r>
      <w:r w:rsidR="0012006D"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 xml:space="preserve">The allocation and effectiveness of China’s R&amp;D </w:t>
      </w:r>
      <w:r w:rsidR="00802D64" w:rsidRPr="00BC54D1">
        <w:rPr>
          <w:rFonts w:ascii="Times New Roman" w:eastAsiaTheme="minorHAnsi" w:hAnsi="Times New Roman"/>
          <w:shd w:val="clear" w:color="auto" w:fill="FFFFFF"/>
          <w:lang w:eastAsia="en-US"/>
        </w:rPr>
        <w:t>s</w:t>
      </w:r>
      <w:r w:rsidR="006B5498" w:rsidRPr="00BC54D1">
        <w:rPr>
          <w:rFonts w:ascii="Times New Roman" w:eastAsiaTheme="minorHAnsi" w:hAnsi="Times New Roman"/>
          <w:shd w:val="clear" w:color="auto" w:fill="FFFFFF"/>
          <w:lang w:eastAsia="en-US"/>
        </w:rPr>
        <w:t>ubsidies</w:t>
      </w:r>
      <w:r w:rsidR="00802D64" w:rsidRPr="00BC54D1">
        <w:rPr>
          <w:rFonts w:ascii="Times New Roman" w:eastAsiaTheme="minorHAnsi" w:hAnsi="Times New Roman"/>
          <w:shd w:val="clear" w:color="auto" w:fill="FFFFFF"/>
          <w:lang w:eastAsia="en-US"/>
        </w:rPr>
        <w:t xml:space="preserve"> – e</w:t>
      </w:r>
      <w:r w:rsidRPr="00BC54D1">
        <w:rPr>
          <w:rFonts w:ascii="Times New Roman" w:eastAsiaTheme="minorHAnsi" w:hAnsi="Times New Roman"/>
          <w:shd w:val="clear" w:color="auto" w:fill="FFFFFF"/>
          <w:lang w:eastAsia="en-US"/>
        </w:rPr>
        <w:t>vidence from listed firms</w:t>
      </w:r>
      <w:r w:rsidR="0012006D"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 </w:t>
      </w:r>
      <w:r w:rsidRPr="00BC54D1">
        <w:rPr>
          <w:rFonts w:ascii="Times New Roman" w:eastAsiaTheme="minorHAnsi" w:hAnsi="Times New Roman"/>
          <w:i/>
          <w:iCs/>
          <w:shd w:val="clear" w:color="auto" w:fill="FFFFFF"/>
          <w:lang w:eastAsia="en-US"/>
        </w:rPr>
        <w:t xml:space="preserve">Research </w:t>
      </w:r>
      <w:r w:rsidR="00802D64" w:rsidRPr="00BC54D1">
        <w:rPr>
          <w:rFonts w:ascii="Times New Roman" w:eastAsiaTheme="minorHAnsi" w:hAnsi="Times New Roman"/>
          <w:i/>
          <w:iCs/>
          <w:shd w:val="clear" w:color="auto" w:fill="FFFFFF"/>
          <w:lang w:eastAsia="en-US"/>
        </w:rPr>
        <w:t>P</w:t>
      </w:r>
      <w:r w:rsidRPr="00BC54D1">
        <w:rPr>
          <w:rFonts w:ascii="Times New Roman" w:eastAsiaTheme="minorHAnsi" w:hAnsi="Times New Roman"/>
          <w:i/>
          <w:iCs/>
          <w:shd w:val="clear" w:color="auto" w:fill="FFFFFF"/>
          <w:lang w:eastAsia="en-US"/>
        </w:rPr>
        <w:t>olicy</w:t>
      </w:r>
      <w:r w:rsidRPr="00BC54D1">
        <w:rPr>
          <w:rFonts w:ascii="Times New Roman" w:eastAsiaTheme="minorHAnsi" w:hAnsi="Times New Roman"/>
          <w:shd w:val="clear" w:color="auto" w:fill="FFFFFF"/>
          <w:lang w:eastAsia="en-US"/>
        </w:rPr>
        <w:t>, </w:t>
      </w:r>
      <w:r w:rsidR="0012006D" w:rsidRPr="00BC54D1">
        <w:rPr>
          <w:rFonts w:ascii="Times New Roman" w:hAnsi="Times New Roman"/>
        </w:rPr>
        <w:t>Vol</w:t>
      </w:r>
      <w:r w:rsidR="0012006D" w:rsidRPr="00BC54D1">
        <w:rPr>
          <w:rFonts w:ascii="Times New Roman" w:eastAsiaTheme="minorHAnsi" w:hAnsi="Times New Roman"/>
          <w:shd w:val="clear" w:color="auto" w:fill="FFFFFF"/>
          <w:lang w:eastAsia="en-US"/>
        </w:rPr>
        <w:t xml:space="preserve">. </w:t>
      </w:r>
      <w:r w:rsidRPr="00BC54D1">
        <w:rPr>
          <w:rFonts w:ascii="Times New Roman" w:eastAsiaTheme="minorHAnsi" w:hAnsi="Times New Roman"/>
          <w:shd w:val="clear" w:color="auto" w:fill="FFFFFF"/>
          <w:lang w:eastAsia="en-US"/>
        </w:rPr>
        <w:t>45</w:t>
      </w:r>
      <w:r w:rsidR="0012006D" w:rsidRPr="00BC54D1">
        <w:rPr>
          <w:rFonts w:ascii="Times New Roman" w:eastAsiaTheme="minorHAnsi" w:hAnsi="Times New Roman"/>
          <w:shd w:val="clear" w:color="auto" w:fill="FFFFFF"/>
          <w:lang w:eastAsia="en-US"/>
        </w:rPr>
        <w:t xml:space="preserve"> No. </w:t>
      </w:r>
      <w:r w:rsidRPr="00BC54D1">
        <w:rPr>
          <w:rFonts w:ascii="Times New Roman" w:eastAsiaTheme="minorHAnsi" w:hAnsi="Times New Roman"/>
          <w:shd w:val="clear" w:color="auto" w:fill="FFFFFF"/>
          <w:lang w:eastAsia="en-US"/>
        </w:rPr>
        <w:t xml:space="preserve">9, </w:t>
      </w:r>
      <w:r w:rsidR="0012006D" w:rsidRPr="00BC54D1">
        <w:rPr>
          <w:rFonts w:ascii="Times New Roman" w:eastAsiaTheme="minorHAnsi" w:hAnsi="Times New Roman"/>
          <w:shd w:val="clear" w:color="auto" w:fill="FFFFFF"/>
          <w:lang w:eastAsia="en-US"/>
        </w:rPr>
        <w:t xml:space="preserve">pp. </w:t>
      </w:r>
      <w:r w:rsidRPr="00BC54D1">
        <w:rPr>
          <w:rFonts w:ascii="Times New Roman" w:eastAsiaTheme="minorHAnsi" w:hAnsi="Times New Roman"/>
          <w:shd w:val="clear" w:color="auto" w:fill="FFFFFF"/>
          <w:lang w:eastAsia="en-US"/>
        </w:rPr>
        <w:t>1774-1789.</w:t>
      </w:r>
    </w:p>
    <w:p w14:paraId="75F7757B" w14:textId="2D36657C" w:rsidR="00C74D1F" w:rsidRPr="00BC54D1" w:rsidRDefault="00C74D1F" w:rsidP="00C076BE">
      <w:pPr>
        <w:spacing w:before="100" w:beforeAutospacing="1" w:after="100" w:afterAutospacing="1"/>
        <w:jc w:val="both"/>
        <w:rPr>
          <w:rFonts w:ascii="Times New Roman" w:hAnsi="Times New Roman"/>
        </w:rPr>
      </w:pPr>
      <w:r w:rsidRPr="00BC54D1">
        <w:rPr>
          <w:rFonts w:ascii="Times New Roman" w:hAnsi="Times New Roman"/>
        </w:rPr>
        <w:t>Boiko, K. (2021)</w:t>
      </w:r>
      <w:r w:rsidR="00802D64" w:rsidRPr="00BC54D1">
        <w:rPr>
          <w:rFonts w:ascii="Times New Roman" w:hAnsi="Times New Roman"/>
        </w:rPr>
        <w:t>,</w:t>
      </w:r>
      <w:r w:rsidRPr="00BC54D1">
        <w:rPr>
          <w:rFonts w:ascii="Times New Roman" w:hAnsi="Times New Roman"/>
        </w:rPr>
        <w:t xml:space="preserve"> </w:t>
      </w:r>
      <w:r w:rsidR="00802D64" w:rsidRPr="00BC54D1">
        <w:rPr>
          <w:rFonts w:ascii="Times New Roman" w:hAnsi="Times New Roman"/>
        </w:rPr>
        <w:t>‘</w:t>
      </w:r>
      <w:r w:rsidRPr="00BC54D1">
        <w:rPr>
          <w:rFonts w:ascii="Times New Roman" w:hAnsi="Times New Roman"/>
        </w:rPr>
        <w:t>R&amp;D activity and firm performance: mapping the field</w:t>
      </w:r>
      <w:r w:rsidR="00802D64" w:rsidRPr="00BC54D1">
        <w:rPr>
          <w:rFonts w:ascii="Times New Roman" w:hAnsi="Times New Roman"/>
        </w:rPr>
        <w:t>’,</w:t>
      </w:r>
      <w:r w:rsidRPr="00BC54D1">
        <w:rPr>
          <w:rFonts w:ascii="Times New Roman" w:hAnsi="Times New Roman"/>
        </w:rPr>
        <w:t> </w:t>
      </w:r>
      <w:r w:rsidRPr="00BC54D1">
        <w:rPr>
          <w:rFonts w:ascii="Times New Roman" w:hAnsi="Times New Roman"/>
          <w:i/>
          <w:iCs/>
        </w:rPr>
        <w:t>Management Review Quarterly</w:t>
      </w:r>
      <w:r w:rsidRPr="00BC54D1">
        <w:rPr>
          <w:rFonts w:ascii="Times New Roman" w:hAnsi="Times New Roman"/>
        </w:rPr>
        <w:t>, 1-37.</w:t>
      </w:r>
    </w:p>
    <w:p w14:paraId="339F572F" w14:textId="05376D5C" w:rsidR="003D0338" w:rsidRPr="00BC54D1" w:rsidRDefault="003D0338" w:rsidP="00407BF4">
      <w:pPr>
        <w:spacing w:before="100" w:beforeAutospacing="1" w:after="100" w:afterAutospacing="1"/>
        <w:jc w:val="both"/>
        <w:rPr>
          <w:rFonts w:ascii="Times New Roman" w:hAnsi="Times New Roman"/>
        </w:rPr>
      </w:pPr>
      <w:proofErr w:type="spellStart"/>
      <w:r w:rsidRPr="00BC54D1">
        <w:rPr>
          <w:rFonts w:ascii="Times New Roman" w:hAnsi="Times New Roman"/>
        </w:rPr>
        <w:lastRenderedPageBreak/>
        <w:t>Brav</w:t>
      </w:r>
      <w:proofErr w:type="spellEnd"/>
      <w:r w:rsidRPr="00BC54D1">
        <w:rPr>
          <w:rFonts w:ascii="Times New Roman" w:hAnsi="Times New Roman"/>
        </w:rPr>
        <w:t>, O</w:t>
      </w:r>
      <w:r w:rsidR="006B5498" w:rsidRPr="00BC54D1">
        <w:rPr>
          <w:rFonts w:ascii="Times New Roman" w:hAnsi="Times New Roman"/>
        </w:rPr>
        <w:t>.</w:t>
      </w:r>
      <w:r w:rsidRPr="00BC54D1">
        <w:rPr>
          <w:rFonts w:ascii="Times New Roman" w:hAnsi="Times New Roman"/>
        </w:rPr>
        <w:t xml:space="preserve"> (2009)</w:t>
      </w:r>
      <w:r w:rsidR="000123AE" w:rsidRPr="00BC54D1">
        <w:rPr>
          <w:rFonts w:ascii="Times New Roman" w:hAnsi="Times New Roman"/>
        </w:rPr>
        <w:t>, ‘</w:t>
      </w:r>
      <w:r w:rsidRPr="00BC54D1">
        <w:rPr>
          <w:rFonts w:ascii="Times New Roman" w:hAnsi="Times New Roman"/>
        </w:rPr>
        <w:t>Access to capital, capital structure, and the funding of the firm</w:t>
      </w:r>
      <w:r w:rsidR="00802D64"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Journal of Finance</w:t>
      </w:r>
      <w:r w:rsidR="00802D64" w:rsidRPr="00BC54D1">
        <w:rPr>
          <w:rFonts w:ascii="Times New Roman" w:hAnsi="Times New Roman"/>
          <w:iCs/>
        </w:rPr>
        <w:t>,</w:t>
      </w:r>
      <w:r w:rsidRPr="00BC54D1">
        <w:rPr>
          <w:rFonts w:ascii="Times New Roman" w:hAnsi="Times New Roman"/>
        </w:rPr>
        <w:t xml:space="preserve"> </w:t>
      </w:r>
      <w:r w:rsidR="000123AE" w:rsidRPr="00BC54D1">
        <w:rPr>
          <w:rFonts w:ascii="Times New Roman" w:hAnsi="Times New Roman"/>
        </w:rPr>
        <w:t xml:space="preserve">Vol. </w:t>
      </w:r>
      <w:r w:rsidRPr="00BC54D1">
        <w:rPr>
          <w:rFonts w:ascii="Times New Roman" w:hAnsi="Times New Roman"/>
        </w:rPr>
        <w:t xml:space="preserve">64, </w:t>
      </w:r>
      <w:r w:rsidR="000123AE" w:rsidRPr="00BC54D1">
        <w:rPr>
          <w:rFonts w:ascii="Times New Roman" w:hAnsi="Times New Roman"/>
        </w:rPr>
        <w:t xml:space="preserve">pp. </w:t>
      </w:r>
      <w:r w:rsidRPr="00BC54D1">
        <w:rPr>
          <w:rFonts w:ascii="Times New Roman" w:hAnsi="Times New Roman"/>
        </w:rPr>
        <w:t xml:space="preserve">263-208. </w:t>
      </w:r>
    </w:p>
    <w:p w14:paraId="4C51E5BE" w14:textId="3A58EA8C" w:rsidR="0030247D" w:rsidRDefault="0030247D" w:rsidP="00E4569B">
      <w:pPr>
        <w:spacing w:after="160" w:line="259" w:lineRule="auto"/>
        <w:jc w:val="both"/>
        <w:rPr>
          <w:rFonts w:ascii="Times New Roman" w:eastAsiaTheme="minorHAnsi" w:hAnsi="Times New Roman"/>
          <w:shd w:val="clear" w:color="auto" w:fill="FFFFFF"/>
          <w:lang w:eastAsia="en-US"/>
        </w:rPr>
      </w:pPr>
      <w:r w:rsidRPr="0030247D">
        <w:rPr>
          <w:rFonts w:ascii="Times New Roman" w:eastAsiaTheme="minorHAnsi" w:hAnsi="Times New Roman"/>
          <w:shd w:val="clear" w:color="auto" w:fill="FFFFFF"/>
          <w:lang w:eastAsia="en-US"/>
        </w:rPr>
        <w:t>Brown, J. R., &amp; Petersen, B. C. (2011)</w:t>
      </w:r>
      <w:r>
        <w:rPr>
          <w:rFonts w:ascii="Times New Roman" w:eastAsiaTheme="minorHAnsi" w:hAnsi="Times New Roman"/>
          <w:shd w:val="clear" w:color="auto" w:fill="FFFFFF"/>
          <w:lang w:eastAsia="en-US"/>
        </w:rPr>
        <w:t>,</w:t>
      </w:r>
      <w:r w:rsidRPr="0030247D">
        <w:rPr>
          <w:rFonts w:ascii="Times New Roman" w:eastAsiaTheme="minorHAnsi" w:hAnsi="Times New Roman"/>
          <w:shd w:val="clear" w:color="auto" w:fill="FFFFFF"/>
          <w:lang w:eastAsia="en-US"/>
        </w:rPr>
        <w:t xml:space="preserve"> </w:t>
      </w:r>
      <w:r>
        <w:rPr>
          <w:rFonts w:ascii="Times New Roman" w:eastAsiaTheme="minorHAnsi" w:hAnsi="Times New Roman"/>
          <w:shd w:val="clear" w:color="auto" w:fill="FFFFFF"/>
          <w:lang w:eastAsia="en-US"/>
        </w:rPr>
        <w:t>‘</w:t>
      </w:r>
      <w:r w:rsidRPr="0030247D">
        <w:rPr>
          <w:rFonts w:ascii="Times New Roman" w:eastAsiaTheme="minorHAnsi" w:hAnsi="Times New Roman"/>
          <w:shd w:val="clear" w:color="auto" w:fill="FFFFFF"/>
          <w:lang w:eastAsia="en-US"/>
        </w:rPr>
        <w:t>Cash holdings and R&amp;D smoothing</w:t>
      </w:r>
      <w:r>
        <w:rPr>
          <w:rFonts w:ascii="Times New Roman" w:eastAsiaTheme="minorHAnsi" w:hAnsi="Times New Roman"/>
          <w:shd w:val="clear" w:color="auto" w:fill="FFFFFF"/>
          <w:lang w:eastAsia="en-US"/>
        </w:rPr>
        <w:t>’,</w:t>
      </w:r>
      <w:r w:rsidRPr="0030247D">
        <w:rPr>
          <w:rFonts w:ascii="Times New Roman" w:eastAsiaTheme="minorHAnsi" w:hAnsi="Times New Roman"/>
          <w:shd w:val="clear" w:color="auto" w:fill="FFFFFF"/>
          <w:lang w:eastAsia="en-US"/>
        </w:rPr>
        <w:t> </w:t>
      </w:r>
      <w:r w:rsidRPr="0030247D">
        <w:rPr>
          <w:rFonts w:ascii="Times New Roman" w:eastAsiaTheme="minorHAnsi" w:hAnsi="Times New Roman"/>
          <w:i/>
          <w:iCs/>
          <w:shd w:val="clear" w:color="auto" w:fill="FFFFFF"/>
          <w:lang w:eastAsia="en-US"/>
        </w:rPr>
        <w:t>Journal of Corporate Finance</w:t>
      </w:r>
      <w:r w:rsidRPr="0030247D">
        <w:rPr>
          <w:rFonts w:ascii="Times New Roman" w:eastAsiaTheme="minorHAnsi" w:hAnsi="Times New Roman"/>
          <w:shd w:val="clear" w:color="auto" w:fill="FFFFFF"/>
          <w:lang w:eastAsia="en-US"/>
        </w:rPr>
        <w:t>, </w:t>
      </w:r>
      <w:r>
        <w:rPr>
          <w:rFonts w:ascii="Times New Roman" w:eastAsiaTheme="minorHAnsi" w:hAnsi="Times New Roman"/>
          <w:shd w:val="clear" w:color="auto" w:fill="FFFFFF"/>
          <w:lang w:eastAsia="en-US"/>
        </w:rPr>
        <w:t xml:space="preserve">Vol. </w:t>
      </w:r>
      <w:r w:rsidRPr="0030247D">
        <w:rPr>
          <w:rFonts w:ascii="Times New Roman" w:eastAsiaTheme="minorHAnsi" w:hAnsi="Times New Roman"/>
          <w:shd w:val="clear" w:color="auto" w:fill="FFFFFF"/>
          <w:lang w:eastAsia="en-US"/>
        </w:rPr>
        <w:t>17</w:t>
      </w:r>
      <w:r>
        <w:rPr>
          <w:rFonts w:ascii="Times New Roman" w:eastAsiaTheme="minorHAnsi" w:hAnsi="Times New Roman"/>
          <w:shd w:val="clear" w:color="auto" w:fill="FFFFFF"/>
          <w:lang w:eastAsia="en-US"/>
        </w:rPr>
        <w:t xml:space="preserve"> No.</w:t>
      </w:r>
      <w:r w:rsidRPr="0030247D">
        <w:rPr>
          <w:rFonts w:ascii="Times New Roman" w:eastAsiaTheme="minorHAnsi" w:hAnsi="Times New Roman"/>
          <w:shd w:val="clear" w:color="auto" w:fill="FFFFFF"/>
          <w:lang w:eastAsia="en-US"/>
        </w:rPr>
        <w:t xml:space="preserve">3, </w:t>
      </w:r>
      <w:r w:rsidR="00A10516">
        <w:rPr>
          <w:rFonts w:ascii="Times New Roman" w:eastAsiaTheme="minorHAnsi" w:hAnsi="Times New Roman"/>
          <w:shd w:val="clear" w:color="auto" w:fill="FFFFFF"/>
          <w:lang w:eastAsia="en-US"/>
        </w:rPr>
        <w:t xml:space="preserve">pp. </w:t>
      </w:r>
      <w:r w:rsidRPr="0030247D">
        <w:rPr>
          <w:rFonts w:ascii="Times New Roman" w:eastAsiaTheme="minorHAnsi" w:hAnsi="Times New Roman"/>
          <w:shd w:val="clear" w:color="auto" w:fill="FFFFFF"/>
          <w:lang w:eastAsia="en-US"/>
        </w:rPr>
        <w:t>694-709.</w:t>
      </w:r>
    </w:p>
    <w:p w14:paraId="17663967" w14:textId="05273611" w:rsidR="00E4569B" w:rsidRPr="00BC54D1" w:rsidRDefault="00E4569B" w:rsidP="00E4569B">
      <w:pPr>
        <w:spacing w:after="160" w:line="259" w:lineRule="auto"/>
        <w:jc w:val="both"/>
        <w:rPr>
          <w:rFonts w:ascii="Times New Roman" w:eastAsiaTheme="minorHAnsi" w:hAnsi="Times New Roman"/>
          <w:shd w:val="clear" w:color="auto" w:fill="FFFFFF"/>
          <w:lang w:eastAsia="en-US"/>
        </w:rPr>
      </w:pPr>
      <w:r w:rsidRPr="00BC54D1">
        <w:rPr>
          <w:rFonts w:ascii="Times New Roman" w:eastAsiaTheme="minorHAnsi" w:hAnsi="Times New Roman"/>
          <w:shd w:val="clear" w:color="auto" w:fill="FFFFFF"/>
          <w:lang w:eastAsia="en-US"/>
        </w:rPr>
        <w:t xml:space="preserve">Brown, J. R., Martinsson, G. </w:t>
      </w:r>
      <w:r w:rsidR="00E054D4" w:rsidRPr="00BC54D1">
        <w:rPr>
          <w:rFonts w:ascii="Times New Roman" w:eastAsiaTheme="minorHAnsi" w:hAnsi="Times New Roman"/>
          <w:shd w:val="clear" w:color="auto" w:fill="FFFFFF"/>
          <w:lang w:eastAsia="en-US"/>
        </w:rPr>
        <w:t>and</w:t>
      </w:r>
      <w:r w:rsidRPr="00BC54D1">
        <w:rPr>
          <w:rFonts w:ascii="Times New Roman" w:eastAsiaTheme="minorHAnsi" w:hAnsi="Times New Roman"/>
          <w:shd w:val="clear" w:color="auto" w:fill="FFFFFF"/>
          <w:lang w:eastAsia="en-US"/>
        </w:rPr>
        <w:t xml:space="preserve"> Petersen, B.C. (2012)</w:t>
      </w:r>
      <w:r w:rsidR="00465A15"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 xml:space="preserve"> </w:t>
      </w:r>
      <w:r w:rsidR="00802D64"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Do financing constraints matter for R&amp;</w:t>
      </w:r>
      <w:r w:rsidR="006B5498" w:rsidRPr="00BC54D1">
        <w:rPr>
          <w:rFonts w:ascii="Times New Roman" w:eastAsiaTheme="minorHAnsi" w:hAnsi="Times New Roman"/>
          <w:shd w:val="clear" w:color="auto" w:fill="FFFFFF"/>
          <w:lang w:eastAsia="en-US"/>
        </w:rPr>
        <w:t>D?</w:t>
      </w:r>
      <w:r w:rsidR="00802D64" w:rsidRPr="00BC54D1">
        <w:rPr>
          <w:rFonts w:ascii="Times New Roman" w:eastAsiaTheme="minorHAnsi" w:hAnsi="Times New Roman"/>
          <w:shd w:val="clear" w:color="auto" w:fill="FFFFFF"/>
          <w:lang w:eastAsia="en-US"/>
        </w:rPr>
        <w:t>’</w:t>
      </w:r>
      <w:r w:rsidR="00465A15"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 </w:t>
      </w:r>
      <w:r w:rsidRPr="00BC54D1">
        <w:rPr>
          <w:rFonts w:ascii="Times New Roman" w:eastAsiaTheme="minorHAnsi" w:hAnsi="Times New Roman"/>
          <w:i/>
          <w:iCs/>
          <w:shd w:val="clear" w:color="auto" w:fill="FFFFFF"/>
          <w:lang w:eastAsia="en-US"/>
        </w:rPr>
        <w:t>European Economic Review</w:t>
      </w:r>
      <w:r w:rsidRPr="00BC54D1">
        <w:rPr>
          <w:rFonts w:ascii="Times New Roman" w:eastAsiaTheme="minorHAnsi" w:hAnsi="Times New Roman"/>
          <w:shd w:val="clear" w:color="auto" w:fill="FFFFFF"/>
          <w:lang w:eastAsia="en-US"/>
        </w:rPr>
        <w:t>, </w:t>
      </w:r>
      <w:r w:rsidR="00E054D4" w:rsidRPr="00BC54D1">
        <w:rPr>
          <w:rFonts w:ascii="Times New Roman" w:hAnsi="Times New Roman"/>
        </w:rPr>
        <w:t>Vol</w:t>
      </w:r>
      <w:r w:rsidR="00E054D4" w:rsidRPr="00BC54D1">
        <w:rPr>
          <w:rFonts w:ascii="Times New Roman" w:eastAsiaTheme="minorHAnsi" w:hAnsi="Times New Roman"/>
          <w:i/>
          <w:iCs/>
          <w:shd w:val="clear" w:color="auto" w:fill="FFFFFF"/>
          <w:lang w:eastAsia="en-US"/>
        </w:rPr>
        <w:t xml:space="preserve">. </w:t>
      </w:r>
      <w:r w:rsidRPr="00BC54D1">
        <w:rPr>
          <w:rFonts w:ascii="Times New Roman" w:eastAsiaTheme="minorHAnsi" w:hAnsi="Times New Roman"/>
          <w:shd w:val="clear" w:color="auto" w:fill="FFFFFF"/>
          <w:lang w:eastAsia="en-US"/>
        </w:rPr>
        <w:t>56</w:t>
      </w:r>
      <w:r w:rsidR="00E054D4" w:rsidRPr="00BC54D1">
        <w:rPr>
          <w:rFonts w:ascii="Times New Roman" w:eastAsiaTheme="minorHAnsi" w:hAnsi="Times New Roman"/>
          <w:shd w:val="clear" w:color="auto" w:fill="FFFFFF"/>
          <w:lang w:eastAsia="en-US"/>
        </w:rPr>
        <w:t xml:space="preserve"> No. </w:t>
      </w:r>
      <w:r w:rsidRPr="00BC54D1">
        <w:rPr>
          <w:rFonts w:ascii="Times New Roman" w:eastAsiaTheme="minorHAnsi" w:hAnsi="Times New Roman"/>
          <w:shd w:val="clear" w:color="auto" w:fill="FFFFFF"/>
          <w:lang w:eastAsia="en-US"/>
        </w:rPr>
        <w:t xml:space="preserve">8, </w:t>
      </w:r>
      <w:r w:rsidR="00E054D4" w:rsidRPr="00BC54D1">
        <w:rPr>
          <w:rFonts w:ascii="Times New Roman" w:eastAsiaTheme="minorHAnsi" w:hAnsi="Times New Roman"/>
          <w:shd w:val="clear" w:color="auto" w:fill="FFFFFF"/>
          <w:lang w:eastAsia="en-US"/>
        </w:rPr>
        <w:t xml:space="preserve">pp. </w:t>
      </w:r>
      <w:r w:rsidRPr="00BC54D1">
        <w:rPr>
          <w:rFonts w:ascii="Times New Roman" w:eastAsiaTheme="minorHAnsi" w:hAnsi="Times New Roman"/>
          <w:shd w:val="clear" w:color="auto" w:fill="FFFFFF"/>
          <w:lang w:eastAsia="en-US"/>
        </w:rPr>
        <w:t>1512-1529.</w:t>
      </w:r>
    </w:p>
    <w:p w14:paraId="237DEE27" w14:textId="6B5FE2CA" w:rsidR="00BA798E" w:rsidRPr="00BC54D1" w:rsidRDefault="00AD0B15" w:rsidP="008768A6">
      <w:pPr>
        <w:spacing w:before="100" w:beforeAutospacing="1" w:after="100" w:afterAutospacing="1"/>
        <w:jc w:val="both"/>
        <w:rPr>
          <w:rFonts w:ascii="Times New Roman" w:hAnsi="Times New Roman"/>
        </w:rPr>
      </w:pPr>
      <w:r w:rsidRPr="00BC54D1">
        <w:rPr>
          <w:rStyle w:val="normaltextrun"/>
          <w:rFonts w:ascii="TimesNewRomanPSMT" w:hAnsi="TimesNewRomanPSMT" w:cs="Segoe UI"/>
          <w:shd w:val="clear" w:color="auto" w:fill="FFFFFF"/>
        </w:rPr>
        <w:t>Burgstahler, D.C., Hail, L., </w:t>
      </w:r>
      <w:proofErr w:type="spellStart"/>
      <w:r w:rsidRPr="00BC54D1">
        <w:rPr>
          <w:rStyle w:val="spellingerror"/>
          <w:rFonts w:ascii="TimesNewRomanPSMT" w:hAnsi="TimesNewRomanPSMT" w:cs="Segoe UI"/>
          <w:u w:val="single"/>
          <w:shd w:val="clear" w:color="auto" w:fill="FFFFFF"/>
        </w:rPr>
        <w:t>Leuz</w:t>
      </w:r>
      <w:proofErr w:type="spellEnd"/>
      <w:r w:rsidRPr="00BC54D1">
        <w:rPr>
          <w:rStyle w:val="normaltextrun"/>
          <w:rFonts w:ascii="TimesNewRomanPSMT" w:hAnsi="TimesNewRomanPSMT" w:cs="Segoe UI"/>
          <w:shd w:val="clear" w:color="auto" w:fill="FFFFFF"/>
        </w:rPr>
        <w:t>, C., (2006)</w:t>
      </w:r>
      <w:r w:rsidR="005E31E4" w:rsidRPr="00BC54D1">
        <w:rPr>
          <w:rStyle w:val="normaltextrun"/>
          <w:rFonts w:ascii="TimesNewRomanPSMT" w:hAnsi="TimesNewRomanPSMT" w:cs="Segoe UI"/>
          <w:shd w:val="clear" w:color="auto" w:fill="FFFFFF"/>
        </w:rPr>
        <w:t>,</w:t>
      </w:r>
      <w:r w:rsidRPr="00BC54D1">
        <w:rPr>
          <w:rStyle w:val="normaltextrun"/>
          <w:rFonts w:ascii="TimesNewRomanPSMT" w:hAnsi="TimesNewRomanPSMT" w:cs="Segoe UI"/>
          <w:shd w:val="clear" w:color="auto" w:fill="FFFFFF"/>
        </w:rPr>
        <w:t xml:space="preserve"> </w:t>
      </w:r>
      <w:r w:rsidR="005E31E4" w:rsidRPr="00BC54D1">
        <w:rPr>
          <w:rStyle w:val="normaltextrun"/>
          <w:rFonts w:ascii="TimesNewRomanPSMT" w:hAnsi="TimesNewRomanPSMT" w:cs="Segoe UI"/>
          <w:shd w:val="clear" w:color="auto" w:fill="FFFFFF"/>
        </w:rPr>
        <w:t>‘</w:t>
      </w:r>
      <w:r w:rsidRPr="00BC54D1">
        <w:rPr>
          <w:rStyle w:val="normaltextrun"/>
          <w:rFonts w:ascii="TimesNewRomanPSMT" w:hAnsi="TimesNewRomanPSMT" w:cs="Segoe UI"/>
          <w:shd w:val="clear" w:color="auto" w:fill="FFFFFF"/>
        </w:rPr>
        <w:t>The importance of reporting incentives: earnings management in European private and public firms</w:t>
      </w:r>
      <w:r w:rsidR="005E31E4" w:rsidRPr="00BC54D1">
        <w:rPr>
          <w:rStyle w:val="normaltextrun"/>
          <w:rFonts w:ascii="TimesNewRomanPSMT" w:hAnsi="TimesNewRomanPSMT" w:cs="Segoe UI"/>
          <w:shd w:val="clear" w:color="auto" w:fill="FFFFFF"/>
        </w:rPr>
        <w:t>’,</w:t>
      </w:r>
      <w:r w:rsidRPr="00BC54D1">
        <w:rPr>
          <w:rStyle w:val="normaltextrun"/>
          <w:rFonts w:ascii="TimesNewRomanPSMT" w:hAnsi="TimesNewRomanPSMT" w:cs="Segoe UI"/>
          <w:shd w:val="clear" w:color="auto" w:fill="FFFFFF"/>
        </w:rPr>
        <w:t xml:space="preserve"> </w:t>
      </w:r>
      <w:r w:rsidRPr="00BC54D1">
        <w:rPr>
          <w:rStyle w:val="normaltextrun"/>
          <w:rFonts w:ascii="TimesNewRomanPSMT" w:hAnsi="TimesNewRomanPSMT" w:cs="Segoe UI"/>
          <w:i/>
          <w:iCs/>
          <w:shd w:val="clear" w:color="auto" w:fill="FFFFFF"/>
        </w:rPr>
        <w:t>The Accounting Review</w:t>
      </w:r>
      <w:r w:rsidRPr="00BC54D1">
        <w:rPr>
          <w:rStyle w:val="normaltextrun"/>
          <w:rFonts w:ascii="TimesNewRomanPSMT" w:hAnsi="TimesNewRomanPSMT" w:cs="Segoe UI"/>
          <w:shd w:val="clear" w:color="auto" w:fill="FFFFFF"/>
        </w:rPr>
        <w:t xml:space="preserve"> </w:t>
      </w:r>
      <w:r w:rsidR="005E31E4" w:rsidRPr="00BC54D1">
        <w:rPr>
          <w:rStyle w:val="normaltextrun"/>
          <w:rFonts w:ascii="TimesNewRomanPSMT" w:hAnsi="TimesNewRomanPSMT" w:cs="Segoe UI"/>
          <w:shd w:val="clear" w:color="auto" w:fill="FFFFFF"/>
        </w:rPr>
        <w:t xml:space="preserve">Vol. </w:t>
      </w:r>
      <w:r w:rsidRPr="00BC54D1">
        <w:rPr>
          <w:rStyle w:val="normaltextrun"/>
          <w:rFonts w:ascii="TimesNewRomanPSMT" w:hAnsi="TimesNewRomanPSMT" w:cs="Segoe UI"/>
          <w:shd w:val="clear" w:color="auto" w:fill="FFFFFF"/>
        </w:rPr>
        <w:t xml:space="preserve">81, </w:t>
      </w:r>
      <w:r w:rsidR="005E31E4" w:rsidRPr="00BC54D1">
        <w:rPr>
          <w:rStyle w:val="normaltextrun"/>
          <w:rFonts w:ascii="TimesNewRomanPSMT" w:hAnsi="TimesNewRomanPSMT" w:cs="Segoe UI"/>
          <w:shd w:val="clear" w:color="auto" w:fill="FFFFFF"/>
        </w:rPr>
        <w:t xml:space="preserve">pp. </w:t>
      </w:r>
      <w:r w:rsidRPr="00BC54D1">
        <w:rPr>
          <w:rStyle w:val="normaltextrun"/>
          <w:rFonts w:ascii="TimesNewRomanPSMT" w:hAnsi="TimesNewRomanPSMT" w:cs="Segoe UI"/>
          <w:shd w:val="clear" w:color="auto" w:fill="FFFFFF"/>
        </w:rPr>
        <w:t>983– 1017.</w:t>
      </w:r>
      <w:r w:rsidR="00BA798E" w:rsidRPr="00BC54D1">
        <w:rPr>
          <w:rFonts w:ascii="TimesNewRomanPSMT" w:hAnsi="TimesNewRomanPSMT"/>
        </w:rPr>
        <w:t xml:space="preserve"> </w:t>
      </w:r>
    </w:p>
    <w:p w14:paraId="1FDF061B" w14:textId="77D93346" w:rsidR="00A457B6" w:rsidRPr="00BC54D1" w:rsidRDefault="003D0338" w:rsidP="003D0338">
      <w:pPr>
        <w:spacing w:before="100" w:beforeAutospacing="1" w:after="100" w:afterAutospacing="1"/>
        <w:jc w:val="both"/>
        <w:rPr>
          <w:rFonts w:ascii="Times New Roman" w:hAnsi="Times New Roman"/>
        </w:rPr>
      </w:pPr>
      <w:r w:rsidRPr="00BC54D1">
        <w:rPr>
          <w:rFonts w:ascii="Times New Roman" w:hAnsi="Times New Roman"/>
        </w:rPr>
        <w:t xml:space="preserve">Clausen, T. H. </w:t>
      </w:r>
      <w:r w:rsidR="006B5498" w:rsidRPr="00BC54D1">
        <w:rPr>
          <w:rFonts w:ascii="Times New Roman" w:hAnsi="Times New Roman"/>
        </w:rPr>
        <w:t>(</w:t>
      </w:r>
      <w:r w:rsidRPr="00BC54D1">
        <w:rPr>
          <w:rFonts w:ascii="Times New Roman" w:hAnsi="Times New Roman"/>
        </w:rPr>
        <w:t>2009</w:t>
      </w:r>
      <w:r w:rsidR="006B5498" w:rsidRPr="00BC54D1">
        <w:rPr>
          <w:rFonts w:ascii="Times New Roman" w:hAnsi="Times New Roman"/>
        </w:rPr>
        <w:t>)</w:t>
      </w:r>
      <w:r w:rsidR="009659AB" w:rsidRPr="00BC54D1">
        <w:rPr>
          <w:rFonts w:ascii="Times New Roman" w:hAnsi="Times New Roman"/>
        </w:rPr>
        <w:t>, ‘</w:t>
      </w:r>
      <w:r w:rsidRPr="00BC54D1">
        <w:rPr>
          <w:rFonts w:ascii="Times New Roman" w:hAnsi="Times New Roman"/>
        </w:rPr>
        <w:t>Do subsidies have positive impacts on R&amp;D and innovation activities at the firm level?</w:t>
      </w:r>
      <w:r w:rsidR="009659AB"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Structural Change and Economic Dynamics</w:t>
      </w:r>
      <w:r w:rsidR="00802D64" w:rsidRPr="00BC54D1">
        <w:rPr>
          <w:rFonts w:ascii="Times New Roman" w:hAnsi="Times New Roman"/>
          <w:iCs/>
        </w:rPr>
        <w:t>,</w:t>
      </w:r>
      <w:r w:rsidRPr="00BC54D1">
        <w:rPr>
          <w:rFonts w:ascii="Times New Roman" w:hAnsi="Times New Roman"/>
        </w:rPr>
        <w:t xml:space="preserve"> </w:t>
      </w:r>
      <w:r w:rsidR="009659AB" w:rsidRPr="00BC54D1">
        <w:rPr>
          <w:rFonts w:ascii="Times New Roman" w:hAnsi="Times New Roman"/>
        </w:rPr>
        <w:t xml:space="preserve">Vol. </w:t>
      </w:r>
      <w:r w:rsidRPr="00BC54D1">
        <w:rPr>
          <w:rFonts w:ascii="Times New Roman" w:hAnsi="Times New Roman"/>
        </w:rPr>
        <w:t>20</w:t>
      </w:r>
      <w:r w:rsidR="008768A6" w:rsidRPr="00BC54D1">
        <w:rPr>
          <w:rFonts w:ascii="Times New Roman" w:hAnsi="Times New Roman"/>
        </w:rPr>
        <w:t>,</w:t>
      </w:r>
      <w:r w:rsidRPr="00BC54D1">
        <w:rPr>
          <w:rFonts w:ascii="Times New Roman" w:hAnsi="Times New Roman"/>
        </w:rPr>
        <w:t xml:space="preserve"> </w:t>
      </w:r>
      <w:r w:rsidR="009659AB" w:rsidRPr="00BC54D1">
        <w:rPr>
          <w:rFonts w:ascii="Times New Roman" w:hAnsi="Times New Roman"/>
        </w:rPr>
        <w:t xml:space="preserve">pp. </w:t>
      </w:r>
      <w:r w:rsidRPr="00BC54D1">
        <w:rPr>
          <w:rFonts w:ascii="Times New Roman" w:hAnsi="Times New Roman"/>
        </w:rPr>
        <w:t>239</w:t>
      </w:r>
      <w:r w:rsidR="00802D64" w:rsidRPr="00BC54D1">
        <w:rPr>
          <w:rFonts w:ascii="Times New Roman" w:hAnsi="Times New Roman"/>
        </w:rPr>
        <w:t>-</w:t>
      </w:r>
      <w:r w:rsidRPr="00BC54D1">
        <w:rPr>
          <w:rFonts w:ascii="Times New Roman" w:hAnsi="Times New Roman"/>
        </w:rPr>
        <w:t>253.</w:t>
      </w:r>
    </w:p>
    <w:p w14:paraId="3CB6EA1C" w14:textId="4FC7A0AE" w:rsidR="00145F58" w:rsidRPr="00BC54D1" w:rsidRDefault="00145F58" w:rsidP="003D0338">
      <w:pPr>
        <w:spacing w:before="100" w:beforeAutospacing="1" w:after="100" w:afterAutospacing="1"/>
        <w:jc w:val="both"/>
        <w:rPr>
          <w:rFonts w:ascii="Times New Roman" w:hAnsi="Times New Roman"/>
        </w:rPr>
      </w:pPr>
      <w:r w:rsidRPr="00BC54D1">
        <w:rPr>
          <w:rFonts w:ascii="Times New Roman" w:hAnsi="Times New Roman"/>
        </w:rPr>
        <w:t>Dang, V. A. (2011)</w:t>
      </w:r>
      <w:r w:rsidR="00327A96" w:rsidRPr="00BC54D1">
        <w:rPr>
          <w:rFonts w:ascii="Times New Roman" w:hAnsi="Times New Roman"/>
        </w:rPr>
        <w:t>,</w:t>
      </w:r>
      <w:r w:rsidRPr="00BC54D1">
        <w:rPr>
          <w:rFonts w:ascii="Times New Roman" w:hAnsi="Times New Roman"/>
        </w:rPr>
        <w:t xml:space="preserve"> </w:t>
      </w:r>
      <w:r w:rsidR="00327A96" w:rsidRPr="00BC54D1">
        <w:rPr>
          <w:rFonts w:ascii="Times New Roman" w:hAnsi="Times New Roman"/>
        </w:rPr>
        <w:t>‘</w:t>
      </w:r>
      <w:r w:rsidRPr="00BC54D1">
        <w:rPr>
          <w:rFonts w:ascii="Times New Roman" w:hAnsi="Times New Roman"/>
        </w:rPr>
        <w:t xml:space="preserve">Leverage, debt maturity and firm investment: </w:t>
      </w:r>
      <w:r w:rsidR="00A10C2E" w:rsidRPr="00BC54D1">
        <w:rPr>
          <w:rFonts w:ascii="Times New Roman" w:hAnsi="Times New Roman"/>
        </w:rPr>
        <w:t>a</w:t>
      </w:r>
      <w:r w:rsidRPr="00BC54D1">
        <w:rPr>
          <w:rFonts w:ascii="Times New Roman" w:hAnsi="Times New Roman"/>
        </w:rPr>
        <w:t>n empirical analysis</w:t>
      </w:r>
      <w:r w:rsidR="00802D64" w:rsidRPr="00BC54D1">
        <w:rPr>
          <w:rFonts w:ascii="Times New Roman" w:hAnsi="Times New Roman"/>
        </w:rPr>
        <w:t>’,</w:t>
      </w:r>
      <w:r w:rsidRPr="00BC54D1">
        <w:rPr>
          <w:rFonts w:ascii="Times New Roman" w:hAnsi="Times New Roman"/>
        </w:rPr>
        <w:t xml:space="preserve"> </w:t>
      </w:r>
      <w:r w:rsidRPr="00BC54D1">
        <w:rPr>
          <w:rFonts w:ascii="Times New Roman" w:hAnsi="Times New Roman"/>
          <w:i/>
        </w:rPr>
        <w:t>Journal of Business Finance &amp; Accounting</w:t>
      </w:r>
      <w:r w:rsidRPr="00BC54D1">
        <w:rPr>
          <w:rFonts w:ascii="Times New Roman" w:hAnsi="Times New Roman"/>
        </w:rPr>
        <w:t xml:space="preserve">, </w:t>
      </w:r>
      <w:r w:rsidR="00327A96" w:rsidRPr="00BC54D1">
        <w:rPr>
          <w:rFonts w:ascii="Times New Roman" w:hAnsi="Times New Roman"/>
        </w:rPr>
        <w:t xml:space="preserve">Vol. </w:t>
      </w:r>
      <w:r w:rsidRPr="00BC54D1">
        <w:rPr>
          <w:rFonts w:ascii="Times New Roman" w:hAnsi="Times New Roman"/>
        </w:rPr>
        <w:t>38</w:t>
      </w:r>
      <w:r w:rsidR="00327A96" w:rsidRPr="00BC54D1">
        <w:rPr>
          <w:rFonts w:ascii="Times New Roman" w:hAnsi="Times New Roman"/>
        </w:rPr>
        <w:t xml:space="preserve"> No. </w:t>
      </w:r>
      <w:r w:rsidRPr="00BC54D1">
        <w:rPr>
          <w:rFonts w:ascii="Times New Roman" w:hAnsi="Times New Roman"/>
        </w:rPr>
        <w:t xml:space="preserve">1‐2, </w:t>
      </w:r>
      <w:r w:rsidR="00327A96" w:rsidRPr="00BC54D1">
        <w:rPr>
          <w:rFonts w:ascii="Times New Roman" w:hAnsi="Times New Roman"/>
        </w:rPr>
        <w:t xml:space="preserve">pp. </w:t>
      </w:r>
      <w:r w:rsidRPr="00BC54D1">
        <w:rPr>
          <w:rFonts w:ascii="Times New Roman" w:hAnsi="Times New Roman"/>
        </w:rPr>
        <w:t>225-258.</w:t>
      </w:r>
    </w:p>
    <w:p w14:paraId="2DE76B29" w14:textId="7EDD7B94" w:rsidR="00A457B6" w:rsidRPr="00BC54D1" w:rsidRDefault="00A457B6" w:rsidP="00A457B6">
      <w:pPr>
        <w:spacing w:before="100" w:beforeAutospacing="1" w:after="100" w:afterAutospacing="1"/>
        <w:jc w:val="both"/>
        <w:rPr>
          <w:rFonts w:ascii="Times New Roman" w:hAnsi="Times New Roman"/>
        </w:rPr>
      </w:pPr>
      <w:r w:rsidRPr="00BC54D1">
        <w:rPr>
          <w:rFonts w:ascii="Times New Roman" w:hAnsi="Times New Roman"/>
        </w:rPr>
        <w:t>Edmans, A.</w:t>
      </w:r>
      <w:r w:rsidR="006B5498" w:rsidRPr="00BC54D1">
        <w:rPr>
          <w:rFonts w:ascii="Times New Roman" w:hAnsi="Times New Roman"/>
        </w:rPr>
        <w:t>,</w:t>
      </w:r>
      <w:r w:rsidRPr="00BC54D1">
        <w:rPr>
          <w:rFonts w:ascii="Times New Roman" w:hAnsi="Times New Roman"/>
        </w:rPr>
        <w:t xml:space="preserve"> Fang</w:t>
      </w:r>
      <w:r w:rsidR="006B5498" w:rsidRPr="00BC54D1">
        <w:rPr>
          <w:rFonts w:ascii="Times New Roman" w:hAnsi="Times New Roman"/>
        </w:rPr>
        <w:t>, V. W.</w:t>
      </w:r>
      <w:r w:rsidR="00C97A35" w:rsidRPr="00BC54D1">
        <w:rPr>
          <w:rFonts w:ascii="Times New Roman" w:hAnsi="Times New Roman"/>
        </w:rPr>
        <w:t xml:space="preserve"> </w:t>
      </w:r>
      <w:r w:rsidR="00892EEB" w:rsidRPr="00BC54D1">
        <w:rPr>
          <w:rFonts w:ascii="Times New Roman" w:hAnsi="Times New Roman"/>
        </w:rPr>
        <w:t>and</w:t>
      </w:r>
      <w:r w:rsidRPr="00BC54D1">
        <w:rPr>
          <w:rFonts w:ascii="Times New Roman" w:hAnsi="Times New Roman"/>
        </w:rPr>
        <w:t xml:space="preserve"> Lewellen</w:t>
      </w:r>
      <w:r w:rsidR="00C97A35" w:rsidRPr="00BC54D1">
        <w:rPr>
          <w:rFonts w:ascii="Times New Roman" w:hAnsi="Times New Roman"/>
        </w:rPr>
        <w:t>, K</w:t>
      </w:r>
      <w:r w:rsidRPr="00BC54D1">
        <w:rPr>
          <w:rFonts w:ascii="Times New Roman" w:hAnsi="Times New Roman"/>
        </w:rPr>
        <w:t>.</w:t>
      </w:r>
      <w:r w:rsidR="00C97A35" w:rsidRPr="00BC54D1">
        <w:rPr>
          <w:rFonts w:ascii="Times New Roman" w:hAnsi="Times New Roman"/>
        </w:rPr>
        <w:t>A. (2017)</w:t>
      </w:r>
      <w:r w:rsidR="00892EEB" w:rsidRPr="00BC54D1">
        <w:rPr>
          <w:rFonts w:ascii="Times New Roman" w:hAnsi="Times New Roman"/>
        </w:rPr>
        <w:t>,</w:t>
      </w:r>
      <w:r w:rsidRPr="00BC54D1">
        <w:rPr>
          <w:rFonts w:ascii="Times New Roman" w:hAnsi="Times New Roman"/>
        </w:rPr>
        <w:t xml:space="preserve"> </w:t>
      </w:r>
      <w:r w:rsidR="00892EEB" w:rsidRPr="00BC54D1">
        <w:rPr>
          <w:rFonts w:ascii="Times New Roman" w:hAnsi="Times New Roman"/>
        </w:rPr>
        <w:t>‘</w:t>
      </w:r>
      <w:r w:rsidRPr="00BC54D1">
        <w:rPr>
          <w:rFonts w:ascii="Times New Roman" w:hAnsi="Times New Roman"/>
        </w:rPr>
        <w:t xml:space="preserve">Equity </w:t>
      </w:r>
      <w:r w:rsidR="00465A15" w:rsidRPr="00BC54D1">
        <w:rPr>
          <w:rFonts w:ascii="Times New Roman" w:hAnsi="Times New Roman"/>
        </w:rPr>
        <w:t>v</w:t>
      </w:r>
      <w:r w:rsidRPr="00BC54D1">
        <w:rPr>
          <w:rFonts w:ascii="Times New Roman" w:hAnsi="Times New Roman"/>
        </w:rPr>
        <w:t xml:space="preserve">esting and </w:t>
      </w:r>
      <w:r w:rsidR="00465A15" w:rsidRPr="00BC54D1">
        <w:rPr>
          <w:rFonts w:ascii="Times New Roman" w:hAnsi="Times New Roman"/>
        </w:rPr>
        <w:t>i</w:t>
      </w:r>
      <w:r w:rsidRPr="00BC54D1">
        <w:rPr>
          <w:rFonts w:ascii="Times New Roman" w:hAnsi="Times New Roman"/>
        </w:rPr>
        <w:t>nvestment</w:t>
      </w:r>
      <w:r w:rsidR="00802D64"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Review of Financial Studies</w:t>
      </w:r>
      <w:r w:rsidRPr="00BC54D1">
        <w:rPr>
          <w:rFonts w:ascii="Times New Roman" w:hAnsi="Times New Roman"/>
        </w:rPr>
        <w:t xml:space="preserve">, </w:t>
      </w:r>
      <w:r w:rsidR="00892EEB" w:rsidRPr="00BC54D1">
        <w:rPr>
          <w:rFonts w:ascii="Times New Roman" w:hAnsi="Times New Roman"/>
        </w:rPr>
        <w:t xml:space="preserve">Vol. </w:t>
      </w:r>
      <w:r w:rsidRPr="00BC54D1">
        <w:rPr>
          <w:rFonts w:ascii="Times New Roman" w:hAnsi="Times New Roman"/>
        </w:rPr>
        <w:t xml:space="preserve">30, </w:t>
      </w:r>
      <w:r w:rsidR="00892EEB" w:rsidRPr="00BC54D1">
        <w:rPr>
          <w:rFonts w:ascii="Times New Roman" w:hAnsi="Times New Roman"/>
        </w:rPr>
        <w:t xml:space="preserve">pp. </w:t>
      </w:r>
      <w:r w:rsidRPr="00BC54D1">
        <w:rPr>
          <w:rFonts w:ascii="Times New Roman" w:hAnsi="Times New Roman"/>
        </w:rPr>
        <w:t>2229</w:t>
      </w:r>
      <w:r w:rsidR="00802D64" w:rsidRPr="00BC54D1">
        <w:rPr>
          <w:rFonts w:ascii="Times New Roman" w:hAnsi="Times New Roman"/>
        </w:rPr>
        <w:t>-</w:t>
      </w:r>
      <w:r w:rsidRPr="00BC54D1">
        <w:rPr>
          <w:rFonts w:ascii="Times New Roman" w:hAnsi="Times New Roman"/>
        </w:rPr>
        <w:t>2271.</w:t>
      </w:r>
    </w:p>
    <w:p w14:paraId="6126AF1D" w14:textId="33253A74" w:rsidR="003D0338" w:rsidRPr="00BC54D1" w:rsidRDefault="00A457B6" w:rsidP="003D0338">
      <w:pPr>
        <w:spacing w:before="100" w:beforeAutospacing="1" w:after="100" w:afterAutospacing="1"/>
        <w:jc w:val="both"/>
        <w:rPr>
          <w:rFonts w:ascii="Times New Roman" w:hAnsi="Times New Roman"/>
        </w:rPr>
      </w:pPr>
      <w:r w:rsidRPr="00BC54D1">
        <w:rPr>
          <w:rFonts w:ascii="Times New Roman" w:hAnsi="Times New Roman"/>
        </w:rPr>
        <w:t>Faccio, M.</w:t>
      </w:r>
      <w:r w:rsidR="006B5498" w:rsidRPr="00BC54D1">
        <w:rPr>
          <w:rFonts w:ascii="Times New Roman" w:hAnsi="Times New Roman"/>
        </w:rPr>
        <w:t>,</w:t>
      </w:r>
      <w:r w:rsidRPr="00BC54D1">
        <w:rPr>
          <w:rFonts w:ascii="Times New Roman" w:hAnsi="Times New Roman"/>
        </w:rPr>
        <w:t xml:space="preserve"> Marchica</w:t>
      </w:r>
      <w:r w:rsidR="006B5498" w:rsidRPr="00BC54D1">
        <w:rPr>
          <w:rFonts w:ascii="Times New Roman" w:hAnsi="Times New Roman"/>
        </w:rPr>
        <w:t>, M.T.</w:t>
      </w:r>
      <w:r w:rsidR="00C97A35" w:rsidRPr="00BC54D1">
        <w:rPr>
          <w:rFonts w:ascii="Times New Roman" w:hAnsi="Times New Roman"/>
        </w:rPr>
        <w:t xml:space="preserve"> </w:t>
      </w:r>
      <w:r w:rsidR="00802D64" w:rsidRPr="00BC54D1">
        <w:rPr>
          <w:rFonts w:ascii="Times New Roman" w:hAnsi="Times New Roman"/>
        </w:rPr>
        <w:t xml:space="preserve">and </w:t>
      </w:r>
      <w:r w:rsidRPr="00BC54D1">
        <w:rPr>
          <w:rFonts w:ascii="Times New Roman" w:hAnsi="Times New Roman"/>
        </w:rPr>
        <w:t>Mura</w:t>
      </w:r>
      <w:r w:rsidR="00C97A35" w:rsidRPr="00BC54D1">
        <w:rPr>
          <w:rFonts w:ascii="Times New Roman" w:hAnsi="Times New Roman"/>
        </w:rPr>
        <w:t>, R. (2011)</w:t>
      </w:r>
      <w:r w:rsidR="00092843" w:rsidRPr="00BC54D1">
        <w:rPr>
          <w:rFonts w:ascii="Times New Roman" w:hAnsi="Times New Roman"/>
        </w:rPr>
        <w:t>, ‘</w:t>
      </w:r>
      <w:r w:rsidRPr="00BC54D1">
        <w:rPr>
          <w:rFonts w:ascii="Times New Roman" w:hAnsi="Times New Roman"/>
        </w:rPr>
        <w:t xml:space="preserve">Large </w:t>
      </w:r>
      <w:r w:rsidR="00802D64" w:rsidRPr="00BC54D1">
        <w:rPr>
          <w:rFonts w:ascii="Times New Roman" w:hAnsi="Times New Roman"/>
        </w:rPr>
        <w:t>s</w:t>
      </w:r>
      <w:r w:rsidRPr="00BC54D1">
        <w:rPr>
          <w:rFonts w:ascii="Times New Roman" w:hAnsi="Times New Roman"/>
        </w:rPr>
        <w:t xml:space="preserve">hareholder </w:t>
      </w:r>
      <w:r w:rsidR="00802D64" w:rsidRPr="00BC54D1">
        <w:rPr>
          <w:rFonts w:ascii="Times New Roman" w:hAnsi="Times New Roman"/>
        </w:rPr>
        <w:t>d</w:t>
      </w:r>
      <w:r w:rsidRPr="00BC54D1">
        <w:rPr>
          <w:rFonts w:ascii="Times New Roman" w:hAnsi="Times New Roman"/>
        </w:rPr>
        <w:t xml:space="preserve">iversification and </w:t>
      </w:r>
      <w:r w:rsidR="00802D64" w:rsidRPr="00BC54D1">
        <w:rPr>
          <w:rFonts w:ascii="Times New Roman" w:hAnsi="Times New Roman"/>
        </w:rPr>
        <w:t>c</w:t>
      </w:r>
      <w:r w:rsidRPr="00BC54D1">
        <w:rPr>
          <w:rFonts w:ascii="Times New Roman" w:hAnsi="Times New Roman"/>
        </w:rPr>
        <w:t xml:space="preserve">orporate </w:t>
      </w:r>
      <w:r w:rsidR="00802D64" w:rsidRPr="00BC54D1">
        <w:rPr>
          <w:rFonts w:ascii="Times New Roman" w:hAnsi="Times New Roman"/>
        </w:rPr>
        <w:t>r</w:t>
      </w:r>
      <w:r w:rsidRPr="00BC54D1">
        <w:rPr>
          <w:rFonts w:ascii="Times New Roman" w:hAnsi="Times New Roman"/>
        </w:rPr>
        <w:t>isk-</w:t>
      </w:r>
      <w:r w:rsidR="00802D64" w:rsidRPr="00BC54D1">
        <w:rPr>
          <w:rFonts w:ascii="Times New Roman" w:hAnsi="Times New Roman"/>
        </w:rPr>
        <w:t>t</w:t>
      </w:r>
      <w:r w:rsidRPr="00BC54D1">
        <w:rPr>
          <w:rFonts w:ascii="Times New Roman" w:hAnsi="Times New Roman"/>
        </w:rPr>
        <w:t>aking</w:t>
      </w:r>
      <w:r w:rsidR="00092843" w:rsidRPr="00BC54D1">
        <w:rPr>
          <w:rFonts w:ascii="Times New Roman" w:hAnsi="Times New Roman"/>
        </w:rPr>
        <w:t xml:space="preserve">’, </w:t>
      </w:r>
      <w:r w:rsidRPr="00BC54D1">
        <w:rPr>
          <w:rFonts w:ascii="Times New Roman" w:hAnsi="Times New Roman"/>
          <w:i/>
          <w:iCs/>
        </w:rPr>
        <w:t>Review of Financial Studies</w:t>
      </w:r>
      <w:r w:rsidRPr="00BC54D1">
        <w:rPr>
          <w:rFonts w:ascii="Times New Roman" w:hAnsi="Times New Roman"/>
        </w:rPr>
        <w:t xml:space="preserve">, </w:t>
      </w:r>
      <w:r w:rsidR="00092843" w:rsidRPr="00BC54D1">
        <w:rPr>
          <w:rFonts w:ascii="Times New Roman" w:hAnsi="Times New Roman"/>
        </w:rPr>
        <w:t xml:space="preserve">Vol. </w:t>
      </w:r>
      <w:r w:rsidRPr="00BC54D1">
        <w:rPr>
          <w:rFonts w:ascii="Times New Roman" w:hAnsi="Times New Roman"/>
        </w:rPr>
        <w:t xml:space="preserve">24, </w:t>
      </w:r>
      <w:r w:rsidR="00092843" w:rsidRPr="00BC54D1">
        <w:rPr>
          <w:rFonts w:ascii="Times New Roman" w:hAnsi="Times New Roman"/>
        </w:rPr>
        <w:t xml:space="preserve">pp. </w:t>
      </w:r>
      <w:r w:rsidRPr="00BC54D1">
        <w:rPr>
          <w:rFonts w:ascii="Times New Roman" w:hAnsi="Times New Roman"/>
        </w:rPr>
        <w:t>3601</w:t>
      </w:r>
      <w:r w:rsidR="00802D64" w:rsidRPr="00BC54D1">
        <w:rPr>
          <w:rFonts w:ascii="Times New Roman" w:hAnsi="Times New Roman"/>
        </w:rPr>
        <w:t>-</w:t>
      </w:r>
      <w:r w:rsidRPr="00BC54D1">
        <w:rPr>
          <w:rFonts w:ascii="Times New Roman" w:hAnsi="Times New Roman"/>
        </w:rPr>
        <w:t xml:space="preserve">3641. </w:t>
      </w:r>
    </w:p>
    <w:p w14:paraId="06C9F11E" w14:textId="36404F68" w:rsidR="00E0584E" w:rsidRPr="00BC54D1" w:rsidRDefault="00E0584E" w:rsidP="003D0338">
      <w:pPr>
        <w:spacing w:before="100" w:beforeAutospacing="1" w:after="100" w:afterAutospacing="1"/>
        <w:jc w:val="both"/>
        <w:rPr>
          <w:rFonts w:ascii="Times New Roman" w:hAnsi="Times New Roman"/>
        </w:rPr>
      </w:pPr>
      <w:r w:rsidRPr="00BC54D1">
        <w:rPr>
          <w:rFonts w:ascii="Times New Roman" w:hAnsi="Times New Roman"/>
        </w:rPr>
        <w:t>Falk, M. (2012)</w:t>
      </w:r>
      <w:r w:rsidR="00D159FD" w:rsidRPr="00BC54D1">
        <w:rPr>
          <w:rFonts w:ascii="Times New Roman" w:hAnsi="Times New Roman"/>
        </w:rPr>
        <w:t>,</w:t>
      </w:r>
      <w:r w:rsidRPr="00BC54D1">
        <w:rPr>
          <w:rFonts w:ascii="Times New Roman" w:hAnsi="Times New Roman"/>
        </w:rPr>
        <w:t xml:space="preserve"> </w:t>
      </w:r>
      <w:r w:rsidR="00D159FD" w:rsidRPr="00BC54D1">
        <w:rPr>
          <w:rFonts w:ascii="Times New Roman" w:hAnsi="Times New Roman"/>
        </w:rPr>
        <w:t>‘</w:t>
      </w:r>
      <w:r w:rsidRPr="00BC54D1">
        <w:rPr>
          <w:rFonts w:ascii="Times New Roman" w:hAnsi="Times New Roman"/>
        </w:rPr>
        <w:t>Quantile estimates of the impact of R&amp;D intensity on firm performance</w:t>
      </w:r>
      <w:r w:rsidR="00D159FD" w:rsidRPr="00BC54D1">
        <w:rPr>
          <w:rFonts w:ascii="Times New Roman" w:hAnsi="Times New Roman"/>
        </w:rPr>
        <w:t>’,</w:t>
      </w:r>
      <w:r w:rsidRPr="00BC54D1">
        <w:rPr>
          <w:rFonts w:ascii="Times New Roman" w:hAnsi="Times New Roman"/>
        </w:rPr>
        <w:t> </w:t>
      </w:r>
      <w:r w:rsidRPr="00BC54D1">
        <w:rPr>
          <w:rFonts w:ascii="Times New Roman" w:hAnsi="Times New Roman"/>
          <w:i/>
          <w:iCs/>
        </w:rPr>
        <w:t>Small Business Economics</w:t>
      </w:r>
      <w:r w:rsidRPr="00BC54D1">
        <w:rPr>
          <w:rFonts w:ascii="Times New Roman" w:hAnsi="Times New Roman"/>
        </w:rPr>
        <w:t>, </w:t>
      </w:r>
      <w:r w:rsidR="00D159FD" w:rsidRPr="00BC54D1">
        <w:rPr>
          <w:rFonts w:ascii="Times New Roman" w:hAnsi="Times New Roman"/>
        </w:rPr>
        <w:t>Vol</w:t>
      </w:r>
      <w:r w:rsidR="00D159FD" w:rsidRPr="00BC54D1">
        <w:rPr>
          <w:rFonts w:ascii="Times New Roman" w:hAnsi="Times New Roman"/>
          <w:i/>
          <w:iCs/>
        </w:rPr>
        <w:t xml:space="preserve">. </w:t>
      </w:r>
      <w:r w:rsidRPr="00BC54D1">
        <w:rPr>
          <w:rFonts w:ascii="Times New Roman" w:hAnsi="Times New Roman"/>
        </w:rPr>
        <w:t>39</w:t>
      </w:r>
      <w:r w:rsidR="00D159FD" w:rsidRPr="00BC54D1">
        <w:rPr>
          <w:rFonts w:ascii="Times New Roman" w:hAnsi="Times New Roman"/>
        </w:rPr>
        <w:t xml:space="preserve"> No. </w:t>
      </w:r>
      <w:r w:rsidRPr="00BC54D1">
        <w:rPr>
          <w:rFonts w:ascii="Times New Roman" w:hAnsi="Times New Roman"/>
        </w:rPr>
        <w:t xml:space="preserve">1, </w:t>
      </w:r>
      <w:r w:rsidR="00D159FD" w:rsidRPr="00BC54D1">
        <w:rPr>
          <w:rFonts w:ascii="Times New Roman" w:hAnsi="Times New Roman"/>
        </w:rPr>
        <w:t xml:space="preserve">pp. </w:t>
      </w:r>
      <w:r w:rsidRPr="00BC54D1">
        <w:rPr>
          <w:rFonts w:ascii="Times New Roman" w:hAnsi="Times New Roman"/>
        </w:rPr>
        <w:t>19-37.</w:t>
      </w:r>
    </w:p>
    <w:p w14:paraId="684703CA" w14:textId="0A1FBB83" w:rsidR="003D0338" w:rsidRPr="00BC54D1" w:rsidRDefault="003D0338" w:rsidP="003D0338">
      <w:pPr>
        <w:spacing w:before="100" w:beforeAutospacing="1" w:after="100" w:afterAutospacing="1"/>
        <w:jc w:val="both"/>
        <w:rPr>
          <w:rFonts w:ascii="Times New Roman" w:hAnsi="Times New Roman"/>
        </w:rPr>
      </w:pPr>
      <w:r w:rsidRPr="00BC54D1">
        <w:rPr>
          <w:rFonts w:ascii="Times New Roman" w:hAnsi="Times New Roman"/>
        </w:rPr>
        <w:t>Ferreira, D., Manso, G.</w:t>
      </w:r>
      <w:r w:rsidR="0061320A" w:rsidRPr="00BC54D1">
        <w:rPr>
          <w:rFonts w:ascii="Times New Roman" w:hAnsi="Times New Roman"/>
        </w:rPr>
        <w:t xml:space="preserve"> and</w:t>
      </w:r>
      <w:r w:rsidRPr="00BC54D1">
        <w:rPr>
          <w:rFonts w:ascii="Times New Roman" w:hAnsi="Times New Roman"/>
        </w:rPr>
        <w:t xml:space="preserve"> Silva, A. </w:t>
      </w:r>
      <w:r w:rsidR="008768A6" w:rsidRPr="00BC54D1">
        <w:rPr>
          <w:rFonts w:ascii="Times New Roman" w:hAnsi="Times New Roman"/>
        </w:rPr>
        <w:t>(</w:t>
      </w:r>
      <w:r w:rsidRPr="00BC54D1">
        <w:rPr>
          <w:rFonts w:ascii="Times New Roman" w:hAnsi="Times New Roman"/>
        </w:rPr>
        <w:t>2014</w:t>
      </w:r>
      <w:r w:rsidR="008768A6" w:rsidRPr="00BC54D1">
        <w:rPr>
          <w:rFonts w:ascii="Times New Roman" w:hAnsi="Times New Roman"/>
        </w:rPr>
        <w:t>)</w:t>
      </w:r>
      <w:r w:rsidR="00465A15" w:rsidRPr="00BC54D1">
        <w:rPr>
          <w:rFonts w:ascii="Times New Roman" w:hAnsi="Times New Roman"/>
        </w:rPr>
        <w:t>,</w:t>
      </w:r>
      <w:r w:rsidRPr="00BC54D1">
        <w:rPr>
          <w:rFonts w:ascii="Times New Roman" w:hAnsi="Times New Roman"/>
        </w:rPr>
        <w:t xml:space="preserve"> </w:t>
      </w:r>
      <w:r w:rsidR="00802D64" w:rsidRPr="00BC54D1">
        <w:rPr>
          <w:rFonts w:ascii="Times New Roman" w:hAnsi="Times New Roman"/>
        </w:rPr>
        <w:t>‘</w:t>
      </w:r>
      <w:r w:rsidRPr="00BC54D1">
        <w:rPr>
          <w:rFonts w:ascii="Times New Roman" w:hAnsi="Times New Roman"/>
        </w:rPr>
        <w:t>Incentives to innovate and the decision to go public or private</w:t>
      </w:r>
      <w:r w:rsidR="00802D64" w:rsidRPr="00BC54D1">
        <w:rPr>
          <w:rFonts w:ascii="Times New Roman" w:hAnsi="Times New Roman"/>
        </w:rPr>
        <w:t>’,</w:t>
      </w:r>
      <w:r w:rsidRPr="00BC54D1">
        <w:rPr>
          <w:rFonts w:ascii="Times New Roman" w:hAnsi="Times New Roman"/>
        </w:rPr>
        <w:t xml:space="preserve"> </w:t>
      </w:r>
      <w:r w:rsidRPr="00BC54D1">
        <w:rPr>
          <w:rFonts w:ascii="Times New Roman" w:hAnsi="Times New Roman"/>
          <w:i/>
        </w:rPr>
        <w:t>Review of Financial Studies</w:t>
      </w:r>
      <w:r w:rsidR="00802D64" w:rsidRPr="00BC54D1">
        <w:rPr>
          <w:rFonts w:ascii="Times New Roman" w:hAnsi="Times New Roman"/>
        </w:rPr>
        <w:t>, Vol.</w:t>
      </w:r>
      <w:r w:rsidRPr="00BC54D1">
        <w:rPr>
          <w:rFonts w:ascii="Times New Roman" w:hAnsi="Times New Roman"/>
        </w:rPr>
        <w:t xml:space="preserve"> 27, </w:t>
      </w:r>
      <w:r w:rsidR="00802D64" w:rsidRPr="00BC54D1">
        <w:rPr>
          <w:rFonts w:ascii="Times New Roman" w:hAnsi="Times New Roman"/>
        </w:rPr>
        <w:t xml:space="preserve">pp. </w:t>
      </w:r>
      <w:r w:rsidRPr="00BC54D1">
        <w:rPr>
          <w:rFonts w:ascii="Times New Roman" w:hAnsi="Times New Roman"/>
        </w:rPr>
        <w:t>256</w:t>
      </w:r>
      <w:r w:rsidR="00802D64" w:rsidRPr="00BC54D1">
        <w:rPr>
          <w:rFonts w:ascii="Times New Roman" w:hAnsi="Times New Roman"/>
        </w:rPr>
        <w:t>-</w:t>
      </w:r>
      <w:r w:rsidRPr="00BC54D1">
        <w:rPr>
          <w:rFonts w:ascii="Times New Roman" w:hAnsi="Times New Roman"/>
        </w:rPr>
        <w:t>300.</w:t>
      </w:r>
    </w:p>
    <w:p w14:paraId="759F2CA1" w14:textId="2670BCD8" w:rsidR="003D0338" w:rsidRPr="00BC54D1" w:rsidRDefault="003D0338" w:rsidP="003D0338">
      <w:pPr>
        <w:spacing w:before="100" w:beforeAutospacing="1" w:after="100" w:afterAutospacing="1"/>
        <w:jc w:val="both"/>
        <w:rPr>
          <w:rFonts w:ascii="Times New Roman" w:hAnsi="Times New Roman"/>
        </w:rPr>
      </w:pPr>
      <w:r w:rsidRPr="00BC54D1">
        <w:rPr>
          <w:rFonts w:ascii="Times New Roman" w:hAnsi="Times New Roman"/>
        </w:rPr>
        <w:t xml:space="preserve">Gao, H., </w:t>
      </w:r>
      <w:proofErr w:type="spellStart"/>
      <w:r w:rsidRPr="00BC54D1">
        <w:rPr>
          <w:rFonts w:ascii="Times New Roman" w:hAnsi="Times New Roman"/>
        </w:rPr>
        <w:t>Harford</w:t>
      </w:r>
      <w:proofErr w:type="spellEnd"/>
      <w:r w:rsidRPr="00BC54D1">
        <w:rPr>
          <w:rFonts w:ascii="Times New Roman" w:hAnsi="Times New Roman"/>
        </w:rPr>
        <w:t>, J.</w:t>
      </w:r>
      <w:r w:rsidR="00563D70" w:rsidRPr="00BC54D1">
        <w:rPr>
          <w:rFonts w:ascii="Times New Roman" w:hAnsi="Times New Roman"/>
        </w:rPr>
        <w:t xml:space="preserve"> </w:t>
      </w:r>
      <w:r w:rsidR="006B7E59" w:rsidRPr="00BC54D1">
        <w:rPr>
          <w:rFonts w:ascii="Times New Roman" w:hAnsi="Times New Roman"/>
        </w:rPr>
        <w:t xml:space="preserve">and </w:t>
      </w:r>
      <w:r w:rsidRPr="00BC54D1">
        <w:rPr>
          <w:rFonts w:ascii="Times New Roman" w:hAnsi="Times New Roman"/>
        </w:rPr>
        <w:t xml:space="preserve">Li, K. </w:t>
      </w:r>
      <w:r w:rsidR="00563D70" w:rsidRPr="00BC54D1">
        <w:rPr>
          <w:rFonts w:ascii="Times New Roman" w:hAnsi="Times New Roman"/>
        </w:rPr>
        <w:t>(</w:t>
      </w:r>
      <w:r w:rsidRPr="00BC54D1">
        <w:rPr>
          <w:rFonts w:ascii="Times New Roman" w:hAnsi="Times New Roman"/>
        </w:rPr>
        <w:t>2013</w:t>
      </w:r>
      <w:r w:rsidR="00563D70" w:rsidRPr="00BC54D1">
        <w:rPr>
          <w:rFonts w:ascii="Times New Roman" w:hAnsi="Times New Roman"/>
        </w:rPr>
        <w:t>)</w:t>
      </w:r>
      <w:r w:rsidR="006B7E59" w:rsidRPr="00BC54D1">
        <w:rPr>
          <w:rFonts w:ascii="Times New Roman" w:hAnsi="Times New Roman"/>
        </w:rPr>
        <w:t>,</w:t>
      </w:r>
      <w:r w:rsidRPr="00BC54D1">
        <w:rPr>
          <w:rFonts w:ascii="Times New Roman" w:hAnsi="Times New Roman"/>
        </w:rPr>
        <w:t xml:space="preserve"> </w:t>
      </w:r>
      <w:r w:rsidR="006B7E59" w:rsidRPr="00BC54D1">
        <w:rPr>
          <w:rFonts w:ascii="Times New Roman" w:hAnsi="Times New Roman"/>
        </w:rPr>
        <w:t>‘</w:t>
      </w:r>
      <w:r w:rsidRPr="00BC54D1">
        <w:rPr>
          <w:rFonts w:ascii="Times New Roman" w:hAnsi="Times New Roman"/>
        </w:rPr>
        <w:t>Determinants of corporate cash policy: insights from private firms</w:t>
      </w:r>
      <w:r w:rsidR="006B7E59"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Journal of Financial Economics</w:t>
      </w:r>
      <w:r w:rsidR="00802D64" w:rsidRPr="00BC54D1">
        <w:rPr>
          <w:rFonts w:ascii="Times New Roman" w:hAnsi="Times New Roman"/>
          <w:iCs/>
        </w:rPr>
        <w:t>,</w:t>
      </w:r>
      <w:r w:rsidRPr="00BC54D1">
        <w:rPr>
          <w:rFonts w:ascii="Times New Roman" w:hAnsi="Times New Roman"/>
        </w:rPr>
        <w:t xml:space="preserve"> </w:t>
      </w:r>
      <w:r w:rsidR="006B7E59" w:rsidRPr="00BC54D1">
        <w:rPr>
          <w:rFonts w:ascii="Times New Roman" w:hAnsi="Times New Roman"/>
        </w:rPr>
        <w:t xml:space="preserve">Vol. </w:t>
      </w:r>
      <w:r w:rsidRPr="00BC54D1">
        <w:rPr>
          <w:rFonts w:ascii="Times New Roman" w:hAnsi="Times New Roman"/>
        </w:rPr>
        <w:t xml:space="preserve">109, </w:t>
      </w:r>
      <w:r w:rsidR="006B7E59" w:rsidRPr="00BC54D1">
        <w:rPr>
          <w:rFonts w:ascii="Times New Roman" w:hAnsi="Times New Roman"/>
        </w:rPr>
        <w:t xml:space="preserve">pp. </w:t>
      </w:r>
      <w:r w:rsidRPr="00BC54D1">
        <w:rPr>
          <w:rFonts w:ascii="Times New Roman" w:hAnsi="Times New Roman"/>
        </w:rPr>
        <w:t>623–</w:t>
      </w:r>
      <w:r w:rsidR="00802D64" w:rsidRPr="00BC54D1">
        <w:rPr>
          <w:rFonts w:ascii="Times New Roman" w:hAnsi="Times New Roman"/>
        </w:rPr>
        <w:t>-</w:t>
      </w:r>
      <w:r w:rsidRPr="00BC54D1">
        <w:rPr>
          <w:rFonts w:ascii="Times New Roman" w:hAnsi="Times New Roman"/>
        </w:rPr>
        <w:t xml:space="preserve">639. </w:t>
      </w:r>
    </w:p>
    <w:p w14:paraId="3D2254A3" w14:textId="5CD25E74" w:rsidR="00D0175A" w:rsidRPr="00BC54D1" w:rsidRDefault="00D0175A" w:rsidP="003D0338">
      <w:pPr>
        <w:spacing w:before="100" w:beforeAutospacing="1" w:after="100" w:afterAutospacing="1"/>
        <w:jc w:val="both"/>
        <w:rPr>
          <w:rFonts w:ascii="Times New Roman" w:hAnsi="Times New Roman"/>
        </w:rPr>
      </w:pPr>
      <w:r w:rsidRPr="00BC54D1">
        <w:rPr>
          <w:rFonts w:ascii="Times New Roman" w:hAnsi="Times New Roman"/>
        </w:rPr>
        <w:t xml:space="preserve">Gao, H., Hsu, P.-H. </w:t>
      </w:r>
      <w:r w:rsidR="006B7E59" w:rsidRPr="00BC54D1">
        <w:rPr>
          <w:rFonts w:ascii="Times New Roman" w:hAnsi="Times New Roman"/>
        </w:rPr>
        <w:t>and</w:t>
      </w:r>
      <w:r w:rsidRPr="00BC54D1">
        <w:rPr>
          <w:rFonts w:ascii="Times New Roman" w:hAnsi="Times New Roman"/>
        </w:rPr>
        <w:t xml:space="preserve"> Li, K. (2018)</w:t>
      </w:r>
      <w:r w:rsidR="006B7E59" w:rsidRPr="00BC54D1">
        <w:rPr>
          <w:rFonts w:ascii="Times New Roman" w:hAnsi="Times New Roman"/>
        </w:rPr>
        <w:t>, ‘</w:t>
      </w:r>
      <w:r w:rsidRPr="00BC54D1">
        <w:rPr>
          <w:rFonts w:ascii="Times New Roman" w:hAnsi="Times New Roman"/>
        </w:rPr>
        <w:t xml:space="preserve">Innovation </w:t>
      </w:r>
      <w:r w:rsidR="00802D64" w:rsidRPr="00BC54D1">
        <w:rPr>
          <w:rFonts w:ascii="Times New Roman" w:hAnsi="Times New Roman"/>
        </w:rPr>
        <w:t>s</w:t>
      </w:r>
      <w:r w:rsidRPr="00BC54D1">
        <w:rPr>
          <w:rFonts w:ascii="Times New Roman" w:hAnsi="Times New Roman"/>
        </w:rPr>
        <w:t xml:space="preserve">trategy of </w:t>
      </w:r>
      <w:r w:rsidR="00802D64" w:rsidRPr="00BC54D1">
        <w:rPr>
          <w:rFonts w:ascii="Times New Roman" w:hAnsi="Times New Roman"/>
        </w:rPr>
        <w:t>p</w:t>
      </w:r>
      <w:r w:rsidRPr="00BC54D1">
        <w:rPr>
          <w:rFonts w:ascii="Times New Roman" w:hAnsi="Times New Roman"/>
        </w:rPr>
        <w:t xml:space="preserve">rivate </w:t>
      </w:r>
      <w:r w:rsidR="00802D64" w:rsidRPr="00BC54D1">
        <w:rPr>
          <w:rFonts w:ascii="Times New Roman" w:hAnsi="Times New Roman"/>
        </w:rPr>
        <w:t>f</w:t>
      </w:r>
      <w:r w:rsidRPr="00BC54D1">
        <w:rPr>
          <w:rFonts w:ascii="Times New Roman" w:hAnsi="Times New Roman"/>
        </w:rPr>
        <w:t>irms</w:t>
      </w:r>
      <w:r w:rsidR="006B7E59"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Journal of Financial and Quantitative Analysis</w:t>
      </w:r>
      <w:r w:rsidR="00802D64" w:rsidRPr="00BC54D1">
        <w:rPr>
          <w:rFonts w:ascii="Times New Roman" w:hAnsi="Times New Roman"/>
          <w:iCs/>
        </w:rPr>
        <w:t>,</w:t>
      </w:r>
      <w:r w:rsidRPr="00BC54D1">
        <w:rPr>
          <w:rFonts w:ascii="Times New Roman" w:hAnsi="Times New Roman"/>
        </w:rPr>
        <w:t xml:space="preserve"> </w:t>
      </w:r>
      <w:r w:rsidR="006B7E59" w:rsidRPr="00BC54D1">
        <w:rPr>
          <w:rFonts w:ascii="Times New Roman" w:hAnsi="Times New Roman"/>
        </w:rPr>
        <w:t xml:space="preserve">Vol. </w:t>
      </w:r>
      <w:r w:rsidRPr="00BC54D1">
        <w:rPr>
          <w:rFonts w:ascii="Times New Roman" w:hAnsi="Times New Roman"/>
        </w:rPr>
        <w:t xml:space="preserve">53, </w:t>
      </w:r>
      <w:r w:rsidR="006B7E59" w:rsidRPr="00BC54D1">
        <w:rPr>
          <w:rFonts w:ascii="Times New Roman" w:hAnsi="Times New Roman"/>
        </w:rPr>
        <w:t xml:space="preserve">pp. </w:t>
      </w:r>
      <w:r w:rsidRPr="00BC54D1">
        <w:rPr>
          <w:rFonts w:ascii="Times New Roman" w:hAnsi="Times New Roman"/>
        </w:rPr>
        <w:t>1</w:t>
      </w:r>
      <w:r w:rsidR="00802D64" w:rsidRPr="00BC54D1">
        <w:rPr>
          <w:rFonts w:ascii="Times New Roman" w:hAnsi="Times New Roman"/>
        </w:rPr>
        <w:t>-</w:t>
      </w:r>
      <w:r w:rsidRPr="00BC54D1">
        <w:rPr>
          <w:rFonts w:ascii="Times New Roman" w:hAnsi="Times New Roman"/>
        </w:rPr>
        <w:t xml:space="preserve">32. </w:t>
      </w:r>
    </w:p>
    <w:p w14:paraId="43E3227F" w14:textId="46D4B116" w:rsidR="00F10033" w:rsidRPr="00BC54D1" w:rsidRDefault="00F10033" w:rsidP="003D0338">
      <w:pPr>
        <w:spacing w:before="100" w:beforeAutospacing="1" w:after="100" w:afterAutospacing="1"/>
        <w:jc w:val="both"/>
        <w:rPr>
          <w:rFonts w:ascii="Times New Roman" w:hAnsi="Times New Roman"/>
        </w:rPr>
      </w:pPr>
      <w:r w:rsidRPr="00BC54D1">
        <w:rPr>
          <w:rFonts w:ascii="Times New Roman" w:hAnsi="Times New Roman"/>
        </w:rPr>
        <w:t xml:space="preserve">Gonzalez, X. </w:t>
      </w:r>
      <w:r w:rsidR="00BB5A50" w:rsidRPr="00BC54D1">
        <w:rPr>
          <w:rFonts w:ascii="Times New Roman" w:hAnsi="Times New Roman"/>
        </w:rPr>
        <w:t xml:space="preserve">and </w:t>
      </w:r>
      <w:r w:rsidRPr="00BC54D1">
        <w:rPr>
          <w:rFonts w:ascii="Times New Roman" w:hAnsi="Times New Roman"/>
        </w:rPr>
        <w:t>Pazo, C. (2008)</w:t>
      </w:r>
      <w:r w:rsidR="00BB5A50" w:rsidRPr="00BC54D1">
        <w:rPr>
          <w:rFonts w:ascii="Times New Roman" w:hAnsi="Times New Roman"/>
        </w:rPr>
        <w:t>,</w:t>
      </w:r>
      <w:r w:rsidRPr="00BC54D1">
        <w:rPr>
          <w:rFonts w:ascii="Times New Roman" w:hAnsi="Times New Roman"/>
        </w:rPr>
        <w:t xml:space="preserve"> </w:t>
      </w:r>
      <w:r w:rsidR="00BB5A50" w:rsidRPr="00BC54D1">
        <w:rPr>
          <w:rFonts w:ascii="Times New Roman" w:hAnsi="Times New Roman"/>
        </w:rPr>
        <w:t>‘</w:t>
      </w:r>
      <w:r w:rsidRPr="00BC54D1">
        <w:rPr>
          <w:rFonts w:ascii="Times New Roman" w:hAnsi="Times New Roman"/>
        </w:rPr>
        <w:t>Do public subsidies stimulate private R&amp;D spending?</w:t>
      </w:r>
      <w:r w:rsidR="00BB5A50" w:rsidRPr="00BC54D1">
        <w:rPr>
          <w:rFonts w:ascii="Times New Roman" w:hAnsi="Times New Roman"/>
        </w:rPr>
        <w:t>’</w:t>
      </w:r>
      <w:r w:rsidR="00465A15"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Research Policy</w:t>
      </w:r>
      <w:r w:rsidR="00802D64" w:rsidRPr="00BC54D1">
        <w:rPr>
          <w:rFonts w:ascii="Times New Roman" w:hAnsi="Times New Roman"/>
          <w:iCs/>
        </w:rPr>
        <w:t>,</w:t>
      </w:r>
      <w:r w:rsidRPr="00BC54D1">
        <w:rPr>
          <w:rFonts w:ascii="Times New Roman" w:hAnsi="Times New Roman"/>
          <w:i/>
          <w:iCs/>
        </w:rPr>
        <w:t xml:space="preserve"> </w:t>
      </w:r>
      <w:r w:rsidR="00BB5A50" w:rsidRPr="00BC54D1">
        <w:rPr>
          <w:rFonts w:ascii="Times New Roman" w:hAnsi="Times New Roman"/>
        </w:rPr>
        <w:t xml:space="preserve">Vol. </w:t>
      </w:r>
      <w:r w:rsidRPr="00BC54D1">
        <w:rPr>
          <w:rFonts w:ascii="Times New Roman" w:hAnsi="Times New Roman"/>
        </w:rPr>
        <w:t xml:space="preserve">37, </w:t>
      </w:r>
      <w:r w:rsidR="00802D64" w:rsidRPr="00BC54D1">
        <w:rPr>
          <w:rFonts w:ascii="Times New Roman" w:hAnsi="Times New Roman"/>
        </w:rPr>
        <w:t>pp</w:t>
      </w:r>
      <w:r w:rsidR="00BB5A50" w:rsidRPr="00BC54D1">
        <w:rPr>
          <w:rFonts w:ascii="Times New Roman" w:hAnsi="Times New Roman"/>
        </w:rPr>
        <w:t xml:space="preserve">. </w:t>
      </w:r>
      <w:r w:rsidRPr="00BC54D1">
        <w:rPr>
          <w:rFonts w:ascii="Times New Roman" w:hAnsi="Times New Roman"/>
        </w:rPr>
        <w:t>371</w:t>
      </w:r>
      <w:r w:rsidR="00802D64" w:rsidRPr="00BC54D1">
        <w:rPr>
          <w:rFonts w:ascii="Times New Roman" w:hAnsi="Times New Roman"/>
        </w:rPr>
        <w:t>-</w:t>
      </w:r>
      <w:r w:rsidRPr="00BC54D1">
        <w:rPr>
          <w:rFonts w:ascii="Times New Roman" w:hAnsi="Times New Roman"/>
        </w:rPr>
        <w:t>389.</w:t>
      </w:r>
    </w:p>
    <w:p w14:paraId="638CF6C6" w14:textId="62C48AA4" w:rsidR="00F97E50" w:rsidRPr="00BC54D1" w:rsidRDefault="00F97E50" w:rsidP="003D0338">
      <w:pPr>
        <w:spacing w:before="100" w:beforeAutospacing="1" w:after="100" w:afterAutospacing="1"/>
        <w:jc w:val="both"/>
        <w:rPr>
          <w:rFonts w:ascii="Times New Roman" w:hAnsi="Times New Roman"/>
        </w:rPr>
      </w:pPr>
      <w:r w:rsidRPr="00BC54D1">
        <w:rPr>
          <w:rFonts w:ascii="Times New Roman" w:hAnsi="Times New Roman"/>
        </w:rPr>
        <w:t>Gopalan, R.</w:t>
      </w:r>
      <w:r w:rsidR="00802D64" w:rsidRPr="00BC54D1">
        <w:rPr>
          <w:rFonts w:ascii="Times New Roman" w:hAnsi="Times New Roman"/>
        </w:rPr>
        <w:t>,</w:t>
      </w:r>
      <w:r w:rsidRPr="00BC54D1">
        <w:rPr>
          <w:rFonts w:ascii="Times New Roman" w:hAnsi="Times New Roman"/>
        </w:rPr>
        <w:t xml:space="preserve"> Milbourn</w:t>
      </w:r>
      <w:r w:rsidR="00802D64" w:rsidRPr="00BC54D1">
        <w:rPr>
          <w:rFonts w:ascii="Times New Roman" w:hAnsi="Times New Roman"/>
        </w:rPr>
        <w:t>, T</w:t>
      </w:r>
      <w:r w:rsidRPr="00BC54D1">
        <w:rPr>
          <w:rFonts w:ascii="Times New Roman" w:hAnsi="Times New Roman"/>
        </w:rPr>
        <w:t xml:space="preserve"> Song</w:t>
      </w:r>
      <w:r w:rsidR="00802D64" w:rsidRPr="00BC54D1">
        <w:rPr>
          <w:rFonts w:ascii="Times New Roman" w:hAnsi="Times New Roman"/>
        </w:rPr>
        <w:t>, F.</w:t>
      </w:r>
      <w:r w:rsidRPr="00BC54D1">
        <w:rPr>
          <w:rFonts w:ascii="Times New Roman" w:hAnsi="Times New Roman"/>
        </w:rPr>
        <w:t xml:space="preserve"> </w:t>
      </w:r>
      <w:r w:rsidR="00BB5A50" w:rsidRPr="00BC54D1">
        <w:rPr>
          <w:rFonts w:ascii="Times New Roman" w:hAnsi="Times New Roman"/>
        </w:rPr>
        <w:t>and</w:t>
      </w:r>
      <w:r w:rsidRPr="00BC54D1">
        <w:rPr>
          <w:rFonts w:ascii="Times New Roman" w:hAnsi="Times New Roman"/>
        </w:rPr>
        <w:t xml:space="preserve"> Thako</w:t>
      </w:r>
      <w:r w:rsidR="008768A6" w:rsidRPr="00BC54D1">
        <w:rPr>
          <w:rFonts w:ascii="Times New Roman" w:hAnsi="Times New Roman"/>
        </w:rPr>
        <w:t xml:space="preserve">r, A. </w:t>
      </w:r>
      <w:r w:rsidRPr="00BC54D1">
        <w:rPr>
          <w:rFonts w:ascii="Times New Roman" w:hAnsi="Times New Roman"/>
        </w:rPr>
        <w:t>(2014)</w:t>
      </w:r>
      <w:r w:rsidR="00BB5A50" w:rsidRPr="00BC54D1">
        <w:rPr>
          <w:rFonts w:ascii="Times New Roman" w:hAnsi="Times New Roman"/>
        </w:rPr>
        <w:t>,</w:t>
      </w:r>
      <w:r w:rsidRPr="00BC54D1">
        <w:rPr>
          <w:rFonts w:ascii="Times New Roman" w:hAnsi="Times New Roman"/>
        </w:rPr>
        <w:t xml:space="preserve"> </w:t>
      </w:r>
      <w:r w:rsidR="00BB5A50" w:rsidRPr="00BC54D1">
        <w:rPr>
          <w:rFonts w:ascii="Times New Roman" w:hAnsi="Times New Roman"/>
        </w:rPr>
        <w:t>‘</w:t>
      </w:r>
      <w:r w:rsidRPr="00BC54D1">
        <w:rPr>
          <w:rFonts w:ascii="Times New Roman" w:hAnsi="Times New Roman"/>
        </w:rPr>
        <w:t xml:space="preserve">Duration of </w:t>
      </w:r>
      <w:r w:rsidR="00802D64" w:rsidRPr="00BC54D1">
        <w:rPr>
          <w:rFonts w:ascii="Times New Roman" w:hAnsi="Times New Roman"/>
        </w:rPr>
        <w:t>e</w:t>
      </w:r>
      <w:r w:rsidRPr="00BC54D1">
        <w:rPr>
          <w:rFonts w:ascii="Times New Roman" w:hAnsi="Times New Roman"/>
        </w:rPr>
        <w:t xml:space="preserve">xecutive </w:t>
      </w:r>
      <w:r w:rsidR="00802D64" w:rsidRPr="00BC54D1">
        <w:rPr>
          <w:rFonts w:ascii="Times New Roman" w:hAnsi="Times New Roman"/>
        </w:rPr>
        <w:t>c</w:t>
      </w:r>
      <w:r w:rsidRPr="00BC54D1">
        <w:rPr>
          <w:rFonts w:ascii="Times New Roman" w:hAnsi="Times New Roman"/>
        </w:rPr>
        <w:t>ompensation</w:t>
      </w:r>
      <w:r w:rsidR="00802D64"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Journal of Finance</w:t>
      </w:r>
      <w:r w:rsidRPr="00BC54D1">
        <w:rPr>
          <w:rFonts w:ascii="Times New Roman" w:hAnsi="Times New Roman"/>
        </w:rPr>
        <w:t xml:space="preserve">, </w:t>
      </w:r>
      <w:r w:rsidR="00BB5A50" w:rsidRPr="00BC54D1">
        <w:rPr>
          <w:rFonts w:ascii="Times New Roman" w:hAnsi="Times New Roman"/>
        </w:rPr>
        <w:t xml:space="preserve">Vol. </w:t>
      </w:r>
      <w:r w:rsidRPr="00BC54D1">
        <w:rPr>
          <w:rFonts w:ascii="Times New Roman" w:hAnsi="Times New Roman"/>
        </w:rPr>
        <w:t xml:space="preserve">69, </w:t>
      </w:r>
      <w:r w:rsidR="00BB5A50" w:rsidRPr="00BC54D1">
        <w:rPr>
          <w:rFonts w:ascii="Times New Roman" w:hAnsi="Times New Roman"/>
        </w:rPr>
        <w:t xml:space="preserve">pp. </w:t>
      </w:r>
      <w:r w:rsidRPr="00BC54D1">
        <w:rPr>
          <w:rFonts w:ascii="Times New Roman" w:hAnsi="Times New Roman"/>
        </w:rPr>
        <w:t>2777</w:t>
      </w:r>
      <w:r w:rsidR="00802D64" w:rsidRPr="00BC54D1">
        <w:rPr>
          <w:rFonts w:ascii="Times New Roman" w:hAnsi="Times New Roman"/>
        </w:rPr>
        <w:t>-</w:t>
      </w:r>
      <w:r w:rsidRPr="00BC54D1">
        <w:rPr>
          <w:rFonts w:ascii="Times New Roman" w:hAnsi="Times New Roman"/>
        </w:rPr>
        <w:t>2817.</w:t>
      </w:r>
    </w:p>
    <w:p w14:paraId="13DF2126" w14:textId="46452574" w:rsidR="00F97E50" w:rsidRPr="00BC54D1" w:rsidRDefault="00F97E50" w:rsidP="003D0338">
      <w:pPr>
        <w:spacing w:before="100" w:beforeAutospacing="1" w:after="100" w:afterAutospacing="1"/>
        <w:jc w:val="both"/>
        <w:rPr>
          <w:rFonts w:ascii="Times New Roman" w:hAnsi="Times New Roman"/>
        </w:rPr>
      </w:pPr>
      <w:r w:rsidRPr="00BC54D1">
        <w:rPr>
          <w:rFonts w:ascii="Times New Roman" w:hAnsi="Times New Roman"/>
        </w:rPr>
        <w:t>Graham, J. R.</w:t>
      </w:r>
      <w:r w:rsidR="008768A6" w:rsidRPr="00BC54D1">
        <w:rPr>
          <w:rFonts w:ascii="Times New Roman" w:hAnsi="Times New Roman"/>
        </w:rPr>
        <w:t>,</w:t>
      </w:r>
      <w:r w:rsidRPr="00BC54D1">
        <w:rPr>
          <w:rFonts w:ascii="Times New Roman" w:hAnsi="Times New Roman"/>
        </w:rPr>
        <w:t xml:space="preserve"> Harvey</w:t>
      </w:r>
      <w:r w:rsidR="008768A6" w:rsidRPr="00BC54D1">
        <w:rPr>
          <w:rFonts w:ascii="Times New Roman" w:hAnsi="Times New Roman"/>
        </w:rPr>
        <w:t>, C.R.</w:t>
      </w:r>
      <w:r w:rsidRPr="00BC54D1">
        <w:rPr>
          <w:rFonts w:ascii="Times New Roman" w:hAnsi="Times New Roman"/>
        </w:rPr>
        <w:t xml:space="preserve"> </w:t>
      </w:r>
      <w:r w:rsidR="00BB5A50" w:rsidRPr="00BC54D1">
        <w:rPr>
          <w:rFonts w:ascii="Times New Roman" w:hAnsi="Times New Roman"/>
        </w:rPr>
        <w:t>and</w:t>
      </w:r>
      <w:r w:rsidRPr="00BC54D1">
        <w:rPr>
          <w:rFonts w:ascii="Times New Roman" w:hAnsi="Times New Roman"/>
        </w:rPr>
        <w:t xml:space="preserve"> </w:t>
      </w:r>
      <w:proofErr w:type="spellStart"/>
      <w:r w:rsidRPr="00BC54D1">
        <w:rPr>
          <w:rFonts w:ascii="Times New Roman" w:hAnsi="Times New Roman"/>
        </w:rPr>
        <w:t>Rajgopal</w:t>
      </w:r>
      <w:proofErr w:type="spellEnd"/>
      <w:r w:rsidR="008768A6" w:rsidRPr="00BC54D1">
        <w:rPr>
          <w:rFonts w:ascii="Times New Roman" w:hAnsi="Times New Roman"/>
        </w:rPr>
        <w:t>, S.</w:t>
      </w:r>
      <w:r w:rsidRPr="00BC54D1">
        <w:rPr>
          <w:rFonts w:ascii="Times New Roman" w:hAnsi="Times New Roman"/>
        </w:rPr>
        <w:t xml:space="preserve"> (2005)</w:t>
      </w:r>
      <w:r w:rsidR="00BB5A50" w:rsidRPr="00BC54D1">
        <w:rPr>
          <w:rFonts w:ascii="Times New Roman" w:hAnsi="Times New Roman"/>
        </w:rPr>
        <w:t>,</w:t>
      </w:r>
      <w:r w:rsidR="006C2D69" w:rsidRPr="00BC54D1">
        <w:rPr>
          <w:rFonts w:ascii="Times New Roman" w:hAnsi="Times New Roman"/>
        </w:rPr>
        <w:t xml:space="preserve"> </w:t>
      </w:r>
      <w:r w:rsidR="00BB5A50" w:rsidRPr="00BC54D1">
        <w:rPr>
          <w:rFonts w:ascii="Times New Roman" w:hAnsi="Times New Roman"/>
        </w:rPr>
        <w:t>‘</w:t>
      </w:r>
      <w:r w:rsidRPr="00BC54D1">
        <w:rPr>
          <w:rFonts w:ascii="Times New Roman" w:hAnsi="Times New Roman"/>
        </w:rPr>
        <w:t xml:space="preserve">The </w:t>
      </w:r>
      <w:r w:rsidR="00802D64" w:rsidRPr="00BC54D1">
        <w:rPr>
          <w:rFonts w:ascii="Times New Roman" w:hAnsi="Times New Roman"/>
        </w:rPr>
        <w:t>e</w:t>
      </w:r>
      <w:r w:rsidRPr="00BC54D1">
        <w:rPr>
          <w:rFonts w:ascii="Times New Roman" w:hAnsi="Times New Roman"/>
        </w:rPr>
        <w:t xml:space="preserve">conomic </w:t>
      </w:r>
      <w:r w:rsidR="00802D64" w:rsidRPr="00BC54D1">
        <w:rPr>
          <w:rFonts w:ascii="Times New Roman" w:hAnsi="Times New Roman"/>
        </w:rPr>
        <w:t>i</w:t>
      </w:r>
      <w:r w:rsidRPr="00BC54D1">
        <w:rPr>
          <w:rFonts w:ascii="Times New Roman" w:hAnsi="Times New Roman"/>
        </w:rPr>
        <w:t xml:space="preserve">mplications of </w:t>
      </w:r>
      <w:r w:rsidR="00802D64" w:rsidRPr="00BC54D1">
        <w:rPr>
          <w:rFonts w:ascii="Times New Roman" w:hAnsi="Times New Roman"/>
        </w:rPr>
        <w:t>c</w:t>
      </w:r>
      <w:r w:rsidRPr="00BC54D1">
        <w:rPr>
          <w:rFonts w:ascii="Times New Roman" w:hAnsi="Times New Roman"/>
        </w:rPr>
        <w:t xml:space="preserve">orporate </w:t>
      </w:r>
      <w:r w:rsidR="00802D64" w:rsidRPr="00BC54D1">
        <w:rPr>
          <w:rFonts w:ascii="Times New Roman" w:hAnsi="Times New Roman"/>
        </w:rPr>
        <w:t>f</w:t>
      </w:r>
      <w:r w:rsidRPr="00BC54D1">
        <w:rPr>
          <w:rFonts w:ascii="Times New Roman" w:hAnsi="Times New Roman"/>
        </w:rPr>
        <w:t xml:space="preserve">inancial </w:t>
      </w:r>
      <w:r w:rsidR="00802D64" w:rsidRPr="00BC54D1">
        <w:rPr>
          <w:rFonts w:ascii="Times New Roman" w:hAnsi="Times New Roman"/>
        </w:rPr>
        <w:t>r</w:t>
      </w:r>
      <w:r w:rsidRPr="00BC54D1">
        <w:rPr>
          <w:rFonts w:ascii="Times New Roman" w:hAnsi="Times New Roman"/>
        </w:rPr>
        <w:t>eporting</w:t>
      </w:r>
      <w:r w:rsidR="00BB5A50"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Journal of Accounting and Economics</w:t>
      </w:r>
      <w:r w:rsidRPr="00BC54D1">
        <w:rPr>
          <w:rFonts w:ascii="Times New Roman" w:hAnsi="Times New Roman"/>
        </w:rPr>
        <w:t xml:space="preserve">, </w:t>
      </w:r>
      <w:r w:rsidR="00BB5A50" w:rsidRPr="00BC54D1">
        <w:rPr>
          <w:rFonts w:ascii="Times New Roman" w:hAnsi="Times New Roman"/>
        </w:rPr>
        <w:t xml:space="preserve">Vol. </w:t>
      </w:r>
      <w:r w:rsidRPr="00BC54D1">
        <w:rPr>
          <w:rFonts w:ascii="Times New Roman" w:hAnsi="Times New Roman"/>
        </w:rPr>
        <w:t xml:space="preserve">40, </w:t>
      </w:r>
      <w:r w:rsidR="003479CB" w:rsidRPr="00BC54D1">
        <w:rPr>
          <w:rFonts w:ascii="Times New Roman" w:hAnsi="Times New Roman"/>
        </w:rPr>
        <w:t xml:space="preserve">pp. </w:t>
      </w:r>
      <w:r w:rsidRPr="00BC54D1">
        <w:rPr>
          <w:rFonts w:ascii="Times New Roman" w:hAnsi="Times New Roman"/>
        </w:rPr>
        <w:t>3</w:t>
      </w:r>
      <w:r w:rsidR="00802D64" w:rsidRPr="00BC54D1">
        <w:rPr>
          <w:rFonts w:ascii="Times New Roman" w:hAnsi="Times New Roman"/>
        </w:rPr>
        <w:t>-</w:t>
      </w:r>
      <w:r w:rsidRPr="00BC54D1">
        <w:rPr>
          <w:rFonts w:ascii="Times New Roman" w:hAnsi="Times New Roman"/>
        </w:rPr>
        <w:t xml:space="preserve">73. </w:t>
      </w:r>
    </w:p>
    <w:p w14:paraId="74BDACE9" w14:textId="0A994B2D" w:rsidR="00F10033" w:rsidRPr="00BC54D1" w:rsidRDefault="00F10033" w:rsidP="003D0338">
      <w:pPr>
        <w:spacing w:before="100" w:beforeAutospacing="1" w:after="100" w:afterAutospacing="1"/>
        <w:jc w:val="both"/>
        <w:rPr>
          <w:rFonts w:ascii="Times New Roman" w:hAnsi="Times New Roman"/>
        </w:rPr>
      </w:pPr>
      <w:r w:rsidRPr="00BC54D1">
        <w:rPr>
          <w:rFonts w:ascii="Times New Roman" w:hAnsi="Times New Roman"/>
        </w:rPr>
        <w:t>Hall, B. H.</w:t>
      </w:r>
      <w:r w:rsidR="00802D64" w:rsidRPr="00BC54D1">
        <w:rPr>
          <w:rFonts w:ascii="Times New Roman" w:hAnsi="Times New Roman"/>
        </w:rPr>
        <w:t xml:space="preserve"> and</w:t>
      </w:r>
      <w:r w:rsidRPr="00BC54D1">
        <w:rPr>
          <w:rFonts w:ascii="Times New Roman" w:hAnsi="Times New Roman"/>
        </w:rPr>
        <w:t xml:space="preserve"> Lerner, J. (2010)</w:t>
      </w:r>
      <w:r w:rsidR="00640F81" w:rsidRPr="00BC54D1">
        <w:rPr>
          <w:rFonts w:ascii="Times New Roman" w:hAnsi="Times New Roman"/>
        </w:rPr>
        <w:t>,</w:t>
      </w:r>
      <w:r w:rsidRPr="00BC54D1">
        <w:rPr>
          <w:rFonts w:ascii="Times New Roman" w:hAnsi="Times New Roman"/>
        </w:rPr>
        <w:t xml:space="preserve"> </w:t>
      </w:r>
      <w:r w:rsidR="00B03D16" w:rsidRPr="00BC54D1">
        <w:rPr>
          <w:rFonts w:ascii="Times New Roman" w:hAnsi="Times New Roman"/>
        </w:rPr>
        <w:t>‘</w:t>
      </w:r>
      <w:r w:rsidRPr="00BC54D1">
        <w:rPr>
          <w:rFonts w:ascii="Times New Roman" w:hAnsi="Times New Roman"/>
        </w:rPr>
        <w:t xml:space="preserve">The financing of research and development and </w:t>
      </w:r>
      <w:r w:rsidR="00802D64" w:rsidRPr="00BC54D1">
        <w:rPr>
          <w:rFonts w:ascii="Times New Roman" w:hAnsi="Times New Roman"/>
        </w:rPr>
        <w:t>i</w:t>
      </w:r>
      <w:r w:rsidRPr="00BC54D1">
        <w:rPr>
          <w:rFonts w:ascii="Times New Roman" w:hAnsi="Times New Roman"/>
        </w:rPr>
        <w:t>nnovation</w:t>
      </w:r>
      <w:r w:rsidR="00B03D16" w:rsidRPr="00BC54D1">
        <w:rPr>
          <w:rFonts w:ascii="Times New Roman" w:hAnsi="Times New Roman"/>
        </w:rPr>
        <w:t xml:space="preserve">’, </w:t>
      </w:r>
      <w:r w:rsidR="00C51777">
        <w:rPr>
          <w:rFonts w:ascii="Times New Roman" w:hAnsi="Times New Roman"/>
        </w:rPr>
        <w:t xml:space="preserve">In: </w:t>
      </w:r>
      <w:r w:rsidRPr="00BC54D1">
        <w:rPr>
          <w:rFonts w:ascii="Times New Roman" w:hAnsi="Times New Roman"/>
        </w:rPr>
        <w:t>Hall, B.H.</w:t>
      </w:r>
      <w:r w:rsidR="00B03D16" w:rsidRPr="00BC54D1">
        <w:rPr>
          <w:rFonts w:ascii="Times New Roman" w:hAnsi="Times New Roman"/>
        </w:rPr>
        <w:t xml:space="preserve"> and</w:t>
      </w:r>
      <w:r w:rsidRPr="00BC54D1">
        <w:rPr>
          <w:rFonts w:ascii="Times New Roman" w:hAnsi="Times New Roman"/>
        </w:rPr>
        <w:t xml:space="preserve"> Rosenberg, N. (</w:t>
      </w:r>
      <w:proofErr w:type="spellStart"/>
      <w:proofErr w:type="gramStart"/>
      <w:r w:rsidRPr="00BC54D1">
        <w:rPr>
          <w:rFonts w:ascii="Times New Roman" w:hAnsi="Times New Roman"/>
        </w:rPr>
        <w:t>Ed</w:t>
      </w:r>
      <w:r w:rsidR="00B03D16" w:rsidRPr="00BC54D1">
        <w:rPr>
          <w:rFonts w:ascii="Times New Roman" w:hAnsi="Times New Roman"/>
        </w:rPr>
        <w:t>.</w:t>
      </w:r>
      <w:r w:rsidRPr="00BC54D1">
        <w:rPr>
          <w:rFonts w:ascii="Times New Roman" w:hAnsi="Times New Roman"/>
        </w:rPr>
        <w:t>s</w:t>
      </w:r>
      <w:proofErr w:type="spellEnd"/>
      <w:proofErr w:type="gramEnd"/>
      <w:r w:rsidRPr="00BC54D1">
        <w:rPr>
          <w:rFonts w:ascii="Times New Roman" w:hAnsi="Times New Roman"/>
        </w:rPr>
        <w:t xml:space="preserve">). </w:t>
      </w:r>
      <w:r w:rsidRPr="00BC54D1">
        <w:rPr>
          <w:rFonts w:ascii="Times New Roman" w:hAnsi="Times New Roman"/>
          <w:i/>
        </w:rPr>
        <w:t>Handbook of the Economics of Innovation, Volume 1</w:t>
      </w:r>
      <w:r w:rsidRPr="00BC54D1">
        <w:rPr>
          <w:rFonts w:ascii="Times New Roman" w:hAnsi="Times New Roman"/>
        </w:rPr>
        <w:t>, North-Holland, Amsterdam.</w:t>
      </w:r>
    </w:p>
    <w:p w14:paraId="0A11EFA1" w14:textId="01C77E3D" w:rsidR="0057488B" w:rsidRDefault="0057488B" w:rsidP="003D0338">
      <w:pPr>
        <w:spacing w:before="100" w:beforeAutospacing="1" w:after="100" w:afterAutospacing="1"/>
        <w:jc w:val="both"/>
        <w:rPr>
          <w:rFonts w:ascii="Times New Roman" w:hAnsi="Times New Roman"/>
        </w:rPr>
      </w:pPr>
      <w:r w:rsidRPr="0057488B">
        <w:rPr>
          <w:rFonts w:ascii="Times New Roman" w:hAnsi="Times New Roman"/>
        </w:rPr>
        <w:t xml:space="preserve">He, Z. and </w:t>
      </w:r>
      <w:proofErr w:type="spellStart"/>
      <w:r w:rsidRPr="0057488B">
        <w:rPr>
          <w:rFonts w:ascii="Times New Roman" w:hAnsi="Times New Roman"/>
        </w:rPr>
        <w:t>Wintoki</w:t>
      </w:r>
      <w:proofErr w:type="spellEnd"/>
      <w:r w:rsidRPr="0057488B">
        <w:rPr>
          <w:rFonts w:ascii="Times New Roman" w:hAnsi="Times New Roman"/>
        </w:rPr>
        <w:t>, M.B., 2016</w:t>
      </w:r>
      <w:r>
        <w:rPr>
          <w:rFonts w:ascii="Times New Roman" w:hAnsi="Times New Roman"/>
        </w:rPr>
        <w:t>,</w:t>
      </w:r>
      <w:r w:rsidRPr="0057488B">
        <w:rPr>
          <w:rFonts w:ascii="Times New Roman" w:hAnsi="Times New Roman"/>
        </w:rPr>
        <w:t xml:space="preserve"> </w:t>
      </w:r>
      <w:r>
        <w:rPr>
          <w:rFonts w:ascii="Times New Roman" w:hAnsi="Times New Roman"/>
        </w:rPr>
        <w:t>‘</w:t>
      </w:r>
      <w:r w:rsidRPr="0057488B">
        <w:rPr>
          <w:rFonts w:ascii="Times New Roman" w:hAnsi="Times New Roman"/>
        </w:rPr>
        <w:t>The cost of innovation: R&amp;D and high cash holdings in US firms</w:t>
      </w:r>
      <w:r>
        <w:rPr>
          <w:rFonts w:ascii="Times New Roman" w:hAnsi="Times New Roman"/>
        </w:rPr>
        <w:t>’,</w:t>
      </w:r>
      <w:r w:rsidRPr="0057488B">
        <w:rPr>
          <w:rFonts w:ascii="Times New Roman" w:hAnsi="Times New Roman"/>
        </w:rPr>
        <w:t> </w:t>
      </w:r>
      <w:r w:rsidRPr="0057488B">
        <w:rPr>
          <w:rFonts w:ascii="Times New Roman" w:hAnsi="Times New Roman"/>
          <w:i/>
          <w:iCs/>
        </w:rPr>
        <w:t>Journal of Corporate Finance</w:t>
      </w:r>
      <w:r w:rsidRPr="0057488B">
        <w:rPr>
          <w:rFonts w:ascii="Times New Roman" w:hAnsi="Times New Roman"/>
        </w:rPr>
        <w:t>, </w:t>
      </w:r>
      <w:r>
        <w:rPr>
          <w:rFonts w:ascii="Times New Roman" w:hAnsi="Times New Roman"/>
        </w:rPr>
        <w:t xml:space="preserve">Vol. </w:t>
      </w:r>
      <w:r w:rsidRPr="0057488B">
        <w:rPr>
          <w:rFonts w:ascii="Times New Roman" w:hAnsi="Times New Roman"/>
        </w:rPr>
        <w:t>41, pp.280-303.</w:t>
      </w:r>
    </w:p>
    <w:p w14:paraId="2C04A22F" w14:textId="39082F78" w:rsidR="003D0338" w:rsidRPr="00BC54D1" w:rsidRDefault="003D0338" w:rsidP="003D0338">
      <w:pPr>
        <w:spacing w:before="100" w:beforeAutospacing="1" w:after="100" w:afterAutospacing="1"/>
        <w:jc w:val="both"/>
        <w:rPr>
          <w:rFonts w:ascii="Times New Roman" w:hAnsi="Times New Roman"/>
        </w:rPr>
      </w:pPr>
      <w:r w:rsidRPr="00BC54D1">
        <w:rPr>
          <w:rFonts w:ascii="Times New Roman" w:hAnsi="Times New Roman"/>
        </w:rPr>
        <w:t xml:space="preserve">Holmstrom, B. </w:t>
      </w:r>
      <w:r w:rsidR="00F11854" w:rsidRPr="00BC54D1">
        <w:rPr>
          <w:rFonts w:ascii="Times New Roman" w:hAnsi="Times New Roman"/>
        </w:rPr>
        <w:t>(</w:t>
      </w:r>
      <w:r w:rsidRPr="00BC54D1">
        <w:rPr>
          <w:rFonts w:ascii="Times New Roman" w:hAnsi="Times New Roman"/>
        </w:rPr>
        <w:t>1989</w:t>
      </w:r>
      <w:r w:rsidR="00F11854" w:rsidRPr="00BC54D1">
        <w:rPr>
          <w:rFonts w:ascii="Times New Roman" w:hAnsi="Times New Roman"/>
        </w:rPr>
        <w:t>)</w:t>
      </w:r>
      <w:r w:rsidR="00640F81" w:rsidRPr="00BC54D1">
        <w:rPr>
          <w:rFonts w:ascii="Times New Roman" w:hAnsi="Times New Roman"/>
        </w:rPr>
        <w:t>,</w:t>
      </w:r>
      <w:r w:rsidRPr="00BC54D1">
        <w:rPr>
          <w:rFonts w:ascii="Times New Roman" w:hAnsi="Times New Roman"/>
        </w:rPr>
        <w:t xml:space="preserve"> </w:t>
      </w:r>
      <w:r w:rsidR="00640F81" w:rsidRPr="00BC54D1">
        <w:rPr>
          <w:rFonts w:ascii="Times New Roman" w:hAnsi="Times New Roman"/>
        </w:rPr>
        <w:t>‘</w:t>
      </w:r>
      <w:r w:rsidRPr="00BC54D1">
        <w:rPr>
          <w:rFonts w:ascii="Times New Roman" w:hAnsi="Times New Roman"/>
        </w:rPr>
        <w:t>Agency costs and innovation</w:t>
      </w:r>
      <w:r w:rsidR="00640F81"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 xml:space="preserve">Journal of Economic </w:t>
      </w:r>
      <w:proofErr w:type="spellStart"/>
      <w:r w:rsidRPr="00BC54D1">
        <w:rPr>
          <w:rFonts w:ascii="Times New Roman" w:hAnsi="Times New Roman"/>
          <w:i/>
          <w:iCs/>
        </w:rPr>
        <w:t>Behavior</w:t>
      </w:r>
      <w:proofErr w:type="spellEnd"/>
      <w:r w:rsidRPr="00BC54D1">
        <w:rPr>
          <w:rFonts w:ascii="Times New Roman" w:hAnsi="Times New Roman"/>
          <w:i/>
          <w:iCs/>
        </w:rPr>
        <w:t xml:space="preserve"> and Organization</w:t>
      </w:r>
      <w:r w:rsidR="001371A2" w:rsidRPr="00BC54D1">
        <w:rPr>
          <w:rFonts w:ascii="Times New Roman" w:hAnsi="Times New Roman"/>
          <w:iCs/>
        </w:rPr>
        <w:t>,</w:t>
      </w:r>
      <w:r w:rsidRPr="00BC54D1">
        <w:rPr>
          <w:rFonts w:ascii="Times New Roman" w:hAnsi="Times New Roman"/>
        </w:rPr>
        <w:t xml:space="preserve"> </w:t>
      </w:r>
      <w:r w:rsidR="00640F81" w:rsidRPr="00BC54D1">
        <w:rPr>
          <w:rFonts w:ascii="Times New Roman" w:hAnsi="Times New Roman"/>
        </w:rPr>
        <w:t xml:space="preserve">Vol. </w:t>
      </w:r>
      <w:r w:rsidRPr="00BC54D1">
        <w:rPr>
          <w:rFonts w:ascii="Times New Roman" w:hAnsi="Times New Roman"/>
        </w:rPr>
        <w:t xml:space="preserve">12, </w:t>
      </w:r>
      <w:r w:rsidR="00640F81" w:rsidRPr="00BC54D1">
        <w:rPr>
          <w:rFonts w:ascii="Times New Roman" w:hAnsi="Times New Roman"/>
        </w:rPr>
        <w:t xml:space="preserve">pp. </w:t>
      </w:r>
      <w:r w:rsidRPr="00BC54D1">
        <w:rPr>
          <w:rFonts w:ascii="Times New Roman" w:hAnsi="Times New Roman"/>
        </w:rPr>
        <w:t>305</w:t>
      </w:r>
      <w:r w:rsidR="001371A2" w:rsidRPr="00BC54D1">
        <w:rPr>
          <w:rFonts w:ascii="Times New Roman" w:hAnsi="Times New Roman"/>
        </w:rPr>
        <w:t>-</w:t>
      </w:r>
      <w:r w:rsidRPr="00BC54D1">
        <w:rPr>
          <w:rFonts w:ascii="Times New Roman" w:hAnsi="Times New Roman"/>
        </w:rPr>
        <w:t xml:space="preserve">327. </w:t>
      </w:r>
    </w:p>
    <w:p w14:paraId="231937DB" w14:textId="324C8760" w:rsidR="005D5225" w:rsidRPr="00BC54D1" w:rsidRDefault="005D5225" w:rsidP="00E4569B">
      <w:pPr>
        <w:spacing w:after="160" w:line="259" w:lineRule="auto"/>
        <w:jc w:val="both"/>
        <w:rPr>
          <w:rFonts w:ascii="Times New Roman" w:eastAsiaTheme="minorHAnsi" w:hAnsi="Times New Roman"/>
          <w:shd w:val="clear" w:color="auto" w:fill="FFFFFF"/>
          <w:lang w:eastAsia="en-US"/>
        </w:rPr>
      </w:pPr>
      <w:r w:rsidRPr="00BC54D1">
        <w:rPr>
          <w:rFonts w:ascii="Times New Roman" w:eastAsiaTheme="minorHAnsi" w:hAnsi="Times New Roman"/>
          <w:shd w:val="clear" w:color="auto" w:fill="FFFFFF"/>
          <w:lang w:eastAsia="en-US"/>
        </w:rPr>
        <w:t xml:space="preserve">Hung, K. P., </w:t>
      </w:r>
      <w:r w:rsidR="00DF557B" w:rsidRPr="00BC54D1">
        <w:rPr>
          <w:rFonts w:ascii="Times New Roman" w:eastAsiaTheme="minorHAnsi" w:hAnsi="Times New Roman"/>
          <w:shd w:val="clear" w:color="auto" w:fill="FFFFFF"/>
          <w:lang w:eastAsia="en-US"/>
        </w:rPr>
        <w:t>and</w:t>
      </w:r>
      <w:r w:rsidRPr="00BC54D1">
        <w:rPr>
          <w:rFonts w:ascii="Times New Roman" w:eastAsiaTheme="minorHAnsi" w:hAnsi="Times New Roman"/>
          <w:shd w:val="clear" w:color="auto" w:fill="FFFFFF"/>
          <w:lang w:eastAsia="en-US"/>
        </w:rPr>
        <w:t xml:space="preserve"> Chou, C. (2013)</w:t>
      </w:r>
      <w:r w:rsidR="00DF557B"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 xml:space="preserve"> </w:t>
      </w:r>
      <w:r w:rsidR="00DF557B"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 xml:space="preserve">The impact of open innovation on firm performance: </w:t>
      </w:r>
      <w:r w:rsidR="00A10C2E" w:rsidRPr="00BC54D1">
        <w:rPr>
          <w:rFonts w:ascii="Times New Roman" w:eastAsiaTheme="minorHAnsi" w:hAnsi="Times New Roman"/>
          <w:shd w:val="clear" w:color="auto" w:fill="FFFFFF"/>
          <w:lang w:eastAsia="en-US"/>
        </w:rPr>
        <w:t>t</w:t>
      </w:r>
      <w:r w:rsidRPr="00BC54D1">
        <w:rPr>
          <w:rFonts w:ascii="Times New Roman" w:eastAsiaTheme="minorHAnsi" w:hAnsi="Times New Roman"/>
          <w:shd w:val="clear" w:color="auto" w:fill="FFFFFF"/>
          <w:lang w:eastAsia="en-US"/>
        </w:rPr>
        <w:t>he moderating effects of internal R&amp;D and environmental turbulence</w:t>
      </w:r>
      <w:r w:rsidR="00DF557B"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 </w:t>
      </w:r>
      <w:proofErr w:type="spellStart"/>
      <w:r w:rsidRPr="00BC54D1">
        <w:rPr>
          <w:rFonts w:ascii="Times New Roman" w:eastAsiaTheme="minorHAnsi" w:hAnsi="Times New Roman"/>
          <w:i/>
          <w:iCs/>
          <w:shd w:val="clear" w:color="auto" w:fill="FFFFFF"/>
          <w:lang w:eastAsia="en-US"/>
        </w:rPr>
        <w:t>Technovation</w:t>
      </w:r>
      <w:proofErr w:type="spellEnd"/>
      <w:r w:rsidRPr="00BC54D1">
        <w:rPr>
          <w:rFonts w:ascii="Times New Roman" w:eastAsiaTheme="minorHAnsi" w:hAnsi="Times New Roman"/>
          <w:shd w:val="clear" w:color="auto" w:fill="FFFFFF"/>
          <w:lang w:eastAsia="en-US"/>
        </w:rPr>
        <w:t>, </w:t>
      </w:r>
      <w:r w:rsidR="00DF557B" w:rsidRPr="00BC54D1">
        <w:rPr>
          <w:rFonts w:ascii="Times New Roman" w:eastAsiaTheme="minorHAnsi" w:hAnsi="Times New Roman"/>
          <w:shd w:val="clear" w:color="auto" w:fill="FFFFFF"/>
          <w:lang w:eastAsia="en-US"/>
        </w:rPr>
        <w:t xml:space="preserve">Vol. </w:t>
      </w:r>
      <w:r w:rsidRPr="00BC54D1">
        <w:rPr>
          <w:rFonts w:ascii="Times New Roman" w:eastAsiaTheme="minorHAnsi" w:hAnsi="Times New Roman"/>
          <w:shd w:val="clear" w:color="auto" w:fill="FFFFFF"/>
          <w:lang w:eastAsia="en-US"/>
        </w:rPr>
        <w:t>33</w:t>
      </w:r>
      <w:r w:rsidR="00DF557B" w:rsidRPr="00BC54D1">
        <w:rPr>
          <w:rFonts w:ascii="Times New Roman" w:eastAsiaTheme="minorHAnsi" w:hAnsi="Times New Roman"/>
          <w:shd w:val="clear" w:color="auto" w:fill="FFFFFF"/>
          <w:lang w:eastAsia="en-US"/>
        </w:rPr>
        <w:t xml:space="preserve"> No. </w:t>
      </w:r>
      <w:r w:rsidRPr="00BC54D1">
        <w:rPr>
          <w:rFonts w:ascii="Times New Roman" w:eastAsiaTheme="minorHAnsi" w:hAnsi="Times New Roman"/>
          <w:shd w:val="clear" w:color="auto" w:fill="FFFFFF"/>
          <w:lang w:eastAsia="en-US"/>
        </w:rPr>
        <w:t xml:space="preserve">10-11, </w:t>
      </w:r>
      <w:r w:rsidR="00DF557B" w:rsidRPr="00BC54D1">
        <w:rPr>
          <w:rFonts w:ascii="Times New Roman" w:eastAsiaTheme="minorHAnsi" w:hAnsi="Times New Roman"/>
          <w:shd w:val="clear" w:color="auto" w:fill="FFFFFF"/>
          <w:lang w:eastAsia="en-US"/>
        </w:rPr>
        <w:t xml:space="preserve">pp. </w:t>
      </w:r>
      <w:r w:rsidRPr="00BC54D1">
        <w:rPr>
          <w:rFonts w:ascii="Times New Roman" w:eastAsiaTheme="minorHAnsi" w:hAnsi="Times New Roman"/>
          <w:shd w:val="clear" w:color="auto" w:fill="FFFFFF"/>
          <w:lang w:eastAsia="en-US"/>
        </w:rPr>
        <w:t>368-380.</w:t>
      </w:r>
    </w:p>
    <w:p w14:paraId="47B4E42F" w14:textId="33014852" w:rsidR="00E4569B" w:rsidRPr="00BC54D1" w:rsidRDefault="00E4569B" w:rsidP="00E4569B">
      <w:pPr>
        <w:spacing w:after="160" w:line="259" w:lineRule="auto"/>
        <w:jc w:val="both"/>
        <w:rPr>
          <w:rFonts w:ascii="Times New Roman" w:eastAsiaTheme="minorHAnsi" w:hAnsi="Times New Roman"/>
          <w:shd w:val="clear" w:color="auto" w:fill="FFFFFF"/>
          <w:lang w:eastAsia="en-US"/>
        </w:rPr>
      </w:pPr>
      <w:r w:rsidRPr="00BC54D1">
        <w:rPr>
          <w:rFonts w:ascii="Times New Roman" w:eastAsiaTheme="minorHAnsi" w:hAnsi="Times New Roman"/>
          <w:shd w:val="clear" w:color="auto" w:fill="FFFFFF"/>
          <w:lang w:eastAsia="en-US"/>
        </w:rPr>
        <w:t xml:space="preserve">Ishibashi, I., </w:t>
      </w:r>
      <w:r w:rsidR="00691732" w:rsidRPr="00BC54D1">
        <w:rPr>
          <w:rFonts w:ascii="Times New Roman" w:eastAsiaTheme="minorHAnsi" w:hAnsi="Times New Roman"/>
          <w:shd w:val="clear" w:color="auto" w:fill="FFFFFF"/>
          <w:lang w:eastAsia="en-US"/>
        </w:rPr>
        <w:t>and</w:t>
      </w:r>
      <w:r w:rsidRPr="00BC54D1">
        <w:rPr>
          <w:rFonts w:ascii="Times New Roman" w:eastAsiaTheme="minorHAnsi" w:hAnsi="Times New Roman"/>
          <w:shd w:val="clear" w:color="auto" w:fill="FFFFFF"/>
          <w:lang w:eastAsia="en-US"/>
        </w:rPr>
        <w:t xml:space="preserve"> Matsumura, T. (2006)</w:t>
      </w:r>
      <w:r w:rsidR="00691732"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 xml:space="preserve"> </w:t>
      </w:r>
      <w:r w:rsidR="00691732"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R&amp;D competition between public and private sectors</w:t>
      </w:r>
      <w:r w:rsidR="001371A2" w:rsidRPr="00BC54D1">
        <w:rPr>
          <w:rFonts w:ascii="Times New Roman" w:eastAsiaTheme="minorHAnsi" w:hAnsi="Times New Roman"/>
          <w:shd w:val="clear" w:color="auto" w:fill="FFFFFF"/>
          <w:lang w:eastAsia="en-US"/>
        </w:rPr>
        <w:t>’,</w:t>
      </w:r>
      <w:r w:rsidRPr="00BC54D1">
        <w:rPr>
          <w:rFonts w:ascii="Times New Roman" w:eastAsiaTheme="minorHAnsi" w:hAnsi="Times New Roman"/>
          <w:shd w:val="clear" w:color="auto" w:fill="FFFFFF"/>
          <w:lang w:eastAsia="en-US"/>
        </w:rPr>
        <w:t> </w:t>
      </w:r>
      <w:r w:rsidRPr="00BC54D1">
        <w:rPr>
          <w:rFonts w:ascii="Times New Roman" w:eastAsiaTheme="minorHAnsi" w:hAnsi="Times New Roman"/>
          <w:i/>
          <w:iCs/>
          <w:shd w:val="clear" w:color="auto" w:fill="FFFFFF"/>
          <w:lang w:eastAsia="en-US"/>
        </w:rPr>
        <w:t>European Economic Review</w:t>
      </w:r>
      <w:r w:rsidRPr="00BC54D1">
        <w:rPr>
          <w:rFonts w:ascii="Times New Roman" w:eastAsiaTheme="minorHAnsi" w:hAnsi="Times New Roman"/>
          <w:shd w:val="clear" w:color="auto" w:fill="FFFFFF"/>
          <w:lang w:eastAsia="en-US"/>
        </w:rPr>
        <w:t>, </w:t>
      </w:r>
      <w:r w:rsidR="00691732" w:rsidRPr="00BC54D1">
        <w:rPr>
          <w:rFonts w:ascii="Times New Roman" w:eastAsiaTheme="minorHAnsi" w:hAnsi="Times New Roman"/>
          <w:shd w:val="clear" w:color="auto" w:fill="FFFFFF"/>
          <w:lang w:eastAsia="en-US"/>
        </w:rPr>
        <w:t xml:space="preserve">Vol. </w:t>
      </w:r>
      <w:r w:rsidRPr="00BC54D1">
        <w:rPr>
          <w:rFonts w:ascii="Times New Roman" w:eastAsiaTheme="minorHAnsi" w:hAnsi="Times New Roman"/>
          <w:shd w:val="clear" w:color="auto" w:fill="FFFFFF"/>
          <w:lang w:eastAsia="en-US"/>
        </w:rPr>
        <w:t>50</w:t>
      </w:r>
      <w:r w:rsidR="00691732" w:rsidRPr="00BC54D1">
        <w:rPr>
          <w:rFonts w:ascii="Times New Roman" w:eastAsiaTheme="minorHAnsi" w:hAnsi="Times New Roman"/>
          <w:shd w:val="clear" w:color="auto" w:fill="FFFFFF"/>
          <w:lang w:eastAsia="en-US"/>
        </w:rPr>
        <w:t xml:space="preserve"> No.</w:t>
      </w:r>
      <w:r w:rsidRPr="00BC54D1">
        <w:rPr>
          <w:rFonts w:ascii="Times New Roman" w:eastAsiaTheme="minorHAnsi" w:hAnsi="Times New Roman"/>
          <w:shd w:val="clear" w:color="auto" w:fill="FFFFFF"/>
          <w:lang w:eastAsia="en-US"/>
        </w:rPr>
        <w:t xml:space="preserve">6, </w:t>
      </w:r>
      <w:r w:rsidR="00691732" w:rsidRPr="00BC54D1">
        <w:rPr>
          <w:rFonts w:ascii="Times New Roman" w:eastAsiaTheme="minorHAnsi" w:hAnsi="Times New Roman"/>
          <w:shd w:val="clear" w:color="auto" w:fill="FFFFFF"/>
          <w:lang w:eastAsia="en-US"/>
        </w:rPr>
        <w:t xml:space="preserve">pp. </w:t>
      </w:r>
      <w:r w:rsidRPr="00BC54D1">
        <w:rPr>
          <w:rFonts w:ascii="Times New Roman" w:eastAsiaTheme="minorHAnsi" w:hAnsi="Times New Roman"/>
          <w:shd w:val="clear" w:color="auto" w:fill="FFFFFF"/>
          <w:lang w:eastAsia="en-US"/>
        </w:rPr>
        <w:t>1347-1366.</w:t>
      </w:r>
    </w:p>
    <w:p w14:paraId="40B1335B" w14:textId="63ED194E" w:rsidR="008D5988" w:rsidRPr="00BC54D1" w:rsidRDefault="008D5988" w:rsidP="008D5988">
      <w:pPr>
        <w:spacing w:before="100" w:beforeAutospacing="1" w:after="100" w:afterAutospacing="1"/>
        <w:jc w:val="both"/>
        <w:rPr>
          <w:rFonts w:ascii="Times New Roman" w:hAnsi="Times New Roman"/>
        </w:rPr>
      </w:pPr>
      <w:r w:rsidRPr="00BC54D1">
        <w:rPr>
          <w:rFonts w:ascii="Times New Roman" w:hAnsi="Times New Roman"/>
        </w:rPr>
        <w:t xml:space="preserve">Klette, T.J., Moen, J. </w:t>
      </w:r>
      <w:r w:rsidR="001A1FF3" w:rsidRPr="00BC54D1">
        <w:rPr>
          <w:rFonts w:ascii="Times New Roman" w:hAnsi="Times New Roman"/>
        </w:rPr>
        <w:t>and</w:t>
      </w:r>
      <w:r w:rsidRPr="00BC54D1">
        <w:rPr>
          <w:rFonts w:ascii="Times New Roman" w:hAnsi="Times New Roman"/>
        </w:rPr>
        <w:t xml:space="preserve"> </w:t>
      </w:r>
      <w:proofErr w:type="spellStart"/>
      <w:r w:rsidRPr="00BC54D1">
        <w:rPr>
          <w:rFonts w:ascii="Times New Roman" w:hAnsi="Times New Roman"/>
        </w:rPr>
        <w:t>Griliches</w:t>
      </w:r>
      <w:proofErr w:type="spellEnd"/>
      <w:r w:rsidRPr="00BC54D1">
        <w:rPr>
          <w:rFonts w:ascii="Times New Roman" w:hAnsi="Times New Roman"/>
        </w:rPr>
        <w:t>, Z. (2000)</w:t>
      </w:r>
      <w:r w:rsidR="001A1FF3" w:rsidRPr="00BC54D1">
        <w:rPr>
          <w:rFonts w:ascii="Times New Roman" w:hAnsi="Times New Roman"/>
        </w:rPr>
        <w:t>,</w:t>
      </w:r>
      <w:r w:rsidRPr="00BC54D1">
        <w:rPr>
          <w:rFonts w:ascii="Times New Roman" w:hAnsi="Times New Roman"/>
        </w:rPr>
        <w:t xml:space="preserve"> </w:t>
      </w:r>
      <w:r w:rsidR="001A1FF3" w:rsidRPr="00BC54D1">
        <w:rPr>
          <w:rFonts w:ascii="Times New Roman" w:hAnsi="Times New Roman"/>
        </w:rPr>
        <w:t>‘</w:t>
      </w:r>
      <w:r w:rsidRPr="00BC54D1">
        <w:rPr>
          <w:rFonts w:ascii="Times New Roman" w:hAnsi="Times New Roman"/>
        </w:rPr>
        <w:t>Do subsidies to commercial R&amp;D reduce market failure? Micro econometric evaluation studies</w:t>
      </w:r>
      <w:r w:rsidR="001A1FF3"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Research Policy</w:t>
      </w:r>
      <w:r w:rsidR="001371A2" w:rsidRPr="00BC54D1">
        <w:rPr>
          <w:rFonts w:ascii="Times New Roman" w:hAnsi="Times New Roman"/>
          <w:iCs/>
        </w:rPr>
        <w:t>,</w:t>
      </w:r>
      <w:r w:rsidRPr="00BC54D1">
        <w:rPr>
          <w:rFonts w:ascii="Times New Roman" w:hAnsi="Times New Roman"/>
        </w:rPr>
        <w:t xml:space="preserve"> </w:t>
      </w:r>
      <w:r w:rsidR="001A1FF3" w:rsidRPr="00BC54D1">
        <w:rPr>
          <w:rFonts w:ascii="Times New Roman" w:hAnsi="Times New Roman"/>
        </w:rPr>
        <w:t xml:space="preserve">Vol. </w:t>
      </w:r>
      <w:r w:rsidRPr="00BC54D1">
        <w:rPr>
          <w:rFonts w:ascii="Times New Roman" w:hAnsi="Times New Roman"/>
        </w:rPr>
        <w:t xml:space="preserve">29, </w:t>
      </w:r>
      <w:r w:rsidR="001A1FF3" w:rsidRPr="00BC54D1">
        <w:rPr>
          <w:rFonts w:ascii="Times New Roman" w:hAnsi="Times New Roman"/>
        </w:rPr>
        <w:t xml:space="preserve">pp. </w:t>
      </w:r>
      <w:r w:rsidRPr="00BC54D1">
        <w:rPr>
          <w:rFonts w:ascii="Times New Roman" w:hAnsi="Times New Roman"/>
        </w:rPr>
        <w:t>471</w:t>
      </w:r>
      <w:r w:rsidR="001371A2" w:rsidRPr="00BC54D1">
        <w:rPr>
          <w:rFonts w:ascii="Times New Roman" w:hAnsi="Times New Roman"/>
        </w:rPr>
        <w:t>-</w:t>
      </w:r>
      <w:r w:rsidRPr="00BC54D1">
        <w:rPr>
          <w:rFonts w:ascii="Times New Roman" w:hAnsi="Times New Roman"/>
        </w:rPr>
        <w:t xml:space="preserve">495. </w:t>
      </w:r>
    </w:p>
    <w:p w14:paraId="07D5267B" w14:textId="436FC0F8" w:rsidR="00E60D4C" w:rsidRPr="00BC54D1" w:rsidRDefault="00E60D4C" w:rsidP="008D5988">
      <w:pPr>
        <w:spacing w:before="100" w:beforeAutospacing="1" w:after="100" w:afterAutospacing="1"/>
        <w:jc w:val="both"/>
        <w:rPr>
          <w:rFonts w:ascii="Times New Roman" w:hAnsi="Times New Roman"/>
        </w:rPr>
      </w:pPr>
      <w:r w:rsidRPr="00BC54D1">
        <w:rPr>
          <w:rFonts w:ascii="Times New Roman" w:hAnsi="Times New Roman"/>
        </w:rPr>
        <w:t>Lee, K.H.</w:t>
      </w:r>
      <w:r w:rsidR="00FC74A8" w:rsidRPr="00BC54D1">
        <w:rPr>
          <w:rFonts w:ascii="Times New Roman" w:hAnsi="Times New Roman"/>
        </w:rPr>
        <w:t xml:space="preserve"> and</w:t>
      </w:r>
      <w:r w:rsidRPr="00BC54D1">
        <w:rPr>
          <w:rFonts w:ascii="Times New Roman" w:hAnsi="Times New Roman"/>
        </w:rPr>
        <w:t xml:space="preserve"> Min, B. (2015). </w:t>
      </w:r>
      <w:r w:rsidR="001371A2" w:rsidRPr="00BC54D1">
        <w:rPr>
          <w:rFonts w:ascii="Times New Roman" w:hAnsi="Times New Roman"/>
        </w:rPr>
        <w:t>‘</w:t>
      </w:r>
      <w:r w:rsidRPr="00BC54D1">
        <w:rPr>
          <w:rFonts w:ascii="Times New Roman" w:hAnsi="Times New Roman"/>
        </w:rPr>
        <w:t>Green R&amp;D for eco-innovation and its impact on carbon emissions and firm performance</w:t>
      </w:r>
      <w:r w:rsidR="001371A2" w:rsidRPr="00BC54D1">
        <w:rPr>
          <w:rFonts w:ascii="Times New Roman" w:hAnsi="Times New Roman"/>
        </w:rPr>
        <w:t>’,</w:t>
      </w:r>
      <w:r w:rsidRPr="00BC54D1">
        <w:rPr>
          <w:rFonts w:ascii="Times New Roman" w:hAnsi="Times New Roman"/>
        </w:rPr>
        <w:t> </w:t>
      </w:r>
      <w:r w:rsidRPr="00BC54D1">
        <w:rPr>
          <w:rFonts w:ascii="Times New Roman" w:hAnsi="Times New Roman"/>
          <w:i/>
          <w:iCs/>
        </w:rPr>
        <w:t>Journal of Cleaner Production</w:t>
      </w:r>
      <w:r w:rsidRPr="00BC54D1">
        <w:rPr>
          <w:rFonts w:ascii="Times New Roman" w:hAnsi="Times New Roman"/>
        </w:rPr>
        <w:t>, </w:t>
      </w:r>
      <w:r w:rsidR="00FC74A8" w:rsidRPr="00BC54D1">
        <w:rPr>
          <w:rFonts w:ascii="Times New Roman" w:hAnsi="Times New Roman"/>
        </w:rPr>
        <w:t xml:space="preserve">Vol. </w:t>
      </w:r>
      <w:r w:rsidRPr="00BC54D1">
        <w:rPr>
          <w:rFonts w:ascii="Times New Roman" w:hAnsi="Times New Roman"/>
        </w:rPr>
        <w:t xml:space="preserve">108, </w:t>
      </w:r>
      <w:r w:rsidR="00FC74A8" w:rsidRPr="00BC54D1">
        <w:rPr>
          <w:rFonts w:ascii="Times New Roman" w:hAnsi="Times New Roman"/>
        </w:rPr>
        <w:t xml:space="preserve">pp. </w:t>
      </w:r>
      <w:r w:rsidRPr="00BC54D1">
        <w:rPr>
          <w:rFonts w:ascii="Times New Roman" w:hAnsi="Times New Roman"/>
        </w:rPr>
        <w:t>534-542.</w:t>
      </w:r>
    </w:p>
    <w:p w14:paraId="4843D2A4" w14:textId="54669F6A" w:rsidR="00E03B1A" w:rsidRPr="00BC54D1" w:rsidRDefault="00E03B1A" w:rsidP="008D5988">
      <w:pPr>
        <w:spacing w:before="100" w:beforeAutospacing="1" w:after="100" w:afterAutospacing="1"/>
        <w:jc w:val="both"/>
        <w:rPr>
          <w:rFonts w:ascii="Times New Roman" w:hAnsi="Times New Roman"/>
        </w:rPr>
      </w:pPr>
      <w:r w:rsidRPr="00BC54D1">
        <w:rPr>
          <w:rFonts w:ascii="Times New Roman" w:hAnsi="Times New Roman"/>
        </w:rPr>
        <w:lastRenderedPageBreak/>
        <w:t xml:space="preserve">Leung, T.Y. </w:t>
      </w:r>
      <w:r w:rsidR="00553AC0" w:rsidRPr="00BC54D1">
        <w:rPr>
          <w:rFonts w:ascii="Times New Roman" w:hAnsi="Times New Roman"/>
        </w:rPr>
        <w:t>and</w:t>
      </w:r>
      <w:r w:rsidRPr="00BC54D1">
        <w:rPr>
          <w:rFonts w:ascii="Times New Roman" w:hAnsi="Times New Roman"/>
        </w:rPr>
        <w:t xml:space="preserve"> Sharma, P. (2021). </w:t>
      </w:r>
      <w:r w:rsidR="001371A2" w:rsidRPr="00BC54D1">
        <w:rPr>
          <w:rFonts w:ascii="Times New Roman" w:hAnsi="Times New Roman"/>
        </w:rPr>
        <w:t>‘</w:t>
      </w:r>
      <w:r w:rsidRPr="00BC54D1">
        <w:rPr>
          <w:rFonts w:ascii="Times New Roman" w:hAnsi="Times New Roman"/>
        </w:rPr>
        <w:t>Differences in the impact of R&amp;D intensity and R&amp;D internationalization on firm performance</w:t>
      </w:r>
      <w:r w:rsidR="001371A2" w:rsidRPr="00BC54D1">
        <w:rPr>
          <w:rFonts w:ascii="Times New Roman" w:hAnsi="Times New Roman"/>
        </w:rPr>
        <w:t xml:space="preserve"> – m</w:t>
      </w:r>
      <w:r w:rsidRPr="00BC54D1">
        <w:rPr>
          <w:rFonts w:ascii="Times New Roman" w:hAnsi="Times New Roman"/>
        </w:rPr>
        <w:t>ediating role of innovation performance</w:t>
      </w:r>
      <w:r w:rsidR="001371A2" w:rsidRPr="00BC54D1">
        <w:rPr>
          <w:rFonts w:ascii="Times New Roman" w:hAnsi="Times New Roman"/>
        </w:rPr>
        <w:t>’,</w:t>
      </w:r>
      <w:r w:rsidRPr="00BC54D1">
        <w:rPr>
          <w:rFonts w:ascii="Times New Roman" w:hAnsi="Times New Roman"/>
        </w:rPr>
        <w:t> </w:t>
      </w:r>
      <w:r w:rsidRPr="00BC54D1">
        <w:rPr>
          <w:rFonts w:ascii="Times New Roman" w:hAnsi="Times New Roman"/>
          <w:i/>
          <w:iCs/>
        </w:rPr>
        <w:t>Journal of Business Research</w:t>
      </w:r>
      <w:r w:rsidRPr="00BC54D1">
        <w:rPr>
          <w:rFonts w:ascii="Times New Roman" w:hAnsi="Times New Roman"/>
        </w:rPr>
        <w:t>, </w:t>
      </w:r>
      <w:r w:rsidR="001371A2" w:rsidRPr="00BC54D1">
        <w:rPr>
          <w:rFonts w:ascii="Times New Roman" w:hAnsi="Times New Roman"/>
        </w:rPr>
        <w:t xml:space="preserve">Vol. </w:t>
      </w:r>
      <w:r w:rsidRPr="00BC54D1">
        <w:rPr>
          <w:rFonts w:ascii="Times New Roman" w:hAnsi="Times New Roman"/>
          <w:iCs/>
        </w:rPr>
        <w:t>131</w:t>
      </w:r>
      <w:r w:rsidRPr="00BC54D1">
        <w:rPr>
          <w:rFonts w:ascii="Times New Roman" w:hAnsi="Times New Roman"/>
        </w:rPr>
        <w:t xml:space="preserve">, </w:t>
      </w:r>
      <w:r w:rsidR="001371A2" w:rsidRPr="00BC54D1">
        <w:rPr>
          <w:rFonts w:ascii="Times New Roman" w:hAnsi="Times New Roman"/>
        </w:rPr>
        <w:t xml:space="preserve">pp. </w:t>
      </w:r>
      <w:r w:rsidRPr="00BC54D1">
        <w:rPr>
          <w:rFonts w:ascii="Times New Roman" w:hAnsi="Times New Roman"/>
        </w:rPr>
        <w:t>81-91.</w:t>
      </w:r>
    </w:p>
    <w:p w14:paraId="5DBF4A48" w14:textId="2A13E1C9" w:rsidR="00BC1B21" w:rsidRPr="00BC54D1" w:rsidRDefault="00BC1B21" w:rsidP="008D5988">
      <w:pPr>
        <w:spacing w:before="100" w:beforeAutospacing="1" w:after="100" w:afterAutospacing="1"/>
        <w:jc w:val="both"/>
        <w:rPr>
          <w:rFonts w:ascii="Times New Roman" w:hAnsi="Times New Roman"/>
        </w:rPr>
      </w:pPr>
      <w:r w:rsidRPr="00BC54D1">
        <w:rPr>
          <w:rFonts w:ascii="Times New Roman" w:hAnsi="Times New Roman"/>
        </w:rPr>
        <w:t>Lin, B.W., Lee, Y.</w:t>
      </w:r>
      <w:r w:rsidR="00730608" w:rsidRPr="00BC54D1">
        <w:rPr>
          <w:rFonts w:ascii="Times New Roman" w:hAnsi="Times New Roman"/>
        </w:rPr>
        <w:t xml:space="preserve"> and</w:t>
      </w:r>
      <w:r w:rsidRPr="00BC54D1">
        <w:rPr>
          <w:rFonts w:ascii="Times New Roman" w:hAnsi="Times New Roman"/>
        </w:rPr>
        <w:t xml:space="preserve"> Hung, S.C. (2006)</w:t>
      </w:r>
      <w:r w:rsidR="00730608" w:rsidRPr="00BC54D1">
        <w:rPr>
          <w:rFonts w:ascii="Times New Roman" w:hAnsi="Times New Roman"/>
        </w:rPr>
        <w:t>,</w:t>
      </w:r>
      <w:r w:rsidRPr="00BC54D1">
        <w:rPr>
          <w:rFonts w:ascii="Times New Roman" w:hAnsi="Times New Roman"/>
        </w:rPr>
        <w:t xml:space="preserve"> </w:t>
      </w:r>
      <w:r w:rsidR="00730608" w:rsidRPr="00BC54D1">
        <w:rPr>
          <w:rFonts w:ascii="Times New Roman" w:hAnsi="Times New Roman"/>
        </w:rPr>
        <w:t>‘</w:t>
      </w:r>
      <w:r w:rsidRPr="00BC54D1">
        <w:rPr>
          <w:rFonts w:ascii="Times New Roman" w:hAnsi="Times New Roman"/>
        </w:rPr>
        <w:t>R&amp;D intensity and commercialization orientation effects on financial performance</w:t>
      </w:r>
      <w:r w:rsidR="00730608" w:rsidRPr="00BC54D1">
        <w:rPr>
          <w:rFonts w:ascii="Times New Roman" w:hAnsi="Times New Roman"/>
        </w:rPr>
        <w:t>’,</w:t>
      </w:r>
      <w:r w:rsidRPr="00BC54D1">
        <w:rPr>
          <w:rFonts w:ascii="Times New Roman" w:hAnsi="Times New Roman"/>
        </w:rPr>
        <w:t> </w:t>
      </w:r>
      <w:r w:rsidRPr="00BC54D1">
        <w:rPr>
          <w:rFonts w:ascii="Times New Roman" w:hAnsi="Times New Roman"/>
          <w:i/>
          <w:iCs/>
        </w:rPr>
        <w:t>Journal of Business Research</w:t>
      </w:r>
      <w:r w:rsidRPr="00BC54D1">
        <w:rPr>
          <w:rFonts w:ascii="Times New Roman" w:hAnsi="Times New Roman"/>
        </w:rPr>
        <w:t>, </w:t>
      </w:r>
      <w:r w:rsidR="00730608" w:rsidRPr="00BC54D1">
        <w:rPr>
          <w:rFonts w:ascii="Times New Roman" w:hAnsi="Times New Roman"/>
        </w:rPr>
        <w:t xml:space="preserve">Vol. </w:t>
      </w:r>
      <w:r w:rsidRPr="00BC54D1">
        <w:rPr>
          <w:rFonts w:ascii="Times New Roman" w:hAnsi="Times New Roman"/>
        </w:rPr>
        <w:t>59</w:t>
      </w:r>
      <w:r w:rsidR="00730608" w:rsidRPr="00BC54D1">
        <w:rPr>
          <w:rFonts w:ascii="Times New Roman" w:hAnsi="Times New Roman"/>
        </w:rPr>
        <w:t xml:space="preserve"> No. </w:t>
      </w:r>
      <w:r w:rsidRPr="00BC54D1">
        <w:rPr>
          <w:rFonts w:ascii="Times New Roman" w:hAnsi="Times New Roman"/>
        </w:rPr>
        <w:t xml:space="preserve">6, </w:t>
      </w:r>
      <w:r w:rsidR="00730608" w:rsidRPr="00BC54D1">
        <w:rPr>
          <w:rFonts w:ascii="Times New Roman" w:hAnsi="Times New Roman"/>
        </w:rPr>
        <w:t xml:space="preserve">pp. </w:t>
      </w:r>
      <w:r w:rsidRPr="00BC54D1">
        <w:rPr>
          <w:rFonts w:ascii="Times New Roman" w:hAnsi="Times New Roman"/>
        </w:rPr>
        <w:t>679-685.</w:t>
      </w:r>
    </w:p>
    <w:p w14:paraId="74A9D99C" w14:textId="6BE8DD6B" w:rsidR="00724F78" w:rsidRPr="00BC54D1" w:rsidRDefault="00724F78" w:rsidP="00724F78">
      <w:pPr>
        <w:spacing w:before="100" w:beforeAutospacing="1" w:after="100" w:afterAutospacing="1"/>
        <w:jc w:val="both"/>
        <w:rPr>
          <w:rFonts w:ascii="Times New Roman" w:hAnsi="Times New Roman"/>
        </w:rPr>
      </w:pPr>
      <w:r w:rsidRPr="00BC54D1">
        <w:rPr>
          <w:rFonts w:ascii="Times New Roman" w:hAnsi="Times New Roman"/>
        </w:rPr>
        <w:t xml:space="preserve">Liu, J., Sheng, S., Shu, C. </w:t>
      </w:r>
      <w:r w:rsidR="006834A8" w:rsidRPr="00BC54D1">
        <w:rPr>
          <w:rFonts w:ascii="Times New Roman" w:hAnsi="Times New Roman"/>
        </w:rPr>
        <w:t>and</w:t>
      </w:r>
      <w:r w:rsidRPr="00BC54D1">
        <w:rPr>
          <w:rFonts w:ascii="Times New Roman" w:hAnsi="Times New Roman"/>
        </w:rPr>
        <w:t xml:space="preserve"> Zhao, M. (2021)</w:t>
      </w:r>
      <w:r w:rsidR="006834A8" w:rsidRPr="00BC54D1">
        <w:rPr>
          <w:rFonts w:ascii="Times New Roman" w:hAnsi="Times New Roman"/>
        </w:rPr>
        <w:t>,</w:t>
      </w:r>
      <w:r w:rsidRPr="00BC54D1">
        <w:rPr>
          <w:rFonts w:ascii="Times New Roman" w:hAnsi="Times New Roman"/>
        </w:rPr>
        <w:t xml:space="preserve"> </w:t>
      </w:r>
      <w:r w:rsidR="006834A8" w:rsidRPr="00BC54D1">
        <w:rPr>
          <w:rFonts w:ascii="Times New Roman" w:hAnsi="Times New Roman"/>
        </w:rPr>
        <w:t>‘</w:t>
      </w:r>
      <w:r w:rsidRPr="00BC54D1">
        <w:rPr>
          <w:rFonts w:ascii="Times New Roman" w:hAnsi="Times New Roman"/>
        </w:rPr>
        <w:t xml:space="preserve">R&amp;D, networking expenses, and firm performance: </w:t>
      </w:r>
      <w:r w:rsidR="00A10C2E" w:rsidRPr="00BC54D1">
        <w:rPr>
          <w:rFonts w:ascii="Times New Roman" w:hAnsi="Times New Roman"/>
        </w:rPr>
        <w:t>a</w:t>
      </w:r>
      <w:r w:rsidRPr="00BC54D1">
        <w:rPr>
          <w:rFonts w:ascii="Times New Roman" w:hAnsi="Times New Roman"/>
        </w:rPr>
        <w:t>n integration of the inside-out and outside-in perspectives</w:t>
      </w:r>
      <w:r w:rsidR="006834A8" w:rsidRPr="00BC54D1">
        <w:rPr>
          <w:rFonts w:ascii="Times New Roman" w:hAnsi="Times New Roman"/>
        </w:rPr>
        <w:t>’,</w:t>
      </w:r>
      <w:r w:rsidRPr="00BC54D1">
        <w:rPr>
          <w:rFonts w:ascii="Times New Roman" w:hAnsi="Times New Roman"/>
        </w:rPr>
        <w:t> </w:t>
      </w:r>
      <w:r w:rsidRPr="00BC54D1">
        <w:rPr>
          <w:rFonts w:ascii="Times New Roman" w:hAnsi="Times New Roman"/>
          <w:i/>
          <w:iCs/>
        </w:rPr>
        <w:t>Industrial Marketing Management</w:t>
      </w:r>
      <w:r w:rsidRPr="00BC54D1">
        <w:rPr>
          <w:rFonts w:ascii="Times New Roman" w:hAnsi="Times New Roman"/>
        </w:rPr>
        <w:t>, </w:t>
      </w:r>
      <w:r w:rsidR="006834A8" w:rsidRPr="00BC54D1">
        <w:rPr>
          <w:rFonts w:ascii="Times New Roman" w:hAnsi="Times New Roman"/>
        </w:rPr>
        <w:t xml:space="preserve">Vol. </w:t>
      </w:r>
      <w:r w:rsidRPr="00BC54D1">
        <w:rPr>
          <w:rFonts w:ascii="Times New Roman" w:hAnsi="Times New Roman"/>
        </w:rPr>
        <w:t xml:space="preserve">92, </w:t>
      </w:r>
      <w:r w:rsidR="006834A8" w:rsidRPr="00BC54D1">
        <w:rPr>
          <w:rFonts w:ascii="Times New Roman" w:hAnsi="Times New Roman"/>
        </w:rPr>
        <w:t xml:space="preserve">pp. </w:t>
      </w:r>
      <w:r w:rsidRPr="00BC54D1">
        <w:rPr>
          <w:rFonts w:ascii="Times New Roman" w:hAnsi="Times New Roman"/>
        </w:rPr>
        <w:t>111-121.</w:t>
      </w:r>
    </w:p>
    <w:p w14:paraId="4B72409E" w14:textId="7AB98E06" w:rsidR="00557BA7" w:rsidRPr="00BC54D1" w:rsidRDefault="00557BA7" w:rsidP="00557BA7">
      <w:pPr>
        <w:spacing w:before="100" w:beforeAutospacing="1" w:after="100" w:afterAutospacing="1"/>
        <w:jc w:val="both"/>
        <w:rPr>
          <w:rFonts w:ascii="Times New Roman" w:hAnsi="Times New Roman"/>
        </w:rPr>
      </w:pPr>
      <w:proofErr w:type="spellStart"/>
      <w:r w:rsidRPr="00BC54D1">
        <w:rPr>
          <w:rFonts w:ascii="Times New Roman" w:hAnsi="Times New Roman"/>
        </w:rPr>
        <w:t>Nohria</w:t>
      </w:r>
      <w:proofErr w:type="spellEnd"/>
      <w:r w:rsidRPr="00BC54D1">
        <w:rPr>
          <w:rFonts w:ascii="Times New Roman" w:hAnsi="Times New Roman"/>
        </w:rPr>
        <w:t>, N.</w:t>
      </w:r>
      <w:r w:rsidR="00821A92" w:rsidRPr="00BC54D1">
        <w:rPr>
          <w:rFonts w:ascii="Times New Roman" w:hAnsi="Times New Roman"/>
        </w:rPr>
        <w:t xml:space="preserve"> and</w:t>
      </w:r>
      <w:r w:rsidRPr="00BC54D1">
        <w:rPr>
          <w:rFonts w:ascii="Times New Roman" w:hAnsi="Times New Roman"/>
        </w:rPr>
        <w:t xml:space="preserve"> Gulati</w:t>
      </w:r>
      <w:r w:rsidR="008768A6" w:rsidRPr="00BC54D1">
        <w:rPr>
          <w:rFonts w:ascii="Times New Roman" w:hAnsi="Times New Roman"/>
        </w:rPr>
        <w:t>, R.</w:t>
      </w:r>
      <w:r w:rsidRPr="00BC54D1">
        <w:rPr>
          <w:rFonts w:ascii="Times New Roman" w:hAnsi="Times New Roman"/>
        </w:rPr>
        <w:t xml:space="preserve"> (1996)</w:t>
      </w:r>
      <w:r w:rsidR="00821A92" w:rsidRPr="00BC54D1">
        <w:rPr>
          <w:rFonts w:ascii="Times New Roman" w:hAnsi="Times New Roman"/>
        </w:rPr>
        <w:t>,</w:t>
      </w:r>
      <w:r w:rsidRPr="00BC54D1">
        <w:rPr>
          <w:rFonts w:ascii="Times New Roman" w:hAnsi="Times New Roman"/>
        </w:rPr>
        <w:t xml:space="preserve"> </w:t>
      </w:r>
      <w:r w:rsidR="00821A92" w:rsidRPr="00BC54D1">
        <w:rPr>
          <w:rFonts w:ascii="Times New Roman" w:hAnsi="Times New Roman"/>
        </w:rPr>
        <w:t>‘</w:t>
      </w:r>
      <w:r w:rsidRPr="00BC54D1">
        <w:rPr>
          <w:rFonts w:ascii="Times New Roman" w:hAnsi="Times New Roman"/>
        </w:rPr>
        <w:t xml:space="preserve">Is </w:t>
      </w:r>
      <w:r w:rsidR="00B03D16" w:rsidRPr="00BC54D1">
        <w:rPr>
          <w:rFonts w:ascii="Times New Roman" w:hAnsi="Times New Roman"/>
        </w:rPr>
        <w:t>s</w:t>
      </w:r>
      <w:r w:rsidRPr="00BC54D1">
        <w:rPr>
          <w:rFonts w:ascii="Times New Roman" w:hAnsi="Times New Roman"/>
        </w:rPr>
        <w:t xml:space="preserve">lack </w:t>
      </w:r>
      <w:r w:rsidR="00B03D16" w:rsidRPr="00BC54D1">
        <w:rPr>
          <w:rFonts w:ascii="Times New Roman" w:hAnsi="Times New Roman"/>
        </w:rPr>
        <w:t>g</w:t>
      </w:r>
      <w:r w:rsidRPr="00BC54D1">
        <w:rPr>
          <w:rFonts w:ascii="Times New Roman" w:hAnsi="Times New Roman"/>
        </w:rPr>
        <w:t xml:space="preserve">ood or </w:t>
      </w:r>
      <w:r w:rsidR="00B03D16" w:rsidRPr="00BC54D1">
        <w:rPr>
          <w:rFonts w:ascii="Times New Roman" w:hAnsi="Times New Roman"/>
        </w:rPr>
        <w:t>b</w:t>
      </w:r>
      <w:r w:rsidRPr="00BC54D1">
        <w:rPr>
          <w:rFonts w:ascii="Times New Roman" w:hAnsi="Times New Roman"/>
        </w:rPr>
        <w:t xml:space="preserve">d for </w:t>
      </w:r>
      <w:r w:rsidR="00B03D16" w:rsidRPr="00BC54D1">
        <w:rPr>
          <w:rFonts w:ascii="Times New Roman" w:hAnsi="Times New Roman"/>
        </w:rPr>
        <w:t>i</w:t>
      </w:r>
      <w:r w:rsidRPr="00BC54D1">
        <w:rPr>
          <w:rFonts w:ascii="Times New Roman" w:hAnsi="Times New Roman"/>
        </w:rPr>
        <w:t>nnovation?</w:t>
      </w:r>
      <w:r w:rsidR="00A21B97"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Academy of Management Journal</w:t>
      </w:r>
      <w:r w:rsidRPr="00BC54D1">
        <w:rPr>
          <w:rFonts w:ascii="Times New Roman" w:hAnsi="Times New Roman"/>
        </w:rPr>
        <w:t>,</w:t>
      </w:r>
      <w:r w:rsidR="00821A92" w:rsidRPr="00BC54D1">
        <w:rPr>
          <w:rFonts w:ascii="Times New Roman" w:hAnsi="Times New Roman"/>
        </w:rPr>
        <w:t xml:space="preserve"> Vol. </w:t>
      </w:r>
      <w:r w:rsidRPr="00BC54D1">
        <w:rPr>
          <w:rFonts w:ascii="Times New Roman" w:hAnsi="Times New Roman"/>
        </w:rPr>
        <w:t>39,</w:t>
      </w:r>
      <w:r w:rsidR="00821A92" w:rsidRPr="00BC54D1">
        <w:rPr>
          <w:rFonts w:ascii="Times New Roman" w:hAnsi="Times New Roman"/>
        </w:rPr>
        <w:t xml:space="preserve"> pp. </w:t>
      </w:r>
      <w:r w:rsidRPr="00BC54D1">
        <w:rPr>
          <w:rFonts w:ascii="Times New Roman" w:hAnsi="Times New Roman"/>
        </w:rPr>
        <w:t>1245</w:t>
      </w:r>
      <w:r w:rsidR="00B03D16" w:rsidRPr="00BC54D1">
        <w:rPr>
          <w:rFonts w:ascii="Times New Roman" w:hAnsi="Times New Roman"/>
        </w:rPr>
        <w:t>-</w:t>
      </w:r>
      <w:r w:rsidRPr="00BC54D1">
        <w:rPr>
          <w:rFonts w:ascii="Times New Roman" w:hAnsi="Times New Roman"/>
        </w:rPr>
        <w:t>1264.</w:t>
      </w:r>
    </w:p>
    <w:p w14:paraId="0BB3648F" w14:textId="55117C8C" w:rsidR="00557BA7" w:rsidRPr="00BC54D1" w:rsidRDefault="00557BA7" w:rsidP="008D5988">
      <w:pPr>
        <w:spacing w:before="100" w:beforeAutospacing="1" w:after="100" w:afterAutospacing="1"/>
        <w:jc w:val="both"/>
        <w:rPr>
          <w:rFonts w:ascii="Times New Roman" w:hAnsi="Times New Roman"/>
        </w:rPr>
      </w:pPr>
      <w:r w:rsidRPr="00BC54D1">
        <w:rPr>
          <w:rFonts w:ascii="Times New Roman" w:hAnsi="Times New Roman"/>
        </w:rPr>
        <w:t>Pagano, M., Panetta, F.</w:t>
      </w:r>
      <w:r w:rsidR="00D65A64" w:rsidRPr="00BC54D1">
        <w:rPr>
          <w:rFonts w:ascii="Times New Roman" w:hAnsi="Times New Roman"/>
        </w:rPr>
        <w:t xml:space="preserve"> and</w:t>
      </w:r>
      <w:r w:rsidRPr="00BC54D1">
        <w:rPr>
          <w:rFonts w:ascii="Times New Roman" w:hAnsi="Times New Roman"/>
        </w:rPr>
        <w:t xml:space="preserve"> Zingales, L. (1998)</w:t>
      </w:r>
      <w:r w:rsidR="00D65A64" w:rsidRPr="00BC54D1">
        <w:rPr>
          <w:rFonts w:ascii="Times New Roman" w:hAnsi="Times New Roman"/>
        </w:rPr>
        <w:t>, ‘</w:t>
      </w:r>
      <w:r w:rsidRPr="00BC54D1">
        <w:rPr>
          <w:rFonts w:ascii="Times New Roman" w:hAnsi="Times New Roman"/>
        </w:rPr>
        <w:t>Why do companies go public? An empirical analysis</w:t>
      </w:r>
      <w:r w:rsidR="00D65A64" w:rsidRPr="00BC54D1">
        <w:rPr>
          <w:rFonts w:ascii="Times New Roman" w:hAnsi="Times New Roman"/>
        </w:rPr>
        <w:t>’,</w:t>
      </w:r>
      <w:r w:rsidR="006C2D69" w:rsidRPr="00BC54D1">
        <w:rPr>
          <w:rFonts w:ascii="Times New Roman" w:hAnsi="Times New Roman"/>
        </w:rPr>
        <w:t xml:space="preserve"> </w:t>
      </w:r>
      <w:r w:rsidRPr="00BC54D1">
        <w:rPr>
          <w:rFonts w:ascii="Times New Roman" w:hAnsi="Times New Roman"/>
          <w:i/>
          <w:iCs/>
        </w:rPr>
        <w:t>Journal of Finance</w:t>
      </w:r>
      <w:r w:rsidR="00B03D16" w:rsidRPr="00BC54D1">
        <w:rPr>
          <w:rFonts w:ascii="Times New Roman" w:hAnsi="Times New Roman"/>
          <w:iCs/>
        </w:rPr>
        <w:t>,</w:t>
      </w:r>
      <w:r w:rsidRPr="00BC54D1">
        <w:rPr>
          <w:rFonts w:ascii="Times New Roman" w:hAnsi="Times New Roman"/>
        </w:rPr>
        <w:t xml:space="preserve"> </w:t>
      </w:r>
      <w:r w:rsidR="00D65A64" w:rsidRPr="00BC54D1">
        <w:rPr>
          <w:rFonts w:ascii="Times New Roman" w:hAnsi="Times New Roman"/>
        </w:rPr>
        <w:t xml:space="preserve">Vol. </w:t>
      </w:r>
      <w:r w:rsidRPr="00BC54D1">
        <w:rPr>
          <w:rFonts w:ascii="Times New Roman" w:hAnsi="Times New Roman"/>
        </w:rPr>
        <w:t xml:space="preserve">53, </w:t>
      </w:r>
      <w:r w:rsidR="00D65A64" w:rsidRPr="00BC54D1">
        <w:rPr>
          <w:rFonts w:ascii="Times New Roman" w:hAnsi="Times New Roman"/>
        </w:rPr>
        <w:t xml:space="preserve">pp. </w:t>
      </w:r>
      <w:r w:rsidRPr="00BC54D1">
        <w:rPr>
          <w:rFonts w:ascii="Times New Roman" w:hAnsi="Times New Roman"/>
        </w:rPr>
        <w:t>27</w:t>
      </w:r>
      <w:r w:rsidR="00B03D16" w:rsidRPr="00BC54D1">
        <w:rPr>
          <w:rFonts w:ascii="Times New Roman" w:hAnsi="Times New Roman"/>
        </w:rPr>
        <w:t>-</w:t>
      </w:r>
      <w:r w:rsidRPr="00BC54D1">
        <w:rPr>
          <w:rFonts w:ascii="Times New Roman" w:hAnsi="Times New Roman"/>
        </w:rPr>
        <w:t xml:space="preserve">64. </w:t>
      </w:r>
    </w:p>
    <w:p w14:paraId="2734ECC6" w14:textId="35A77245" w:rsidR="006A1F2D" w:rsidRPr="00BC54D1" w:rsidRDefault="006A1F2D" w:rsidP="008D5988">
      <w:pPr>
        <w:spacing w:before="100" w:beforeAutospacing="1" w:after="100" w:afterAutospacing="1"/>
        <w:jc w:val="both"/>
        <w:rPr>
          <w:rFonts w:ascii="Times New Roman" w:hAnsi="Times New Roman"/>
        </w:rPr>
      </w:pPr>
      <w:r w:rsidRPr="00BC54D1">
        <w:rPr>
          <w:rFonts w:ascii="Times New Roman" w:hAnsi="Times New Roman"/>
        </w:rPr>
        <w:t xml:space="preserve">Padgett, R.C. </w:t>
      </w:r>
      <w:r w:rsidR="00CA67B4" w:rsidRPr="00BC54D1">
        <w:rPr>
          <w:rFonts w:ascii="Times New Roman" w:hAnsi="Times New Roman"/>
        </w:rPr>
        <w:t>and</w:t>
      </w:r>
      <w:r w:rsidRPr="00BC54D1">
        <w:rPr>
          <w:rFonts w:ascii="Times New Roman" w:hAnsi="Times New Roman"/>
        </w:rPr>
        <w:t xml:space="preserve"> Galan, J.I. (2010)</w:t>
      </w:r>
      <w:r w:rsidR="00CA67B4" w:rsidRPr="00BC54D1">
        <w:rPr>
          <w:rFonts w:ascii="Times New Roman" w:hAnsi="Times New Roman"/>
        </w:rPr>
        <w:t>,</w:t>
      </w:r>
      <w:r w:rsidRPr="00BC54D1">
        <w:rPr>
          <w:rFonts w:ascii="Times New Roman" w:hAnsi="Times New Roman"/>
        </w:rPr>
        <w:t xml:space="preserve"> </w:t>
      </w:r>
      <w:r w:rsidR="00CA67B4" w:rsidRPr="00BC54D1">
        <w:rPr>
          <w:rFonts w:ascii="Times New Roman" w:hAnsi="Times New Roman"/>
        </w:rPr>
        <w:t>‘</w:t>
      </w:r>
      <w:r w:rsidRPr="00BC54D1">
        <w:rPr>
          <w:rFonts w:ascii="Times New Roman" w:hAnsi="Times New Roman"/>
        </w:rPr>
        <w:t>The effect of R&amp;D intensity on corporate social responsibility</w:t>
      </w:r>
      <w:r w:rsidR="00B03D16" w:rsidRPr="00BC54D1">
        <w:rPr>
          <w:rFonts w:ascii="Times New Roman" w:hAnsi="Times New Roman"/>
        </w:rPr>
        <w:t>’,</w:t>
      </w:r>
      <w:r w:rsidRPr="00BC54D1">
        <w:rPr>
          <w:rFonts w:ascii="Times New Roman" w:hAnsi="Times New Roman"/>
        </w:rPr>
        <w:t> </w:t>
      </w:r>
      <w:r w:rsidRPr="00BC54D1">
        <w:rPr>
          <w:rFonts w:ascii="Times New Roman" w:hAnsi="Times New Roman"/>
          <w:i/>
          <w:iCs/>
        </w:rPr>
        <w:t>Journal of Business Ethics</w:t>
      </w:r>
      <w:r w:rsidRPr="00BC54D1">
        <w:rPr>
          <w:rFonts w:ascii="Times New Roman" w:hAnsi="Times New Roman"/>
        </w:rPr>
        <w:t>, </w:t>
      </w:r>
      <w:r w:rsidR="00CA67B4" w:rsidRPr="00BC54D1">
        <w:rPr>
          <w:rFonts w:ascii="Times New Roman" w:hAnsi="Times New Roman"/>
        </w:rPr>
        <w:t xml:space="preserve">Vol. </w:t>
      </w:r>
      <w:r w:rsidRPr="00BC54D1">
        <w:rPr>
          <w:rFonts w:ascii="Times New Roman" w:hAnsi="Times New Roman"/>
        </w:rPr>
        <w:t>93</w:t>
      </w:r>
      <w:r w:rsidR="00CA67B4" w:rsidRPr="00BC54D1">
        <w:rPr>
          <w:rFonts w:ascii="Times New Roman" w:hAnsi="Times New Roman"/>
        </w:rPr>
        <w:t xml:space="preserve"> No. </w:t>
      </w:r>
      <w:r w:rsidRPr="00BC54D1">
        <w:rPr>
          <w:rFonts w:ascii="Times New Roman" w:hAnsi="Times New Roman"/>
        </w:rPr>
        <w:t xml:space="preserve">3, </w:t>
      </w:r>
      <w:r w:rsidR="00CA67B4" w:rsidRPr="00BC54D1">
        <w:rPr>
          <w:rFonts w:ascii="Times New Roman" w:hAnsi="Times New Roman"/>
        </w:rPr>
        <w:t xml:space="preserve">pp. </w:t>
      </w:r>
      <w:r w:rsidRPr="00BC54D1">
        <w:rPr>
          <w:rFonts w:ascii="Times New Roman" w:hAnsi="Times New Roman"/>
        </w:rPr>
        <w:t>407-418.</w:t>
      </w:r>
    </w:p>
    <w:p w14:paraId="3D2ECF67" w14:textId="387C76D0" w:rsidR="009C589E" w:rsidRPr="00BC54D1" w:rsidRDefault="009C589E" w:rsidP="008D5988">
      <w:pPr>
        <w:spacing w:before="100" w:beforeAutospacing="1" w:after="100" w:afterAutospacing="1"/>
        <w:jc w:val="both"/>
        <w:rPr>
          <w:rFonts w:ascii="Times New Roman" w:hAnsi="Times New Roman"/>
        </w:rPr>
      </w:pPr>
      <w:r w:rsidRPr="00BC54D1">
        <w:rPr>
          <w:rFonts w:ascii="Times New Roman" w:hAnsi="Times New Roman"/>
        </w:rPr>
        <w:t>Porter, M.E. (1992)</w:t>
      </w:r>
      <w:r w:rsidR="00B03D16" w:rsidRPr="00BC54D1">
        <w:rPr>
          <w:rFonts w:ascii="Times New Roman" w:hAnsi="Times New Roman"/>
        </w:rPr>
        <w:t>,</w:t>
      </w:r>
      <w:r w:rsidRPr="00BC54D1">
        <w:rPr>
          <w:rFonts w:ascii="Times New Roman" w:hAnsi="Times New Roman"/>
        </w:rPr>
        <w:t xml:space="preserve"> </w:t>
      </w:r>
      <w:r w:rsidR="00B03D16" w:rsidRPr="00BC54D1">
        <w:rPr>
          <w:rFonts w:ascii="Times New Roman" w:hAnsi="Times New Roman"/>
        </w:rPr>
        <w:t>‘</w:t>
      </w:r>
      <w:r w:rsidRPr="00BC54D1">
        <w:rPr>
          <w:rFonts w:ascii="Times New Roman" w:hAnsi="Times New Roman"/>
        </w:rPr>
        <w:t xml:space="preserve">Capital </w:t>
      </w:r>
      <w:r w:rsidR="00B03D16" w:rsidRPr="00BC54D1">
        <w:rPr>
          <w:rFonts w:ascii="Times New Roman" w:hAnsi="Times New Roman"/>
        </w:rPr>
        <w:t>d</w:t>
      </w:r>
      <w:r w:rsidRPr="00BC54D1">
        <w:rPr>
          <w:rFonts w:ascii="Times New Roman" w:hAnsi="Times New Roman"/>
        </w:rPr>
        <w:t xml:space="preserve">isadvantage: America’s </w:t>
      </w:r>
      <w:r w:rsidR="00B03D16" w:rsidRPr="00BC54D1">
        <w:rPr>
          <w:rFonts w:ascii="Times New Roman" w:hAnsi="Times New Roman"/>
        </w:rPr>
        <w:t>f</w:t>
      </w:r>
      <w:r w:rsidRPr="00BC54D1">
        <w:rPr>
          <w:rFonts w:ascii="Times New Roman" w:hAnsi="Times New Roman"/>
        </w:rPr>
        <w:t xml:space="preserve">ailing </w:t>
      </w:r>
      <w:r w:rsidR="00B03D16" w:rsidRPr="00BC54D1">
        <w:rPr>
          <w:rFonts w:ascii="Times New Roman" w:hAnsi="Times New Roman"/>
        </w:rPr>
        <w:t>c</w:t>
      </w:r>
      <w:r w:rsidRPr="00BC54D1">
        <w:rPr>
          <w:rFonts w:ascii="Times New Roman" w:hAnsi="Times New Roman"/>
        </w:rPr>
        <w:t xml:space="preserve">apital </w:t>
      </w:r>
      <w:r w:rsidR="00B03D16" w:rsidRPr="00BC54D1">
        <w:rPr>
          <w:rFonts w:ascii="Times New Roman" w:hAnsi="Times New Roman"/>
        </w:rPr>
        <w:t>i</w:t>
      </w:r>
      <w:r w:rsidRPr="00BC54D1">
        <w:rPr>
          <w:rFonts w:ascii="Times New Roman" w:hAnsi="Times New Roman"/>
        </w:rPr>
        <w:t xml:space="preserve">nvestment </w:t>
      </w:r>
      <w:r w:rsidR="00B03D16" w:rsidRPr="00BC54D1">
        <w:rPr>
          <w:rFonts w:ascii="Times New Roman" w:hAnsi="Times New Roman"/>
        </w:rPr>
        <w:t>s</w:t>
      </w:r>
      <w:r w:rsidRPr="00BC54D1">
        <w:rPr>
          <w:rFonts w:ascii="Times New Roman" w:hAnsi="Times New Roman"/>
        </w:rPr>
        <w:t>ystem</w:t>
      </w:r>
      <w:r w:rsidR="00B03D16"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Harvard Business Review</w:t>
      </w:r>
      <w:r w:rsidRPr="00BC54D1">
        <w:rPr>
          <w:rFonts w:ascii="Times New Roman" w:hAnsi="Times New Roman"/>
        </w:rPr>
        <w:t xml:space="preserve">, </w:t>
      </w:r>
      <w:r w:rsidR="00B03D16" w:rsidRPr="00BC54D1">
        <w:rPr>
          <w:rFonts w:ascii="Times New Roman" w:hAnsi="Times New Roman"/>
        </w:rPr>
        <w:t xml:space="preserve">Vol. </w:t>
      </w:r>
      <w:r w:rsidRPr="00BC54D1">
        <w:rPr>
          <w:rFonts w:ascii="Times New Roman" w:hAnsi="Times New Roman"/>
        </w:rPr>
        <w:t xml:space="preserve">70 (1992), </w:t>
      </w:r>
      <w:r w:rsidR="00B03D16" w:rsidRPr="00BC54D1">
        <w:rPr>
          <w:rFonts w:ascii="Times New Roman" w:hAnsi="Times New Roman"/>
        </w:rPr>
        <w:t xml:space="preserve">pp. </w:t>
      </w:r>
      <w:r w:rsidRPr="00BC54D1">
        <w:rPr>
          <w:rFonts w:ascii="Times New Roman" w:hAnsi="Times New Roman"/>
        </w:rPr>
        <w:t xml:space="preserve">65–82. </w:t>
      </w:r>
    </w:p>
    <w:p w14:paraId="690BFD3A" w14:textId="19E6D159" w:rsidR="008D5988" w:rsidRPr="00BC54D1" w:rsidRDefault="008D5988" w:rsidP="008D5988">
      <w:pPr>
        <w:spacing w:before="100" w:beforeAutospacing="1" w:after="100" w:afterAutospacing="1"/>
        <w:jc w:val="both"/>
        <w:rPr>
          <w:rFonts w:ascii="Times New Roman" w:hAnsi="Times New Roman"/>
        </w:rPr>
      </w:pPr>
      <w:r w:rsidRPr="00BC54D1">
        <w:rPr>
          <w:rFonts w:ascii="Times New Roman" w:hAnsi="Times New Roman"/>
        </w:rPr>
        <w:t xml:space="preserve">Rajan, R.G., </w:t>
      </w:r>
      <w:r w:rsidR="002F5F92" w:rsidRPr="00BC54D1">
        <w:rPr>
          <w:rFonts w:ascii="Times New Roman" w:hAnsi="Times New Roman"/>
        </w:rPr>
        <w:t>(</w:t>
      </w:r>
      <w:r w:rsidRPr="00BC54D1">
        <w:rPr>
          <w:rFonts w:ascii="Times New Roman" w:hAnsi="Times New Roman"/>
        </w:rPr>
        <w:t>2012</w:t>
      </w:r>
      <w:r w:rsidR="002F5F92" w:rsidRPr="00BC54D1">
        <w:rPr>
          <w:rFonts w:ascii="Times New Roman" w:hAnsi="Times New Roman"/>
        </w:rPr>
        <w:t>),</w:t>
      </w:r>
      <w:r w:rsidRPr="00BC54D1">
        <w:rPr>
          <w:rFonts w:ascii="Times New Roman" w:hAnsi="Times New Roman"/>
        </w:rPr>
        <w:t xml:space="preserve"> </w:t>
      </w:r>
      <w:r w:rsidR="002F5F92" w:rsidRPr="00BC54D1">
        <w:rPr>
          <w:rFonts w:ascii="Times New Roman" w:hAnsi="Times New Roman"/>
        </w:rPr>
        <w:t>‘</w:t>
      </w:r>
      <w:r w:rsidRPr="00BC54D1">
        <w:rPr>
          <w:rFonts w:ascii="Times New Roman" w:hAnsi="Times New Roman"/>
        </w:rPr>
        <w:t>Presidential address: the corporation in finance</w:t>
      </w:r>
      <w:r w:rsidR="002F5F92"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Journal of Finance</w:t>
      </w:r>
      <w:r w:rsidR="00B03D16" w:rsidRPr="00BC54D1">
        <w:rPr>
          <w:rFonts w:ascii="Times New Roman" w:hAnsi="Times New Roman"/>
          <w:iCs/>
        </w:rPr>
        <w:t>,</w:t>
      </w:r>
      <w:r w:rsidRPr="00BC54D1">
        <w:rPr>
          <w:rFonts w:ascii="Times New Roman" w:hAnsi="Times New Roman"/>
        </w:rPr>
        <w:t xml:space="preserve"> </w:t>
      </w:r>
      <w:r w:rsidR="002F5F92" w:rsidRPr="00BC54D1">
        <w:rPr>
          <w:rFonts w:ascii="Times New Roman" w:hAnsi="Times New Roman"/>
        </w:rPr>
        <w:t xml:space="preserve">Vol. </w:t>
      </w:r>
      <w:r w:rsidRPr="00BC54D1">
        <w:rPr>
          <w:rFonts w:ascii="Times New Roman" w:hAnsi="Times New Roman"/>
        </w:rPr>
        <w:t xml:space="preserve">67, </w:t>
      </w:r>
      <w:r w:rsidR="002F5F92" w:rsidRPr="00BC54D1">
        <w:rPr>
          <w:rFonts w:ascii="Times New Roman" w:hAnsi="Times New Roman"/>
        </w:rPr>
        <w:t xml:space="preserve">pp. </w:t>
      </w:r>
      <w:r w:rsidRPr="00BC54D1">
        <w:rPr>
          <w:rFonts w:ascii="Times New Roman" w:hAnsi="Times New Roman"/>
        </w:rPr>
        <w:t>1173</w:t>
      </w:r>
      <w:r w:rsidR="00B03D16" w:rsidRPr="00BC54D1">
        <w:rPr>
          <w:rFonts w:ascii="Times New Roman" w:hAnsi="Times New Roman"/>
        </w:rPr>
        <w:t>-</w:t>
      </w:r>
      <w:r w:rsidRPr="00BC54D1">
        <w:rPr>
          <w:rFonts w:ascii="Times New Roman" w:hAnsi="Times New Roman"/>
        </w:rPr>
        <w:t xml:space="preserve">1217. </w:t>
      </w:r>
    </w:p>
    <w:p w14:paraId="0BFE8BBD" w14:textId="461823AA" w:rsidR="008D5988" w:rsidRPr="00BC54D1" w:rsidRDefault="008D5988" w:rsidP="008D5988">
      <w:pPr>
        <w:spacing w:before="100" w:beforeAutospacing="1" w:after="100" w:afterAutospacing="1"/>
        <w:jc w:val="both"/>
        <w:rPr>
          <w:rFonts w:ascii="Times New Roman" w:hAnsi="Times New Roman"/>
        </w:rPr>
      </w:pPr>
      <w:r w:rsidRPr="00BC54D1">
        <w:rPr>
          <w:rFonts w:ascii="Times New Roman" w:hAnsi="Times New Roman"/>
        </w:rPr>
        <w:t>Saunders A.</w:t>
      </w:r>
      <w:r w:rsidR="005F69A3" w:rsidRPr="00BC54D1">
        <w:rPr>
          <w:rFonts w:ascii="Times New Roman" w:hAnsi="Times New Roman"/>
        </w:rPr>
        <w:t xml:space="preserve"> and</w:t>
      </w:r>
      <w:r w:rsidRPr="00BC54D1">
        <w:rPr>
          <w:rFonts w:ascii="Times New Roman" w:hAnsi="Times New Roman"/>
        </w:rPr>
        <w:t xml:space="preserve"> Steffen S. (2009)</w:t>
      </w:r>
      <w:r w:rsidR="005F69A3" w:rsidRPr="00BC54D1">
        <w:rPr>
          <w:rFonts w:ascii="Times New Roman" w:hAnsi="Times New Roman"/>
        </w:rPr>
        <w:t>, ‘</w:t>
      </w:r>
      <w:r w:rsidRPr="00BC54D1">
        <w:rPr>
          <w:rFonts w:ascii="Times New Roman" w:hAnsi="Times New Roman"/>
        </w:rPr>
        <w:t xml:space="preserve">The </w:t>
      </w:r>
      <w:r w:rsidR="00B03D16" w:rsidRPr="00BC54D1">
        <w:rPr>
          <w:rFonts w:ascii="Times New Roman" w:hAnsi="Times New Roman"/>
        </w:rPr>
        <w:t>c</w:t>
      </w:r>
      <w:r w:rsidRPr="00BC54D1">
        <w:rPr>
          <w:rFonts w:ascii="Times New Roman" w:hAnsi="Times New Roman"/>
        </w:rPr>
        <w:t xml:space="preserve">osts of </w:t>
      </w:r>
      <w:r w:rsidR="00B03D16" w:rsidRPr="00BC54D1">
        <w:rPr>
          <w:rFonts w:ascii="Times New Roman" w:hAnsi="Times New Roman"/>
        </w:rPr>
        <w:t>b</w:t>
      </w:r>
      <w:r w:rsidRPr="00BC54D1">
        <w:rPr>
          <w:rFonts w:ascii="Times New Roman" w:hAnsi="Times New Roman"/>
        </w:rPr>
        <w:t xml:space="preserve">eing </w:t>
      </w:r>
      <w:r w:rsidR="00B03D16" w:rsidRPr="00BC54D1">
        <w:rPr>
          <w:rFonts w:ascii="Times New Roman" w:hAnsi="Times New Roman"/>
        </w:rPr>
        <w:t>p</w:t>
      </w:r>
      <w:r w:rsidRPr="00BC54D1">
        <w:rPr>
          <w:rFonts w:ascii="Times New Roman" w:hAnsi="Times New Roman"/>
        </w:rPr>
        <w:t xml:space="preserve">rivate: </w:t>
      </w:r>
      <w:r w:rsidR="00A10C2E" w:rsidRPr="00BC54D1">
        <w:rPr>
          <w:rFonts w:ascii="Times New Roman" w:hAnsi="Times New Roman"/>
        </w:rPr>
        <w:t>e</w:t>
      </w:r>
      <w:r w:rsidRPr="00BC54D1">
        <w:rPr>
          <w:rFonts w:ascii="Times New Roman" w:hAnsi="Times New Roman"/>
        </w:rPr>
        <w:t xml:space="preserve">vidence from the </w:t>
      </w:r>
      <w:r w:rsidR="00B03D16" w:rsidRPr="00BC54D1">
        <w:rPr>
          <w:rFonts w:ascii="Times New Roman" w:hAnsi="Times New Roman"/>
        </w:rPr>
        <w:t>l</w:t>
      </w:r>
      <w:r w:rsidRPr="00BC54D1">
        <w:rPr>
          <w:rFonts w:ascii="Times New Roman" w:hAnsi="Times New Roman"/>
        </w:rPr>
        <w:t xml:space="preserve">oan </w:t>
      </w:r>
      <w:r w:rsidR="00B03D16" w:rsidRPr="00BC54D1">
        <w:rPr>
          <w:rFonts w:ascii="Times New Roman" w:hAnsi="Times New Roman"/>
        </w:rPr>
        <w:t>m</w:t>
      </w:r>
      <w:r w:rsidRPr="00BC54D1">
        <w:rPr>
          <w:rFonts w:ascii="Times New Roman" w:hAnsi="Times New Roman"/>
        </w:rPr>
        <w:t>arket</w:t>
      </w:r>
      <w:r w:rsidR="00B03D16" w:rsidRPr="00BC54D1">
        <w:rPr>
          <w:rFonts w:ascii="Times New Roman" w:hAnsi="Times New Roman"/>
        </w:rPr>
        <w:t>’,</w:t>
      </w:r>
      <w:r w:rsidRPr="00BC54D1">
        <w:rPr>
          <w:rFonts w:ascii="Times New Roman" w:hAnsi="Times New Roman"/>
        </w:rPr>
        <w:t xml:space="preserve"> </w:t>
      </w:r>
      <w:r w:rsidRPr="00BC54D1">
        <w:rPr>
          <w:rFonts w:ascii="Times New Roman" w:hAnsi="Times New Roman"/>
          <w:i/>
        </w:rPr>
        <w:t>Journal of Financial Economics</w:t>
      </w:r>
      <w:r w:rsidR="00B03D16" w:rsidRPr="00BC54D1">
        <w:rPr>
          <w:rFonts w:ascii="Times New Roman" w:hAnsi="Times New Roman"/>
        </w:rPr>
        <w:t>,</w:t>
      </w:r>
      <w:r w:rsidRPr="00BC54D1">
        <w:rPr>
          <w:rFonts w:ascii="Times New Roman" w:hAnsi="Times New Roman"/>
        </w:rPr>
        <w:t xml:space="preserve"> </w:t>
      </w:r>
      <w:r w:rsidR="005F69A3" w:rsidRPr="00BC54D1">
        <w:rPr>
          <w:rFonts w:ascii="Times New Roman" w:hAnsi="Times New Roman"/>
        </w:rPr>
        <w:t xml:space="preserve">Vol. </w:t>
      </w:r>
      <w:r w:rsidRPr="00BC54D1">
        <w:rPr>
          <w:rFonts w:ascii="Times New Roman" w:hAnsi="Times New Roman"/>
        </w:rPr>
        <w:t xml:space="preserve">123, </w:t>
      </w:r>
      <w:r w:rsidR="005F69A3" w:rsidRPr="00BC54D1">
        <w:rPr>
          <w:rFonts w:ascii="Times New Roman" w:hAnsi="Times New Roman"/>
        </w:rPr>
        <w:t xml:space="preserve">pp. </w:t>
      </w:r>
      <w:r w:rsidRPr="00BC54D1">
        <w:rPr>
          <w:rFonts w:ascii="Times New Roman" w:hAnsi="Times New Roman"/>
        </w:rPr>
        <w:t xml:space="preserve">1-72. </w:t>
      </w:r>
    </w:p>
    <w:p w14:paraId="3F439A31" w14:textId="23A20567" w:rsidR="008D5988" w:rsidRPr="00BC54D1" w:rsidRDefault="008D5988" w:rsidP="008D5988">
      <w:pPr>
        <w:spacing w:before="100" w:beforeAutospacing="1" w:after="100" w:afterAutospacing="1"/>
        <w:jc w:val="both"/>
        <w:rPr>
          <w:rFonts w:ascii="Times New Roman" w:hAnsi="Times New Roman"/>
        </w:rPr>
      </w:pPr>
      <w:r w:rsidRPr="00BC54D1">
        <w:rPr>
          <w:rFonts w:ascii="Times New Roman" w:hAnsi="Times New Roman"/>
        </w:rPr>
        <w:t xml:space="preserve">Santos, J.A. </w:t>
      </w:r>
      <w:r w:rsidR="00DF68FE" w:rsidRPr="00BC54D1">
        <w:rPr>
          <w:rFonts w:ascii="Times New Roman" w:hAnsi="Times New Roman"/>
        </w:rPr>
        <w:t>and</w:t>
      </w:r>
      <w:r w:rsidRPr="00BC54D1">
        <w:rPr>
          <w:rFonts w:ascii="Times New Roman" w:hAnsi="Times New Roman"/>
        </w:rPr>
        <w:t xml:space="preserve"> Winton, A. (2008)</w:t>
      </w:r>
      <w:r w:rsidR="00B03D16" w:rsidRPr="00BC54D1">
        <w:rPr>
          <w:rFonts w:ascii="Times New Roman" w:hAnsi="Times New Roman"/>
        </w:rPr>
        <w:t>,</w:t>
      </w:r>
      <w:r w:rsidRPr="00BC54D1">
        <w:rPr>
          <w:rFonts w:ascii="Times New Roman" w:hAnsi="Times New Roman"/>
        </w:rPr>
        <w:t xml:space="preserve"> </w:t>
      </w:r>
      <w:r w:rsidR="00B03D16" w:rsidRPr="00BC54D1">
        <w:rPr>
          <w:rFonts w:ascii="Times New Roman" w:hAnsi="Times New Roman"/>
        </w:rPr>
        <w:t>‘</w:t>
      </w:r>
      <w:r w:rsidRPr="00BC54D1">
        <w:rPr>
          <w:rFonts w:ascii="Times New Roman" w:hAnsi="Times New Roman"/>
        </w:rPr>
        <w:t xml:space="preserve">Bank </w:t>
      </w:r>
      <w:r w:rsidR="00B03D16" w:rsidRPr="00BC54D1">
        <w:rPr>
          <w:rFonts w:ascii="Times New Roman" w:hAnsi="Times New Roman"/>
        </w:rPr>
        <w:t>l</w:t>
      </w:r>
      <w:r w:rsidRPr="00BC54D1">
        <w:rPr>
          <w:rFonts w:ascii="Times New Roman" w:hAnsi="Times New Roman"/>
        </w:rPr>
        <w:t xml:space="preserve">oans, </w:t>
      </w:r>
      <w:r w:rsidR="00B03D16" w:rsidRPr="00BC54D1">
        <w:rPr>
          <w:rFonts w:ascii="Times New Roman" w:hAnsi="Times New Roman"/>
        </w:rPr>
        <w:t>b</w:t>
      </w:r>
      <w:r w:rsidRPr="00BC54D1">
        <w:rPr>
          <w:rFonts w:ascii="Times New Roman" w:hAnsi="Times New Roman"/>
        </w:rPr>
        <w:t xml:space="preserve">onds and </w:t>
      </w:r>
      <w:r w:rsidR="00B03D16" w:rsidRPr="00BC54D1">
        <w:rPr>
          <w:rFonts w:ascii="Times New Roman" w:hAnsi="Times New Roman"/>
        </w:rPr>
        <w:t>i</w:t>
      </w:r>
      <w:r w:rsidRPr="00BC54D1">
        <w:rPr>
          <w:rFonts w:ascii="Times New Roman" w:hAnsi="Times New Roman"/>
        </w:rPr>
        <w:t xml:space="preserve">nformation </w:t>
      </w:r>
      <w:r w:rsidR="00B03D16" w:rsidRPr="00BC54D1">
        <w:rPr>
          <w:rFonts w:ascii="Times New Roman" w:hAnsi="Times New Roman"/>
        </w:rPr>
        <w:t>m</w:t>
      </w:r>
      <w:r w:rsidRPr="00BC54D1">
        <w:rPr>
          <w:rFonts w:ascii="Times New Roman" w:hAnsi="Times New Roman"/>
        </w:rPr>
        <w:t xml:space="preserve">onopolies across the </w:t>
      </w:r>
      <w:r w:rsidR="00B03D16" w:rsidRPr="00BC54D1">
        <w:rPr>
          <w:rFonts w:ascii="Times New Roman" w:hAnsi="Times New Roman"/>
        </w:rPr>
        <w:t>b</w:t>
      </w:r>
      <w:r w:rsidRPr="00BC54D1">
        <w:rPr>
          <w:rFonts w:ascii="Times New Roman" w:hAnsi="Times New Roman"/>
        </w:rPr>
        <w:t xml:space="preserve">usiness </w:t>
      </w:r>
      <w:r w:rsidR="00B03D16" w:rsidRPr="00BC54D1">
        <w:rPr>
          <w:rFonts w:ascii="Times New Roman" w:hAnsi="Times New Roman"/>
        </w:rPr>
        <w:t>c</w:t>
      </w:r>
      <w:r w:rsidRPr="00BC54D1">
        <w:rPr>
          <w:rFonts w:ascii="Times New Roman" w:hAnsi="Times New Roman"/>
        </w:rPr>
        <w:t>ycle</w:t>
      </w:r>
      <w:r w:rsidR="00B03D16"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Journal of Finance</w:t>
      </w:r>
      <w:r w:rsidRPr="00BC54D1">
        <w:rPr>
          <w:rFonts w:ascii="Times New Roman" w:hAnsi="Times New Roman"/>
        </w:rPr>
        <w:t>,</w:t>
      </w:r>
      <w:r w:rsidR="00446B7C" w:rsidRPr="00BC54D1">
        <w:rPr>
          <w:rFonts w:ascii="Times New Roman" w:hAnsi="Times New Roman"/>
        </w:rPr>
        <w:t xml:space="preserve"> Vol.</w:t>
      </w:r>
      <w:r w:rsidRPr="00BC54D1">
        <w:rPr>
          <w:rFonts w:ascii="Times New Roman" w:hAnsi="Times New Roman"/>
        </w:rPr>
        <w:t xml:space="preserve"> 63</w:t>
      </w:r>
      <w:r w:rsidR="00446B7C" w:rsidRPr="00BC54D1">
        <w:rPr>
          <w:rFonts w:ascii="Times New Roman" w:hAnsi="Times New Roman"/>
        </w:rPr>
        <w:t xml:space="preserve"> No. 3, pp. 1315</w:t>
      </w:r>
      <w:r w:rsidR="00B03D16" w:rsidRPr="00BC54D1">
        <w:rPr>
          <w:rFonts w:ascii="Times New Roman" w:hAnsi="Times New Roman"/>
        </w:rPr>
        <w:t>-</w:t>
      </w:r>
      <w:r w:rsidR="00446B7C" w:rsidRPr="00BC54D1">
        <w:rPr>
          <w:rFonts w:ascii="Times New Roman" w:hAnsi="Times New Roman"/>
        </w:rPr>
        <w:t>1359.</w:t>
      </w:r>
    </w:p>
    <w:p w14:paraId="7774CC34" w14:textId="75997B81" w:rsidR="00D03F08" w:rsidRPr="00BC54D1" w:rsidRDefault="00D03F08" w:rsidP="008D5988">
      <w:pPr>
        <w:spacing w:before="100" w:beforeAutospacing="1" w:after="100" w:afterAutospacing="1"/>
        <w:jc w:val="both"/>
        <w:rPr>
          <w:rFonts w:ascii="Times New Roman" w:hAnsi="Times New Roman"/>
        </w:rPr>
      </w:pPr>
      <w:r w:rsidRPr="00BC54D1">
        <w:rPr>
          <w:rFonts w:ascii="Times New Roman" w:hAnsi="Times New Roman"/>
        </w:rPr>
        <w:t xml:space="preserve">Sher, P. J. </w:t>
      </w:r>
      <w:r w:rsidR="00DF68FE" w:rsidRPr="00BC54D1">
        <w:rPr>
          <w:rFonts w:ascii="Times New Roman" w:hAnsi="Times New Roman"/>
        </w:rPr>
        <w:t>and</w:t>
      </w:r>
      <w:r w:rsidRPr="00BC54D1">
        <w:rPr>
          <w:rFonts w:ascii="Times New Roman" w:hAnsi="Times New Roman"/>
        </w:rPr>
        <w:t xml:space="preserve"> Yang, P. Y. (2005)</w:t>
      </w:r>
      <w:r w:rsidR="00A920AD" w:rsidRPr="00BC54D1">
        <w:rPr>
          <w:rFonts w:ascii="Times New Roman" w:hAnsi="Times New Roman"/>
        </w:rPr>
        <w:t>,</w:t>
      </w:r>
      <w:r w:rsidRPr="00BC54D1">
        <w:rPr>
          <w:rFonts w:ascii="Times New Roman" w:hAnsi="Times New Roman"/>
        </w:rPr>
        <w:t xml:space="preserve"> </w:t>
      </w:r>
      <w:r w:rsidR="00A920AD" w:rsidRPr="00BC54D1">
        <w:rPr>
          <w:rFonts w:ascii="Times New Roman" w:hAnsi="Times New Roman"/>
        </w:rPr>
        <w:t>‘</w:t>
      </w:r>
      <w:r w:rsidRPr="00BC54D1">
        <w:rPr>
          <w:rFonts w:ascii="Times New Roman" w:hAnsi="Times New Roman"/>
        </w:rPr>
        <w:t>The effects of innovative capabilities and R&amp;D clustering on firm performance: the evidence of Taiwan's semiconductor industry</w:t>
      </w:r>
      <w:r w:rsidR="00A920AD" w:rsidRPr="00BC54D1">
        <w:rPr>
          <w:rFonts w:ascii="Times New Roman" w:hAnsi="Times New Roman"/>
        </w:rPr>
        <w:t>’,</w:t>
      </w:r>
      <w:r w:rsidRPr="00BC54D1">
        <w:rPr>
          <w:rFonts w:ascii="Times New Roman" w:hAnsi="Times New Roman"/>
        </w:rPr>
        <w:t> </w:t>
      </w:r>
      <w:proofErr w:type="spellStart"/>
      <w:r w:rsidR="0089502A" w:rsidRPr="00BC54D1">
        <w:rPr>
          <w:rFonts w:ascii="Times New Roman" w:hAnsi="Times New Roman"/>
          <w:i/>
          <w:iCs/>
        </w:rPr>
        <w:t>Technovation</w:t>
      </w:r>
      <w:proofErr w:type="spellEnd"/>
      <w:r w:rsidR="0089502A" w:rsidRPr="00BC54D1">
        <w:rPr>
          <w:rFonts w:ascii="Times New Roman" w:hAnsi="Times New Roman"/>
        </w:rPr>
        <w:t>, Vol.</w:t>
      </w:r>
      <w:r w:rsidR="00A920AD" w:rsidRPr="00BC54D1">
        <w:rPr>
          <w:rFonts w:ascii="Times New Roman" w:hAnsi="Times New Roman"/>
        </w:rPr>
        <w:t xml:space="preserve"> </w:t>
      </w:r>
      <w:r w:rsidRPr="00BC54D1">
        <w:rPr>
          <w:rFonts w:ascii="Times New Roman" w:hAnsi="Times New Roman"/>
        </w:rPr>
        <w:t>25</w:t>
      </w:r>
      <w:r w:rsidR="00A920AD" w:rsidRPr="00BC54D1">
        <w:rPr>
          <w:rFonts w:ascii="Times New Roman" w:hAnsi="Times New Roman"/>
        </w:rPr>
        <w:t xml:space="preserve"> No. </w:t>
      </w:r>
      <w:r w:rsidRPr="00BC54D1">
        <w:rPr>
          <w:rFonts w:ascii="Times New Roman" w:hAnsi="Times New Roman"/>
        </w:rPr>
        <w:t xml:space="preserve">1, </w:t>
      </w:r>
      <w:r w:rsidR="00A920AD" w:rsidRPr="00BC54D1">
        <w:rPr>
          <w:rFonts w:ascii="Times New Roman" w:hAnsi="Times New Roman"/>
        </w:rPr>
        <w:t xml:space="preserve">pp. </w:t>
      </w:r>
      <w:r w:rsidRPr="00BC54D1">
        <w:rPr>
          <w:rFonts w:ascii="Times New Roman" w:hAnsi="Times New Roman"/>
        </w:rPr>
        <w:t>33-43.</w:t>
      </w:r>
    </w:p>
    <w:p w14:paraId="1F7F1D0C" w14:textId="2D1BAD95" w:rsidR="008D5988" w:rsidRPr="00BC54D1" w:rsidRDefault="008D5988" w:rsidP="008D5988">
      <w:pPr>
        <w:spacing w:before="100" w:beforeAutospacing="1" w:after="100" w:afterAutospacing="1"/>
        <w:jc w:val="both"/>
        <w:rPr>
          <w:rFonts w:ascii="Times New Roman" w:hAnsi="Times New Roman"/>
        </w:rPr>
      </w:pPr>
      <w:proofErr w:type="spellStart"/>
      <w:r w:rsidRPr="00BC54D1">
        <w:rPr>
          <w:rFonts w:ascii="Times New Roman" w:hAnsi="Times New Roman"/>
        </w:rPr>
        <w:t>Stigliz</w:t>
      </w:r>
      <w:proofErr w:type="spellEnd"/>
      <w:r w:rsidRPr="00BC54D1">
        <w:rPr>
          <w:rFonts w:ascii="Times New Roman" w:hAnsi="Times New Roman"/>
        </w:rPr>
        <w:t xml:space="preserve">, J. </w:t>
      </w:r>
      <w:r w:rsidR="00DF68FE" w:rsidRPr="00BC54D1">
        <w:rPr>
          <w:rFonts w:ascii="Times New Roman" w:hAnsi="Times New Roman"/>
        </w:rPr>
        <w:t>(</w:t>
      </w:r>
      <w:r w:rsidRPr="00BC54D1">
        <w:rPr>
          <w:rFonts w:ascii="Times New Roman" w:hAnsi="Times New Roman"/>
        </w:rPr>
        <w:t>1985</w:t>
      </w:r>
      <w:r w:rsidR="00DF68FE" w:rsidRPr="00BC54D1">
        <w:rPr>
          <w:rFonts w:ascii="Times New Roman" w:hAnsi="Times New Roman"/>
        </w:rPr>
        <w:t>),</w:t>
      </w:r>
      <w:r w:rsidRPr="00BC54D1">
        <w:rPr>
          <w:rFonts w:ascii="Times New Roman" w:hAnsi="Times New Roman"/>
        </w:rPr>
        <w:t xml:space="preserve"> </w:t>
      </w:r>
      <w:r w:rsidR="00DF68FE" w:rsidRPr="00BC54D1">
        <w:rPr>
          <w:rFonts w:ascii="Times New Roman" w:hAnsi="Times New Roman"/>
        </w:rPr>
        <w:t>‘</w:t>
      </w:r>
      <w:r w:rsidRPr="00BC54D1">
        <w:rPr>
          <w:rFonts w:ascii="Times New Roman" w:hAnsi="Times New Roman"/>
        </w:rPr>
        <w:t>Credit markets and capital control</w:t>
      </w:r>
      <w:r w:rsidR="00DF68FE"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 xml:space="preserve">Journal of Money, Credit, and </w:t>
      </w:r>
      <w:r w:rsidR="0089502A" w:rsidRPr="00BC54D1">
        <w:rPr>
          <w:rFonts w:ascii="Times New Roman" w:hAnsi="Times New Roman"/>
          <w:i/>
          <w:iCs/>
        </w:rPr>
        <w:t>Banking</w:t>
      </w:r>
      <w:r w:rsidR="0089502A" w:rsidRPr="00BC54D1">
        <w:rPr>
          <w:rFonts w:ascii="Times New Roman" w:hAnsi="Times New Roman"/>
        </w:rPr>
        <w:t xml:space="preserve"> Vol.</w:t>
      </w:r>
      <w:r w:rsidR="00DF68FE" w:rsidRPr="00BC54D1">
        <w:rPr>
          <w:rFonts w:ascii="Times New Roman" w:hAnsi="Times New Roman"/>
        </w:rPr>
        <w:t xml:space="preserve"> </w:t>
      </w:r>
      <w:r w:rsidRPr="00BC54D1">
        <w:rPr>
          <w:rFonts w:ascii="Times New Roman" w:hAnsi="Times New Roman"/>
        </w:rPr>
        <w:t xml:space="preserve">17, </w:t>
      </w:r>
      <w:r w:rsidR="0089502A" w:rsidRPr="00BC54D1">
        <w:rPr>
          <w:rFonts w:ascii="Times New Roman" w:hAnsi="Times New Roman"/>
        </w:rPr>
        <w:t xml:space="preserve">pp. </w:t>
      </w:r>
      <w:r w:rsidRPr="00BC54D1">
        <w:rPr>
          <w:rFonts w:ascii="Times New Roman" w:hAnsi="Times New Roman"/>
        </w:rPr>
        <w:t>133</w:t>
      </w:r>
      <w:r w:rsidR="00B03D16" w:rsidRPr="00BC54D1">
        <w:rPr>
          <w:rFonts w:ascii="Times New Roman" w:hAnsi="Times New Roman"/>
        </w:rPr>
        <w:t>-</w:t>
      </w:r>
      <w:r w:rsidRPr="00BC54D1">
        <w:rPr>
          <w:rFonts w:ascii="Times New Roman" w:hAnsi="Times New Roman"/>
        </w:rPr>
        <w:t>152.</w:t>
      </w:r>
    </w:p>
    <w:p w14:paraId="4325CA3D" w14:textId="18E7EEA0" w:rsidR="00732A21" w:rsidRPr="00BC54D1" w:rsidRDefault="008D5988" w:rsidP="008D5988">
      <w:pPr>
        <w:spacing w:before="100" w:beforeAutospacing="1" w:after="100" w:afterAutospacing="1"/>
        <w:jc w:val="both"/>
        <w:rPr>
          <w:rFonts w:ascii="Times New Roman" w:hAnsi="Times New Roman"/>
        </w:rPr>
      </w:pPr>
      <w:r w:rsidRPr="00BC54D1">
        <w:rPr>
          <w:rFonts w:ascii="Times New Roman" w:hAnsi="Times New Roman"/>
        </w:rPr>
        <w:t xml:space="preserve">Stein, J.C. </w:t>
      </w:r>
      <w:r w:rsidR="00C97A35" w:rsidRPr="00BC54D1">
        <w:rPr>
          <w:rFonts w:ascii="Times New Roman" w:hAnsi="Times New Roman"/>
        </w:rPr>
        <w:t>(</w:t>
      </w:r>
      <w:r w:rsidRPr="00BC54D1">
        <w:rPr>
          <w:rFonts w:ascii="Times New Roman" w:hAnsi="Times New Roman"/>
        </w:rPr>
        <w:t>1989</w:t>
      </w:r>
      <w:r w:rsidR="00C97A35" w:rsidRPr="00BC54D1">
        <w:rPr>
          <w:rFonts w:ascii="Times New Roman" w:hAnsi="Times New Roman"/>
        </w:rPr>
        <w:t>)</w:t>
      </w:r>
      <w:r w:rsidR="00811F07" w:rsidRPr="00BC54D1">
        <w:rPr>
          <w:rFonts w:ascii="Times New Roman" w:hAnsi="Times New Roman"/>
        </w:rPr>
        <w:t>,</w:t>
      </w:r>
      <w:r w:rsidRPr="00BC54D1">
        <w:rPr>
          <w:rFonts w:ascii="Times New Roman" w:hAnsi="Times New Roman"/>
        </w:rPr>
        <w:t xml:space="preserve"> </w:t>
      </w:r>
      <w:r w:rsidR="00811F07" w:rsidRPr="00BC54D1">
        <w:rPr>
          <w:rFonts w:ascii="Times New Roman" w:hAnsi="Times New Roman"/>
        </w:rPr>
        <w:t>‘</w:t>
      </w:r>
      <w:r w:rsidRPr="00BC54D1">
        <w:rPr>
          <w:rFonts w:ascii="Times New Roman" w:hAnsi="Times New Roman"/>
        </w:rPr>
        <w:t xml:space="preserve">Efficient capital markets, inefficient firms: a model of myopic corporate </w:t>
      </w:r>
      <w:r w:rsidR="00C97A35" w:rsidRPr="00BC54D1">
        <w:rPr>
          <w:rFonts w:ascii="Times New Roman" w:hAnsi="Times New Roman"/>
        </w:rPr>
        <w:t>behaviour</w:t>
      </w:r>
      <w:r w:rsidR="00811F07"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Quarterly Journal of Economics</w:t>
      </w:r>
      <w:r w:rsidR="00B03D16" w:rsidRPr="00BC54D1">
        <w:rPr>
          <w:rFonts w:ascii="Times New Roman" w:hAnsi="Times New Roman"/>
          <w:iCs/>
        </w:rPr>
        <w:t>,</w:t>
      </w:r>
      <w:r w:rsidRPr="00BC54D1">
        <w:rPr>
          <w:rFonts w:ascii="Times New Roman" w:hAnsi="Times New Roman"/>
        </w:rPr>
        <w:t xml:space="preserve"> </w:t>
      </w:r>
      <w:r w:rsidR="00811F07" w:rsidRPr="00BC54D1">
        <w:rPr>
          <w:rFonts w:ascii="Times New Roman" w:hAnsi="Times New Roman"/>
        </w:rPr>
        <w:t xml:space="preserve">Vol. </w:t>
      </w:r>
      <w:r w:rsidRPr="00BC54D1">
        <w:rPr>
          <w:rFonts w:ascii="Times New Roman" w:hAnsi="Times New Roman"/>
        </w:rPr>
        <w:t xml:space="preserve">104, </w:t>
      </w:r>
      <w:r w:rsidR="00811F07" w:rsidRPr="00BC54D1">
        <w:rPr>
          <w:rFonts w:ascii="Times New Roman" w:hAnsi="Times New Roman"/>
        </w:rPr>
        <w:t xml:space="preserve">pp. </w:t>
      </w:r>
      <w:r w:rsidRPr="00BC54D1">
        <w:rPr>
          <w:rFonts w:ascii="Times New Roman" w:hAnsi="Times New Roman"/>
        </w:rPr>
        <w:t>655</w:t>
      </w:r>
      <w:r w:rsidR="00B03D16" w:rsidRPr="00BC54D1">
        <w:rPr>
          <w:rFonts w:ascii="Times New Roman" w:hAnsi="Times New Roman"/>
        </w:rPr>
        <w:t>-</w:t>
      </w:r>
      <w:r w:rsidRPr="00BC54D1">
        <w:rPr>
          <w:rFonts w:ascii="Times New Roman" w:hAnsi="Times New Roman"/>
        </w:rPr>
        <w:t xml:space="preserve">669. </w:t>
      </w:r>
    </w:p>
    <w:p w14:paraId="34791D58" w14:textId="43D58EA8" w:rsidR="00032DB8" w:rsidRPr="00BC54D1" w:rsidRDefault="008D5988" w:rsidP="00A10C2E">
      <w:pPr>
        <w:spacing w:before="100" w:beforeAutospacing="1" w:after="100" w:afterAutospacing="1"/>
        <w:jc w:val="both"/>
        <w:rPr>
          <w:rFonts w:ascii="Times New Roman" w:hAnsi="Times New Roman"/>
        </w:rPr>
      </w:pPr>
      <w:r w:rsidRPr="00BC54D1">
        <w:rPr>
          <w:rFonts w:ascii="Times New Roman" w:hAnsi="Times New Roman"/>
        </w:rPr>
        <w:t xml:space="preserve">Trajtenberg, M. </w:t>
      </w:r>
      <w:r w:rsidR="00C97A35" w:rsidRPr="00BC54D1">
        <w:rPr>
          <w:rFonts w:ascii="Times New Roman" w:hAnsi="Times New Roman"/>
        </w:rPr>
        <w:t>(</w:t>
      </w:r>
      <w:r w:rsidRPr="00BC54D1">
        <w:rPr>
          <w:rFonts w:ascii="Times New Roman" w:hAnsi="Times New Roman"/>
        </w:rPr>
        <w:t>1990</w:t>
      </w:r>
      <w:r w:rsidR="00C97A35" w:rsidRPr="00BC54D1">
        <w:rPr>
          <w:rFonts w:ascii="Times New Roman" w:hAnsi="Times New Roman"/>
        </w:rPr>
        <w:t>)</w:t>
      </w:r>
      <w:r w:rsidR="00BF5E54" w:rsidRPr="00BC54D1">
        <w:rPr>
          <w:rFonts w:ascii="Times New Roman" w:hAnsi="Times New Roman"/>
        </w:rPr>
        <w:t>,</w:t>
      </w:r>
      <w:r w:rsidRPr="00BC54D1">
        <w:rPr>
          <w:rFonts w:ascii="Times New Roman" w:hAnsi="Times New Roman"/>
        </w:rPr>
        <w:t xml:space="preserve"> </w:t>
      </w:r>
      <w:r w:rsidR="00BF5E54" w:rsidRPr="00BC54D1">
        <w:rPr>
          <w:rFonts w:ascii="Times New Roman" w:hAnsi="Times New Roman"/>
        </w:rPr>
        <w:t>‘</w:t>
      </w:r>
      <w:r w:rsidRPr="00BC54D1">
        <w:rPr>
          <w:rFonts w:ascii="Times New Roman" w:hAnsi="Times New Roman"/>
        </w:rPr>
        <w:t>A penny for your quotes: patent citations and the value of information</w:t>
      </w:r>
      <w:r w:rsidR="00BF5E54" w:rsidRPr="00BC54D1">
        <w:rPr>
          <w:rFonts w:ascii="Times New Roman" w:hAnsi="Times New Roman"/>
        </w:rPr>
        <w:t>’,</w:t>
      </w:r>
      <w:r w:rsidRPr="00BC54D1">
        <w:rPr>
          <w:rFonts w:ascii="Times New Roman" w:hAnsi="Times New Roman"/>
        </w:rPr>
        <w:t xml:space="preserve"> </w:t>
      </w:r>
      <w:r w:rsidRPr="00BC54D1">
        <w:rPr>
          <w:rFonts w:ascii="Times New Roman" w:hAnsi="Times New Roman"/>
          <w:i/>
          <w:iCs/>
        </w:rPr>
        <w:t>RAND Journal of Economics</w:t>
      </w:r>
      <w:r w:rsidR="00B03D16" w:rsidRPr="00BC54D1">
        <w:rPr>
          <w:rFonts w:ascii="Times New Roman" w:hAnsi="Times New Roman"/>
          <w:iCs/>
        </w:rPr>
        <w:t>,</w:t>
      </w:r>
      <w:r w:rsidRPr="00BC54D1">
        <w:rPr>
          <w:rFonts w:ascii="Times New Roman" w:hAnsi="Times New Roman"/>
        </w:rPr>
        <w:t xml:space="preserve"> </w:t>
      </w:r>
      <w:r w:rsidR="00BF5E54" w:rsidRPr="00BC54D1">
        <w:rPr>
          <w:rFonts w:ascii="Times New Roman" w:hAnsi="Times New Roman"/>
        </w:rPr>
        <w:t xml:space="preserve">Vol. </w:t>
      </w:r>
      <w:r w:rsidRPr="00BC54D1">
        <w:rPr>
          <w:rFonts w:ascii="Times New Roman" w:hAnsi="Times New Roman"/>
        </w:rPr>
        <w:t xml:space="preserve">21, </w:t>
      </w:r>
      <w:r w:rsidR="00BF5E54" w:rsidRPr="00BC54D1">
        <w:rPr>
          <w:rFonts w:ascii="Times New Roman" w:hAnsi="Times New Roman"/>
        </w:rPr>
        <w:t xml:space="preserve">pp. </w:t>
      </w:r>
      <w:r w:rsidR="00A10C2E" w:rsidRPr="00BC54D1">
        <w:rPr>
          <w:rFonts w:ascii="Times New Roman" w:hAnsi="Times New Roman"/>
        </w:rPr>
        <w:t>325</w:t>
      </w:r>
      <w:r w:rsidR="00B03D16" w:rsidRPr="00BC54D1">
        <w:rPr>
          <w:rFonts w:ascii="Times New Roman" w:hAnsi="Times New Roman"/>
        </w:rPr>
        <w:t>-</w:t>
      </w:r>
      <w:r w:rsidR="00A10C2E" w:rsidRPr="00BC54D1">
        <w:rPr>
          <w:rFonts w:ascii="Times New Roman" w:hAnsi="Times New Roman"/>
        </w:rPr>
        <w:t xml:space="preserve">342. </w:t>
      </w:r>
    </w:p>
    <w:p w14:paraId="54044411" w14:textId="30CDEFC4" w:rsidR="00511BD8" w:rsidRPr="00BC54D1" w:rsidRDefault="00511BD8" w:rsidP="00511BD8">
      <w:pPr>
        <w:spacing w:before="100" w:beforeAutospacing="1" w:after="100" w:afterAutospacing="1"/>
        <w:jc w:val="both"/>
        <w:rPr>
          <w:rFonts w:ascii="Times New Roman" w:hAnsi="Times New Roman"/>
        </w:rPr>
      </w:pPr>
      <w:proofErr w:type="spellStart"/>
      <w:r w:rsidRPr="00BC54D1">
        <w:rPr>
          <w:rFonts w:ascii="Times New Roman" w:hAnsi="Times New Roman"/>
        </w:rPr>
        <w:t>Uppenberg</w:t>
      </w:r>
      <w:proofErr w:type="spellEnd"/>
      <w:r w:rsidRPr="00BC54D1">
        <w:rPr>
          <w:rFonts w:ascii="Times New Roman" w:hAnsi="Times New Roman"/>
        </w:rPr>
        <w:t>, K. (2009), ‘Research and Development in Europe: Expenditures Across Sectors, Regions and Firm Sizes. Centre for European Policy Studies, Brussels.</w:t>
      </w:r>
    </w:p>
    <w:p w14:paraId="72CE9ED1" w14:textId="77777777" w:rsidR="00D005FC" w:rsidRPr="00BC54D1" w:rsidRDefault="00D005FC" w:rsidP="00A10C2E">
      <w:pPr>
        <w:spacing w:before="100" w:beforeAutospacing="1" w:after="100" w:afterAutospacing="1"/>
        <w:jc w:val="both"/>
        <w:rPr>
          <w:rFonts w:ascii="Times New Roman" w:hAnsi="Times New Roman"/>
        </w:rPr>
      </w:pPr>
    </w:p>
    <w:p w14:paraId="0D13F371" w14:textId="77777777" w:rsidR="00032DB8" w:rsidRPr="00BC54D1" w:rsidRDefault="00032DB8" w:rsidP="00407BF4">
      <w:pPr>
        <w:jc w:val="both"/>
        <w:rPr>
          <w:rFonts w:ascii="Times New Roman" w:hAnsi="Times New Roman"/>
        </w:rPr>
      </w:pPr>
    </w:p>
    <w:p w14:paraId="26F3525D" w14:textId="77777777" w:rsidR="00032DB8" w:rsidRPr="00BC54D1" w:rsidRDefault="00032DB8" w:rsidP="00407BF4">
      <w:pPr>
        <w:jc w:val="both"/>
        <w:rPr>
          <w:rFonts w:ascii="Times New Roman" w:hAnsi="Times New Roman"/>
        </w:rPr>
      </w:pPr>
    </w:p>
    <w:p w14:paraId="5190B239" w14:textId="77777777" w:rsidR="00032DB8" w:rsidRPr="00BC54D1" w:rsidRDefault="00032DB8" w:rsidP="00407BF4">
      <w:pPr>
        <w:jc w:val="both"/>
        <w:rPr>
          <w:rFonts w:ascii="Times New Roman" w:hAnsi="Times New Roman"/>
        </w:rPr>
      </w:pPr>
    </w:p>
    <w:p w14:paraId="4B4BFC74" w14:textId="77777777" w:rsidR="00032DB8" w:rsidRPr="00BC54D1" w:rsidRDefault="00032DB8" w:rsidP="00407BF4">
      <w:pPr>
        <w:jc w:val="both"/>
        <w:rPr>
          <w:rFonts w:ascii="Times New Roman" w:hAnsi="Times New Roman"/>
        </w:rPr>
      </w:pPr>
    </w:p>
    <w:p w14:paraId="2D4B9DDE" w14:textId="77777777" w:rsidR="00032DB8" w:rsidRPr="00BC54D1" w:rsidRDefault="00032DB8" w:rsidP="00407BF4">
      <w:pPr>
        <w:jc w:val="both"/>
        <w:rPr>
          <w:rFonts w:ascii="Times New Roman" w:hAnsi="Times New Roman"/>
        </w:rPr>
      </w:pPr>
    </w:p>
    <w:p w14:paraId="55B08537" w14:textId="77777777" w:rsidR="00032DB8" w:rsidRPr="00BC54D1" w:rsidRDefault="00032DB8" w:rsidP="00407BF4">
      <w:pPr>
        <w:jc w:val="both"/>
        <w:rPr>
          <w:rFonts w:ascii="Times New Roman" w:hAnsi="Times New Roman"/>
        </w:rPr>
      </w:pPr>
    </w:p>
    <w:p w14:paraId="6AC95246" w14:textId="77777777" w:rsidR="00032DB8" w:rsidRPr="00BC54D1" w:rsidRDefault="00032DB8" w:rsidP="00407BF4">
      <w:pPr>
        <w:jc w:val="both"/>
        <w:rPr>
          <w:rFonts w:ascii="Times New Roman" w:hAnsi="Times New Roman"/>
        </w:rPr>
      </w:pPr>
    </w:p>
    <w:p w14:paraId="0B107597" w14:textId="77777777" w:rsidR="00A10C2E" w:rsidRPr="00BC54D1" w:rsidRDefault="00A10C2E">
      <w:pPr>
        <w:rPr>
          <w:rFonts w:ascii="Times New Roman" w:hAnsi="Times New Roman"/>
        </w:rPr>
      </w:pPr>
      <w:r w:rsidRPr="00BC54D1">
        <w:rPr>
          <w:rFonts w:ascii="Times New Roman" w:hAnsi="Times New Roman"/>
        </w:rPr>
        <w:br w:type="page"/>
      </w:r>
    </w:p>
    <w:p w14:paraId="57666C52" w14:textId="0F567C2E" w:rsidR="00ED4C6D" w:rsidRPr="00BC54D1" w:rsidRDefault="00ED4C6D" w:rsidP="00DA5C82">
      <w:pPr>
        <w:rPr>
          <w:rFonts w:ascii="Times New Roman" w:hAnsi="Times New Roman"/>
          <w:b/>
          <w:bCs/>
          <w:highlight w:val="yellow"/>
        </w:rPr>
      </w:pPr>
    </w:p>
    <w:p w14:paraId="18DC1FA6" w14:textId="0F1D586E" w:rsidR="00332D1E" w:rsidRPr="00BC54D1" w:rsidRDefault="00B9456C" w:rsidP="00DA5C82">
      <w:pPr>
        <w:rPr>
          <w:rFonts w:ascii="Times New Roman" w:hAnsi="Times New Roman"/>
          <w:b/>
        </w:rPr>
      </w:pPr>
      <w:r w:rsidRPr="00BC54D1">
        <w:rPr>
          <w:rFonts w:ascii="Times New Roman" w:hAnsi="Times New Roman"/>
          <w:b/>
        </w:rPr>
        <w:t xml:space="preserve">Table </w:t>
      </w:r>
      <w:r w:rsidR="00DD56F2" w:rsidRPr="00BC54D1">
        <w:rPr>
          <w:rFonts w:ascii="Times New Roman" w:hAnsi="Times New Roman"/>
          <w:b/>
        </w:rPr>
        <w:t>I</w:t>
      </w:r>
      <w:r w:rsidRPr="00BC54D1">
        <w:rPr>
          <w:rFonts w:ascii="Times New Roman" w:hAnsi="Times New Roman"/>
          <w:b/>
        </w:rPr>
        <w:t>: Description of variables</w:t>
      </w:r>
    </w:p>
    <w:p w14:paraId="3426CAA8" w14:textId="4F3965DF" w:rsidR="00332D1E" w:rsidRPr="00BC54D1" w:rsidRDefault="00332D1E" w:rsidP="00033763">
      <w:pPr>
        <w:jc w:val="both"/>
        <w:rPr>
          <w:rFonts w:ascii="Times New Roman" w:hAnsi="Times New Roman"/>
          <w:b/>
        </w:rPr>
      </w:pPr>
    </w:p>
    <w:p w14:paraId="680609DB" w14:textId="4AB4FB56" w:rsidR="00332D1E" w:rsidRPr="00BC54D1" w:rsidRDefault="00332D1E" w:rsidP="00033763">
      <w:pPr>
        <w:jc w:val="both"/>
        <w:rPr>
          <w:rFonts w:ascii="Times New Roman" w:hAnsi="Times New Roman"/>
          <w:b/>
        </w:rPr>
      </w:pPr>
    </w:p>
    <w:p w14:paraId="1C1AF7D9" w14:textId="51A2FEFF" w:rsidR="00332D1E" w:rsidRPr="00BC54D1" w:rsidRDefault="00332D1E" w:rsidP="00033763">
      <w:pPr>
        <w:jc w:val="both"/>
        <w:rPr>
          <w:rFonts w:ascii="Times New Roman" w:hAnsi="Times New Roman"/>
          <w:b/>
        </w:rPr>
      </w:pPr>
    </w:p>
    <w:p w14:paraId="751D5B31" w14:textId="02406FD9" w:rsidR="00332D1E" w:rsidRPr="00BC54D1" w:rsidRDefault="00332D1E" w:rsidP="00033763">
      <w:pPr>
        <w:jc w:val="both"/>
        <w:rPr>
          <w:rFonts w:ascii="Times New Roman" w:hAnsi="Times New Roman"/>
          <w:b/>
        </w:rPr>
      </w:pPr>
    </w:p>
    <w:p w14:paraId="7D0F93D9" w14:textId="77777777" w:rsidR="00332D1E" w:rsidRPr="00BC54D1" w:rsidRDefault="00332D1E" w:rsidP="00033763">
      <w:pPr>
        <w:jc w:val="both"/>
        <w:rPr>
          <w:rFonts w:ascii="Times New Roman" w:hAnsi="Times New Roman"/>
          <w:b/>
        </w:rPr>
      </w:pPr>
    </w:p>
    <w:p w14:paraId="2DB78F12" w14:textId="6779B9A1" w:rsidR="00033763" w:rsidRPr="00BC54D1" w:rsidRDefault="00033763" w:rsidP="00033763">
      <w:pPr>
        <w:jc w:val="both"/>
        <w:rPr>
          <w:rFonts w:ascii="Times New Roman" w:hAnsi="Times New Roman"/>
          <w:b/>
        </w:rPr>
      </w:pPr>
    </w:p>
    <w:tbl>
      <w:tblPr>
        <w:tblpPr w:leftFromText="180" w:rightFromText="180" w:vertAnchor="page" w:horzAnchor="margin"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3125"/>
        <w:gridCol w:w="2893"/>
      </w:tblGrid>
      <w:tr w:rsidR="00BC54D1" w:rsidRPr="00BC54D1" w14:paraId="77CB5C37" w14:textId="77777777" w:rsidTr="00732A21">
        <w:trPr>
          <w:trHeight w:val="96"/>
        </w:trPr>
        <w:tc>
          <w:tcPr>
            <w:tcW w:w="2941" w:type="dxa"/>
            <w:shd w:val="clear" w:color="auto" w:fill="auto"/>
            <w:vAlign w:val="center"/>
          </w:tcPr>
          <w:p w14:paraId="75F86048" w14:textId="77777777" w:rsidR="00033763" w:rsidRPr="00BC54D1" w:rsidRDefault="00033763" w:rsidP="00732A21">
            <w:pPr>
              <w:rPr>
                <w:rFonts w:ascii="Times New Roman" w:hAnsi="Times New Roman"/>
                <w:b/>
                <w:bCs/>
                <w:i/>
                <w:sz w:val="20"/>
                <w:szCs w:val="20"/>
              </w:rPr>
            </w:pPr>
            <w:r w:rsidRPr="00BC54D1">
              <w:rPr>
                <w:rFonts w:ascii="Times New Roman" w:hAnsi="Times New Roman"/>
                <w:b/>
                <w:bCs/>
                <w:i/>
                <w:sz w:val="20"/>
                <w:szCs w:val="20"/>
              </w:rPr>
              <w:t>Dependent Variable</w:t>
            </w:r>
          </w:p>
        </w:tc>
        <w:tc>
          <w:tcPr>
            <w:tcW w:w="3125" w:type="dxa"/>
            <w:shd w:val="clear" w:color="auto" w:fill="auto"/>
            <w:vAlign w:val="center"/>
          </w:tcPr>
          <w:p w14:paraId="54929394" w14:textId="77777777" w:rsidR="00033763" w:rsidRPr="00BC54D1" w:rsidRDefault="00033763" w:rsidP="00732A21">
            <w:pPr>
              <w:rPr>
                <w:rFonts w:ascii="Times New Roman" w:hAnsi="Times New Roman"/>
                <w:b/>
                <w:bCs/>
                <w:sz w:val="20"/>
                <w:szCs w:val="20"/>
              </w:rPr>
            </w:pPr>
            <w:r w:rsidRPr="00BC54D1">
              <w:rPr>
                <w:rFonts w:ascii="Times New Roman" w:hAnsi="Times New Roman"/>
                <w:b/>
                <w:bCs/>
                <w:sz w:val="20"/>
                <w:szCs w:val="20"/>
              </w:rPr>
              <w:t>Description</w:t>
            </w:r>
          </w:p>
        </w:tc>
        <w:tc>
          <w:tcPr>
            <w:tcW w:w="2893" w:type="dxa"/>
            <w:vAlign w:val="center"/>
          </w:tcPr>
          <w:p w14:paraId="1634847D" w14:textId="77777777" w:rsidR="00033763" w:rsidRPr="00BC54D1" w:rsidRDefault="00033763" w:rsidP="00732A21">
            <w:pPr>
              <w:rPr>
                <w:rFonts w:ascii="Times New Roman" w:hAnsi="Times New Roman"/>
                <w:b/>
                <w:bCs/>
                <w:sz w:val="20"/>
                <w:szCs w:val="20"/>
              </w:rPr>
            </w:pPr>
            <w:r w:rsidRPr="00BC54D1">
              <w:rPr>
                <w:rFonts w:ascii="Times New Roman" w:hAnsi="Times New Roman"/>
                <w:b/>
                <w:bCs/>
                <w:sz w:val="20"/>
                <w:szCs w:val="20"/>
              </w:rPr>
              <w:t>Literature</w:t>
            </w:r>
          </w:p>
        </w:tc>
      </w:tr>
      <w:tr w:rsidR="00BC54D1" w:rsidRPr="00BC54D1" w14:paraId="7864E912" w14:textId="77777777" w:rsidTr="00732A21">
        <w:trPr>
          <w:trHeight w:val="96"/>
        </w:trPr>
        <w:tc>
          <w:tcPr>
            <w:tcW w:w="2941" w:type="dxa"/>
            <w:shd w:val="clear" w:color="auto" w:fill="auto"/>
            <w:vAlign w:val="center"/>
          </w:tcPr>
          <w:p w14:paraId="4F9D9BA5" w14:textId="4A440D5C" w:rsidR="00033763" w:rsidRPr="00BC54D1" w:rsidRDefault="00033763" w:rsidP="00732A21">
            <w:pPr>
              <w:rPr>
                <w:rFonts w:ascii="Times New Roman" w:hAnsi="Times New Roman"/>
                <w:sz w:val="20"/>
                <w:szCs w:val="20"/>
              </w:rPr>
            </w:pPr>
            <w:r w:rsidRPr="00BC54D1">
              <w:rPr>
                <w:rFonts w:ascii="Times New Roman" w:hAnsi="Times New Roman"/>
                <w:sz w:val="20"/>
                <w:szCs w:val="20"/>
              </w:rPr>
              <w:t xml:space="preserve"> </w:t>
            </w:r>
            <w:r w:rsidR="008D01F0" w:rsidRPr="00BC54D1">
              <w:rPr>
                <w:rFonts w:ascii="Times New Roman" w:hAnsi="Times New Roman"/>
                <w:i/>
                <w:iCs/>
                <w:sz w:val="20"/>
                <w:szCs w:val="20"/>
              </w:rPr>
              <w:t>R&amp;D</w:t>
            </w:r>
            <w:r w:rsidR="008D01F0" w:rsidRPr="00BC54D1">
              <w:rPr>
                <w:rFonts w:ascii="Times New Roman" w:hAnsi="Times New Roman"/>
                <w:sz w:val="20"/>
                <w:szCs w:val="20"/>
              </w:rPr>
              <w:t xml:space="preserve"> </w:t>
            </w:r>
            <w:r w:rsidR="00332D1E" w:rsidRPr="00BC54D1">
              <w:rPr>
                <w:rFonts w:ascii="Times New Roman" w:hAnsi="Times New Roman"/>
                <w:sz w:val="20"/>
                <w:szCs w:val="20"/>
              </w:rPr>
              <w:t>ratio</w:t>
            </w:r>
          </w:p>
        </w:tc>
        <w:tc>
          <w:tcPr>
            <w:tcW w:w="3125" w:type="dxa"/>
            <w:shd w:val="clear" w:color="auto" w:fill="auto"/>
            <w:vAlign w:val="center"/>
          </w:tcPr>
          <w:p w14:paraId="6C68F7E8" w14:textId="0D7C03DA" w:rsidR="00033763" w:rsidRPr="00BC54D1" w:rsidRDefault="008D01F0" w:rsidP="00732A21">
            <w:pPr>
              <w:rPr>
                <w:rFonts w:ascii="Times New Roman" w:hAnsi="Times New Roman"/>
                <w:sz w:val="20"/>
                <w:szCs w:val="20"/>
              </w:rPr>
            </w:pPr>
            <w:r w:rsidRPr="00BC54D1">
              <w:rPr>
                <w:rFonts w:ascii="Times New Roman" w:hAnsi="Times New Roman"/>
                <w:sz w:val="20"/>
                <w:szCs w:val="20"/>
              </w:rPr>
              <w:t>R&amp;D expenditure</w:t>
            </w:r>
            <w:r w:rsidR="00033763" w:rsidRPr="00BC54D1">
              <w:rPr>
                <w:rFonts w:ascii="Times New Roman" w:hAnsi="Times New Roman"/>
                <w:sz w:val="20"/>
                <w:szCs w:val="20"/>
              </w:rPr>
              <w:t xml:space="preserve"> scaled by Total Assets</w:t>
            </w:r>
          </w:p>
        </w:tc>
        <w:tc>
          <w:tcPr>
            <w:tcW w:w="2893" w:type="dxa"/>
            <w:vAlign w:val="center"/>
          </w:tcPr>
          <w:p w14:paraId="11FB7FDD" w14:textId="73D6378B" w:rsidR="00033763" w:rsidRPr="00BC54D1" w:rsidRDefault="008D01F0" w:rsidP="00732A21">
            <w:pPr>
              <w:rPr>
                <w:rFonts w:ascii="Times New Roman" w:hAnsi="Times New Roman"/>
                <w:sz w:val="20"/>
                <w:szCs w:val="20"/>
              </w:rPr>
            </w:pPr>
            <w:r w:rsidRPr="00BC54D1">
              <w:rPr>
                <w:rFonts w:ascii="Times New Roman" w:hAnsi="Times New Roman"/>
                <w:sz w:val="20"/>
                <w:szCs w:val="20"/>
              </w:rPr>
              <w:t xml:space="preserve">Hall and Lerner (2010), Brown </w:t>
            </w:r>
            <w:r w:rsidRPr="00BC54D1">
              <w:rPr>
                <w:rFonts w:ascii="Times New Roman" w:hAnsi="Times New Roman"/>
                <w:i/>
                <w:sz w:val="20"/>
                <w:szCs w:val="20"/>
              </w:rPr>
              <w:t>et al</w:t>
            </w:r>
            <w:r w:rsidRPr="00BC54D1">
              <w:rPr>
                <w:rFonts w:ascii="Times New Roman" w:hAnsi="Times New Roman"/>
                <w:sz w:val="20"/>
                <w:szCs w:val="20"/>
              </w:rPr>
              <w:t>. (2012)</w:t>
            </w:r>
            <w:r w:rsidR="005C734F" w:rsidRPr="00BC54D1">
              <w:rPr>
                <w:rFonts w:ascii="Times New Roman" w:hAnsi="Times New Roman"/>
                <w:sz w:val="20"/>
                <w:szCs w:val="20"/>
              </w:rPr>
              <w:t xml:space="preserve">, Gao </w:t>
            </w:r>
            <w:r w:rsidR="005C734F" w:rsidRPr="00BC54D1">
              <w:rPr>
                <w:rFonts w:ascii="Times New Roman" w:hAnsi="Times New Roman"/>
                <w:i/>
                <w:sz w:val="20"/>
                <w:szCs w:val="20"/>
              </w:rPr>
              <w:t>et al</w:t>
            </w:r>
            <w:r w:rsidR="005C734F" w:rsidRPr="00BC54D1">
              <w:rPr>
                <w:rFonts w:ascii="Times New Roman" w:hAnsi="Times New Roman"/>
                <w:sz w:val="20"/>
                <w:szCs w:val="20"/>
              </w:rPr>
              <w:t>. (2018)</w:t>
            </w:r>
          </w:p>
        </w:tc>
      </w:tr>
      <w:tr w:rsidR="00BC54D1" w:rsidRPr="00BC54D1" w14:paraId="1DA42D1E" w14:textId="77777777" w:rsidTr="00732A21">
        <w:trPr>
          <w:trHeight w:val="96"/>
        </w:trPr>
        <w:tc>
          <w:tcPr>
            <w:tcW w:w="2941" w:type="dxa"/>
            <w:shd w:val="clear" w:color="auto" w:fill="auto"/>
            <w:vAlign w:val="center"/>
          </w:tcPr>
          <w:p w14:paraId="524E42B0" w14:textId="3A14E85E" w:rsidR="00033763" w:rsidRPr="00BC54D1" w:rsidRDefault="00332D1E" w:rsidP="00732A21">
            <w:pPr>
              <w:rPr>
                <w:rFonts w:ascii="Times New Roman" w:hAnsi="Times New Roman"/>
                <w:sz w:val="20"/>
                <w:szCs w:val="20"/>
              </w:rPr>
            </w:pPr>
            <w:r w:rsidRPr="00BC54D1">
              <w:rPr>
                <w:rFonts w:ascii="Times New Roman" w:hAnsi="Times New Roman"/>
                <w:sz w:val="20"/>
                <w:szCs w:val="20"/>
              </w:rPr>
              <w:t xml:space="preserve">R&amp;D </w:t>
            </w:r>
            <w:r w:rsidR="00D9643C" w:rsidRPr="00BC54D1">
              <w:rPr>
                <w:rFonts w:ascii="Times New Roman" w:hAnsi="Times New Roman"/>
                <w:sz w:val="20"/>
                <w:szCs w:val="20"/>
              </w:rPr>
              <w:t>intensity</w:t>
            </w:r>
          </w:p>
        </w:tc>
        <w:tc>
          <w:tcPr>
            <w:tcW w:w="3125" w:type="dxa"/>
            <w:shd w:val="clear" w:color="auto" w:fill="auto"/>
            <w:vAlign w:val="center"/>
          </w:tcPr>
          <w:p w14:paraId="1F612A30" w14:textId="7C1DC98D" w:rsidR="00033763" w:rsidRPr="00BC54D1" w:rsidRDefault="00332D1E" w:rsidP="00732A21">
            <w:pPr>
              <w:rPr>
                <w:rFonts w:ascii="Times New Roman" w:hAnsi="Times New Roman"/>
                <w:sz w:val="20"/>
                <w:szCs w:val="20"/>
              </w:rPr>
            </w:pPr>
            <w:r w:rsidRPr="00BC54D1">
              <w:rPr>
                <w:rFonts w:ascii="Times New Roman" w:hAnsi="Times New Roman"/>
                <w:sz w:val="20"/>
                <w:szCs w:val="20"/>
              </w:rPr>
              <w:t xml:space="preserve">Dummy variable of one (1) if the R&amp;D ratio is positive and zero (0) otherwise  </w:t>
            </w:r>
          </w:p>
        </w:tc>
        <w:tc>
          <w:tcPr>
            <w:tcW w:w="2893" w:type="dxa"/>
            <w:vAlign w:val="center"/>
          </w:tcPr>
          <w:p w14:paraId="6D9C3B84" w14:textId="1DCA2262" w:rsidR="00033763" w:rsidRPr="00BC54D1" w:rsidRDefault="006565E1" w:rsidP="00732A21">
            <w:pPr>
              <w:rPr>
                <w:rFonts w:ascii="Times New Roman" w:hAnsi="Times New Roman"/>
                <w:sz w:val="20"/>
                <w:szCs w:val="20"/>
              </w:rPr>
            </w:pPr>
            <w:r w:rsidRPr="00BC54D1">
              <w:rPr>
                <w:rFonts w:ascii="Times New Roman" w:hAnsi="Times New Roman"/>
                <w:sz w:val="20"/>
                <w:szCs w:val="20"/>
              </w:rPr>
              <w:t xml:space="preserve">Gonzalez and Pazo (2008), Arrighetti </w:t>
            </w:r>
            <w:r w:rsidRPr="00BC54D1">
              <w:rPr>
                <w:rFonts w:ascii="Times New Roman" w:hAnsi="Times New Roman"/>
                <w:i/>
                <w:iCs/>
                <w:sz w:val="20"/>
                <w:szCs w:val="20"/>
              </w:rPr>
              <w:t>et al</w:t>
            </w:r>
            <w:r w:rsidRPr="00BC54D1">
              <w:rPr>
                <w:rFonts w:ascii="Times New Roman" w:hAnsi="Times New Roman"/>
                <w:sz w:val="20"/>
                <w:szCs w:val="20"/>
              </w:rPr>
              <w:t>. (2014)</w:t>
            </w:r>
          </w:p>
        </w:tc>
      </w:tr>
      <w:tr w:rsidR="00BC54D1" w:rsidRPr="00BC54D1" w14:paraId="3FC5FE1A" w14:textId="77777777" w:rsidTr="00732A21">
        <w:trPr>
          <w:trHeight w:val="96"/>
        </w:trPr>
        <w:tc>
          <w:tcPr>
            <w:tcW w:w="8959" w:type="dxa"/>
            <w:gridSpan w:val="3"/>
            <w:tcBorders>
              <w:bottom w:val="single" w:sz="4" w:space="0" w:color="auto"/>
            </w:tcBorders>
            <w:shd w:val="clear" w:color="auto" w:fill="auto"/>
            <w:vAlign w:val="center"/>
          </w:tcPr>
          <w:p w14:paraId="3E639C9C" w14:textId="77777777" w:rsidR="00033763" w:rsidRPr="00BC54D1" w:rsidRDefault="00033763" w:rsidP="00732A21">
            <w:pPr>
              <w:rPr>
                <w:rFonts w:ascii="Times New Roman" w:hAnsi="Times New Roman"/>
                <w:b/>
                <w:bCs/>
                <w:i/>
                <w:iCs/>
                <w:sz w:val="20"/>
                <w:szCs w:val="20"/>
              </w:rPr>
            </w:pPr>
            <w:r w:rsidRPr="00BC54D1">
              <w:rPr>
                <w:rFonts w:ascii="Times New Roman" w:hAnsi="Times New Roman"/>
                <w:b/>
                <w:bCs/>
                <w:i/>
                <w:iCs/>
                <w:sz w:val="20"/>
                <w:szCs w:val="20"/>
              </w:rPr>
              <w:t>Key Independent variables</w:t>
            </w:r>
          </w:p>
          <w:p w14:paraId="0E7BD5CE" w14:textId="77777777" w:rsidR="00033763" w:rsidRPr="00BC54D1" w:rsidRDefault="00033763" w:rsidP="00732A21">
            <w:pPr>
              <w:rPr>
                <w:rFonts w:ascii="Times New Roman" w:hAnsi="Times New Roman"/>
                <w:sz w:val="20"/>
                <w:szCs w:val="20"/>
              </w:rPr>
            </w:pPr>
          </w:p>
        </w:tc>
      </w:tr>
      <w:tr w:rsidR="00BC54D1" w:rsidRPr="00BC54D1" w14:paraId="224E4826" w14:textId="77777777" w:rsidTr="00732A21">
        <w:trPr>
          <w:trHeight w:val="96"/>
        </w:trPr>
        <w:tc>
          <w:tcPr>
            <w:tcW w:w="2941" w:type="dxa"/>
            <w:shd w:val="clear" w:color="auto" w:fill="auto"/>
            <w:vAlign w:val="center"/>
          </w:tcPr>
          <w:p w14:paraId="29B2031D" w14:textId="24ECBADD" w:rsidR="00033763" w:rsidRPr="00BC54D1" w:rsidRDefault="00004A65" w:rsidP="00732A21">
            <w:pPr>
              <w:rPr>
                <w:rFonts w:ascii="Times New Roman" w:hAnsi="Times New Roman"/>
                <w:sz w:val="20"/>
                <w:szCs w:val="20"/>
              </w:rPr>
            </w:pPr>
            <w:r w:rsidRPr="00BC54D1">
              <w:rPr>
                <w:rFonts w:ascii="Times New Roman" w:hAnsi="Times New Roman"/>
                <w:sz w:val="20"/>
                <w:szCs w:val="20"/>
              </w:rPr>
              <w:t xml:space="preserve">Firm </w:t>
            </w:r>
            <w:r w:rsidR="00075E26" w:rsidRPr="00BC54D1">
              <w:rPr>
                <w:rFonts w:ascii="Times New Roman" w:hAnsi="Times New Roman"/>
                <w:sz w:val="20"/>
                <w:szCs w:val="20"/>
              </w:rPr>
              <w:t xml:space="preserve">status </w:t>
            </w:r>
            <w:r w:rsidRPr="00BC54D1">
              <w:rPr>
                <w:rFonts w:ascii="Times New Roman" w:hAnsi="Times New Roman"/>
                <w:sz w:val="20"/>
                <w:szCs w:val="20"/>
              </w:rPr>
              <w:t xml:space="preserve">– Private (PRIV) </w:t>
            </w:r>
            <w:r w:rsidR="008335B2" w:rsidRPr="00BC54D1">
              <w:rPr>
                <w:rFonts w:ascii="Times New Roman" w:hAnsi="Times New Roman"/>
                <w:sz w:val="20"/>
                <w:szCs w:val="20"/>
              </w:rPr>
              <w:t>firm</w:t>
            </w:r>
          </w:p>
        </w:tc>
        <w:tc>
          <w:tcPr>
            <w:tcW w:w="3125" w:type="dxa"/>
            <w:shd w:val="clear" w:color="auto" w:fill="auto"/>
            <w:vAlign w:val="center"/>
          </w:tcPr>
          <w:p w14:paraId="2D2E36F1" w14:textId="6E95BC53" w:rsidR="00033763" w:rsidRPr="00BC54D1" w:rsidRDefault="00004A65" w:rsidP="00732A21">
            <w:pPr>
              <w:rPr>
                <w:rFonts w:ascii="Times New Roman" w:hAnsi="Times New Roman"/>
                <w:sz w:val="20"/>
                <w:szCs w:val="20"/>
              </w:rPr>
            </w:pPr>
            <w:r w:rsidRPr="00BC54D1">
              <w:rPr>
                <w:rFonts w:ascii="Times New Roman" w:hAnsi="Times New Roman"/>
                <w:kern w:val="3"/>
                <w:sz w:val="20"/>
                <w:szCs w:val="20"/>
              </w:rPr>
              <w:t xml:space="preserve">An indicator variable that takes the value of one (1) if a firm is privately owned, and zero (0) otherwise  </w:t>
            </w:r>
          </w:p>
        </w:tc>
        <w:tc>
          <w:tcPr>
            <w:tcW w:w="2893" w:type="dxa"/>
            <w:vAlign w:val="center"/>
          </w:tcPr>
          <w:p w14:paraId="60FE995C" w14:textId="0166BB3C" w:rsidR="00033763" w:rsidRPr="00BC54D1" w:rsidRDefault="00004A65" w:rsidP="00732A21">
            <w:pPr>
              <w:rPr>
                <w:rFonts w:ascii="Times New Roman" w:hAnsi="Times New Roman"/>
                <w:sz w:val="20"/>
                <w:szCs w:val="20"/>
              </w:rPr>
            </w:pPr>
            <w:r w:rsidRPr="00BC54D1">
              <w:rPr>
                <w:rFonts w:ascii="Times New Roman" w:hAnsi="Times New Roman"/>
                <w:sz w:val="20"/>
                <w:szCs w:val="20"/>
              </w:rPr>
              <w:t xml:space="preserve">Acharya &amp; Xu (2017) Gao </w:t>
            </w:r>
            <w:r w:rsidRPr="00BC54D1">
              <w:rPr>
                <w:rFonts w:ascii="Times New Roman" w:hAnsi="Times New Roman"/>
                <w:i/>
                <w:sz w:val="20"/>
                <w:szCs w:val="20"/>
              </w:rPr>
              <w:t>et al</w:t>
            </w:r>
            <w:r w:rsidRPr="00BC54D1">
              <w:rPr>
                <w:rFonts w:ascii="Times New Roman" w:hAnsi="Times New Roman"/>
                <w:sz w:val="20"/>
                <w:szCs w:val="20"/>
              </w:rPr>
              <w:t xml:space="preserve">. (2018) </w:t>
            </w:r>
          </w:p>
        </w:tc>
      </w:tr>
      <w:tr w:rsidR="00BC54D1" w:rsidRPr="00BC54D1" w14:paraId="1784154C" w14:textId="77777777" w:rsidTr="00732A21">
        <w:trPr>
          <w:trHeight w:val="96"/>
        </w:trPr>
        <w:tc>
          <w:tcPr>
            <w:tcW w:w="8959" w:type="dxa"/>
            <w:gridSpan w:val="3"/>
            <w:shd w:val="clear" w:color="auto" w:fill="auto"/>
            <w:vAlign w:val="center"/>
          </w:tcPr>
          <w:p w14:paraId="19DDEA2E" w14:textId="77777777" w:rsidR="00033763" w:rsidRPr="00BC54D1" w:rsidRDefault="00033763" w:rsidP="00732A21">
            <w:pPr>
              <w:rPr>
                <w:rFonts w:ascii="Times New Roman" w:hAnsi="Times New Roman"/>
                <w:b/>
                <w:bCs/>
                <w:i/>
                <w:iCs/>
                <w:sz w:val="20"/>
                <w:szCs w:val="20"/>
              </w:rPr>
            </w:pPr>
          </w:p>
          <w:p w14:paraId="716DAC9E" w14:textId="77777777" w:rsidR="00033763" w:rsidRPr="00BC54D1" w:rsidRDefault="00033763" w:rsidP="00732A21">
            <w:pPr>
              <w:rPr>
                <w:rFonts w:ascii="Times New Roman" w:hAnsi="Times New Roman"/>
                <w:sz w:val="20"/>
                <w:szCs w:val="20"/>
              </w:rPr>
            </w:pPr>
            <w:r w:rsidRPr="00BC54D1">
              <w:rPr>
                <w:rFonts w:ascii="Times New Roman" w:hAnsi="Times New Roman"/>
                <w:b/>
                <w:bCs/>
                <w:i/>
                <w:iCs/>
                <w:sz w:val="20"/>
                <w:szCs w:val="20"/>
              </w:rPr>
              <w:t>Control variables</w:t>
            </w:r>
          </w:p>
        </w:tc>
      </w:tr>
      <w:tr w:rsidR="00BC54D1" w:rsidRPr="00BC54D1" w14:paraId="31877120" w14:textId="77777777" w:rsidTr="00732A21">
        <w:trPr>
          <w:trHeight w:val="96"/>
        </w:trPr>
        <w:tc>
          <w:tcPr>
            <w:tcW w:w="2941" w:type="dxa"/>
            <w:shd w:val="clear" w:color="auto" w:fill="auto"/>
            <w:vAlign w:val="center"/>
          </w:tcPr>
          <w:p w14:paraId="44E87731" w14:textId="148DFBAF" w:rsidR="00570B78" w:rsidRPr="00BC54D1" w:rsidRDefault="00570B78" w:rsidP="00732A21">
            <w:pPr>
              <w:rPr>
                <w:rFonts w:ascii="Times New Roman" w:hAnsi="Times New Roman"/>
                <w:sz w:val="20"/>
                <w:szCs w:val="20"/>
              </w:rPr>
            </w:pPr>
            <w:r w:rsidRPr="00BC54D1">
              <w:rPr>
                <w:rFonts w:ascii="Times New Roman" w:hAnsi="Times New Roman"/>
                <w:sz w:val="20"/>
                <w:szCs w:val="20"/>
              </w:rPr>
              <w:t>Cash flow (</w:t>
            </w:r>
            <w:r w:rsidRPr="00BC54D1">
              <w:rPr>
                <w:rFonts w:ascii="Times New Roman" w:hAnsi="Times New Roman"/>
                <w:i/>
                <w:iCs/>
                <w:sz w:val="20"/>
                <w:szCs w:val="20"/>
              </w:rPr>
              <w:t>CF</w:t>
            </w:r>
            <w:r w:rsidRPr="00BC54D1">
              <w:rPr>
                <w:rFonts w:ascii="Times New Roman" w:hAnsi="Times New Roman"/>
                <w:sz w:val="20"/>
                <w:szCs w:val="20"/>
              </w:rPr>
              <w:t>)</w:t>
            </w:r>
          </w:p>
        </w:tc>
        <w:tc>
          <w:tcPr>
            <w:tcW w:w="3125" w:type="dxa"/>
            <w:shd w:val="clear" w:color="auto" w:fill="auto"/>
            <w:vAlign w:val="center"/>
          </w:tcPr>
          <w:p w14:paraId="25316E5D" w14:textId="29917267" w:rsidR="00570B78" w:rsidRPr="00BC54D1" w:rsidRDefault="00570B78" w:rsidP="00732A21">
            <w:pPr>
              <w:rPr>
                <w:rFonts w:ascii="Times New Roman" w:hAnsi="Times New Roman"/>
                <w:sz w:val="20"/>
                <w:szCs w:val="20"/>
              </w:rPr>
            </w:pPr>
            <w:r w:rsidRPr="00BC54D1">
              <w:rPr>
                <w:rFonts w:ascii="Times New Roman" w:hAnsi="Times New Roman"/>
                <w:sz w:val="20"/>
                <w:szCs w:val="20"/>
              </w:rPr>
              <w:t xml:space="preserve">EBITDA scaled </w:t>
            </w:r>
            <w:r w:rsidR="007836A5" w:rsidRPr="00BC54D1">
              <w:rPr>
                <w:rFonts w:ascii="Times New Roman" w:hAnsi="Times New Roman"/>
                <w:sz w:val="20"/>
                <w:szCs w:val="20"/>
              </w:rPr>
              <w:t xml:space="preserve">by </w:t>
            </w:r>
            <w:r w:rsidRPr="00BC54D1">
              <w:rPr>
                <w:rFonts w:ascii="Times New Roman" w:hAnsi="Times New Roman"/>
                <w:sz w:val="20"/>
                <w:szCs w:val="20"/>
              </w:rPr>
              <w:t>Total Assets</w:t>
            </w:r>
          </w:p>
        </w:tc>
        <w:tc>
          <w:tcPr>
            <w:tcW w:w="2893" w:type="dxa"/>
            <w:vAlign w:val="center"/>
          </w:tcPr>
          <w:p w14:paraId="7463BE46" w14:textId="5D29A2AB" w:rsidR="00570B78" w:rsidRPr="00BC54D1" w:rsidRDefault="00570B78" w:rsidP="00732A21">
            <w:pPr>
              <w:rPr>
                <w:rFonts w:ascii="Times New Roman" w:hAnsi="Times New Roman"/>
                <w:sz w:val="20"/>
                <w:szCs w:val="20"/>
              </w:rPr>
            </w:pPr>
            <w:r w:rsidRPr="00BC54D1">
              <w:rPr>
                <w:rFonts w:ascii="Times New Roman" w:hAnsi="Times New Roman"/>
                <w:sz w:val="20"/>
                <w:szCs w:val="20"/>
              </w:rPr>
              <w:t xml:space="preserve">Brown </w:t>
            </w:r>
            <w:r w:rsidRPr="00BC54D1">
              <w:rPr>
                <w:rFonts w:ascii="Times New Roman" w:hAnsi="Times New Roman"/>
                <w:i/>
                <w:sz w:val="20"/>
                <w:szCs w:val="20"/>
              </w:rPr>
              <w:t>et al</w:t>
            </w:r>
            <w:r w:rsidRPr="00BC54D1">
              <w:rPr>
                <w:rFonts w:ascii="Times New Roman" w:hAnsi="Times New Roman"/>
                <w:sz w:val="20"/>
                <w:szCs w:val="20"/>
              </w:rPr>
              <w:t xml:space="preserve">. (2012), </w:t>
            </w:r>
            <w:r w:rsidR="00496B8E" w:rsidRPr="00BC54D1">
              <w:rPr>
                <w:rFonts w:ascii="Times New Roman" w:hAnsi="Times New Roman"/>
                <w:sz w:val="20"/>
                <w:szCs w:val="20"/>
              </w:rPr>
              <w:t>Acharya &amp; Xu (2017)</w:t>
            </w:r>
            <w:r w:rsidR="008335B2" w:rsidRPr="00BC54D1">
              <w:rPr>
                <w:rFonts w:ascii="Times New Roman" w:hAnsi="Times New Roman"/>
                <w:sz w:val="20"/>
                <w:szCs w:val="20"/>
              </w:rPr>
              <w:t xml:space="preserve"> </w:t>
            </w:r>
          </w:p>
        </w:tc>
      </w:tr>
      <w:tr w:rsidR="00BC54D1" w:rsidRPr="00BC54D1" w14:paraId="27017925" w14:textId="77777777" w:rsidTr="00732A21">
        <w:trPr>
          <w:trHeight w:val="96"/>
        </w:trPr>
        <w:tc>
          <w:tcPr>
            <w:tcW w:w="2941" w:type="dxa"/>
            <w:shd w:val="clear" w:color="auto" w:fill="auto"/>
            <w:vAlign w:val="center"/>
          </w:tcPr>
          <w:p w14:paraId="4FAE50F0" w14:textId="28C97166" w:rsidR="00570B78" w:rsidRPr="00BC54D1" w:rsidRDefault="00496B8E" w:rsidP="00732A21">
            <w:pPr>
              <w:rPr>
                <w:rFonts w:ascii="Times New Roman" w:hAnsi="Times New Roman"/>
                <w:sz w:val="20"/>
                <w:szCs w:val="20"/>
              </w:rPr>
            </w:pPr>
            <w:r w:rsidRPr="00BC54D1">
              <w:rPr>
                <w:rFonts w:ascii="Times New Roman" w:hAnsi="Times New Roman"/>
                <w:sz w:val="20"/>
                <w:szCs w:val="20"/>
              </w:rPr>
              <w:t xml:space="preserve">Sales </w:t>
            </w:r>
            <w:r w:rsidR="00075E26" w:rsidRPr="00BC54D1">
              <w:rPr>
                <w:rFonts w:ascii="Times New Roman" w:hAnsi="Times New Roman"/>
                <w:sz w:val="20"/>
                <w:szCs w:val="20"/>
              </w:rPr>
              <w:t xml:space="preserve">growth </w:t>
            </w:r>
            <w:r w:rsidRPr="00BC54D1">
              <w:rPr>
                <w:rFonts w:ascii="Times New Roman" w:hAnsi="Times New Roman"/>
                <w:sz w:val="20"/>
                <w:szCs w:val="20"/>
              </w:rPr>
              <w:t>(</w:t>
            </w:r>
            <w:r w:rsidRPr="00BC54D1">
              <w:rPr>
                <w:rFonts w:ascii="Times New Roman" w:hAnsi="Times New Roman"/>
                <w:i/>
                <w:iCs/>
                <w:sz w:val="20"/>
                <w:szCs w:val="20"/>
              </w:rPr>
              <w:t>SGR</w:t>
            </w:r>
            <w:r w:rsidRPr="00BC54D1">
              <w:rPr>
                <w:rFonts w:ascii="Times New Roman" w:hAnsi="Times New Roman"/>
                <w:sz w:val="20"/>
                <w:szCs w:val="20"/>
              </w:rPr>
              <w:t>)</w:t>
            </w:r>
          </w:p>
        </w:tc>
        <w:tc>
          <w:tcPr>
            <w:tcW w:w="3125" w:type="dxa"/>
            <w:shd w:val="clear" w:color="auto" w:fill="auto"/>
            <w:vAlign w:val="center"/>
          </w:tcPr>
          <w:p w14:paraId="6D63DF3A" w14:textId="58FFC84E" w:rsidR="00570B78" w:rsidRPr="00BC54D1" w:rsidRDefault="00496B8E" w:rsidP="00732A21">
            <w:pPr>
              <w:rPr>
                <w:rFonts w:ascii="Times New Roman" w:hAnsi="Times New Roman"/>
                <w:sz w:val="20"/>
                <w:szCs w:val="20"/>
              </w:rPr>
            </w:pPr>
            <w:r w:rsidRPr="00BC54D1">
              <w:rPr>
                <w:rFonts w:ascii="Times New Roman" w:hAnsi="Times New Roman"/>
                <w:kern w:val="3"/>
                <w:sz w:val="20"/>
                <w:szCs w:val="20"/>
              </w:rPr>
              <w:t>Log of Sales</w:t>
            </w:r>
            <w:r w:rsidRPr="00BC54D1">
              <w:rPr>
                <w:rFonts w:ascii="Times New Roman" w:hAnsi="Times New Roman"/>
                <w:kern w:val="3"/>
                <w:sz w:val="20"/>
                <w:szCs w:val="20"/>
                <w:vertAlign w:val="subscript"/>
              </w:rPr>
              <w:t xml:space="preserve">_t-1 </w:t>
            </w:r>
            <w:r w:rsidRPr="00BC54D1">
              <w:rPr>
                <w:rFonts w:ascii="Times New Roman" w:hAnsi="Times New Roman"/>
                <w:kern w:val="3"/>
                <w:sz w:val="20"/>
                <w:szCs w:val="20"/>
              </w:rPr>
              <w:t xml:space="preserve">minus </w:t>
            </w:r>
            <w:proofErr w:type="spellStart"/>
            <w:r w:rsidRPr="00BC54D1">
              <w:rPr>
                <w:rFonts w:ascii="Times New Roman" w:hAnsi="Times New Roman"/>
                <w:kern w:val="3"/>
                <w:sz w:val="20"/>
                <w:szCs w:val="20"/>
              </w:rPr>
              <w:t>Sales_t</w:t>
            </w:r>
            <w:proofErr w:type="spellEnd"/>
            <w:r w:rsidRPr="00BC54D1">
              <w:rPr>
                <w:rFonts w:ascii="Times New Roman" w:hAnsi="Times New Roman"/>
                <w:kern w:val="3"/>
                <w:sz w:val="20"/>
                <w:szCs w:val="20"/>
              </w:rPr>
              <w:t>. i.e., change in log of sales_t-1 to year _t.</w:t>
            </w:r>
          </w:p>
        </w:tc>
        <w:tc>
          <w:tcPr>
            <w:tcW w:w="2893" w:type="dxa"/>
            <w:vAlign w:val="center"/>
          </w:tcPr>
          <w:p w14:paraId="2B779E52" w14:textId="201F6443" w:rsidR="00570B78" w:rsidRPr="00BC54D1" w:rsidRDefault="0095147A" w:rsidP="00732A21">
            <w:pPr>
              <w:rPr>
                <w:rFonts w:ascii="Times New Roman" w:hAnsi="Times New Roman"/>
                <w:sz w:val="20"/>
                <w:szCs w:val="20"/>
              </w:rPr>
            </w:pPr>
            <w:r w:rsidRPr="00BC54D1">
              <w:rPr>
                <w:rFonts w:ascii="Times New Roman" w:hAnsi="Times New Roman"/>
                <w:sz w:val="20"/>
                <w:szCs w:val="20"/>
              </w:rPr>
              <w:t>Badertscher</w:t>
            </w:r>
            <w:r w:rsidR="00496B8E" w:rsidRPr="00BC54D1">
              <w:rPr>
                <w:rFonts w:ascii="Times New Roman" w:hAnsi="Times New Roman"/>
                <w:sz w:val="20"/>
                <w:szCs w:val="20"/>
              </w:rPr>
              <w:t xml:space="preserve"> </w:t>
            </w:r>
            <w:r w:rsidR="00496B8E" w:rsidRPr="00BC54D1">
              <w:rPr>
                <w:rFonts w:ascii="Times New Roman" w:hAnsi="Times New Roman"/>
                <w:i/>
                <w:sz w:val="20"/>
                <w:szCs w:val="20"/>
              </w:rPr>
              <w:t>et al</w:t>
            </w:r>
            <w:r w:rsidR="00496B8E" w:rsidRPr="00BC54D1">
              <w:rPr>
                <w:rFonts w:ascii="Times New Roman" w:hAnsi="Times New Roman"/>
                <w:sz w:val="20"/>
                <w:szCs w:val="20"/>
              </w:rPr>
              <w:t>. (2013), Asker</w:t>
            </w:r>
            <w:r w:rsidR="002968D7" w:rsidRPr="00BC54D1">
              <w:rPr>
                <w:rFonts w:ascii="Times New Roman" w:hAnsi="Times New Roman"/>
                <w:sz w:val="20"/>
                <w:szCs w:val="20"/>
              </w:rPr>
              <w:t xml:space="preserve"> </w:t>
            </w:r>
            <w:r w:rsidR="002968D7" w:rsidRPr="00BC54D1">
              <w:rPr>
                <w:rFonts w:ascii="Times New Roman" w:hAnsi="Times New Roman"/>
                <w:i/>
                <w:iCs/>
                <w:sz w:val="20"/>
                <w:szCs w:val="20"/>
              </w:rPr>
              <w:t>et a</w:t>
            </w:r>
            <w:r w:rsidR="008A50CC" w:rsidRPr="00BC54D1">
              <w:rPr>
                <w:rFonts w:ascii="Times New Roman" w:hAnsi="Times New Roman"/>
                <w:i/>
                <w:iCs/>
                <w:sz w:val="20"/>
                <w:szCs w:val="20"/>
              </w:rPr>
              <w:t xml:space="preserve">l. </w:t>
            </w:r>
            <w:r w:rsidR="00496B8E" w:rsidRPr="00BC54D1">
              <w:rPr>
                <w:rFonts w:ascii="Times New Roman" w:hAnsi="Times New Roman"/>
                <w:sz w:val="20"/>
                <w:szCs w:val="20"/>
              </w:rPr>
              <w:t xml:space="preserve">(2012)  </w:t>
            </w:r>
          </w:p>
        </w:tc>
      </w:tr>
      <w:tr w:rsidR="00BC54D1" w:rsidRPr="00BC54D1" w14:paraId="535D5CDF" w14:textId="77777777" w:rsidTr="00732A21">
        <w:trPr>
          <w:trHeight w:val="96"/>
        </w:trPr>
        <w:tc>
          <w:tcPr>
            <w:tcW w:w="2941" w:type="dxa"/>
            <w:shd w:val="clear" w:color="auto" w:fill="auto"/>
            <w:vAlign w:val="center"/>
          </w:tcPr>
          <w:p w14:paraId="164C0C83" w14:textId="531029F9" w:rsidR="00346070" w:rsidRPr="00BC54D1" w:rsidRDefault="00346070" w:rsidP="00732A21">
            <w:pPr>
              <w:rPr>
                <w:rFonts w:ascii="Times New Roman" w:hAnsi="Times New Roman"/>
                <w:sz w:val="20"/>
                <w:szCs w:val="20"/>
              </w:rPr>
            </w:pPr>
            <w:r w:rsidRPr="00BC54D1">
              <w:rPr>
                <w:rFonts w:ascii="Times New Roman" w:hAnsi="Times New Roman"/>
                <w:sz w:val="20"/>
                <w:szCs w:val="20"/>
              </w:rPr>
              <w:t xml:space="preserve">Firm </w:t>
            </w:r>
            <w:r w:rsidR="00075E26" w:rsidRPr="00BC54D1">
              <w:rPr>
                <w:rFonts w:ascii="Times New Roman" w:hAnsi="Times New Roman"/>
                <w:sz w:val="20"/>
                <w:szCs w:val="20"/>
              </w:rPr>
              <w:t xml:space="preserve">size </w:t>
            </w:r>
            <w:r w:rsidRPr="00BC54D1">
              <w:rPr>
                <w:rFonts w:ascii="Times New Roman" w:hAnsi="Times New Roman"/>
                <w:sz w:val="20"/>
                <w:szCs w:val="20"/>
              </w:rPr>
              <w:t>(</w:t>
            </w:r>
            <w:r w:rsidRPr="00BC54D1">
              <w:rPr>
                <w:rFonts w:ascii="Times New Roman" w:hAnsi="Times New Roman"/>
                <w:i/>
                <w:iCs/>
                <w:sz w:val="20"/>
                <w:szCs w:val="20"/>
              </w:rPr>
              <w:t>SZ</w:t>
            </w:r>
            <w:r w:rsidRPr="00BC54D1">
              <w:rPr>
                <w:rFonts w:ascii="Times New Roman" w:hAnsi="Times New Roman"/>
                <w:sz w:val="20"/>
                <w:szCs w:val="20"/>
              </w:rPr>
              <w:t>)</w:t>
            </w:r>
          </w:p>
        </w:tc>
        <w:tc>
          <w:tcPr>
            <w:tcW w:w="3125" w:type="dxa"/>
            <w:shd w:val="clear" w:color="auto" w:fill="auto"/>
            <w:vAlign w:val="center"/>
          </w:tcPr>
          <w:p w14:paraId="7E88B376" w14:textId="7717B1F4" w:rsidR="00346070" w:rsidRPr="00BC54D1" w:rsidRDefault="00346070" w:rsidP="00732A21">
            <w:pPr>
              <w:rPr>
                <w:rFonts w:ascii="Times New Roman" w:hAnsi="Times New Roman"/>
                <w:sz w:val="20"/>
                <w:szCs w:val="20"/>
              </w:rPr>
            </w:pPr>
            <w:r w:rsidRPr="00BC54D1">
              <w:rPr>
                <w:rFonts w:ascii="Times New Roman" w:hAnsi="Times New Roman"/>
                <w:sz w:val="20"/>
                <w:szCs w:val="20"/>
              </w:rPr>
              <w:t>Natural logarithm of Total Assets</w:t>
            </w:r>
          </w:p>
        </w:tc>
        <w:tc>
          <w:tcPr>
            <w:tcW w:w="2893" w:type="dxa"/>
            <w:vAlign w:val="center"/>
          </w:tcPr>
          <w:p w14:paraId="5D59A6B5" w14:textId="21526AF7" w:rsidR="00346070" w:rsidRPr="00BC54D1" w:rsidRDefault="00346070" w:rsidP="00732A21">
            <w:pPr>
              <w:rPr>
                <w:rFonts w:ascii="Times New Roman" w:hAnsi="Times New Roman"/>
                <w:sz w:val="20"/>
                <w:szCs w:val="20"/>
              </w:rPr>
            </w:pPr>
            <w:r w:rsidRPr="00BC54D1">
              <w:rPr>
                <w:rFonts w:ascii="Times New Roman" w:hAnsi="Times New Roman"/>
                <w:sz w:val="20"/>
                <w:szCs w:val="20"/>
              </w:rPr>
              <w:t xml:space="preserve">Acharya </w:t>
            </w:r>
            <w:r w:rsidR="00C2697B" w:rsidRPr="00BC54D1">
              <w:rPr>
                <w:rFonts w:ascii="Times New Roman" w:hAnsi="Times New Roman"/>
                <w:sz w:val="20"/>
                <w:szCs w:val="20"/>
              </w:rPr>
              <w:t>and</w:t>
            </w:r>
            <w:r w:rsidRPr="00BC54D1">
              <w:rPr>
                <w:rFonts w:ascii="Times New Roman" w:hAnsi="Times New Roman"/>
                <w:sz w:val="20"/>
                <w:szCs w:val="20"/>
              </w:rPr>
              <w:t xml:space="preserve"> Xu (2017), Danso </w:t>
            </w:r>
            <w:r w:rsidRPr="00BC54D1">
              <w:rPr>
                <w:rFonts w:ascii="Times New Roman" w:hAnsi="Times New Roman"/>
                <w:i/>
                <w:sz w:val="20"/>
                <w:szCs w:val="20"/>
              </w:rPr>
              <w:t>et al</w:t>
            </w:r>
            <w:r w:rsidRPr="00BC54D1">
              <w:rPr>
                <w:rFonts w:ascii="Times New Roman" w:hAnsi="Times New Roman"/>
                <w:sz w:val="20"/>
                <w:szCs w:val="20"/>
              </w:rPr>
              <w:t>. (2020),</w:t>
            </w:r>
            <w:r w:rsidR="00321503" w:rsidRPr="00BC54D1">
              <w:rPr>
                <w:rFonts w:ascii="Times New Roman" w:hAnsi="Times New Roman"/>
                <w:sz w:val="20"/>
                <w:szCs w:val="20"/>
              </w:rPr>
              <w:t xml:space="preserve"> Arrighetti </w:t>
            </w:r>
            <w:r w:rsidR="00321503" w:rsidRPr="00BC54D1">
              <w:rPr>
                <w:rFonts w:ascii="Times New Roman" w:hAnsi="Times New Roman"/>
                <w:i/>
                <w:sz w:val="20"/>
                <w:szCs w:val="20"/>
              </w:rPr>
              <w:t>et al</w:t>
            </w:r>
            <w:r w:rsidR="00321503" w:rsidRPr="00BC54D1">
              <w:rPr>
                <w:rFonts w:ascii="Times New Roman" w:hAnsi="Times New Roman"/>
                <w:sz w:val="20"/>
                <w:szCs w:val="20"/>
              </w:rPr>
              <w:t xml:space="preserve">. </w:t>
            </w:r>
            <w:r w:rsidR="007836A5" w:rsidRPr="00BC54D1">
              <w:rPr>
                <w:rFonts w:ascii="Times New Roman" w:hAnsi="Times New Roman"/>
                <w:sz w:val="20"/>
                <w:szCs w:val="20"/>
              </w:rPr>
              <w:t>(</w:t>
            </w:r>
            <w:r w:rsidR="00321503" w:rsidRPr="00BC54D1">
              <w:rPr>
                <w:rFonts w:ascii="Times New Roman" w:hAnsi="Times New Roman"/>
                <w:sz w:val="20"/>
                <w:szCs w:val="20"/>
              </w:rPr>
              <w:t>2014</w:t>
            </w:r>
            <w:r w:rsidR="007836A5" w:rsidRPr="00BC54D1">
              <w:rPr>
                <w:rFonts w:ascii="Times New Roman" w:hAnsi="Times New Roman"/>
                <w:sz w:val="20"/>
                <w:szCs w:val="20"/>
              </w:rPr>
              <w:t>)</w:t>
            </w:r>
          </w:p>
        </w:tc>
      </w:tr>
      <w:tr w:rsidR="00BC54D1" w:rsidRPr="00BC54D1" w14:paraId="3A61DF8F" w14:textId="77777777" w:rsidTr="00732A21">
        <w:trPr>
          <w:trHeight w:val="96"/>
        </w:trPr>
        <w:tc>
          <w:tcPr>
            <w:tcW w:w="2941" w:type="dxa"/>
            <w:shd w:val="clear" w:color="auto" w:fill="auto"/>
            <w:vAlign w:val="center"/>
          </w:tcPr>
          <w:p w14:paraId="3EC5735F" w14:textId="7302DC50" w:rsidR="008870B5" w:rsidRPr="00BC54D1" w:rsidRDefault="008870B5" w:rsidP="00732A21">
            <w:pPr>
              <w:rPr>
                <w:rFonts w:ascii="Times New Roman" w:hAnsi="Times New Roman"/>
                <w:sz w:val="20"/>
                <w:szCs w:val="20"/>
              </w:rPr>
            </w:pPr>
            <w:r w:rsidRPr="00BC54D1">
              <w:rPr>
                <w:rFonts w:ascii="Times New Roman" w:hAnsi="Times New Roman"/>
                <w:sz w:val="20"/>
                <w:szCs w:val="20"/>
              </w:rPr>
              <w:t>Cash holdings (</w:t>
            </w:r>
            <w:r w:rsidRPr="00BC54D1">
              <w:rPr>
                <w:rFonts w:ascii="Times New Roman" w:hAnsi="Times New Roman"/>
                <w:i/>
                <w:iCs/>
                <w:sz w:val="20"/>
                <w:szCs w:val="20"/>
              </w:rPr>
              <w:t>CH</w:t>
            </w:r>
            <w:r w:rsidRPr="00BC54D1">
              <w:rPr>
                <w:rFonts w:ascii="Times New Roman" w:hAnsi="Times New Roman"/>
                <w:sz w:val="20"/>
                <w:szCs w:val="20"/>
              </w:rPr>
              <w:t>)</w:t>
            </w:r>
          </w:p>
        </w:tc>
        <w:tc>
          <w:tcPr>
            <w:tcW w:w="3125" w:type="dxa"/>
            <w:shd w:val="clear" w:color="auto" w:fill="auto"/>
            <w:vAlign w:val="center"/>
          </w:tcPr>
          <w:p w14:paraId="54D80E61" w14:textId="71DE59CC" w:rsidR="008870B5" w:rsidRPr="00BC54D1" w:rsidRDefault="008870B5" w:rsidP="008870B5">
            <w:pPr>
              <w:rPr>
                <w:rFonts w:ascii="Times New Roman" w:hAnsi="Times New Roman"/>
                <w:sz w:val="20"/>
                <w:szCs w:val="20"/>
              </w:rPr>
            </w:pPr>
            <w:r w:rsidRPr="00BC54D1">
              <w:rPr>
                <w:rFonts w:ascii="Times New Roman" w:hAnsi="Times New Roman"/>
                <w:sz w:val="20"/>
                <w:szCs w:val="20"/>
              </w:rPr>
              <w:t xml:space="preserve">Cash holdings scaled by Total Assets </w:t>
            </w:r>
          </w:p>
          <w:p w14:paraId="37E7C6B9" w14:textId="77777777" w:rsidR="008870B5" w:rsidRPr="00BC54D1" w:rsidRDefault="008870B5" w:rsidP="00732A21">
            <w:pPr>
              <w:rPr>
                <w:rFonts w:ascii="Times New Roman" w:hAnsi="Times New Roman"/>
                <w:sz w:val="20"/>
                <w:szCs w:val="20"/>
              </w:rPr>
            </w:pPr>
          </w:p>
        </w:tc>
        <w:tc>
          <w:tcPr>
            <w:tcW w:w="2893" w:type="dxa"/>
            <w:vAlign w:val="center"/>
          </w:tcPr>
          <w:p w14:paraId="51BF7E6C" w14:textId="26F4D3E9" w:rsidR="008870B5" w:rsidRPr="00BC54D1" w:rsidRDefault="008870B5" w:rsidP="00732A21">
            <w:pPr>
              <w:rPr>
                <w:rFonts w:ascii="Times New Roman" w:hAnsi="Times New Roman"/>
                <w:sz w:val="20"/>
                <w:szCs w:val="20"/>
              </w:rPr>
            </w:pPr>
            <w:r w:rsidRPr="00BC54D1">
              <w:rPr>
                <w:rFonts w:ascii="Times New Roman" w:hAnsi="Times New Roman"/>
                <w:sz w:val="20"/>
                <w:szCs w:val="20"/>
              </w:rPr>
              <w:t xml:space="preserve">Acharya </w:t>
            </w:r>
            <w:r w:rsidR="00451571" w:rsidRPr="00BC54D1">
              <w:rPr>
                <w:rFonts w:ascii="Times New Roman" w:hAnsi="Times New Roman"/>
                <w:sz w:val="20"/>
                <w:szCs w:val="20"/>
              </w:rPr>
              <w:t>and</w:t>
            </w:r>
            <w:r w:rsidRPr="00BC54D1">
              <w:rPr>
                <w:rFonts w:ascii="Times New Roman" w:hAnsi="Times New Roman"/>
                <w:sz w:val="20"/>
                <w:szCs w:val="20"/>
              </w:rPr>
              <w:t xml:space="preserve"> Xu (2017), Brown </w:t>
            </w:r>
            <w:r w:rsidRPr="00BC54D1">
              <w:rPr>
                <w:rFonts w:ascii="Times New Roman" w:hAnsi="Times New Roman"/>
                <w:i/>
                <w:sz w:val="20"/>
                <w:szCs w:val="20"/>
              </w:rPr>
              <w:t>et al</w:t>
            </w:r>
            <w:r w:rsidRPr="00BC54D1">
              <w:rPr>
                <w:rFonts w:ascii="Times New Roman" w:hAnsi="Times New Roman"/>
                <w:sz w:val="20"/>
                <w:szCs w:val="20"/>
              </w:rPr>
              <w:t>. (2012)</w:t>
            </w:r>
          </w:p>
        </w:tc>
      </w:tr>
      <w:tr w:rsidR="00BC54D1" w:rsidRPr="00BC54D1" w14:paraId="6BF33E6D" w14:textId="77777777" w:rsidTr="00732A21">
        <w:trPr>
          <w:trHeight w:val="96"/>
        </w:trPr>
        <w:tc>
          <w:tcPr>
            <w:tcW w:w="2941" w:type="dxa"/>
            <w:shd w:val="clear" w:color="auto" w:fill="auto"/>
            <w:vAlign w:val="center"/>
          </w:tcPr>
          <w:p w14:paraId="4131CDAA" w14:textId="77777777" w:rsidR="00033763" w:rsidRPr="00BC54D1" w:rsidRDefault="00033763" w:rsidP="00732A21">
            <w:pPr>
              <w:rPr>
                <w:rFonts w:ascii="Times New Roman" w:hAnsi="Times New Roman"/>
                <w:sz w:val="20"/>
                <w:szCs w:val="20"/>
              </w:rPr>
            </w:pPr>
            <w:r w:rsidRPr="00BC54D1">
              <w:rPr>
                <w:rFonts w:ascii="Times New Roman" w:hAnsi="Times New Roman"/>
                <w:sz w:val="20"/>
                <w:szCs w:val="20"/>
              </w:rPr>
              <w:t>Leverage (</w:t>
            </w:r>
            <w:r w:rsidRPr="00BC54D1">
              <w:rPr>
                <w:rFonts w:ascii="Times New Roman" w:hAnsi="Times New Roman"/>
                <w:i/>
                <w:sz w:val="20"/>
                <w:szCs w:val="20"/>
              </w:rPr>
              <w:t>LEV</w:t>
            </w:r>
            <w:r w:rsidRPr="00BC54D1">
              <w:rPr>
                <w:rFonts w:ascii="Times New Roman" w:hAnsi="Times New Roman"/>
                <w:iCs/>
                <w:sz w:val="20"/>
                <w:szCs w:val="20"/>
              </w:rPr>
              <w:t>)</w:t>
            </w:r>
          </w:p>
        </w:tc>
        <w:tc>
          <w:tcPr>
            <w:tcW w:w="3125" w:type="dxa"/>
            <w:shd w:val="clear" w:color="auto" w:fill="auto"/>
            <w:vAlign w:val="center"/>
          </w:tcPr>
          <w:p w14:paraId="2EABD06B" w14:textId="0A97EECC" w:rsidR="00033763" w:rsidRPr="00BC54D1" w:rsidRDefault="00033763" w:rsidP="00732A21">
            <w:pPr>
              <w:rPr>
                <w:rFonts w:ascii="Times New Roman" w:hAnsi="Times New Roman"/>
                <w:sz w:val="20"/>
                <w:szCs w:val="20"/>
              </w:rPr>
            </w:pPr>
            <w:r w:rsidRPr="00BC54D1">
              <w:rPr>
                <w:rFonts w:ascii="Times New Roman" w:hAnsi="Times New Roman"/>
                <w:sz w:val="20"/>
                <w:szCs w:val="20"/>
              </w:rPr>
              <w:t>Total Debt scaled</w:t>
            </w:r>
            <w:r w:rsidR="00350C8D" w:rsidRPr="00BC54D1">
              <w:rPr>
                <w:rFonts w:ascii="Times New Roman" w:hAnsi="Times New Roman"/>
                <w:sz w:val="20"/>
                <w:szCs w:val="20"/>
              </w:rPr>
              <w:t xml:space="preserve"> by</w:t>
            </w:r>
            <w:r w:rsidRPr="00BC54D1">
              <w:rPr>
                <w:rFonts w:ascii="Times New Roman" w:hAnsi="Times New Roman"/>
                <w:sz w:val="20"/>
                <w:szCs w:val="20"/>
              </w:rPr>
              <w:t xml:space="preserve"> Total Assets </w:t>
            </w:r>
          </w:p>
        </w:tc>
        <w:tc>
          <w:tcPr>
            <w:tcW w:w="2893" w:type="dxa"/>
            <w:vAlign w:val="center"/>
          </w:tcPr>
          <w:p w14:paraId="106774A9" w14:textId="1972668A" w:rsidR="00033763" w:rsidRPr="00BC54D1" w:rsidRDefault="00990BEE" w:rsidP="00732A21">
            <w:pPr>
              <w:rPr>
                <w:rFonts w:ascii="Times New Roman" w:hAnsi="Times New Roman"/>
                <w:sz w:val="20"/>
                <w:szCs w:val="20"/>
              </w:rPr>
            </w:pPr>
            <w:r w:rsidRPr="00BC54D1">
              <w:rPr>
                <w:rFonts w:ascii="Times New Roman" w:hAnsi="Times New Roman"/>
                <w:sz w:val="20"/>
                <w:szCs w:val="20"/>
              </w:rPr>
              <w:t xml:space="preserve">Gao </w:t>
            </w:r>
            <w:r w:rsidRPr="00BC54D1">
              <w:rPr>
                <w:rFonts w:ascii="Times New Roman" w:hAnsi="Times New Roman"/>
                <w:i/>
                <w:sz w:val="20"/>
                <w:szCs w:val="20"/>
              </w:rPr>
              <w:t>et al</w:t>
            </w:r>
            <w:r w:rsidRPr="00BC54D1">
              <w:rPr>
                <w:rFonts w:ascii="Times New Roman" w:hAnsi="Times New Roman"/>
                <w:sz w:val="20"/>
                <w:szCs w:val="20"/>
              </w:rPr>
              <w:t xml:space="preserve">. (2018), Acharya </w:t>
            </w:r>
            <w:r w:rsidR="00C2697B" w:rsidRPr="00BC54D1">
              <w:rPr>
                <w:rFonts w:ascii="Times New Roman" w:hAnsi="Times New Roman"/>
                <w:sz w:val="20"/>
                <w:szCs w:val="20"/>
              </w:rPr>
              <w:t>and</w:t>
            </w:r>
            <w:r w:rsidRPr="00BC54D1">
              <w:rPr>
                <w:rFonts w:ascii="Times New Roman" w:hAnsi="Times New Roman"/>
                <w:sz w:val="20"/>
                <w:szCs w:val="20"/>
              </w:rPr>
              <w:t xml:space="preserve"> Xu (2017). </w:t>
            </w:r>
          </w:p>
        </w:tc>
      </w:tr>
      <w:tr w:rsidR="00BC54D1" w:rsidRPr="00BC54D1" w14:paraId="73B530E5" w14:textId="77777777" w:rsidTr="00732A21">
        <w:trPr>
          <w:trHeight w:val="96"/>
        </w:trPr>
        <w:tc>
          <w:tcPr>
            <w:tcW w:w="2941" w:type="dxa"/>
            <w:shd w:val="clear" w:color="auto" w:fill="auto"/>
            <w:vAlign w:val="center"/>
          </w:tcPr>
          <w:p w14:paraId="3C616E08" w14:textId="73E0F1A1" w:rsidR="005C734F" w:rsidRPr="00BC54D1" w:rsidRDefault="005C734F" w:rsidP="00732A21">
            <w:pPr>
              <w:rPr>
                <w:rFonts w:ascii="Times New Roman" w:hAnsi="Times New Roman"/>
                <w:sz w:val="20"/>
                <w:szCs w:val="20"/>
              </w:rPr>
            </w:pPr>
            <w:r w:rsidRPr="00BC54D1">
              <w:rPr>
                <w:rFonts w:ascii="Times New Roman" w:hAnsi="Times New Roman"/>
                <w:sz w:val="20"/>
                <w:szCs w:val="20"/>
              </w:rPr>
              <w:t>Profitability (</w:t>
            </w:r>
            <w:r w:rsidRPr="00BC54D1">
              <w:rPr>
                <w:rFonts w:ascii="Times New Roman" w:hAnsi="Times New Roman"/>
                <w:i/>
                <w:iCs/>
                <w:sz w:val="20"/>
                <w:szCs w:val="20"/>
              </w:rPr>
              <w:t>PR</w:t>
            </w:r>
            <w:r w:rsidRPr="00BC54D1">
              <w:rPr>
                <w:rFonts w:ascii="Times New Roman" w:hAnsi="Times New Roman"/>
                <w:sz w:val="20"/>
                <w:szCs w:val="20"/>
              </w:rPr>
              <w:t>)</w:t>
            </w:r>
          </w:p>
        </w:tc>
        <w:tc>
          <w:tcPr>
            <w:tcW w:w="3125" w:type="dxa"/>
            <w:shd w:val="clear" w:color="auto" w:fill="auto"/>
            <w:vAlign w:val="center"/>
          </w:tcPr>
          <w:p w14:paraId="00C6F710" w14:textId="40A1BDF4" w:rsidR="005C734F" w:rsidRPr="00BC54D1" w:rsidRDefault="005C734F" w:rsidP="00732A21">
            <w:pPr>
              <w:widowControl w:val="0"/>
              <w:suppressAutoHyphens/>
              <w:autoSpaceDN w:val="0"/>
              <w:spacing w:line="360" w:lineRule="auto"/>
              <w:textAlignment w:val="baseline"/>
              <w:rPr>
                <w:rFonts w:ascii="Times New Roman" w:hAnsi="Times New Roman"/>
                <w:kern w:val="3"/>
                <w:sz w:val="20"/>
                <w:szCs w:val="20"/>
              </w:rPr>
            </w:pPr>
            <w:r w:rsidRPr="00BC54D1">
              <w:rPr>
                <w:rFonts w:ascii="Times New Roman" w:hAnsi="Times New Roman"/>
                <w:kern w:val="3"/>
                <w:sz w:val="20"/>
                <w:szCs w:val="20"/>
              </w:rPr>
              <w:t>Profit for the period scaled by Total Assets</w:t>
            </w:r>
          </w:p>
        </w:tc>
        <w:tc>
          <w:tcPr>
            <w:tcW w:w="2893" w:type="dxa"/>
            <w:vAlign w:val="center"/>
          </w:tcPr>
          <w:p w14:paraId="6C00BF3B" w14:textId="54D48E41" w:rsidR="005C734F" w:rsidRPr="00BC54D1" w:rsidRDefault="005C734F" w:rsidP="00732A21">
            <w:pPr>
              <w:rPr>
                <w:rFonts w:ascii="Times New Roman" w:hAnsi="Times New Roman"/>
                <w:sz w:val="20"/>
                <w:szCs w:val="20"/>
              </w:rPr>
            </w:pPr>
            <w:r w:rsidRPr="00BC54D1">
              <w:rPr>
                <w:rFonts w:ascii="Times New Roman" w:hAnsi="Times New Roman"/>
                <w:sz w:val="20"/>
                <w:szCs w:val="20"/>
              </w:rPr>
              <w:t xml:space="preserve">Acharya </w:t>
            </w:r>
            <w:r w:rsidR="00451571" w:rsidRPr="00BC54D1">
              <w:rPr>
                <w:rFonts w:ascii="Times New Roman" w:hAnsi="Times New Roman"/>
                <w:sz w:val="20"/>
                <w:szCs w:val="20"/>
              </w:rPr>
              <w:t xml:space="preserve">and </w:t>
            </w:r>
            <w:r w:rsidRPr="00BC54D1">
              <w:rPr>
                <w:rFonts w:ascii="Times New Roman" w:hAnsi="Times New Roman"/>
                <w:sz w:val="20"/>
                <w:szCs w:val="20"/>
              </w:rPr>
              <w:t>Xu (2017)</w:t>
            </w:r>
          </w:p>
        </w:tc>
      </w:tr>
      <w:tr w:rsidR="00BC54D1" w:rsidRPr="00BC54D1" w14:paraId="28D993EF" w14:textId="77777777" w:rsidTr="00732A21">
        <w:trPr>
          <w:trHeight w:val="96"/>
        </w:trPr>
        <w:tc>
          <w:tcPr>
            <w:tcW w:w="2941" w:type="dxa"/>
            <w:shd w:val="clear" w:color="auto" w:fill="auto"/>
            <w:vAlign w:val="center"/>
          </w:tcPr>
          <w:p w14:paraId="3DE4312B" w14:textId="77777777" w:rsidR="00033763" w:rsidRPr="00BC54D1" w:rsidRDefault="00033763" w:rsidP="00732A21">
            <w:pPr>
              <w:rPr>
                <w:rFonts w:ascii="Times New Roman" w:hAnsi="Times New Roman"/>
                <w:sz w:val="20"/>
                <w:szCs w:val="20"/>
              </w:rPr>
            </w:pPr>
            <w:r w:rsidRPr="00BC54D1">
              <w:rPr>
                <w:rFonts w:ascii="Times New Roman" w:hAnsi="Times New Roman"/>
                <w:sz w:val="20"/>
                <w:szCs w:val="20"/>
              </w:rPr>
              <w:t>Firm years (</w:t>
            </w:r>
            <w:r w:rsidRPr="00BC54D1">
              <w:rPr>
                <w:rFonts w:ascii="Times New Roman" w:hAnsi="Times New Roman"/>
                <w:i/>
                <w:iCs/>
                <w:sz w:val="20"/>
                <w:szCs w:val="20"/>
              </w:rPr>
              <w:t>FY</w:t>
            </w:r>
            <w:r w:rsidRPr="00BC54D1">
              <w:rPr>
                <w:rFonts w:ascii="Times New Roman" w:hAnsi="Times New Roman"/>
                <w:sz w:val="20"/>
                <w:szCs w:val="20"/>
              </w:rPr>
              <w:t>)</w:t>
            </w:r>
          </w:p>
        </w:tc>
        <w:tc>
          <w:tcPr>
            <w:tcW w:w="3125" w:type="dxa"/>
            <w:shd w:val="clear" w:color="auto" w:fill="auto"/>
            <w:vAlign w:val="center"/>
          </w:tcPr>
          <w:p w14:paraId="763F21D3" w14:textId="77777777" w:rsidR="00033763" w:rsidRPr="00BC54D1" w:rsidRDefault="00033763" w:rsidP="00732A21">
            <w:pPr>
              <w:widowControl w:val="0"/>
              <w:suppressAutoHyphens/>
              <w:autoSpaceDN w:val="0"/>
              <w:spacing w:line="360" w:lineRule="auto"/>
              <w:textAlignment w:val="baseline"/>
              <w:rPr>
                <w:rFonts w:ascii="Times New Roman" w:hAnsi="Times New Roman"/>
                <w:kern w:val="3"/>
                <w:sz w:val="20"/>
                <w:szCs w:val="20"/>
              </w:rPr>
            </w:pPr>
            <w:r w:rsidRPr="00BC54D1">
              <w:rPr>
                <w:rFonts w:ascii="Times New Roman" w:hAnsi="Times New Roman"/>
                <w:kern w:val="3"/>
                <w:sz w:val="20"/>
                <w:szCs w:val="20"/>
              </w:rPr>
              <w:t>Firm number of years of operation</w:t>
            </w:r>
          </w:p>
        </w:tc>
        <w:tc>
          <w:tcPr>
            <w:tcW w:w="2893" w:type="dxa"/>
            <w:vAlign w:val="center"/>
          </w:tcPr>
          <w:p w14:paraId="6F01885F" w14:textId="79623072" w:rsidR="00033763" w:rsidRPr="00BC54D1" w:rsidRDefault="007A586D" w:rsidP="00732A21">
            <w:pPr>
              <w:rPr>
                <w:rFonts w:ascii="Times New Roman" w:hAnsi="Times New Roman"/>
                <w:sz w:val="20"/>
                <w:szCs w:val="20"/>
              </w:rPr>
            </w:pPr>
            <w:r w:rsidRPr="00BC54D1">
              <w:rPr>
                <w:rFonts w:ascii="Times New Roman" w:hAnsi="Times New Roman"/>
                <w:sz w:val="20"/>
                <w:szCs w:val="20"/>
              </w:rPr>
              <w:t xml:space="preserve">Acharya </w:t>
            </w:r>
            <w:r w:rsidR="00C2697B" w:rsidRPr="00BC54D1">
              <w:rPr>
                <w:rFonts w:ascii="Times New Roman" w:hAnsi="Times New Roman"/>
                <w:sz w:val="20"/>
                <w:szCs w:val="20"/>
              </w:rPr>
              <w:t>and</w:t>
            </w:r>
            <w:r w:rsidRPr="00BC54D1">
              <w:rPr>
                <w:rFonts w:ascii="Times New Roman" w:hAnsi="Times New Roman"/>
                <w:sz w:val="20"/>
                <w:szCs w:val="20"/>
              </w:rPr>
              <w:t xml:space="preserve"> Xu</w:t>
            </w:r>
            <w:r w:rsidR="00033763" w:rsidRPr="00BC54D1">
              <w:rPr>
                <w:rFonts w:ascii="Times New Roman" w:hAnsi="Times New Roman"/>
                <w:sz w:val="20"/>
                <w:szCs w:val="20"/>
              </w:rPr>
              <w:t xml:space="preserve"> (201</w:t>
            </w:r>
            <w:r w:rsidRPr="00BC54D1">
              <w:rPr>
                <w:rFonts w:ascii="Times New Roman" w:hAnsi="Times New Roman"/>
                <w:sz w:val="20"/>
                <w:szCs w:val="20"/>
              </w:rPr>
              <w:t>7</w:t>
            </w:r>
            <w:r w:rsidR="00033763" w:rsidRPr="00BC54D1">
              <w:rPr>
                <w:rFonts w:ascii="Times New Roman" w:hAnsi="Times New Roman"/>
                <w:sz w:val="20"/>
                <w:szCs w:val="20"/>
              </w:rPr>
              <w:t>)</w:t>
            </w:r>
            <w:r w:rsidR="005C734F" w:rsidRPr="00BC54D1">
              <w:rPr>
                <w:rFonts w:ascii="Times New Roman" w:hAnsi="Times New Roman"/>
                <w:sz w:val="20"/>
                <w:szCs w:val="20"/>
              </w:rPr>
              <w:t xml:space="preserve">, Gao </w:t>
            </w:r>
            <w:r w:rsidR="005C734F" w:rsidRPr="00BC54D1">
              <w:rPr>
                <w:rFonts w:ascii="Times New Roman" w:hAnsi="Times New Roman"/>
                <w:i/>
                <w:sz w:val="20"/>
                <w:szCs w:val="20"/>
              </w:rPr>
              <w:t>et al</w:t>
            </w:r>
            <w:r w:rsidR="005C734F" w:rsidRPr="00BC54D1">
              <w:rPr>
                <w:rFonts w:ascii="Times New Roman" w:hAnsi="Times New Roman"/>
                <w:sz w:val="20"/>
                <w:szCs w:val="20"/>
              </w:rPr>
              <w:t xml:space="preserve">. (2018). </w:t>
            </w:r>
            <w:r w:rsidR="00033763" w:rsidRPr="00BC54D1">
              <w:rPr>
                <w:rFonts w:ascii="Times New Roman" w:hAnsi="Times New Roman"/>
                <w:sz w:val="20"/>
                <w:szCs w:val="20"/>
              </w:rPr>
              <w:t xml:space="preserve"> </w:t>
            </w:r>
          </w:p>
        </w:tc>
      </w:tr>
      <w:tr w:rsidR="00BC54D1" w:rsidRPr="00BC54D1" w14:paraId="5C3946A6" w14:textId="77777777" w:rsidTr="00732A21">
        <w:trPr>
          <w:trHeight w:val="96"/>
        </w:trPr>
        <w:tc>
          <w:tcPr>
            <w:tcW w:w="2941" w:type="dxa"/>
            <w:shd w:val="clear" w:color="auto" w:fill="auto"/>
            <w:vAlign w:val="center"/>
          </w:tcPr>
          <w:p w14:paraId="5858B245" w14:textId="2CF1D71D" w:rsidR="00990BEE" w:rsidRPr="00BC54D1" w:rsidRDefault="00990BEE" w:rsidP="00990BEE">
            <w:pPr>
              <w:rPr>
                <w:rFonts w:ascii="Times New Roman" w:hAnsi="Times New Roman"/>
                <w:sz w:val="20"/>
                <w:szCs w:val="20"/>
              </w:rPr>
            </w:pPr>
            <w:r w:rsidRPr="00BC54D1">
              <w:rPr>
                <w:rFonts w:ascii="Times New Roman" w:hAnsi="Times New Roman"/>
                <w:sz w:val="20"/>
                <w:szCs w:val="20"/>
              </w:rPr>
              <w:t>Debt maturity (</w:t>
            </w:r>
            <w:r w:rsidR="0072539B" w:rsidRPr="00BC54D1">
              <w:rPr>
                <w:rFonts w:ascii="Times New Roman" w:hAnsi="Times New Roman"/>
                <w:sz w:val="20"/>
                <w:szCs w:val="20"/>
              </w:rPr>
              <w:t>D</w:t>
            </w:r>
            <w:r w:rsidRPr="00BC54D1">
              <w:rPr>
                <w:rFonts w:ascii="Times New Roman" w:hAnsi="Times New Roman"/>
                <w:i/>
                <w:iCs/>
                <w:sz w:val="20"/>
                <w:szCs w:val="20"/>
              </w:rPr>
              <w:t>M</w:t>
            </w:r>
            <w:r w:rsidRPr="00BC54D1">
              <w:rPr>
                <w:rFonts w:ascii="Times New Roman" w:hAnsi="Times New Roman"/>
                <w:sz w:val="20"/>
                <w:szCs w:val="20"/>
              </w:rPr>
              <w:t>)</w:t>
            </w:r>
          </w:p>
          <w:p w14:paraId="3E0CEF32" w14:textId="34430F12" w:rsidR="00033763" w:rsidRPr="00BC54D1" w:rsidRDefault="00033763" w:rsidP="00732A21">
            <w:pPr>
              <w:rPr>
                <w:rFonts w:ascii="Times New Roman" w:hAnsi="Times New Roman"/>
                <w:sz w:val="20"/>
                <w:szCs w:val="20"/>
              </w:rPr>
            </w:pPr>
          </w:p>
        </w:tc>
        <w:tc>
          <w:tcPr>
            <w:tcW w:w="3125" w:type="dxa"/>
            <w:shd w:val="clear" w:color="auto" w:fill="auto"/>
          </w:tcPr>
          <w:p w14:paraId="114133EC" w14:textId="7A27DFAA" w:rsidR="00033763" w:rsidRPr="00BC54D1" w:rsidRDefault="00990BEE" w:rsidP="00732A21">
            <w:pPr>
              <w:widowControl w:val="0"/>
              <w:suppressAutoHyphens/>
              <w:autoSpaceDN w:val="0"/>
              <w:spacing w:line="360" w:lineRule="auto"/>
              <w:textAlignment w:val="baseline"/>
              <w:rPr>
                <w:rFonts w:ascii="Times New Roman" w:hAnsi="Times New Roman"/>
                <w:kern w:val="3"/>
                <w:sz w:val="20"/>
                <w:szCs w:val="20"/>
              </w:rPr>
            </w:pPr>
            <w:r w:rsidRPr="00BC54D1">
              <w:rPr>
                <w:rFonts w:ascii="Times" w:hAnsi="Times"/>
                <w:sz w:val="20"/>
                <w:szCs w:val="20"/>
              </w:rPr>
              <w:t xml:space="preserve">Long-term debt that matures after one year divided by total debt </w:t>
            </w:r>
          </w:p>
        </w:tc>
        <w:tc>
          <w:tcPr>
            <w:tcW w:w="2893" w:type="dxa"/>
            <w:vAlign w:val="center"/>
          </w:tcPr>
          <w:p w14:paraId="0D71A7A6" w14:textId="06928166" w:rsidR="00033763" w:rsidRPr="00BC54D1" w:rsidRDefault="00990BEE" w:rsidP="00732A21">
            <w:pPr>
              <w:rPr>
                <w:rFonts w:ascii="Times New Roman" w:hAnsi="Times New Roman"/>
                <w:sz w:val="20"/>
                <w:szCs w:val="20"/>
              </w:rPr>
            </w:pPr>
            <w:r w:rsidRPr="00BC54D1">
              <w:rPr>
                <w:rFonts w:ascii="Times New Roman" w:hAnsi="Times New Roman"/>
                <w:sz w:val="20"/>
                <w:szCs w:val="20"/>
              </w:rPr>
              <w:t>Dang (2011)</w:t>
            </w:r>
          </w:p>
        </w:tc>
      </w:tr>
      <w:tr w:rsidR="00BC54D1" w:rsidRPr="00BC54D1" w14:paraId="6E5A4535" w14:textId="77777777" w:rsidTr="00732A21">
        <w:trPr>
          <w:trHeight w:val="96"/>
        </w:trPr>
        <w:tc>
          <w:tcPr>
            <w:tcW w:w="2941" w:type="dxa"/>
            <w:shd w:val="clear" w:color="auto" w:fill="auto"/>
            <w:vAlign w:val="center"/>
          </w:tcPr>
          <w:p w14:paraId="1C5822C0" w14:textId="7BB2A26E" w:rsidR="00033763" w:rsidRPr="00BC54D1" w:rsidRDefault="00033763" w:rsidP="00732A21">
            <w:pPr>
              <w:rPr>
                <w:rFonts w:ascii="Times New Roman" w:hAnsi="Times New Roman"/>
                <w:sz w:val="20"/>
                <w:szCs w:val="20"/>
              </w:rPr>
            </w:pPr>
          </w:p>
          <w:p w14:paraId="7C39EE6C" w14:textId="50392BF7" w:rsidR="00033763" w:rsidRPr="00BC54D1" w:rsidRDefault="00990BEE" w:rsidP="00732A21">
            <w:pPr>
              <w:rPr>
                <w:rFonts w:ascii="Times New Roman" w:hAnsi="Times New Roman"/>
                <w:sz w:val="20"/>
                <w:szCs w:val="20"/>
              </w:rPr>
            </w:pPr>
            <w:r w:rsidRPr="00BC54D1">
              <w:rPr>
                <w:rFonts w:ascii="Times New Roman" w:hAnsi="Times New Roman"/>
                <w:sz w:val="20"/>
                <w:szCs w:val="20"/>
              </w:rPr>
              <w:t xml:space="preserve">Information </w:t>
            </w:r>
            <w:r w:rsidR="00CC4C86" w:rsidRPr="00BC54D1">
              <w:rPr>
                <w:rFonts w:ascii="Times New Roman" w:hAnsi="Times New Roman"/>
                <w:sz w:val="20"/>
                <w:szCs w:val="20"/>
              </w:rPr>
              <w:t>quality</w:t>
            </w:r>
            <w:r w:rsidR="00810C74" w:rsidRPr="00BC54D1">
              <w:rPr>
                <w:rFonts w:ascii="Times New Roman" w:hAnsi="Times New Roman"/>
                <w:sz w:val="20"/>
                <w:szCs w:val="20"/>
              </w:rPr>
              <w:t>-</w:t>
            </w:r>
            <w:r w:rsidRPr="00BC54D1">
              <w:rPr>
                <w:rFonts w:ascii="Times New Roman" w:hAnsi="Times New Roman"/>
                <w:sz w:val="20"/>
                <w:szCs w:val="20"/>
              </w:rPr>
              <w:t>IQ</w:t>
            </w:r>
            <w:r w:rsidR="00810C74" w:rsidRPr="00BC54D1">
              <w:rPr>
                <w:rFonts w:ascii="Times New Roman" w:hAnsi="Times New Roman"/>
                <w:sz w:val="20"/>
                <w:szCs w:val="20"/>
              </w:rPr>
              <w:t xml:space="preserve"> (</w:t>
            </w:r>
            <w:r w:rsidR="00512619" w:rsidRPr="00BC54D1">
              <w:rPr>
                <w:rFonts w:ascii="Times New Roman" w:hAnsi="Times New Roman"/>
                <w:sz w:val="20"/>
                <w:szCs w:val="20"/>
              </w:rPr>
              <w:t>Public firms’ presence</w:t>
            </w:r>
            <w:r w:rsidR="00810C74" w:rsidRPr="00BC54D1">
              <w:rPr>
                <w:rFonts w:ascii="Times New Roman" w:hAnsi="Times New Roman"/>
                <w:sz w:val="20"/>
                <w:szCs w:val="20"/>
              </w:rPr>
              <w:t>)</w:t>
            </w:r>
            <w:r w:rsidR="009D2931" w:rsidRPr="00BC54D1">
              <w:rPr>
                <w:rFonts w:ascii="Times New Roman" w:hAnsi="Times New Roman"/>
                <w:sz w:val="20"/>
                <w:szCs w:val="20"/>
              </w:rPr>
              <w:t xml:space="preserve"> </w:t>
            </w:r>
          </w:p>
        </w:tc>
        <w:tc>
          <w:tcPr>
            <w:tcW w:w="3125" w:type="dxa"/>
            <w:shd w:val="clear" w:color="auto" w:fill="auto"/>
          </w:tcPr>
          <w:p w14:paraId="557C9ACC" w14:textId="5B65E995" w:rsidR="00033763" w:rsidRPr="00BC54D1" w:rsidRDefault="009D2931" w:rsidP="00732A21">
            <w:pPr>
              <w:pStyle w:val="NormalWeb"/>
            </w:pPr>
            <w:r w:rsidRPr="00BC54D1">
              <w:rPr>
                <w:sz w:val="20"/>
                <w:szCs w:val="20"/>
              </w:rPr>
              <w:t xml:space="preserve">The sum of all public firm sales in each industry, divided by total </w:t>
            </w:r>
            <w:proofErr w:type="gramStart"/>
            <w:r w:rsidRPr="00BC54D1">
              <w:rPr>
                <w:sz w:val="20"/>
                <w:szCs w:val="20"/>
              </w:rPr>
              <w:t>firm</w:t>
            </w:r>
            <w:r w:rsidR="00810C74" w:rsidRPr="00BC54D1">
              <w:rPr>
                <w:sz w:val="20"/>
                <w:szCs w:val="20"/>
              </w:rPr>
              <w:t>s</w:t>
            </w:r>
            <w:proofErr w:type="gramEnd"/>
            <w:r w:rsidRPr="00BC54D1">
              <w:rPr>
                <w:sz w:val="20"/>
                <w:szCs w:val="20"/>
              </w:rPr>
              <w:t xml:space="preserve"> sales in the same industry</w:t>
            </w:r>
            <w:r w:rsidR="00810C74" w:rsidRPr="00BC54D1">
              <w:rPr>
                <w:sz w:val="20"/>
                <w:szCs w:val="20"/>
              </w:rPr>
              <w:t>.</w:t>
            </w:r>
            <w:r w:rsidRPr="00BC54D1">
              <w:rPr>
                <w:sz w:val="20"/>
                <w:szCs w:val="20"/>
              </w:rPr>
              <w:t xml:space="preserve"> </w:t>
            </w:r>
          </w:p>
        </w:tc>
        <w:tc>
          <w:tcPr>
            <w:tcW w:w="2893" w:type="dxa"/>
            <w:vAlign w:val="center"/>
          </w:tcPr>
          <w:p w14:paraId="284B5DCD" w14:textId="30FB9E63" w:rsidR="00033763" w:rsidRPr="00BC54D1" w:rsidRDefault="009D2931" w:rsidP="00732A21">
            <w:pPr>
              <w:rPr>
                <w:rFonts w:ascii="Times New Roman" w:hAnsi="Times New Roman"/>
                <w:sz w:val="20"/>
                <w:szCs w:val="20"/>
              </w:rPr>
            </w:pPr>
            <w:r w:rsidRPr="00BC54D1">
              <w:rPr>
                <w:rFonts w:ascii="Times New Roman" w:hAnsi="Times New Roman"/>
                <w:sz w:val="20"/>
                <w:szCs w:val="20"/>
              </w:rPr>
              <w:t xml:space="preserve">Badertscher </w:t>
            </w:r>
            <w:r w:rsidRPr="00BC54D1">
              <w:rPr>
                <w:rFonts w:ascii="Times New Roman" w:hAnsi="Times New Roman"/>
                <w:i/>
                <w:sz w:val="20"/>
                <w:szCs w:val="20"/>
              </w:rPr>
              <w:t>et al</w:t>
            </w:r>
            <w:r w:rsidRPr="00BC54D1">
              <w:rPr>
                <w:rFonts w:ascii="Times New Roman" w:hAnsi="Times New Roman"/>
                <w:sz w:val="20"/>
                <w:szCs w:val="20"/>
              </w:rPr>
              <w:t>. (2013)</w:t>
            </w:r>
          </w:p>
        </w:tc>
      </w:tr>
    </w:tbl>
    <w:p w14:paraId="181DE3E3" w14:textId="77777777" w:rsidR="00033763" w:rsidRPr="00BC54D1" w:rsidRDefault="00033763" w:rsidP="00033763">
      <w:pPr>
        <w:spacing w:before="240"/>
        <w:rPr>
          <w:rFonts w:ascii="Times New Roman" w:hAnsi="Times New Roman"/>
          <w:sz w:val="10"/>
        </w:rPr>
        <w:sectPr w:rsidR="00033763" w:rsidRPr="00BC54D1" w:rsidSect="00732A21">
          <w:headerReference w:type="default" r:id="rId8"/>
          <w:footerReference w:type="even" r:id="rId9"/>
          <w:footerReference w:type="default" r:id="rId10"/>
          <w:footerReference w:type="first" r:id="rId11"/>
          <w:pgSz w:w="12240" w:h="20160"/>
          <w:pgMar w:top="1440" w:right="1440" w:bottom="1440" w:left="1440" w:header="708" w:footer="708" w:gutter="0"/>
          <w:cols w:space="708"/>
          <w:docGrid w:linePitch="360"/>
        </w:sectPr>
      </w:pPr>
    </w:p>
    <w:p w14:paraId="5CFEDAE2" w14:textId="6993E9C8" w:rsidR="3E6C7172" w:rsidRPr="00BC54D1" w:rsidRDefault="3E6C7172" w:rsidP="3E6C7172">
      <w:pPr>
        <w:jc w:val="both"/>
        <w:rPr>
          <w:rFonts w:ascii="Times New Roman" w:hAnsi="Times New Roman"/>
          <w:b/>
          <w:bCs/>
        </w:rPr>
      </w:pPr>
      <w:r w:rsidRPr="00BC54D1">
        <w:rPr>
          <w:rFonts w:ascii="Times New Roman" w:hAnsi="Times New Roman"/>
          <w:b/>
          <w:bCs/>
        </w:rPr>
        <w:lastRenderedPageBreak/>
        <w:t xml:space="preserve">Table </w:t>
      </w:r>
      <w:r w:rsidR="00DD56F2" w:rsidRPr="00BC54D1">
        <w:rPr>
          <w:rFonts w:ascii="Times New Roman" w:hAnsi="Times New Roman"/>
          <w:b/>
          <w:bCs/>
        </w:rPr>
        <w:t>II</w:t>
      </w:r>
      <w:r w:rsidRPr="00BC54D1">
        <w:rPr>
          <w:rFonts w:ascii="Times New Roman" w:hAnsi="Times New Roman"/>
          <w:b/>
          <w:bCs/>
        </w:rPr>
        <w:t>: Summary statistics</w:t>
      </w:r>
    </w:p>
    <w:p w14:paraId="338B4F53" w14:textId="026EE372" w:rsidR="00BA798E" w:rsidRPr="00BC54D1" w:rsidRDefault="00BA798E" w:rsidP="3E6C7172">
      <w:pPr>
        <w:jc w:val="both"/>
        <w:rPr>
          <w:rFonts w:ascii="Times New Roman" w:hAnsi="Times New Roman"/>
          <w:b/>
          <w:bCs/>
        </w:rPr>
      </w:pPr>
    </w:p>
    <w:p w14:paraId="73183A0B" w14:textId="5866FA18" w:rsidR="00BA798E" w:rsidRPr="00BC54D1" w:rsidRDefault="009C169B" w:rsidP="00407BF4">
      <w:pPr>
        <w:tabs>
          <w:tab w:val="left" w:pos="5660"/>
        </w:tabs>
        <w:jc w:val="both"/>
        <w:rPr>
          <w:rFonts w:ascii="Times New Roman" w:hAnsi="Times New Roman"/>
          <w:b/>
          <w:bCs/>
        </w:rPr>
      </w:pPr>
      <w:r w:rsidRPr="00BC54D1">
        <w:rPr>
          <w:rFonts w:ascii="Times New Roman" w:hAnsi="Times New Roman"/>
          <w:b/>
          <w:bCs/>
        </w:rPr>
        <w:t xml:space="preserve">             Panel A:</w:t>
      </w:r>
      <w:r w:rsidR="004D7889" w:rsidRPr="00BC54D1">
        <w:rPr>
          <w:rFonts w:ascii="Times New Roman" w:hAnsi="Times New Roman"/>
          <w:b/>
          <w:bCs/>
        </w:rPr>
        <w:t xml:space="preserve">  Full sample                             </w:t>
      </w:r>
      <w:r w:rsidRPr="00BC54D1">
        <w:rPr>
          <w:rFonts w:ascii="Times New Roman" w:hAnsi="Times New Roman"/>
          <w:b/>
          <w:bCs/>
        </w:rPr>
        <w:t xml:space="preserve">       Panel B:</w:t>
      </w:r>
      <w:r w:rsidR="004D7889" w:rsidRPr="00BC54D1">
        <w:rPr>
          <w:rFonts w:ascii="Times New Roman" w:hAnsi="Times New Roman"/>
          <w:b/>
          <w:bCs/>
        </w:rPr>
        <w:t xml:space="preserve"> Matched sample   Diff. in means</w:t>
      </w:r>
    </w:p>
    <w:tbl>
      <w:tblPr>
        <w:tblW w:w="9584" w:type="dxa"/>
        <w:tblLayout w:type="fixed"/>
        <w:tblLook w:val="06A0" w:firstRow="1" w:lastRow="0" w:firstColumn="1" w:lastColumn="0" w:noHBand="1" w:noVBand="1"/>
      </w:tblPr>
      <w:tblGrid>
        <w:gridCol w:w="957"/>
        <w:gridCol w:w="755"/>
        <w:gridCol w:w="705"/>
        <w:gridCol w:w="705"/>
        <w:gridCol w:w="1007"/>
        <w:gridCol w:w="705"/>
        <w:gridCol w:w="755"/>
        <w:gridCol w:w="890"/>
        <w:gridCol w:w="705"/>
        <w:gridCol w:w="755"/>
        <w:gridCol w:w="755"/>
        <w:gridCol w:w="890"/>
      </w:tblGrid>
      <w:tr w:rsidR="00BC54D1" w:rsidRPr="00BC54D1" w14:paraId="3C22C3F6" w14:textId="77777777" w:rsidTr="00CA0F2C">
        <w:trPr>
          <w:trHeight w:val="225"/>
        </w:trPr>
        <w:tc>
          <w:tcPr>
            <w:tcW w:w="957" w:type="dxa"/>
            <w:tcBorders>
              <w:top w:val="single" w:sz="8" w:space="0" w:color="auto"/>
              <w:left w:val="nil"/>
              <w:bottom w:val="single" w:sz="8" w:space="0" w:color="auto"/>
              <w:right w:val="nil"/>
            </w:tcBorders>
          </w:tcPr>
          <w:p w14:paraId="453A70FF" w14:textId="3B091118" w:rsidR="3E6C7172" w:rsidRPr="00BC54D1" w:rsidRDefault="3E6C7172" w:rsidP="3E6C7172">
            <w:pPr>
              <w:rPr>
                <w:rFonts w:ascii="Times New Roman" w:hAnsi="Times New Roman"/>
                <w:sz w:val="20"/>
                <w:szCs w:val="20"/>
              </w:rPr>
            </w:pPr>
          </w:p>
        </w:tc>
        <w:tc>
          <w:tcPr>
            <w:tcW w:w="755" w:type="dxa"/>
            <w:tcBorders>
              <w:top w:val="single" w:sz="8" w:space="0" w:color="auto"/>
              <w:left w:val="nil"/>
              <w:bottom w:val="single" w:sz="8" w:space="0" w:color="auto"/>
              <w:right w:val="nil"/>
            </w:tcBorders>
          </w:tcPr>
          <w:p w14:paraId="75FE0ED9" w14:textId="01F77A91" w:rsidR="3E6C7172" w:rsidRPr="00BC54D1" w:rsidRDefault="004D7889" w:rsidP="004D7889">
            <w:pPr>
              <w:rPr>
                <w:rFonts w:ascii="Times New Roman" w:hAnsi="Times New Roman"/>
                <w:sz w:val="16"/>
                <w:szCs w:val="16"/>
              </w:rPr>
            </w:pPr>
            <w:r w:rsidRPr="00BC54D1">
              <w:rPr>
                <w:rFonts w:ascii="Times New Roman" w:hAnsi="Times New Roman"/>
                <w:sz w:val="16"/>
                <w:szCs w:val="16"/>
              </w:rPr>
              <w:t>Public</w:t>
            </w:r>
          </w:p>
        </w:tc>
        <w:tc>
          <w:tcPr>
            <w:tcW w:w="705" w:type="dxa"/>
            <w:tcBorders>
              <w:top w:val="single" w:sz="8" w:space="0" w:color="auto"/>
              <w:left w:val="nil"/>
              <w:bottom w:val="single" w:sz="8" w:space="0" w:color="auto"/>
              <w:right w:val="nil"/>
            </w:tcBorders>
          </w:tcPr>
          <w:p w14:paraId="59D6CEC7" w14:textId="0E25AEC6" w:rsidR="3E6C7172" w:rsidRPr="00BC54D1" w:rsidRDefault="3E6C7172" w:rsidP="004D7889">
            <w:pPr>
              <w:jc w:val="center"/>
              <w:rPr>
                <w:rFonts w:ascii="Times New Roman" w:hAnsi="Times New Roman"/>
                <w:sz w:val="16"/>
                <w:szCs w:val="16"/>
              </w:rPr>
            </w:pPr>
          </w:p>
        </w:tc>
        <w:tc>
          <w:tcPr>
            <w:tcW w:w="705" w:type="dxa"/>
            <w:tcBorders>
              <w:top w:val="single" w:sz="8" w:space="0" w:color="auto"/>
              <w:left w:val="nil"/>
              <w:bottom w:val="single" w:sz="8" w:space="0" w:color="auto"/>
              <w:right w:val="nil"/>
            </w:tcBorders>
          </w:tcPr>
          <w:p w14:paraId="3BC8AAB0" w14:textId="56AE87D8" w:rsidR="3E6C7172" w:rsidRPr="00BC54D1" w:rsidRDefault="3E6C7172" w:rsidP="004D7889">
            <w:pPr>
              <w:jc w:val="center"/>
              <w:rPr>
                <w:rFonts w:ascii="Times New Roman" w:hAnsi="Times New Roman"/>
                <w:sz w:val="16"/>
                <w:szCs w:val="16"/>
              </w:rPr>
            </w:pPr>
          </w:p>
        </w:tc>
        <w:tc>
          <w:tcPr>
            <w:tcW w:w="1007" w:type="dxa"/>
            <w:tcBorders>
              <w:top w:val="single" w:sz="8" w:space="0" w:color="auto"/>
              <w:left w:val="nil"/>
              <w:bottom w:val="single" w:sz="8" w:space="0" w:color="auto"/>
              <w:right w:val="nil"/>
            </w:tcBorders>
          </w:tcPr>
          <w:p w14:paraId="202FE64E" w14:textId="009E56DE" w:rsidR="3E6C7172" w:rsidRPr="00BC54D1" w:rsidRDefault="004D7889" w:rsidP="004D7889">
            <w:pPr>
              <w:jc w:val="center"/>
              <w:rPr>
                <w:rFonts w:ascii="Times New Roman" w:hAnsi="Times New Roman"/>
                <w:sz w:val="16"/>
                <w:szCs w:val="16"/>
              </w:rPr>
            </w:pPr>
            <w:r w:rsidRPr="00BC54D1">
              <w:rPr>
                <w:rFonts w:ascii="Times New Roman" w:hAnsi="Times New Roman"/>
                <w:sz w:val="16"/>
                <w:szCs w:val="16"/>
              </w:rPr>
              <w:t xml:space="preserve"> Private</w:t>
            </w:r>
          </w:p>
        </w:tc>
        <w:tc>
          <w:tcPr>
            <w:tcW w:w="705" w:type="dxa"/>
            <w:tcBorders>
              <w:top w:val="single" w:sz="8" w:space="0" w:color="auto"/>
              <w:left w:val="nil"/>
              <w:bottom w:val="single" w:sz="8" w:space="0" w:color="auto"/>
              <w:right w:val="nil"/>
            </w:tcBorders>
          </w:tcPr>
          <w:p w14:paraId="361949F1" w14:textId="55773D9E" w:rsidR="3E6C7172" w:rsidRPr="00BC54D1" w:rsidRDefault="3E6C7172" w:rsidP="004D7889">
            <w:pPr>
              <w:rPr>
                <w:rFonts w:ascii="Times New Roman" w:hAnsi="Times New Roman"/>
                <w:sz w:val="16"/>
                <w:szCs w:val="16"/>
              </w:rPr>
            </w:pPr>
          </w:p>
        </w:tc>
        <w:tc>
          <w:tcPr>
            <w:tcW w:w="755" w:type="dxa"/>
            <w:tcBorders>
              <w:top w:val="single" w:sz="8" w:space="0" w:color="auto"/>
              <w:left w:val="nil"/>
              <w:bottom w:val="single" w:sz="8" w:space="0" w:color="auto"/>
              <w:right w:val="nil"/>
            </w:tcBorders>
          </w:tcPr>
          <w:p w14:paraId="41D0D4D3" w14:textId="5A83AE5D" w:rsidR="3E6C7172" w:rsidRPr="00BC54D1" w:rsidRDefault="3E6C7172" w:rsidP="004D7889">
            <w:pPr>
              <w:rPr>
                <w:rFonts w:ascii="Times New Roman" w:hAnsi="Times New Roman"/>
                <w:sz w:val="16"/>
                <w:szCs w:val="16"/>
              </w:rPr>
            </w:pPr>
          </w:p>
        </w:tc>
        <w:tc>
          <w:tcPr>
            <w:tcW w:w="890" w:type="dxa"/>
            <w:tcBorders>
              <w:top w:val="single" w:sz="8" w:space="0" w:color="auto"/>
              <w:left w:val="nil"/>
              <w:bottom w:val="single" w:sz="8" w:space="0" w:color="auto"/>
              <w:right w:val="nil"/>
            </w:tcBorders>
          </w:tcPr>
          <w:p w14:paraId="72583666" w14:textId="0371FFBC"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 xml:space="preserve"> Public</w:t>
            </w:r>
          </w:p>
        </w:tc>
        <w:tc>
          <w:tcPr>
            <w:tcW w:w="705" w:type="dxa"/>
            <w:tcBorders>
              <w:top w:val="single" w:sz="8" w:space="0" w:color="auto"/>
              <w:left w:val="nil"/>
              <w:bottom w:val="single" w:sz="8" w:space="0" w:color="auto"/>
              <w:right w:val="nil"/>
            </w:tcBorders>
          </w:tcPr>
          <w:p w14:paraId="3F44A815" w14:textId="08C51488" w:rsidR="3E6C7172" w:rsidRPr="00BC54D1" w:rsidRDefault="3E6C7172" w:rsidP="004D7889">
            <w:pPr>
              <w:rPr>
                <w:rFonts w:ascii="Times New Roman" w:hAnsi="Times New Roman"/>
                <w:sz w:val="16"/>
                <w:szCs w:val="16"/>
              </w:rPr>
            </w:pPr>
          </w:p>
        </w:tc>
        <w:tc>
          <w:tcPr>
            <w:tcW w:w="755" w:type="dxa"/>
            <w:tcBorders>
              <w:top w:val="single" w:sz="8" w:space="0" w:color="auto"/>
              <w:left w:val="nil"/>
              <w:bottom w:val="single" w:sz="8" w:space="0" w:color="auto"/>
              <w:right w:val="nil"/>
            </w:tcBorders>
          </w:tcPr>
          <w:p w14:paraId="5A990C24" w14:textId="2EC3CBD1" w:rsidR="3E6C7172" w:rsidRPr="00BC54D1" w:rsidRDefault="3E6C7172">
            <w:r w:rsidRPr="00BC54D1">
              <w:rPr>
                <w:rFonts w:ascii="Times New Roman" w:hAnsi="Times New Roman"/>
                <w:sz w:val="16"/>
                <w:szCs w:val="16"/>
              </w:rPr>
              <w:t>Private</w:t>
            </w:r>
          </w:p>
        </w:tc>
        <w:tc>
          <w:tcPr>
            <w:tcW w:w="755" w:type="dxa"/>
            <w:tcBorders>
              <w:top w:val="single" w:sz="8" w:space="0" w:color="auto"/>
              <w:left w:val="nil"/>
              <w:bottom w:val="single" w:sz="8" w:space="0" w:color="auto"/>
              <w:right w:val="nil"/>
            </w:tcBorders>
          </w:tcPr>
          <w:p w14:paraId="18F813BA" w14:textId="4B94700E"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 xml:space="preserve"> </w:t>
            </w:r>
          </w:p>
        </w:tc>
        <w:tc>
          <w:tcPr>
            <w:tcW w:w="890" w:type="dxa"/>
            <w:tcBorders>
              <w:top w:val="single" w:sz="8" w:space="0" w:color="auto"/>
              <w:left w:val="nil"/>
              <w:bottom w:val="single" w:sz="8" w:space="0" w:color="auto"/>
              <w:right w:val="nil"/>
            </w:tcBorders>
          </w:tcPr>
          <w:p w14:paraId="1E089C0B" w14:textId="3EC2B7C9"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 xml:space="preserve"> </w:t>
            </w:r>
          </w:p>
        </w:tc>
      </w:tr>
      <w:tr w:rsidR="00BC54D1" w:rsidRPr="00BC54D1" w14:paraId="67765FA2" w14:textId="77777777" w:rsidTr="00CA0F2C">
        <w:trPr>
          <w:trHeight w:val="354"/>
        </w:trPr>
        <w:tc>
          <w:tcPr>
            <w:tcW w:w="957" w:type="dxa"/>
            <w:tcBorders>
              <w:top w:val="single" w:sz="8" w:space="0" w:color="auto"/>
              <w:left w:val="nil"/>
              <w:bottom w:val="nil"/>
              <w:right w:val="nil"/>
            </w:tcBorders>
          </w:tcPr>
          <w:p w14:paraId="20C8BC81" w14:textId="45545C95" w:rsidR="3E6C7172" w:rsidRPr="00BC54D1" w:rsidRDefault="3E6C7172">
            <w:r w:rsidRPr="00BC54D1">
              <w:rPr>
                <w:rFonts w:ascii="Times New Roman" w:hAnsi="Times New Roman"/>
                <w:sz w:val="16"/>
                <w:szCs w:val="16"/>
              </w:rPr>
              <w:t xml:space="preserve"> </w:t>
            </w:r>
          </w:p>
        </w:tc>
        <w:tc>
          <w:tcPr>
            <w:tcW w:w="755" w:type="dxa"/>
            <w:tcBorders>
              <w:top w:val="single" w:sz="8" w:space="0" w:color="auto"/>
              <w:left w:val="nil"/>
              <w:bottom w:val="nil"/>
              <w:right w:val="nil"/>
            </w:tcBorders>
          </w:tcPr>
          <w:p w14:paraId="2654A043" w14:textId="0BA8B855"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 xml:space="preserve">Mean </w:t>
            </w:r>
          </w:p>
        </w:tc>
        <w:tc>
          <w:tcPr>
            <w:tcW w:w="705" w:type="dxa"/>
            <w:tcBorders>
              <w:top w:val="single" w:sz="8" w:space="0" w:color="auto"/>
              <w:left w:val="nil"/>
              <w:bottom w:val="nil"/>
              <w:right w:val="nil"/>
            </w:tcBorders>
          </w:tcPr>
          <w:p w14:paraId="2D33DB1B" w14:textId="5CA2D76B"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50%</w:t>
            </w:r>
          </w:p>
        </w:tc>
        <w:tc>
          <w:tcPr>
            <w:tcW w:w="705" w:type="dxa"/>
            <w:tcBorders>
              <w:top w:val="single" w:sz="8" w:space="0" w:color="auto"/>
              <w:left w:val="nil"/>
              <w:bottom w:val="nil"/>
              <w:right w:val="nil"/>
            </w:tcBorders>
          </w:tcPr>
          <w:p w14:paraId="38125202" w14:textId="54A59715"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St. Dev.</w:t>
            </w:r>
          </w:p>
        </w:tc>
        <w:tc>
          <w:tcPr>
            <w:tcW w:w="1007" w:type="dxa"/>
            <w:tcBorders>
              <w:top w:val="single" w:sz="8" w:space="0" w:color="auto"/>
              <w:left w:val="nil"/>
              <w:bottom w:val="nil"/>
              <w:right w:val="nil"/>
            </w:tcBorders>
          </w:tcPr>
          <w:p w14:paraId="7FEC95C8" w14:textId="1A84EC92"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Mean</w:t>
            </w:r>
          </w:p>
        </w:tc>
        <w:tc>
          <w:tcPr>
            <w:tcW w:w="705" w:type="dxa"/>
            <w:tcBorders>
              <w:top w:val="single" w:sz="8" w:space="0" w:color="auto"/>
              <w:left w:val="nil"/>
              <w:bottom w:val="nil"/>
              <w:right w:val="nil"/>
            </w:tcBorders>
          </w:tcPr>
          <w:p w14:paraId="560338E9" w14:textId="00049AC3"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50%</w:t>
            </w:r>
          </w:p>
        </w:tc>
        <w:tc>
          <w:tcPr>
            <w:tcW w:w="755" w:type="dxa"/>
            <w:tcBorders>
              <w:top w:val="single" w:sz="8" w:space="0" w:color="auto"/>
              <w:left w:val="nil"/>
              <w:bottom w:val="nil"/>
              <w:right w:val="nil"/>
            </w:tcBorders>
          </w:tcPr>
          <w:p w14:paraId="2A918884" w14:textId="67944244"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St. Dev.</w:t>
            </w:r>
          </w:p>
        </w:tc>
        <w:tc>
          <w:tcPr>
            <w:tcW w:w="890" w:type="dxa"/>
            <w:tcBorders>
              <w:top w:val="single" w:sz="8" w:space="0" w:color="auto"/>
              <w:left w:val="nil"/>
              <w:bottom w:val="nil"/>
              <w:right w:val="nil"/>
            </w:tcBorders>
          </w:tcPr>
          <w:p w14:paraId="234CA912" w14:textId="6143D298"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Mean</w:t>
            </w:r>
          </w:p>
        </w:tc>
        <w:tc>
          <w:tcPr>
            <w:tcW w:w="705" w:type="dxa"/>
            <w:tcBorders>
              <w:top w:val="single" w:sz="8" w:space="0" w:color="auto"/>
              <w:left w:val="nil"/>
              <w:bottom w:val="nil"/>
              <w:right w:val="nil"/>
            </w:tcBorders>
          </w:tcPr>
          <w:p w14:paraId="6C5F9CC6" w14:textId="0D4A9435"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 xml:space="preserve">St. Dev. </w:t>
            </w:r>
          </w:p>
        </w:tc>
        <w:tc>
          <w:tcPr>
            <w:tcW w:w="755" w:type="dxa"/>
            <w:tcBorders>
              <w:top w:val="single" w:sz="8" w:space="0" w:color="auto"/>
              <w:left w:val="nil"/>
              <w:bottom w:val="nil"/>
              <w:right w:val="nil"/>
            </w:tcBorders>
          </w:tcPr>
          <w:p w14:paraId="6FA74AAA" w14:textId="53E15C5C"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Mean</w:t>
            </w:r>
          </w:p>
        </w:tc>
        <w:tc>
          <w:tcPr>
            <w:tcW w:w="755" w:type="dxa"/>
            <w:tcBorders>
              <w:top w:val="single" w:sz="8" w:space="0" w:color="auto"/>
              <w:left w:val="nil"/>
              <w:bottom w:val="nil"/>
              <w:right w:val="nil"/>
            </w:tcBorders>
          </w:tcPr>
          <w:p w14:paraId="32ADBE95" w14:textId="4A483FBF"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St. Dev.</w:t>
            </w:r>
          </w:p>
        </w:tc>
        <w:tc>
          <w:tcPr>
            <w:tcW w:w="890" w:type="dxa"/>
            <w:tcBorders>
              <w:top w:val="single" w:sz="8" w:space="0" w:color="auto"/>
              <w:left w:val="nil"/>
              <w:bottom w:val="nil"/>
              <w:right w:val="nil"/>
            </w:tcBorders>
          </w:tcPr>
          <w:p w14:paraId="6D9187E4" w14:textId="57AD48FA"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T-test</w:t>
            </w:r>
          </w:p>
        </w:tc>
      </w:tr>
      <w:tr w:rsidR="00BC54D1" w:rsidRPr="00BC54D1" w14:paraId="63791E70" w14:textId="77777777" w:rsidTr="00CA0F2C">
        <w:trPr>
          <w:trHeight w:val="311"/>
        </w:trPr>
        <w:tc>
          <w:tcPr>
            <w:tcW w:w="957" w:type="dxa"/>
            <w:tcBorders>
              <w:top w:val="single" w:sz="8" w:space="0" w:color="auto"/>
              <w:left w:val="nil"/>
              <w:bottom w:val="nil"/>
              <w:right w:val="nil"/>
            </w:tcBorders>
          </w:tcPr>
          <w:p w14:paraId="6BDDD794" w14:textId="16FC968D" w:rsidR="3E6C7172" w:rsidRPr="00BC54D1" w:rsidRDefault="3E6C7172" w:rsidP="004D7889">
            <w:pPr>
              <w:spacing w:line="360" w:lineRule="auto"/>
              <w:rPr>
                <w:rFonts w:ascii="Times New Roman" w:hAnsi="Times New Roman"/>
                <w:sz w:val="18"/>
                <w:szCs w:val="18"/>
              </w:rPr>
            </w:pPr>
            <w:r w:rsidRPr="00BC54D1">
              <w:rPr>
                <w:rFonts w:ascii="Times New Roman" w:hAnsi="Times New Roman"/>
                <w:sz w:val="18"/>
                <w:szCs w:val="18"/>
              </w:rPr>
              <w:t>R&amp;D</w:t>
            </w:r>
          </w:p>
        </w:tc>
        <w:tc>
          <w:tcPr>
            <w:tcW w:w="755" w:type="dxa"/>
            <w:tcBorders>
              <w:top w:val="single" w:sz="8" w:space="0" w:color="auto"/>
              <w:left w:val="nil"/>
              <w:bottom w:val="nil"/>
              <w:right w:val="nil"/>
            </w:tcBorders>
          </w:tcPr>
          <w:p w14:paraId="55E9411F" w14:textId="3DD7B54F"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0.017</w:t>
            </w:r>
          </w:p>
        </w:tc>
        <w:tc>
          <w:tcPr>
            <w:tcW w:w="705" w:type="dxa"/>
            <w:tcBorders>
              <w:top w:val="single" w:sz="8" w:space="0" w:color="auto"/>
              <w:left w:val="nil"/>
              <w:bottom w:val="nil"/>
              <w:right w:val="nil"/>
            </w:tcBorders>
          </w:tcPr>
          <w:p w14:paraId="69ACEA17" w14:textId="751F31A4"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0.000</w:t>
            </w:r>
          </w:p>
        </w:tc>
        <w:tc>
          <w:tcPr>
            <w:tcW w:w="705" w:type="dxa"/>
            <w:tcBorders>
              <w:top w:val="single" w:sz="8" w:space="0" w:color="auto"/>
              <w:left w:val="nil"/>
              <w:bottom w:val="nil"/>
              <w:right w:val="nil"/>
            </w:tcBorders>
          </w:tcPr>
          <w:p w14:paraId="03479AFD" w14:textId="24F3D8EF"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0.076</w:t>
            </w:r>
          </w:p>
        </w:tc>
        <w:tc>
          <w:tcPr>
            <w:tcW w:w="1007" w:type="dxa"/>
            <w:tcBorders>
              <w:top w:val="single" w:sz="8" w:space="0" w:color="auto"/>
              <w:left w:val="nil"/>
              <w:bottom w:val="nil"/>
              <w:right w:val="nil"/>
            </w:tcBorders>
          </w:tcPr>
          <w:p w14:paraId="3615B45B" w14:textId="73B61FAF"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0.001</w:t>
            </w:r>
          </w:p>
        </w:tc>
        <w:tc>
          <w:tcPr>
            <w:tcW w:w="705" w:type="dxa"/>
            <w:tcBorders>
              <w:top w:val="single" w:sz="8" w:space="0" w:color="auto"/>
              <w:left w:val="nil"/>
              <w:bottom w:val="nil"/>
              <w:right w:val="nil"/>
            </w:tcBorders>
          </w:tcPr>
          <w:p w14:paraId="0300527C" w14:textId="0FC599B3"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0.000</w:t>
            </w:r>
          </w:p>
        </w:tc>
        <w:tc>
          <w:tcPr>
            <w:tcW w:w="755" w:type="dxa"/>
            <w:tcBorders>
              <w:top w:val="single" w:sz="8" w:space="0" w:color="auto"/>
              <w:left w:val="nil"/>
              <w:bottom w:val="nil"/>
              <w:right w:val="nil"/>
            </w:tcBorders>
          </w:tcPr>
          <w:p w14:paraId="4C156A96" w14:textId="177B30E9"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0.022</w:t>
            </w:r>
          </w:p>
        </w:tc>
        <w:tc>
          <w:tcPr>
            <w:tcW w:w="890" w:type="dxa"/>
            <w:tcBorders>
              <w:top w:val="single" w:sz="8" w:space="0" w:color="auto"/>
              <w:left w:val="nil"/>
              <w:bottom w:val="nil"/>
              <w:right w:val="nil"/>
            </w:tcBorders>
          </w:tcPr>
          <w:p w14:paraId="2CDCDC77" w14:textId="0B9C01EA"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0.016</w:t>
            </w:r>
          </w:p>
        </w:tc>
        <w:tc>
          <w:tcPr>
            <w:tcW w:w="705" w:type="dxa"/>
            <w:tcBorders>
              <w:top w:val="single" w:sz="8" w:space="0" w:color="auto"/>
              <w:left w:val="nil"/>
              <w:bottom w:val="nil"/>
              <w:right w:val="nil"/>
            </w:tcBorders>
          </w:tcPr>
          <w:p w14:paraId="3BE5F3F2" w14:textId="1A3D61B8"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0.078</w:t>
            </w:r>
          </w:p>
        </w:tc>
        <w:tc>
          <w:tcPr>
            <w:tcW w:w="755" w:type="dxa"/>
            <w:tcBorders>
              <w:top w:val="single" w:sz="8" w:space="0" w:color="auto"/>
              <w:left w:val="nil"/>
              <w:bottom w:val="nil"/>
              <w:right w:val="nil"/>
            </w:tcBorders>
          </w:tcPr>
          <w:p w14:paraId="1F8E1BF7" w14:textId="08F53F6C"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0.002</w:t>
            </w:r>
          </w:p>
        </w:tc>
        <w:tc>
          <w:tcPr>
            <w:tcW w:w="755" w:type="dxa"/>
            <w:tcBorders>
              <w:top w:val="single" w:sz="8" w:space="0" w:color="auto"/>
              <w:left w:val="nil"/>
              <w:bottom w:val="nil"/>
              <w:right w:val="nil"/>
            </w:tcBorders>
          </w:tcPr>
          <w:p w14:paraId="6AD656EB" w14:textId="5824B680"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0.024</w:t>
            </w:r>
          </w:p>
        </w:tc>
        <w:tc>
          <w:tcPr>
            <w:tcW w:w="890" w:type="dxa"/>
            <w:tcBorders>
              <w:top w:val="single" w:sz="8" w:space="0" w:color="auto"/>
              <w:left w:val="nil"/>
              <w:bottom w:val="nil"/>
              <w:right w:val="nil"/>
            </w:tcBorders>
          </w:tcPr>
          <w:p w14:paraId="2BEB7B21" w14:textId="78F423A8" w:rsidR="3E6C7172" w:rsidRPr="00BC54D1" w:rsidRDefault="3E6C7172" w:rsidP="004D7889">
            <w:pPr>
              <w:spacing w:line="360" w:lineRule="auto"/>
              <w:jc w:val="center"/>
              <w:rPr>
                <w:rFonts w:ascii="Times New Roman" w:hAnsi="Times New Roman"/>
                <w:sz w:val="16"/>
                <w:szCs w:val="16"/>
                <w:vertAlign w:val="superscript"/>
              </w:rPr>
            </w:pPr>
            <w:r w:rsidRPr="00BC54D1">
              <w:rPr>
                <w:rFonts w:ascii="Times New Roman" w:hAnsi="Times New Roman"/>
                <w:sz w:val="18"/>
                <w:szCs w:val="18"/>
              </w:rPr>
              <w:t>0.014</w:t>
            </w:r>
            <w:r w:rsidRPr="00BC54D1">
              <w:rPr>
                <w:rFonts w:ascii="Times New Roman" w:hAnsi="Times New Roman"/>
                <w:sz w:val="16"/>
                <w:szCs w:val="16"/>
                <w:vertAlign w:val="superscript"/>
              </w:rPr>
              <w:t>***</w:t>
            </w:r>
          </w:p>
        </w:tc>
      </w:tr>
      <w:tr w:rsidR="00BC54D1" w:rsidRPr="00BC54D1" w14:paraId="7EC060F5" w14:textId="77777777" w:rsidTr="00CA0F2C">
        <w:trPr>
          <w:trHeight w:val="300"/>
        </w:trPr>
        <w:tc>
          <w:tcPr>
            <w:tcW w:w="957" w:type="dxa"/>
          </w:tcPr>
          <w:p w14:paraId="1A42DDE6" w14:textId="012061F8" w:rsidR="3E6C7172" w:rsidRPr="00BC54D1" w:rsidRDefault="3E6C7172" w:rsidP="004D7889">
            <w:pPr>
              <w:spacing w:line="360" w:lineRule="auto"/>
              <w:rPr>
                <w:rFonts w:ascii="Times New Roman" w:hAnsi="Times New Roman"/>
                <w:sz w:val="18"/>
                <w:szCs w:val="18"/>
              </w:rPr>
            </w:pPr>
            <w:r w:rsidRPr="00BC54D1">
              <w:rPr>
                <w:rFonts w:ascii="Times New Roman" w:hAnsi="Times New Roman"/>
                <w:sz w:val="18"/>
                <w:szCs w:val="18"/>
              </w:rPr>
              <w:t>CF</w:t>
            </w:r>
          </w:p>
        </w:tc>
        <w:tc>
          <w:tcPr>
            <w:tcW w:w="755" w:type="dxa"/>
          </w:tcPr>
          <w:p w14:paraId="67F403D2" w14:textId="7F274F03"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0.027</w:t>
            </w:r>
          </w:p>
        </w:tc>
        <w:tc>
          <w:tcPr>
            <w:tcW w:w="705" w:type="dxa"/>
          </w:tcPr>
          <w:p w14:paraId="7771AC6D" w14:textId="745530D3"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0.030</w:t>
            </w:r>
          </w:p>
        </w:tc>
        <w:tc>
          <w:tcPr>
            <w:tcW w:w="705" w:type="dxa"/>
          </w:tcPr>
          <w:p w14:paraId="75865D4D" w14:textId="65207DDC"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0.169</w:t>
            </w:r>
          </w:p>
        </w:tc>
        <w:tc>
          <w:tcPr>
            <w:tcW w:w="1007" w:type="dxa"/>
          </w:tcPr>
          <w:p w14:paraId="72CDC119" w14:textId="33D7E90B"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0.062</w:t>
            </w:r>
          </w:p>
        </w:tc>
        <w:tc>
          <w:tcPr>
            <w:tcW w:w="705" w:type="dxa"/>
          </w:tcPr>
          <w:p w14:paraId="0DA6327C" w14:textId="41E9A5E3"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0.015</w:t>
            </w:r>
          </w:p>
        </w:tc>
        <w:tc>
          <w:tcPr>
            <w:tcW w:w="755" w:type="dxa"/>
          </w:tcPr>
          <w:p w14:paraId="58AE99C3" w14:textId="6B11BD7E"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0.134</w:t>
            </w:r>
          </w:p>
        </w:tc>
        <w:tc>
          <w:tcPr>
            <w:tcW w:w="890" w:type="dxa"/>
          </w:tcPr>
          <w:p w14:paraId="7F8B03F1" w14:textId="730E068B"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0.033</w:t>
            </w:r>
          </w:p>
        </w:tc>
        <w:tc>
          <w:tcPr>
            <w:tcW w:w="705" w:type="dxa"/>
          </w:tcPr>
          <w:p w14:paraId="7A824AA6" w14:textId="7DB083C0"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0.169</w:t>
            </w:r>
          </w:p>
        </w:tc>
        <w:tc>
          <w:tcPr>
            <w:tcW w:w="755" w:type="dxa"/>
          </w:tcPr>
          <w:p w14:paraId="0A7F81E0" w14:textId="6D17FFE6"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0.068</w:t>
            </w:r>
          </w:p>
        </w:tc>
        <w:tc>
          <w:tcPr>
            <w:tcW w:w="755" w:type="dxa"/>
          </w:tcPr>
          <w:p w14:paraId="7A675B8E" w14:textId="42F19C4D"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0.134</w:t>
            </w:r>
          </w:p>
        </w:tc>
        <w:tc>
          <w:tcPr>
            <w:tcW w:w="890" w:type="dxa"/>
          </w:tcPr>
          <w:p w14:paraId="6ED06AF5" w14:textId="3F7088A0" w:rsidR="3E6C7172" w:rsidRPr="00BC54D1" w:rsidRDefault="3E6C7172" w:rsidP="004D7889">
            <w:pPr>
              <w:spacing w:line="360" w:lineRule="auto"/>
              <w:rPr>
                <w:rFonts w:ascii="Times New Roman" w:hAnsi="Times New Roman"/>
                <w:sz w:val="16"/>
                <w:szCs w:val="16"/>
                <w:vertAlign w:val="superscript"/>
              </w:rPr>
            </w:pPr>
            <w:r w:rsidRPr="00BC54D1">
              <w:rPr>
                <w:rFonts w:ascii="Times New Roman" w:hAnsi="Times New Roman"/>
                <w:sz w:val="18"/>
                <w:szCs w:val="18"/>
              </w:rPr>
              <w:t>-.035</w:t>
            </w:r>
            <w:r w:rsidRPr="00BC54D1">
              <w:rPr>
                <w:rFonts w:ascii="Times New Roman" w:hAnsi="Times New Roman"/>
                <w:sz w:val="16"/>
                <w:szCs w:val="16"/>
                <w:vertAlign w:val="superscript"/>
              </w:rPr>
              <w:t>***</w:t>
            </w:r>
          </w:p>
        </w:tc>
      </w:tr>
      <w:tr w:rsidR="00BC54D1" w:rsidRPr="00BC54D1" w14:paraId="3E51A148" w14:textId="77777777" w:rsidTr="00CA0F2C">
        <w:trPr>
          <w:trHeight w:val="311"/>
        </w:trPr>
        <w:tc>
          <w:tcPr>
            <w:tcW w:w="957" w:type="dxa"/>
          </w:tcPr>
          <w:p w14:paraId="320B423F" w14:textId="5CFD5026" w:rsidR="3E6C7172" w:rsidRPr="00BC54D1" w:rsidRDefault="3E6C7172" w:rsidP="004D7889">
            <w:pPr>
              <w:spacing w:line="360" w:lineRule="auto"/>
              <w:rPr>
                <w:rFonts w:ascii="Times New Roman" w:hAnsi="Times New Roman"/>
                <w:sz w:val="18"/>
                <w:szCs w:val="18"/>
              </w:rPr>
            </w:pPr>
            <w:r w:rsidRPr="00BC54D1">
              <w:rPr>
                <w:rFonts w:ascii="Times New Roman" w:hAnsi="Times New Roman"/>
                <w:sz w:val="18"/>
                <w:szCs w:val="18"/>
              </w:rPr>
              <w:t>SGR</w:t>
            </w:r>
          </w:p>
        </w:tc>
        <w:tc>
          <w:tcPr>
            <w:tcW w:w="755" w:type="dxa"/>
          </w:tcPr>
          <w:p w14:paraId="3D2F2E17" w14:textId="03DE742C"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1.008</w:t>
            </w:r>
          </w:p>
        </w:tc>
        <w:tc>
          <w:tcPr>
            <w:tcW w:w="705" w:type="dxa"/>
          </w:tcPr>
          <w:p w14:paraId="06309ACA" w14:textId="01B42A5D"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1.003</w:t>
            </w:r>
          </w:p>
        </w:tc>
        <w:tc>
          <w:tcPr>
            <w:tcW w:w="705" w:type="dxa"/>
          </w:tcPr>
          <w:p w14:paraId="7389EC48" w14:textId="32CFE7DF"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0.097</w:t>
            </w:r>
          </w:p>
        </w:tc>
        <w:tc>
          <w:tcPr>
            <w:tcW w:w="1007" w:type="dxa"/>
          </w:tcPr>
          <w:p w14:paraId="3CB54AE1" w14:textId="46B39C48"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1.005</w:t>
            </w:r>
          </w:p>
        </w:tc>
        <w:tc>
          <w:tcPr>
            <w:tcW w:w="705" w:type="dxa"/>
          </w:tcPr>
          <w:p w14:paraId="2F61A3A6" w14:textId="4C846F0D"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1.003</w:t>
            </w:r>
          </w:p>
        </w:tc>
        <w:tc>
          <w:tcPr>
            <w:tcW w:w="755" w:type="dxa"/>
          </w:tcPr>
          <w:p w14:paraId="3A39C199" w14:textId="4379E3B4"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0.079</w:t>
            </w:r>
          </w:p>
        </w:tc>
        <w:tc>
          <w:tcPr>
            <w:tcW w:w="890" w:type="dxa"/>
          </w:tcPr>
          <w:p w14:paraId="24B4F920" w14:textId="28BC2405"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1.009</w:t>
            </w:r>
          </w:p>
        </w:tc>
        <w:tc>
          <w:tcPr>
            <w:tcW w:w="705" w:type="dxa"/>
          </w:tcPr>
          <w:p w14:paraId="1142789C" w14:textId="3A9E2A0F"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0.098</w:t>
            </w:r>
          </w:p>
        </w:tc>
        <w:tc>
          <w:tcPr>
            <w:tcW w:w="755" w:type="dxa"/>
          </w:tcPr>
          <w:p w14:paraId="2A860D85" w14:textId="6890385B"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1.005</w:t>
            </w:r>
          </w:p>
        </w:tc>
        <w:tc>
          <w:tcPr>
            <w:tcW w:w="755" w:type="dxa"/>
          </w:tcPr>
          <w:p w14:paraId="647E4A1D" w14:textId="19CD3734"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0.075</w:t>
            </w:r>
          </w:p>
        </w:tc>
        <w:tc>
          <w:tcPr>
            <w:tcW w:w="890" w:type="dxa"/>
          </w:tcPr>
          <w:p w14:paraId="749686FF" w14:textId="78EDBE11" w:rsidR="3E6C7172" w:rsidRPr="00BC54D1" w:rsidRDefault="3E6C7172" w:rsidP="004D7889">
            <w:pPr>
              <w:spacing w:line="360" w:lineRule="auto"/>
              <w:jc w:val="center"/>
              <w:rPr>
                <w:rFonts w:ascii="Times New Roman" w:hAnsi="Times New Roman"/>
                <w:sz w:val="16"/>
                <w:szCs w:val="16"/>
                <w:vertAlign w:val="superscript"/>
              </w:rPr>
            </w:pPr>
            <w:r w:rsidRPr="00BC54D1">
              <w:rPr>
                <w:rFonts w:ascii="Times New Roman" w:hAnsi="Times New Roman"/>
                <w:sz w:val="18"/>
                <w:szCs w:val="18"/>
              </w:rPr>
              <w:t>0.004</w:t>
            </w:r>
            <w:r w:rsidRPr="00BC54D1">
              <w:rPr>
                <w:rFonts w:ascii="Times New Roman" w:hAnsi="Times New Roman"/>
                <w:sz w:val="16"/>
                <w:szCs w:val="16"/>
                <w:vertAlign w:val="superscript"/>
              </w:rPr>
              <w:t>***</w:t>
            </w:r>
          </w:p>
        </w:tc>
      </w:tr>
      <w:tr w:rsidR="00BC54D1" w:rsidRPr="00BC54D1" w14:paraId="178FDAAF" w14:textId="77777777" w:rsidTr="00CA0F2C">
        <w:trPr>
          <w:trHeight w:val="300"/>
        </w:trPr>
        <w:tc>
          <w:tcPr>
            <w:tcW w:w="957" w:type="dxa"/>
          </w:tcPr>
          <w:p w14:paraId="68370F08" w14:textId="0903B0AB" w:rsidR="3E6C7172" w:rsidRPr="00BC54D1" w:rsidRDefault="3E6C7172" w:rsidP="004D7889">
            <w:pPr>
              <w:spacing w:line="360" w:lineRule="auto"/>
              <w:rPr>
                <w:rFonts w:ascii="Times New Roman" w:hAnsi="Times New Roman"/>
                <w:sz w:val="18"/>
                <w:szCs w:val="18"/>
              </w:rPr>
            </w:pPr>
            <w:r w:rsidRPr="00BC54D1">
              <w:rPr>
                <w:rFonts w:ascii="Times New Roman" w:hAnsi="Times New Roman"/>
                <w:sz w:val="18"/>
                <w:szCs w:val="18"/>
              </w:rPr>
              <w:t>SZ</w:t>
            </w:r>
          </w:p>
        </w:tc>
        <w:tc>
          <w:tcPr>
            <w:tcW w:w="755" w:type="dxa"/>
          </w:tcPr>
          <w:p w14:paraId="030721ED" w14:textId="7BDA81F8"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7.765</w:t>
            </w:r>
          </w:p>
        </w:tc>
        <w:tc>
          <w:tcPr>
            <w:tcW w:w="705" w:type="dxa"/>
          </w:tcPr>
          <w:p w14:paraId="63618271" w14:textId="4F88B92D"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7.752</w:t>
            </w:r>
          </w:p>
        </w:tc>
        <w:tc>
          <w:tcPr>
            <w:tcW w:w="705" w:type="dxa"/>
          </w:tcPr>
          <w:p w14:paraId="41CAD0F9" w14:textId="785E991F"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1.117</w:t>
            </w:r>
          </w:p>
        </w:tc>
        <w:tc>
          <w:tcPr>
            <w:tcW w:w="1007" w:type="dxa"/>
          </w:tcPr>
          <w:p w14:paraId="29EBF14B" w14:textId="2AB1F33B"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7.217</w:t>
            </w:r>
          </w:p>
        </w:tc>
        <w:tc>
          <w:tcPr>
            <w:tcW w:w="705" w:type="dxa"/>
          </w:tcPr>
          <w:p w14:paraId="34437FE3" w14:textId="028CD9CD"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7.223</w:t>
            </w:r>
          </w:p>
        </w:tc>
        <w:tc>
          <w:tcPr>
            <w:tcW w:w="755" w:type="dxa"/>
          </w:tcPr>
          <w:p w14:paraId="079E6223" w14:textId="10362913"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1.080</w:t>
            </w:r>
          </w:p>
        </w:tc>
        <w:tc>
          <w:tcPr>
            <w:tcW w:w="890" w:type="dxa"/>
          </w:tcPr>
          <w:p w14:paraId="1D7DBE5C" w14:textId="0404A7AE"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7.910</w:t>
            </w:r>
          </w:p>
        </w:tc>
        <w:tc>
          <w:tcPr>
            <w:tcW w:w="705" w:type="dxa"/>
          </w:tcPr>
          <w:p w14:paraId="3E996DC4" w14:textId="79C4ABDE"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1.235</w:t>
            </w:r>
          </w:p>
        </w:tc>
        <w:tc>
          <w:tcPr>
            <w:tcW w:w="755" w:type="dxa"/>
          </w:tcPr>
          <w:p w14:paraId="06BC77F2" w14:textId="1EAD3A50"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7.259</w:t>
            </w:r>
          </w:p>
        </w:tc>
        <w:tc>
          <w:tcPr>
            <w:tcW w:w="755" w:type="dxa"/>
          </w:tcPr>
          <w:p w14:paraId="7142174D" w14:textId="525BEA93"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0.192</w:t>
            </w:r>
          </w:p>
        </w:tc>
        <w:tc>
          <w:tcPr>
            <w:tcW w:w="890" w:type="dxa"/>
          </w:tcPr>
          <w:p w14:paraId="620829CF" w14:textId="4D5022A7" w:rsidR="3E6C7172" w:rsidRPr="00BC54D1" w:rsidRDefault="3E6C7172" w:rsidP="004D7889">
            <w:pPr>
              <w:spacing w:line="360" w:lineRule="auto"/>
              <w:jc w:val="center"/>
              <w:rPr>
                <w:rFonts w:ascii="Times New Roman" w:hAnsi="Times New Roman"/>
                <w:sz w:val="16"/>
                <w:szCs w:val="16"/>
                <w:vertAlign w:val="superscript"/>
              </w:rPr>
            </w:pPr>
            <w:r w:rsidRPr="00BC54D1">
              <w:rPr>
                <w:rFonts w:ascii="Times New Roman" w:hAnsi="Times New Roman"/>
                <w:sz w:val="18"/>
                <w:szCs w:val="18"/>
              </w:rPr>
              <w:t>0.652</w:t>
            </w:r>
            <w:r w:rsidRPr="00BC54D1">
              <w:rPr>
                <w:rFonts w:ascii="Times New Roman" w:hAnsi="Times New Roman"/>
                <w:sz w:val="16"/>
                <w:szCs w:val="16"/>
                <w:vertAlign w:val="superscript"/>
              </w:rPr>
              <w:t>***</w:t>
            </w:r>
          </w:p>
        </w:tc>
      </w:tr>
      <w:tr w:rsidR="00BC54D1" w:rsidRPr="00BC54D1" w14:paraId="4890DEC3" w14:textId="77777777" w:rsidTr="00CA0F2C">
        <w:trPr>
          <w:trHeight w:val="311"/>
        </w:trPr>
        <w:tc>
          <w:tcPr>
            <w:tcW w:w="957" w:type="dxa"/>
          </w:tcPr>
          <w:p w14:paraId="78ECD146" w14:textId="1A05D045" w:rsidR="3E6C7172" w:rsidRPr="00BC54D1" w:rsidRDefault="3E6C7172" w:rsidP="004D7889">
            <w:pPr>
              <w:spacing w:line="360" w:lineRule="auto"/>
              <w:rPr>
                <w:rFonts w:ascii="Times New Roman" w:hAnsi="Times New Roman"/>
                <w:sz w:val="18"/>
                <w:szCs w:val="18"/>
              </w:rPr>
            </w:pPr>
            <w:r w:rsidRPr="00BC54D1">
              <w:rPr>
                <w:rFonts w:ascii="Times New Roman" w:hAnsi="Times New Roman"/>
                <w:sz w:val="18"/>
                <w:szCs w:val="18"/>
              </w:rPr>
              <w:t>CH</w:t>
            </w:r>
          </w:p>
        </w:tc>
        <w:tc>
          <w:tcPr>
            <w:tcW w:w="755" w:type="dxa"/>
          </w:tcPr>
          <w:p w14:paraId="5DE6501B" w14:textId="11D46733"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0.167</w:t>
            </w:r>
          </w:p>
        </w:tc>
        <w:tc>
          <w:tcPr>
            <w:tcW w:w="705" w:type="dxa"/>
          </w:tcPr>
          <w:p w14:paraId="686A770D" w14:textId="6193715F"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0.083</w:t>
            </w:r>
          </w:p>
        </w:tc>
        <w:tc>
          <w:tcPr>
            <w:tcW w:w="705" w:type="dxa"/>
          </w:tcPr>
          <w:p w14:paraId="592652EF" w14:textId="73AF5DF2"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0.207</w:t>
            </w:r>
          </w:p>
        </w:tc>
        <w:tc>
          <w:tcPr>
            <w:tcW w:w="1007" w:type="dxa"/>
          </w:tcPr>
          <w:p w14:paraId="4A4407CD" w14:textId="6D3CDCF2"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0.112</w:t>
            </w:r>
          </w:p>
        </w:tc>
        <w:tc>
          <w:tcPr>
            <w:tcW w:w="705" w:type="dxa"/>
          </w:tcPr>
          <w:p w14:paraId="024528C1" w14:textId="5E873DFC"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0.030</w:t>
            </w:r>
          </w:p>
        </w:tc>
        <w:tc>
          <w:tcPr>
            <w:tcW w:w="755" w:type="dxa"/>
          </w:tcPr>
          <w:p w14:paraId="53B20F6A" w14:textId="0B65DE56"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0.180</w:t>
            </w:r>
          </w:p>
        </w:tc>
        <w:tc>
          <w:tcPr>
            <w:tcW w:w="890" w:type="dxa"/>
          </w:tcPr>
          <w:p w14:paraId="5678D18D" w14:textId="341117B2"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0.158</w:t>
            </w:r>
          </w:p>
        </w:tc>
        <w:tc>
          <w:tcPr>
            <w:tcW w:w="705" w:type="dxa"/>
          </w:tcPr>
          <w:p w14:paraId="6C367B0B" w14:textId="569E4133"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0.205</w:t>
            </w:r>
          </w:p>
        </w:tc>
        <w:tc>
          <w:tcPr>
            <w:tcW w:w="755" w:type="dxa"/>
          </w:tcPr>
          <w:p w14:paraId="667CA36D" w14:textId="39D0A077"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0.108</w:t>
            </w:r>
          </w:p>
        </w:tc>
        <w:tc>
          <w:tcPr>
            <w:tcW w:w="755" w:type="dxa"/>
          </w:tcPr>
          <w:p w14:paraId="45025DD5" w14:textId="5DBF6BA8"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0.168</w:t>
            </w:r>
          </w:p>
        </w:tc>
        <w:tc>
          <w:tcPr>
            <w:tcW w:w="890" w:type="dxa"/>
          </w:tcPr>
          <w:p w14:paraId="11A7C4E4" w14:textId="64C95BAE" w:rsidR="3E6C7172" w:rsidRPr="00BC54D1" w:rsidRDefault="3E6C7172" w:rsidP="004D7889">
            <w:pPr>
              <w:spacing w:line="360" w:lineRule="auto"/>
              <w:jc w:val="center"/>
              <w:rPr>
                <w:rFonts w:ascii="Times New Roman" w:hAnsi="Times New Roman"/>
                <w:sz w:val="16"/>
                <w:szCs w:val="16"/>
                <w:vertAlign w:val="superscript"/>
              </w:rPr>
            </w:pPr>
            <w:r w:rsidRPr="00BC54D1">
              <w:rPr>
                <w:rFonts w:ascii="Times New Roman" w:hAnsi="Times New Roman"/>
                <w:sz w:val="18"/>
                <w:szCs w:val="18"/>
              </w:rPr>
              <w:t>0.050</w:t>
            </w:r>
            <w:r w:rsidRPr="00BC54D1">
              <w:rPr>
                <w:rFonts w:ascii="Times New Roman" w:hAnsi="Times New Roman"/>
                <w:sz w:val="16"/>
                <w:szCs w:val="16"/>
                <w:vertAlign w:val="superscript"/>
              </w:rPr>
              <w:t>***</w:t>
            </w:r>
          </w:p>
        </w:tc>
      </w:tr>
      <w:tr w:rsidR="00BC54D1" w:rsidRPr="00BC54D1" w14:paraId="24FC26F8" w14:textId="77777777" w:rsidTr="00CA0F2C">
        <w:trPr>
          <w:trHeight w:val="300"/>
        </w:trPr>
        <w:tc>
          <w:tcPr>
            <w:tcW w:w="957" w:type="dxa"/>
          </w:tcPr>
          <w:p w14:paraId="3199B86B" w14:textId="693931D5" w:rsidR="3E6C7172" w:rsidRPr="00BC54D1" w:rsidRDefault="3E6C7172" w:rsidP="004D7889">
            <w:pPr>
              <w:spacing w:line="360" w:lineRule="auto"/>
              <w:rPr>
                <w:rFonts w:ascii="Times New Roman" w:hAnsi="Times New Roman"/>
                <w:sz w:val="18"/>
                <w:szCs w:val="18"/>
              </w:rPr>
            </w:pPr>
            <w:r w:rsidRPr="00BC54D1">
              <w:rPr>
                <w:rFonts w:ascii="Times New Roman" w:hAnsi="Times New Roman"/>
                <w:sz w:val="18"/>
                <w:szCs w:val="18"/>
              </w:rPr>
              <w:t>LEV</w:t>
            </w:r>
          </w:p>
        </w:tc>
        <w:tc>
          <w:tcPr>
            <w:tcW w:w="755" w:type="dxa"/>
          </w:tcPr>
          <w:p w14:paraId="0925916C" w14:textId="6341F89A"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0.144</w:t>
            </w:r>
          </w:p>
        </w:tc>
        <w:tc>
          <w:tcPr>
            <w:tcW w:w="705" w:type="dxa"/>
          </w:tcPr>
          <w:p w14:paraId="3A843EE0" w14:textId="0E6EA635"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0.068</w:t>
            </w:r>
          </w:p>
        </w:tc>
        <w:tc>
          <w:tcPr>
            <w:tcW w:w="705" w:type="dxa"/>
          </w:tcPr>
          <w:p w14:paraId="6B6616EE" w14:textId="0AFDCEC7"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0.180</w:t>
            </w:r>
          </w:p>
        </w:tc>
        <w:tc>
          <w:tcPr>
            <w:tcW w:w="1007" w:type="dxa"/>
          </w:tcPr>
          <w:p w14:paraId="44A06C68" w14:textId="5988FF2A"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0.260</w:t>
            </w:r>
          </w:p>
        </w:tc>
        <w:tc>
          <w:tcPr>
            <w:tcW w:w="705" w:type="dxa"/>
          </w:tcPr>
          <w:p w14:paraId="31F63F87" w14:textId="3746D0FD"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0.171</w:t>
            </w:r>
          </w:p>
        </w:tc>
        <w:tc>
          <w:tcPr>
            <w:tcW w:w="755" w:type="dxa"/>
          </w:tcPr>
          <w:p w14:paraId="58F785C4" w14:textId="0C133F87"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0.259</w:t>
            </w:r>
          </w:p>
        </w:tc>
        <w:tc>
          <w:tcPr>
            <w:tcW w:w="890" w:type="dxa"/>
          </w:tcPr>
          <w:p w14:paraId="7B816809" w14:textId="6F131F70"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0.160</w:t>
            </w:r>
          </w:p>
        </w:tc>
        <w:tc>
          <w:tcPr>
            <w:tcW w:w="705" w:type="dxa"/>
          </w:tcPr>
          <w:p w14:paraId="15062361" w14:textId="243C77CD"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0.187</w:t>
            </w:r>
          </w:p>
        </w:tc>
        <w:tc>
          <w:tcPr>
            <w:tcW w:w="755" w:type="dxa"/>
          </w:tcPr>
          <w:p w14:paraId="5176CE19" w14:textId="2F03F2A5"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0.259</w:t>
            </w:r>
          </w:p>
        </w:tc>
        <w:tc>
          <w:tcPr>
            <w:tcW w:w="755" w:type="dxa"/>
          </w:tcPr>
          <w:p w14:paraId="6D6F78B3" w14:textId="6A1CEFCD"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0.255</w:t>
            </w:r>
          </w:p>
        </w:tc>
        <w:tc>
          <w:tcPr>
            <w:tcW w:w="890" w:type="dxa"/>
          </w:tcPr>
          <w:p w14:paraId="30829CE9" w14:textId="72B6FE08" w:rsidR="3E6C7172" w:rsidRPr="00BC54D1" w:rsidRDefault="3E6C7172" w:rsidP="004D7889">
            <w:pPr>
              <w:spacing w:line="360" w:lineRule="auto"/>
              <w:jc w:val="center"/>
              <w:rPr>
                <w:rFonts w:ascii="Times New Roman" w:hAnsi="Times New Roman"/>
                <w:sz w:val="16"/>
                <w:szCs w:val="16"/>
                <w:vertAlign w:val="superscript"/>
              </w:rPr>
            </w:pPr>
            <w:r w:rsidRPr="00BC54D1">
              <w:rPr>
                <w:rFonts w:ascii="Times New Roman" w:hAnsi="Times New Roman"/>
                <w:sz w:val="18"/>
                <w:szCs w:val="18"/>
              </w:rPr>
              <w:t>-.099</w:t>
            </w:r>
            <w:r w:rsidRPr="00BC54D1">
              <w:rPr>
                <w:rFonts w:ascii="Times New Roman" w:hAnsi="Times New Roman"/>
                <w:sz w:val="16"/>
                <w:szCs w:val="16"/>
                <w:vertAlign w:val="superscript"/>
              </w:rPr>
              <w:t>***</w:t>
            </w:r>
          </w:p>
        </w:tc>
      </w:tr>
      <w:tr w:rsidR="00BC54D1" w:rsidRPr="00BC54D1" w14:paraId="25C6B494" w14:textId="77777777" w:rsidTr="00CA0F2C">
        <w:trPr>
          <w:trHeight w:val="311"/>
        </w:trPr>
        <w:tc>
          <w:tcPr>
            <w:tcW w:w="957" w:type="dxa"/>
          </w:tcPr>
          <w:p w14:paraId="63FFEDA3" w14:textId="5532F442" w:rsidR="3E6C7172" w:rsidRPr="00BC54D1" w:rsidRDefault="3E6C7172" w:rsidP="004D7889">
            <w:pPr>
              <w:spacing w:line="360" w:lineRule="auto"/>
              <w:rPr>
                <w:rFonts w:ascii="Times New Roman" w:hAnsi="Times New Roman"/>
                <w:sz w:val="18"/>
                <w:szCs w:val="18"/>
              </w:rPr>
            </w:pPr>
            <w:r w:rsidRPr="00BC54D1">
              <w:rPr>
                <w:rFonts w:ascii="Times New Roman" w:hAnsi="Times New Roman"/>
                <w:sz w:val="18"/>
                <w:szCs w:val="18"/>
              </w:rPr>
              <w:t>PR</w:t>
            </w:r>
          </w:p>
        </w:tc>
        <w:tc>
          <w:tcPr>
            <w:tcW w:w="755" w:type="dxa"/>
          </w:tcPr>
          <w:p w14:paraId="476BB4AD" w14:textId="65F5F348"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0.042</w:t>
            </w:r>
          </w:p>
        </w:tc>
        <w:tc>
          <w:tcPr>
            <w:tcW w:w="705" w:type="dxa"/>
          </w:tcPr>
          <w:p w14:paraId="2149D0F2" w14:textId="0972F61F"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0.018</w:t>
            </w:r>
          </w:p>
        </w:tc>
        <w:tc>
          <w:tcPr>
            <w:tcW w:w="705" w:type="dxa"/>
          </w:tcPr>
          <w:p w14:paraId="0DA60890" w14:textId="49D5B232"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0.055</w:t>
            </w:r>
          </w:p>
        </w:tc>
        <w:tc>
          <w:tcPr>
            <w:tcW w:w="1007" w:type="dxa"/>
          </w:tcPr>
          <w:p w14:paraId="7291C085" w14:textId="358F2D17"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0.046</w:t>
            </w:r>
          </w:p>
        </w:tc>
        <w:tc>
          <w:tcPr>
            <w:tcW w:w="705" w:type="dxa"/>
          </w:tcPr>
          <w:p w14:paraId="2949E600" w14:textId="111774E6"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0.015</w:t>
            </w:r>
          </w:p>
        </w:tc>
        <w:tc>
          <w:tcPr>
            <w:tcW w:w="755" w:type="dxa"/>
          </w:tcPr>
          <w:p w14:paraId="04BDB5E3" w14:textId="7C302730"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0.061</w:t>
            </w:r>
          </w:p>
        </w:tc>
        <w:tc>
          <w:tcPr>
            <w:tcW w:w="890" w:type="dxa"/>
          </w:tcPr>
          <w:p w14:paraId="46584AF7" w14:textId="325B3510"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0.044</w:t>
            </w:r>
          </w:p>
        </w:tc>
        <w:tc>
          <w:tcPr>
            <w:tcW w:w="705" w:type="dxa"/>
          </w:tcPr>
          <w:p w14:paraId="681590D0" w14:textId="242B285C"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0.055</w:t>
            </w:r>
          </w:p>
        </w:tc>
        <w:tc>
          <w:tcPr>
            <w:tcW w:w="755" w:type="dxa"/>
          </w:tcPr>
          <w:p w14:paraId="4807E65C" w14:textId="04CCBDE7"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0.046</w:t>
            </w:r>
          </w:p>
        </w:tc>
        <w:tc>
          <w:tcPr>
            <w:tcW w:w="755" w:type="dxa"/>
          </w:tcPr>
          <w:p w14:paraId="2DC20EC6" w14:textId="43E0D050"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0.060</w:t>
            </w:r>
          </w:p>
        </w:tc>
        <w:tc>
          <w:tcPr>
            <w:tcW w:w="890" w:type="dxa"/>
          </w:tcPr>
          <w:p w14:paraId="7BFEE37B" w14:textId="0F2337AC" w:rsidR="3E6C7172" w:rsidRPr="00BC54D1" w:rsidRDefault="3E6C7172" w:rsidP="004D7889">
            <w:pPr>
              <w:spacing w:line="360" w:lineRule="auto"/>
              <w:jc w:val="center"/>
              <w:rPr>
                <w:rFonts w:ascii="Times New Roman" w:hAnsi="Times New Roman"/>
                <w:sz w:val="16"/>
                <w:szCs w:val="16"/>
                <w:vertAlign w:val="superscript"/>
              </w:rPr>
            </w:pPr>
            <w:r w:rsidRPr="00BC54D1">
              <w:rPr>
                <w:rFonts w:ascii="Times New Roman" w:hAnsi="Times New Roman"/>
                <w:sz w:val="18"/>
                <w:szCs w:val="18"/>
              </w:rPr>
              <w:t>-.002</w:t>
            </w:r>
            <w:r w:rsidRPr="00BC54D1">
              <w:rPr>
                <w:rFonts w:ascii="Times New Roman" w:hAnsi="Times New Roman"/>
                <w:sz w:val="16"/>
                <w:szCs w:val="16"/>
                <w:vertAlign w:val="superscript"/>
              </w:rPr>
              <w:t>***</w:t>
            </w:r>
          </w:p>
        </w:tc>
      </w:tr>
      <w:tr w:rsidR="00BC54D1" w:rsidRPr="00BC54D1" w14:paraId="6ADD2FD7" w14:textId="77777777" w:rsidTr="00CA0F2C">
        <w:trPr>
          <w:trHeight w:val="300"/>
        </w:trPr>
        <w:tc>
          <w:tcPr>
            <w:tcW w:w="957" w:type="dxa"/>
          </w:tcPr>
          <w:p w14:paraId="447BEC69" w14:textId="03D97A8C" w:rsidR="3E6C7172" w:rsidRPr="00BC54D1" w:rsidRDefault="3E6C7172" w:rsidP="004D7889">
            <w:pPr>
              <w:spacing w:line="360" w:lineRule="auto"/>
              <w:rPr>
                <w:rFonts w:ascii="Times New Roman" w:hAnsi="Times New Roman"/>
                <w:sz w:val="18"/>
                <w:szCs w:val="18"/>
              </w:rPr>
            </w:pPr>
            <w:r w:rsidRPr="00BC54D1">
              <w:rPr>
                <w:rFonts w:ascii="Times New Roman" w:hAnsi="Times New Roman"/>
                <w:sz w:val="18"/>
                <w:szCs w:val="18"/>
              </w:rPr>
              <w:t>FY</w:t>
            </w:r>
          </w:p>
        </w:tc>
        <w:tc>
          <w:tcPr>
            <w:tcW w:w="755" w:type="dxa"/>
          </w:tcPr>
          <w:p w14:paraId="74B6B2C2" w14:textId="6AF742CF"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23.86</w:t>
            </w:r>
          </w:p>
        </w:tc>
        <w:tc>
          <w:tcPr>
            <w:tcW w:w="705" w:type="dxa"/>
          </w:tcPr>
          <w:p w14:paraId="23DEFBD0" w14:textId="414E98CE"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12.00</w:t>
            </w:r>
          </w:p>
        </w:tc>
        <w:tc>
          <w:tcPr>
            <w:tcW w:w="705" w:type="dxa"/>
          </w:tcPr>
          <w:p w14:paraId="7B92DAA3" w14:textId="1EF06813"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28.63</w:t>
            </w:r>
          </w:p>
        </w:tc>
        <w:tc>
          <w:tcPr>
            <w:tcW w:w="1007" w:type="dxa"/>
          </w:tcPr>
          <w:p w14:paraId="7C9EDB2B" w14:textId="32010935"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20.12</w:t>
            </w:r>
          </w:p>
        </w:tc>
        <w:tc>
          <w:tcPr>
            <w:tcW w:w="705" w:type="dxa"/>
          </w:tcPr>
          <w:p w14:paraId="7BE2A6D9" w14:textId="11120F3C"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13.00</w:t>
            </w:r>
          </w:p>
        </w:tc>
        <w:tc>
          <w:tcPr>
            <w:tcW w:w="755" w:type="dxa"/>
          </w:tcPr>
          <w:p w14:paraId="51ADE7EE" w14:textId="7D85D45C"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20.51</w:t>
            </w:r>
          </w:p>
        </w:tc>
        <w:tc>
          <w:tcPr>
            <w:tcW w:w="890" w:type="dxa"/>
          </w:tcPr>
          <w:p w14:paraId="598EEAB4" w14:textId="59411750"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25.41</w:t>
            </w:r>
          </w:p>
        </w:tc>
        <w:tc>
          <w:tcPr>
            <w:tcW w:w="705" w:type="dxa"/>
          </w:tcPr>
          <w:p w14:paraId="25831A70" w14:textId="3BE1C4E4"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29.53</w:t>
            </w:r>
          </w:p>
        </w:tc>
        <w:tc>
          <w:tcPr>
            <w:tcW w:w="755" w:type="dxa"/>
          </w:tcPr>
          <w:p w14:paraId="7E2479D4" w14:textId="1E24D98E"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21.45</w:t>
            </w:r>
          </w:p>
        </w:tc>
        <w:tc>
          <w:tcPr>
            <w:tcW w:w="755" w:type="dxa"/>
          </w:tcPr>
          <w:p w14:paraId="773E4549" w14:textId="2F9A3569"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20.89</w:t>
            </w:r>
          </w:p>
        </w:tc>
        <w:tc>
          <w:tcPr>
            <w:tcW w:w="890" w:type="dxa"/>
          </w:tcPr>
          <w:p w14:paraId="5F20BFAF" w14:textId="7D684136" w:rsidR="3E6C7172" w:rsidRPr="00BC54D1" w:rsidRDefault="3E6C7172" w:rsidP="004D7889">
            <w:pPr>
              <w:spacing w:line="360" w:lineRule="auto"/>
              <w:jc w:val="center"/>
              <w:rPr>
                <w:rFonts w:ascii="Times New Roman" w:hAnsi="Times New Roman"/>
                <w:sz w:val="16"/>
                <w:szCs w:val="16"/>
                <w:vertAlign w:val="superscript"/>
              </w:rPr>
            </w:pPr>
            <w:r w:rsidRPr="00BC54D1">
              <w:rPr>
                <w:rFonts w:ascii="Times New Roman" w:hAnsi="Times New Roman"/>
                <w:sz w:val="18"/>
                <w:szCs w:val="18"/>
              </w:rPr>
              <w:t>3.955</w:t>
            </w:r>
            <w:r w:rsidRPr="00BC54D1">
              <w:rPr>
                <w:rFonts w:ascii="Times New Roman" w:hAnsi="Times New Roman"/>
                <w:sz w:val="16"/>
                <w:szCs w:val="16"/>
                <w:vertAlign w:val="superscript"/>
              </w:rPr>
              <w:t>***</w:t>
            </w:r>
          </w:p>
        </w:tc>
      </w:tr>
      <w:tr w:rsidR="00BC54D1" w:rsidRPr="00BC54D1" w14:paraId="7AD2CA6B" w14:textId="77777777" w:rsidTr="00CA0F2C">
        <w:trPr>
          <w:trHeight w:val="300"/>
        </w:trPr>
        <w:tc>
          <w:tcPr>
            <w:tcW w:w="957" w:type="dxa"/>
          </w:tcPr>
          <w:p w14:paraId="42B0605E" w14:textId="3AD0BFA7" w:rsidR="3E6C7172" w:rsidRPr="00BC54D1" w:rsidRDefault="3E6C7172" w:rsidP="004D7889">
            <w:pPr>
              <w:spacing w:line="360" w:lineRule="auto"/>
              <w:rPr>
                <w:rFonts w:ascii="Times New Roman" w:hAnsi="Times New Roman"/>
                <w:sz w:val="18"/>
                <w:szCs w:val="18"/>
              </w:rPr>
            </w:pPr>
            <w:r w:rsidRPr="00BC54D1">
              <w:rPr>
                <w:rFonts w:ascii="Times New Roman" w:hAnsi="Times New Roman"/>
                <w:sz w:val="18"/>
                <w:szCs w:val="18"/>
              </w:rPr>
              <w:t>DM</w:t>
            </w:r>
          </w:p>
        </w:tc>
        <w:tc>
          <w:tcPr>
            <w:tcW w:w="755" w:type="dxa"/>
          </w:tcPr>
          <w:p w14:paraId="4CF07B8F" w14:textId="0BD6B8B2"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0.560</w:t>
            </w:r>
          </w:p>
        </w:tc>
        <w:tc>
          <w:tcPr>
            <w:tcW w:w="705" w:type="dxa"/>
          </w:tcPr>
          <w:p w14:paraId="76BC7C13" w14:textId="16D637A8"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0.703</w:t>
            </w:r>
          </w:p>
        </w:tc>
        <w:tc>
          <w:tcPr>
            <w:tcW w:w="705" w:type="dxa"/>
          </w:tcPr>
          <w:p w14:paraId="20063ACF" w14:textId="63E684DA"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0.402</w:t>
            </w:r>
          </w:p>
        </w:tc>
        <w:tc>
          <w:tcPr>
            <w:tcW w:w="1007" w:type="dxa"/>
          </w:tcPr>
          <w:p w14:paraId="74E02AD0" w14:textId="2DA92458"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0.339</w:t>
            </w:r>
          </w:p>
        </w:tc>
        <w:tc>
          <w:tcPr>
            <w:tcW w:w="705" w:type="dxa"/>
          </w:tcPr>
          <w:p w14:paraId="0E3FD976" w14:textId="2FEC65ED"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0.049</w:t>
            </w:r>
          </w:p>
        </w:tc>
        <w:tc>
          <w:tcPr>
            <w:tcW w:w="755" w:type="dxa"/>
          </w:tcPr>
          <w:p w14:paraId="347F879B" w14:textId="7673679D"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0.400</w:t>
            </w:r>
          </w:p>
        </w:tc>
        <w:tc>
          <w:tcPr>
            <w:tcW w:w="890" w:type="dxa"/>
          </w:tcPr>
          <w:p w14:paraId="711C8426" w14:textId="1D88BE69"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0.590</w:t>
            </w:r>
          </w:p>
        </w:tc>
        <w:tc>
          <w:tcPr>
            <w:tcW w:w="705" w:type="dxa"/>
          </w:tcPr>
          <w:p w14:paraId="44974071" w14:textId="7E046995"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0.402</w:t>
            </w:r>
          </w:p>
        </w:tc>
        <w:tc>
          <w:tcPr>
            <w:tcW w:w="755" w:type="dxa"/>
          </w:tcPr>
          <w:p w14:paraId="5016C6C2" w14:textId="6F7EF8E7"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0.351</w:t>
            </w:r>
          </w:p>
        </w:tc>
        <w:tc>
          <w:tcPr>
            <w:tcW w:w="755" w:type="dxa"/>
          </w:tcPr>
          <w:p w14:paraId="0D788CE7" w14:textId="02597E40"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0.398</w:t>
            </w:r>
          </w:p>
        </w:tc>
        <w:tc>
          <w:tcPr>
            <w:tcW w:w="890" w:type="dxa"/>
          </w:tcPr>
          <w:p w14:paraId="4ED15A59" w14:textId="4DCB1C0A" w:rsidR="3E6C7172" w:rsidRPr="00BC54D1" w:rsidRDefault="3E6C7172" w:rsidP="004D7889">
            <w:pPr>
              <w:spacing w:line="360" w:lineRule="auto"/>
              <w:jc w:val="center"/>
              <w:rPr>
                <w:rFonts w:ascii="Times New Roman" w:hAnsi="Times New Roman"/>
                <w:sz w:val="16"/>
                <w:szCs w:val="16"/>
                <w:vertAlign w:val="superscript"/>
              </w:rPr>
            </w:pPr>
            <w:r w:rsidRPr="00BC54D1">
              <w:rPr>
                <w:rFonts w:ascii="Times New Roman" w:hAnsi="Times New Roman"/>
                <w:sz w:val="18"/>
                <w:szCs w:val="18"/>
              </w:rPr>
              <w:t>0.240</w:t>
            </w:r>
            <w:r w:rsidRPr="00BC54D1">
              <w:rPr>
                <w:rFonts w:ascii="Times New Roman" w:hAnsi="Times New Roman"/>
                <w:sz w:val="16"/>
                <w:szCs w:val="16"/>
                <w:vertAlign w:val="superscript"/>
              </w:rPr>
              <w:t>***</w:t>
            </w:r>
          </w:p>
        </w:tc>
      </w:tr>
      <w:tr w:rsidR="00BC54D1" w:rsidRPr="00BC54D1" w14:paraId="08455631" w14:textId="77777777" w:rsidTr="00CA0F2C">
        <w:trPr>
          <w:trHeight w:val="311"/>
        </w:trPr>
        <w:tc>
          <w:tcPr>
            <w:tcW w:w="957" w:type="dxa"/>
            <w:tcBorders>
              <w:left w:val="nil"/>
              <w:bottom w:val="single" w:sz="8" w:space="0" w:color="auto"/>
              <w:right w:val="nil"/>
            </w:tcBorders>
          </w:tcPr>
          <w:p w14:paraId="3CE789D6" w14:textId="1AC1240F" w:rsidR="3E6C7172" w:rsidRPr="00BC54D1" w:rsidRDefault="3E6C7172" w:rsidP="004D7889">
            <w:pPr>
              <w:spacing w:line="360" w:lineRule="auto"/>
              <w:rPr>
                <w:rFonts w:ascii="Times New Roman" w:hAnsi="Times New Roman"/>
                <w:sz w:val="18"/>
                <w:szCs w:val="18"/>
              </w:rPr>
            </w:pPr>
            <w:r w:rsidRPr="00BC54D1">
              <w:rPr>
                <w:rFonts w:ascii="Times New Roman" w:hAnsi="Times New Roman"/>
                <w:sz w:val="18"/>
                <w:szCs w:val="18"/>
              </w:rPr>
              <w:t>IQ</w:t>
            </w:r>
          </w:p>
        </w:tc>
        <w:tc>
          <w:tcPr>
            <w:tcW w:w="755" w:type="dxa"/>
            <w:tcBorders>
              <w:left w:val="nil"/>
              <w:bottom w:val="single" w:sz="8" w:space="0" w:color="auto"/>
              <w:right w:val="nil"/>
            </w:tcBorders>
          </w:tcPr>
          <w:p w14:paraId="072A909D" w14:textId="6A2A79CD"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0.055</w:t>
            </w:r>
          </w:p>
        </w:tc>
        <w:tc>
          <w:tcPr>
            <w:tcW w:w="705" w:type="dxa"/>
            <w:tcBorders>
              <w:left w:val="nil"/>
              <w:bottom w:val="single" w:sz="8" w:space="0" w:color="auto"/>
              <w:right w:val="nil"/>
            </w:tcBorders>
          </w:tcPr>
          <w:p w14:paraId="4085C403" w14:textId="0E179341"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0.027</w:t>
            </w:r>
          </w:p>
        </w:tc>
        <w:tc>
          <w:tcPr>
            <w:tcW w:w="705" w:type="dxa"/>
            <w:tcBorders>
              <w:left w:val="nil"/>
              <w:bottom w:val="single" w:sz="8" w:space="0" w:color="auto"/>
              <w:right w:val="nil"/>
            </w:tcBorders>
          </w:tcPr>
          <w:p w14:paraId="61089712" w14:textId="476CC383"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0.071</w:t>
            </w:r>
          </w:p>
        </w:tc>
        <w:tc>
          <w:tcPr>
            <w:tcW w:w="1007" w:type="dxa"/>
            <w:tcBorders>
              <w:left w:val="nil"/>
              <w:bottom w:val="single" w:sz="8" w:space="0" w:color="auto"/>
              <w:right w:val="nil"/>
            </w:tcBorders>
          </w:tcPr>
          <w:p w14:paraId="6EBBAB12" w14:textId="3391E3FA"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0.030</w:t>
            </w:r>
          </w:p>
        </w:tc>
        <w:tc>
          <w:tcPr>
            <w:tcW w:w="705" w:type="dxa"/>
            <w:tcBorders>
              <w:left w:val="nil"/>
              <w:bottom w:val="single" w:sz="8" w:space="0" w:color="auto"/>
              <w:right w:val="nil"/>
            </w:tcBorders>
          </w:tcPr>
          <w:p w14:paraId="5F43BF62" w14:textId="12AD7601"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0.021</w:t>
            </w:r>
          </w:p>
        </w:tc>
        <w:tc>
          <w:tcPr>
            <w:tcW w:w="755" w:type="dxa"/>
            <w:tcBorders>
              <w:left w:val="nil"/>
              <w:bottom w:val="single" w:sz="8" w:space="0" w:color="auto"/>
              <w:right w:val="nil"/>
            </w:tcBorders>
          </w:tcPr>
          <w:p w14:paraId="7B30E1FB" w14:textId="3625A588"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0.033</w:t>
            </w:r>
          </w:p>
        </w:tc>
        <w:tc>
          <w:tcPr>
            <w:tcW w:w="890" w:type="dxa"/>
            <w:tcBorders>
              <w:left w:val="nil"/>
              <w:bottom w:val="single" w:sz="8" w:space="0" w:color="auto"/>
              <w:right w:val="nil"/>
            </w:tcBorders>
          </w:tcPr>
          <w:p w14:paraId="0FB2A7B9" w14:textId="09FF6455"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0.055</w:t>
            </w:r>
          </w:p>
        </w:tc>
        <w:tc>
          <w:tcPr>
            <w:tcW w:w="705" w:type="dxa"/>
            <w:tcBorders>
              <w:left w:val="nil"/>
              <w:bottom w:val="single" w:sz="8" w:space="0" w:color="auto"/>
              <w:right w:val="nil"/>
            </w:tcBorders>
          </w:tcPr>
          <w:p w14:paraId="01BBFE24" w14:textId="00256275"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0.071</w:t>
            </w:r>
          </w:p>
        </w:tc>
        <w:tc>
          <w:tcPr>
            <w:tcW w:w="755" w:type="dxa"/>
            <w:tcBorders>
              <w:left w:val="nil"/>
              <w:bottom w:val="single" w:sz="8" w:space="0" w:color="auto"/>
              <w:right w:val="nil"/>
            </w:tcBorders>
          </w:tcPr>
          <w:p w14:paraId="56B5970F" w14:textId="0FB27E78"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0.029</w:t>
            </w:r>
          </w:p>
        </w:tc>
        <w:tc>
          <w:tcPr>
            <w:tcW w:w="755" w:type="dxa"/>
            <w:tcBorders>
              <w:left w:val="nil"/>
              <w:bottom w:val="single" w:sz="8" w:space="0" w:color="auto"/>
              <w:right w:val="nil"/>
            </w:tcBorders>
          </w:tcPr>
          <w:p w14:paraId="74E63011" w14:textId="0F8A9238" w:rsidR="3E6C7172" w:rsidRPr="00BC54D1" w:rsidRDefault="3E6C7172" w:rsidP="004D7889">
            <w:pPr>
              <w:spacing w:line="360" w:lineRule="auto"/>
              <w:jc w:val="center"/>
              <w:rPr>
                <w:rFonts w:ascii="Times New Roman" w:hAnsi="Times New Roman"/>
                <w:sz w:val="18"/>
                <w:szCs w:val="18"/>
              </w:rPr>
            </w:pPr>
            <w:r w:rsidRPr="00BC54D1">
              <w:rPr>
                <w:rFonts w:ascii="Times New Roman" w:hAnsi="Times New Roman"/>
                <w:sz w:val="18"/>
                <w:szCs w:val="18"/>
              </w:rPr>
              <w:t>0.030</w:t>
            </w:r>
          </w:p>
        </w:tc>
        <w:tc>
          <w:tcPr>
            <w:tcW w:w="890" w:type="dxa"/>
            <w:tcBorders>
              <w:left w:val="nil"/>
              <w:bottom w:val="single" w:sz="8" w:space="0" w:color="auto"/>
              <w:right w:val="nil"/>
            </w:tcBorders>
          </w:tcPr>
          <w:p w14:paraId="5742F6FB" w14:textId="27EA6CD9" w:rsidR="3E6C7172" w:rsidRPr="00BC54D1" w:rsidRDefault="3E6C7172" w:rsidP="004D7889">
            <w:pPr>
              <w:spacing w:line="360" w:lineRule="auto"/>
              <w:jc w:val="center"/>
              <w:rPr>
                <w:rFonts w:ascii="Times New Roman" w:hAnsi="Times New Roman"/>
                <w:sz w:val="16"/>
                <w:szCs w:val="16"/>
                <w:vertAlign w:val="superscript"/>
              </w:rPr>
            </w:pPr>
            <w:r w:rsidRPr="00BC54D1">
              <w:rPr>
                <w:rFonts w:ascii="Times New Roman" w:hAnsi="Times New Roman"/>
                <w:sz w:val="18"/>
                <w:szCs w:val="18"/>
              </w:rPr>
              <w:t>0.026</w:t>
            </w:r>
            <w:r w:rsidRPr="00BC54D1">
              <w:rPr>
                <w:rFonts w:ascii="Times New Roman" w:hAnsi="Times New Roman"/>
                <w:sz w:val="16"/>
                <w:szCs w:val="16"/>
                <w:vertAlign w:val="superscript"/>
              </w:rPr>
              <w:t>***</w:t>
            </w:r>
          </w:p>
        </w:tc>
      </w:tr>
      <w:tr w:rsidR="3E6C7172" w:rsidRPr="00BC54D1" w14:paraId="56816648" w14:textId="77777777" w:rsidTr="00CA0F2C">
        <w:trPr>
          <w:trHeight w:val="354"/>
        </w:trPr>
        <w:tc>
          <w:tcPr>
            <w:tcW w:w="957" w:type="dxa"/>
            <w:tcBorders>
              <w:top w:val="single" w:sz="8" w:space="0" w:color="auto"/>
              <w:left w:val="nil"/>
              <w:bottom w:val="single" w:sz="8" w:space="0" w:color="auto"/>
              <w:right w:val="nil"/>
            </w:tcBorders>
          </w:tcPr>
          <w:p w14:paraId="1C3FF5CE" w14:textId="55B3107D" w:rsidR="3E6C7172" w:rsidRPr="00BC54D1" w:rsidRDefault="3E6C7172">
            <w:r w:rsidRPr="00BC54D1">
              <w:rPr>
                <w:rFonts w:ascii="Times New Roman" w:hAnsi="Times New Roman"/>
                <w:sz w:val="16"/>
                <w:szCs w:val="16"/>
              </w:rPr>
              <w:t>N</w:t>
            </w:r>
          </w:p>
        </w:tc>
        <w:tc>
          <w:tcPr>
            <w:tcW w:w="755" w:type="dxa"/>
            <w:tcBorders>
              <w:top w:val="single" w:sz="8" w:space="0" w:color="auto"/>
              <w:left w:val="nil"/>
              <w:bottom w:val="single" w:sz="8" w:space="0" w:color="auto"/>
              <w:right w:val="nil"/>
            </w:tcBorders>
          </w:tcPr>
          <w:p w14:paraId="744B39C6" w14:textId="21D57E55"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12358</w:t>
            </w:r>
          </w:p>
        </w:tc>
        <w:tc>
          <w:tcPr>
            <w:tcW w:w="705" w:type="dxa"/>
            <w:tcBorders>
              <w:top w:val="single" w:sz="8" w:space="0" w:color="auto"/>
              <w:left w:val="nil"/>
              <w:bottom w:val="single" w:sz="8" w:space="0" w:color="auto"/>
              <w:right w:val="nil"/>
            </w:tcBorders>
          </w:tcPr>
          <w:p w14:paraId="6BAC4DF8" w14:textId="69D72365"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 xml:space="preserve"> </w:t>
            </w:r>
          </w:p>
        </w:tc>
        <w:tc>
          <w:tcPr>
            <w:tcW w:w="705" w:type="dxa"/>
            <w:tcBorders>
              <w:top w:val="single" w:sz="8" w:space="0" w:color="auto"/>
              <w:left w:val="nil"/>
              <w:bottom w:val="single" w:sz="8" w:space="0" w:color="auto"/>
              <w:right w:val="nil"/>
            </w:tcBorders>
          </w:tcPr>
          <w:p w14:paraId="3DA06CDF" w14:textId="4F38E9BC"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 xml:space="preserve"> </w:t>
            </w:r>
          </w:p>
        </w:tc>
        <w:tc>
          <w:tcPr>
            <w:tcW w:w="1007" w:type="dxa"/>
            <w:tcBorders>
              <w:top w:val="single" w:sz="8" w:space="0" w:color="auto"/>
              <w:left w:val="nil"/>
              <w:bottom w:val="single" w:sz="8" w:space="0" w:color="auto"/>
              <w:right w:val="nil"/>
            </w:tcBorders>
          </w:tcPr>
          <w:p w14:paraId="0325BC93" w14:textId="77F31E70"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604369</w:t>
            </w:r>
          </w:p>
        </w:tc>
        <w:tc>
          <w:tcPr>
            <w:tcW w:w="705" w:type="dxa"/>
            <w:tcBorders>
              <w:top w:val="single" w:sz="8" w:space="0" w:color="auto"/>
              <w:left w:val="nil"/>
              <w:bottom w:val="single" w:sz="8" w:space="0" w:color="auto"/>
              <w:right w:val="nil"/>
            </w:tcBorders>
          </w:tcPr>
          <w:p w14:paraId="15068FE3" w14:textId="7E0B7D01"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 xml:space="preserve"> </w:t>
            </w:r>
          </w:p>
        </w:tc>
        <w:tc>
          <w:tcPr>
            <w:tcW w:w="755" w:type="dxa"/>
            <w:tcBorders>
              <w:top w:val="single" w:sz="8" w:space="0" w:color="auto"/>
              <w:left w:val="nil"/>
              <w:bottom w:val="single" w:sz="8" w:space="0" w:color="auto"/>
              <w:right w:val="nil"/>
            </w:tcBorders>
          </w:tcPr>
          <w:p w14:paraId="5E6B712D" w14:textId="6A4DD156"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 xml:space="preserve"> </w:t>
            </w:r>
          </w:p>
        </w:tc>
        <w:tc>
          <w:tcPr>
            <w:tcW w:w="890" w:type="dxa"/>
            <w:tcBorders>
              <w:top w:val="single" w:sz="8" w:space="0" w:color="auto"/>
              <w:left w:val="nil"/>
              <w:bottom w:val="single" w:sz="8" w:space="0" w:color="auto"/>
              <w:right w:val="nil"/>
            </w:tcBorders>
          </w:tcPr>
          <w:p w14:paraId="174115AC" w14:textId="72182026" w:rsidR="3E6C7172" w:rsidRPr="00BC54D1" w:rsidRDefault="3E6C7172" w:rsidP="004D7889">
            <w:pPr>
              <w:jc w:val="center"/>
              <w:rPr>
                <w:rFonts w:ascii="Times New Roman" w:hAnsi="Times New Roman"/>
                <w:b/>
                <w:bCs/>
                <w:sz w:val="16"/>
                <w:szCs w:val="16"/>
              </w:rPr>
            </w:pPr>
            <w:r w:rsidRPr="00BC54D1">
              <w:rPr>
                <w:rFonts w:ascii="Times New Roman" w:hAnsi="Times New Roman"/>
                <w:b/>
                <w:bCs/>
                <w:sz w:val="16"/>
                <w:szCs w:val="16"/>
              </w:rPr>
              <w:t>9479</w:t>
            </w:r>
          </w:p>
        </w:tc>
        <w:tc>
          <w:tcPr>
            <w:tcW w:w="705" w:type="dxa"/>
            <w:tcBorders>
              <w:top w:val="single" w:sz="8" w:space="0" w:color="auto"/>
              <w:left w:val="nil"/>
              <w:bottom w:val="single" w:sz="8" w:space="0" w:color="auto"/>
              <w:right w:val="nil"/>
            </w:tcBorders>
          </w:tcPr>
          <w:p w14:paraId="0336DE55" w14:textId="13EE1B6C"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 xml:space="preserve"> </w:t>
            </w:r>
          </w:p>
        </w:tc>
        <w:tc>
          <w:tcPr>
            <w:tcW w:w="755" w:type="dxa"/>
            <w:tcBorders>
              <w:top w:val="single" w:sz="8" w:space="0" w:color="auto"/>
              <w:left w:val="nil"/>
              <w:bottom w:val="single" w:sz="8" w:space="0" w:color="auto"/>
              <w:right w:val="nil"/>
            </w:tcBorders>
          </w:tcPr>
          <w:p w14:paraId="34003162" w14:textId="66B435B9" w:rsidR="3E6C7172" w:rsidRPr="00BC54D1" w:rsidRDefault="3E6C7172" w:rsidP="004D7889">
            <w:pPr>
              <w:jc w:val="center"/>
              <w:rPr>
                <w:rFonts w:ascii="Times New Roman" w:hAnsi="Times New Roman"/>
                <w:b/>
                <w:bCs/>
                <w:sz w:val="16"/>
                <w:szCs w:val="16"/>
              </w:rPr>
            </w:pPr>
            <w:r w:rsidRPr="00BC54D1">
              <w:rPr>
                <w:rFonts w:ascii="Times New Roman" w:hAnsi="Times New Roman"/>
                <w:b/>
                <w:bCs/>
                <w:sz w:val="16"/>
                <w:szCs w:val="16"/>
              </w:rPr>
              <w:t>222550</w:t>
            </w:r>
          </w:p>
        </w:tc>
        <w:tc>
          <w:tcPr>
            <w:tcW w:w="755" w:type="dxa"/>
            <w:tcBorders>
              <w:top w:val="single" w:sz="8" w:space="0" w:color="auto"/>
              <w:left w:val="nil"/>
              <w:bottom w:val="single" w:sz="8" w:space="0" w:color="auto"/>
              <w:right w:val="nil"/>
            </w:tcBorders>
          </w:tcPr>
          <w:p w14:paraId="4F357FF0" w14:textId="7F178D70" w:rsidR="3E6C7172" w:rsidRPr="00BC54D1" w:rsidRDefault="3E6C7172" w:rsidP="004D7889">
            <w:pPr>
              <w:jc w:val="center"/>
              <w:rPr>
                <w:rFonts w:ascii="Times New Roman" w:hAnsi="Times New Roman"/>
                <w:sz w:val="16"/>
                <w:szCs w:val="16"/>
              </w:rPr>
            </w:pPr>
            <w:r w:rsidRPr="00BC54D1">
              <w:rPr>
                <w:rFonts w:ascii="Times New Roman" w:hAnsi="Times New Roman"/>
                <w:sz w:val="16"/>
                <w:szCs w:val="16"/>
              </w:rPr>
              <w:t xml:space="preserve"> </w:t>
            </w:r>
          </w:p>
        </w:tc>
        <w:tc>
          <w:tcPr>
            <w:tcW w:w="890" w:type="dxa"/>
            <w:tcBorders>
              <w:top w:val="single" w:sz="8" w:space="0" w:color="auto"/>
              <w:left w:val="nil"/>
              <w:bottom w:val="single" w:sz="8" w:space="0" w:color="auto"/>
              <w:right w:val="nil"/>
            </w:tcBorders>
          </w:tcPr>
          <w:p w14:paraId="27737334" w14:textId="2ED57E6A" w:rsidR="3E6C7172" w:rsidRPr="00BC54D1" w:rsidRDefault="3E6C7172" w:rsidP="004D7889">
            <w:pPr>
              <w:jc w:val="center"/>
              <w:rPr>
                <w:rFonts w:ascii="Times New Roman" w:hAnsi="Times New Roman"/>
                <w:sz w:val="16"/>
                <w:szCs w:val="16"/>
              </w:rPr>
            </w:pPr>
          </w:p>
        </w:tc>
      </w:tr>
    </w:tbl>
    <w:p w14:paraId="19EC6E62" w14:textId="629398E8" w:rsidR="3E6C7172" w:rsidRPr="00BC54D1" w:rsidRDefault="3E6C7172" w:rsidP="3E6C7172">
      <w:pPr>
        <w:jc w:val="both"/>
        <w:rPr>
          <w:rFonts w:ascii="Times New Roman" w:hAnsi="Times New Roman"/>
          <w:b/>
          <w:bCs/>
        </w:rPr>
      </w:pPr>
    </w:p>
    <w:p w14:paraId="7521DE4F" w14:textId="2419B5E3" w:rsidR="3E6C7172" w:rsidRPr="00BC54D1" w:rsidRDefault="3E6C7172" w:rsidP="3E6C7172">
      <w:pPr>
        <w:jc w:val="both"/>
        <w:rPr>
          <w:rFonts w:ascii="Times New Roman" w:hAnsi="Times New Roman"/>
          <w:b/>
          <w:bCs/>
        </w:rPr>
      </w:pPr>
    </w:p>
    <w:p w14:paraId="6DA7B4A8" w14:textId="6996676F" w:rsidR="3E6C7172" w:rsidRPr="00BC54D1" w:rsidRDefault="3E6C7172" w:rsidP="3E6C7172">
      <w:pPr>
        <w:jc w:val="both"/>
        <w:rPr>
          <w:rFonts w:ascii="Times New Roman" w:hAnsi="Times New Roman"/>
          <w:b/>
          <w:bCs/>
        </w:rPr>
      </w:pPr>
    </w:p>
    <w:p w14:paraId="47050E6F" w14:textId="6A7C953D" w:rsidR="3E6C7172" w:rsidRPr="00BC54D1" w:rsidRDefault="3E6C7172" w:rsidP="00407BF4">
      <w:pPr>
        <w:jc w:val="both"/>
        <w:rPr>
          <w:rFonts w:ascii="Times New Roman" w:hAnsi="Times New Roman"/>
          <w:b/>
          <w:bCs/>
        </w:rPr>
      </w:pPr>
      <w:r w:rsidRPr="00BC54D1">
        <w:rPr>
          <w:rFonts w:ascii="Times New Roman" w:hAnsi="Times New Roman"/>
          <w:b/>
          <w:bCs/>
        </w:rPr>
        <w:t xml:space="preserve">Table </w:t>
      </w:r>
      <w:r w:rsidR="00DD56F2" w:rsidRPr="00BC54D1">
        <w:rPr>
          <w:rFonts w:ascii="Times New Roman" w:hAnsi="Times New Roman"/>
          <w:b/>
          <w:bCs/>
        </w:rPr>
        <w:t>III</w:t>
      </w:r>
      <w:r w:rsidRPr="00BC54D1">
        <w:rPr>
          <w:rFonts w:ascii="Times New Roman" w:hAnsi="Times New Roman"/>
          <w:b/>
          <w:bCs/>
        </w:rPr>
        <w:t>: Correlation matrix</w:t>
      </w:r>
    </w:p>
    <w:p w14:paraId="6832F6F6" w14:textId="0A465F57" w:rsidR="3E6C7172" w:rsidRPr="00BC54D1" w:rsidRDefault="3E6C7172" w:rsidP="00407BF4">
      <w:pPr>
        <w:jc w:val="both"/>
        <w:rPr>
          <w:rFonts w:ascii="Times New Roman" w:hAnsi="Times New Roman"/>
          <w:b/>
          <w:bCs/>
          <w:sz w:val="22"/>
          <w:szCs w:val="22"/>
        </w:rPr>
      </w:pPr>
      <w:r w:rsidRPr="00BC54D1">
        <w:rPr>
          <w:rFonts w:ascii="Times New Roman" w:hAnsi="Times New Roman"/>
          <w:b/>
          <w:bCs/>
          <w:sz w:val="22"/>
          <w:szCs w:val="22"/>
        </w:rPr>
        <w:t xml:space="preserve"> </w:t>
      </w:r>
    </w:p>
    <w:tbl>
      <w:tblPr>
        <w:tblW w:w="0" w:type="auto"/>
        <w:tblLayout w:type="fixed"/>
        <w:tblLook w:val="06A0" w:firstRow="1" w:lastRow="0" w:firstColumn="1" w:lastColumn="0" w:noHBand="1" w:noVBand="1"/>
      </w:tblPr>
      <w:tblGrid>
        <w:gridCol w:w="960"/>
        <w:gridCol w:w="855"/>
        <w:gridCol w:w="675"/>
        <w:gridCol w:w="855"/>
        <w:gridCol w:w="795"/>
        <w:gridCol w:w="795"/>
        <w:gridCol w:w="795"/>
        <w:gridCol w:w="795"/>
        <w:gridCol w:w="795"/>
        <w:gridCol w:w="795"/>
        <w:gridCol w:w="735"/>
      </w:tblGrid>
      <w:tr w:rsidR="00BC54D1" w:rsidRPr="00BC54D1" w14:paraId="4DB41194" w14:textId="77777777" w:rsidTr="3E6C7172">
        <w:tc>
          <w:tcPr>
            <w:tcW w:w="960" w:type="dxa"/>
            <w:tcBorders>
              <w:top w:val="single" w:sz="8" w:space="0" w:color="auto"/>
              <w:left w:val="nil"/>
              <w:bottom w:val="nil"/>
              <w:right w:val="nil"/>
            </w:tcBorders>
          </w:tcPr>
          <w:p w14:paraId="26293ADD" w14:textId="297F6CFA" w:rsidR="3E6C7172" w:rsidRPr="00BC54D1" w:rsidRDefault="3E6C7172">
            <w:r w:rsidRPr="00BC54D1">
              <w:rPr>
                <w:rFonts w:ascii="Times New Roman" w:hAnsi="Times New Roman"/>
                <w:sz w:val="18"/>
                <w:szCs w:val="18"/>
              </w:rPr>
              <w:t xml:space="preserve"> </w:t>
            </w:r>
          </w:p>
        </w:tc>
        <w:tc>
          <w:tcPr>
            <w:tcW w:w="855" w:type="dxa"/>
            <w:tcBorders>
              <w:top w:val="single" w:sz="8" w:space="0" w:color="auto"/>
              <w:left w:val="nil"/>
              <w:bottom w:val="nil"/>
              <w:right w:val="nil"/>
            </w:tcBorders>
          </w:tcPr>
          <w:p w14:paraId="1A06E1E8" w14:textId="51507A4F" w:rsidR="3E6C7172" w:rsidRPr="00BC54D1" w:rsidRDefault="3E6C7172" w:rsidP="00893DC6">
            <w:pPr>
              <w:rPr>
                <w:rFonts w:ascii="Times New Roman" w:hAnsi="Times New Roman"/>
                <w:sz w:val="18"/>
                <w:szCs w:val="18"/>
              </w:rPr>
            </w:pPr>
          </w:p>
        </w:tc>
        <w:tc>
          <w:tcPr>
            <w:tcW w:w="675" w:type="dxa"/>
            <w:tcBorders>
              <w:top w:val="single" w:sz="8" w:space="0" w:color="auto"/>
              <w:left w:val="nil"/>
              <w:bottom w:val="nil"/>
              <w:right w:val="nil"/>
            </w:tcBorders>
          </w:tcPr>
          <w:p w14:paraId="6185AADF" w14:textId="658A9954"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855" w:type="dxa"/>
            <w:tcBorders>
              <w:top w:val="single" w:sz="8" w:space="0" w:color="auto"/>
              <w:left w:val="nil"/>
              <w:bottom w:val="nil"/>
              <w:right w:val="nil"/>
            </w:tcBorders>
          </w:tcPr>
          <w:p w14:paraId="575BF574" w14:textId="1F5094B5"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top w:val="single" w:sz="8" w:space="0" w:color="auto"/>
              <w:left w:val="nil"/>
              <w:bottom w:val="nil"/>
              <w:right w:val="nil"/>
            </w:tcBorders>
          </w:tcPr>
          <w:p w14:paraId="60EEFBFA" w14:textId="01060CC3"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top w:val="single" w:sz="8" w:space="0" w:color="auto"/>
              <w:left w:val="nil"/>
              <w:bottom w:val="nil"/>
              <w:right w:val="nil"/>
            </w:tcBorders>
          </w:tcPr>
          <w:p w14:paraId="40C45E47" w14:textId="42827EC0" w:rsidR="3E6C7172" w:rsidRPr="00BC54D1" w:rsidRDefault="3E6C7172" w:rsidP="00D20138">
            <w:pPr>
              <w:rPr>
                <w:rFonts w:ascii="Times New Roman" w:hAnsi="Times New Roman"/>
                <w:sz w:val="18"/>
                <w:szCs w:val="18"/>
              </w:rPr>
            </w:pPr>
            <w:r w:rsidRPr="00BC54D1">
              <w:rPr>
                <w:rFonts w:ascii="Times New Roman" w:hAnsi="Times New Roman"/>
                <w:sz w:val="18"/>
                <w:szCs w:val="18"/>
              </w:rPr>
              <w:t xml:space="preserve"> </w:t>
            </w:r>
          </w:p>
        </w:tc>
        <w:tc>
          <w:tcPr>
            <w:tcW w:w="795" w:type="dxa"/>
            <w:tcBorders>
              <w:top w:val="single" w:sz="8" w:space="0" w:color="auto"/>
              <w:left w:val="nil"/>
              <w:bottom w:val="nil"/>
              <w:right w:val="nil"/>
            </w:tcBorders>
          </w:tcPr>
          <w:p w14:paraId="799963C8" w14:textId="4DDC1E40"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top w:val="single" w:sz="8" w:space="0" w:color="auto"/>
              <w:left w:val="nil"/>
              <w:bottom w:val="nil"/>
              <w:right w:val="nil"/>
            </w:tcBorders>
          </w:tcPr>
          <w:p w14:paraId="2CB411CE" w14:textId="32FAB3F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top w:val="single" w:sz="8" w:space="0" w:color="auto"/>
              <w:left w:val="nil"/>
              <w:bottom w:val="nil"/>
              <w:right w:val="nil"/>
            </w:tcBorders>
          </w:tcPr>
          <w:p w14:paraId="2798DF7E" w14:textId="061507B7"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top w:val="single" w:sz="8" w:space="0" w:color="auto"/>
              <w:left w:val="nil"/>
              <w:bottom w:val="nil"/>
              <w:right w:val="nil"/>
            </w:tcBorders>
          </w:tcPr>
          <w:p w14:paraId="7E58ED45" w14:textId="44EFAB3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Borders>
              <w:top w:val="single" w:sz="8" w:space="0" w:color="auto"/>
              <w:left w:val="nil"/>
              <w:bottom w:val="nil"/>
              <w:right w:val="nil"/>
            </w:tcBorders>
          </w:tcPr>
          <w:p w14:paraId="7B212F57" w14:textId="4E88E4E2"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44F3AE48" w14:textId="77777777" w:rsidTr="00893DC6">
        <w:trPr>
          <w:trHeight w:val="141"/>
        </w:trPr>
        <w:tc>
          <w:tcPr>
            <w:tcW w:w="960" w:type="dxa"/>
          </w:tcPr>
          <w:p w14:paraId="53270575" w14:textId="159A4167" w:rsidR="3E6C7172" w:rsidRPr="00BC54D1" w:rsidRDefault="3E6C7172">
            <w:r w:rsidRPr="00BC54D1">
              <w:rPr>
                <w:rFonts w:ascii="Times New Roman" w:hAnsi="Times New Roman"/>
                <w:sz w:val="18"/>
                <w:szCs w:val="18"/>
              </w:rPr>
              <w:t xml:space="preserve"> </w:t>
            </w:r>
          </w:p>
        </w:tc>
        <w:tc>
          <w:tcPr>
            <w:tcW w:w="855" w:type="dxa"/>
          </w:tcPr>
          <w:p w14:paraId="4671AB19" w14:textId="619EE500"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R&amp;D</w:t>
            </w:r>
          </w:p>
        </w:tc>
        <w:tc>
          <w:tcPr>
            <w:tcW w:w="675" w:type="dxa"/>
          </w:tcPr>
          <w:p w14:paraId="52AAD90F" w14:textId="539DA13D"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CF</w:t>
            </w:r>
          </w:p>
        </w:tc>
        <w:tc>
          <w:tcPr>
            <w:tcW w:w="855" w:type="dxa"/>
          </w:tcPr>
          <w:p w14:paraId="20FECD99" w14:textId="0F71F568"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SGR</w:t>
            </w:r>
          </w:p>
        </w:tc>
        <w:tc>
          <w:tcPr>
            <w:tcW w:w="795" w:type="dxa"/>
          </w:tcPr>
          <w:p w14:paraId="3E260887" w14:textId="4E899955"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SZ</w:t>
            </w:r>
          </w:p>
        </w:tc>
        <w:tc>
          <w:tcPr>
            <w:tcW w:w="795" w:type="dxa"/>
          </w:tcPr>
          <w:p w14:paraId="115CAB17" w14:textId="4DB8ECCC"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CH</w:t>
            </w:r>
          </w:p>
        </w:tc>
        <w:tc>
          <w:tcPr>
            <w:tcW w:w="795" w:type="dxa"/>
          </w:tcPr>
          <w:p w14:paraId="776CE91A" w14:textId="12AB632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LEV</w:t>
            </w:r>
          </w:p>
        </w:tc>
        <w:tc>
          <w:tcPr>
            <w:tcW w:w="795" w:type="dxa"/>
          </w:tcPr>
          <w:p w14:paraId="1BB2C9F1" w14:textId="5010DB18"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FY</w:t>
            </w:r>
          </w:p>
        </w:tc>
        <w:tc>
          <w:tcPr>
            <w:tcW w:w="795" w:type="dxa"/>
          </w:tcPr>
          <w:p w14:paraId="10C3EB3A" w14:textId="1A65D04C"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PR</w:t>
            </w:r>
          </w:p>
        </w:tc>
        <w:tc>
          <w:tcPr>
            <w:tcW w:w="795" w:type="dxa"/>
          </w:tcPr>
          <w:p w14:paraId="45F71446" w14:textId="7555448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DM</w:t>
            </w:r>
          </w:p>
        </w:tc>
        <w:tc>
          <w:tcPr>
            <w:tcW w:w="735" w:type="dxa"/>
          </w:tcPr>
          <w:p w14:paraId="3DF69D2A" w14:textId="0C62FEC9"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IQ</w:t>
            </w:r>
          </w:p>
        </w:tc>
      </w:tr>
      <w:tr w:rsidR="00BC54D1" w:rsidRPr="00BC54D1" w14:paraId="79742A21" w14:textId="77777777" w:rsidTr="3E6C7172">
        <w:tc>
          <w:tcPr>
            <w:tcW w:w="960" w:type="dxa"/>
            <w:tcBorders>
              <w:top w:val="single" w:sz="8" w:space="0" w:color="auto"/>
              <w:left w:val="nil"/>
              <w:bottom w:val="nil"/>
              <w:right w:val="nil"/>
            </w:tcBorders>
          </w:tcPr>
          <w:p w14:paraId="3F7CE61A" w14:textId="7C0BADF7" w:rsidR="3E6C7172" w:rsidRPr="00BC54D1" w:rsidRDefault="3E6C7172">
            <w:r w:rsidRPr="00BC54D1">
              <w:rPr>
                <w:rFonts w:ascii="Times New Roman" w:hAnsi="Times New Roman"/>
                <w:sz w:val="18"/>
                <w:szCs w:val="18"/>
              </w:rPr>
              <w:t>R&amp;D</w:t>
            </w:r>
          </w:p>
        </w:tc>
        <w:tc>
          <w:tcPr>
            <w:tcW w:w="855" w:type="dxa"/>
            <w:tcBorders>
              <w:top w:val="single" w:sz="8" w:space="0" w:color="auto"/>
              <w:left w:val="nil"/>
              <w:bottom w:val="nil"/>
              <w:right w:val="nil"/>
            </w:tcBorders>
          </w:tcPr>
          <w:p w14:paraId="5AF37B54" w14:textId="7E3F24FA"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1.00</w:t>
            </w:r>
          </w:p>
        </w:tc>
        <w:tc>
          <w:tcPr>
            <w:tcW w:w="675" w:type="dxa"/>
            <w:tcBorders>
              <w:top w:val="single" w:sz="8" w:space="0" w:color="auto"/>
              <w:left w:val="nil"/>
              <w:bottom w:val="nil"/>
              <w:right w:val="nil"/>
            </w:tcBorders>
          </w:tcPr>
          <w:p w14:paraId="29E779B4" w14:textId="6FD02A3F"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855" w:type="dxa"/>
            <w:tcBorders>
              <w:top w:val="single" w:sz="8" w:space="0" w:color="auto"/>
              <w:left w:val="nil"/>
              <w:bottom w:val="nil"/>
              <w:right w:val="nil"/>
            </w:tcBorders>
          </w:tcPr>
          <w:p w14:paraId="3B104EFD" w14:textId="2274F977"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top w:val="single" w:sz="8" w:space="0" w:color="auto"/>
              <w:left w:val="nil"/>
              <w:bottom w:val="nil"/>
              <w:right w:val="nil"/>
            </w:tcBorders>
          </w:tcPr>
          <w:p w14:paraId="2259A9C7" w14:textId="08FEDC79"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top w:val="single" w:sz="8" w:space="0" w:color="auto"/>
              <w:left w:val="nil"/>
              <w:bottom w:val="nil"/>
              <w:right w:val="nil"/>
            </w:tcBorders>
          </w:tcPr>
          <w:p w14:paraId="090E6897" w14:textId="41C48BB0"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top w:val="single" w:sz="8" w:space="0" w:color="auto"/>
              <w:left w:val="nil"/>
              <w:bottom w:val="nil"/>
              <w:right w:val="nil"/>
            </w:tcBorders>
          </w:tcPr>
          <w:p w14:paraId="00E81DE5" w14:textId="1729A1E8"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top w:val="single" w:sz="8" w:space="0" w:color="auto"/>
              <w:left w:val="nil"/>
              <w:bottom w:val="nil"/>
              <w:right w:val="nil"/>
            </w:tcBorders>
          </w:tcPr>
          <w:p w14:paraId="4CC8F322" w14:textId="1D19680C"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top w:val="single" w:sz="8" w:space="0" w:color="auto"/>
              <w:left w:val="nil"/>
              <w:bottom w:val="nil"/>
              <w:right w:val="nil"/>
            </w:tcBorders>
          </w:tcPr>
          <w:p w14:paraId="7AB11EF4" w14:textId="4B598FB9"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top w:val="single" w:sz="8" w:space="0" w:color="auto"/>
              <w:left w:val="nil"/>
              <w:bottom w:val="nil"/>
              <w:right w:val="nil"/>
            </w:tcBorders>
          </w:tcPr>
          <w:p w14:paraId="1B459593" w14:textId="2D22BF6F"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Borders>
              <w:top w:val="single" w:sz="8" w:space="0" w:color="auto"/>
              <w:left w:val="nil"/>
              <w:bottom w:val="nil"/>
              <w:right w:val="nil"/>
            </w:tcBorders>
          </w:tcPr>
          <w:p w14:paraId="3FA96F4A" w14:textId="321CF9C2"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41B6EDF8" w14:textId="77777777" w:rsidTr="3E6C7172">
        <w:tc>
          <w:tcPr>
            <w:tcW w:w="960" w:type="dxa"/>
          </w:tcPr>
          <w:p w14:paraId="187F7224" w14:textId="2A06058F" w:rsidR="3E6C7172" w:rsidRPr="00BC54D1" w:rsidRDefault="3E6C7172">
            <w:r w:rsidRPr="00BC54D1">
              <w:rPr>
                <w:rFonts w:ascii="Times New Roman" w:hAnsi="Times New Roman"/>
                <w:sz w:val="18"/>
                <w:szCs w:val="18"/>
              </w:rPr>
              <w:t xml:space="preserve"> </w:t>
            </w:r>
          </w:p>
        </w:tc>
        <w:tc>
          <w:tcPr>
            <w:tcW w:w="855" w:type="dxa"/>
          </w:tcPr>
          <w:p w14:paraId="0D692744" w14:textId="5B772BEF"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675" w:type="dxa"/>
          </w:tcPr>
          <w:p w14:paraId="5AF467CA" w14:textId="171D7873"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855" w:type="dxa"/>
          </w:tcPr>
          <w:p w14:paraId="0FCE0E7B" w14:textId="167587E1"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7EC11B19" w14:textId="0E53366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37FA6A20" w14:textId="413E11F3"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068CAE3B" w14:textId="1005419F"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77B8ED41" w14:textId="3FCF23E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6903A5BA" w14:textId="36A25F1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0BCEEAA6" w14:textId="1F9C6724"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5BF2E6D4" w14:textId="0D6E9AD9"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32BDF915" w14:textId="77777777" w:rsidTr="3E6C7172">
        <w:tc>
          <w:tcPr>
            <w:tcW w:w="960" w:type="dxa"/>
          </w:tcPr>
          <w:p w14:paraId="545D81A7" w14:textId="4E780EE5" w:rsidR="3E6C7172" w:rsidRPr="00BC54D1" w:rsidRDefault="3E6C7172">
            <w:r w:rsidRPr="00BC54D1">
              <w:rPr>
                <w:rFonts w:ascii="Times New Roman" w:hAnsi="Times New Roman"/>
                <w:sz w:val="18"/>
                <w:szCs w:val="18"/>
              </w:rPr>
              <w:t>CF</w:t>
            </w:r>
          </w:p>
        </w:tc>
        <w:tc>
          <w:tcPr>
            <w:tcW w:w="855" w:type="dxa"/>
          </w:tcPr>
          <w:p w14:paraId="749B473B" w14:textId="1A0703DB"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-0.02</w:t>
            </w:r>
            <w:r w:rsidRPr="00BC54D1">
              <w:rPr>
                <w:rFonts w:ascii="Times New Roman" w:hAnsi="Times New Roman"/>
                <w:sz w:val="18"/>
                <w:szCs w:val="18"/>
                <w:vertAlign w:val="superscript"/>
              </w:rPr>
              <w:t>*</w:t>
            </w:r>
          </w:p>
        </w:tc>
        <w:tc>
          <w:tcPr>
            <w:tcW w:w="675" w:type="dxa"/>
          </w:tcPr>
          <w:p w14:paraId="2C102CA1" w14:textId="2F083EC1"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1.00</w:t>
            </w:r>
          </w:p>
        </w:tc>
        <w:tc>
          <w:tcPr>
            <w:tcW w:w="855" w:type="dxa"/>
          </w:tcPr>
          <w:p w14:paraId="2253EA8A" w14:textId="5A2F4203"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5CF6B51F" w14:textId="1DD30EF9"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7591AFF3" w14:textId="2676CE8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4A17A538" w14:textId="4CFA4FD9"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37254A37" w14:textId="480718CC"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2B27A139" w14:textId="359C033C"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5668384C" w14:textId="136C1AE8"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02BDBDE5" w14:textId="14426C43"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1C08DEDE" w14:textId="77777777" w:rsidTr="3E6C7172">
        <w:tc>
          <w:tcPr>
            <w:tcW w:w="960" w:type="dxa"/>
          </w:tcPr>
          <w:p w14:paraId="423D407D" w14:textId="1102402E" w:rsidR="3E6C7172" w:rsidRPr="00BC54D1" w:rsidRDefault="3E6C7172">
            <w:r w:rsidRPr="00BC54D1">
              <w:rPr>
                <w:rFonts w:ascii="Times New Roman" w:hAnsi="Times New Roman"/>
                <w:sz w:val="18"/>
                <w:szCs w:val="18"/>
              </w:rPr>
              <w:t xml:space="preserve"> </w:t>
            </w:r>
          </w:p>
        </w:tc>
        <w:tc>
          <w:tcPr>
            <w:tcW w:w="855" w:type="dxa"/>
          </w:tcPr>
          <w:p w14:paraId="678D6257" w14:textId="6476F805"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675" w:type="dxa"/>
          </w:tcPr>
          <w:p w14:paraId="68AA51D6" w14:textId="7BADAA87"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855" w:type="dxa"/>
          </w:tcPr>
          <w:p w14:paraId="2C88F4BE" w14:textId="4321CA2C"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1CA865BE" w14:textId="1D7077C6"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24D92849" w14:textId="4E3C9E08"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21C64AE4" w14:textId="3C046A44"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57BC65E7" w14:textId="31059F04"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4A371A0C" w14:textId="35459882"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1168F7AE" w14:textId="49AD094F"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2AC1A472" w14:textId="06434881"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67451F94" w14:textId="77777777" w:rsidTr="3E6C7172">
        <w:tc>
          <w:tcPr>
            <w:tcW w:w="960" w:type="dxa"/>
          </w:tcPr>
          <w:p w14:paraId="7749EB7B" w14:textId="4D1B9BE6" w:rsidR="3E6C7172" w:rsidRPr="00BC54D1" w:rsidRDefault="3E6C7172">
            <w:r w:rsidRPr="00BC54D1">
              <w:rPr>
                <w:rFonts w:ascii="Times New Roman" w:hAnsi="Times New Roman"/>
                <w:sz w:val="18"/>
                <w:szCs w:val="18"/>
              </w:rPr>
              <w:t>SGR</w:t>
            </w:r>
          </w:p>
        </w:tc>
        <w:tc>
          <w:tcPr>
            <w:tcW w:w="855" w:type="dxa"/>
          </w:tcPr>
          <w:p w14:paraId="03617017" w14:textId="1774EA80"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-0.00</w:t>
            </w:r>
          </w:p>
        </w:tc>
        <w:tc>
          <w:tcPr>
            <w:tcW w:w="675" w:type="dxa"/>
          </w:tcPr>
          <w:p w14:paraId="5222B6DB" w14:textId="22E739EB"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0.06</w:t>
            </w:r>
            <w:r w:rsidRPr="00BC54D1">
              <w:rPr>
                <w:rFonts w:ascii="Times New Roman" w:hAnsi="Times New Roman"/>
                <w:sz w:val="18"/>
                <w:szCs w:val="18"/>
                <w:vertAlign w:val="superscript"/>
              </w:rPr>
              <w:t>*</w:t>
            </w:r>
          </w:p>
        </w:tc>
        <w:tc>
          <w:tcPr>
            <w:tcW w:w="855" w:type="dxa"/>
          </w:tcPr>
          <w:p w14:paraId="6DE7A988" w14:textId="72D5E063"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1.00</w:t>
            </w:r>
          </w:p>
        </w:tc>
        <w:tc>
          <w:tcPr>
            <w:tcW w:w="795" w:type="dxa"/>
          </w:tcPr>
          <w:p w14:paraId="1598008D" w14:textId="781853B2"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6440816E" w14:textId="6A32709D"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3BAC73C6" w14:textId="0142DB9F"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1EDF2096" w14:textId="113097E1"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6700E70F" w14:textId="4A33D7FF"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4641DC92" w14:textId="493915B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27933CBE" w14:textId="00B31DE6"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7D97DF0D" w14:textId="77777777" w:rsidTr="3E6C7172">
        <w:tc>
          <w:tcPr>
            <w:tcW w:w="960" w:type="dxa"/>
          </w:tcPr>
          <w:p w14:paraId="470CD2E5" w14:textId="5A0B415F" w:rsidR="3E6C7172" w:rsidRPr="00BC54D1" w:rsidRDefault="3E6C7172">
            <w:r w:rsidRPr="00BC54D1">
              <w:rPr>
                <w:rFonts w:ascii="Times New Roman" w:hAnsi="Times New Roman"/>
                <w:sz w:val="18"/>
                <w:szCs w:val="18"/>
              </w:rPr>
              <w:t xml:space="preserve"> </w:t>
            </w:r>
          </w:p>
        </w:tc>
        <w:tc>
          <w:tcPr>
            <w:tcW w:w="855" w:type="dxa"/>
          </w:tcPr>
          <w:p w14:paraId="54A29302" w14:textId="06F67F4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675" w:type="dxa"/>
          </w:tcPr>
          <w:p w14:paraId="393B8A16" w14:textId="5C92ACA4"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855" w:type="dxa"/>
          </w:tcPr>
          <w:p w14:paraId="523CFD70" w14:textId="50BF3E4F"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4CAA6238" w14:textId="2B42B36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285E3A96" w14:textId="2CB9F4A2"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0E205612" w14:textId="02DEFE22"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3AD1D60D" w14:textId="39C3133B"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65DCDB37" w14:textId="3ED35C3F"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5E189976" w14:textId="6094541A"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51391EB7" w14:textId="0369029D"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693EE0E8" w14:textId="77777777" w:rsidTr="3E6C7172">
        <w:tc>
          <w:tcPr>
            <w:tcW w:w="960" w:type="dxa"/>
          </w:tcPr>
          <w:p w14:paraId="6F58248C" w14:textId="0030C552" w:rsidR="3E6C7172" w:rsidRPr="00BC54D1" w:rsidRDefault="3E6C7172">
            <w:r w:rsidRPr="00BC54D1">
              <w:rPr>
                <w:rFonts w:ascii="Times New Roman" w:hAnsi="Times New Roman"/>
                <w:sz w:val="18"/>
                <w:szCs w:val="18"/>
              </w:rPr>
              <w:t>SZ</w:t>
            </w:r>
          </w:p>
        </w:tc>
        <w:tc>
          <w:tcPr>
            <w:tcW w:w="855" w:type="dxa"/>
          </w:tcPr>
          <w:p w14:paraId="45285F65" w14:textId="25BD8585"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-0.00</w:t>
            </w:r>
          </w:p>
        </w:tc>
        <w:tc>
          <w:tcPr>
            <w:tcW w:w="675" w:type="dxa"/>
          </w:tcPr>
          <w:p w14:paraId="5E7DC0E0" w14:textId="172FEAC9"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-0.02</w:t>
            </w:r>
            <w:r w:rsidRPr="00BC54D1">
              <w:rPr>
                <w:rFonts w:ascii="Times New Roman" w:hAnsi="Times New Roman"/>
                <w:sz w:val="18"/>
                <w:szCs w:val="18"/>
                <w:vertAlign w:val="superscript"/>
              </w:rPr>
              <w:t>*</w:t>
            </w:r>
          </w:p>
        </w:tc>
        <w:tc>
          <w:tcPr>
            <w:tcW w:w="855" w:type="dxa"/>
          </w:tcPr>
          <w:p w14:paraId="5111015E" w14:textId="4BA86FE3"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0.07</w:t>
            </w:r>
            <w:r w:rsidRPr="00BC54D1">
              <w:rPr>
                <w:rFonts w:ascii="Times New Roman" w:hAnsi="Times New Roman"/>
                <w:sz w:val="18"/>
                <w:szCs w:val="18"/>
                <w:vertAlign w:val="superscript"/>
              </w:rPr>
              <w:t>*</w:t>
            </w:r>
          </w:p>
        </w:tc>
        <w:tc>
          <w:tcPr>
            <w:tcW w:w="795" w:type="dxa"/>
          </w:tcPr>
          <w:p w14:paraId="0EEE7D58" w14:textId="4E3D960D"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1.00</w:t>
            </w:r>
          </w:p>
        </w:tc>
        <w:tc>
          <w:tcPr>
            <w:tcW w:w="795" w:type="dxa"/>
          </w:tcPr>
          <w:p w14:paraId="3B3FAD88" w14:textId="65BCB15A"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61D0BF59" w14:textId="6DFADCC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16E7E9E7" w14:textId="21166367"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5491DC16" w14:textId="123BE314"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13C466AC" w14:textId="16B5D3BF"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5055DE78" w14:textId="692DF52D"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27DF2E67" w14:textId="77777777" w:rsidTr="3E6C7172">
        <w:tc>
          <w:tcPr>
            <w:tcW w:w="960" w:type="dxa"/>
          </w:tcPr>
          <w:p w14:paraId="73B96252" w14:textId="7A4AA9FF" w:rsidR="3E6C7172" w:rsidRPr="00BC54D1" w:rsidRDefault="3E6C7172">
            <w:r w:rsidRPr="00BC54D1">
              <w:rPr>
                <w:rFonts w:ascii="Times New Roman" w:hAnsi="Times New Roman"/>
                <w:sz w:val="18"/>
                <w:szCs w:val="18"/>
              </w:rPr>
              <w:t xml:space="preserve"> </w:t>
            </w:r>
          </w:p>
        </w:tc>
        <w:tc>
          <w:tcPr>
            <w:tcW w:w="855" w:type="dxa"/>
          </w:tcPr>
          <w:p w14:paraId="73C945FE" w14:textId="70CA7C84"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675" w:type="dxa"/>
          </w:tcPr>
          <w:p w14:paraId="21F9181B" w14:textId="05DAA47C"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855" w:type="dxa"/>
          </w:tcPr>
          <w:p w14:paraId="5493004C" w14:textId="1913CC01"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581B102E" w14:textId="32A28B38"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19A31428" w14:textId="109C1975"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71E7927C" w14:textId="5F2C4901"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539C1E65" w14:textId="5ECBCAF6"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72DB1BA2" w14:textId="51AC8CE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0088D4BD" w14:textId="5B55ABF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401ED63D" w14:textId="7BB5AD2D"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3492C4F5" w14:textId="77777777" w:rsidTr="3E6C7172">
        <w:tc>
          <w:tcPr>
            <w:tcW w:w="960" w:type="dxa"/>
          </w:tcPr>
          <w:p w14:paraId="2272D2EE" w14:textId="6C2B1051" w:rsidR="3E6C7172" w:rsidRPr="00BC54D1" w:rsidRDefault="3E6C7172">
            <w:r w:rsidRPr="00BC54D1">
              <w:rPr>
                <w:rFonts w:ascii="Times New Roman" w:hAnsi="Times New Roman"/>
                <w:sz w:val="18"/>
                <w:szCs w:val="18"/>
              </w:rPr>
              <w:t>CH</w:t>
            </w:r>
          </w:p>
        </w:tc>
        <w:tc>
          <w:tcPr>
            <w:tcW w:w="855" w:type="dxa"/>
          </w:tcPr>
          <w:p w14:paraId="78397603" w14:textId="6EF03984"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0.03</w:t>
            </w:r>
            <w:r w:rsidRPr="00BC54D1">
              <w:rPr>
                <w:rFonts w:ascii="Times New Roman" w:hAnsi="Times New Roman"/>
                <w:sz w:val="18"/>
                <w:szCs w:val="18"/>
                <w:vertAlign w:val="superscript"/>
              </w:rPr>
              <w:t>*</w:t>
            </w:r>
          </w:p>
        </w:tc>
        <w:tc>
          <w:tcPr>
            <w:tcW w:w="675" w:type="dxa"/>
          </w:tcPr>
          <w:p w14:paraId="542C9125" w14:textId="62018C76"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0.11</w:t>
            </w:r>
            <w:r w:rsidRPr="00BC54D1">
              <w:rPr>
                <w:rFonts w:ascii="Times New Roman" w:hAnsi="Times New Roman"/>
                <w:sz w:val="18"/>
                <w:szCs w:val="18"/>
                <w:vertAlign w:val="superscript"/>
              </w:rPr>
              <w:t>*</w:t>
            </w:r>
          </w:p>
        </w:tc>
        <w:tc>
          <w:tcPr>
            <w:tcW w:w="855" w:type="dxa"/>
          </w:tcPr>
          <w:p w14:paraId="4B14B346" w14:textId="79BCCF58"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0.00</w:t>
            </w:r>
          </w:p>
        </w:tc>
        <w:tc>
          <w:tcPr>
            <w:tcW w:w="795" w:type="dxa"/>
          </w:tcPr>
          <w:p w14:paraId="704C037E" w14:textId="3E79B4D8"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-0.24</w:t>
            </w:r>
            <w:r w:rsidRPr="00BC54D1">
              <w:rPr>
                <w:rFonts w:ascii="Times New Roman" w:hAnsi="Times New Roman"/>
                <w:sz w:val="18"/>
                <w:szCs w:val="18"/>
                <w:vertAlign w:val="superscript"/>
              </w:rPr>
              <w:t>*</w:t>
            </w:r>
          </w:p>
        </w:tc>
        <w:tc>
          <w:tcPr>
            <w:tcW w:w="795" w:type="dxa"/>
          </w:tcPr>
          <w:p w14:paraId="6BC0B19A" w14:textId="4D149F28"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1.00</w:t>
            </w:r>
          </w:p>
        </w:tc>
        <w:tc>
          <w:tcPr>
            <w:tcW w:w="795" w:type="dxa"/>
          </w:tcPr>
          <w:p w14:paraId="58B1DB85" w14:textId="0C82EB97"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5E8E05DD" w14:textId="52AAD4E7"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3040C7BA" w14:textId="552AA9D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113B58E5" w14:textId="2E99E9D2"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6C0084AB" w14:textId="113F01CB"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1C46031E" w14:textId="77777777" w:rsidTr="3E6C7172">
        <w:tc>
          <w:tcPr>
            <w:tcW w:w="960" w:type="dxa"/>
          </w:tcPr>
          <w:p w14:paraId="16703279" w14:textId="4A847702" w:rsidR="3E6C7172" w:rsidRPr="00BC54D1" w:rsidRDefault="3E6C7172">
            <w:r w:rsidRPr="00BC54D1">
              <w:rPr>
                <w:rFonts w:ascii="Times New Roman" w:hAnsi="Times New Roman"/>
                <w:sz w:val="18"/>
                <w:szCs w:val="18"/>
              </w:rPr>
              <w:t xml:space="preserve"> </w:t>
            </w:r>
          </w:p>
        </w:tc>
        <w:tc>
          <w:tcPr>
            <w:tcW w:w="855" w:type="dxa"/>
          </w:tcPr>
          <w:p w14:paraId="71379015" w14:textId="0D9DD9A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675" w:type="dxa"/>
          </w:tcPr>
          <w:p w14:paraId="06BEA043" w14:textId="7022C300"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855" w:type="dxa"/>
          </w:tcPr>
          <w:p w14:paraId="3041E54B" w14:textId="1DA67263"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65885AD1" w14:textId="00C61F56"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352B268F" w14:textId="02026EA6"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4093ED6C" w14:textId="3DC19BE9"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03FF6672" w14:textId="1F2311BC"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4A6F3484" w14:textId="6538C6EB"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590FAC3F" w14:textId="31F3E25C"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7474D315" w14:textId="1D825394"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3E46BF2D" w14:textId="77777777" w:rsidTr="3E6C7172">
        <w:tc>
          <w:tcPr>
            <w:tcW w:w="960" w:type="dxa"/>
          </w:tcPr>
          <w:p w14:paraId="76A0E3B2" w14:textId="75574C5C" w:rsidR="3E6C7172" w:rsidRPr="00BC54D1" w:rsidRDefault="3E6C7172">
            <w:r w:rsidRPr="00BC54D1">
              <w:rPr>
                <w:rFonts w:ascii="Times New Roman" w:hAnsi="Times New Roman"/>
                <w:sz w:val="18"/>
                <w:szCs w:val="18"/>
              </w:rPr>
              <w:t>LEV</w:t>
            </w:r>
          </w:p>
        </w:tc>
        <w:tc>
          <w:tcPr>
            <w:tcW w:w="855" w:type="dxa"/>
          </w:tcPr>
          <w:p w14:paraId="7ABB20F1" w14:textId="30319019"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-0.01</w:t>
            </w:r>
            <w:r w:rsidRPr="00BC54D1">
              <w:rPr>
                <w:rFonts w:ascii="Times New Roman" w:hAnsi="Times New Roman"/>
                <w:sz w:val="18"/>
                <w:szCs w:val="18"/>
                <w:vertAlign w:val="superscript"/>
              </w:rPr>
              <w:t>*</w:t>
            </w:r>
          </w:p>
        </w:tc>
        <w:tc>
          <w:tcPr>
            <w:tcW w:w="675" w:type="dxa"/>
          </w:tcPr>
          <w:p w14:paraId="2677BD9C" w14:textId="1E5ED2B9"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-0.11</w:t>
            </w:r>
            <w:r w:rsidRPr="00BC54D1">
              <w:rPr>
                <w:rFonts w:ascii="Times New Roman" w:hAnsi="Times New Roman"/>
                <w:sz w:val="18"/>
                <w:szCs w:val="18"/>
                <w:vertAlign w:val="superscript"/>
              </w:rPr>
              <w:t>*</w:t>
            </w:r>
          </w:p>
        </w:tc>
        <w:tc>
          <w:tcPr>
            <w:tcW w:w="855" w:type="dxa"/>
          </w:tcPr>
          <w:p w14:paraId="1864D322" w14:textId="41458635"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0.01</w:t>
            </w:r>
            <w:r w:rsidRPr="00BC54D1">
              <w:rPr>
                <w:rFonts w:ascii="Times New Roman" w:hAnsi="Times New Roman"/>
                <w:sz w:val="18"/>
                <w:szCs w:val="18"/>
                <w:vertAlign w:val="superscript"/>
              </w:rPr>
              <w:t>*</w:t>
            </w:r>
          </w:p>
        </w:tc>
        <w:tc>
          <w:tcPr>
            <w:tcW w:w="795" w:type="dxa"/>
          </w:tcPr>
          <w:p w14:paraId="40695C2C" w14:textId="18DA49F5"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0.24</w:t>
            </w:r>
            <w:r w:rsidRPr="00BC54D1">
              <w:rPr>
                <w:rFonts w:ascii="Times New Roman" w:hAnsi="Times New Roman"/>
                <w:sz w:val="18"/>
                <w:szCs w:val="18"/>
                <w:vertAlign w:val="superscript"/>
              </w:rPr>
              <w:t>*</w:t>
            </w:r>
          </w:p>
        </w:tc>
        <w:tc>
          <w:tcPr>
            <w:tcW w:w="795" w:type="dxa"/>
          </w:tcPr>
          <w:p w14:paraId="4D0FDF52" w14:textId="094514BB"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-0.23</w:t>
            </w:r>
            <w:r w:rsidRPr="00BC54D1">
              <w:rPr>
                <w:rFonts w:ascii="Times New Roman" w:hAnsi="Times New Roman"/>
                <w:sz w:val="18"/>
                <w:szCs w:val="18"/>
                <w:vertAlign w:val="superscript"/>
              </w:rPr>
              <w:t>*</w:t>
            </w:r>
          </w:p>
        </w:tc>
        <w:tc>
          <w:tcPr>
            <w:tcW w:w="795" w:type="dxa"/>
          </w:tcPr>
          <w:p w14:paraId="2D5DB679" w14:textId="7EF2EF37"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1.00</w:t>
            </w:r>
          </w:p>
        </w:tc>
        <w:tc>
          <w:tcPr>
            <w:tcW w:w="795" w:type="dxa"/>
          </w:tcPr>
          <w:p w14:paraId="04295DCF" w14:textId="1ED5DB36"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44FF6155" w14:textId="6ADDE539"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7A4D6D6D" w14:textId="74544DC3"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02A566DF" w14:textId="2602A8B6"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169F396A" w14:textId="77777777" w:rsidTr="3E6C7172">
        <w:tc>
          <w:tcPr>
            <w:tcW w:w="960" w:type="dxa"/>
          </w:tcPr>
          <w:p w14:paraId="726F838E" w14:textId="45B94539" w:rsidR="3E6C7172" w:rsidRPr="00BC54D1" w:rsidRDefault="3E6C7172">
            <w:r w:rsidRPr="00BC54D1">
              <w:rPr>
                <w:rFonts w:ascii="Times New Roman" w:hAnsi="Times New Roman"/>
                <w:sz w:val="18"/>
                <w:szCs w:val="18"/>
              </w:rPr>
              <w:t xml:space="preserve"> </w:t>
            </w:r>
          </w:p>
        </w:tc>
        <w:tc>
          <w:tcPr>
            <w:tcW w:w="855" w:type="dxa"/>
          </w:tcPr>
          <w:p w14:paraId="4FE5C76F" w14:textId="7A5F1DD1"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675" w:type="dxa"/>
          </w:tcPr>
          <w:p w14:paraId="77915DFD" w14:textId="5E20E78F"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855" w:type="dxa"/>
          </w:tcPr>
          <w:p w14:paraId="3EC037FE" w14:textId="32199677"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79A8A9CC" w14:textId="72B7223F"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6452BE06" w14:textId="10F79BD4"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62DB8756" w14:textId="4BB336A0"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5EF7700D" w14:textId="39F6F976"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4F02BDF0" w14:textId="3352AB76"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3C141098" w14:textId="3D077E8F"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4FC05EE1" w14:textId="7D069C6C"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79E6C6A2" w14:textId="77777777" w:rsidTr="3E6C7172">
        <w:tc>
          <w:tcPr>
            <w:tcW w:w="960" w:type="dxa"/>
          </w:tcPr>
          <w:p w14:paraId="4D7503AD" w14:textId="4C1D693E" w:rsidR="3E6C7172" w:rsidRPr="00BC54D1" w:rsidRDefault="3E6C7172">
            <w:r w:rsidRPr="00BC54D1">
              <w:rPr>
                <w:rFonts w:ascii="Times New Roman" w:hAnsi="Times New Roman"/>
                <w:sz w:val="18"/>
                <w:szCs w:val="18"/>
              </w:rPr>
              <w:t>FY</w:t>
            </w:r>
          </w:p>
        </w:tc>
        <w:tc>
          <w:tcPr>
            <w:tcW w:w="855" w:type="dxa"/>
          </w:tcPr>
          <w:p w14:paraId="2DEA2011" w14:textId="5AD3D58C"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0.00</w:t>
            </w:r>
          </w:p>
        </w:tc>
        <w:tc>
          <w:tcPr>
            <w:tcW w:w="675" w:type="dxa"/>
          </w:tcPr>
          <w:p w14:paraId="0C84DA4D" w14:textId="2C171640"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0.02</w:t>
            </w:r>
            <w:r w:rsidRPr="00BC54D1">
              <w:rPr>
                <w:rFonts w:ascii="Times New Roman" w:hAnsi="Times New Roman"/>
                <w:sz w:val="18"/>
                <w:szCs w:val="18"/>
                <w:vertAlign w:val="superscript"/>
              </w:rPr>
              <w:t>*</w:t>
            </w:r>
          </w:p>
        </w:tc>
        <w:tc>
          <w:tcPr>
            <w:tcW w:w="855" w:type="dxa"/>
          </w:tcPr>
          <w:p w14:paraId="4D8E9C27" w14:textId="08E41EFF"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-0.02</w:t>
            </w:r>
            <w:r w:rsidRPr="00BC54D1">
              <w:rPr>
                <w:rFonts w:ascii="Times New Roman" w:hAnsi="Times New Roman"/>
                <w:sz w:val="18"/>
                <w:szCs w:val="18"/>
                <w:vertAlign w:val="superscript"/>
              </w:rPr>
              <w:t>*</w:t>
            </w:r>
          </w:p>
        </w:tc>
        <w:tc>
          <w:tcPr>
            <w:tcW w:w="795" w:type="dxa"/>
          </w:tcPr>
          <w:p w14:paraId="58FB09CF" w14:textId="4736DB4E"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0.13</w:t>
            </w:r>
            <w:r w:rsidRPr="00BC54D1">
              <w:rPr>
                <w:rFonts w:ascii="Times New Roman" w:hAnsi="Times New Roman"/>
                <w:sz w:val="18"/>
                <w:szCs w:val="18"/>
                <w:vertAlign w:val="superscript"/>
              </w:rPr>
              <w:t>*</w:t>
            </w:r>
          </w:p>
        </w:tc>
        <w:tc>
          <w:tcPr>
            <w:tcW w:w="795" w:type="dxa"/>
          </w:tcPr>
          <w:p w14:paraId="3CE7D725" w14:textId="56891D9C"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-0.04</w:t>
            </w:r>
            <w:r w:rsidRPr="00BC54D1">
              <w:rPr>
                <w:rFonts w:ascii="Times New Roman" w:hAnsi="Times New Roman"/>
                <w:sz w:val="18"/>
                <w:szCs w:val="18"/>
                <w:vertAlign w:val="superscript"/>
              </w:rPr>
              <w:t>*</w:t>
            </w:r>
          </w:p>
        </w:tc>
        <w:tc>
          <w:tcPr>
            <w:tcW w:w="795" w:type="dxa"/>
          </w:tcPr>
          <w:p w14:paraId="3D23E9DA" w14:textId="02885765"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-0.11</w:t>
            </w:r>
            <w:r w:rsidRPr="00BC54D1">
              <w:rPr>
                <w:rFonts w:ascii="Times New Roman" w:hAnsi="Times New Roman"/>
                <w:sz w:val="18"/>
                <w:szCs w:val="18"/>
                <w:vertAlign w:val="superscript"/>
              </w:rPr>
              <w:t>*</w:t>
            </w:r>
          </w:p>
        </w:tc>
        <w:tc>
          <w:tcPr>
            <w:tcW w:w="795" w:type="dxa"/>
          </w:tcPr>
          <w:p w14:paraId="1823DAA4" w14:textId="60E8D02B"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1.00</w:t>
            </w:r>
          </w:p>
        </w:tc>
        <w:tc>
          <w:tcPr>
            <w:tcW w:w="795" w:type="dxa"/>
          </w:tcPr>
          <w:p w14:paraId="367656CF" w14:textId="783D3A9B"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67B9341C" w14:textId="44640B9B"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597D9312" w14:textId="19D68920"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6750EA10" w14:textId="77777777" w:rsidTr="3E6C7172">
        <w:tc>
          <w:tcPr>
            <w:tcW w:w="960" w:type="dxa"/>
          </w:tcPr>
          <w:p w14:paraId="13D34959" w14:textId="14DF4143" w:rsidR="3E6C7172" w:rsidRPr="00BC54D1" w:rsidRDefault="3E6C7172">
            <w:r w:rsidRPr="00BC54D1">
              <w:rPr>
                <w:rFonts w:ascii="Times New Roman" w:hAnsi="Times New Roman"/>
                <w:sz w:val="18"/>
                <w:szCs w:val="18"/>
              </w:rPr>
              <w:t xml:space="preserve"> </w:t>
            </w:r>
          </w:p>
        </w:tc>
        <w:tc>
          <w:tcPr>
            <w:tcW w:w="855" w:type="dxa"/>
          </w:tcPr>
          <w:p w14:paraId="65E16122" w14:textId="64A54A60"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675" w:type="dxa"/>
          </w:tcPr>
          <w:p w14:paraId="3DED47F9" w14:textId="35373650"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855" w:type="dxa"/>
          </w:tcPr>
          <w:p w14:paraId="02A8ED09" w14:textId="48C00E8A"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2916837B" w14:textId="6E377763"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58FC3E70" w14:textId="2338E920"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4F015DF5" w14:textId="64723325"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13989BBD" w14:textId="07895265"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039EC4C5" w14:textId="0F029F5D"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445A4ABB" w14:textId="26CDE2B1"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0DE7081E" w14:textId="186E4554"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21A0947E" w14:textId="77777777" w:rsidTr="3E6C7172">
        <w:tc>
          <w:tcPr>
            <w:tcW w:w="960" w:type="dxa"/>
          </w:tcPr>
          <w:p w14:paraId="52E13CB1" w14:textId="6766A346" w:rsidR="3E6C7172" w:rsidRPr="00BC54D1" w:rsidRDefault="3E6C7172">
            <w:r w:rsidRPr="00BC54D1">
              <w:rPr>
                <w:rFonts w:ascii="Times New Roman" w:hAnsi="Times New Roman"/>
                <w:sz w:val="18"/>
                <w:szCs w:val="18"/>
              </w:rPr>
              <w:t>PR</w:t>
            </w:r>
          </w:p>
        </w:tc>
        <w:tc>
          <w:tcPr>
            <w:tcW w:w="855" w:type="dxa"/>
          </w:tcPr>
          <w:p w14:paraId="4029B058" w14:textId="7E0A946D"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0.02</w:t>
            </w:r>
            <w:r w:rsidRPr="00BC54D1">
              <w:rPr>
                <w:rFonts w:ascii="Times New Roman" w:hAnsi="Times New Roman"/>
                <w:sz w:val="18"/>
                <w:szCs w:val="18"/>
                <w:vertAlign w:val="superscript"/>
              </w:rPr>
              <w:t>*</w:t>
            </w:r>
          </w:p>
        </w:tc>
        <w:tc>
          <w:tcPr>
            <w:tcW w:w="675" w:type="dxa"/>
          </w:tcPr>
          <w:p w14:paraId="39B57999" w14:textId="01AEAAA8"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0.29</w:t>
            </w:r>
            <w:r w:rsidRPr="00BC54D1">
              <w:rPr>
                <w:rFonts w:ascii="Times New Roman" w:hAnsi="Times New Roman"/>
                <w:sz w:val="18"/>
                <w:szCs w:val="18"/>
                <w:vertAlign w:val="superscript"/>
              </w:rPr>
              <w:t>*</w:t>
            </w:r>
          </w:p>
        </w:tc>
        <w:tc>
          <w:tcPr>
            <w:tcW w:w="855" w:type="dxa"/>
          </w:tcPr>
          <w:p w14:paraId="5B8B1933" w14:textId="65D62516"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-0.00</w:t>
            </w:r>
          </w:p>
        </w:tc>
        <w:tc>
          <w:tcPr>
            <w:tcW w:w="795" w:type="dxa"/>
          </w:tcPr>
          <w:p w14:paraId="5AA82681" w14:textId="63CD7C83"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-0.07</w:t>
            </w:r>
            <w:r w:rsidRPr="00BC54D1">
              <w:rPr>
                <w:rFonts w:ascii="Times New Roman" w:hAnsi="Times New Roman"/>
                <w:sz w:val="18"/>
                <w:szCs w:val="18"/>
                <w:vertAlign w:val="superscript"/>
              </w:rPr>
              <w:t>*</w:t>
            </w:r>
          </w:p>
        </w:tc>
        <w:tc>
          <w:tcPr>
            <w:tcW w:w="795" w:type="dxa"/>
          </w:tcPr>
          <w:p w14:paraId="680903D0" w14:textId="0E8DF410"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0.16</w:t>
            </w:r>
            <w:r w:rsidRPr="00BC54D1">
              <w:rPr>
                <w:rFonts w:ascii="Times New Roman" w:hAnsi="Times New Roman"/>
                <w:sz w:val="18"/>
                <w:szCs w:val="18"/>
                <w:vertAlign w:val="superscript"/>
              </w:rPr>
              <w:t>*</w:t>
            </w:r>
          </w:p>
        </w:tc>
        <w:tc>
          <w:tcPr>
            <w:tcW w:w="795" w:type="dxa"/>
          </w:tcPr>
          <w:p w14:paraId="6087AD27" w14:textId="5FF18172"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-0.13</w:t>
            </w:r>
            <w:r w:rsidRPr="00BC54D1">
              <w:rPr>
                <w:rFonts w:ascii="Times New Roman" w:hAnsi="Times New Roman"/>
                <w:sz w:val="18"/>
                <w:szCs w:val="18"/>
                <w:vertAlign w:val="superscript"/>
              </w:rPr>
              <w:t>*</w:t>
            </w:r>
          </w:p>
        </w:tc>
        <w:tc>
          <w:tcPr>
            <w:tcW w:w="795" w:type="dxa"/>
          </w:tcPr>
          <w:p w14:paraId="11057E96" w14:textId="58D5F19E"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0.03</w:t>
            </w:r>
            <w:r w:rsidRPr="00BC54D1">
              <w:rPr>
                <w:rFonts w:ascii="Times New Roman" w:hAnsi="Times New Roman"/>
                <w:sz w:val="18"/>
                <w:szCs w:val="18"/>
                <w:vertAlign w:val="superscript"/>
              </w:rPr>
              <w:t>*</w:t>
            </w:r>
          </w:p>
        </w:tc>
        <w:tc>
          <w:tcPr>
            <w:tcW w:w="795" w:type="dxa"/>
          </w:tcPr>
          <w:p w14:paraId="4DDAACA4" w14:textId="1FE9A9B5"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1.00</w:t>
            </w:r>
          </w:p>
        </w:tc>
        <w:tc>
          <w:tcPr>
            <w:tcW w:w="795" w:type="dxa"/>
          </w:tcPr>
          <w:p w14:paraId="2CC2826A" w14:textId="4EE4DF58"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46695943" w14:textId="6F5F9831"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329B7DE9" w14:textId="77777777" w:rsidTr="3E6C7172">
        <w:tc>
          <w:tcPr>
            <w:tcW w:w="960" w:type="dxa"/>
          </w:tcPr>
          <w:p w14:paraId="11718A5D" w14:textId="49C27806" w:rsidR="3E6C7172" w:rsidRPr="00BC54D1" w:rsidRDefault="3E6C7172">
            <w:r w:rsidRPr="00BC54D1">
              <w:rPr>
                <w:rFonts w:ascii="Times New Roman" w:hAnsi="Times New Roman"/>
                <w:sz w:val="18"/>
                <w:szCs w:val="18"/>
              </w:rPr>
              <w:t xml:space="preserve"> </w:t>
            </w:r>
          </w:p>
        </w:tc>
        <w:tc>
          <w:tcPr>
            <w:tcW w:w="855" w:type="dxa"/>
          </w:tcPr>
          <w:p w14:paraId="1D3C683F" w14:textId="0A09CA53"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675" w:type="dxa"/>
          </w:tcPr>
          <w:p w14:paraId="0C47CF0F" w14:textId="7431C7A4"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855" w:type="dxa"/>
          </w:tcPr>
          <w:p w14:paraId="606C1432" w14:textId="2DF5B076"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1289DFBC" w14:textId="4D2E66A5"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694181F8" w14:textId="54A3D237"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1493284A" w14:textId="50E0A827"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6CBB2E05" w14:textId="0006CA68"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7BD7B9CC" w14:textId="3D8A166B"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3580A801" w14:textId="02812463"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2C1149A0" w14:textId="0DC14081"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07CBF92A" w14:textId="77777777" w:rsidTr="3E6C7172">
        <w:tc>
          <w:tcPr>
            <w:tcW w:w="960" w:type="dxa"/>
          </w:tcPr>
          <w:p w14:paraId="1660F517" w14:textId="6333E216" w:rsidR="3E6C7172" w:rsidRPr="00BC54D1" w:rsidRDefault="3E6C7172">
            <w:r w:rsidRPr="00BC54D1">
              <w:rPr>
                <w:rFonts w:ascii="Times New Roman" w:hAnsi="Times New Roman"/>
                <w:sz w:val="18"/>
                <w:szCs w:val="18"/>
              </w:rPr>
              <w:t>DM</w:t>
            </w:r>
          </w:p>
        </w:tc>
        <w:tc>
          <w:tcPr>
            <w:tcW w:w="855" w:type="dxa"/>
          </w:tcPr>
          <w:p w14:paraId="5471550D" w14:textId="72F2BBE2"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-0.01</w:t>
            </w:r>
            <w:r w:rsidRPr="00BC54D1">
              <w:rPr>
                <w:rFonts w:ascii="Times New Roman" w:hAnsi="Times New Roman"/>
                <w:sz w:val="18"/>
                <w:szCs w:val="18"/>
                <w:vertAlign w:val="superscript"/>
              </w:rPr>
              <w:t>*</w:t>
            </w:r>
          </w:p>
        </w:tc>
        <w:tc>
          <w:tcPr>
            <w:tcW w:w="675" w:type="dxa"/>
          </w:tcPr>
          <w:p w14:paraId="53A6E9DF" w14:textId="34A00C37"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-0.01</w:t>
            </w:r>
            <w:r w:rsidRPr="00BC54D1">
              <w:rPr>
                <w:rFonts w:ascii="Times New Roman" w:hAnsi="Times New Roman"/>
                <w:sz w:val="18"/>
                <w:szCs w:val="18"/>
                <w:vertAlign w:val="superscript"/>
              </w:rPr>
              <w:t>*</w:t>
            </w:r>
          </w:p>
        </w:tc>
        <w:tc>
          <w:tcPr>
            <w:tcW w:w="855" w:type="dxa"/>
          </w:tcPr>
          <w:p w14:paraId="3C385CD6" w14:textId="098F9CB8"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0.01</w:t>
            </w:r>
            <w:r w:rsidRPr="00BC54D1">
              <w:rPr>
                <w:rFonts w:ascii="Times New Roman" w:hAnsi="Times New Roman"/>
                <w:sz w:val="18"/>
                <w:szCs w:val="18"/>
                <w:vertAlign w:val="superscript"/>
              </w:rPr>
              <w:t>*</w:t>
            </w:r>
          </w:p>
        </w:tc>
        <w:tc>
          <w:tcPr>
            <w:tcW w:w="795" w:type="dxa"/>
          </w:tcPr>
          <w:p w14:paraId="6B9767D7" w14:textId="6348955F"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0.11</w:t>
            </w:r>
            <w:r w:rsidRPr="00BC54D1">
              <w:rPr>
                <w:rFonts w:ascii="Times New Roman" w:hAnsi="Times New Roman"/>
                <w:sz w:val="18"/>
                <w:szCs w:val="18"/>
                <w:vertAlign w:val="superscript"/>
              </w:rPr>
              <w:t>*</w:t>
            </w:r>
          </w:p>
        </w:tc>
        <w:tc>
          <w:tcPr>
            <w:tcW w:w="795" w:type="dxa"/>
          </w:tcPr>
          <w:p w14:paraId="144124B2" w14:textId="669416AF"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-0.10</w:t>
            </w:r>
            <w:r w:rsidRPr="00BC54D1">
              <w:rPr>
                <w:rFonts w:ascii="Times New Roman" w:hAnsi="Times New Roman"/>
                <w:sz w:val="18"/>
                <w:szCs w:val="18"/>
                <w:vertAlign w:val="superscript"/>
              </w:rPr>
              <w:t>*</w:t>
            </w:r>
          </w:p>
        </w:tc>
        <w:tc>
          <w:tcPr>
            <w:tcW w:w="795" w:type="dxa"/>
          </w:tcPr>
          <w:p w14:paraId="2F9816A2" w14:textId="14459957"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0.23</w:t>
            </w:r>
            <w:r w:rsidRPr="00BC54D1">
              <w:rPr>
                <w:rFonts w:ascii="Times New Roman" w:hAnsi="Times New Roman"/>
                <w:sz w:val="18"/>
                <w:szCs w:val="18"/>
                <w:vertAlign w:val="superscript"/>
              </w:rPr>
              <w:t>*</w:t>
            </w:r>
          </w:p>
        </w:tc>
        <w:tc>
          <w:tcPr>
            <w:tcW w:w="795" w:type="dxa"/>
          </w:tcPr>
          <w:p w14:paraId="2FEE12EF" w14:textId="75134AE2"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-0.11</w:t>
            </w:r>
            <w:r w:rsidRPr="00BC54D1">
              <w:rPr>
                <w:rFonts w:ascii="Times New Roman" w:hAnsi="Times New Roman"/>
                <w:sz w:val="18"/>
                <w:szCs w:val="18"/>
                <w:vertAlign w:val="superscript"/>
              </w:rPr>
              <w:t>*</w:t>
            </w:r>
          </w:p>
        </w:tc>
        <w:tc>
          <w:tcPr>
            <w:tcW w:w="795" w:type="dxa"/>
          </w:tcPr>
          <w:p w14:paraId="21015919" w14:textId="5AB8BC0A"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-0.12</w:t>
            </w:r>
            <w:r w:rsidRPr="00BC54D1">
              <w:rPr>
                <w:rFonts w:ascii="Times New Roman" w:hAnsi="Times New Roman"/>
                <w:sz w:val="18"/>
                <w:szCs w:val="18"/>
                <w:vertAlign w:val="superscript"/>
              </w:rPr>
              <w:t>*</w:t>
            </w:r>
          </w:p>
        </w:tc>
        <w:tc>
          <w:tcPr>
            <w:tcW w:w="795" w:type="dxa"/>
          </w:tcPr>
          <w:p w14:paraId="5A1BA1C2" w14:textId="782AD71A"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1.00</w:t>
            </w:r>
          </w:p>
        </w:tc>
        <w:tc>
          <w:tcPr>
            <w:tcW w:w="735" w:type="dxa"/>
          </w:tcPr>
          <w:p w14:paraId="1972FCE3" w14:textId="02BC3E0B"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6EAD62B8" w14:textId="77777777" w:rsidTr="3E6C7172">
        <w:tc>
          <w:tcPr>
            <w:tcW w:w="960" w:type="dxa"/>
          </w:tcPr>
          <w:p w14:paraId="45DE6487" w14:textId="363527D4" w:rsidR="3E6C7172" w:rsidRPr="00BC54D1" w:rsidRDefault="3E6C7172">
            <w:r w:rsidRPr="00BC54D1">
              <w:rPr>
                <w:rFonts w:ascii="Times New Roman" w:hAnsi="Times New Roman"/>
                <w:sz w:val="18"/>
                <w:szCs w:val="18"/>
              </w:rPr>
              <w:t xml:space="preserve"> </w:t>
            </w:r>
          </w:p>
        </w:tc>
        <w:tc>
          <w:tcPr>
            <w:tcW w:w="855" w:type="dxa"/>
          </w:tcPr>
          <w:p w14:paraId="658037CB" w14:textId="6E1660EA"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675" w:type="dxa"/>
          </w:tcPr>
          <w:p w14:paraId="215ACD7A" w14:textId="0A7CC87A"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855" w:type="dxa"/>
          </w:tcPr>
          <w:p w14:paraId="630D37E2" w14:textId="16650E72"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07B5C900" w14:textId="093F699E"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39DA718D" w14:textId="4FBB7D30"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5D74FC2C" w14:textId="5E57F023"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7FE21CAE" w14:textId="02425F02"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6326AB31" w14:textId="175D150D"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Pr>
          <w:p w14:paraId="0602FDBD" w14:textId="609FB657"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Pr>
          <w:p w14:paraId="1C8FE902" w14:textId="64DC94A9"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r w:rsidR="00BC54D1" w:rsidRPr="00BC54D1" w14:paraId="7D154B28" w14:textId="77777777" w:rsidTr="3E6C7172">
        <w:tc>
          <w:tcPr>
            <w:tcW w:w="960" w:type="dxa"/>
          </w:tcPr>
          <w:p w14:paraId="78057C5D" w14:textId="4A92A8FA" w:rsidR="3E6C7172" w:rsidRPr="00BC54D1" w:rsidRDefault="3E6C7172">
            <w:r w:rsidRPr="00BC54D1">
              <w:rPr>
                <w:rFonts w:ascii="Times New Roman" w:hAnsi="Times New Roman"/>
                <w:sz w:val="18"/>
                <w:szCs w:val="18"/>
              </w:rPr>
              <w:t>IQ</w:t>
            </w:r>
          </w:p>
        </w:tc>
        <w:tc>
          <w:tcPr>
            <w:tcW w:w="855" w:type="dxa"/>
          </w:tcPr>
          <w:p w14:paraId="41BDC529" w14:textId="1EE4F093"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0.00</w:t>
            </w:r>
          </w:p>
        </w:tc>
        <w:tc>
          <w:tcPr>
            <w:tcW w:w="675" w:type="dxa"/>
          </w:tcPr>
          <w:p w14:paraId="74F619A8" w14:textId="179F1638"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0.01</w:t>
            </w:r>
            <w:r w:rsidRPr="00BC54D1">
              <w:rPr>
                <w:rFonts w:ascii="Times New Roman" w:hAnsi="Times New Roman"/>
                <w:sz w:val="18"/>
                <w:szCs w:val="18"/>
                <w:vertAlign w:val="superscript"/>
              </w:rPr>
              <w:t>*</w:t>
            </w:r>
          </w:p>
        </w:tc>
        <w:tc>
          <w:tcPr>
            <w:tcW w:w="855" w:type="dxa"/>
          </w:tcPr>
          <w:p w14:paraId="12C63B10" w14:textId="70B219EF"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0.09</w:t>
            </w:r>
            <w:r w:rsidRPr="00BC54D1">
              <w:rPr>
                <w:rFonts w:ascii="Times New Roman" w:hAnsi="Times New Roman"/>
                <w:sz w:val="18"/>
                <w:szCs w:val="18"/>
                <w:vertAlign w:val="superscript"/>
              </w:rPr>
              <w:t>*</w:t>
            </w:r>
          </w:p>
        </w:tc>
        <w:tc>
          <w:tcPr>
            <w:tcW w:w="795" w:type="dxa"/>
          </w:tcPr>
          <w:p w14:paraId="4FD54AB2" w14:textId="218EAD42"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0.14</w:t>
            </w:r>
            <w:r w:rsidRPr="00BC54D1">
              <w:rPr>
                <w:rFonts w:ascii="Times New Roman" w:hAnsi="Times New Roman"/>
                <w:sz w:val="18"/>
                <w:szCs w:val="18"/>
                <w:vertAlign w:val="superscript"/>
              </w:rPr>
              <w:t>*</w:t>
            </w:r>
          </w:p>
        </w:tc>
        <w:tc>
          <w:tcPr>
            <w:tcW w:w="795" w:type="dxa"/>
          </w:tcPr>
          <w:p w14:paraId="720E3608" w14:textId="06FEA24C"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0.01</w:t>
            </w:r>
            <w:r w:rsidRPr="00BC54D1">
              <w:rPr>
                <w:rFonts w:ascii="Times New Roman" w:hAnsi="Times New Roman"/>
                <w:sz w:val="18"/>
                <w:szCs w:val="18"/>
                <w:vertAlign w:val="superscript"/>
              </w:rPr>
              <w:t>*</w:t>
            </w:r>
          </w:p>
        </w:tc>
        <w:tc>
          <w:tcPr>
            <w:tcW w:w="795" w:type="dxa"/>
          </w:tcPr>
          <w:p w14:paraId="359823B0" w14:textId="076411B2"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-0.01</w:t>
            </w:r>
            <w:r w:rsidRPr="00BC54D1">
              <w:rPr>
                <w:rFonts w:ascii="Times New Roman" w:hAnsi="Times New Roman"/>
                <w:sz w:val="18"/>
                <w:szCs w:val="18"/>
                <w:vertAlign w:val="superscript"/>
              </w:rPr>
              <w:t>*</w:t>
            </w:r>
          </w:p>
        </w:tc>
        <w:tc>
          <w:tcPr>
            <w:tcW w:w="795" w:type="dxa"/>
          </w:tcPr>
          <w:p w14:paraId="03D39988" w14:textId="3C13CB62"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-0.02</w:t>
            </w:r>
            <w:r w:rsidRPr="00BC54D1">
              <w:rPr>
                <w:rFonts w:ascii="Times New Roman" w:hAnsi="Times New Roman"/>
                <w:sz w:val="18"/>
                <w:szCs w:val="18"/>
                <w:vertAlign w:val="superscript"/>
              </w:rPr>
              <w:t>*</w:t>
            </w:r>
          </w:p>
        </w:tc>
        <w:tc>
          <w:tcPr>
            <w:tcW w:w="795" w:type="dxa"/>
          </w:tcPr>
          <w:p w14:paraId="261BF780" w14:textId="33A7D71D"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0.01</w:t>
            </w:r>
            <w:r w:rsidRPr="00BC54D1">
              <w:rPr>
                <w:rFonts w:ascii="Times New Roman" w:hAnsi="Times New Roman"/>
                <w:sz w:val="18"/>
                <w:szCs w:val="18"/>
                <w:vertAlign w:val="superscript"/>
              </w:rPr>
              <w:t>*</w:t>
            </w:r>
          </w:p>
        </w:tc>
        <w:tc>
          <w:tcPr>
            <w:tcW w:w="795" w:type="dxa"/>
          </w:tcPr>
          <w:p w14:paraId="70A3B5C2" w14:textId="1F5C835C" w:rsidR="3E6C7172" w:rsidRPr="00BC54D1" w:rsidRDefault="3E6C7172" w:rsidP="00407BF4">
            <w:pPr>
              <w:jc w:val="center"/>
              <w:rPr>
                <w:rFonts w:ascii="Times New Roman" w:hAnsi="Times New Roman"/>
                <w:sz w:val="18"/>
                <w:szCs w:val="18"/>
                <w:vertAlign w:val="superscript"/>
              </w:rPr>
            </w:pPr>
            <w:r w:rsidRPr="00BC54D1">
              <w:rPr>
                <w:rFonts w:ascii="Times New Roman" w:hAnsi="Times New Roman"/>
                <w:sz w:val="18"/>
                <w:szCs w:val="18"/>
              </w:rPr>
              <w:t>-0.01</w:t>
            </w:r>
            <w:r w:rsidRPr="00BC54D1">
              <w:rPr>
                <w:rFonts w:ascii="Times New Roman" w:hAnsi="Times New Roman"/>
                <w:sz w:val="18"/>
                <w:szCs w:val="18"/>
                <w:vertAlign w:val="superscript"/>
              </w:rPr>
              <w:t>*</w:t>
            </w:r>
          </w:p>
        </w:tc>
        <w:tc>
          <w:tcPr>
            <w:tcW w:w="735" w:type="dxa"/>
          </w:tcPr>
          <w:p w14:paraId="0EC3FF4A" w14:textId="121D4F88"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1.00</w:t>
            </w:r>
          </w:p>
        </w:tc>
      </w:tr>
      <w:tr w:rsidR="3E6C7172" w:rsidRPr="00BC54D1" w14:paraId="668306EA" w14:textId="77777777" w:rsidTr="3E6C7172">
        <w:tc>
          <w:tcPr>
            <w:tcW w:w="960" w:type="dxa"/>
            <w:tcBorders>
              <w:left w:val="nil"/>
              <w:bottom w:val="single" w:sz="8" w:space="0" w:color="auto"/>
              <w:right w:val="nil"/>
            </w:tcBorders>
          </w:tcPr>
          <w:p w14:paraId="7A7E2043" w14:textId="1C8567D7" w:rsidR="3E6C7172" w:rsidRPr="00BC54D1" w:rsidRDefault="3E6C7172">
            <w:r w:rsidRPr="00BC54D1">
              <w:rPr>
                <w:rFonts w:ascii="Times New Roman" w:hAnsi="Times New Roman"/>
                <w:sz w:val="18"/>
                <w:szCs w:val="18"/>
              </w:rPr>
              <w:t xml:space="preserve"> </w:t>
            </w:r>
          </w:p>
        </w:tc>
        <w:tc>
          <w:tcPr>
            <w:tcW w:w="855" w:type="dxa"/>
            <w:tcBorders>
              <w:left w:val="nil"/>
              <w:bottom w:val="single" w:sz="8" w:space="0" w:color="auto"/>
              <w:right w:val="nil"/>
            </w:tcBorders>
          </w:tcPr>
          <w:p w14:paraId="78E065AF" w14:textId="068573BF"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675" w:type="dxa"/>
            <w:tcBorders>
              <w:left w:val="nil"/>
              <w:bottom w:val="single" w:sz="8" w:space="0" w:color="auto"/>
              <w:right w:val="nil"/>
            </w:tcBorders>
          </w:tcPr>
          <w:p w14:paraId="1BB8BD48" w14:textId="106B7F39"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855" w:type="dxa"/>
            <w:tcBorders>
              <w:left w:val="nil"/>
              <w:bottom w:val="single" w:sz="8" w:space="0" w:color="auto"/>
              <w:right w:val="nil"/>
            </w:tcBorders>
          </w:tcPr>
          <w:p w14:paraId="6FDEB5C6" w14:textId="7F0BF03C"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left w:val="nil"/>
              <w:bottom w:val="single" w:sz="8" w:space="0" w:color="auto"/>
              <w:right w:val="nil"/>
            </w:tcBorders>
          </w:tcPr>
          <w:p w14:paraId="6019A4C4" w14:textId="0A9B8AC5"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left w:val="nil"/>
              <w:bottom w:val="single" w:sz="8" w:space="0" w:color="auto"/>
              <w:right w:val="nil"/>
            </w:tcBorders>
          </w:tcPr>
          <w:p w14:paraId="7CBA5035" w14:textId="7E46F8EC"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left w:val="nil"/>
              <w:bottom w:val="single" w:sz="8" w:space="0" w:color="auto"/>
              <w:right w:val="nil"/>
            </w:tcBorders>
          </w:tcPr>
          <w:p w14:paraId="4456A58D" w14:textId="1713422C"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left w:val="nil"/>
              <w:bottom w:val="single" w:sz="8" w:space="0" w:color="auto"/>
              <w:right w:val="nil"/>
            </w:tcBorders>
          </w:tcPr>
          <w:p w14:paraId="5ABE50EE" w14:textId="2473F301"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left w:val="nil"/>
              <w:bottom w:val="single" w:sz="8" w:space="0" w:color="auto"/>
              <w:right w:val="nil"/>
            </w:tcBorders>
          </w:tcPr>
          <w:p w14:paraId="050874B4" w14:textId="49C131B8"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95" w:type="dxa"/>
            <w:tcBorders>
              <w:left w:val="nil"/>
              <w:bottom w:val="single" w:sz="8" w:space="0" w:color="auto"/>
              <w:right w:val="nil"/>
            </w:tcBorders>
          </w:tcPr>
          <w:p w14:paraId="2620C33A" w14:textId="15572460"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c>
          <w:tcPr>
            <w:tcW w:w="735" w:type="dxa"/>
            <w:tcBorders>
              <w:left w:val="nil"/>
              <w:bottom w:val="single" w:sz="8" w:space="0" w:color="auto"/>
              <w:right w:val="nil"/>
            </w:tcBorders>
          </w:tcPr>
          <w:p w14:paraId="7D491F57" w14:textId="2A1FCA03" w:rsidR="3E6C7172" w:rsidRPr="00BC54D1" w:rsidRDefault="3E6C7172" w:rsidP="00407BF4">
            <w:pPr>
              <w:jc w:val="center"/>
              <w:rPr>
                <w:rFonts w:ascii="Times New Roman" w:hAnsi="Times New Roman"/>
                <w:sz w:val="18"/>
                <w:szCs w:val="18"/>
              </w:rPr>
            </w:pPr>
            <w:r w:rsidRPr="00BC54D1">
              <w:rPr>
                <w:rFonts w:ascii="Times New Roman" w:hAnsi="Times New Roman"/>
                <w:sz w:val="18"/>
                <w:szCs w:val="18"/>
              </w:rPr>
              <w:t xml:space="preserve"> </w:t>
            </w:r>
          </w:p>
        </w:tc>
      </w:tr>
    </w:tbl>
    <w:p w14:paraId="08ECDEC8" w14:textId="77777777" w:rsidR="00B74FF5" w:rsidRDefault="008D5C38" w:rsidP="008D5C38">
      <w:pPr>
        <w:widowControl w:val="0"/>
        <w:autoSpaceDE w:val="0"/>
        <w:autoSpaceDN w:val="0"/>
        <w:adjustRightInd w:val="0"/>
        <w:jc w:val="both"/>
        <w:rPr>
          <w:color w:val="000000"/>
          <w:sz w:val="18"/>
          <w:szCs w:val="18"/>
        </w:rPr>
      </w:pPr>
      <w:r w:rsidRPr="001A0EC9">
        <w:rPr>
          <w:color w:val="000000"/>
          <w:sz w:val="18"/>
          <w:szCs w:val="18"/>
        </w:rPr>
        <w:t>This table presents the correlation matrix for the sample data. The sample and variable definitions are as described in Table I.</w:t>
      </w:r>
    </w:p>
    <w:p w14:paraId="57EE6EB4" w14:textId="022B4732" w:rsidR="008D5C38" w:rsidRPr="001A0EC9" w:rsidRDefault="008D5C38" w:rsidP="008D5C38">
      <w:pPr>
        <w:widowControl w:val="0"/>
        <w:autoSpaceDE w:val="0"/>
        <w:autoSpaceDN w:val="0"/>
        <w:adjustRightInd w:val="0"/>
        <w:jc w:val="both"/>
        <w:rPr>
          <w:sz w:val="18"/>
          <w:szCs w:val="18"/>
        </w:rPr>
      </w:pPr>
      <w:r w:rsidRPr="001A0EC9">
        <w:rPr>
          <w:color w:val="000000"/>
          <w:sz w:val="18"/>
          <w:szCs w:val="18"/>
        </w:rPr>
        <w:t xml:space="preserve">* </w:t>
      </w:r>
      <w:proofErr w:type="gramStart"/>
      <w:r w:rsidRPr="001A0EC9">
        <w:rPr>
          <w:color w:val="000000"/>
          <w:sz w:val="18"/>
          <w:szCs w:val="18"/>
        </w:rPr>
        <w:t>indicates</w:t>
      </w:r>
      <w:proofErr w:type="gramEnd"/>
      <w:r w:rsidRPr="001A0EC9">
        <w:rPr>
          <w:color w:val="000000"/>
          <w:sz w:val="18"/>
          <w:szCs w:val="18"/>
        </w:rPr>
        <w:t xml:space="preserve"> significance at 1% level.</w:t>
      </w:r>
    </w:p>
    <w:p w14:paraId="3B19FFDC" w14:textId="775D22AD" w:rsidR="3E6C7172" w:rsidRPr="00BC54D1" w:rsidRDefault="3E6C7172" w:rsidP="00407BF4">
      <w:pPr>
        <w:jc w:val="both"/>
        <w:rPr>
          <w:rFonts w:ascii="Times New Roman" w:hAnsi="Times New Roman"/>
          <w:b/>
          <w:bCs/>
          <w:sz w:val="20"/>
          <w:szCs w:val="20"/>
        </w:rPr>
      </w:pPr>
    </w:p>
    <w:p w14:paraId="2A575B3D" w14:textId="637C830B" w:rsidR="3E6C7172" w:rsidRPr="00BC54D1" w:rsidRDefault="3E6C7172" w:rsidP="3E6C7172">
      <w:pPr>
        <w:jc w:val="both"/>
        <w:rPr>
          <w:rFonts w:ascii="Times New Roman" w:hAnsi="Times New Roman"/>
          <w:b/>
          <w:bCs/>
        </w:rPr>
      </w:pPr>
    </w:p>
    <w:p w14:paraId="730FE003" w14:textId="48764177" w:rsidR="00732A21" w:rsidRPr="00BC54D1" w:rsidRDefault="00732A21" w:rsidP="00732A21">
      <w:pPr>
        <w:jc w:val="both"/>
        <w:rPr>
          <w:rFonts w:ascii="Times New Roman" w:hAnsi="Times New Roman"/>
          <w:sz w:val="20"/>
          <w:szCs w:val="20"/>
        </w:rPr>
      </w:pPr>
      <w:r w:rsidRPr="00BC54D1">
        <w:rPr>
          <w:rFonts w:ascii="Times New Roman" w:hAnsi="Times New Roman"/>
          <w:b/>
          <w:bCs/>
        </w:rPr>
        <w:lastRenderedPageBreak/>
        <w:t xml:space="preserve">Table </w:t>
      </w:r>
      <w:r w:rsidR="00DD56F2" w:rsidRPr="00BC54D1">
        <w:rPr>
          <w:rFonts w:ascii="Times New Roman" w:hAnsi="Times New Roman"/>
          <w:b/>
          <w:bCs/>
        </w:rPr>
        <w:t>IV</w:t>
      </w:r>
      <w:r w:rsidRPr="00BC54D1">
        <w:rPr>
          <w:rFonts w:ascii="Times New Roman" w:hAnsi="Times New Roman"/>
          <w:b/>
          <w:bCs/>
        </w:rPr>
        <w:t>: Firm Listing Status (Private vs Public) and Research &amp; Development (R&amp;D) Intensity</w:t>
      </w:r>
      <w:r w:rsidRPr="00BC54D1">
        <w:rPr>
          <w:rFonts w:ascii="Times New Roman" w:hAnsi="Times New Roman"/>
          <w:sz w:val="20"/>
          <w:szCs w:val="20"/>
        </w:rPr>
        <w:t xml:space="preserve"> </w:t>
      </w:r>
    </w:p>
    <w:tbl>
      <w:tblPr>
        <w:tblW w:w="10374" w:type="dxa"/>
        <w:tblLayout w:type="fixed"/>
        <w:tblLook w:val="0000" w:firstRow="0" w:lastRow="0" w:firstColumn="0" w:lastColumn="0" w:noHBand="0" w:noVBand="0"/>
      </w:tblPr>
      <w:tblGrid>
        <w:gridCol w:w="850"/>
        <w:gridCol w:w="1814"/>
        <w:gridCol w:w="1531"/>
        <w:gridCol w:w="1644"/>
        <w:gridCol w:w="1587"/>
        <w:gridCol w:w="1531"/>
        <w:gridCol w:w="1417"/>
      </w:tblGrid>
      <w:tr w:rsidR="00BC54D1" w:rsidRPr="00BC54D1" w14:paraId="39C14D17" w14:textId="77777777" w:rsidTr="00732A21">
        <w:tc>
          <w:tcPr>
            <w:tcW w:w="850" w:type="dxa"/>
            <w:tcBorders>
              <w:top w:val="single" w:sz="4" w:space="0" w:color="auto"/>
              <w:left w:val="nil"/>
              <w:bottom w:val="nil"/>
              <w:right w:val="nil"/>
            </w:tcBorders>
          </w:tcPr>
          <w:p w14:paraId="4311BF49" w14:textId="77777777" w:rsidR="00732A21" w:rsidRPr="00BC54D1" w:rsidRDefault="00732A21" w:rsidP="00732A21">
            <w:pPr>
              <w:widowControl w:val="0"/>
              <w:autoSpaceDE w:val="0"/>
              <w:autoSpaceDN w:val="0"/>
              <w:adjustRightInd w:val="0"/>
              <w:rPr>
                <w:rFonts w:ascii="Times New Roman" w:hAnsi="Times New Roman"/>
                <w:b/>
                <w:bCs/>
                <w:sz w:val="18"/>
                <w:szCs w:val="18"/>
              </w:rPr>
            </w:pPr>
          </w:p>
        </w:tc>
        <w:tc>
          <w:tcPr>
            <w:tcW w:w="1814" w:type="dxa"/>
            <w:tcBorders>
              <w:top w:val="single" w:sz="4" w:space="0" w:color="auto"/>
              <w:left w:val="nil"/>
              <w:bottom w:val="nil"/>
              <w:right w:val="nil"/>
            </w:tcBorders>
          </w:tcPr>
          <w:p w14:paraId="1AE43873" w14:textId="66497D1A"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w:t>
            </w:r>
            <w:r w:rsidR="00A8662C" w:rsidRPr="00BC54D1">
              <w:rPr>
                <w:rFonts w:ascii="Times New Roman" w:hAnsi="Times New Roman"/>
                <w:b/>
                <w:bCs/>
                <w:sz w:val="18"/>
                <w:szCs w:val="18"/>
              </w:rPr>
              <w:t>Model</w:t>
            </w:r>
            <w:r w:rsidRPr="00BC54D1">
              <w:rPr>
                <w:rFonts w:ascii="Times New Roman" w:hAnsi="Times New Roman"/>
                <w:b/>
                <w:bCs/>
                <w:sz w:val="18"/>
                <w:szCs w:val="18"/>
              </w:rPr>
              <w:t xml:space="preserve"> 1)</w:t>
            </w:r>
          </w:p>
        </w:tc>
        <w:tc>
          <w:tcPr>
            <w:tcW w:w="1531" w:type="dxa"/>
            <w:tcBorders>
              <w:top w:val="single" w:sz="4" w:space="0" w:color="auto"/>
              <w:left w:val="nil"/>
              <w:bottom w:val="nil"/>
              <w:right w:val="nil"/>
            </w:tcBorders>
          </w:tcPr>
          <w:p w14:paraId="405660F4" w14:textId="4351E9DC"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w:t>
            </w:r>
            <w:r w:rsidR="00A8662C" w:rsidRPr="00BC54D1">
              <w:rPr>
                <w:rFonts w:ascii="Times New Roman" w:hAnsi="Times New Roman"/>
                <w:b/>
                <w:bCs/>
                <w:sz w:val="18"/>
                <w:szCs w:val="18"/>
              </w:rPr>
              <w:t xml:space="preserve">Model </w:t>
            </w:r>
            <w:r w:rsidRPr="00BC54D1">
              <w:rPr>
                <w:rFonts w:ascii="Times New Roman" w:hAnsi="Times New Roman"/>
                <w:b/>
                <w:bCs/>
                <w:sz w:val="18"/>
                <w:szCs w:val="18"/>
              </w:rPr>
              <w:t>2)</w:t>
            </w:r>
          </w:p>
        </w:tc>
        <w:tc>
          <w:tcPr>
            <w:tcW w:w="1644" w:type="dxa"/>
            <w:tcBorders>
              <w:top w:val="single" w:sz="4" w:space="0" w:color="auto"/>
              <w:left w:val="nil"/>
              <w:bottom w:val="nil"/>
              <w:right w:val="nil"/>
            </w:tcBorders>
          </w:tcPr>
          <w:p w14:paraId="4CD24DED" w14:textId="38857BDB"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w:t>
            </w:r>
            <w:r w:rsidR="00A8662C" w:rsidRPr="00BC54D1">
              <w:rPr>
                <w:rFonts w:ascii="Times New Roman" w:hAnsi="Times New Roman"/>
                <w:b/>
                <w:bCs/>
                <w:sz w:val="18"/>
                <w:szCs w:val="18"/>
              </w:rPr>
              <w:t>Model</w:t>
            </w:r>
            <w:r w:rsidRPr="00BC54D1">
              <w:rPr>
                <w:rFonts w:ascii="Times New Roman" w:hAnsi="Times New Roman"/>
                <w:b/>
                <w:bCs/>
                <w:sz w:val="18"/>
                <w:szCs w:val="18"/>
              </w:rPr>
              <w:t xml:space="preserve"> 3)</w:t>
            </w:r>
          </w:p>
        </w:tc>
        <w:tc>
          <w:tcPr>
            <w:tcW w:w="1587" w:type="dxa"/>
            <w:tcBorders>
              <w:top w:val="single" w:sz="4" w:space="0" w:color="auto"/>
              <w:left w:val="nil"/>
              <w:bottom w:val="nil"/>
              <w:right w:val="nil"/>
            </w:tcBorders>
          </w:tcPr>
          <w:p w14:paraId="3B045C68" w14:textId="73ED5FB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w:t>
            </w:r>
            <w:r w:rsidR="00A8662C" w:rsidRPr="00BC54D1">
              <w:rPr>
                <w:rFonts w:ascii="Times New Roman" w:hAnsi="Times New Roman"/>
                <w:b/>
                <w:bCs/>
                <w:sz w:val="18"/>
                <w:szCs w:val="18"/>
              </w:rPr>
              <w:t>Model</w:t>
            </w:r>
            <w:r w:rsidRPr="00BC54D1">
              <w:rPr>
                <w:rFonts w:ascii="Times New Roman" w:hAnsi="Times New Roman"/>
                <w:b/>
                <w:bCs/>
                <w:sz w:val="18"/>
                <w:szCs w:val="18"/>
              </w:rPr>
              <w:t xml:space="preserve"> 4)</w:t>
            </w:r>
          </w:p>
        </w:tc>
        <w:tc>
          <w:tcPr>
            <w:tcW w:w="1531" w:type="dxa"/>
            <w:tcBorders>
              <w:top w:val="single" w:sz="4" w:space="0" w:color="auto"/>
              <w:left w:val="nil"/>
              <w:bottom w:val="nil"/>
              <w:right w:val="nil"/>
            </w:tcBorders>
          </w:tcPr>
          <w:p w14:paraId="3159DD6B" w14:textId="0629FAC8"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w:t>
            </w:r>
            <w:r w:rsidR="00E02976" w:rsidRPr="00BC54D1">
              <w:rPr>
                <w:rFonts w:ascii="Times New Roman" w:hAnsi="Times New Roman"/>
                <w:b/>
                <w:bCs/>
                <w:sz w:val="18"/>
                <w:szCs w:val="18"/>
              </w:rPr>
              <w:t>Model</w:t>
            </w:r>
            <w:r w:rsidRPr="00BC54D1">
              <w:rPr>
                <w:rFonts w:ascii="Times New Roman" w:hAnsi="Times New Roman"/>
                <w:b/>
                <w:bCs/>
                <w:sz w:val="18"/>
                <w:szCs w:val="18"/>
              </w:rPr>
              <w:t xml:space="preserve"> 5)</w:t>
            </w:r>
          </w:p>
        </w:tc>
        <w:tc>
          <w:tcPr>
            <w:tcW w:w="1417" w:type="dxa"/>
            <w:tcBorders>
              <w:top w:val="single" w:sz="4" w:space="0" w:color="auto"/>
              <w:left w:val="nil"/>
              <w:bottom w:val="nil"/>
              <w:right w:val="nil"/>
            </w:tcBorders>
          </w:tcPr>
          <w:p w14:paraId="5F903154" w14:textId="52306658"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w:t>
            </w:r>
            <w:r w:rsidR="00C75436" w:rsidRPr="00BC54D1">
              <w:rPr>
                <w:rFonts w:ascii="Times New Roman" w:hAnsi="Times New Roman"/>
                <w:b/>
                <w:bCs/>
                <w:sz w:val="18"/>
                <w:szCs w:val="18"/>
              </w:rPr>
              <w:t>Model</w:t>
            </w:r>
            <w:r w:rsidRPr="00BC54D1">
              <w:rPr>
                <w:rFonts w:ascii="Times New Roman" w:hAnsi="Times New Roman"/>
                <w:b/>
                <w:bCs/>
                <w:sz w:val="18"/>
                <w:szCs w:val="18"/>
              </w:rPr>
              <w:t xml:space="preserve"> 6)</w:t>
            </w:r>
          </w:p>
        </w:tc>
      </w:tr>
      <w:tr w:rsidR="00BC54D1" w:rsidRPr="00BC54D1" w14:paraId="257AF467" w14:textId="77777777" w:rsidTr="00732A21">
        <w:tc>
          <w:tcPr>
            <w:tcW w:w="850" w:type="dxa"/>
            <w:tcBorders>
              <w:top w:val="nil"/>
              <w:left w:val="nil"/>
              <w:bottom w:val="nil"/>
              <w:right w:val="nil"/>
            </w:tcBorders>
          </w:tcPr>
          <w:p w14:paraId="47B74292" w14:textId="77777777" w:rsidR="00732A21" w:rsidRPr="00BC54D1" w:rsidRDefault="00732A21" w:rsidP="00732A21">
            <w:pPr>
              <w:widowControl w:val="0"/>
              <w:autoSpaceDE w:val="0"/>
              <w:autoSpaceDN w:val="0"/>
              <w:adjustRightInd w:val="0"/>
              <w:rPr>
                <w:rFonts w:ascii="Times New Roman" w:hAnsi="Times New Roman"/>
                <w:b/>
                <w:bCs/>
                <w:sz w:val="18"/>
                <w:szCs w:val="18"/>
              </w:rPr>
            </w:pPr>
          </w:p>
        </w:tc>
        <w:tc>
          <w:tcPr>
            <w:tcW w:w="1814" w:type="dxa"/>
            <w:tcBorders>
              <w:top w:val="nil"/>
              <w:left w:val="nil"/>
              <w:bottom w:val="nil"/>
              <w:right w:val="nil"/>
            </w:tcBorders>
          </w:tcPr>
          <w:p w14:paraId="5C81C55C"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proofErr w:type="spellStart"/>
            <w:r w:rsidRPr="00BC54D1">
              <w:rPr>
                <w:rFonts w:ascii="Times New Roman" w:hAnsi="Times New Roman"/>
                <w:b/>
                <w:bCs/>
                <w:sz w:val="18"/>
                <w:szCs w:val="18"/>
              </w:rPr>
              <w:t>R&amp;D_Intensity</w:t>
            </w:r>
            <w:proofErr w:type="spellEnd"/>
          </w:p>
        </w:tc>
        <w:tc>
          <w:tcPr>
            <w:tcW w:w="1531" w:type="dxa"/>
            <w:tcBorders>
              <w:top w:val="nil"/>
              <w:left w:val="nil"/>
              <w:bottom w:val="nil"/>
              <w:right w:val="nil"/>
            </w:tcBorders>
          </w:tcPr>
          <w:p w14:paraId="797D50F5"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proofErr w:type="spellStart"/>
            <w:r w:rsidRPr="00BC54D1">
              <w:rPr>
                <w:rFonts w:ascii="Times New Roman" w:hAnsi="Times New Roman"/>
                <w:b/>
                <w:bCs/>
                <w:sz w:val="18"/>
                <w:szCs w:val="18"/>
              </w:rPr>
              <w:t>R&amp;D_Intensity</w:t>
            </w:r>
            <w:proofErr w:type="spellEnd"/>
          </w:p>
        </w:tc>
        <w:tc>
          <w:tcPr>
            <w:tcW w:w="1644" w:type="dxa"/>
            <w:tcBorders>
              <w:top w:val="nil"/>
              <w:left w:val="nil"/>
              <w:bottom w:val="nil"/>
              <w:right w:val="nil"/>
            </w:tcBorders>
          </w:tcPr>
          <w:p w14:paraId="5797AE7B"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proofErr w:type="spellStart"/>
            <w:r w:rsidRPr="00BC54D1">
              <w:rPr>
                <w:rFonts w:ascii="Times New Roman" w:hAnsi="Times New Roman"/>
                <w:b/>
                <w:bCs/>
                <w:sz w:val="18"/>
                <w:szCs w:val="18"/>
              </w:rPr>
              <w:t>R&amp;D_Intensity</w:t>
            </w:r>
            <w:proofErr w:type="spellEnd"/>
          </w:p>
        </w:tc>
        <w:tc>
          <w:tcPr>
            <w:tcW w:w="1587" w:type="dxa"/>
            <w:tcBorders>
              <w:top w:val="nil"/>
              <w:left w:val="nil"/>
              <w:bottom w:val="nil"/>
              <w:right w:val="nil"/>
            </w:tcBorders>
          </w:tcPr>
          <w:p w14:paraId="710D78AD"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proofErr w:type="spellStart"/>
            <w:r w:rsidRPr="00BC54D1">
              <w:rPr>
                <w:rFonts w:ascii="Times New Roman" w:hAnsi="Times New Roman"/>
                <w:b/>
                <w:bCs/>
                <w:sz w:val="18"/>
                <w:szCs w:val="18"/>
              </w:rPr>
              <w:t>R&amp;D_Intensity</w:t>
            </w:r>
            <w:proofErr w:type="spellEnd"/>
          </w:p>
        </w:tc>
        <w:tc>
          <w:tcPr>
            <w:tcW w:w="1531" w:type="dxa"/>
            <w:tcBorders>
              <w:top w:val="nil"/>
              <w:left w:val="nil"/>
              <w:bottom w:val="nil"/>
              <w:right w:val="nil"/>
            </w:tcBorders>
          </w:tcPr>
          <w:p w14:paraId="2CDB7671" w14:textId="2E9DF6C6"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R&amp;D</w:t>
            </w:r>
            <w:r w:rsidR="00E02976" w:rsidRPr="00BC54D1">
              <w:rPr>
                <w:rFonts w:ascii="Times New Roman" w:hAnsi="Times New Roman"/>
                <w:b/>
                <w:bCs/>
                <w:sz w:val="18"/>
                <w:szCs w:val="18"/>
              </w:rPr>
              <w:t xml:space="preserve"> </w:t>
            </w:r>
            <w:r w:rsidR="00075E26" w:rsidRPr="00BC54D1">
              <w:rPr>
                <w:rFonts w:ascii="Times New Roman" w:hAnsi="Times New Roman"/>
                <w:b/>
                <w:bCs/>
                <w:sz w:val="18"/>
                <w:szCs w:val="18"/>
              </w:rPr>
              <w:t>R</w:t>
            </w:r>
            <w:r w:rsidR="00E02976" w:rsidRPr="00BC54D1">
              <w:rPr>
                <w:rFonts w:ascii="Times New Roman" w:hAnsi="Times New Roman"/>
                <w:b/>
                <w:bCs/>
                <w:sz w:val="18"/>
                <w:szCs w:val="18"/>
              </w:rPr>
              <w:t>atio</w:t>
            </w:r>
          </w:p>
        </w:tc>
        <w:tc>
          <w:tcPr>
            <w:tcW w:w="1417" w:type="dxa"/>
            <w:tcBorders>
              <w:top w:val="nil"/>
              <w:left w:val="nil"/>
              <w:bottom w:val="nil"/>
              <w:right w:val="nil"/>
            </w:tcBorders>
          </w:tcPr>
          <w:p w14:paraId="7A5B8E9C" w14:textId="7D10C412"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R&amp;D</w:t>
            </w:r>
            <w:r w:rsidR="00E02976" w:rsidRPr="00BC54D1">
              <w:rPr>
                <w:rFonts w:ascii="Times New Roman" w:hAnsi="Times New Roman"/>
                <w:b/>
                <w:bCs/>
                <w:sz w:val="18"/>
                <w:szCs w:val="18"/>
              </w:rPr>
              <w:t xml:space="preserve"> </w:t>
            </w:r>
            <w:r w:rsidR="00075E26" w:rsidRPr="00BC54D1">
              <w:rPr>
                <w:rFonts w:ascii="Times New Roman" w:hAnsi="Times New Roman"/>
                <w:b/>
                <w:bCs/>
                <w:sz w:val="18"/>
                <w:szCs w:val="18"/>
              </w:rPr>
              <w:t>R</w:t>
            </w:r>
            <w:r w:rsidR="00E02976" w:rsidRPr="00BC54D1">
              <w:rPr>
                <w:rFonts w:ascii="Times New Roman" w:hAnsi="Times New Roman"/>
                <w:b/>
                <w:bCs/>
                <w:sz w:val="18"/>
                <w:szCs w:val="18"/>
              </w:rPr>
              <w:t>atio</w:t>
            </w:r>
          </w:p>
        </w:tc>
      </w:tr>
      <w:tr w:rsidR="00BC54D1" w:rsidRPr="00BC54D1" w14:paraId="377F47A2" w14:textId="77777777" w:rsidTr="00732A21">
        <w:tc>
          <w:tcPr>
            <w:tcW w:w="850" w:type="dxa"/>
            <w:tcBorders>
              <w:top w:val="single" w:sz="4" w:space="0" w:color="auto"/>
              <w:left w:val="nil"/>
              <w:bottom w:val="nil"/>
              <w:right w:val="nil"/>
            </w:tcBorders>
          </w:tcPr>
          <w:p w14:paraId="78FEE576"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single" w:sz="4" w:space="0" w:color="auto"/>
              <w:left w:val="nil"/>
              <w:bottom w:val="nil"/>
              <w:right w:val="nil"/>
            </w:tcBorders>
          </w:tcPr>
          <w:p w14:paraId="65B5DC19"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single" w:sz="4" w:space="0" w:color="auto"/>
              <w:left w:val="nil"/>
              <w:bottom w:val="nil"/>
              <w:right w:val="nil"/>
            </w:tcBorders>
          </w:tcPr>
          <w:p w14:paraId="0CC98B38"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644" w:type="dxa"/>
            <w:tcBorders>
              <w:top w:val="single" w:sz="4" w:space="0" w:color="auto"/>
              <w:left w:val="nil"/>
              <w:bottom w:val="nil"/>
              <w:right w:val="nil"/>
            </w:tcBorders>
          </w:tcPr>
          <w:p w14:paraId="2AEE988B"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single" w:sz="4" w:space="0" w:color="auto"/>
              <w:left w:val="nil"/>
              <w:bottom w:val="nil"/>
              <w:right w:val="nil"/>
            </w:tcBorders>
          </w:tcPr>
          <w:p w14:paraId="1E5EE4FD"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single" w:sz="4" w:space="0" w:color="auto"/>
              <w:left w:val="nil"/>
              <w:bottom w:val="nil"/>
              <w:right w:val="nil"/>
            </w:tcBorders>
          </w:tcPr>
          <w:p w14:paraId="3983853E"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single" w:sz="4" w:space="0" w:color="auto"/>
              <w:left w:val="nil"/>
              <w:bottom w:val="nil"/>
              <w:right w:val="nil"/>
            </w:tcBorders>
          </w:tcPr>
          <w:p w14:paraId="059B725F"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r>
      <w:tr w:rsidR="00BC54D1" w:rsidRPr="00BC54D1" w14:paraId="6ABDBF70" w14:textId="77777777" w:rsidTr="00732A21">
        <w:tc>
          <w:tcPr>
            <w:tcW w:w="850" w:type="dxa"/>
            <w:tcBorders>
              <w:top w:val="nil"/>
              <w:left w:val="nil"/>
              <w:bottom w:val="nil"/>
              <w:right w:val="nil"/>
            </w:tcBorders>
          </w:tcPr>
          <w:p w14:paraId="28EBD045" w14:textId="77777777" w:rsidR="00732A21" w:rsidRPr="00BC54D1" w:rsidRDefault="00732A21" w:rsidP="00732A21">
            <w:pPr>
              <w:widowControl w:val="0"/>
              <w:autoSpaceDE w:val="0"/>
              <w:autoSpaceDN w:val="0"/>
              <w:adjustRightInd w:val="0"/>
              <w:rPr>
                <w:rFonts w:ascii="Times New Roman" w:hAnsi="Times New Roman"/>
                <w:sz w:val="18"/>
                <w:szCs w:val="18"/>
              </w:rPr>
            </w:pPr>
            <w:r w:rsidRPr="00BC54D1">
              <w:rPr>
                <w:rFonts w:ascii="Times New Roman" w:hAnsi="Times New Roman"/>
                <w:sz w:val="18"/>
                <w:szCs w:val="18"/>
              </w:rPr>
              <w:t>PRIV</w:t>
            </w:r>
          </w:p>
        </w:tc>
        <w:tc>
          <w:tcPr>
            <w:tcW w:w="1814" w:type="dxa"/>
            <w:tcBorders>
              <w:top w:val="nil"/>
              <w:left w:val="nil"/>
              <w:bottom w:val="nil"/>
              <w:right w:val="nil"/>
            </w:tcBorders>
          </w:tcPr>
          <w:p w14:paraId="79A1A64D"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-1.338</w:t>
            </w:r>
            <w:r w:rsidRPr="00BC54D1">
              <w:rPr>
                <w:rFonts w:ascii="Times New Roman" w:hAnsi="Times New Roman"/>
                <w:sz w:val="18"/>
                <w:szCs w:val="18"/>
                <w:vertAlign w:val="superscript"/>
              </w:rPr>
              <w:t>***</w:t>
            </w:r>
          </w:p>
        </w:tc>
        <w:tc>
          <w:tcPr>
            <w:tcW w:w="1531" w:type="dxa"/>
            <w:tcBorders>
              <w:top w:val="nil"/>
              <w:left w:val="nil"/>
              <w:bottom w:val="nil"/>
              <w:right w:val="nil"/>
            </w:tcBorders>
          </w:tcPr>
          <w:p w14:paraId="4975E3DD"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-1.229</w:t>
            </w:r>
            <w:r w:rsidRPr="00BC54D1">
              <w:rPr>
                <w:rFonts w:ascii="Times New Roman" w:hAnsi="Times New Roman"/>
                <w:sz w:val="18"/>
                <w:szCs w:val="18"/>
                <w:vertAlign w:val="superscript"/>
              </w:rPr>
              <w:t>***</w:t>
            </w:r>
          </w:p>
        </w:tc>
        <w:tc>
          <w:tcPr>
            <w:tcW w:w="1644" w:type="dxa"/>
            <w:tcBorders>
              <w:top w:val="nil"/>
              <w:left w:val="nil"/>
              <w:bottom w:val="nil"/>
              <w:right w:val="nil"/>
            </w:tcBorders>
          </w:tcPr>
          <w:p w14:paraId="4AB373EB"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-2.656</w:t>
            </w:r>
            <w:r w:rsidRPr="00BC54D1">
              <w:rPr>
                <w:rFonts w:ascii="Times New Roman" w:hAnsi="Times New Roman"/>
                <w:sz w:val="18"/>
                <w:szCs w:val="18"/>
                <w:vertAlign w:val="superscript"/>
              </w:rPr>
              <w:t>***</w:t>
            </w:r>
          </w:p>
        </w:tc>
        <w:tc>
          <w:tcPr>
            <w:tcW w:w="1587" w:type="dxa"/>
            <w:tcBorders>
              <w:top w:val="nil"/>
              <w:left w:val="nil"/>
              <w:bottom w:val="nil"/>
              <w:right w:val="nil"/>
            </w:tcBorders>
          </w:tcPr>
          <w:p w14:paraId="6172E805"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-2.304</w:t>
            </w:r>
            <w:r w:rsidRPr="00BC54D1">
              <w:rPr>
                <w:rFonts w:ascii="Times New Roman" w:hAnsi="Times New Roman"/>
                <w:sz w:val="18"/>
                <w:szCs w:val="18"/>
                <w:vertAlign w:val="superscript"/>
              </w:rPr>
              <w:t>***</w:t>
            </w:r>
          </w:p>
        </w:tc>
        <w:tc>
          <w:tcPr>
            <w:tcW w:w="1531" w:type="dxa"/>
            <w:tcBorders>
              <w:top w:val="nil"/>
              <w:left w:val="nil"/>
              <w:bottom w:val="nil"/>
              <w:right w:val="nil"/>
            </w:tcBorders>
          </w:tcPr>
          <w:p w14:paraId="103BE601"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-0.017</w:t>
            </w:r>
            <w:r w:rsidRPr="00BC54D1">
              <w:rPr>
                <w:rFonts w:ascii="Times New Roman" w:hAnsi="Times New Roman"/>
                <w:sz w:val="18"/>
                <w:szCs w:val="18"/>
                <w:vertAlign w:val="superscript"/>
              </w:rPr>
              <w:t>***</w:t>
            </w:r>
          </w:p>
        </w:tc>
        <w:tc>
          <w:tcPr>
            <w:tcW w:w="1417" w:type="dxa"/>
            <w:tcBorders>
              <w:top w:val="nil"/>
              <w:left w:val="nil"/>
              <w:bottom w:val="nil"/>
              <w:right w:val="nil"/>
            </w:tcBorders>
          </w:tcPr>
          <w:p w14:paraId="64F37433"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-0.013</w:t>
            </w:r>
            <w:r w:rsidRPr="00BC54D1">
              <w:rPr>
                <w:rFonts w:ascii="Times New Roman" w:hAnsi="Times New Roman"/>
                <w:sz w:val="18"/>
                <w:szCs w:val="18"/>
                <w:vertAlign w:val="superscript"/>
              </w:rPr>
              <w:t>***</w:t>
            </w:r>
          </w:p>
        </w:tc>
      </w:tr>
      <w:tr w:rsidR="00BC54D1" w:rsidRPr="00BC54D1" w14:paraId="51C77B19" w14:textId="77777777" w:rsidTr="00732A21">
        <w:tc>
          <w:tcPr>
            <w:tcW w:w="850" w:type="dxa"/>
            <w:tcBorders>
              <w:top w:val="nil"/>
              <w:left w:val="nil"/>
              <w:bottom w:val="nil"/>
              <w:right w:val="nil"/>
            </w:tcBorders>
          </w:tcPr>
          <w:p w14:paraId="0C660FA5"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4272EC42"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(-42.18)</w:t>
            </w:r>
          </w:p>
        </w:tc>
        <w:tc>
          <w:tcPr>
            <w:tcW w:w="1531" w:type="dxa"/>
            <w:tcBorders>
              <w:top w:val="nil"/>
              <w:left w:val="nil"/>
              <w:bottom w:val="nil"/>
              <w:right w:val="nil"/>
            </w:tcBorders>
          </w:tcPr>
          <w:p w14:paraId="4DDE661C"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(-26.79)</w:t>
            </w:r>
          </w:p>
        </w:tc>
        <w:tc>
          <w:tcPr>
            <w:tcW w:w="1644" w:type="dxa"/>
            <w:tcBorders>
              <w:top w:val="nil"/>
              <w:left w:val="nil"/>
              <w:bottom w:val="nil"/>
              <w:right w:val="nil"/>
            </w:tcBorders>
          </w:tcPr>
          <w:p w14:paraId="68001A9C"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(-41.50)</w:t>
            </w:r>
          </w:p>
        </w:tc>
        <w:tc>
          <w:tcPr>
            <w:tcW w:w="1587" w:type="dxa"/>
            <w:tcBorders>
              <w:top w:val="nil"/>
              <w:left w:val="nil"/>
              <w:bottom w:val="nil"/>
              <w:right w:val="nil"/>
            </w:tcBorders>
          </w:tcPr>
          <w:p w14:paraId="6709B5BA"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(-25.56)</w:t>
            </w:r>
          </w:p>
        </w:tc>
        <w:tc>
          <w:tcPr>
            <w:tcW w:w="1531" w:type="dxa"/>
            <w:tcBorders>
              <w:top w:val="nil"/>
              <w:left w:val="nil"/>
              <w:bottom w:val="nil"/>
              <w:right w:val="nil"/>
            </w:tcBorders>
          </w:tcPr>
          <w:p w14:paraId="7A8D7F5A"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(-12.72)</w:t>
            </w:r>
          </w:p>
        </w:tc>
        <w:tc>
          <w:tcPr>
            <w:tcW w:w="1417" w:type="dxa"/>
            <w:tcBorders>
              <w:top w:val="nil"/>
              <w:left w:val="nil"/>
              <w:bottom w:val="nil"/>
              <w:right w:val="nil"/>
            </w:tcBorders>
          </w:tcPr>
          <w:p w14:paraId="215B9748"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(-7.95)</w:t>
            </w:r>
          </w:p>
        </w:tc>
      </w:tr>
      <w:tr w:rsidR="00BC54D1" w:rsidRPr="00BC54D1" w14:paraId="0CD7604B" w14:textId="77777777" w:rsidTr="00732A21">
        <w:tc>
          <w:tcPr>
            <w:tcW w:w="850" w:type="dxa"/>
            <w:tcBorders>
              <w:top w:val="nil"/>
              <w:left w:val="nil"/>
              <w:bottom w:val="nil"/>
              <w:right w:val="nil"/>
            </w:tcBorders>
          </w:tcPr>
          <w:p w14:paraId="6CCA5508"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292D03C7"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3EF6A41D"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644" w:type="dxa"/>
            <w:tcBorders>
              <w:top w:val="nil"/>
              <w:left w:val="nil"/>
              <w:bottom w:val="nil"/>
              <w:right w:val="nil"/>
            </w:tcBorders>
          </w:tcPr>
          <w:p w14:paraId="1702B691"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87" w:type="dxa"/>
            <w:tcBorders>
              <w:top w:val="nil"/>
              <w:left w:val="nil"/>
              <w:bottom w:val="nil"/>
              <w:right w:val="nil"/>
            </w:tcBorders>
          </w:tcPr>
          <w:p w14:paraId="5E229DD5"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710DE751"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417" w:type="dxa"/>
            <w:tcBorders>
              <w:top w:val="nil"/>
              <w:left w:val="nil"/>
              <w:bottom w:val="nil"/>
              <w:right w:val="nil"/>
            </w:tcBorders>
          </w:tcPr>
          <w:p w14:paraId="3D7000B1" w14:textId="77777777" w:rsidR="00732A21" w:rsidRPr="00BC54D1" w:rsidRDefault="00732A21" w:rsidP="00732A21">
            <w:pPr>
              <w:widowControl w:val="0"/>
              <w:autoSpaceDE w:val="0"/>
              <w:autoSpaceDN w:val="0"/>
              <w:adjustRightInd w:val="0"/>
              <w:rPr>
                <w:rFonts w:ascii="Times New Roman" w:hAnsi="Times New Roman"/>
                <w:sz w:val="18"/>
                <w:szCs w:val="18"/>
              </w:rPr>
            </w:pPr>
          </w:p>
        </w:tc>
      </w:tr>
      <w:tr w:rsidR="00BC54D1" w:rsidRPr="00BC54D1" w14:paraId="33DD4688" w14:textId="77777777" w:rsidTr="00732A21">
        <w:tc>
          <w:tcPr>
            <w:tcW w:w="850" w:type="dxa"/>
            <w:tcBorders>
              <w:top w:val="nil"/>
              <w:left w:val="nil"/>
              <w:bottom w:val="nil"/>
              <w:right w:val="nil"/>
            </w:tcBorders>
          </w:tcPr>
          <w:p w14:paraId="3D95D67E" w14:textId="77777777" w:rsidR="00732A21" w:rsidRPr="00BC54D1" w:rsidRDefault="00732A21" w:rsidP="00732A21">
            <w:pPr>
              <w:widowControl w:val="0"/>
              <w:autoSpaceDE w:val="0"/>
              <w:autoSpaceDN w:val="0"/>
              <w:adjustRightInd w:val="0"/>
              <w:rPr>
                <w:rFonts w:ascii="Times New Roman" w:hAnsi="Times New Roman"/>
                <w:sz w:val="18"/>
                <w:szCs w:val="18"/>
              </w:rPr>
            </w:pPr>
            <w:r w:rsidRPr="00BC54D1">
              <w:rPr>
                <w:rFonts w:ascii="Times New Roman" w:hAnsi="Times New Roman"/>
                <w:sz w:val="18"/>
                <w:szCs w:val="18"/>
              </w:rPr>
              <w:t>CF</w:t>
            </w:r>
          </w:p>
        </w:tc>
        <w:tc>
          <w:tcPr>
            <w:tcW w:w="1814" w:type="dxa"/>
            <w:tcBorders>
              <w:top w:val="nil"/>
              <w:left w:val="nil"/>
              <w:bottom w:val="nil"/>
              <w:right w:val="nil"/>
            </w:tcBorders>
          </w:tcPr>
          <w:p w14:paraId="385270EC"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4DC2DCB5"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0.144</w:t>
            </w:r>
            <w:r w:rsidRPr="00BC54D1">
              <w:rPr>
                <w:rFonts w:ascii="Times New Roman" w:hAnsi="Times New Roman"/>
                <w:sz w:val="18"/>
                <w:szCs w:val="18"/>
                <w:vertAlign w:val="superscript"/>
              </w:rPr>
              <w:t>**</w:t>
            </w:r>
          </w:p>
        </w:tc>
        <w:tc>
          <w:tcPr>
            <w:tcW w:w="1644" w:type="dxa"/>
            <w:tcBorders>
              <w:top w:val="nil"/>
              <w:left w:val="nil"/>
              <w:bottom w:val="nil"/>
              <w:right w:val="nil"/>
            </w:tcBorders>
          </w:tcPr>
          <w:p w14:paraId="4799F6D4"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789EEC24"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0.348</w:t>
            </w:r>
            <w:r w:rsidRPr="00BC54D1">
              <w:rPr>
                <w:rFonts w:ascii="Times New Roman" w:hAnsi="Times New Roman"/>
                <w:sz w:val="18"/>
                <w:szCs w:val="18"/>
                <w:vertAlign w:val="superscript"/>
              </w:rPr>
              <w:t>**</w:t>
            </w:r>
          </w:p>
        </w:tc>
        <w:tc>
          <w:tcPr>
            <w:tcW w:w="1531" w:type="dxa"/>
            <w:tcBorders>
              <w:top w:val="nil"/>
              <w:left w:val="nil"/>
              <w:bottom w:val="nil"/>
              <w:right w:val="nil"/>
            </w:tcBorders>
          </w:tcPr>
          <w:p w14:paraId="03D62C13"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4A658648"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-0.007</w:t>
            </w:r>
            <w:r w:rsidRPr="00BC54D1">
              <w:rPr>
                <w:rFonts w:ascii="Times New Roman" w:hAnsi="Times New Roman"/>
                <w:sz w:val="18"/>
                <w:szCs w:val="18"/>
                <w:vertAlign w:val="superscript"/>
              </w:rPr>
              <w:t>***</w:t>
            </w:r>
          </w:p>
        </w:tc>
      </w:tr>
      <w:tr w:rsidR="00BC54D1" w:rsidRPr="00BC54D1" w14:paraId="1C8C26BB" w14:textId="77777777" w:rsidTr="00732A21">
        <w:tc>
          <w:tcPr>
            <w:tcW w:w="850" w:type="dxa"/>
            <w:tcBorders>
              <w:top w:val="nil"/>
              <w:left w:val="nil"/>
              <w:bottom w:val="nil"/>
              <w:right w:val="nil"/>
            </w:tcBorders>
          </w:tcPr>
          <w:p w14:paraId="4AE7A918"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344EE7D1"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52201E8E"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(2.20)</w:t>
            </w:r>
          </w:p>
        </w:tc>
        <w:tc>
          <w:tcPr>
            <w:tcW w:w="1644" w:type="dxa"/>
            <w:tcBorders>
              <w:top w:val="nil"/>
              <w:left w:val="nil"/>
              <w:bottom w:val="nil"/>
              <w:right w:val="nil"/>
            </w:tcBorders>
          </w:tcPr>
          <w:p w14:paraId="3541216D"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1EAC2565"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(2.47)</w:t>
            </w:r>
          </w:p>
        </w:tc>
        <w:tc>
          <w:tcPr>
            <w:tcW w:w="1531" w:type="dxa"/>
            <w:tcBorders>
              <w:top w:val="nil"/>
              <w:left w:val="nil"/>
              <w:bottom w:val="nil"/>
              <w:right w:val="nil"/>
            </w:tcBorders>
          </w:tcPr>
          <w:p w14:paraId="4D236284"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61873F16"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(-5.52)</w:t>
            </w:r>
          </w:p>
        </w:tc>
      </w:tr>
      <w:tr w:rsidR="00BC54D1" w:rsidRPr="00BC54D1" w14:paraId="5F6733B7" w14:textId="77777777" w:rsidTr="00732A21">
        <w:tc>
          <w:tcPr>
            <w:tcW w:w="850" w:type="dxa"/>
            <w:tcBorders>
              <w:top w:val="nil"/>
              <w:left w:val="nil"/>
              <w:bottom w:val="nil"/>
              <w:right w:val="nil"/>
            </w:tcBorders>
          </w:tcPr>
          <w:p w14:paraId="47B69173"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41F6C77D"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334FD0AA"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644" w:type="dxa"/>
            <w:tcBorders>
              <w:top w:val="nil"/>
              <w:left w:val="nil"/>
              <w:bottom w:val="nil"/>
              <w:right w:val="nil"/>
            </w:tcBorders>
          </w:tcPr>
          <w:p w14:paraId="1804E3D3"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87" w:type="dxa"/>
            <w:tcBorders>
              <w:top w:val="nil"/>
              <w:left w:val="nil"/>
              <w:bottom w:val="nil"/>
              <w:right w:val="nil"/>
            </w:tcBorders>
          </w:tcPr>
          <w:p w14:paraId="0EA4D5DF"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64AD72AC"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417" w:type="dxa"/>
            <w:tcBorders>
              <w:top w:val="nil"/>
              <w:left w:val="nil"/>
              <w:bottom w:val="nil"/>
              <w:right w:val="nil"/>
            </w:tcBorders>
          </w:tcPr>
          <w:p w14:paraId="6D152632" w14:textId="77777777" w:rsidR="00732A21" w:rsidRPr="00BC54D1" w:rsidRDefault="00732A21" w:rsidP="00732A21">
            <w:pPr>
              <w:widowControl w:val="0"/>
              <w:autoSpaceDE w:val="0"/>
              <w:autoSpaceDN w:val="0"/>
              <w:adjustRightInd w:val="0"/>
              <w:rPr>
                <w:rFonts w:ascii="Times New Roman" w:hAnsi="Times New Roman"/>
                <w:sz w:val="18"/>
                <w:szCs w:val="18"/>
              </w:rPr>
            </w:pPr>
          </w:p>
        </w:tc>
      </w:tr>
      <w:tr w:rsidR="00BC54D1" w:rsidRPr="00BC54D1" w14:paraId="4BDB21E7" w14:textId="77777777" w:rsidTr="00732A21">
        <w:tc>
          <w:tcPr>
            <w:tcW w:w="850" w:type="dxa"/>
            <w:tcBorders>
              <w:top w:val="nil"/>
              <w:left w:val="nil"/>
              <w:bottom w:val="nil"/>
              <w:right w:val="nil"/>
            </w:tcBorders>
          </w:tcPr>
          <w:p w14:paraId="1537CE85" w14:textId="77777777" w:rsidR="00732A21" w:rsidRPr="00BC54D1" w:rsidRDefault="00732A21" w:rsidP="00732A21">
            <w:pPr>
              <w:widowControl w:val="0"/>
              <w:autoSpaceDE w:val="0"/>
              <w:autoSpaceDN w:val="0"/>
              <w:adjustRightInd w:val="0"/>
              <w:rPr>
                <w:rFonts w:ascii="Times New Roman" w:hAnsi="Times New Roman"/>
                <w:sz w:val="18"/>
                <w:szCs w:val="18"/>
              </w:rPr>
            </w:pPr>
            <w:r w:rsidRPr="00BC54D1">
              <w:rPr>
                <w:rFonts w:ascii="Times New Roman" w:hAnsi="Times New Roman"/>
                <w:sz w:val="18"/>
                <w:szCs w:val="18"/>
              </w:rPr>
              <w:t>SGR</w:t>
            </w:r>
          </w:p>
        </w:tc>
        <w:tc>
          <w:tcPr>
            <w:tcW w:w="1814" w:type="dxa"/>
            <w:tcBorders>
              <w:top w:val="nil"/>
              <w:left w:val="nil"/>
              <w:bottom w:val="nil"/>
              <w:right w:val="nil"/>
            </w:tcBorders>
          </w:tcPr>
          <w:p w14:paraId="18FA9265"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5FCEEA81"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0.244</w:t>
            </w:r>
            <w:r w:rsidRPr="00BC54D1">
              <w:rPr>
                <w:rFonts w:ascii="Times New Roman" w:hAnsi="Times New Roman"/>
                <w:sz w:val="18"/>
                <w:szCs w:val="18"/>
                <w:vertAlign w:val="superscript"/>
              </w:rPr>
              <w:t>**</w:t>
            </w:r>
          </w:p>
        </w:tc>
        <w:tc>
          <w:tcPr>
            <w:tcW w:w="1644" w:type="dxa"/>
            <w:tcBorders>
              <w:top w:val="nil"/>
              <w:left w:val="nil"/>
              <w:bottom w:val="nil"/>
              <w:right w:val="nil"/>
            </w:tcBorders>
          </w:tcPr>
          <w:p w14:paraId="20075173"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53CC628C"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0.494</w:t>
            </w:r>
            <w:r w:rsidRPr="00BC54D1">
              <w:rPr>
                <w:rFonts w:ascii="Times New Roman" w:hAnsi="Times New Roman"/>
                <w:sz w:val="18"/>
                <w:szCs w:val="18"/>
                <w:vertAlign w:val="superscript"/>
              </w:rPr>
              <w:t>**</w:t>
            </w:r>
          </w:p>
        </w:tc>
        <w:tc>
          <w:tcPr>
            <w:tcW w:w="1531" w:type="dxa"/>
            <w:tcBorders>
              <w:top w:val="nil"/>
              <w:left w:val="nil"/>
              <w:bottom w:val="nil"/>
              <w:right w:val="nil"/>
            </w:tcBorders>
          </w:tcPr>
          <w:p w14:paraId="62ED706C"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49FEB7B9"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0.002</w:t>
            </w:r>
            <w:r w:rsidRPr="00BC54D1">
              <w:rPr>
                <w:rFonts w:ascii="Times New Roman" w:hAnsi="Times New Roman"/>
                <w:sz w:val="18"/>
                <w:szCs w:val="18"/>
                <w:vertAlign w:val="superscript"/>
              </w:rPr>
              <w:t>***</w:t>
            </w:r>
          </w:p>
        </w:tc>
      </w:tr>
      <w:tr w:rsidR="00BC54D1" w:rsidRPr="00BC54D1" w14:paraId="3859B7F6" w14:textId="77777777" w:rsidTr="00732A21">
        <w:tc>
          <w:tcPr>
            <w:tcW w:w="850" w:type="dxa"/>
            <w:tcBorders>
              <w:top w:val="nil"/>
              <w:left w:val="nil"/>
              <w:bottom w:val="nil"/>
              <w:right w:val="nil"/>
            </w:tcBorders>
          </w:tcPr>
          <w:p w14:paraId="30B071C3"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7C090D51"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0250E792"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(2.08)</w:t>
            </w:r>
          </w:p>
        </w:tc>
        <w:tc>
          <w:tcPr>
            <w:tcW w:w="1644" w:type="dxa"/>
            <w:tcBorders>
              <w:top w:val="nil"/>
              <w:left w:val="nil"/>
              <w:bottom w:val="nil"/>
              <w:right w:val="nil"/>
            </w:tcBorders>
          </w:tcPr>
          <w:p w14:paraId="74D08B5A"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7F7EE831"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(2.05)</w:t>
            </w:r>
          </w:p>
        </w:tc>
        <w:tc>
          <w:tcPr>
            <w:tcW w:w="1531" w:type="dxa"/>
            <w:tcBorders>
              <w:top w:val="nil"/>
              <w:left w:val="nil"/>
              <w:bottom w:val="nil"/>
              <w:right w:val="nil"/>
            </w:tcBorders>
          </w:tcPr>
          <w:p w14:paraId="429E9151"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5839B175"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(2.83)</w:t>
            </w:r>
          </w:p>
        </w:tc>
      </w:tr>
      <w:tr w:rsidR="00BC54D1" w:rsidRPr="00BC54D1" w14:paraId="19B78585" w14:textId="77777777" w:rsidTr="00732A21">
        <w:tc>
          <w:tcPr>
            <w:tcW w:w="850" w:type="dxa"/>
            <w:tcBorders>
              <w:top w:val="nil"/>
              <w:left w:val="nil"/>
              <w:bottom w:val="nil"/>
              <w:right w:val="nil"/>
            </w:tcBorders>
          </w:tcPr>
          <w:p w14:paraId="64F325C4"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5EFCC264"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21BA6FA4"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644" w:type="dxa"/>
            <w:tcBorders>
              <w:top w:val="nil"/>
              <w:left w:val="nil"/>
              <w:bottom w:val="nil"/>
              <w:right w:val="nil"/>
            </w:tcBorders>
          </w:tcPr>
          <w:p w14:paraId="08599CFB"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87" w:type="dxa"/>
            <w:tcBorders>
              <w:top w:val="nil"/>
              <w:left w:val="nil"/>
              <w:bottom w:val="nil"/>
              <w:right w:val="nil"/>
            </w:tcBorders>
          </w:tcPr>
          <w:p w14:paraId="70E7F7B6"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0E16F99B"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417" w:type="dxa"/>
            <w:tcBorders>
              <w:top w:val="nil"/>
              <w:left w:val="nil"/>
              <w:bottom w:val="nil"/>
              <w:right w:val="nil"/>
            </w:tcBorders>
          </w:tcPr>
          <w:p w14:paraId="227265C9" w14:textId="77777777" w:rsidR="00732A21" w:rsidRPr="00BC54D1" w:rsidRDefault="00732A21" w:rsidP="00732A21">
            <w:pPr>
              <w:widowControl w:val="0"/>
              <w:autoSpaceDE w:val="0"/>
              <w:autoSpaceDN w:val="0"/>
              <w:adjustRightInd w:val="0"/>
              <w:rPr>
                <w:rFonts w:ascii="Times New Roman" w:hAnsi="Times New Roman"/>
                <w:sz w:val="18"/>
                <w:szCs w:val="18"/>
              </w:rPr>
            </w:pPr>
          </w:p>
        </w:tc>
      </w:tr>
      <w:tr w:rsidR="00BC54D1" w:rsidRPr="00BC54D1" w14:paraId="1B5ADBD7" w14:textId="77777777" w:rsidTr="00732A21">
        <w:tc>
          <w:tcPr>
            <w:tcW w:w="850" w:type="dxa"/>
            <w:tcBorders>
              <w:top w:val="nil"/>
              <w:left w:val="nil"/>
              <w:bottom w:val="nil"/>
              <w:right w:val="nil"/>
            </w:tcBorders>
          </w:tcPr>
          <w:p w14:paraId="308A0D51" w14:textId="77777777" w:rsidR="00732A21" w:rsidRPr="00BC54D1" w:rsidRDefault="00732A21" w:rsidP="00732A21">
            <w:pPr>
              <w:widowControl w:val="0"/>
              <w:autoSpaceDE w:val="0"/>
              <w:autoSpaceDN w:val="0"/>
              <w:adjustRightInd w:val="0"/>
              <w:rPr>
                <w:rFonts w:ascii="Times New Roman" w:hAnsi="Times New Roman"/>
                <w:sz w:val="18"/>
                <w:szCs w:val="18"/>
              </w:rPr>
            </w:pPr>
            <w:r w:rsidRPr="00BC54D1">
              <w:rPr>
                <w:rFonts w:ascii="Times New Roman" w:hAnsi="Times New Roman"/>
                <w:sz w:val="18"/>
                <w:szCs w:val="18"/>
              </w:rPr>
              <w:t>SZ</w:t>
            </w:r>
          </w:p>
        </w:tc>
        <w:tc>
          <w:tcPr>
            <w:tcW w:w="1814" w:type="dxa"/>
            <w:tcBorders>
              <w:top w:val="nil"/>
              <w:left w:val="nil"/>
              <w:bottom w:val="nil"/>
              <w:right w:val="nil"/>
            </w:tcBorders>
          </w:tcPr>
          <w:p w14:paraId="3B2DB9A3"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64377A8E"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0.201</w:t>
            </w:r>
            <w:r w:rsidRPr="00BC54D1">
              <w:rPr>
                <w:rFonts w:ascii="Times New Roman" w:hAnsi="Times New Roman"/>
                <w:sz w:val="18"/>
                <w:szCs w:val="18"/>
                <w:vertAlign w:val="superscript"/>
              </w:rPr>
              <w:t>***</w:t>
            </w:r>
          </w:p>
        </w:tc>
        <w:tc>
          <w:tcPr>
            <w:tcW w:w="1644" w:type="dxa"/>
            <w:tcBorders>
              <w:top w:val="nil"/>
              <w:left w:val="nil"/>
              <w:bottom w:val="nil"/>
              <w:right w:val="nil"/>
            </w:tcBorders>
          </w:tcPr>
          <w:p w14:paraId="3F657958"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32ED040E"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0.486</w:t>
            </w:r>
            <w:r w:rsidRPr="00BC54D1">
              <w:rPr>
                <w:rFonts w:ascii="Times New Roman" w:hAnsi="Times New Roman"/>
                <w:sz w:val="18"/>
                <w:szCs w:val="18"/>
                <w:vertAlign w:val="superscript"/>
              </w:rPr>
              <w:t>***</w:t>
            </w:r>
          </w:p>
        </w:tc>
        <w:tc>
          <w:tcPr>
            <w:tcW w:w="1531" w:type="dxa"/>
            <w:tcBorders>
              <w:top w:val="nil"/>
              <w:left w:val="nil"/>
              <w:bottom w:val="nil"/>
              <w:right w:val="nil"/>
            </w:tcBorders>
          </w:tcPr>
          <w:p w14:paraId="49C153D1"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18B964C0"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0.001</w:t>
            </w:r>
          </w:p>
        </w:tc>
      </w:tr>
      <w:tr w:rsidR="00BC54D1" w:rsidRPr="00BC54D1" w14:paraId="2D3BD07B" w14:textId="77777777" w:rsidTr="00732A21">
        <w:tc>
          <w:tcPr>
            <w:tcW w:w="850" w:type="dxa"/>
            <w:tcBorders>
              <w:top w:val="nil"/>
              <w:left w:val="nil"/>
              <w:bottom w:val="nil"/>
              <w:right w:val="nil"/>
            </w:tcBorders>
          </w:tcPr>
          <w:p w14:paraId="07B08287"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198C2A18"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3137A546"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(6.38)</w:t>
            </w:r>
          </w:p>
        </w:tc>
        <w:tc>
          <w:tcPr>
            <w:tcW w:w="1644" w:type="dxa"/>
            <w:tcBorders>
              <w:top w:val="nil"/>
              <w:left w:val="nil"/>
              <w:bottom w:val="nil"/>
              <w:right w:val="nil"/>
            </w:tcBorders>
          </w:tcPr>
          <w:p w14:paraId="3ECC3E01"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3C738275"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(7.35)</w:t>
            </w:r>
          </w:p>
        </w:tc>
        <w:tc>
          <w:tcPr>
            <w:tcW w:w="1531" w:type="dxa"/>
            <w:tcBorders>
              <w:top w:val="nil"/>
              <w:left w:val="nil"/>
              <w:bottom w:val="nil"/>
              <w:right w:val="nil"/>
            </w:tcBorders>
          </w:tcPr>
          <w:p w14:paraId="36609108"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31A8A12C"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(1.04)</w:t>
            </w:r>
          </w:p>
        </w:tc>
      </w:tr>
      <w:tr w:rsidR="00BC54D1" w:rsidRPr="00BC54D1" w14:paraId="02424A60" w14:textId="77777777" w:rsidTr="00732A21">
        <w:tc>
          <w:tcPr>
            <w:tcW w:w="850" w:type="dxa"/>
            <w:tcBorders>
              <w:top w:val="nil"/>
              <w:left w:val="nil"/>
              <w:bottom w:val="nil"/>
              <w:right w:val="nil"/>
            </w:tcBorders>
          </w:tcPr>
          <w:p w14:paraId="6AB9BAB3"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723C51D2"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0F1BDB9B"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644" w:type="dxa"/>
            <w:tcBorders>
              <w:top w:val="nil"/>
              <w:left w:val="nil"/>
              <w:bottom w:val="nil"/>
              <w:right w:val="nil"/>
            </w:tcBorders>
          </w:tcPr>
          <w:p w14:paraId="3AC47598"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87" w:type="dxa"/>
            <w:tcBorders>
              <w:top w:val="nil"/>
              <w:left w:val="nil"/>
              <w:bottom w:val="nil"/>
              <w:right w:val="nil"/>
            </w:tcBorders>
          </w:tcPr>
          <w:p w14:paraId="1DE0091C"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36CA3630"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417" w:type="dxa"/>
            <w:tcBorders>
              <w:top w:val="nil"/>
              <w:left w:val="nil"/>
              <w:bottom w:val="nil"/>
              <w:right w:val="nil"/>
            </w:tcBorders>
          </w:tcPr>
          <w:p w14:paraId="068DA010" w14:textId="77777777" w:rsidR="00732A21" w:rsidRPr="00BC54D1" w:rsidRDefault="00732A21" w:rsidP="00732A21">
            <w:pPr>
              <w:widowControl w:val="0"/>
              <w:autoSpaceDE w:val="0"/>
              <w:autoSpaceDN w:val="0"/>
              <w:adjustRightInd w:val="0"/>
              <w:rPr>
                <w:rFonts w:ascii="Times New Roman" w:hAnsi="Times New Roman"/>
                <w:sz w:val="18"/>
                <w:szCs w:val="18"/>
              </w:rPr>
            </w:pPr>
          </w:p>
        </w:tc>
      </w:tr>
      <w:tr w:rsidR="00BC54D1" w:rsidRPr="00BC54D1" w14:paraId="20202226" w14:textId="77777777" w:rsidTr="00732A21">
        <w:tc>
          <w:tcPr>
            <w:tcW w:w="850" w:type="dxa"/>
            <w:tcBorders>
              <w:top w:val="nil"/>
              <w:left w:val="nil"/>
              <w:bottom w:val="nil"/>
              <w:right w:val="nil"/>
            </w:tcBorders>
          </w:tcPr>
          <w:p w14:paraId="442C0012" w14:textId="77777777" w:rsidR="00732A21" w:rsidRPr="00BC54D1" w:rsidRDefault="00732A21" w:rsidP="00732A21">
            <w:pPr>
              <w:widowControl w:val="0"/>
              <w:autoSpaceDE w:val="0"/>
              <w:autoSpaceDN w:val="0"/>
              <w:adjustRightInd w:val="0"/>
              <w:rPr>
                <w:rFonts w:ascii="Times New Roman" w:hAnsi="Times New Roman"/>
                <w:sz w:val="18"/>
                <w:szCs w:val="18"/>
              </w:rPr>
            </w:pPr>
            <w:r w:rsidRPr="00BC54D1">
              <w:rPr>
                <w:rFonts w:ascii="Times New Roman" w:hAnsi="Times New Roman"/>
                <w:sz w:val="18"/>
                <w:szCs w:val="18"/>
              </w:rPr>
              <w:t>CH</w:t>
            </w:r>
          </w:p>
        </w:tc>
        <w:tc>
          <w:tcPr>
            <w:tcW w:w="1814" w:type="dxa"/>
            <w:tcBorders>
              <w:top w:val="nil"/>
              <w:left w:val="nil"/>
              <w:bottom w:val="nil"/>
              <w:right w:val="nil"/>
            </w:tcBorders>
          </w:tcPr>
          <w:p w14:paraId="670B790C"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3E2FAF48"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0.172</w:t>
            </w:r>
            <w:r w:rsidRPr="00BC54D1">
              <w:rPr>
                <w:rFonts w:ascii="Times New Roman" w:hAnsi="Times New Roman"/>
                <w:sz w:val="18"/>
                <w:szCs w:val="18"/>
                <w:vertAlign w:val="superscript"/>
              </w:rPr>
              <w:t>***</w:t>
            </w:r>
          </w:p>
        </w:tc>
        <w:tc>
          <w:tcPr>
            <w:tcW w:w="1644" w:type="dxa"/>
            <w:tcBorders>
              <w:top w:val="nil"/>
              <w:left w:val="nil"/>
              <w:bottom w:val="nil"/>
              <w:right w:val="nil"/>
            </w:tcBorders>
          </w:tcPr>
          <w:p w14:paraId="4664228A"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0A8DE99E"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0.331</w:t>
            </w:r>
            <w:r w:rsidRPr="00BC54D1">
              <w:rPr>
                <w:rFonts w:ascii="Times New Roman" w:hAnsi="Times New Roman"/>
                <w:sz w:val="18"/>
                <w:szCs w:val="18"/>
                <w:vertAlign w:val="superscript"/>
              </w:rPr>
              <w:t>***</w:t>
            </w:r>
          </w:p>
        </w:tc>
        <w:tc>
          <w:tcPr>
            <w:tcW w:w="1531" w:type="dxa"/>
            <w:tcBorders>
              <w:top w:val="nil"/>
              <w:left w:val="nil"/>
              <w:bottom w:val="nil"/>
              <w:right w:val="nil"/>
            </w:tcBorders>
          </w:tcPr>
          <w:p w14:paraId="014811F1"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44E4FF3A"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0.004</w:t>
            </w:r>
            <w:r w:rsidRPr="00BC54D1">
              <w:rPr>
                <w:rFonts w:ascii="Times New Roman" w:hAnsi="Times New Roman"/>
                <w:sz w:val="18"/>
                <w:szCs w:val="18"/>
                <w:vertAlign w:val="superscript"/>
              </w:rPr>
              <w:t>***</w:t>
            </w:r>
          </w:p>
        </w:tc>
      </w:tr>
      <w:tr w:rsidR="00BC54D1" w:rsidRPr="00BC54D1" w14:paraId="616AA6EF" w14:textId="77777777" w:rsidTr="00732A21">
        <w:tc>
          <w:tcPr>
            <w:tcW w:w="850" w:type="dxa"/>
            <w:tcBorders>
              <w:top w:val="nil"/>
              <w:left w:val="nil"/>
              <w:bottom w:val="nil"/>
              <w:right w:val="nil"/>
            </w:tcBorders>
          </w:tcPr>
          <w:p w14:paraId="0BCAD517"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7F5D7931"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3FFF4297"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(3.78)</w:t>
            </w:r>
          </w:p>
        </w:tc>
        <w:tc>
          <w:tcPr>
            <w:tcW w:w="1644" w:type="dxa"/>
            <w:tcBorders>
              <w:top w:val="nil"/>
              <w:left w:val="nil"/>
              <w:bottom w:val="nil"/>
              <w:right w:val="nil"/>
            </w:tcBorders>
          </w:tcPr>
          <w:p w14:paraId="3EAA6303"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29A540DC"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(3.49)</w:t>
            </w:r>
          </w:p>
        </w:tc>
        <w:tc>
          <w:tcPr>
            <w:tcW w:w="1531" w:type="dxa"/>
            <w:tcBorders>
              <w:top w:val="nil"/>
              <w:left w:val="nil"/>
              <w:bottom w:val="nil"/>
              <w:right w:val="nil"/>
            </w:tcBorders>
          </w:tcPr>
          <w:p w14:paraId="43B5F86F"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3708A33A"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(5.95)</w:t>
            </w:r>
          </w:p>
        </w:tc>
      </w:tr>
      <w:tr w:rsidR="00BC54D1" w:rsidRPr="00BC54D1" w14:paraId="242928BE" w14:textId="77777777" w:rsidTr="00732A21">
        <w:tc>
          <w:tcPr>
            <w:tcW w:w="850" w:type="dxa"/>
            <w:tcBorders>
              <w:top w:val="nil"/>
              <w:left w:val="nil"/>
              <w:bottom w:val="nil"/>
              <w:right w:val="nil"/>
            </w:tcBorders>
          </w:tcPr>
          <w:p w14:paraId="539307DF"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4AA1E92D"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407B4428"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644" w:type="dxa"/>
            <w:tcBorders>
              <w:top w:val="nil"/>
              <w:left w:val="nil"/>
              <w:bottom w:val="nil"/>
              <w:right w:val="nil"/>
            </w:tcBorders>
          </w:tcPr>
          <w:p w14:paraId="53F28015"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87" w:type="dxa"/>
            <w:tcBorders>
              <w:top w:val="nil"/>
              <w:left w:val="nil"/>
              <w:bottom w:val="nil"/>
              <w:right w:val="nil"/>
            </w:tcBorders>
          </w:tcPr>
          <w:p w14:paraId="19287F65"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41AC1065"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417" w:type="dxa"/>
            <w:tcBorders>
              <w:top w:val="nil"/>
              <w:left w:val="nil"/>
              <w:bottom w:val="nil"/>
              <w:right w:val="nil"/>
            </w:tcBorders>
          </w:tcPr>
          <w:p w14:paraId="00FDD035" w14:textId="77777777" w:rsidR="00732A21" w:rsidRPr="00BC54D1" w:rsidRDefault="00732A21" w:rsidP="00732A21">
            <w:pPr>
              <w:widowControl w:val="0"/>
              <w:autoSpaceDE w:val="0"/>
              <w:autoSpaceDN w:val="0"/>
              <w:adjustRightInd w:val="0"/>
              <w:rPr>
                <w:rFonts w:ascii="Times New Roman" w:hAnsi="Times New Roman"/>
                <w:sz w:val="18"/>
                <w:szCs w:val="18"/>
              </w:rPr>
            </w:pPr>
          </w:p>
        </w:tc>
      </w:tr>
      <w:tr w:rsidR="00BC54D1" w:rsidRPr="00BC54D1" w14:paraId="218A6F8B" w14:textId="77777777" w:rsidTr="00732A21">
        <w:tc>
          <w:tcPr>
            <w:tcW w:w="850" w:type="dxa"/>
            <w:tcBorders>
              <w:top w:val="nil"/>
              <w:left w:val="nil"/>
              <w:bottom w:val="nil"/>
              <w:right w:val="nil"/>
            </w:tcBorders>
          </w:tcPr>
          <w:p w14:paraId="5A0CD04C" w14:textId="77777777" w:rsidR="00732A21" w:rsidRPr="00BC54D1" w:rsidRDefault="00732A21" w:rsidP="00732A21">
            <w:pPr>
              <w:widowControl w:val="0"/>
              <w:autoSpaceDE w:val="0"/>
              <w:autoSpaceDN w:val="0"/>
              <w:adjustRightInd w:val="0"/>
              <w:rPr>
                <w:rFonts w:ascii="Times New Roman" w:hAnsi="Times New Roman"/>
                <w:sz w:val="18"/>
                <w:szCs w:val="18"/>
              </w:rPr>
            </w:pPr>
            <w:r w:rsidRPr="00BC54D1">
              <w:rPr>
                <w:rFonts w:ascii="Times New Roman" w:hAnsi="Times New Roman"/>
                <w:sz w:val="18"/>
                <w:szCs w:val="18"/>
              </w:rPr>
              <w:t>LEV</w:t>
            </w:r>
          </w:p>
        </w:tc>
        <w:tc>
          <w:tcPr>
            <w:tcW w:w="1814" w:type="dxa"/>
            <w:tcBorders>
              <w:top w:val="nil"/>
              <w:left w:val="nil"/>
              <w:bottom w:val="nil"/>
              <w:right w:val="nil"/>
            </w:tcBorders>
          </w:tcPr>
          <w:p w14:paraId="389FDFB2"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685576FE"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-0.290</w:t>
            </w:r>
            <w:r w:rsidRPr="00BC54D1">
              <w:rPr>
                <w:rFonts w:ascii="Times New Roman" w:hAnsi="Times New Roman"/>
                <w:sz w:val="18"/>
                <w:szCs w:val="18"/>
                <w:vertAlign w:val="superscript"/>
              </w:rPr>
              <w:t>***</w:t>
            </w:r>
          </w:p>
        </w:tc>
        <w:tc>
          <w:tcPr>
            <w:tcW w:w="1644" w:type="dxa"/>
            <w:tcBorders>
              <w:top w:val="nil"/>
              <w:left w:val="nil"/>
              <w:bottom w:val="nil"/>
              <w:right w:val="nil"/>
            </w:tcBorders>
          </w:tcPr>
          <w:p w14:paraId="31C2EB7B"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1DD0952B"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-0.585</w:t>
            </w:r>
            <w:r w:rsidRPr="00BC54D1">
              <w:rPr>
                <w:rFonts w:ascii="Times New Roman" w:hAnsi="Times New Roman"/>
                <w:sz w:val="18"/>
                <w:szCs w:val="18"/>
                <w:vertAlign w:val="superscript"/>
              </w:rPr>
              <w:t>***</w:t>
            </w:r>
          </w:p>
        </w:tc>
        <w:tc>
          <w:tcPr>
            <w:tcW w:w="1531" w:type="dxa"/>
            <w:tcBorders>
              <w:top w:val="nil"/>
              <w:left w:val="nil"/>
              <w:bottom w:val="nil"/>
              <w:right w:val="nil"/>
            </w:tcBorders>
          </w:tcPr>
          <w:p w14:paraId="65F75109"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5BECABDF"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-0.001</w:t>
            </w:r>
          </w:p>
        </w:tc>
      </w:tr>
      <w:tr w:rsidR="00BC54D1" w:rsidRPr="00BC54D1" w14:paraId="3FB988FD" w14:textId="77777777" w:rsidTr="00732A21">
        <w:tc>
          <w:tcPr>
            <w:tcW w:w="850" w:type="dxa"/>
            <w:tcBorders>
              <w:top w:val="nil"/>
              <w:left w:val="nil"/>
              <w:bottom w:val="nil"/>
              <w:right w:val="nil"/>
            </w:tcBorders>
          </w:tcPr>
          <w:p w14:paraId="56E5DFB1"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4BC36BFB"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23125E7E"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(-8.07)</w:t>
            </w:r>
          </w:p>
        </w:tc>
        <w:tc>
          <w:tcPr>
            <w:tcW w:w="1644" w:type="dxa"/>
            <w:tcBorders>
              <w:top w:val="nil"/>
              <w:left w:val="nil"/>
              <w:bottom w:val="nil"/>
              <w:right w:val="nil"/>
            </w:tcBorders>
          </w:tcPr>
          <w:p w14:paraId="12BFC73E"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624B433A"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(-7.62)</w:t>
            </w:r>
          </w:p>
        </w:tc>
        <w:tc>
          <w:tcPr>
            <w:tcW w:w="1531" w:type="dxa"/>
            <w:tcBorders>
              <w:top w:val="nil"/>
              <w:left w:val="nil"/>
              <w:bottom w:val="nil"/>
              <w:right w:val="nil"/>
            </w:tcBorders>
          </w:tcPr>
          <w:p w14:paraId="7C5F00A0"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63A8044A"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(-1.01)</w:t>
            </w:r>
          </w:p>
        </w:tc>
      </w:tr>
      <w:tr w:rsidR="00BC54D1" w:rsidRPr="00BC54D1" w14:paraId="6992AAEB" w14:textId="77777777" w:rsidTr="00732A21">
        <w:tc>
          <w:tcPr>
            <w:tcW w:w="850" w:type="dxa"/>
            <w:tcBorders>
              <w:top w:val="nil"/>
              <w:left w:val="nil"/>
              <w:bottom w:val="nil"/>
              <w:right w:val="nil"/>
            </w:tcBorders>
          </w:tcPr>
          <w:p w14:paraId="4BC92049"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7DE86A35"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583F5D5A"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644" w:type="dxa"/>
            <w:tcBorders>
              <w:top w:val="nil"/>
              <w:left w:val="nil"/>
              <w:bottom w:val="nil"/>
              <w:right w:val="nil"/>
            </w:tcBorders>
          </w:tcPr>
          <w:p w14:paraId="11ED2754"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87" w:type="dxa"/>
            <w:tcBorders>
              <w:top w:val="nil"/>
              <w:left w:val="nil"/>
              <w:bottom w:val="nil"/>
              <w:right w:val="nil"/>
            </w:tcBorders>
          </w:tcPr>
          <w:p w14:paraId="520A8EFE"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7A1C7911"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417" w:type="dxa"/>
            <w:tcBorders>
              <w:top w:val="nil"/>
              <w:left w:val="nil"/>
              <w:bottom w:val="nil"/>
              <w:right w:val="nil"/>
            </w:tcBorders>
          </w:tcPr>
          <w:p w14:paraId="315D765D" w14:textId="77777777" w:rsidR="00732A21" w:rsidRPr="00BC54D1" w:rsidRDefault="00732A21" w:rsidP="00732A21">
            <w:pPr>
              <w:widowControl w:val="0"/>
              <w:autoSpaceDE w:val="0"/>
              <w:autoSpaceDN w:val="0"/>
              <w:adjustRightInd w:val="0"/>
              <w:rPr>
                <w:rFonts w:ascii="Times New Roman" w:hAnsi="Times New Roman"/>
                <w:sz w:val="18"/>
                <w:szCs w:val="18"/>
              </w:rPr>
            </w:pPr>
          </w:p>
        </w:tc>
      </w:tr>
      <w:tr w:rsidR="00BC54D1" w:rsidRPr="00BC54D1" w14:paraId="674CAF27" w14:textId="77777777" w:rsidTr="00732A21">
        <w:tc>
          <w:tcPr>
            <w:tcW w:w="850" w:type="dxa"/>
            <w:tcBorders>
              <w:top w:val="nil"/>
              <w:left w:val="nil"/>
              <w:bottom w:val="nil"/>
              <w:right w:val="nil"/>
            </w:tcBorders>
          </w:tcPr>
          <w:p w14:paraId="3AB3F11B" w14:textId="77777777" w:rsidR="00732A21" w:rsidRPr="00BC54D1" w:rsidRDefault="00732A21" w:rsidP="00732A21">
            <w:pPr>
              <w:widowControl w:val="0"/>
              <w:autoSpaceDE w:val="0"/>
              <w:autoSpaceDN w:val="0"/>
              <w:adjustRightInd w:val="0"/>
              <w:rPr>
                <w:rFonts w:ascii="Times New Roman" w:hAnsi="Times New Roman"/>
                <w:sz w:val="18"/>
                <w:szCs w:val="18"/>
              </w:rPr>
            </w:pPr>
            <w:r w:rsidRPr="00BC54D1">
              <w:rPr>
                <w:rFonts w:ascii="Times New Roman" w:hAnsi="Times New Roman"/>
                <w:sz w:val="18"/>
                <w:szCs w:val="18"/>
              </w:rPr>
              <w:t>PR</w:t>
            </w:r>
          </w:p>
        </w:tc>
        <w:tc>
          <w:tcPr>
            <w:tcW w:w="1814" w:type="dxa"/>
            <w:tcBorders>
              <w:top w:val="nil"/>
              <w:left w:val="nil"/>
              <w:bottom w:val="nil"/>
              <w:right w:val="nil"/>
            </w:tcBorders>
          </w:tcPr>
          <w:p w14:paraId="24357CB1"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32FD4AA6"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1.255</w:t>
            </w:r>
            <w:r w:rsidRPr="00BC54D1">
              <w:rPr>
                <w:rFonts w:ascii="Times New Roman" w:hAnsi="Times New Roman"/>
                <w:sz w:val="18"/>
                <w:szCs w:val="18"/>
                <w:vertAlign w:val="superscript"/>
              </w:rPr>
              <w:t>***</w:t>
            </w:r>
          </w:p>
        </w:tc>
        <w:tc>
          <w:tcPr>
            <w:tcW w:w="1644" w:type="dxa"/>
            <w:tcBorders>
              <w:top w:val="nil"/>
              <w:left w:val="nil"/>
              <w:bottom w:val="nil"/>
              <w:right w:val="nil"/>
            </w:tcBorders>
          </w:tcPr>
          <w:p w14:paraId="3A258C8F"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4D8E2403"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2.611</w:t>
            </w:r>
            <w:r w:rsidRPr="00BC54D1">
              <w:rPr>
                <w:rFonts w:ascii="Times New Roman" w:hAnsi="Times New Roman"/>
                <w:sz w:val="18"/>
                <w:szCs w:val="18"/>
                <w:vertAlign w:val="superscript"/>
              </w:rPr>
              <w:t>***</w:t>
            </w:r>
          </w:p>
        </w:tc>
        <w:tc>
          <w:tcPr>
            <w:tcW w:w="1531" w:type="dxa"/>
            <w:tcBorders>
              <w:top w:val="nil"/>
              <w:left w:val="nil"/>
              <w:bottom w:val="nil"/>
              <w:right w:val="nil"/>
            </w:tcBorders>
          </w:tcPr>
          <w:p w14:paraId="61086DAA"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1B640626"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0.010</w:t>
            </w:r>
            <w:r w:rsidRPr="00BC54D1">
              <w:rPr>
                <w:rFonts w:ascii="Times New Roman" w:hAnsi="Times New Roman"/>
                <w:sz w:val="18"/>
                <w:szCs w:val="18"/>
                <w:vertAlign w:val="superscript"/>
              </w:rPr>
              <w:t>***</w:t>
            </w:r>
          </w:p>
        </w:tc>
      </w:tr>
      <w:tr w:rsidR="00BC54D1" w:rsidRPr="00BC54D1" w14:paraId="49023FBF" w14:textId="77777777" w:rsidTr="00732A21">
        <w:tc>
          <w:tcPr>
            <w:tcW w:w="850" w:type="dxa"/>
            <w:tcBorders>
              <w:top w:val="nil"/>
              <w:left w:val="nil"/>
              <w:bottom w:val="nil"/>
              <w:right w:val="nil"/>
            </w:tcBorders>
          </w:tcPr>
          <w:p w14:paraId="03E852B9"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02BA37BC"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3CF8E770"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(9.61)</w:t>
            </w:r>
          </w:p>
        </w:tc>
        <w:tc>
          <w:tcPr>
            <w:tcW w:w="1644" w:type="dxa"/>
            <w:tcBorders>
              <w:top w:val="nil"/>
              <w:left w:val="nil"/>
              <w:bottom w:val="nil"/>
              <w:right w:val="nil"/>
            </w:tcBorders>
          </w:tcPr>
          <w:p w14:paraId="33D379C0"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52F27EDC"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(9.62)</w:t>
            </w:r>
          </w:p>
        </w:tc>
        <w:tc>
          <w:tcPr>
            <w:tcW w:w="1531" w:type="dxa"/>
            <w:tcBorders>
              <w:top w:val="nil"/>
              <w:left w:val="nil"/>
              <w:bottom w:val="nil"/>
              <w:right w:val="nil"/>
            </w:tcBorders>
          </w:tcPr>
          <w:p w14:paraId="3BF99C08"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71E3BE23"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(5.11)</w:t>
            </w:r>
          </w:p>
        </w:tc>
      </w:tr>
      <w:tr w:rsidR="00BC54D1" w:rsidRPr="00BC54D1" w14:paraId="3179BDB8" w14:textId="77777777" w:rsidTr="00732A21">
        <w:tc>
          <w:tcPr>
            <w:tcW w:w="850" w:type="dxa"/>
            <w:tcBorders>
              <w:top w:val="nil"/>
              <w:left w:val="nil"/>
              <w:bottom w:val="nil"/>
              <w:right w:val="nil"/>
            </w:tcBorders>
          </w:tcPr>
          <w:p w14:paraId="7654661D"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1EDE5DAC"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53BC6221"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644" w:type="dxa"/>
            <w:tcBorders>
              <w:top w:val="nil"/>
              <w:left w:val="nil"/>
              <w:bottom w:val="nil"/>
              <w:right w:val="nil"/>
            </w:tcBorders>
          </w:tcPr>
          <w:p w14:paraId="7D0D733C"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87" w:type="dxa"/>
            <w:tcBorders>
              <w:top w:val="nil"/>
              <w:left w:val="nil"/>
              <w:bottom w:val="nil"/>
              <w:right w:val="nil"/>
            </w:tcBorders>
          </w:tcPr>
          <w:p w14:paraId="080AD08B"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21EF0ED5"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417" w:type="dxa"/>
            <w:tcBorders>
              <w:top w:val="nil"/>
              <w:left w:val="nil"/>
              <w:bottom w:val="nil"/>
              <w:right w:val="nil"/>
            </w:tcBorders>
          </w:tcPr>
          <w:p w14:paraId="6B18CCE8" w14:textId="77777777" w:rsidR="00732A21" w:rsidRPr="00BC54D1" w:rsidRDefault="00732A21" w:rsidP="00732A21">
            <w:pPr>
              <w:widowControl w:val="0"/>
              <w:autoSpaceDE w:val="0"/>
              <w:autoSpaceDN w:val="0"/>
              <w:adjustRightInd w:val="0"/>
              <w:rPr>
                <w:rFonts w:ascii="Times New Roman" w:hAnsi="Times New Roman"/>
                <w:sz w:val="18"/>
                <w:szCs w:val="18"/>
              </w:rPr>
            </w:pPr>
          </w:p>
        </w:tc>
      </w:tr>
      <w:tr w:rsidR="00BC54D1" w:rsidRPr="00BC54D1" w14:paraId="012B2709" w14:textId="77777777" w:rsidTr="00732A21">
        <w:tc>
          <w:tcPr>
            <w:tcW w:w="850" w:type="dxa"/>
            <w:tcBorders>
              <w:top w:val="nil"/>
              <w:left w:val="nil"/>
              <w:bottom w:val="nil"/>
              <w:right w:val="nil"/>
            </w:tcBorders>
          </w:tcPr>
          <w:p w14:paraId="267002CD" w14:textId="77777777" w:rsidR="00732A21" w:rsidRPr="00BC54D1" w:rsidRDefault="00732A21" w:rsidP="00732A21">
            <w:pPr>
              <w:widowControl w:val="0"/>
              <w:autoSpaceDE w:val="0"/>
              <w:autoSpaceDN w:val="0"/>
              <w:adjustRightInd w:val="0"/>
              <w:rPr>
                <w:rFonts w:ascii="Times New Roman" w:hAnsi="Times New Roman"/>
                <w:sz w:val="18"/>
                <w:szCs w:val="18"/>
              </w:rPr>
            </w:pPr>
            <w:r w:rsidRPr="00BC54D1">
              <w:rPr>
                <w:rFonts w:ascii="Times New Roman" w:hAnsi="Times New Roman"/>
                <w:sz w:val="18"/>
                <w:szCs w:val="18"/>
              </w:rPr>
              <w:t>FY</w:t>
            </w:r>
          </w:p>
        </w:tc>
        <w:tc>
          <w:tcPr>
            <w:tcW w:w="1814" w:type="dxa"/>
            <w:tcBorders>
              <w:top w:val="nil"/>
              <w:left w:val="nil"/>
              <w:bottom w:val="nil"/>
              <w:right w:val="nil"/>
            </w:tcBorders>
          </w:tcPr>
          <w:p w14:paraId="32284CD6"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4F1889D4"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0.001</w:t>
            </w:r>
          </w:p>
        </w:tc>
        <w:tc>
          <w:tcPr>
            <w:tcW w:w="1644" w:type="dxa"/>
            <w:tcBorders>
              <w:top w:val="nil"/>
              <w:left w:val="nil"/>
              <w:bottom w:val="nil"/>
              <w:right w:val="nil"/>
            </w:tcBorders>
          </w:tcPr>
          <w:p w14:paraId="7B6C6CEB"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099B6A96"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0.001</w:t>
            </w:r>
          </w:p>
        </w:tc>
        <w:tc>
          <w:tcPr>
            <w:tcW w:w="1531" w:type="dxa"/>
            <w:tcBorders>
              <w:top w:val="nil"/>
              <w:left w:val="nil"/>
              <w:bottom w:val="nil"/>
              <w:right w:val="nil"/>
            </w:tcBorders>
          </w:tcPr>
          <w:p w14:paraId="2A54AFAB"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0DE40F49"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-0.000</w:t>
            </w:r>
            <w:r w:rsidRPr="00BC54D1">
              <w:rPr>
                <w:rFonts w:ascii="Times New Roman" w:hAnsi="Times New Roman"/>
                <w:sz w:val="18"/>
                <w:szCs w:val="18"/>
                <w:vertAlign w:val="superscript"/>
              </w:rPr>
              <w:t>***</w:t>
            </w:r>
          </w:p>
        </w:tc>
      </w:tr>
      <w:tr w:rsidR="00BC54D1" w:rsidRPr="00BC54D1" w14:paraId="18C4FE08" w14:textId="77777777" w:rsidTr="00732A21">
        <w:tc>
          <w:tcPr>
            <w:tcW w:w="850" w:type="dxa"/>
            <w:tcBorders>
              <w:top w:val="nil"/>
              <w:left w:val="nil"/>
              <w:bottom w:val="nil"/>
              <w:right w:val="nil"/>
            </w:tcBorders>
          </w:tcPr>
          <w:p w14:paraId="6F852AA1"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62C162B1"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2FF3FD96"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(1.19)</w:t>
            </w:r>
          </w:p>
        </w:tc>
        <w:tc>
          <w:tcPr>
            <w:tcW w:w="1644" w:type="dxa"/>
            <w:tcBorders>
              <w:top w:val="nil"/>
              <w:left w:val="nil"/>
              <w:bottom w:val="nil"/>
              <w:right w:val="nil"/>
            </w:tcBorders>
          </w:tcPr>
          <w:p w14:paraId="3E5442CD"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41938E1C"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(1.30)</w:t>
            </w:r>
          </w:p>
        </w:tc>
        <w:tc>
          <w:tcPr>
            <w:tcW w:w="1531" w:type="dxa"/>
            <w:tcBorders>
              <w:top w:val="nil"/>
              <w:left w:val="nil"/>
              <w:bottom w:val="nil"/>
              <w:right w:val="nil"/>
            </w:tcBorders>
          </w:tcPr>
          <w:p w14:paraId="54BFA7A1"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578EB510"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(-3.25)</w:t>
            </w:r>
          </w:p>
        </w:tc>
      </w:tr>
      <w:tr w:rsidR="00BC54D1" w:rsidRPr="00BC54D1" w14:paraId="58D8AA87" w14:textId="77777777" w:rsidTr="00732A21">
        <w:tc>
          <w:tcPr>
            <w:tcW w:w="850" w:type="dxa"/>
            <w:tcBorders>
              <w:top w:val="nil"/>
              <w:left w:val="nil"/>
              <w:bottom w:val="nil"/>
              <w:right w:val="nil"/>
            </w:tcBorders>
          </w:tcPr>
          <w:p w14:paraId="58523CDD"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65F5E0D2"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24BEBFC4"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644" w:type="dxa"/>
            <w:tcBorders>
              <w:top w:val="nil"/>
              <w:left w:val="nil"/>
              <w:bottom w:val="nil"/>
              <w:right w:val="nil"/>
            </w:tcBorders>
          </w:tcPr>
          <w:p w14:paraId="44CF961F"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87" w:type="dxa"/>
            <w:tcBorders>
              <w:top w:val="nil"/>
              <w:left w:val="nil"/>
              <w:bottom w:val="nil"/>
              <w:right w:val="nil"/>
            </w:tcBorders>
          </w:tcPr>
          <w:p w14:paraId="6ABF0DE2"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3E848326"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417" w:type="dxa"/>
            <w:tcBorders>
              <w:top w:val="nil"/>
              <w:left w:val="nil"/>
              <w:bottom w:val="nil"/>
              <w:right w:val="nil"/>
            </w:tcBorders>
          </w:tcPr>
          <w:p w14:paraId="7CA81FCB" w14:textId="77777777" w:rsidR="00732A21" w:rsidRPr="00BC54D1" w:rsidRDefault="00732A21" w:rsidP="00732A21">
            <w:pPr>
              <w:widowControl w:val="0"/>
              <w:autoSpaceDE w:val="0"/>
              <w:autoSpaceDN w:val="0"/>
              <w:adjustRightInd w:val="0"/>
              <w:rPr>
                <w:rFonts w:ascii="Times New Roman" w:hAnsi="Times New Roman"/>
                <w:sz w:val="18"/>
                <w:szCs w:val="18"/>
              </w:rPr>
            </w:pPr>
          </w:p>
        </w:tc>
      </w:tr>
      <w:tr w:rsidR="00BC54D1" w:rsidRPr="00BC54D1" w14:paraId="4AA0B4B2" w14:textId="77777777" w:rsidTr="00732A21">
        <w:tc>
          <w:tcPr>
            <w:tcW w:w="850" w:type="dxa"/>
            <w:tcBorders>
              <w:top w:val="nil"/>
              <w:left w:val="nil"/>
              <w:bottom w:val="nil"/>
              <w:right w:val="nil"/>
            </w:tcBorders>
          </w:tcPr>
          <w:p w14:paraId="0B12D995" w14:textId="5875526A" w:rsidR="00732A21" w:rsidRPr="00BC54D1" w:rsidRDefault="00732A21" w:rsidP="00732A21">
            <w:pPr>
              <w:widowControl w:val="0"/>
              <w:autoSpaceDE w:val="0"/>
              <w:autoSpaceDN w:val="0"/>
              <w:adjustRightInd w:val="0"/>
              <w:rPr>
                <w:rFonts w:ascii="Times New Roman" w:hAnsi="Times New Roman"/>
                <w:sz w:val="18"/>
                <w:szCs w:val="18"/>
              </w:rPr>
            </w:pPr>
            <w:r w:rsidRPr="00BC54D1">
              <w:rPr>
                <w:rFonts w:ascii="Times New Roman" w:hAnsi="Times New Roman"/>
                <w:sz w:val="18"/>
                <w:szCs w:val="18"/>
              </w:rPr>
              <w:t>DM</w:t>
            </w:r>
          </w:p>
        </w:tc>
        <w:tc>
          <w:tcPr>
            <w:tcW w:w="1814" w:type="dxa"/>
            <w:tcBorders>
              <w:top w:val="nil"/>
              <w:left w:val="nil"/>
              <w:bottom w:val="nil"/>
              <w:right w:val="nil"/>
            </w:tcBorders>
          </w:tcPr>
          <w:p w14:paraId="6D31E91E"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2EC90262"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0.053</w:t>
            </w:r>
            <w:r w:rsidRPr="00BC54D1">
              <w:rPr>
                <w:rFonts w:ascii="Times New Roman" w:hAnsi="Times New Roman"/>
                <w:sz w:val="18"/>
                <w:szCs w:val="18"/>
                <w:vertAlign w:val="superscript"/>
              </w:rPr>
              <w:t>***</w:t>
            </w:r>
          </w:p>
        </w:tc>
        <w:tc>
          <w:tcPr>
            <w:tcW w:w="1644" w:type="dxa"/>
            <w:tcBorders>
              <w:top w:val="nil"/>
              <w:left w:val="nil"/>
              <w:bottom w:val="nil"/>
              <w:right w:val="nil"/>
            </w:tcBorders>
          </w:tcPr>
          <w:p w14:paraId="706D4563"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2B0BD45D"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0.133</w:t>
            </w:r>
            <w:r w:rsidRPr="00BC54D1">
              <w:rPr>
                <w:rFonts w:ascii="Times New Roman" w:hAnsi="Times New Roman"/>
                <w:sz w:val="18"/>
                <w:szCs w:val="18"/>
                <w:vertAlign w:val="superscript"/>
              </w:rPr>
              <w:t>***</w:t>
            </w:r>
          </w:p>
        </w:tc>
        <w:tc>
          <w:tcPr>
            <w:tcW w:w="1531" w:type="dxa"/>
            <w:tcBorders>
              <w:top w:val="nil"/>
              <w:left w:val="nil"/>
              <w:bottom w:val="nil"/>
              <w:right w:val="nil"/>
            </w:tcBorders>
          </w:tcPr>
          <w:p w14:paraId="7FDEAEC0"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1CE2FA15"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-0.001</w:t>
            </w:r>
            <w:r w:rsidRPr="00BC54D1">
              <w:rPr>
                <w:rFonts w:ascii="Times New Roman" w:hAnsi="Times New Roman"/>
                <w:sz w:val="18"/>
                <w:szCs w:val="18"/>
                <w:vertAlign w:val="superscript"/>
              </w:rPr>
              <w:t>**</w:t>
            </w:r>
          </w:p>
        </w:tc>
      </w:tr>
      <w:tr w:rsidR="00BC54D1" w:rsidRPr="00BC54D1" w14:paraId="39D7E275" w14:textId="77777777" w:rsidTr="00732A21">
        <w:tc>
          <w:tcPr>
            <w:tcW w:w="850" w:type="dxa"/>
            <w:tcBorders>
              <w:top w:val="nil"/>
              <w:left w:val="nil"/>
              <w:bottom w:val="nil"/>
              <w:right w:val="nil"/>
            </w:tcBorders>
          </w:tcPr>
          <w:p w14:paraId="1240EBEE"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5FA7C614"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4266C515"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(2.67)</w:t>
            </w:r>
          </w:p>
        </w:tc>
        <w:tc>
          <w:tcPr>
            <w:tcW w:w="1644" w:type="dxa"/>
            <w:tcBorders>
              <w:top w:val="nil"/>
              <w:left w:val="nil"/>
              <w:bottom w:val="nil"/>
              <w:right w:val="nil"/>
            </w:tcBorders>
          </w:tcPr>
          <w:p w14:paraId="7BA38BF8"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4C3DA506"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(3.16)</w:t>
            </w:r>
          </w:p>
        </w:tc>
        <w:tc>
          <w:tcPr>
            <w:tcW w:w="1531" w:type="dxa"/>
            <w:tcBorders>
              <w:top w:val="nil"/>
              <w:left w:val="nil"/>
              <w:bottom w:val="nil"/>
              <w:right w:val="nil"/>
            </w:tcBorders>
          </w:tcPr>
          <w:p w14:paraId="73F0C1CD"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7647C184"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(-2.14)</w:t>
            </w:r>
          </w:p>
        </w:tc>
      </w:tr>
      <w:tr w:rsidR="00BC54D1" w:rsidRPr="00BC54D1" w14:paraId="5912FEC8" w14:textId="77777777" w:rsidTr="00732A21">
        <w:tc>
          <w:tcPr>
            <w:tcW w:w="850" w:type="dxa"/>
            <w:tcBorders>
              <w:top w:val="nil"/>
              <w:left w:val="nil"/>
              <w:bottom w:val="nil"/>
              <w:right w:val="nil"/>
            </w:tcBorders>
          </w:tcPr>
          <w:p w14:paraId="2A1785EF"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6379FD16"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59EF17F9"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644" w:type="dxa"/>
            <w:tcBorders>
              <w:top w:val="nil"/>
              <w:left w:val="nil"/>
              <w:bottom w:val="nil"/>
              <w:right w:val="nil"/>
            </w:tcBorders>
          </w:tcPr>
          <w:p w14:paraId="44778346"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87" w:type="dxa"/>
            <w:tcBorders>
              <w:top w:val="nil"/>
              <w:left w:val="nil"/>
              <w:bottom w:val="nil"/>
              <w:right w:val="nil"/>
            </w:tcBorders>
          </w:tcPr>
          <w:p w14:paraId="37F3E9C6"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235C2680"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417" w:type="dxa"/>
            <w:tcBorders>
              <w:top w:val="nil"/>
              <w:left w:val="nil"/>
              <w:bottom w:val="nil"/>
              <w:right w:val="nil"/>
            </w:tcBorders>
          </w:tcPr>
          <w:p w14:paraId="213DC09D" w14:textId="77777777" w:rsidR="00732A21" w:rsidRPr="00BC54D1" w:rsidRDefault="00732A21" w:rsidP="00732A21">
            <w:pPr>
              <w:widowControl w:val="0"/>
              <w:autoSpaceDE w:val="0"/>
              <w:autoSpaceDN w:val="0"/>
              <w:adjustRightInd w:val="0"/>
              <w:rPr>
                <w:rFonts w:ascii="Times New Roman" w:hAnsi="Times New Roman"/>
                <w:sz w:val="18"/>
                <w:szCs w:val="18"/>
              </w:rPr>
            </w:pPr>
          </w:p>
        </w:tc>
      </w:tr>
      <w:tr w:rsidR="00BC54D1" w:rsidRPr="00BC54D1" w14:paraId="57930349" w14:textId="77777777" w:rsidTr="00732A21">
        <w:tc>
          <w:tcPr>
            <w:tcW w:w="850" w:type="dxa"/>
            <w:tcBorders>
              <w:top w:val="nil"/>
              <w:left w:val="nil"/>
              <w:bottom w:val="nil"/>
              <w:right w:val="nil"/>
            </w:tcBorders>
          </w:tcPr>
          <w:p w14:paraId="48C51DE4" w14:textId="77777777" w:rsidR="00732A21" w:rsidRPr="00BC54D1" w:rsidRDefault="00732A21" w:rsidP="00732A21">
            <w:pPr>
              <w:widowControl w:val="0"/>
              <w:autoSpaceDE w:val="0"/>
              <w:autoSpaceDN w:val="0"/>
              <w:adjustRightInd w:val="0"/>
              <w:rPr>
                <w:rFonts w:ascii="Times New Roman" w:hAnsi="Times New Roman"/>
                <w:sz w:val="18"/>
                <w:szCs w:val="18"/>
              </w:rPr>
            </w:pPr>
            <w:r w:rsidRPr="00BC54D1">
              <w:rPr>
                <w:rFonts w:ascii="Times New Roman" w:hAnsi="Times New Roman"/>
                <w:sz w:val="18"/>
                <w:szCs w:val="18"/>
              </w:rPr>
              <w:t>IQ</w:t>
            </w:r>
          </w:p>
        </w:tc>
        <w:tc>
          <w:tcPr>
            <w:tcW w:w="1814" w:type="dxa"/>
            <w:tcBorders>
              <w:top w:val="nil"/>
              <w:left w:val="nil"/>
              <w:bottom w:val="nil"/>
              <w:right w:val="nil"/>
            </w:tcBorders>
          </w:tcPr>
          <w:p w14:paraId="4D18887F"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413953B7"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-6.957</w:t>
            </w:r>
            <w:r w:rsidRPr="00BC54D1">
              <w:rPr>
                <w:rFonts w:ascii="Times New Roman" w:hAnsi="Times New Roman"/>
                <w:sz w:val="18"/>
                <w:szCs w:val="18"/>
                <w:vertAlign w:val="superscript"/>
              </w:rPr>
              <w:t>***</w:t>
            </w:r>
          </w:p>
        </w:tc>
        <w:tc>
          <w:tcPr>
            <w:tcW w:w="1644" w:type="dxa"/>
            <w:tcBorders>
              <w:top w:val="nil"/>
              <w:left w:val="nil"/>
              <w:bottom w:val="nil"/>
              <w:right w:val="nil"/>
            </w:tcBorders>
          </w:tcPr>
          <w:p w14:paraId="4F4D7CAE"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6AB4F9F2"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-15.33</w:t>
            </w:r>
            <w:r w:rsidRPr="00BC54D1">
              <w:rPr>
                <w:rFonts w:ascii="Times New Roman" w:hAnsi="Times New Roman"/>
                <w:sz w:val="18"/>
                <w:szCs w:val="18"/>
                <w:vertAlign w:val="superscript"/>
              </w:rPr>
              <w:t>***</w:t>
            </w:r>
          </w:p>
        </w:tc>
        <w:tc>
          <w:tcPr>
            <w:tcW w:w="1531" w:type="dxa"/>
            <w:tcBorders>
              <w:top w:val="nil"/>
              <w:left w:val="nil"/>
              <w:bottom w:val="nil"/>
              <w:right w:val="nil"/>
            </w:tcBorders>
          </w:tcPr>
          <w:p w14:paraId="3BE5B7D8"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76CAA7C4"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-0.016</w:t>
            </w:r>
            <w:r w:rsidRPr="00BC54D1">
              <w:rPr>
                <w:rFonts w:ascii="Times New Roman" w:hAnsi="Times New Roman"/>
                <w:sz w:val="18"/>
                <w:szCs w:val="18"/>
                <w:vertAlign w:val="superscript"/>
              </w:rPr>
              <w:t>***</w:t>
            </w:r>
          </w:p>
        </w:tc>
      </w:tr>
      <w:tr w:rsidR="00BC54D1" w:rsidRPr="00BC54D1" w14:paraId="3DFAC90A" w14:textId="77777777" w:rsidTr="00732A21">
        <w:tc>
          <w:tcPr>
            <w:tcW w:w="850" w:type="dxa"/>
            <w:tcBorders>
              <w:top w:val="nil"/>
              <w:left w:val="nil"/>
              <w:bottom w:val="nil"/>
              <w:right w:val="nil"/>
            </w:tcBorders>
          </w:tcPr>
          <w:p w14:paraId="3DF1F5BD"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066D34EC"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31" w:type="dxa"/>
            <w:tcBorders>
              <w:top w:val="nil"/>
              <w:left w:val="nil"/>
              <w:bottom w:val="nil"/>
              <w:right w:val="nil"/>
            </w:tcBorders>
          </w:tcPr>
          <w:p w14:paraId="2693EC5F"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(-7.03)</w:t>
            </w:r>
          </w:p>
        </w:tc>
        <w:tc>
          <w:tcPr>
            <w:tcW w:w="1644" w:type="dxa"/>
            <w:tcBorders>
              <w:top w:val="nil"/>
              <w:left w:val="nil"/>
              <w:bottom w:val="nil"/>
              <w:right w:val="nil"/>
            </w:tcBorders>
          </w:tcPr>
          <w:p w14:paraId="13DFB98D"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587" w:type="dxa"/>
            <w:tcBorders>
              <w:top w:val="nil"/>
              <w:left w:val="nil"/>
              <w:bottom w:val="nil"/>
              <w:right w:val="nil"/>
            </w:tcBorders>
          </w:tcPr>
          <w:p w14:paraId="08DE232D"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(-6.96)</w:t>
            </w:r>
          </w:p>
        </w:tc>
        <w:tc>
          <w:tcPr>
            <w:tcW w:w="1531" w:type="dxa"/>
            <w:tcBorders>
              <w:top w:val="nil"/>
              <w:left w:val="nil"/>
              <w:bottom w:val="nil"/>
              <w:right w:val="nil"/>
            </w:tcBorders>
          </w:tcPr>
          <w:p w14:paraId="4CF83DBA"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p>
        </w:tc>
        <w:tc>
          <w:tcPr>
            <w:tcW w:w="1417" w:type="dxa"/>
            <w:tcBorders>
              <w:top w:val="nil"/>
              <w:left w:val="nil"/>
              <w:bottom w:val="nil"/>
              <w:right w:val="nil"/>
            </w:tcBorders>
          </w:tcPr>
          <w:p w14:paraId="6A64F43D"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(-5.07)</w:t>
            </w:r>
          </w:p>
        </w:tc>
      </w:tr>
      <w:tr w:rsidR="00BC54D1" w:rsidRPr="00BC54D1" w14:paraId="486A5318" w14:textId="77777777" w:rsidTr="00732A21">
        <w:tc>
          <w:tcPr>
            <w:tcW w:w="850" w:type="dxa"/>
            <w:tcBorders>
              <w:top w:val="nil"/>
              <w:left w:val="nil"/>
              <w:bottom w:val="nil"/>
              <w:right w:val="nil"/>
            </w:tcBorders>
          </w:tcPr>
          <w:p w14:paraId="58FF484B"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814" w:type="dxa"/>
            <w:tcBorders>
              <w:top w:val="nil"/>
              <w:left w:val="nil"/>
              <w:bottom w:val="nil"/>
              <w:right w:val="nil"/>
            </w:tcBorders>
          </w:tcPr>
          <w:p w14:paraId="54853FE9"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16F19F3F"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644" w:type="dxa"/>
            <w:tcBorders>
              <w:top w:val="nil"/>
              <w:left w:val="nil"/>
              <w:bottom w:val="nil"/>
              <w:right w:val="nil"/>
            </w:tcBorders>
          </w:tcPr>
          <w:p w14:paraId="4E76DFF2"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87" w:type="dxa"/>
            <w:tcBorders>
              <w:top w:val="nil"/>
              <w:left w:val="nil"/>
              <w:bottom w:val="nil"/>
              <w:right w:val="nil"/>
            </w:tcBorders>
          </w:tcPr>
          <w:p w14:paraId="417A1943"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531" w:type="dxa"/>
            <w:tcBorders>
              <w:top w:val="nil"/>
              <w:left w:val="nil"/>
              <w:bottom w:val="nil"/>
              <w:right w:val="nil"/>
            </w:tcBorders>
          </w:tcPr>
          <w:p w14:paraId="0427EAB9" w14:textId="77777777" w:rsidR="00732A21" w:rsidRPr="00BC54D1" w:rsidRDefault="00732A21" w:rsidP="00732A21">
            <w:pPr>
              <w:widowControl w:val="0"/>
              <w:autoSpaceDE w:val="0"/>
              <w:autoSpaceDN w:val="0"/>
              <w:adjustRightInd w:val="0"/>
              <w:rPr>
                <w:rFonts w:ascii="Times New Roman" w:hAnsi="Times New Roman"/>
                <w:sz w:val="18"/>
                <w:szCs w:val="18"/>
              </w:rPr>
            </w:pPr>
          </w:p>
        </w:tc>
        <w:tc>
          <w:tcPr>
            <w:tcW w:w="1417" w:type="dxa"/>
            <w:tcBorders>
              <w:top w:val="nil"/>
              <w:left w:val="nil"/>
              <w:bottom w:val="nil"/>
              <w:right w:val="nil"/>
            </w:tcBorders>
          </w:tcPr>
          <w:p w14:paraId="0A646459" w14:textId="77777777" w:rsidR="00732A21" w:rsidRPr="00BC54D1" w:rsidRDefault="00732A21" w:rsidP="00732A21">
            <w:pPr>
              <w:widowControl w:val="0"/>
              <w:autoSpaceDE w:val="0"/>
              <w:autoSpaceDN w:val="0"/>
              <w:adjustRightInd w:val="0"/>
              <w:rPr>
                <w:rFonts w:ascii="Times New Roman" w:hAnsi="Times New Roman"/>
                <w:sz w:val="18"/>
                <w:szCs w:val="18"/>
              </w:rPr>
            </w:pPr>
          </w:p>
        </w:tc>
      </w:tr>
      <w:tr w:rsidR="00BC54D1" w:rsidRPr="00BC54D1" w14:paraId="4A290E85" w14:textId="77777777" w:rsidTr="00732A21">
        <w:tc>
          <w:tcPr>
            <w:tcW w:w="850" w:type="dxa"/>
            <w:tcBorders>
              <w:top w:val="nil"/>
              <w:left w:val="nil"/>
              <w:bottom w:val="nil"/>
              <w:right w:val="nil"/>
            </w:tcBorders>
          </w:tcPr>
          <w:p w14:paraId="3202925E" w14:textId="77777777" w:rsidR="00732A21" w:rsidRPr="00BC54D1" w:rsidRDefault="00732A21" w:rsidP="00732A21">
            <w:pPr>
              <w:widowControl w:val="0"/>
              <w:autoSpaceDE w:val="0"/>
              <w:autoSpaceDN w:val="0"/>
              <w:adjustRightInd w:val="0"/>
              <w:rPr>
                <w:rFonts w:ascii="Times New Roman" w:hAnsi="Times New Roman"/>
                <w:sz w:val="18"/>
                <w:szCs w:val="18"/>
              </w:rPr>
            </w:pPr>
            <w:r w:rsidRPr="00BC54D1">
              <w:rPr>
                <w:rFonts w:ascii="Times New Roman" w:hAnsi="Times New Roman"/>
                <w:sz w:val="18"/>
                <w:szCs w:val="18"/>
              </w:rPr>
              <w:t>_Cons</w:t>
            </w:r>
          </w:p>
        </w:tc>
        <w:tc>
          <w:tcPr>
            <w:tcW w:w="1814" w:type="dxa"/>
            <w:tcBorders>
              <w:top w:val="nil"/>
              <w:left w:val="nil"/>
              <w:bottom w:val="nil"/>
              <w:right w:val="nil"/>
            </w:tcBorders>
          </w:tcPr>
          <w:p w14:paraId="27B5E10A"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-1.371</w:t>
            </w:r>
            <w:r w:rsidRPr="00BC54D1">
              <w:rPr>
                <w:rFonts w:ascii="Times New Roman" w:hAnsi="Times New Roman"/>
                <w:sz w:val="18"/>
                <w:szCs w:val="18"/>
                <w:vertAlign w:val="superscript"/>
              </w:rPr>
              <w:t>***</w:t>
            </w:r>
          </w:p>
        </w:tc>
        <w:tc>
          <w:tcPr>
            <w:tcW w:w="1531" w:type="dxa"/>
            <w:tcBorders>
              <w:top w:val="nil"/>
              <w:left w:val="nil"/>
              <w:bottom w:val="nil"/>
              <w:right w:val="nil"/>
            </w:tcBorders>
          </w:tcPr>
          <w:p w14:paraId="0786FBA7"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-6.866</w:t>
            </w:r>
            <w:r w:rsidRPr="00BC54D1">
              <w:rPr>
                <w:rFonts w:ascii="Times New Roman" w:hAnsi="Times New Roman"/>
                <w:sz w:val="18"/>
                <w:szCs w:val="18"/>
                <w:vertAlign w:val="superscript"/>
              </w:rPr>
              <w:t>***</w:t>
            </w:r>
          </w:p>
        </w:tc>
        <w:tc>
          <w:tcPr>
            <w:tcW w:w="1644" w:type="dxa"/>
            <w:tcBorders>
              <w:top w:val="nil"/>
              <w:left w:val="nil"/>
              <w:bottom w:val="nil"/>
              <w:right w:val="nil"/>
            </w:tcBorders>
          </w:tcPr>
          <w:p w14:paraId="6070DFED"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-2.758</w:t>
            </w:r>
            <w:r w:rsidRPr="00BC54D1">
              <w:rPr>
                <w:rFonts w:ascii="Times New Roman" w:hAnsi="Times New Roman"/>
                <w:sz w:val="18"/>
                <w:szCs w:val="18"/>
                <w:vertAlign w:val="superscript"/>
              </w:rPr>
              <w:t>***</w:t>
            </w:r>
          </w:p>
        </w:tc>
        <w:tc>
          <w:tcPr>
            <w:tcW w:w="1587" w:type="dxa"/>
            <w:tcBorders>
              <w:top w:val="nil"/>
              <w:left w:val="nil"/>
              <w:bottom w:val="nil"/>
              <w:right w:val="nil"/>
            </w:tcBorders>
          </w:tcPr>
          <w:p w14:paraId="654B7205"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-20.67</w:t>
            </w:r>
            <w:r w:rsidRPr="00BC54D1">
              <w:rPr>
                <w:rFonts w:ascii="Times New Roman" w:hAnsi="Times New Roman"/>
                <w:sz w:val="18"/>
                <w:szCs w:val="18"/>
                <w:vertAlign w:val="superscript"/>
              </w:rPr>
              <w:t>***</w:t>
            </w:r>
          </w:p>
        </w:tc>
        <w:tc>
          <w:tcPr>
            <w:tcW w:w="1531" w:type="dxa"/>
            <w:tcBorders>
              <w:top w:val="nil"/>
              <w:left w:val="nil"/>
              <w:bottom w:val="nil"/>
              <w:right w:val="nil"/>
            </w:tcBorders>
          </w:tcPr>
          <w:p w14:paraId="1A620B60"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0.016</w:t>
            </w:r>
            <w:r w:rsidRPr="00BC54D1">
              <w:rPr>
                <w:rFonts w:ascii="Times New Roman" w:hAnsi="Times New Roman"/>
                <w:sz w:val="18"/>
                <w:szCs w:val="18"/>
                <w:vertAlign w:val="superscript"/>
              </w:rPr>
              <w:t>***</w:t>
            </w:r>
          </w:p>
        </w:tc>
        <w:tc>
          <w:tcPr>
            <w:tcW w:w="1417" w:type="dxa"/>
            <w:tcBorders>
              <w:top w:val="nil"/>
              <w:left w:val="nil"/>
              <w:bottom w:val="nil"/>
              <w:right w:val="nil"/>
            </w:tcBorders>
          </w:tcPr>
          <w:p w14:paraId="3E5B2862"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0.006</w:t>
            </w:r>
            <w:r w:rsidRPr="00BC54D1">
              <w:rPr>
                <w:rFonts w:ascii="Times New Roman" w:hAnsi="Times New Roman"/>
                <w:sz w:val="18"/>
                <w:szCs w:val="18"/>
                <w:vertAlign w:val="superscript"/>
              </w:rPr>
              <w:t>**</w:t>
            </w:r>
          </w:p>
        </w:tc>
      </w:tr>
      <w:tr w:rsidR="00BC54D1" w:rsidRPr="00BC54D1" w14:paraId="5A3D3FF7" w14:textId="77777777" w:rsidTr="00732A21">
        <w:tc>
          <w:tcPr>
            <w:tcW w:w="850" w:type="dxa"/>
            <w:tcBorders>
              <w:top w:val="nil"/>
              <w:left w:val="nil"/>
              <w:bottom w:val="single" w:sz="4" w:space="0" w:color="auto"/>
              <w:right w:val="nil"/>
            </w:tcBorders>
          </w:tcPr>
          <w:p w14:paraId="241ED2C5" w14:textId="77777777" w:rsidR="00732A21" w:rsidRPr="00BC54D1" w:rsidRDefault="00732A21" w:rsidP="00732A21">
            <w:pPr>
              <w:widowControl w:val="0"/>
              <w:autoSpaceDE w:val="0"/>
              <w:autoSpaceDN w:val="0"/>
              <w:adjustRightInd w:val="0"/>
              <w:rPr>
                <w:rFonts w:ascii="Times New Roman" w:hAnsi="Times New Roman"/>
                <w:sz w:val="18"/>
                <w:szCs w:val="18"/>
              </w:rPr>
            </w:pPr>
          </w:p>
          <w:p w14:paraId="4D8889DC" w14:textId="77777777" w:rsidR="00732A21" w:rsidRPr="00BC54D1" w:rsidRDefault="00732A21" w:rsidP="00732A21">
            <w:pPr>
              <w:widowControl w:val="0"/>
              <w:autoSpaceDE w:val="0"/>
              <w:autoSpaceDN w:val="0"/>
              <w:adjustRightInd w:val="0"/>
              <w:rPr>
                <w:rFonts w:ascii="Times New Roman" w:hAnsi="Times New Roman"/>
                <w:sz w:val="18"/>
                <w:szCs w:val="18"/>
              </w:rPr>
            </w:pPr>
            <w:r w:rsidRPr="00BC54D1">
              <w:rPr>
                <w:rFonts w:ascii="Times New Roman" w:hAnsi="Times New Roman"/>
                <w:sz w:val="18"/>
                <w:szCs w:val="18"/>
              </w:rPr>
              <w:t xml:space="preserve">Year </w:t>
            </w:r>
          </w:p>
          <w:p w14:paraId="0A1DA2E7" w14:textId="77777777" w:rsidR="00732A21" w:rsidRPr="00BC54D1" w:rsidRDefault="00732A21" w:rsidP="00732A21">
            <w:pPr>
              <w:widowControl w:val="0"/>
              <w:autoSpaceDE w:val="0"/>
              <w:autoSpaceDN w:val="0"/>
              <w:adjustRightInd w:val="0"/>
              <w:rPr>
                <w:rFonts w:ascii="Times New Roman" w:hAnsi="Times New Roman"/>
                <w:sz w:val="18"/>
                <w:szCs w:val="18"/>
              </w:rPr>
            </w:pPr>
            <w:r w:rsidRPr="00BC54D1">
              <w:rPr>
                <w:rFonts w:ascii="Times New Roman" w:hAnsi="Times New Roman"/>
                <w:sz w:val="18"/>
                <w:szCs w:val="18"/>
              </w:rPr>
              <w:t xml:space="preserve">Industry </w:t>
            </w:r>
          </w:p>
        </w:tc>
        <w:tc>
          <w:tcPr>
            <w:tcW w:w="1814" w:type="dxa"/>
            <w:tcBorders>
              <w:top w:val="nil"/>
              <w:left w:val="nil"/>
              <w:bottom w:val="single" w:sz="4" w:space="0" w:color="auto"/>
              <w:right w:val="nil"/>
            </w:tcBorders>
          </w:tcPr>
          <w:p w14:paraId="2DFF3390"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(-32.90)</w:t>
            </w:r>
          </w:p>
          <w:p w14:paraId="3269E545"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YES</w:t>
            </w:r>
          </w:p>
          <w:p w14:paraId="238D4642"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YES</w:t>
            </w:r>
          </w:p>
        </w:tc>
        <w:tc>
          <w:tcPr>
            <w:tcW w:w="1531" w:type="dxa"/>
            <w:tcBorders>
              <w:top w:val="nil"/>
              <w:left w:val="nil"/>
              <w:bottom w:val="single" w:sz="4" w:space="0" w:color="auto"/>
              <w:right w:val="nil"/>
            </w:tcBorders>
          </w:tcPr>
          <w:p w14:paraId="7DCD22AC"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(-25.16)</w:t>
            </w:r>
          </w:p>
          <w:p w14:paraId="41B81260"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YES</w:t>
            </w:r>
          </w:p>
          <w:p w14:paraId="4DA5CA4F"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YES</w:t>
            </w:r>
          </w:p>
        </w:tc>
        <w:tc>
          <w:tcPr>
            <w:tcW w:w="1644" w:type="dxa"/>
            <w:tcBorders>
              <w:top w:val="nil"/>
              <w:left w:val="nil"/>
              <w:bottom w:val="single" w:sz="4" w:space="0" w:color="auto"/>
              <w:right w:val="nil"/>
            </w:tcBorders>
          </w:tcPr>
          <w:p w14:paraId="6C4F25F1"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(-31.05)</w:t>
            </w:r>
          </w:p>
          <w:p w14:paraId="336F884F"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YES</w:t>
            </w:r>
          </w:p>
          <w:p w14:paraId="58CD1EFB"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YES</w:t>
            </w:r>
          </w:p>
        </w:tc>
        <w:tc>
          <w:tcPr>
            <w:tcW w:w="1587" w:type="dxa"/>
            <w:tcBorders>
              <w:top w:val="nil"/>
              <w:left w:val="nil"/>
              <w:bottom w:val="single" w:sz="4" w:space="0" w:color="auto"/>
              <w:right w:val="nil"/>
            </w:tcBorders>
          </w:tcPr>
          <w:p w14:paraId="502A6CAF"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(-32.99)</w:t>
            </w:r>
          </w:p>
          <w:p w14:paraId="069845D4"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YES</w:t>
            </w:r>
          </w:p>
          <w:p w14:paraId="1ABB77BC"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YES</w:t>
            </w:r>
          </w:p>
        </w:tc>
        <w:tc>
          <w:tcPr>
            <w:tcW w:w="1531" w:type="dxa"/>
            <w:tcBorders>
              <w:top w:val="nil"/>
              <w:left w:val="nil"/>
              <w:bottom w:val="single" w:sz="4" w:space="0" w:color="auto"/>
              <w:right w:val="nil"/>
            </w:tcBorders>
          </w:tcPr>
          <w:p w14:paraId="24ED3719"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(12.14)</w:t>
            </w:r>
          </w:p>
          <w:p w14:paraId="3B677EB8"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YES</w:t>
            </w:r>
          </w:p>
          <w:p w14:paraId="0C751B02"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YES</w:t>
            </w:r>
          </w:p>
        </w:tc>
        <w:tc>
          <w:tcPr>
            <w:tcW w:w="1417" w:type="dxa"/>
            <w:tcBorders>
              <w:top w:val="nil"/>
              <w:left w:val="nil"/>
              <w:bottom w:val="single" w:sz="4" w:space="0" w:color="auto"/>
              <w:right w:val="nil"/>
            </w:tcBorders>
          </w:tcPr>
          <w:p w14:paraId="0399DE1E"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(2.02)</w:t>
            </w:r>
          </w:p>
          <w:p w14:paraId="40EAD5D4"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YES</w:t>
            </w:r>
          </w:p>
          <w:p w14:paraId="0C19F0F3" w14:textId="77777777" w:rsidR="00732A21" w:rsidRPr="00BC54D1" w:rsidRDefault="00732A21" w:rsidP="00732A21">
            <w:pPr>
              <w:widowControl w:val="0"/>
              <w:autoSpaceDE w:val="0"/>
              <w:autoSpaceDN w:val="0"/>
              <w:adjustRightInd w:val="0"/>
              <w:jc w:val="center"/>
              <w:rPr>
                <w:rFonts w:ascii="Times New Roman" w:hAnsi="Times New Roman"/>
                <w:sz w:val="18"/>
                <w:szCs w:val="18"/>
              </w:rPr>
            </w:pPr>
            <w:r w:rsidRPr="00BC54D1">
              <w:rPr>
                <w:rFonts w:ascii="Times New Roman" w:hAnsi="Times New Roman"/>
                <w:sz w:val="18"/>
                <w:szCs w:val="18"/>
              </w:rPr>
              <w:t>YES</w:t>
            </w:r>
          </w:p>
        </w:tc>
      </w:tr>
      <w:tr w:rsidR="00BC54D1" w:rsidRPr="00BC54D1" w14:paraId="1B8E726E" w14:textId="77777777" w:rsidTr="00732A21">
        <w:tc>
          <w:tcPr>
            <w:tcW w:w="850" w:type="dxa"/>
            <w:tcBorders>
              <w:top w:val="single" w:sz="4" w:space="0" w:color="auto"/>
              <w:left w:val="nil"/>
              <w:bottom w:val="nil"/>
              <w:right w:val="nil"/>
            </w:tcBorders>
          </w:tcPr>
          <w:p w14:paraId="7ACBCE94" w14:textId="77777777" w:rsidR="00732A21" w:rsidRPr="00BC54D1" w:rsidRDefault="00732A21" w:rsidP="00732A21">
            <w:pPr>
              <w:widowControl w:val="0"/>
              <w:autoSpaceDE w:val="0"/>
              <w:autoSpaceDN w:val="0"/>
              <w:adjustRightInd w:val="0"/>
              <w:rPr>
                <w:rFonts w:ascii="Times New Roman" w:hAnsi="Times New Roman"/>
                <w:b/>
                <w:bCs/>
                <w:sz w:val="18"/>
                <w:szCs w:val="18"/>
              </w:rPr>
            </w:pPr>
            <w:r w:rsidRPr="00BC54D1">
              <w:rPr>
                <w:rFonts w:ascii="Times New Roman" w:hAnsi="Times New Roman"/>
                <w:b/>
                <w:bCs/>
                <w:i/>
                <w:iCs/>
                <w:sz w:val="18"/>
                <w:szCs w:val="18"/>
              </w:rPr>
              <w:t>N</w:t>
            </w:r>
          </w:p>
        </w:tc>
        <w:tc>
          <w:tcPr>
            <w:tcW w:w="1814" w:type="dxa"/>
            <w:tcBorders>
              <w:top w:val="single" w:sz="4" w:space="0" w:color="auto"/>
              <w:left w:val="nil"/>
              <w:bottom w:val="nil"/>
              <w:right w:val="nil"/>
            </w:tcBorders>
          </w:tcPr>
          <w:p w14:paraId="77C0FA86"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225427</w:t>
            </w:r>
          </w:p>
        </w:tc>
        <w:tc>
          <w:tcPr>
            <w:tcW w:w="1531" w:type="dxa"/>
            <w:tcBorders>
              <w:top w:val="single" w:sz="4" w:space="0" w:color="auto"/>
              <w:left w:val="nil"/>
              <w:bottom w:val="nil"/>
              <w:right w:val="nil"/>
            </w:tcBorders>
          </w:tcPr>
          <w:p w14:paraId="4157E323"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118988</w:t>
            </w:r>
          </w:p>
        </w:tc>
        <w:tc>
          <w:tcPr>
            <w:tcW w:w="1644" w:type="dxa"/>
            <w:tcBorders>
              <w:top w:val="single" w:sz="4" w:space="0" w:color="auto"/>
              <w:left w:val="nil"/>
              <w:bottom w:val="nil"/>
              <w:right w:val="nil"/>
            </w:tcBorders>
          </w:tcPr>
          <w:p w14:paraId="63B18450"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225427</w:t>
            </w:r>
          </w:p>
        </w:tc>
        <w:tc>
          <w:tcPr>
            <w:tcW w:w="1587" w:type="dxa"/>
            <w:tcBorders>
              <w:top w:val="single" w:sz="4" w:space="0" w:color="auto"/>
              <w:left w:val="nil"/>
              <w:bottom w:val="nil"/>
              <w:right w:val="nil"/>
            </w:tcBorders>
          </w:tcPr>
          <w:p w14:paraId="2C2DDFA8"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118988</w:t>
            </w:r>
          </w:p>
        </w:tc>
        <w:tc>
          <w:tcPr>
            <w:tcW w:w="1531" w:type="dxa"/>
            <w:tcBorders>
              <w:top w:val="single" w:sz="4" w:space="0" w:color="auto"/>
              <w:left w:val="nil"/>
              <w:bottom w:val="nil"/>
              <w:right w:val="nil"/>
            </w:tcBorders>
          </w:tcPr>
          <w:p w14:paraId="76EA0DC3"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225427</w:t>
            </w:r>
          </w:p>
        </w:tc>
        <w:tc>
          <w:tcPr>
            <w:tcW w:w="1417" w:type="dxa"/>
            <w:tcBorders>
              <w:top w:val="single" w:sz="4" w:space="0" w:color="auto"/>
              <w:left w:val="nil"/>
              <w:bottom w:val="nil"/>
              <w:right w:val="nil"/>
            </w:tcBorders>
          </w:tcPr>
          <w:p w14:paraId="0C1EFAF6"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118988</w:t>
            </w:r>
          </w:p>
        </w:tc>
      </w:tr>
      <w:tr w:rsidR="00BC54D1" w:rsidRPr="00BC54D1" w14:paraId="70C5EE37" w14:textId="77777777" w:rsidTr="00732A21">
        <w:tc>
          <w:tcPr>
            <w:tcW w:w="850" w:type="dxa"/>
            <w:tcBorders>
              <w:top w:val="nil"/>
              <w:left w:val="nil"/>
              <w:bottom w:val="single" w:sz="4" w:space="0" w:color="auto"/>
              <w:right w:val="nil"/>
            </w:tcBorders>
          </w:tcPr>
          <w:p w14:paraId="42C8AF3E" w14:textId="77777777" w:rsidR="00732A21" w:rsidRPr="00BC54D1" w:rsidRDefault="00732A21" w:rsidP="00732A21">
            <w:pPr>
              <w:widowControl w:val="0"/>
              <w:autoSpaceDE w:val="0"/>
              <w:autoSpaceDN w:val="0"/>
              <w:adjustRightInd w:val="0"/>
              <w:rPr>
                <w:rFonts w:ascii="Times New Roman" w:hAnsi="Times New Roman"/>
                <w:b/>
                <w:bCs/>
                <w:i/>
                <w:iCs/>
                <w:sz w:val="18"/>
                <w:szCs w:val="18"/>
              </w:rPr>
            </w:pPr>
            <w:proofErr w:type="spellStart"/>
            <w:r w:rsidRPr="00BC54D1">
              <w:rPr>
                <w:rFonts w:ascii="Times New Roman" w:hAnsi="Times New Roman"/>
                <w:b/>
                <w:bCs/>
                <w:i/>
                <w:iCs/>
                <w:sz w:val="18"/>
                <w:szCs w:val="18"/>
              </w:rPr>
              <w:t>PseudR</w:t>
            </w:r>
            <w:proofErr w:type="spellEnd"/>
          </w:p>
          <w:p w14:paraId="27F7A9BA" w14:textId="77777777" w:rsidR="00732A21" w:rsidRPr="00BC54D1" w:rsidRDefault="00732A21" w:rsidP="00732A21">
            <w:pPr>
              <w:widowControl w:val="0"/>
              <w:autoSpaceDE w:val="0"/>
              <w:autoSpaceDN w:val="0"/>
              <w:adjustRightInd w:val="0"/>
              <w:rPr>
                <w:rFonts w:ascii="Times New Roman" w:hAnsi="Times New Roman"/>
                <w:b/>
                <w:bCs/>
                <w:i/>
                <w:iCs/>
                <w:sz w:val="18"/>
                <w:szCs w:val="18"/>
              </w:rPr>
            </w:pPr>
            <w:r w:rsidRPr="00BC54D1">
              <w:rPr>
                <w:rFonts w:ascii="Times New Roman" w:hAnsi="Times New Roman"/>
                <w:b/>
                <w:bCs/>
                <w:i/>
                <w:iCs/>
                <w:sz w:val="18"/>
                <w:szCs w:val="18"/>
              </w:rPr>
              <w:t>Chi2</w:t>
            </w:r>
          </w:p>
          <w:p w14:paraId="633713FE" w14:textId="77777777" w:rsidR="00732A21" w:rsidRPr="00BC54D1" w:rsidRDefault="00732A21" w:rsidP="00732A21">
            <w:pPr>
              <w:widowControl w:val="0"/>
              <w:autoSpaceDE w:val="0"/>
              <w:autoSpaceDN w:val="0"/>
              <w:adjustRightInd w:val="0"/>
              <w:rPr>
                <w:rFonts w:ascii="Times New Roman" w:hAnsi="Times New Roman"/>
                <w:b/>
                <w:bCs/>
                <w:sz w:val="18"/>
                <w:szCs w:val="18"/>
              </w:rPr>
            </w:pPr>
            <w:r w:rsidRPr="00BC54D1">
              <w:rPr>
                <w:rFonts w:ascii="Times New Roman" w:hAnsi="Times New Roman"/>
                <w:b/>
                <w:bCs/>
                <w:i/>
                <w:iCs/>
                <w:sz w:val="18"/>
                <w:szCs w:val="18"/>
              </w:rPr>
              <w:t>Prob&gt;Chi2</w:t>
            </w:r>
          </w:p>
        </w:tc>
        <w:tc>
          <w:tcPr>
            <w:tcW w:w="1814" w:type="dxa"/>
            <w:tcBorders>
              <w:top w:val="nil"/>
              <w:left w:val="nil"/>
              <w:bottom w:val="single" w:sz="4" w:space="0" w:color="auto"/>
              <w:right w:val="nil"/>
            </w:tcBorders>
          </w:tcPr>
          <w:p w14:paraId="5306E5CB"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0.20</w:t>
            </w:r>
          </w:p>
          <w:p w14:paraId="4AAA7383"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10347.31</w:t>
            </w:r>
          </w:p>
          <w:p w14:paraId="081E4F78"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0.0000</w:t>
            </w:r>
          </w:p>
        </w:tc>
        <w:tc>
          <w:tcPr>
            <w:tcW w:w="1531" w:type="dxa"/>
            <w:tcBorders>
              <w:top w:val="nil"/>
              <w:left w:val="nil"/>
              <w:bottom w:val="single" w:sz="4" w:space="0" w:color="auto"/>
              <w:right w:val="nil"/>
            </w:tcBorders>
          </w:tcPr>
          <w:p w14:paraId="0DDB7122"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0.20</w:t>
            </w:r>
          </w:p>
          <w:p w14:paraId="368FE438"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11528.27</w:t>
            </w:r>
          </w:p>
          <w:p w14:paraId="4932FB08"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0.0000</w:t>
            </w:r>
          </w:p>
        </w:tc>
        <w:tc>
          <w:tcPr>
            <w:tcW w:w="1644" w:type="dxa"/>
            <w:tcBorders>
              <w:top w:val="nil"/>
              <w:left w:val="nil"/>
              <w:bottom w:val="single" w:sz="4" w:space="0" w:color="auto"/>
              <w:right w:val="nil"/>
            </w:tcBorders>
          </w:tcPr>
          <w:p w14:paraId="43D52EB5"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0.20</w:t>
            </w:r>
          </w:p>
          <w:p w14:paraId="646DB68F"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11074.96</w:t>
            </w:r>
          </w:p>
          <w:p w14:paraId="60017FDD"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0.0000</w:t>
            </w:r>
          </w:p>
        </w:tc>
        <w:tc>
          <w:tcPr>
            <w:tcW w:w="1587" w:type="dxa"/>
            <w:tcBorders>
              <w:top w:val="nil"/>
              <w:left w:val="nil"/>
              <w:bottom w:val="single" w:sz="4" w:space="0" w:color="auto"/>
              <w:right w:val="nil"/>
            </w:tcBorders>
          </w:tcPr>
          <w:p w14:paraId="34931B0D"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0.20</w:t>
            </w:r>
          </w:p>
          <w:p w14:paraId="0A818C6E"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11079.42</w:t>
            </w:r>
          </w:p>
          <w:p w14:paraId="26F50F1C"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0.0000</w:t>
            </w:r>
          </w:p>
        </w:tc>
        <w:tc>
          <w:tcPr>
            <w:tcW w:w="1531" w:type="dxa"/>
            <w:tcBorders>
              <w:top w:val="nil"/>
              <w:left w:val="nil"/>
              <w:bottom w:val="single" w:sz="4" w:space="0" w:color="auto"/>
              <w:right w:val="nil"/>
            </w:tcBorders>
          </w:tcPr>
          <w:p w14:paraId="22517306" w14:textId="27E77FFB"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0.01</w:t>
            </w:r>
          </w:p>
        </w:tc>
        <w:tc>
          <w:tcPr>
            <w:tcW w:w="1417" w:type="dxa"/>
            <w:tcBorders>
              <w:top w:val="nil"/>
              <w:left w:val="nil"/>
              <w:bottom w:val="single" w:sz="4" w:space="0" w:color="auto"/>
              <w:right w:val="nil"/>
            </w:tcBorders>
          </w:tcPr>
          <w:p w14:paraId="29B67C75" w14:textId="772580FE" w:rsidR="00732A21" w:rsidRPr="00BC54D1" w:rsidRDefault="00732A21" w:rsidP="00732A21">
            <w:pPr>
              <w:widowControl w:val="0"/>
              <w:autoSpaceDE w:val="0"/>
              <w:autoSpaceDN w:val="0"/>
              <w:adjustRightInd w:val="0"/>
              <w:jc w:val="center"/>
              <w:rPr>
                <w:rFonts w:ascii="Times New Roman" w:hAnsi="Times New Roman"/>
                <w:b/>
                <w:bCs/>
                <w:sz w:val="18"/>
                <w:szCs w:val="18"/>
              </w:rPr>
            </w:pPr>
            <w:r w:rsidRPr="00BC54D1">
              <w:rPr>
                <w:rFonts w:ascii="Times New Roman" w:hAnsi="Times New Roman"/>
                <w:b/>
                <w:bCs/>
                <w:sz w:val="18"/>
                <w:szCs w:val="18"/>
              </w:rPr>
              <w:t>0.0</w:t>
            </w:r>
            <w:r w:rsidR="005433B2" w:rsidRPr="00BC54D1">
              <w:rPr>
                <w:rFonts w:ascii="Times New Roman" w:hAnsi="Times New Roman"/>
                <w:b/>
                <w:bCs/>
                <w:sz w:val="18"/>
                <w:szCs w:val="18"/>
              </w:rPr>
              <w:t>2</w:t>
            </w:r>
          </w:p>
          <w:p w14:paraId="58D14EB9" w14:textId="77777777" w:rsidR="00732A21" w:rsidRPr="00BC54D1" w:rsidRDefault="00732A21" w:rsidP="00732A21">
            <w:pPr>
              <w:widowControl w:val="0"/>
              <w:autoSpaceDE w:val="0"/>
              <w:autoSpaceDN w:val="0"/>
              <w:adjustRightInd w:val="0"/>
              <w:jc w:val="center"/>
              <w:rPr>
                <w:rFonts w:ascii="Times New Roman" w:hAnsi="Times New Roman"/>
                <w:b/>
                <w:bCs/>
                <w:sz w:val="18"/>
                <w:szCs w:val="18"/>
              </w:rPr>
            </w:pPr>
          </w:p>
        </w:tc>
      </w:tr>
    </w:tbl>
    <w:p w14:paraId="74509A1B" w14:textId="17014F31" w:rsidR="00732A21" w:rsidRPr="00C07A22" w:rsidRDefault="00732A21" w:rsidP="00732A21">
      <w:pPr>
        <w:widowControl w:val="0"/>
        <w:autoSpaceDE w:val="0"/>
        <w:autoSpaceDN w:val="0"/>
        <w:adjustRightInd w:val="0"/>
        <w:jc w:val="both"/>
        <w:rPr>
          <w:rFonts w:ascii="Times New Roman" w:hAnsi="Times New Roman"/>
          <w:bCs/>
          <w:sz w:val="18"/>
          <w:szCs w:val="18"/>
        </w:rPr>
      </w:pPr>
      <w:r w:rsidRPr="00C07A22">
        <w:rPr>
          <w:rFonts w:ascii="Times New Roman" w:hAnsi="Times New Roman"/>
          <w:bCs/>
          <w:sz w:val="18"/>
          <w:szCs w:val="18"/>
        </w:rPr>
        <w:t xml:space="preserve">The table reports the </w:t>
      </w:r>
      <w:proofErr w:type="spellStart"/>
      <w:r w:rsidR="000675D7" w:rsidRPr="00C07A22">
        <w:rPr>
          <w:rFonts w:ascii="Times New Roman" w:hAnsi="Times New Roman"/>
          <w:bCs/>
          <w:sz w:val="18"/>
          <w:szCs w:val="18"/>
        </w:rPr>
        <w:t>probit</w:t>
      </w:r>
      <w:proofErr w:type="spellEnd"/>
      <w:r w:rsidR="000675D7" w:rsidRPr="00C07A22">
        <w:rPr>
          <w:rFonts w:ascii="Times New Roman" w:hAnsi="Times New Roman"/>
          <w:bCs/>
          <w:sz w:val="18"/>
          <w:szCs w:val="18"/>
        </w:rPr>
        <w:t xml:space="preserve"> </w:t>
      </w:r>
      <w:r w:rsidRPr="00C07A22">
        <w:rPr>
          <w:rFonts w:ascii="Times New Roman" w:hAnsi="Times New Roman"/>
          <w:bCs/>
          <w:sz w:val="18"/>
          <w:szCs w:val="18"/>
        </w:rPr>
        <w:t xml:space="preserve">and </w:t>
      </w:r>
      <w:r w:rsidR="000675D7" w:rsidRPr="00C07A22">
        <w:rPr>
          <w:rFonts w:ascii="Times New Roman" w:hAnsi="Times New Roman"/>
          <w:bCs/>
          <w:sz w:val="18"/>
          <w:szCs w:val="18"/>
        </w:rPr>
        <w:t xml:space="preserve">logit </w:t>
      </w:r>
      <w:r w:rsidRPr="00C07A22">
        <w:rPr>
          <w:rFonts w:ascii="Times New Roman" w:hAnsi="Times New Roman"/>
          <w:bCs/>
          <w:sz w:val="18"/>
          <w:szCs w:val="18"/>
        </w:rPr>
        <w:t>estimation results of firm status (private versus public) and their R&amp;D in</w:t>
      </w:r>
      <w:r w:rsidR="00A2438C" w:rsidRPr="00C07A22">
        <w:rPr>
          <w:rFonts w:ascii="Times New Roman" w:hAnsi="Times New Roman"/>
          <w:bCs/>
          <w:sz w:val="18"/>
          <w:szCs w:val="18"/>
        </w:rPr>
        <w:t>tensity</w:t>
      </w:r>
      <w:r w:rsidRPr="00C07A22">
        <w:rPr>
          <w:rFonts w:ascii="Times New Roman" w:hAnsi="Times New Roman"/>
          <w:bCs/>
          <w:sz w:val="18"/>
          <w:szCs w:val="18"/>
        </w:rPr>
        <w:t xml:space="preserve"> behaviour. Our dependent variable (R&amp;D intensity) is an indicator variable of one (1) if the R&amp;D ratio value is above the median and zero (0) otherwise. Also, </w:t>
      </w:r>
      <w:r w:rsidR="00A2438C" w:rsidRPr="00C07A22">
        <w:rPr>
          <w:rFonts w:ascii="Times New Roman" w:hAnsi="Times New Roman"/>
          <w:bCs/>
          <w:sz w:val="18"/>
          <w:szCs w:val="18"/>
        </w:rPr>
        <w:t xml:space="preserve">our independent variable </w:t>
      </w:r>
      <w:r w:rsidR="007836A5" w:rsidRPr="00C07A22">
        <w:rPr>
          <w:rFonts w:ascii="Times New Roman" w:hAnsi="Times New Roman"/>
          <w:bCs/>
          <w:sz w:val="18"/>
          <w:szCs w:val="18"/>
        </w:rPr>
        <w:t>–</w:t>
      </w:r>
      <w:r w:rsidR="00A2438C" w:rsidRPr="00C07A22">
        <w:rPr>
          <w:rFonts w:ascii="Times New Roman" w:hAnsi="Times New Roman"/>
          <w:bCs/>
          <w:sz w:val="18"/>
          <w:szCs w:val="18"/>
        </w:rPr>
        <w:t xml:space="preserve"> </w:t>
      </w:r>
      <w:r w:rsidRPr="00C07A22">
        <w:rPr>
          <w:rFonts w:ascii="Times New Roman" w:hAnsi="Times New Roman"/>
          <w:bCs/>
          <w:sz w:val="18"/>
          <w:szCs w:val="18"/>
        </w:rPr>
        <w:t xml:space="preserve">private firm (PRIV) </w:t>
      </w:r>
      <w:r w:rsidR="007836A5" w:rsidRPr="00C07A22">
        <w:rPr>
          <w:rFonts w:ascii="Times New Roman" w:hAnsi="Times New Roman"/>
          <w:bCs/>
          <w:sz w:val="18"/>
          <w:szCs w:val="18"/>
        </w:rPr>
        <w:t xml:space="preserve">– </w:t>
      </w:r>
      <w:r w:rsidRPr="00C07A22">
        <w:rPr>
          <w:rFonts w:ascii="Times New Roman" w:hAnsi="Times New Roman"/>
          <w:bCs/>
          <w:sz w:val="18"/>
          <w:szCs w:val="18"/>
        </w:rPr>
        <w:t xml:space="preserve">is a dummy variable of one (1) and zero (0). </w:t>
      </w:r>
      <w:proofErr w:type="spellStart"/>
      <w:r w:rsidRPr="00C07A22">
        <w:rPr>
          <w:rFonts w:ascii="Times New Roman" w:hAnsi="Times New Roman"/>
          <w:bCs/>
          <w:sz w:val="18"/>
          <w:szCs w:val="18"/>
        </w:rPr>
        <w:t>Probit</w:t>
      </w:r>
      <w:proofErr w:type="spellEnd"/>
      <w:r w:rsidRPr="00C07A22">
        <w:rPr>
          <w:rFonts w:ascii="Times New Roman" w:hAnsi="Times New Roman"/>
          <w:bCs/>
          <w:sz w:val="18"/>
          <w:szCs w:val="18"/>
        </w:rPr>
        <w:t xml:space="preserve"> regression is our main regression results whilst the </w:t>
      </w:r>
      <w:r w:rsidR="000675D7" w:rsidRPr="00C07A22">
        <w:rPr>
          <w:rFonts w:ascii="Times New Roman" w:hAnsi="Times New Roman"/>
          <w:bCs/>
          <w:sz w:val="18"/>
          <w:szCs w:val="18"/>
        </w:rPr>
        <w:t xml:space="preserve">logit </w:t>
      </w:r>
      <w:r w:rsidRPr="00C07A22">
        <w:rPr>
          <w:rFonts w:ascii="Times New Roman" w:hAnsi="Times New Roman"/>
          <w:bCs/>
          <w:sz w:val="18"/>
          <w:szCs w:val="18"/>
        </w:rPr>
        <w:t xml:space="preserve">and alternative measure of dependent variable is for robustness purposes. </w:t>
      </w:r>
      <w:r w:rsidR="00046ACA" w:rsidRPr="00C07A22">
        <w:rPr>
          <w:rFonts w:ascii="Times New Roman" w:hAnsi="Times New Roman"/>
          <w:bCs/>
          <w:sz w:val="18"/>
          <w:szCs w:val="18"/>
        </w:rPr>
        <w:t xml:space="preserve">In </w:t>
      </w:r>
      <w:r w:rsidR="00E02976" w:rsidRPr="00C07A22">
        <w:rPr>
          <w:rFonts w:ascii="Times New Roman" w:hAnsi="Times New Roman"/>
          <w:bCs/>
          <w:sz w:val="18"/>
          <w:szCs w:val="18"/>
        </w:rPr>
        <w:t xml:space="preserve">Models 5 &amp; </w:t>
      </w:r>
      <w:proofErr w:type="gramStart"/>
      <w:r w:rsidR="00E02976" w:rsidRPr="00C07A22">
        <w:rPr>
          <w:rFonts w:ascii="Times New Roman" w:hAnsi="Times New Roman"/>
          <w:bCs/>
          <w:sz w:val="18"/>
          <w:szCs w:val="18"/>
        </w:rPr>
        <w:t xml:space="preserve">6 </w:t>
      </w:r>
      <w:r w:rsidR="00046ACA" w:rsidRPr="00C07A22">
        <w:rPr>
          <w:rFonts w:ascii="Times New Roman" w:hAnsi="Times New Roman"/>
          <w:bCs/>
          <w:sz w:val="18"/>
          <w:szCs w:val="18"/>
        </w:rPr>
        <w:t>,</w:t>
      </w:r>
      <w:proofErr w:type="gramEnd"/>
      <w:r w:rsidR="00046ACA" w:rsidRPr="00C07A22">
        <w:rPr>
          <w:rFonts w:ascii="Times New Roman" w:hAnsi="Times New Roman"/>
          <w:bCs/>
          <w:sz w:val="18"/>
          <w:szCs w:val="18"/>
        </w:rPr>
        <w:t xml:space="preserve"> we apply OLS technique to</w:t>
      </w:r>
      <w:r w:rsidR="00E02976" w:rsidRPr="00C07A22">
        <w:rPr>
          <w:rFonts w:ascii="Times New Roman" w:hAnsi="Times New Roman"/>
          <w:bCs/>
          <w:sz w:val="18"/>
          <w:szCs w:val="18"/>
        </w:rPr>
        <w:t xml:space="preserve"> the </w:t>
      </w:r>
      <w:r w:rsidR="00046ACA" w:rsidRPr="00C07A22">
        <w:rPr>
          <w:rFonts w:ascii="Times New Roman" w:hAnsi="Times New Roman"/>
          <w:bCs/>
          <w:sz w:val="18"/>
          <w:szCs w:val="18"/>
        </w:rPr>
        <w:t>alternative measure of dependent variable (</w:t>
      </w:r>
      <w:r w:rsidR="00E02976" w:rsidRPr="00C07A22">
        <w:rPr>
          <w:rFonts w:ascii="Times New Roman" w:hAnsi="Times New Roman"/>
          <w:bCs/>
          <w:sz w:val="18"/>
          <w:szCs w:val="18"/>
        </w:rPr>
        <w:t xml:space="preserve">R&amp;D </w:t>
      </w:r>
      <w:r w:rsidR="00046ACA" w:rsidRPr="00C07A22">
        <w:rPr>
          <w:rFonts w:ascii="Times New Roman" w:hAnsi="Times New Roman"/>
          <w:bCs/>
          <w:sz w:val="18"/>
          <w:szCs w:val="18"/>
        </w:rPr>
        <w:t xml:space="preserve">ratio measured as </w:t>
      </w:r>
      <w:r w:rsidR="00E02976" w:rsidRPr="00C07A22">
        <w:rPr>
          <w:rFonts w:ascii="Times New Roman" w:hAnsi="Times New Roman"/>
          <w:bCs/>
          <w:sz w:val="18"/>
          <w:szCs w:val="18"/>
        </w:rPr>
        <w:t xml:space="preserve">R&amp;D expenses normalised by Total </w:t>
      </w:r>
      <w:r w:rsidR="007836A5" w:rsidRPr="00C07A22">
        <w:rPr>
          <w:rFonts w:ascii="Times New Roman" w:hAnsi="Times New Roman"/>
          <w:bCs/>
          <w:sz w:val="18"/>
          <w:szCs w:val="18"/>
        </w:rPr>
        <w:t>A</w:t>
      </w:r>
      <w:r w:rsidR="00E02976" w:rsidRPr="00C07A22">
        <w:rPr>
          <w:rFonts w:ascii="Times New Roman" w:hAnsi="Times New Roman"/>
          <w:bCs/>
          <w:sz w:val="18"/>
          <w:szCs w:val="18"/>
        </w:rPr>
        <w:t>ssets)</w:t>
      </w:r>
      <w:r w:rsidR="00046ACA" w:rsidRPr="00C07A22">
        <w:rPr>
          <w:rFonts w:ascii="Times New Roman" w:hAnsi="Times New Roman"/>
          <w:bCs/>
          <w:sz w:val="18"/>
          <w:szCs w:val="18"/>
        </w:rPr>
        <w:t xml:space="preserve">. </w:t>
      </w:r>
      <w:r w:rsidRPr="00C07A22">
        <w:rPr>
          <w:rFonts w:ascii="Times New Roman" w:hAnsi="Times New Roman"/>
          <w:bCs/>
          <w:sz w:val="18"/>
          <w:szCs w:val="18"/>
        </w:rPr>
        <w:t>All variable definitions are described in Table 1. *, ** and *** indicate statistical significance at the 10%, 5% and 1% levels, respectively.</w:t>
      </w:r>
    </w:p>
    <w:p w14:paraId="510DA033" w14:textId="12C7947B" w:rsidR="00C742F7" w:rsidRPr="00BC54D1" w:rsidRDefault="00C742F7" w:rsidP="00732A21">
      <w:pPr>
        <w:widowControl w:val="0"/>
        <w:autoSpaceDE w:val="0"/>
        <w:autoSpaceDN w:val="0"/>
        <w:adjustRightInd w:val="0"/>
        <w:jc w:val="both"/>
        <w:rPr>
          <w:rFonts w:ascii="Times New Roman" w:hAnsi="Times New Roman"/>
          <w:b/>
          <w:bCs/>
          <w:sz w:val="18"/>
          <w:szCs w:val="18"/>
        </w:rPr>
      </w:pPr>
    </w:p>
    <w:p w14:paraId="0D97DEE5" w14:textId="164EB11D" w:rsidR="00C742F7" w:rsidRPr="00BC54D1" w:rsidRDefault="00C742F7" w:rsidP="00732A21">
      <w:pPr>
        <w:widowControl w:val="0"/>
        <w:autoSpaceDE w:val="0"/>
        <w:autoSpaceDN w:val="0"/>
        <w:adjustRightInd w:val="0"/>
        <w:jc w:val="both"/>
        <w:rPr>
          <w:rFonts w:ascii="Times New Roman" w:hAnsi="Times New Roman"/>
          <w:b/>
          <w:bCs/>
          <w:sz w:val="18"/>
          <w:szCs w:val="18"/>
        </w:rPr>
      </w:pPr>
    </w:p>
    <w:p w14:paraId="63ED68AB" w14:textId="25D55EBC" w:rsidR="00C742F7" w:rsidRPr="00BC54D1" w:rsidRDefault="00C742F7" w:rsidP="00732A21">
      <w:pPr>
        <w:widowControl w:val="0"/>
        <w:autoSpaceDE w:val="0"/>
        <w:autoSpaceDN w:val="0"/>
        <w:adjustRightInd w:val="0"/>
        <w:jc w:val="both"/>
        <w:rPr>
          <w:rFonts w:ascii="Times New Roman" w:hAnsi="Times New Roman"/>
          <w:b/>
          <w:bCs/>
          <w:sz w:val="18"/>
          <w:szCs w:val="18"/>
        </w:rPr>
      </w:pPr>
    </w:p>
    <w:p w14:paraId="05A01A62" w14:textId="6A20CB09" w:rsidR="00C742F7" w:rsidRPr="00BC54D1" w:rsidRDefault="00C742F7" w:rsidP="00732A21">
      <w:pPr>
        <w:widowControl w:val="0"/>
        <w:autoSpaceDE w:val="0"/>
        <w:autoSpaceDN w:val="0"/>
        <w:adjustRightInd w:val="0"/>
        <w:jc w:val="both"/>
        <w:rPr>
          <w:rFonts w:ascii="Times New Roman" w:hAnsi="Times New Roman"/>
          <w:b/>
          <w:bCs/>
          <w:sz w:val="18"/>
          <w:szCs w:val="18"/>
        </w:rPr>
      </w:pPr>
    </w:p>
    <w:p w14:paraId="071A0345" w14:textId="0BFC303B" w:rsidR="00C742F7" w:rsidRPr="00BC54D1" w:rsidRDefault="00C742F7" w:rsidP="00732A21">
      <w:pPr>
        <w:widowControl w:val="0"/>
        <w:autoSpaceDE w:val="0"/>
        <w:autoSpaceDN w:val="0"/>
        <w:adjustRightInd w:val="0"/>
        <w:jc w:val="both"/>
        <w:rPr>
          <w:rFonts w:ascii="Times New Roman" w:hAnsi="Times New Roman"/>
          <w:b/>
          <w:bCs/>
          <w:sz w:val="18"/>
          <w:szCs w:val="18"/>
        </w:rPr>
      </w:pPr>
    </w:p>
    <w:p w14:paraId="64D309D1" w14:textId="0F2C9495" w:rsidR="00C742F7" w:rsidRPr="00BC54D1" w:rsidRDefault="00C742F7" w:rsidP="00732A21">
      <w:pPr>
        <w:widowControl w:val="0"/>
        <w:autoSpaceDE w:val="0"/>
        <w:autoSpaceDN w:val="0"/>
        <w:adjustRightInd w:val="0"/>
        <w:jc w:val="both"/>
        <w:rPr>
          <w:rFonts w:ascii="Times New Roman" w:hAnsi="Times New Roman"/>
          <w:b/>
          <w:bCs/>
          <w:sz w:val="18"/>
          <w:szCs w:val="18"/>
        </w:rPr>
      </w:pPr>
    </w:p>
    <w:p w14:paraId="3C4CE30F" w14:textId="6CAF8280" w:rsidR="00C742F7" w:rsidRPr="00BC54D1" w:rsidRDefault="00C742F7" w:rsidP="00732A21">
      <w:pPr>
        <w:widowControl w:val="0"/>
        <w:autoSpaceDE w:val="0"/>
        <w:autoSpaceDN w:val="0"/>
        <w:adjustRightInd w:val="0"/>
        <w:jc w:val="both"/>
        <w:rPr>
          <w:rFonts w:ascii="Times New Roman" w:hAnsi="Times New Roman"/>
          <w:b/>
          <w:bCs/>
          <w:sz w:val="18"/>
          <w:szCs w:val="18"/>
        </w:rPr>
      </w:pPr>
    </w:p>
    <w:p w14:paraId="242E505A" w14:textId="1FCD5D3F" w:rsidR="00C742F7" w:rsidRPr="00BC54D1" w:rsidRDefault="00C742F7" w:rsidP="00732A21">
      <w:pPr>
        <w:widowControl w:val="0"/>
        <w:autoSpaceDE w:val="0"/>
        <w:autoSpaceDN w:val="0"/>
        <w:adjustRightInd w:val="0"/>
        <w:jc w:val="both"/>
        <w:rPr>
          <w:rFonts w:ascii="Times New Roman" w:hAnsi="Times New Roman"/>
          <w:b/>
          <w:bCs/>
          <w:sz w:val="18"/>
          <w:szCs w:val="18"/>
        </w:rPr>
      </w:pPr>
    </w:p>
    <w:p w14:paraId="247EF77B" w14:textId="35E8E900" w:rsidR="00C742F7" w:rsidRPr="00BC54D1" w:rsidRDefault="00C742F7" w:rsidP="00732A21">
      <w:pPr>
        <w:widowControl w:val="0"/>
        <w:autoSpaceDE w:val="0"/>
        <w:autoSpaceDN w:val="0"/>
        <w:adjustRightInd w:val="0"/>
        <w:jc w:val="both"/>
        <w:rPr>
          <w:rFonts w:ascii="Times New Roman" w:hAnsi="Times New Roman"/>
          <w:b/>
          <w:bCs/>
          <w:sz w:val="18"/>
          <w:szCs w:val="18"/>
        </w:rPr>
      </w:pPr>
    </w:p>
    <w:p w14:paraId="433F6B22" w14:textId="72FDD1CA" w:rsidR="00C742F7" w:rsidRPr="00BC54D1" w:rsidRDefault="00C742F7" w:rsidP="00732A21">
      <w:pPr>
        <w:widowControl w:val="0"/>
        <w:autoSpaceDE w:val="0"/>
        <w:autoSpaceDN w:val="0"/>
        <w:adjustRightInd w:val="0"/>
        <w:jc w:val="both"/>
        <w:rPr>
          <w:rFonts w:ascii="Times New Roman" w:hAnsi="Times New Roman"/>
          <w:b/>
          <w:bCs/>
          <w:sz w:val="18"/>
          <w:szCs w:val="18"/>
        </w:rPr>
      </w:pPr>
    </w:p>
    <w:p w14:paraId="53014EC5" w14:textId="54C2C7F1" w:rsidR="00C563BF" w:rsidRPr="00BC54D1" w:rsidRDefault="00722235" w:rsidP="00C563BF">
      <w:pPr>
        <w:widowControl w:val="0"/>
        <w:autoSpaceDE w:val="0"/>
        <w:autoSpaceDN w:val="0"/>
        <w:adjustRightInd w:val="0"/>
        <w:spacing w:line="360" w:lineRule="auto"/>
        <w:jc w:val="both"/>
        <w:rPr>
          <w:rFonts w:ascii="Times New Roman" w:hAnsi="Times New Roman"/>
          <w:b/>
          <w:bCs/>
        </w:rPr>
      </w:pPr>
      <w:r w:rsidRPr="00BC54D1">
        <w:rPr>
          <w:rFonts w:ascii="Times New Roman" w:hAnsi="Times New Roman"/>
          <w:b/>
          <w:bCs/>
        </w:rPr>
        <w:lastRenderedPageBreak/>
        <w:t xml:space="preserve">Table V: </w:t>
      </w:r>
      <w:r w:rsidR="00C563BF" w:rsidRPr="00BC54D1">
        <w:rPr>
          <w:rFonts w:ascii="Times New Roman" w:hAnsi="Times New Roman"/>
          <w:b/>
          <w:bCs/>
        </w:rPr>
        <w:t xml:space="preserve">Firm listing status (private vs public) and R&amp;D Intensity  </w:t>
      </w:r>
    </w:p>
    <w:p w14:paraId="0E661571" w14:textId="0BBE8748" w:rsidR="00C742F7" w:rsidRPr="00BC54D1" w:rsidRDefault="7759D9CA" w:rsidP="00CA0F2C">
      <w:pPr>
        <w:widowControl w:val="0"/>
        <w:pBdr>
          <w:top w:val="single" w:sz="4" w:space="1" w:color="auto"/>
        </w:pBdr>
        <w:autoSpaceDE w:val="0"/>
        <w:autoSpaceDN w:val="0"/>
        <w:adjustRightInd w:val="0"/>
        <w:spacing w:line="360" w:lineRule="auto"/>
        <w:jc w:val="both"/>
        <w:rPr>
          <w:rFonts w:ascii="Times New Roman" w:hAnsi="Times New Roman"/>
        </w:rPr>
      </w:pPr>
      <w:r w:rsidRPr="00BC54D1">
        <w:rPr>
          <w:rFonts w:ascii="Times New Roman" w:hAnsi="Times New Roman"/>
        </w:rPr>
        <w:t xml:space="preserve">                                                    Simultaneous equations model (SEM) using 3SLS</w:t>
      </w:r>
    </w:p>
    <w:tbl>
      <w:tblPr>
        <w:tblW w:w="9297" w:type="dxa"/>
        <w:tblLayout w:type="fixed"/>
        <w:tblLook w:val="0000" w:firstRow="0" w:lastRow="0" w:firstColumn="0" w:lastColumn="0" w:noHBand="0" w:noVBand="0"/>
      </w:tblPr>
      <w:tblGrid>
        <w:gridCol w:w="794"/>
        <w:gridCol w:w="3288"/>
        <w:gridCol w:w="907"/>
        <w:gridCol w:w="2891"/>
        <w:gridCol w:w="1417"/>
      </w:tblGrid>
      <w:tr w:rsidR="00BC54D1" w:rsidRPr="00BC54D1" w14:paraId="1CE62E41" w14:textId="77777777" w:rsidTr="7759D9CA">
        <w:tc>
          <w:tcPr>
            <w:tcW w:w="794" w:type="dxa"/>
            <w:tcBorders>
              <w:top w:val="single" w:sz="4" w:space="0" w:color="auto"/>
              <w:left w:val="nil"/>
              <w:bottom w:val="nil"/>
              <w:right w:val="nil"/>
            </w:tcBorders>
          </w:tcPr>
          <w:p w14:paraId="70CE3E84" w14:textId="77777777" w:rsidR="00D55EA0" w:rsidRPr="00BC54D1" w:rsidRDefault="00D55EA0" w:rsidP="00C641D8">
            <w:pPr>
              <w:widowControl w:val="0"/>
              <w:autoSpaceDE w:val="0"/>
              <w:autoSpaceDN w:val="0"/>
              <w:adjustRightInd w:val="0"/>
              <w:spacing w:line="360" w:lineRule="auto"/>
              <w:rPr>
                <w:rFonts w:ascii="Times New Roman" w:hAnsi="Times New Roman"/>
                <w:b/>
                <w:bCs/>
                <w:sz w:val="18"/>
                <w:szCs w:val="18"/>
                <w:lang w:val="en-US"/>
              </w:rPr>
            </w:pPr>
          </w:p>
        </w:tc>
        <w:tc>
          <w:tcPr>
            <w:tcW w:w="3288" w:type="dxa"/>
            <w:tcBorders>
              <w:top w:val="single" w:sz="4" w:space="0" w:color="auto"/>
              <w:left w:val="nil"/>
              <w:bottom w:val="nil"/>
              <w:right w:val="nil"/>
            </w:tcBorders>
          </w:tcPr>
          <w:p w14:paraId="334151D4" w14:textId="77777777" w:rsidR="00D55EA0" w:rsidRPr="00BC54D1" w:rsidRDefault="00D55EA0" w:rsidP="00C641D8">
            <w:pPr>
              <w:widowControl w:val="0"/>
              <w:autoSpaceDE w:val="0"/>
              <w:autoSpaceDN w:val="0"/>
              <w:adjustRightInd w:val="0"/>
              <w:spacing w:line="360" w:lineRule="auto"/>
              <w:jc w:val="center"/>
              <w:rPr>
                <w:rFonts w:ascii="Times New Roman" w:hAnsi="Times New Roman"/>
                <w:b/>
                <w:bCs/>
                <w:sz w:val="18"/>
                <w:szCs w:val="18"/>
                <w:lang w:val="en-US"/>
              </w:rPr>
            </w:pPr>
            <w:r w:rsidRPr="00BC54D1">
              <w:rPr>
                <w:rFonts w:ascii="Times New Roman" w:hAnsi="Times New Roman"/>
                <w:b/>
                <w:bCs/>
                <w:sz w:val="18"/>
                <w:szCs w:val="18"/>
                <w:lang w:val="en-US"/>
              </w:rPr>
              <w:t>(2</w:t>
            </w:r>
            <w:r w:rsidRPr="00BC54D1">
              <w:rPr>
                <w:rFonts w:ascii="Times New Roman" w:hAnsi="Times New Roman"/>
                <w:b/>
                <w:bCs/>
                <w:sz w:val="18"/>
                <w:szCs w:val="18"/>
                <w:vertAlign w:val="superscript"/>
                <w:lang w:val="en-US"/>
              </w:rPr>
              <w:t>nd</w:t>
            </w:r>
            <w:r w:rsidRPr="00BC54D1">
              <w:rPr>
                <w:rFonts w:ascii="Times New Roman" w:hAnsi="Times New Roman"/>
                <w:b/>
                <w:bCs/>
                <w:sz w:val="18"/>
                <w:szCs w:val="18"/>
                <w:lang w:val="en-US"/>
              </w:rPr>
              <w:t xml:space="preserve"> Stage)</w:t>
            </w:r>
          </w:p>
        </w:tc>
        <w:tc>
          <w:tcPr>
            <w:tcW w:w="907" w:type="dxa"/>
            <w:tcBorders>
              <w:top w:val="single" w:sz="4" w:space="0" w:color="auto"/>
              <w:left w:val="nil"/>
              <w:bottom w:val="nil"/>
              <w:right w:val="nil"/>
            </w:tcBorders>
          </w:tcPr>
          <w:p w14:paraId="6BECFFDD" w14:textId="175ED202" w:rsidR="00D55EA0" w:rsidRPr="00BC54D1" w:rsidRDefault="00D55EA0" w:rsidP="00DA5C82">
            <w:pPr>
              <w:widowControl w:val="0"/>
              <w:autoSpaceDE w:val="0"/>
              <w:autoSpaceDN w:val="0"/>
              <w:adjustRightInd w:val="0"/>
              <w:spacing w:line="360" w:lineRule="auto"/>
              <w:rPr>
                <w:rFonts w:ascii="Times New Roman" w:hAnsi="Times New Roman"/>
                <w:b/>
                <w:bCs/>
                <w:sz w:val="18"/>
                <w:szCs w:val="18"/>
                <w:lang w:val="en-US"/>
              </w:rPr>
            </w:pPr>
            <w:r w:rsidRPr="00BC54D1">
              <w:rPr>
                <w:rFonts w:ascii="Times New Roman" w:hAnsi="Times New Roman"/>
                <w:b/>
                <w:bCs/>
                <w:sz w:val="18"/>
                <w:szCs w:val="18"/>
                <w:lang w:val="en-US"/>
              </w:rPr>
              <w:t>1</w:t>
            </w:r>
            <w:r w:rsidR="00E12514" w:rsidRPr="00BC54D1">
              <w:rPr>
                <w:rFonts w:ascii="Times New Roman" w:hAnsi="Times New Roman"/>
                <w:b/>
                <w:bCs/>
                <w:sz w:val="18"/>
                <w:szCs w:val="18"/>
                <w:vertAlign w:val="superscript"/>
                <w:lang w:val="en-US"/>
              </w:rPr>
              <w:t xml:space="preserve">st </w:t>
            </w:r>
            <w:r w:rsidRPr="00BC54D1">
              <w:rPr>
                <w:rFonts w:ascii="Times New Roman" w:hAnsi="Times New Roman"/>
                <w:b/>
                <w:bCs/>
                <w:sz w:val="18"/>
                <w:szCs w:val="18"/>
                <w:lang w:val="en-US"/>
              </w:rPr>
              <w:t>Stage</w:t>
            </w:r>
          </w:p>
        </w:tc>
        <w:tc>
          <w:tcPr>
            <w:tcW w:w="2891" w:type="dxa"/>
            <w:tcBorders>
              <w:top w:val="single" w:sz="4" w:space="0" w:color="auto"/>
              <w:left w:val="nil"/>
              <w:bottom w:val="nil"/>
              <w:right w:val="nil"/>
            </w:tcBorders>
          </w:tcPr>
          <w:p w14:paraId="7E20B6EB" w14:textId="7C1C45EE" w:rsidR="00D55EA0" w:rsidRPr="00BC54D1" w:rsidRDefault="00D55EA0" w:rsidP="00C641D8">
            <w:pPr>
              <w:widowControl w:val="0"/>
              <w:autoSpaceDE w:val="0"/>
              <w:autoSpaceDN w:val="0"/>
              <w:adjustRightInd w:val="0"/>
              <w:spacing w:line="360" w:lineRule="auto"/>
              <w:rPr>
                <w:rFonts w:ascii="Times New Roman" w:hAnsi="Times New Roman"/>
                <w:b/>
                <w:bCs/>
                <w:sz w:val="18"/>
                <w:szCs w:val="18"/>
                <w:lang w:val="en-US"/>
              </w:rPr>
            </w:pPr>
            <w:r w:rsidRPr="00BC54D1">
              <w:rPr>
                <w:rFonts w:ascii="Times New Roman" w:hAnsi="Times New Roman"/>
                <w:b/>
                <w:bCs/>
                <w:sz w:val="18"/>
                <w:szCs w:val="18"/>
                <w:lang w:val="en-US"/>
              </w:rPr>
              <w:t xml:space="preserve">        </w:t>
            </w:r>
            <w:r w:rsidR="006757FA" w:rsidRPr="00BC54D1">
              <w:rPr>
                <w:rFonts w:ascii="Times New Roman" w:hAnsi="Times New Roman"/>
                <w:b/>
                <w:bCs/>
                <w:sz w:val="18"/>
                <w:szCs w:val="18"/>
                <w:lang w:val="en-US"/>
              </w:rPr>
              <w:t xml:space="preserve">                  </w:t>
            </w:r>
            <w:r w:rsidRPr="00BC54D1">
              <w:rPr>
                <w:rFonts w:ascii="Times New Roman" w:hAnsi="Times New Roman"/>
                <w:b/>
                <w:bCs/>
                <w:sz w:val="18"/>
                <w:szCs w:val="18"/>
                <w:lang w:val="en-US"/>
              </w:rPr>
              <w:t>(2</w:t>
            </w:r>
            <w:r w:rsidRPr="00BC54D1">
              <w:rPr>
                <w:rFonts w:ascii="Times New Roman" w:hAnsi="Times New Roman"/>
                <w:b/>
                <w:bCs/>
                <w:sz w:val="18"/>
                <w:szCs w:val="18"/>
                <w:vertAlign w:val="superscript"/>
                <w:lang w:val="en-US"/>
              </w:rPr>
              <w:t>nd</w:t>
            </w:r>
            <w:r w:rsidRPr="00BC54D1">
              <w:rPr>
                <w:rFonts w:ascii="Times New Roman" w:hAnsi="Times New Roman"/>
                <w:b/>
                <w:bCs/>
                <w:sz w:val="18"/>
                <w:szCs w:val="18"/>
                <w:lang w:val="en-US"/>
              </w:rPr>
              <w:t xml:space="preserve"> Stage)</w:t>
            </w:r>
          </w:p>
        </w:tc>
        <w:tc>
          <w:tcPr>
            <w:tcW w:w="1417" w:type="dxa"/>
            <w:tcBorders>
              <w:top w:val="single" w:sz="4" w:space="0" w:color="auto"/>
              <w:left w:val="nil"/>
              <w:bottom w:val="nil"/>
              <w:right w:val="nil"/>
            </w:tcBorders>
          </w:tcPr>
          <w:p w14:paraId="48165C77" w14:textId="55317F17" w:rsidR="00D55EA0" w:rsidRPr="00BC54D1" w:rsidRDefault="006757FA" w:rsidP="00C641D8">
            <w:pPr>
              <w:widowControl w:val="0"/>
              <w:autoSpaceDE w:val="0"/>
              <w:autoSpaceDN w:val="0"/>
              <w:adjustRightInd w:val="0"/>
              <w:spacing w:line="360" w:lineRule="auto"/>
              <w:jc w:val="center"/>
              <w:rPr>
                <w:rFonts w:ascii="Times New Roman" w:hAnsi="Times New Roman"/>
                <w:b/>
                <w:bCs/>
                <w:sz w:val="18"/>
                <w:szCs w:val="18"/>
                <w:lang w:val="en-US"/>
              </w:rPr>
            </w:pPr>
            <w:r w:rsidRPr="00BC54D1">
              <w:rPr>
                <w:rFonts w:ascii="Times New Roman" w:hAnsi="Times New Roman"/>
                <w:b/>
                <w:bCs/>
                <w:sz w:val="18"/>
                <w:szCs w:val="18"/>
                <w:lang w:val="en-US"/>
              </w:rPr>
              <w:t xml:space="preserve">    </w:t>
            </w:r>
            <w:r w:rsidR="00D55EA0" w:rsidRPr="00BC54D1">
              <w:rPr>
                <w:rFonts w:ascii="Times New Roman" w:hAnsi="Times New Roman"/>
                <w:b/>
                <w:bCs/>
                <w:sz w:val="18"/>
                <w:szCs w:val="18"/>
                <w:lang w:val="en-US"/>
              </w:rPr>
              <w:t>(1</w:t>
            </w:r>
            <w:r w:rsidR="00D55EA0" w:rsidRPr="00BC54D1">
              <w:rPr>
                <w:rFonts w:ascii="Times New Roman" w:hAnsi="Times New Roman"/>
                <w:b/>
                <w:bCs/>
                <w:sz w:val="18"/>
                <w:szCs w:val="18"/>
                <w:vertAlign w:val="superscript"/>
                <w:lang w:val="en-US"/>
              </w:rPr>
              <w:t>st</w:t>
            </w:r>
            <w:r w:rsidR="00D55EA0" w:rsidRPr="00BC54D1">
              <w:rPr>
                <w:rFonts w:ascii="Times New Roman" w:hAnsi="Times New Roman"/>
                <w:b/>
                <w:bCs/>
                <w:sz w:val="18"/>
                <w:szCs w:val="18"/>
                <w:lang w:val="en-US"/>
              </w:rPr>
              <w:t xml:space="preserve"> Stage)</w:t>
            </w:r>
          </w:p>
        </w:tc>
      </w:tr>
      <w:tr w:rsidR="00BC54D1" w:rsidRPr="00BC54D1" w14:paraId="7164748B" w14:textId="77777777" w:rsidTr="7759D9CA">
        <w:tc>
          <w:tcPr>
            <w:tcW w:w="794" w:type="dxa"/>
            <w:tcBorders>
              <w:top w:val="nil"/>
              <w:left w:val="nil"/>
              <w:bottom w:val="nil"/>
              <w:right w:val="nil"/>
            </w:tcBorders>
          </w:tcPr>
          <w:p w14:paraId="4589321A" w14:textId="77777777" w:rsidR="00D55EA0" w:rsidRPr="00BC54D1" w:rsidRDefault="00D55EA0" w:rsidP="00C641D8">
            <w:pPr>
              <w:widowControl w:val="0"/>
              <w:autoSpaceDE w:val="0"/>
              <w:autoSpaceDN w:val="0"/>
              <w:adjustRightInd w:val="0"/>
              <w:spacing w:line="360" w:lineRule="auto"/>
              <w:rPr>
                <w:rFonts w:ascii="Times New Roman" w:hAnsi="Times New Roman"/>
                <w:b/>
                <w:bCs/>
                <w:sz w:val="18"/>
                <w:szCs w:val="18"/>
                <w:lang w:val="en-US"/>
              </w:rPr>
            </w:pPr>
          </w:p>
        </w:tc>
        <w:tc>
          <w:tcPr>
            <w:tcW w:w="3288" w:type="dxa"/>
            <w:tcBorders>
              <w:top w:val="nil"/>
              <w:left w:val="nil"/>
              <w:bottom w:val="nil"/>
              <w:right w:val="nil"/>
            </w:tcBorders>
          </w:tcPr>
          <w:p w14:paraId="3B53FC04" w14:textId="77777777" w:rsidR="00D55EA0" w:rsidRPr="00BC54D1" w:rsidRDefault="00D55EA0" w:rsidP="00C641D8">
            <w:pPr>
              <w:widowControl w:val="0"/>
              <w:autoSpaceDE w:val="0"/>
              <w:autoSpaceDN w:val="0"/>
              <w:adjustRightInd w:val="0"/>
              <w:spacing w:line="360" w:lineRule="auto"/>
              <w:jc w:val="center"/>
              <w:rPr>
                <w:rFonts w:ascii="Times New Roman" w:hAnsi="Times New Roman"/>
                <w:b/>
                <w:bCs/>
                <w:sz w:val="18"/>
                <w:szCs w:val="18"/>
                <w:lang w:val="en-US"/>
              </w:rPr>
            </w:pPr>
            <w:proofErr w:type="spellStart"/>
            <w:r w:rsidRPr="00BC54D1">
              <w:rPr>
                <w:rFonts w:ascii="Times New Roman" w:hAnsi="Times New Roman"/>
                <w:b/>
                <w:bCs/>
                <w:sz w:val="18"/>
                <w:szCs w:val="18"/>
                <w:lang w:val="en-US"/>
              </w:rPr>
              <w:t>R&amp;D_dummy</w:t>
            </w:r>
            <w:proofErr w:type="spellEnd"/>
          </w:p>
        </w:tc>
        <w:tc>
          <w:tcPr>
            <w:tcW w:w="907" w:type="dxa"/>
            <w:tcBorders>
              <w:top w:val="nil"/>
              <w:left w:val="nil"/>
              <w:bottom w:val="nil"/>
              <w:right w:val="nil"/>
            </w:tcBorders>
          </w:tcPr>
          <w:p w14:paraId="1FF806DD" w14:textId="77777777" w:rsidR="00D55EA0" w:rsidRPr="00BC54D1" w:rsidRDefault="00D55EA0" w:rsidP="00C641D8">
            <w:pPr>
              <w:widowControl w:val="0"/>
              <w:autoSpaceDE w:val="0"/>
              <w:autoSpaceDN w:val="0"/>
              <w:adjustRightInd w:val="0"/>
              <w:spacing w:line="360" w:lineRule="auto"/>
              <w:jc w:val="center"/>
              <w:rPr>
                <w:rFonts w:ascii="Times New Roman" w:hAnsi="Times New Roman"/>
                <w:b/>
                <w:bCs/>
                <w:sz w:val="18"/>
                <w:szCs w:val="18"/>
                <w:lang w:val="en-US"/>
              </w:rPr>
            </w:pPr>
            <w:r w:rsidRPr="00BC54D1">
              <w:rPr>
                <w:rFonts w:ascii="Times New Roman" w:hAnsi="Times New Roman"/>
                <w:b/>
                <w:bCs/>
                <w:sz w:val="18"/>
                <w:szCs w:val="18"/>
                <w:lang w:val="en-US"/>
              </w:rPr>
              <w:t>PRIV</w:t>
            </w:r>
          </w:p>
        </w:tc>
        <w:tc>
          <w:tcPr>
            <w:tcW w:w="2891" w:type="dxa"/>
            <w:tcBorders>
              <w:top w:val="nil"/>
              <w:left w:val="nil"/>
              <w:bottom w:val="nil"/>
              <w:right w:val="nil"/>
            </w:tcBorders>
          </w:tcPr>
          <w:p w14:paraId="092C04DC" w14:textId="62B436B0" w:rsidR="00D55EA0" w:rsidRPr="00BC54D1" w:rsidRDefault="00D55EA0" w:rsidP="00C641D8">
            <w:pPr>
              <w:widowControl w:val="0"/>
              <w:autoSpaceDE w:val="0"/>
              <w:autoSpaceDN w:val="0"/>
              <w:adjustRightInd w:val="0"/>
              <w:spacing w:line="360" w:lineRule="auto"/>
              <w:rPr>
                <w:rFonts w:ascii="Times New Roman" w:hAnsi="Times New Roman"/>
                <w:b/>
                <w:bCs/>
                <w:sz w:val="18"/>
                <w:szCs w:val="18"/>
                <w:lang w:val="en-US"/>
              </w:rPr>
            </w:pPr>
            <w:r w:rsidRPr="00BC54D1">
              <w:rPr>
                <w:rFonts w:ascii="Times New Roman" w:hAnsi="Times New Roman"/>
                <w:b/>
                <w:bCs/>
                <w:sz w:val="18"/>
                <w:szCs w:val="18"/>
                <w:lang w:val="en-US"/>
              </w:rPr>
              <w:t xml:space="preserve">          </w:t>
            </w:r>
            <w:r w:rsidR="006757FA" w:rsidRPr="00BC54D1">
              <w:rPr>
                <w:rFonts w:ascii="Times New Roman" w:hAnsi="Times New Roman"/>
                <w:b/>
                <w:bCs/>
                <w:sz w:val="18"/>
                <w:szCs w:val="18"/>
                <w:lang w:val="en-US"/>
              </w:rPr>
              <w:t xml:space="preserve">                </w:t>
            </w:r>
            <w:r w:rsidRPr="00BC54D1">
              <w:rPr>
                <w:rFonts w:ascii="Times New Roman" w:hAnsi="Times New Roman"/>
                <w:b/>
                <w:bCs/>
                <w:sz w:val="18"/>
                <w:szCs w:val="18"/>
                <w:lang w:val="en-US"/>
              </w:rPr>
              <w:t>R&amp;D</w:t>
            </w:r>
            <w:r w:rsidR="00691A90" w:rsidRPr="00BC54D1">
              <w:rPr>
                <w:rFonts w:ascii="Times New Roman" w:hAnsi="Times New Roman"/>
                <w:b/>
                <w:bCs/>
                <w:sz w:val="18"/>
                <w:szCs w:val="18"/>
                <w:lang w:val="en-US"/>
              </w:rPr>
              <w:t xml:space="preserve"> ratio</w:t>
            </w:r>
          </w:p>
        </w:tc>
        <w:tc>
          <w:tcPr>
            <w:tcW w:w="1417" w:type="dxa"/>
            <w:tcBorders>
              <w:top w:val="nil"/>
              <w:left w:val="nil"/>
              <w:bottom w:val="nil"/>
              <w:right w:val="nil"/>
            </w:tcBorders>
          </w:tcPr>
          <w:p w14:paraId="78C324B7" w14:textId="66E56E25" w:rsidR="00D55EA0" w:rsidRPr="00BC54D1" w:rsidRDefault="00D55EA0" w:rsidP="00C641D8">
            <w:pPr>
              <w:widowControl w:val="0"/>
              <w:autoSpaceDE w:val="0"/>
              <w:autoSpaceDN w:val="0"/>
              <w:adjustRightInd w:val="0"/>
              <w:spacing w:line="360" w:lineRule="auto"/>
              <w:rPr>
                <w:rFonts w:ascii="Times New Roman" w:hAnsi="Times New Roman"/>
                <w:b/>
                <w:bCs/>
                <w:sz w:val="18"/>
                <w:szCs w:val="18"/>
                <w:lang w:val="en-US"/>
              </w:rPr>
            </w:pPr>
            <w:r w:rsidRPr="00BC54D1">
              <w:rPr>
                <w:rFonts w:ascii="Times New Roman" w:hAnsi="Times New Roman"/>
                <w:b/>
                <w:bCs/>
                <w:sz w:val="18"/>
                <w:szCs w:val="18"/>
                <w:lang w:val="en-US"/>
              </w:rPr>
              <w:t xml:space="preserve">     </w:t>
            </w:r>
            <w:r w:rsidR="006757FA" w:rsidRPr="00BC54D1">
              <w:rPr>
                <w:rFonts w:ascii="Times New Roman" w:hAnsi="Times New Roman"/>
                <w:b/>
                <w:bCs/>
                <w:sz w:val="18"/>
                <w:szCs w:val="18"/>
                <w:lang w:val="en-US"/>
              </w:rPr>
              <w:t xml:space="preserve">     </w:t>
            </w:r>
            <w:r w:rsidRPr="00BC54D1">
              <w:rPr>
                <w:rFonts w:ascii="Times New Roman" w:hAnsi="Times New Roman"/>
                <w:b/>
                <w:bCs/>
                <w:sz w:val="18"/>
                <w:szCs w:val="18"/>
                <w:lang w:val="en-US"/>
              </w:rPr>
              <w:t xml:space="preserve"> PRIV</w:t>
            </w:r>
          </w:p>
        </w:tc>
      </w:tr>
      <w:tr w:rsidR="00BC54D1" w:rsidRPr="00BC54D1" w14:paraId="22024A97" w14:textId="77777777" w:rsidTr="7759D9CA">
        <w:tc>
          <w:tcPr>
            <w:tcW w:w="794" w:type="dxa"/>
            <w:tcBorders>
              <w:top w:val="single" w:sz="4" w:space="0" w:color="auto"/>
              <w:left w:val="nil"/>
              <w:bottom w:val="nil"/>
              <w:right w:val="nil"/>
            </w:tcBorders>
          </w:tcPr>
          <w:p w14:paraId="35D7E046"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single" w:sz="4" w:space="0" w:color="auto"/>
              <w:left w:val="nil"/>
              <w:bottom w:val="nil"/>
              <w:right w:val="nil"/>
            </w:tcBorders>
          </w:tcPr>
          <w:p w14:paraId="35C3A6EF"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907" w:type="dxa"/>
            <w:tcBorders>
              <w:top w:val="single" w:sz="4" w:space="0" w:color="auto"/>
              <w:left w:val="nil"/>
              <w:bottom w:val="nil"/>
              <w:right w:val="nil"/>
            </w:tcBorders>
          </w:tcPr>
          <w:p w14:paraId="2DE7FFEF"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2891" w:type="dxa"/>
            <w:tcBorders>
              <w:top w:val="single" w:sz="4" w:space="0" w:color="auto"/>
              <w:left w:val="nil"/>
              <w:bottom w:val="nil"/>
              <w:right w:val="nil"/>
            </w:tcBorders>
          </w:tcPr>
          <w:p w14:paraId="385236E3"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1417" w:type="dxa"/>
            <w:tcBorders>
              <w:top w:val="single" w:sz="4" w:space="0" w:color="auto"/>
              <w:left w:val="nil"/>
              <w:bottom w:val="nil"/>
              <w:right w:val="nil"/>
            </w:tcBorders>
          </w:tcPr>
          <w:p w14:paraId="45106BBF"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r>
      <w:tr w:rsidR="00BC54D1" w:rsidRPr="00BC54D1" w14:paraId="732109AB" w14:textId="77777777" w:rsidTr="7759D9CA">
        <w:tc>
          <w:tcPr>
            <w:tcW w:w="794" w:type="dxa"/>
            <w:tcBorders>
              <w:top w:val="nil"/>
              <w:left w:val="nil"/>
              <w:bottom w:val="nil"/>
              <w:right w:val="nil"/>
            </w:tcBorders>
          </w:tcPr>
          <w:p w14:paraId="4CF45247"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PRIV</w:t>
            </w:r>
          </w:p>
        </w:tc>
        <w:tc>
          <w:tcPr>
            <w:tcW w:w="3288" w:type="dxa"/>
            <w:tcBorders>
              <w:top w:val="nil"/>
              <w:left w:val="nil"/>
              <w:bottom w:val="nil"/>
              <w:right w:val="nil"/>
            </w:tcBorders>
          </w:tcPr>
          <w:p w14:paraId="54055C50"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-0.397</w:t>
            </w:r>
            <w:r w:rsidRPr="00BC54D1">
              <w:rPr>
                <w:rFonts w:ascii="Times New Roman" w:hAnsi="Times New Roman"/>
                <w:sz w:val="16"/>
                <w:szCs w:val="16"/>
                <w:vertAlign w:val="superscript"/>
                <w:lang w:val="en-US"/>
              </w:rPr>
              <w:t>**</w:t>
            </w:r>
          </w:p>
        </w:tc>
        <w:tc>
          <w:tcPr>
            <w:tcW w:w="907" w:type="dxa"/>
            <w:tcBorders>
              <w:top w:val="nil"/>
              <w:left w:val="nil"/>
              <w:bottom w:val="nil"/>
              <w:right w:val="nil"/>
            </w:tcBorders>
          </w:tcPr>
          <w:p w14:paraId="6CB33FD4"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2891" w:type="dxa"/>
            <w:tcBorders>
              <w:top w:val="nil"/>
              <w:left w:val="nil"/>
              <w:bottom w:val="nil"/>
              <w:right w:val="nil"/>
            </w:tcBorders>
          </w:tcPr>
          <w:p w14:paraId="33A48EE5"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 xml:space="preserve"> -0.043*</w:t>
            </w:r>
          </w:p>
        </w:tc>
        <w:tc>
          <w:tcPr>
            <w:tcW w:w="1417" w:type="dxa"/>
            <w:tcBorders>
              <w:top w:val="nil"/>
              <w:left w:val="nil"/>
              <w:bottom w:val="nil"/>
              <w:right w:val="nil"/>
            </w:tcBorders>
          </w:tcPr>
          <w:p w14:paraId="4B0AA9CD"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r>
      <w:tr w:rsidR="00BC54D1" w:rsidRPr="00BC54D1" w14:paraId="4108EC45" w14:textId="77777777" w:rsidTr="7759D9CA">
        <w:tc>
          <w:tcPr>
            <w:tcW w:w="794" w:type="dxa"/>
            <w:tcBorders>
              <w:top w:val="nil"/>
              <w:left w:val="nil"/>
              <w:bottom w:val="nil"/>
              <w:right w:val="nil"/>
            </w:tcBorders>
          </w:tcPr>
          <w:p w14:paraId="557CCA0C"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2F6021FA"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(-2.26)</w:t>
            </w:r>
          </w:p>
        </w:tc>
        <w:tc>
          <w:tcPr>
            <w:tcW w:w="907" w:type="dxa"/>
            <w:tcBorders>
              <w:top w:val="nil"/>
              <w:left w:val="nil"/>
              <w:bottom w:val="nil"/>
              <w:right w:val="nil"/>
            </w:tcBorders>
          </w:tcPr>
          <w:p w14:paraId="160431B7"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2891" w:type="dxa"/>
            <w:tcBorders>
              <w:top w:val="nil"/>
              <w:left w:val="nil"/>
              <w:bottom w:val="nil"/>
              <w:right w:val="nil"/>
            </w:tcBorders>
          </w:tcPr>
          <w:p w14:paraId="39F3EE4E"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(-1.79)</w:t>
            </w:r>
          </w:p>
        </w:tc>
        <w:tc>
          <w:tcPr>
            <w:tcW w:w="1417" w:type="dxa"/>
            <w:tcBorders>
              <w:top w:val="nil"/>
              <w:left w:val="nil"/>
              <w:bottom w:val="nil"/>
              <w:right w:val="nil"/>
            </w:tcBorders>
          </w:tcPr>
          <w:p w14:paraId="5E0A0259"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r>
      <w:tr w:rsidR="00BC54D1" w:rsidRPr="00BC54D1" w14:paraId="7316B65C" w14:textId="77777777" w:rsidTr="7759D9CA">
        <w:tc>
          <w:tcPr>
            <w:tcW w:w="794" w:type="dxa"/>
            <w:tcBorders>
              <w:top w:val="nil"/>
              <w:left w:val="nil"/>
              <w:bottom w:val="nil"/>
              <w:right w:val="nil"/>
            </w:tcBorders>
          </w:tcPr>
          <w:p w14:paraId="0E5CE80A"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1D3E7A5D"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907" w:type="dxa"/>
            <w:tcBorders>
              <w:top w:val="nil"/>
              <w:left w:val="nil"/>
              <w:bottom w:val="nil"/>
              <w:right w:val="nil"/>
            </w:tcBorders>
          </w:tcPr>
          <w:p w14:paraId="00E8F424"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2891" w:type="dxa"/>
            <w:tcBorders>
              <w:top w:val="nil"/>
              <w:left w:val="nil"/>
              <w:bottom w:val="nil"/>
              <w:right w:val="nil"/>
            </w:tcBorders>
          </w:tcPr>
          <w:p w14:paraId="03EABEF5"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1417" w:type="dxa"/>
            <w:tcBorders>
              <w:top w:val="nil"/>
              <w:left w:val="nil"/>
              <w:bottom w:val="nil"/>
              <w:right w:val="nil"/>
            </w:tcBorders>
          </w:tcPr>
          <w:p w14:paraId="5FAC611E"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r>
      <w:tr w:rsidR="00BC54D1" w:rsidRPr="00BC54D1" w14:paraId="17DF729C" w14:textId="77777777" w:rsidTr="7759D9CA">
        <w:tc>
          <w:tcPr>
            <w:tcW w:w="794" w:type="dxa"/>
            <w:tcBorders>
              <w:top w:val="nil"/>
              <w:left w:val="nil"/>
              <w:bottom w:val="nil"/>
              <w:right w:val="nil"/>
            </w:tcBorders>
          </w:tcPr>
          <w:p w14:paraId="495EEF0B"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CF</w:t>
            </w:r>
          </w:p>
        </w:tc>
        <w:tc>
          <w:tcPr>
            <w:tcW w:w="3288" w:type="dxa"/>
            <w:tcBorders>
              <w:top w:val="nil"/>
              <w:left w:val="nil"/>
              <w:bottom w:val="nil"/>
              <w:right w:val="nil"/>
            </w:tcBorders>
          </w:tcPr>
          <w:p w14:paraId="5A054A24"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0.0285</w:t>
            </w:r>
            <w:r w:rsidRPr="00BC54D1">
              <w:rPr>
                <w:rFonts w:ascii="Times New Roman" w:hAnsi="Times New Roman"/>
                <w:sz w:val="16"/>
                <w:szCs w:val="16"/>
                <w:vertAlign w:val="superscript"/>
                <w:lang w:val="en-US"/>
              </w:rPr>
              <w:t>***</w:t>
            </w:r>
          </w:p>
        </w:tc>
        <w:tc>
          <w:tcPr>
            <w:tcW w:w="907" w:type="dxa"/>
            <w:tcBorders>
              <w:top w:val="nil"/>
              <w:left w:val="nil"/>
              <w:bottom w:val="nil"/>
              <w:right w:val="nil"/>
            </w:tcBorders>
          </w:tcPr>
          <w:p w14:paraId="17FA3C6B"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0.058</w:t>
            </w:r>
            <w:r w:rsidRPr="00BC54D1">
              <w:rPr>
                <w:rFonts w:ascii="Times New Roman" w:hAnsi="Times New Roman"/>
                <w:sz w:val="16"/>
                <w:szCs w:val="16"/>
                <w:vertAlign w:val="superscript"/>
                <w:lang w:val="en-US"/>
              </w:rPr>
              <w:t>***</w:t>
            </w:r>
          </w:p>
        </w:tc>
        <w:tc>
          <w:tcPr>
            <w:tcW w:w="2891" w:type="dxa"/>
            <w:tcBorders>
              <w:top w:val="nil"/>
              <w:left w:val="nil"/>
              <w:bottom w:val="nil"/>
              <w:right w:val="nil"/>
            </w:tcBorders>
          </w:tcPr>
          <w:p w14:paraId="75EC9994"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 xml:space="preserve"> -0.005</w:t>
            </w:r>
            <w:r w:rsidRPr="00BC54D1">
              <w:rPr>
                <w:rFonts w:ascii="Times New Roman" w:hAnsi="Times New Roman"/>
                <w:sz w:val="16"/>
                <w:szCs w:val="16"/>
                <w:vertAlign w:val="superscript"/>
                <w:lang w:val="en-US"/>
              </w:rPr>
              <w:t>***</w:t>
            </w:r>
          </w:p>
        </w:tc>
        <w:tc>
          <w:tcPr>
            <w:tcW w:w="1417" w:type="dxa"/>
            <w:tcBorders>
              <w:top w:val="nil"/>
              <w:left w:val="nil"/>
              <w:bottom w:val="nil"/>
              <w:right w:val="nil"/>
            </w:tcBorders>
          </w:tcPr>
          <w:p w14:paraId="10CCB243"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0.038</w:t>
            </w:r>
            <w:r w:rsidRPr="00BC54D1">
              <w:rPr>
                <w:rFonts w:ascii="Times New Roman" w:hAnsi="Times New Roman"/>
                <w:sz w:val="16"/>
                <w:szCs w:val="16"/>
                <w:vertAlign w:val="superscript"/>
                <w:lang w:val="en-US"/>
              </w:rPr>
              <w:t>***</w:t>
            </w:r>
          </w:p>
        </w:tc>
      </w:tr>
      <w:tr w:rsidR="00BC54D1" w:rsidRPr="00BC54D1" w14:paraId="3F8B621A" w14:textId="77777777" w:rsidTr="7759D9CA">
        <w:tc>
          <w:tcPr>
            <w:tcW w:w="794" w:type="dxa"/>
            <w:tcBorders>
              <w:top w:val="nil"/>
              <w:left w:val="nil"/>
              <w:bottom w:val="nil"/>
              <w:right w:val="nil"/>
            </w:tcBorders>
          </w:tcPr>
          <w:p w14:paraId="723C7BF9"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156CED3B"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(2.78)</w:t>
            </w:r>
          </w:p>
        </w:tc>
        <w:tc>
          <w:tcPr>
            <w:tcW w:w="907" w:type="dxa"/>
            <w:tcBorders>
              <w:top w:val="nil"/>
              <w:left w:val="nil"/>
              <w:bottom w:val="nil"/>
              <w:right w:val="nil"/>
            </w:tcBorders>
          </w:tcPr>
          <w:p w14:paraId="0ED5A7F5"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(26.22)</w:t>
            </w:r>
          </w:p>
        </w:tc>
        <w:tc>
          <w:tcPr>
            <w:tcW w:w="2891" w:type="dxa"/>
            <w:tcBorders>
              <w:top w:val="nil"/>
              <w:left w:val="nil"/>
              <w:bottom w:val="nil"/>
              <w:right w:val="nil"/>
            </w:tcBorders>
          </w:tcPr>
          <w:p w14:paraId="35992C55"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(-3.63)</w:t>
            </w:r>
          </w:p>
        </w:tc>
        <w:tc>
          <w:tcPr>
            <w:tcW w:w="1417" w:type="dxa"/>
            <w:tcBorders>
              <w:top w:val="nil"/>
              <w:left w:val="nil"/>
              <w:bottom w:val="nil"/>
              <w:right w:val="nil"/>
            </w:tcBorders>
          </w:tcPr>
          <w:p w14:paraId="504699E9"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(12.43)</w:t>
            </w:r>
          </w:p>
        </w:tc>
      </w:tr>
      <w:tr w:rsidR="00BC54D1" w:rsidRPr="00BC54D1" w14:paraId="30E796DC" w14:textId="77777777" w:rsidTr="7759D9CA">
        <w:tc>
          <w:tcPr>
            <w:tcW w:w="794" w:type="dxa"/>
            <w:tcBorders>
              <w:top w:val="nil"/>
              <w:left w:val="nil"/>
              <w:bottom w:val="nil"/>
              <w:right w:val="nil"/>
            </w:tcBorders>
          </w:tcPr>
          <w:p w14:paraId="613F4CD8"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5473ECA9"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907" w:type="dxa"/>
            <w:tcBorders>
              <w:top w:val="nil"/>
              <w:left w:val="nil"/>
              <w:bottom w:val="nil"/>
              <w:right w:val="nil"/>
            </w:tcBorders>
          </w:tcPr>
          <w:p w14:paraId="7E4AE256"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2891" w:type="dxa"/>
            <w:tcBorders>
              <w:top w:val="nil"/>
              <w:left w:val="nil"/>
              <w:bottom w:val="nil"/>
              <w:right w:val="nil"/>
            </w:tcBorders>
          </w:tcPr>
          <w:p w14:paraId="19DA005F"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1417" w:type="dxa"/>
            <w:tcBorders>
              <w:top w:val="nil"/>
              <w:left w:val="nil"/>
              <w:bottom w:val="nil"/>
              <w:right w:val="nil"/>
            </w:tcBorders>
          </w:tcPr>
          <w:p w14:paraId="5B4CEB31"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r>
      <w:tr w:rsidR="00BC54D1" w:rsidRPr="00BC54D1" w14:paraId="54E3B515" w14:textId="77777777" w:rsidTr="7759D9CA">
        <w:tc>
          <w:tcPr>
            <w:tcW w:w="794" w:type="dxa"/>
            <w:tcBorders>
              <w:top w:val="nil"/>
              <w:left w:val="nil"/>
              <w:bottom w:val="nil"/>
              <w:right w:val="nil"/>
            </w:tcBorders>
          </w:tcPr>
          <w:p w14:paraId="3F934A84"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SGR</w:t>
            </w:r>
          </w:p>
        </w:tc>
        <w:tc>
          <w:tcPr>
            <w:tcW w:w="3288" w:type="dxa"/>
            <w:tcBorders>
              <w:top w:val="nil"/>
              <w:left w:val="nil"/>
              <w:bottom w:val="nil"/>
              <w:right w:val="nil"/>
            </w:tcBorders>
          </w:tcPr>
          <w:p w14:paraId="109E8691"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0.007</w:t>
            </w:r>
          </w:p>
        </w:tc>
        <w:tc>
          <w:tcPr>
            <w:tcW w:w="907" w:type="dxa"/>
            <w:tcBorders>
              <w:top w:val="nil"/>
              <w:left w:val="nil"/>
              <w:bottom w:val="nil"/>
              <w:right w:val="nil"/>
            </w:tcBorders>
          </w:tcPr>
          <w:p w14:paraId="2C9D2FA2"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-0.043</w:t>
            </w:r>
            <w:r w:rsidRPr="00BC54D1">
              <w:rPr>
                <w:rFonts w:ascii="Times New Roman" w:hAnsi="Times New Roman"/>
                <w:sz w:val="16"/>
                <w:szCs w:val="16"/>
                <w:vertAlign w:val="superscript"/>
                <w:lang w:val="en-US"/>
              </w:rPr>
              <w:t>***</w:t>
            </w:r>
          </w:p>
        </w:tc>
        <w:tc>
          <w:tcPr>
            <w:tcW w:w="2891" w:type="dxa"/>
            <w:tcBorders>
              <w:top w:val="nil"/>
              <w:left w:val="nil"/>
              <w:bottom w:val="nil"/>
              <w:right w:val="nil"/>
            </w:tcBorders>
          </w:tcPr>
          <w:p w14:paraId="25393438"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0.001</w:t>
            </w:r>
          </w:p>
        </w:tc>
        <w:tc>
          <w:tcPr>
            <w:tcW w:w="1417" w:type="dxa"/>
            <w:tcBorders>
              <w:top w:val="nil"/>
              <w:left w:val="nil"/>
              <w:bottom w:val="nil"/>
              <w:right w:val="nil"/>
            </w:tcBorders>
          </w:tcPr>
          <w:p w14:paraId="1E94FE12"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-0.042</w:t>
            </w:r>
            <w:r w:rsidRPr="00BC54D1">
              <w:rPr>
                <w:rFonts w:ascii="Times New Roman" w:hAnsi="Times New Roman"/>
                <w:sz w:val="16"/>
                <w:szCs w:val="16"/>
                <w:vertAlign w:val="superscript"/>
                <w:lang w:val="en-US"/>
              </w:rPr>
              <w:t>***</w:t>
            </w:r>
          </w:p>
        </w:tc>
      </w:tr>
      <w:tr w:rsidR="00BC54D1" w:rsidRPr="00BC54D1" w14:paraId="2CB4E754" w14:textId="77777777" w:rsidTr="7759D9CA">
        <w:tc>
          <w:tcPr>
            <w:tcW w:w="794" w:type="dxa"/>
            <w:tcBorders>
              <w:top w:val="nil"/>
              <w:left w:val="nil"/>
              <w:bottom w:val="nil"/>
              <w:right w:val="nil"/>
            </w:tcBorders>
          </w:tcPr>
          <w:p w14:paraId="3EA6B77A"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1CD99CCA"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(0.82)</w:t>
            </w:r>
          </w:p>
        </w:tc>
        <w:tc>
          <w:tcPr>
            <w:tcW w:w="907" w:type="dxa"/>
            <w:tcBorders>
              <w:top w:val="nil"/>
              <w:left w:val="nil"/>
              <w:bottom w:val="nil"/>
              <w:right w:val="nil"/>
            </w:tcBorders>
          </w:tcPr>
          <w:p w14:paraId="6360A036"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(-8.76)</w:t>
            </w:r>
          </w:p>
        </w:tc>
        <w:tc>
          <w:tcPr>
            <w:tcW w:w="2891" w:type="dxa"/>
            <w:tcBorders>
              <w:top w:val="nil"/>
              <w:left w:val="nil"/>
              <w:bottom w:val="nil"/>
              <w:right w:val="nil"/>
            </w:tcBorders>
          </w:tcPr>
          <w:p w14:paraId="0CEF259E"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(0.67)</w:t>
            </w:r>
          </w:p>
        </w:tc>
        <w:tc>
          <w:tcPr>
            <w:tcW w:w="1417" w:type="dxa"/>
            <w:tcBorders>
              <w:top w:val="nil"/>
              <w:left w:val="nil"/>
              <w:bottom w:val="nil"/>
              <w:right w:val="nil"/>
            </w:tcBorders>
          </w:tcPr>
          <w:p w14:paraId="4D82C463"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(-8.54)</w:t>
            </w:r>
          </w:p>
        </w:tc>
      </w:tr>
      <w:tr w:rsidR="00BC54D1" w:rsidRPr="00BC54D1" w14:paraId="1D69EEA0" w14:textId="77777777" w:rsidTr="7759D9CA">
        <w:tc>
          <w:tcPr>
            <w:tcW w:w="794" w:type="dxa"/>
            <w:tcBorders>
              <w:top w:val="nil"/>
              <w:left w:val="nil"/>
              <w:bottom w:val="nil"/>
              <w:right w:val="nil"/>
            </w:tcBorders>
          </w:tcPr>
          <w:p w14:paraId="331B416E"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37A9F07A"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907" w:type="dxa"/>
            <w:tcBorders>
              <w:top w:val="nil"/>
              <w:left w:val="nil"/>
              <w:bottom w:val="nil"/>
              <w:right w:val="nil"/>
            </w:tcBorders>
          </w:tcPr>
          <w:p w14:paraId="0D7B5828"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2891" w:type="dxa"/>
            <w:tcBorders>
              <w:top w:val="nil"/>
              <w:left w:val="nil"/>
              <w:bottom w:val="nil"/>
              <w:right w:val="nil"/>
            </w:tcBorders>
          </w:tcPr>
          <w:p w14:paraId="4FF1B638"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1417" w:type="dxa"/>
            <w:tcBorders>
              <w:top w:val="nil"/>
              <w:left w:val="nil"/>
              <w:bottom w:val="nil"/>
              <w:right w:val="nil"/>
            </w:tcBorders>
          </w:tcPr>
          <w:p w14:paraId="06E86B52"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r>
      <w:tr w:rsidR="00BC54D1" w:rsidRPr="00BC54D1" w14:paraId="7850BC3A" w14:textId="77777777" w:rsidTr="7759D9CA">
        <w:tc>
          <w:tcPr>
            <w:tcW w:w="794" w:type="dxa"/>
            <w:tcBorders>
              <w:top w:val="nil"/>
              <w:left w:val="nil"/>
              <w:bottom w:val="nil"/>
              <w:right w:val="nil"/>
            </w:tcBorders>
          </w:tcPr>
          <w:p w14:paraId="03F42EB2"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SZ</w:t>
            </w:r>
          </w:p>
        </w:tc>
        <w:tc>
          <w:tcPr>
            <w:tcW w:w="3288" w:type="dxa"/>
            <w:tcBorders>
              <w:top w:val="nil"/>
              <w:left w:val="nil"/>
              <w:bottom w:val="nil"/>
              <w:right w:val="nil"/>
            </w:tcBorders>
          </w:tcPr>
          <w:p w14:paraId="49B0097A"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-0.006</w:t>
            </w:r>
          </w:p>
        </w:tc>
        <w:tc>
          <w:tcPr>
            <w:tcW w:w="907" w:type="dxa"/>
            <w:tcBorders>
              <w:top w:val="nil"/>
              <w:left w:val="nil"/>
              <w:bottom w:val="nil"/>
              <w:right w:val="nil"/>
            </w:tcBorders>
          </w:tcPr>
          <w:p w14:paraId="01686A9C"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0.021</w:t>
            </w:r>
          </w:p>
        </w:tc>
        <w:tc>
          <w:tcPr>
            <w:tcW w:w="2891" w:type="dxa"/>
            <w:tcBorders>
              <w:top w:val="nil"/>
              <w:left w:val="nil"/>
              <w:bottom w:val="nil"/>
              <w:right w:val="nil"/>
            </w:tcBorders>
          </w:tcPr>
          <w:p w14:paraId="1DCE9B9F"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0.003</w:t>
            </w:r>
          </w:p>
        </w:tc>
        <w:tc>
          <w:tcPr>
            <w:tcW w:w="1417" w:type="dxa"/>
            <w:tcBorders>
              <w:top w:val="nil"/>
              <w:left w:val="nil"/>
              <w:bottom w:val="nil"/>
              <w:right w:val="nil"/>
            </w:tcBorders>
          </w:tcPr>
          <w:p w14:paraId="1A34D80A"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0.030</w:t>
            </w:r>
          </w:p>
        </w:tc>
      </w:tr>
      <w:tr w:rsidR="00BC54D1" w:rsidRPr="00BC54D1" w14:paraId="6ECA1841" w14:textId="77777777" w:rsidTr="7759D9CA">
        <w:tc>
          <w:tcPr>
            <w:tcW w:w="794" w:type="dxa"/>
            <w:tcBorders>
              <w:top w:val="nil"/>
              <w:left w:val="nil"/>
              <w:bottom w:val="nil"/>
              <w:right w:val="nil"/>
            </w:tcBorders>
          </w:tcPr>
          <w:p w14:paraId="4C51F54B"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7F3C15FC"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(-0.02)</w:t>
            </w:r>
          </w:p>
        </w:tc>
        <w:tc>
          <w:tcPr>
            <w:tcW w:w="907" w:type="dxa"/>
            <w:tcBorders>
              <w:top w:val="nil"/>
              <w:left w:val="nil"/>
              <w:bottom w:val="nil"/>
              <w:right w:val="nil"/>
            </w:tcBorders>
          </w:tcPr>
          <w:p w14:paraId="3F245949"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(0.09)</w:t>
            </w:r>
          </w:p>
        </w:tc>
        <w:tc>
          <w:tcPr>
            <w:tcW w:w="2891" w:type="dxa"/>
            <w:tcBorders>
              <w:top w:val="nil"/>
              <w:left w:val="nil"/>
              <w:bottom w:val="nil"/>
              <w:right w:val="nil"/>
            </w:tcBorders>
          </w:tcPr>
          <w:p w14:paraId="70821F5B"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(0.07)</w:t>
            </w:r>
          </w:p>
        </w:tc>
        <w:tc>
          <w:tcPr>
            <w:tcW w:w="1417" w:type="dxa"/>
            <w:tcBorders>
              <w:top w:val="nil"/>
              <w:left w:val="nil"/>
              <w:bottom w:val="nil"/>
              <w:right w:val="nil"/>
            </w:tcBorders>
          </w:tcPr>
          <w:p w14:paraId="4AF9DE18"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(0.14)</w:t>
            </w:r>
          </w:p>
        </w:tc>
      </w:tr>
      <w:tr w:rsidR="00BC54D1" w:rsidRPr="00BC54D1" w14:paraId="654A201C" w14:textId="77777777" w:rsidTr="7759D9CA">
        <w:tc>
          <w:tcPr>
            <w:tcW w:w="794" w:type="dxa"/>
            <w:tcBorders>
              <w:top w:val="nil"/>
              <w:left w:val="nil"/>
              <w:bottom w:val="nil"/>
              <w:right w:val="nil"/>
            </w:tcBorders>
          </w:tcPr>
          <w:p w14:paraId="5A117823"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6B3AC0BC"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907" w:type="dxa"/>
            <w:tcBorders>
              <w:top w:val="nil"/>
              <w:left w:val="nil"/>
              <w:bottom w:val="nil"/>
              <w:right w:val="nil"/>
            </w:tcBorders>
          </w:tcPr>
          <w:p w14:paraId="4800ED53"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2891" w:type="dxa"/>
            <w:tcBorders>
              <w:top w:val="nil"/>
              <w:left w:val="nil"/>
              <w:bottom w:val="nil"/>
              <w:right w:val="nil"/>
            </w:tcBorders>
          </w:tcPr>
          <w:p w14:paraId="669D5AE6"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1417" w:type="dxa"/>
            <w:tcBorders>
              <w:top w:val="nil"/>
              <w:left w:val="nil"/>
              <w:bottom w:val="nil"/>
              <w:right w:val="nil"/>
            </w:tcBorders>
          </w:tcPr>
          <w:p w14:paraId="3DB509EA"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r>
      <w:tr w:rsidR="00BC54D1" w:rsidRPr="00BC54D1" w14:paraId="27A96401" w14:textId="77777777" w:rsidTr="7759D9CA">
        <w:tc>
          <w:tcPr>
            <w:tcW w:w="794" w:type="dxa"/>
            <w:tcBorders>
              <w:top w:val="nil"/>
              <w:left w:val="nil"/>
              <w:bottom w:val="nil"/>
              <w:right w:val="nil"/>
            </w:tcBorders>
          </w:tcPr>
          <w:p w14:paraId="67BEC4A9"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CH</w:t>
            </w:r>
          </w:p>
        </w:tc>
        <w:tc>
          <w:tcPr>
            <w:tcW w:w="3288" w:type="dxa"/>
            <w:tcBorders>
              <w:top w:val="nil"/>
              <w:left w:val="nil"/>
              <w:bottom w:val="nil"/>
              <w:right w:val="nil"/>
            </w:tcBorders>
          </w:tcPr>
          <w:p w14:paraId="1C8B7637"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0.004</w:t>
            </w:r>
          </w:p>
        </w:tc>
        <w:tc>
          <w:tcPr>
            <w:tcW w:w="907" w:type="dxa"/>
            <w:tcBorders>
              <w:top w:val="nil"/>
              <w:left w:val="nil"/>
              <w:bottom w:val="nil"/>
              <w:right w:val="nil"/>
            </w:tcBorders>
          </w:tcPr>
          <w:p w14:paraId="2D42E842"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0.008</w:t>
            </w:r>
            <w:r w:rsidRPr="00BC54D1">
              <w:rPr>
                <w:rFonts w:ascii="Times New Roman" w:hAnsi="Times New Roman"/>
                <w:sz w:val="16"/>
                <w:szCs w:val="16"/>
                <w:vertAlign w:val="superscript"/>
                <w:lang w:val="en-US"/>
              </w:rPr>
              <w:t>***</w:t>
            </w:r>
          </w:p>
        </w:tc>
        <w:tc>
          <w:tcPr>
            <w:tcW w:w="2891" w:type="dxa"/>
            <w:tcBorders>
              <w:top w:val="nil"/>
              <w:left w:val="nil"/>
              <w:bottom w:val="nil"/>
              <w:right w:val="nil"/>
            </w:tcBorders>
          </w:tcPr>
          <w:p w14:paraId="7AD5025E"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0.005</w:t>
            </w:r>
            <w:r w:rsidRPr="00BC54D1">
              <w:rPr>
                <w:rFonts w:ascii="Times New Roman" w:hAnsi="Times New Roman"/>
                <w:sz w:val="16"/>
                <w:szCs w:val="16"/>
                <w:vertAlign w:val="superscript"/>
                <w:lang w:val="en-US"/>
              </w:rPr>
              <w:t>***</w:t>
            </w:r>
          </w:p>
        </w:tc>
        <w:tc>
          <w:tcPr>
            <w:tcW w:w="1417" w:type="dxa"/>
            <w:tcBorders>
              <w:top w:val="nil"/>
              <w:left w:val="nil"/>
              <w:bottom w:val="nil"/>
              <w:right w:val="nil"/>
            </w:tcBorders>
          </w:tcPr>
          <w:p w14:paraId="58C8BA8C"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0.018</w:t>
            </w:r>
            <w:r w:rsidRPr="00BC54D1">
              <w:rPr>
                <w:rFonts w:ascii="Times New Roman" w:hAnsi="Times New Roman"/>
                <w:sz w:val="16"/>
                <w:szCs w:val="16"/>
                <w:vertAlign w:val="superscript"/>
                <w:lang w:val="en-US"/>
              </w:rPr>
              <w:t>***</w:t>
            </w:r>
          </w:p>
        </w:tc>
      </w:tr>
      <w:tr w:rsidR="00BC54D1" w:rsidRPr="00BC54D1" w14:paraId="5EE37A2A" w14:textId="77777777" w:rsidTr="7759D9CA">
        <w:tc>
          <w:tcPr>
            <w:tcW w:w="794" w:type="dxa"/>
            <w:tcBorders>
              <w:top w:val="nil"/>
              <w:left w:val="nil"/>
              <w:bottom w:val="nil"/>
              <w:right w:val="nil"/>
            </w:tcBorders>
          </w:tcPr>
          <w:p w14:paraId="286E375B"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274E725B"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(1.31)</w:t>
            </w:r>
          </w:p>
        </w:tc>
        <w:tc>
          <w:tcPr>
            <w:tcW w:w="907" w:type="dxa"/>
            <w:tcBorders>
              <w:top w:val="nil"/>
              <w:left w:val="nil"/>
              <w:bottom w:val="nil"/>
              <w:right w:val="nil"/>
            </w:tcBorders>
          </w:tcPr>
          <w:p w14:paraId="0785CDCD"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(4.58)</w:t>
            </w:r>
          </w:p>
        </w:tc>
        <w:tc>
          <w:tcPr>
            <w:tcW w:w="2891" w:type="dxa"/>
            <w:tcBorders>
              <w:top w:val="nil"/>
              <w:left w:val="nil"/>
              <w:bottom w:val="nil"/>
              <w:right w:val="nil"/>
            </w:tcBorders>
          </w:tcPr>
          <w:p w14:paraId="3334E28D"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(11.01)</w:t>
            </w:r>
          </w:p>
        </w:tc>
        <w:tc>
          <w:tcPr>
            <w:tcW w:w="1417" w:type="dxa"/>
            <w:tcBorders>
              <w:top w:val="nil"/>
              <w:left w:val="nil"/>
              <w:bottom w:val="nil"/>
              <w:right w:val="nil"/>
            </w:tcBorders>
          </w:tcPr>
          <w:p w14:paraId="0EE41417"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(8.18)</w:t>
            </w:r>
          </w:p>
        </w:tc>
      </w:tr>
      <w:tr w:rsidR="00BC54D1" w:rsidRPr="00BC54D1" w14:paraId="3D5A0FB8" w14:textId="77777777" w:rsidTr="7759D9CA">
        <w:tc>
          <w:tcPr>
            <w:tcW w:w="794" w:type="dxa"/>
            <w:tcBorders>
              <w:top w:val="nil"/>
              <w:left w:val="nil"/>
              <w:bottom w:val="nil"/>
              <w:right w:val="nil"/>
            </w:tcBorders>
          </w:tcPr>
          <w:p w14:paraId="57D285DB"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42661247"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907" w:type="dxa"/>
            <w:tcBorders>
              <w:top w:val="nil"/>
              <w:left w:val="nil"/>
              <w:bottom w:val="nil"/>
              <w:right w:val="nil"/>
            </w:tcBorders>
          </w:tcPr>
          <w:p w14:paraId="60D800F6"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2891" w:type="dxa"/>
            <w:tcBorders>
              <w:top w:val="nil"/>
              <w:left w:val="nil"/>
              <w:bottom w:val="nil"/>
              <w:right w:val="nil"/>
            </w:tcBorders>
          </w:tcPr>
          <w:p w14:paraId="59A9CF08"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1417" w:type="dxa"/>
            <w:tcBorders>
              <w:top w:val="nil"/>
              <w:left w:val="nil"/>
              <w:bottom w:val="nil"/>
              <w:right w:val="nil"/>
            </w:tcBorders>
          </w:tcPr>
          <w:p w14:paraId="627854CC"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r>
      <w:tr w:rsidR="00BC54D1" w:rsidRPr="00BC54D1" w14:paraId="64310856" w14:textId="77777777" w:rsidTr="7759D9CA">
        <w:tc>
          <w:tcPr>
            <w:tcW w:w="794" w:type="dxa"/>
            <w:tcBorders>
              <w:top w:val="nil"/>
              <w:left w:val="nil"/>
              <w:bottom w:val="nil"/>
              <w:right w:val="nil"/>
            </w:tcBorders>
          </w:tcPr>
          <w:p w14:paraId="4319D81D"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LEV</w:t>
            </w:r>
          </w:p>
        </w:tc>
        <w:tc>
          <w:tcPr>
            <w:tcW w:w="3288" w:type="dxa"/>
            <w:tcBorders>
              <w:top w:val="nil"/>
              <w:left w:val="nil"/>
              <w:bottom w:val="nil"/>
              <w:right w:val="nil"/>
            </w:tcBorders>
          </w:tcPr>
          <w:p w14:paraId="5184BB4F"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0.004</w:t>
            </w:r>
          </w:p>
        </w:tc>
        <w:tc>
          <w:tcPr>
            <w:tcW w:w="907" w:type="dxa"/>
            <w:tcBorders>
              <w:top w:val="nil"/>
              <w:left w:val="nil"/>
              <w:bottom w:val="nil"/>
              <w:right w:val="nil"/>
            </w:tcBorders>
          </w:tcPr>
          <w:p w14:paraId="6C129951"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0.062</w:t>
            </w:r>
            <w:r w:rsidRPr="00BC54D1">
              <w:rPr>
                <w:rFonts w:ascii="Times New Roman" w:hAnsi="Times New Roman"/>
                <w:sz w:val="16"/>
                <w:szCs w:val="16"/>
                <w:vertAlign w:val="superscript"/>
                <w:lang w:val="en-US"/>
              </w:rPr>
              <w:t>***</w:t>
            </w:r>
          </w:p>
        </w:tc>
        <w:tc>
          <w:tcPr>
            <w:tcW w:w="2891" w:type="dxa"/>
            <w:tcBorders>
              <w:top w:val="nil"/>
              <w:left w:val="nil"/>
              <w:bottom w:val="nil"/>
              <w:right w:val="nil"/>
            </w:tcBorders>
          </w:tcPr>
          <w:p w14:paraId="2090AD8A"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0.002</w:t>
            </w:r>
          </w:p>
        </w:tc>
        <w:tc>
          <w:tcPr>
            <w:tcW w:w="1417" w:type="dxa"/>
            <w:tcBorders>
              <w:top w:val="nil"/>
              <w:left w:val="nil"/>
              <w:bottom w:val="nil"/>
              <w:right w:val="nil"/>
            </w:tcBorders>
          </w:tcPr>
          <w:p w14:paraId="695E5D60"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0.066</w:t>
            </w:r>
            <w:r w:rsidRPr="00BC54D1">
              <w:rPr>
                <w:rFonts w:ascii="Times New Roman" w:hAnsi="Times New Roman"/>
                <w:sz w:val="16"/>
                <w:szCs w:val="16"/>
                <w:vertAlign w:val="superscript"/>
                <w:lang w:val="en-US"/>
              </w:rPr>
              <w:t>***</w:t>
            </w:r>
          </w:p>
        </w:tc>
      </w:tr>
      <w:tr w:rsidR="00BC54D1" w:rsidRPr="00BC54D1" w14:paraId="692A8C85" w14:textId="77777777" w:rsidTr="7759D9CA">
        <w:tc>
          <w:tcPr>
            <w:tcW w:w="794" w:type="dxa"/>
            <w:tcBorders>
              <w:top w:val="nil"/>
              <w:left w:val="nil"/>
              <w:bottom w:val="nil"/>
              <w:right w:val="nil"/>
            </w:tcBorders>
          </w:tcPr>
          <w:p w14:paraId="4819AAA0"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1BB39EBC"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(0.31)</w:t>
            </w:r>
          </w:p>
        </w:tc>
        <w:tc>
          <w:tcPr>
            <w:tcW w:w="907" w:type="dxa"/>
            <w:tcBorders>
              <w:top w:val="nil"/>
              <w:left w:val="nil"/>
              <w:bottom w:val="nil"/>
              <w:right w:val="nil"/>
            </w:tcBorders>
          </w:tcPr>
          <w:p w14:paraId="54DD4745"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(42.17)</w:t>
            </w:r>
          </w:p>
        </w:tc>
        <w:tc>
          <w:tcPr>
            <w:tcW w:w="2891" w:type="dxa"/>
            <w:tcBorders>
              <w:top w:val="nil"/>
              <w:left w:val="nil"/>
              <w:bottom w:val="nil"/>
              <w:right w:val="nil"/>
            </w:tcBorders>
          </w:tcPr>
          <w:p w14:paraId="48040C04"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(1.07)</w:t>
            </w:r>
          </w:p>
        </w:tc>
        <w:tc>
          <w:tcPr>
            <w:tcW w:w="1417" w:type="dxa"/>
            <w:tcBorders>
              <w:top w:val="nil"/>
              <w:left w:val="nil"/>
              <w:bottom w:val="nil"/>
              <w:right w:val="nil"/>
            </w:tcBorders>
          </w:tcPr>
          <w:p w14:paraId="5E4DC926"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(48.77)</w:t>
            </w:r>
          </w:p>
        </w:tc>
      </w:tr>
      <w:tr w:rsidR="00BC54D1" w:rsidRPr="00BC54D1" w14:paraId="36C4EFDD" w14:textId="77777777" w:rsidTr="7759D9CA">
        <w:tc>
          <w:tcPr>
            <w:tcW w:w="794" w:type="dxa"/>
            <w:tcBorders>
              <w:top w:val="nil"/>
              <w:left w:val="nil"/>
              <w:bottom w:val="nil"/>
              <w:right w:val="nil"/>
            </w:tcBorders>
          </w:tcPr>
          <w:p w14:paraId="205DC2BA"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48042F70"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907" w:type="dxa"/>
            <w:tcBorders>
              <w:top w:val="nil"/>
              <w:left w:val="nil"/>
              <w:bottom w:val="nil"/>
              <w:right w:val="nil"/>
            </w:tcBorders>
          </w:tcPr>
          <w:p w14:paraId="639CBBAB"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2891" w:type="dxa"/>
            <w:tcBorders>
              <w:top w:val="nil"/>
              <w:left w:val="nil"/>
              <w:bottom w:val="nil"/>
              <w:right w:val="nil"/>
            </w:tcBorders>
          </w:tcPr>
          <w:p w14:paraId="0ED8831D"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1417" w:type="dxa"/>
            <w:tcBorders>
              <w:top w:val="nil"/>
              <w:left w:val="nil"/>
              <w:bottom w:val="nil"/>
              <w:right w:val="nil"/>
            </w:tcBorders>
          </w:tcPr>
          <w:p w14:paraId="232AA9E8"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r>
      <w:tr w:rsidR="00BC54D1" w:rsidRPr="00BC54D1" w14:paraId="5ADF9E93" w14:textId="77777777" w:rsidTr="7759D9CA">
        <w:tc>
          <w:tcPr>
            <w:tcW w:w="794" w:type="dxa"/>
            <w:tcBorders>
              <w:top w:val="nil"/>
              <w:left w:val="nil"/>
              <w:bottom w:val="nil"/>
              <w:right w:val="nil"/>
            </w:tcBorders>
          </w:tcPr>
          <w:p w14:paraId="3C32CF2C"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PR</w:t>
            </w:r>
          </w:p>
        </w:tc>
        <w:tc>
          <w:tcPr>
            <w:tcW w:w="3288" w:type="dxa"/>
            <w:tcBorders>
              <w:top w:val="nil"/>
              <w:left w:val="nil"/>
              <w:bottom w:val="nil"/>
              <w:right w:val="nil"/>
            </w:tcBorders>
          </w:tcPr>
          <w:p w14:paraId="04429551"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0.087</w:t>
            </w:r>
            <w:r w:rsidRPr="00BC54D1">
              <w:rPr>
                <w:rFonts w:ascii="Times New Roman" w:hAnsi="Times New Roman"/>
                <w:sz w:val="16"/>
                <w:szCs w:val="16"/>
                <w:vertAlign w:val="superscript"/>
                <w:lang w:val="en-US"/>
              </w:rPr>
              <w:t>***</w:t>
            </w:r>
          </w:p>
        </w:tc>
        <w:tc>
          <w:tcPr>
            <w:tcW w:w="907" w:type="dxa"/>
            <w:tcBorders>
              <w:top w:val="nil"/>
              <w:left w:val="nil"/>
              <w:bottom w:val="nil"/>
              <w:right w:val="nil"/>
            </w:tcBorders>
          </w:tcPr>
          <w:p w14:paraId="0966FF19"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0.033</w:t>
            </w:r>
            <w:r w:rsidRPr="00BC54D1">
              <w:rPr>
                <w:rFonts w:ascii="Times New Roman" w:hAnsi="Times New Roman"/>
                <w:sz w:val="16"/>
                <w:szCs w:val="16"/>
                <w:vertAlign w:val="superscript"/>
                <w:lang w:val="en-US"/>
              </w:rPr>
              <w:t>***</w:t>
            </w:r>
          </w:p>
        </w:tc>
        <w:tc>
          <w:tcPr>
            <w:tcW w:w="2891" w:type="dxa"/>
            <w:tcBorders>
              <w:top w:val="nil"/>
              <w:left w:val="nil"/>
              <w:bottom w:val="nil"/>
              <w:right w:val="nil"/>
            </w:tcBorders>
          </w:tcPr>
          <w:p w14:paraId="4F551E2D"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0.009</w:t>
            </w:r>
            <w:r w:rsidRPr="00BC54D1">
              <w:rPr>
                <w:rFonts w:ascii="Times New Roman" w:hAnsi="Times New Roman"/>
                <w:sz w:val="16"/>
                <w:szCs w:val="16"/>
                <w:vertAlign w:val="superscript"/>
                <w:lang w:val="en-US"/>
              </w:rPr>
              <w:t>***</w:t>
            </w:r>
          </w:p>
        </w:tc>
        <w:tc>
          <w:tcPr>
            <w:tcW w:w="1417" w:type="dxa"/>
            <w:tcBorders>
              <w:top w:val="nil"/>
              <w:left w:val="nil"/>
              <w:bottom w:val="nil"/>
              <w:right w:val="nil"/>
            </w:tcBorders>
          </w:tcPr>
          <w:p w14:paraId="0F7371C0"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0.028</w:t>
            </w:r>
            <w:r w:rsidRPr="00BC54D1">
              <w:rPr>
                <w:rFonts w:ascii="Times New Roman" w:hAnsi="Times New Roman"/>
                <w:sz w:val="16"/>
                <w:szCs w:val="16"/>
                <w:vertAlign w:val="superscript"/>
                <w:lang w:val="en-US"/>
              </w:rPr>
              <w:t>***</w:t>
            </w:r>
          </w:p>
        </w:tc>
      </w:tr>
      <w:tr w:rsidR="00BC54D1" w:rsidRPr="00BC54D1" w14:paraId="4C76A000" w14:textId="77777777" w:rsidTr="7759D9CA">
        <w:tc>
          <w:tcPr>
            <w:tcW w:w="794" w:type="dxa"/>
            <w:tcBorders>
              <w:top w:val="nil"/>
              <w:left w:val="nil"/>
              <w:bottom w:val="nil"/>
              <w:right w:val="nil"/>
            </w:tcBorders>
          </w:tcPr>
          <w:p w14:paraId="4FD366B6"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7C1830E0"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(11.56)</w:t>
            </w:r>
          </w:p>
        </w:tc>
        <w:tc>
          <w:tcPr>
            <w:tcW w:w="907" w:type="dxa"/>
            <w:tcBorders>
              <w:top w:val="nil"/>
              <w:left w:val="nil"/>
              <w:bottom w:val="nil"/>
              <w:right w:val="nil"/>
            </w:tcBorders>
          </w:tcPr>
          <w:p w14:paraId="4717FCA2"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(5.84)</w:t>
            </w:r>
          </w:p>
        </w:tc>
        <w:tc>
          <w:tcPr>
            <w:tcW w:w="2891" w:type="dxa"/>
            <w:tcBorders>
              <w:top w:val="nil"/>
              <w:left w:val="nil"/>
              <w:bottom w:val="nil"/>
              <w:right w:val="nil"/>
            </w:tcBorders>
          </w:tcPr>
          <w:p w14:paraId="7E43A50B"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(8.26)</w:t>
            </w:r>
          </w:p>
        </w:tc>
        <w:tc>
          <w:tcPr>
            <w:tcW w:w="1417" w:type="dxa"/>
            <w:tcBorders>
              <w:top w:val="nil"/>
              <w:left w:val="nil"/>
              <w:bottom w:val="nil"/>
              <w:right w:val="nil"/>
            </w:tcBorders>
          </w:tcPr>
          <w:p w14:paraId="041FA12B"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(5.12)</w:t>
            </w:r>
          </w:p>
        </w:tc>
      </w:tr>
      <w:tr w:rsidR="00BC54D1" w:rsidRPr="00BC54D1" w14:paraId="37217891" w14:textId="77777777" w:rsidTr="7759D9CA">
        <w:tc>
          <w:tcPr>
            <w:tcW w:w="794" w:type="dxa"/>
            <w:tcBorders>
              <w:top w:val="nil"/>
              <w:left w:val="nil"/>
              <w:bottom w:val="nil"/>
              <w:right w:val="nil"/>
            </w:tcBorders>
          </w:tcPr>
          <w:p w14:paraId="7DE4EE5F"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5299B290"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907" w:type="dxa"/>
            <w:tcBorders>
              <w:top w:val="nil"/>
              <w:left w:val="nil"/>
              <w:bottom w:val="nil"/>
              <w:right w:val="nil"/>
            </w:tcBorders>
          </w:tcPr>
          <w:p w14:paraId="6D64287C"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2891" w:type="dxa"/>
            <w:tcBorders>
              <w:top w:val="nil"/>
              <w:left w:val="nil"/>
              <w:bottom w:val="nil"/>
              <w:right w:val="nil"/>
            </w:tcBorders>
          </w:tcPr>
          <w:p w14:paraId="367205A6"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1417" w:type="dxa"/>
            <w:tcBorders>
              <w:top w:val="nil"/>
              <w:left w:val="nil"/>
              <w:bottom w:val="nil"/>
              <w:right w:val="nil"/>
            </w:tcBorders>
          </w:tcPr>
          <w:p w14:paraId="4F4F7AA9"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r>
      <w:tr w:rsidR="00BC54D1" w:rsidRPr="00BC54D1" w14:paraId="656E676E" w14:textId="77777777" w:rsidTr="7759D9CA">
        <w:tc>
          <w:tcPr>
            <w:tcW w:w="794" w:type="dxa"/>
            <w:tcBorders>
              <w:top w:val="nil"/>
              <w:left w:val="nil"/>
              <w:bottom w:val="nil"/>
              <w:right w:val="nil"/>
            </w:tcBorders>
          </w:tcPr>
          <w:p w14:paraId="1A1B1DFB"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FY</w:t>
            </w:r>
          </w:p>
        </w:tc>
        <w:tc>
          <w:tcPr>
            <w:tcW w:w="3288" w:type="dxa"/>
            <w:tcBorders>
              <w:top w:val="nil"/>
              <w:left w:val="nil"/>
              <w:bottom w:val="nil"/>
              <w:right w:val="nil"/>
            </w:tcBorders>
          </w:tcPr>
          <w:p w14:paraId="1D59EEB7"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0.0003</w:t>
            </w:r>
            <w:r w:rsidRPr="00BC54D1">
              <w:rPr>
                <w:rFonts w:ascii="Times New Roman" w:hAnsi="Times New Roman"/>
                <w:sz w:val="16"/>
                <w:szCs w:val="16"/>
                <w:vertAlign w:val="superscript"/>
                <w:lang w:val="en-US"/>
              </w:rPr>
              <w:t>***</w:t>
            </w:r>
          </w:p>
        </w:tc>
        <w:tc>
          <w:tcPr>
            <w:tcW w:w="907" w:type="dxa"/>
            <w:tcBorders>
              <w:top w:val="nil"/>
              <w:left w:val="nil"/>
              <w:bottom w:val="nil"/>
              <w:right w:val="nil"/>
            </w:tcBorders>
          </w:tcPr>
          <w:p w14:paraId="1E27B5BA"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-0.0001</w:t>
            </w:r>
            <w:r w:rsidRPr="00BC54D1">
              <w:rPr>
                <w:rFonts w:ascii="Times New Roman" w:hAnsi="Times New Roman"/>
                <w:sz w:val="16"/>
                <w:szCs w:val="16"/>
                <w:vertAlign w:val="superscript"/>
                <w:lang w:val="en-US"/>
              </w:rPr>
              <w:t>***</w:t>
            </w:r>
          </w:p>
        </w:tc>
        <w:tc>
          <w:tcPr>
            <w:tcW w:w="2891" w:type="dxa"/>
            <w:tcBorders>
              <w:top w:val="nil"/>
              <w:left w:val="nil"/>
              <w:bottom w:val="nil"/>
              <w:right w:val="nil"/>
            </w:tcBorders>
          </w:tcPr>
          <w:p w14:paraId="747372D7"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-0.000</w:t>
            </w:r>
            <w:r w:rsidRPr="00BC54D1">
              <w:rPr>
                <w:rFonts w:ascii="Times New Roman" w:hAnsi="Times New Roman"/>
                <w:sz w:val="16"/>
                <w:szCs w:val="16"/>
                <w:vertAlign w:val="superscript"/>
                <w:lang w:val="en-US"/>
              </w:rPr>
              <w:t>***</w:t>
            </w:r>
          </w:p>
        </w:tc>
        <w:tc>
          <w:tcPr>
            <w:tcW w:w="1417" w:type="dxa"/>
            <w:tcBorders>
              <w:top w:val="nil"/>
              <w:left w:val="nil"/>
              <w:bottom w:val="nil"/>
              <w:right w:val="nil"/>
            </w:tcBorders>
          </w:tcPr>
          <w:p w14:paraId="0C098CE2"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-0.0003</w:t>
            </w:r>
            <w:r w:rsidRPr="00BC54D1">
              <w:rPr>
                <w:rFonts w:ascii="Times New Roman" w:hAnsi="Times New Roman"/>
                <w:sz w:val="16"/>
                <w:szCs w:val="16"/>
                <w:vertAlign w:val="superscript"/>
                <w:lang w:val="en-US"/>
              </w:rPr>
              <w:t>***</w:t>
            </w:r>
          </w:p>
        </w:tc>
      </w:tr>
      <w:tr w:rsidR="00BC54D1" w:rsidRPr="00BC54D1" w14:paraId="3DE26F09" w14:textId="77777777" w:rsidTr="7759D9CA">
        <w:tc>
          <w:tcPr>
            <w:tcW w:w="794" w:type="dxa"/>
            <w:tcBorders>
              <w:top w:val="nil"/>
              <w:left w:val="nil"/>
              <w:bottom w:val="nil"/>
              <w:right w:val="nil"/>
            </w:tcBorders>
          </w:tcPr>
          <w:p w14:paraId="5782E30B"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534CEF0B"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(5.19)</w:t>
            </w:r>
          </w:p>
        </w:tc>
        <w:tc>
          <w:tcPr>
            <w:tcW w:w="907" w:type="dxa"/>
            <w:tcBorders>
              <w:top w:val="nil"/>
              <w:left w:val="nil"/>
              <w:bottom w:val="nil"/>
              <w:right w:val="nil"/>
            </w:tcBorders>
          </w:tcPr>
          <w:p w14:paraId="497B4EDD"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(-9.68)</w:t>
            </w:r>
          </w:p>
        </w:tc>
        <w:tc>
          <w:tcPr>
            <w:tcW w:w="2891" w:type="dxa"/>
            <w:tcBorders>
              <w:top w:val="nil"/>
              <w:left w:val="nil"/>
              <w:bottom w:val="nil"/>
              <w:right w:val="nil"/>
            </w:tcBorders>
          </w:tcPr>
          <w:p w14:paraId="1A8D5445"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(-2.77)</w:t>
            </w:r>
          </w:p>
        </w:tc>
        <w:tc>
          <w:tcPr>
            <w:tcW w:w="1417" w:type="dxa"/>
            <w:tcBorders>
              <w:top w:val="nil"/>
              <w:left w:val="nil"/>
              <w:bottom w:val="nil"/>
              <w:right w:val="nil"/>
            </w:tcBorders>
          </w:tcPr>
          <w:p w14:paraId="3AE6A8B1"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(-21.17)</w:t>
            </w:r>
          </w:p>
        </w:tc>
      </w:tr>
      <w:tr w:rsidR="00BC54D1" w:rsidRPr="00BC54D1" w14:paraId="31B581F9" w14:textId="77777777" w:rsidTr="7759D9CA">
        <w:tc>
          <w:tcPr>
            <w:tcW w:w="794" w:type="dxa"/>
            <w:tcBorders>
              <w:top w:val="nil"/>
              <w:left w:val="nil"/>
              <w:bottom w:val="nil"/>
              <w:right w:val="nil"/>
            </w:tcBorders>
          </w:tcPr>
          <w:p w14:paraId="32CA72DA"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1BA4F315"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907" w:type="dxa"/>
            <w:tcBorders>
              <w:top w:val="nil"/>
              <w:left w:val="nil"/>
              <w:bottom w:val="nil"/>
              <w:right w:val="nil"/>
            </w:tcBorders>
          </w:tcPr>
          <w:p w14:paraId="220E36F6"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2891" w:type="dxa"/>
            <w:tcBorders>
              <w:top w:val="nil"/>
              <w:left w:val="nil"/>
              <w:bottom w:val="nil"/>
              <w:right w:val="nil"/>
            </w:tcBorders>
          </w:tcPr>
          <w:p w14:paraId="165F360A"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1417" w:type="dxa"/>
            <w:tcBorders>
              <w:top w:val="nil"/>
              <w:left w:val="nil"/>
              <w:bottom w:val="nil"/>
              <w:right w:val="nil"/>
            </w:tcBorders>
          </w:tcPr>
          <w:p w14:paraId="5DA8D9B9"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r>
      <w:tr w:rsidR="00BC54D1" w:rsidRPr="00BC54D1" w14:paraId="635BA6DC" w14:textId="77777777" w:rsidTr="7759D9CA">
        <w:tc>
          <w:tcPr>
            <w:tcW w:w="794" w:type="dxa"/>
            <w:tcBorders>
              <w:top w:val="nil"/>
              <w:left w:val="nil"/>
              <w:bottom w:val="nil"/>
              <w:right w:val="nil"/>
            </w:tcBorders>
          </w:tcPr>
          <w:p w14:paraId="1B47F949" w14:textId="3123EDD3" w:rsidR="00D55EA0" w:rsidRPr="00BC54D1" w:rsidRDefault="00D55EA0"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DM</w:t>
            </w:r>
          </w:p>
        </w:tc>
        <w:tc>
          <w:tcPr>
            <w:tcW w:w="3288" w:type="dxa"/>
            <w:tcBorders>
              <w:top w:val="nil"/>
              <w:left w:val="nil"/>
              <w:bottom w:val="nil"/>
              <w:right w:val="nil"/>
            </w:tcBorders>
          </w:tcPr>
          <w:p w14:paraId="33333877"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-0.003</w:t>
            </w:r>
          </w:p>
        </w:tc>
        <w:tc>
          <w:tcPr>
            <w:tcW w:w="907" w:type="dxa"/>
            <w:tcBorders>
              <w:top w:val="nil"/>
              <w:left w:val="nil"/>
              <w:bottom w:val="nil"/>
              <w:right w:val="nil"/>
            </w:tcBorders>
          </w:tcPr>
          <w:p w14:paraId="4F0A09FE"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-0.045</w:t>
            </w:r>
            <w:r w:rsidRPr="00BC54D1">
              <w:rPr>
                <w:rFonts w:ascii="Times New Roman" w:hAnsi="Times New Roman"/>
                <w:sz w:val="16"/>
                <w:szCs w:val="16"/>
                <w:vertAlign w:val="superscript"/>
                <w:lang w:val="en-US"/>
              </w:rPr>
              <w:t>***</w:t>
            </w:r>
          </w:p>
        </w:tc>
        <w:tc>
          <w:tcPr>
            <w:tcW w:w="2891" w:type="dxa"/>
            <w:tcBorders>
              <w:top w:val="nil"/>
              <w:left w:val="nil"/>
              <w:bottom w:val="nil"/>
              <w:right w:val="nil"/>
            </w:tcBorders>
          </w:tcPr>
          <w:p w14:paraId="4F2E2A2B"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-0.002</w:t>
            </w:r>
            <w:r w:rsidRPr="00BC54D1">
              <w:rPr>
                <w:rFonts w:ascii="Times New Roman" w:hAnsi="Times New Roman"/>
                <w:sz w:val="16"/>
                <w:szCs w:val="16"/>
                <w:vertAlign w:val="superscript"/>
                <w:lang w:val="en-US"/>
              </w:rPr>
              <w:t>**</w:t>
            </w:r>
          </w:p>
        </w:tc>
        <w:tc>
          <w:tcPr>
            <w:tcW w:w="1417" w:type="dxa"/>
            <w:tcBorders>
              <w:top w:val="nil"/>
              <w:left w:val="nil"/>
              <w:bottom w:val="nil"/>
              <w:right w:val="nil"/>
            </w:tcBorders>
          </w:tcPr>
          <w:p w14:paraId="391485BE"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-0.051</w:t>
            </w:r>
            <w:r w:rsidRPr="00BC54D1">
              <w:rPr>
                <w:rFonts w:ascii="Times New Roman" w:hAnsi="Times New Roman"/>
                <w:sz w:val="16"/>
                <w:szCs w:val="16"/>
                <w:vertAlign w:val="superscript"/>
                <w:lang w:val="en-US"/>
              </w:rPr>
              <w:t>***</w:t>
            </w:r>
          </w:p>
        </w:tc>
      </w:tr>
      <w:tr w:rsidR="00BC54D1" w:rsidRPr="00BC54D1" w14:paraId="4DF89F01" w14:textId="77777777" w:rsidTr="7759D9CA">
        <w:tc>
          <w:tcPr>
            <w:tcW w:w="794" w:type="dxa"/>
            <w:tcBorders>
              <w:top w:val="nil"/>
              <w:left w:val="nil"/>
              <w:bottom w:val="nil"/>
              <w:right w:val="nil"/>
            </w:tcBorders>
          </w:tcPr>
          <w:p w14:paraId="4E1D21C9"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4EA5EA05"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(-0.43)</w:t>
            </w:r>
          </w:p>
        </w:tc>
        <w:tc>
          <w:tcPr>
            <w:tcW w:w="907" w:type="dxa"/>
            <w:tcBorders>
              <w:top w:val="nil"/>
              <w:left w:val="nil"/>
              <w:bottom w:val="nil"/>
              <w:right w:val="nil"/>
            </w:tcBorders>
          </w:tcPr>
          <w:p w14:paraId="4E0F9F07"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(-51.68)</w:t>
            </w:r>
          </w:p>
        </w:tc>
        <w:tc>
          <w:tcPr>
            <w:tcW w:w="2891" w:type="dxa"/>
            <w:tcBorders>
              <w:top w:val="nil"/>
              <w:left w:val="nil"/>
              <w:bottom w:val="nil"/>
              <w:right w:val="nil"/>
            </w:tcBorders>
          </w:tcPr>
          <w:p w14:paraId="4854A7E2"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(-2.06)</w:t>
            </w:r>
          </w:p>
        </w:tc>
        <w:tc>
          <w:tcPr>
            <w:tcW w:w="1417" w:type="dxa"/>
            <w:tcBorders>
              <w:top w:val="nil"/>
              <w:left w:val="nil"/>
              <w:bottom w:val="nil"/>
              <w:right w:val="nil"/>
            </w:tcBorders>
          </w:tcPr>
          <w:p w14:paraId="72B968DB"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(-67.24)</w:t>
            </w:r>
          </w:p>
        </w:tc>
      </w:tr>
      <w:tr w:rsidR="00BC54D1" w:rsidRPr="00BC54D1" w14:paraId="7C6A4A02" w14:textId="77777777" w:rsidTr="7759D9CA">
        <w:tc>
          <w:tcPr>
            <w:tcW w:w="794" w:type="dxa"/>
            <w:tcBorders>
              <w:top w:val="nil"/>
              <w:left w:val="nil"/>
              <w:bottom w:val="nil"/>
              <w:right w:val="nil"/>
            </w:tcBorders>
          </w:tcPr>
          <w:p w14:paraId="55F8D688"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464B1232"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907" w:type="dxa"/>
            <w:tcBorders>
              <w:top w:val="nil"/>
              <w:left w:val="nil"/>
              <w:bottom w:val="nil"/>
              <w:right w:val="nil"/>
            </w:tcBorders>
          </w:tcPr>
          <w:p w14:paraId="4905EC7E"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2891" w:type="dxa"/>
            <w:tcBorders>
              <w:top w:val="nil"/>
              <w:left w:val="nil"/>
              <w:bottom w:val="nil"/>
              <w:right w:val="nil"/>
            </w:tcBorders>
          </w:tcPr>
          <w:p w14:paraId="034E7FEF"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1417" w:type="dxa"/>
            <w:tcBorders>
              <w:top w:val="nil"/>
              <w:left w:val="nil"/>
              <w:bottom w:val="nil"/>
              <w:right w:val="nil"/>
            </w:tcBorders>
          </w:tcPr>
          <w:p w14:paraId="758EA559"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r>
      <w:tr w:rsidR="00BC54D1" w:rsidRPr="00BC54D1" w14:paraId="01D67047" w14:textId="77777777" w:rsidTr="7759D9CA">
        <w:tc>
          <w:tcPr>
            <w:tcW w:w="794" w:type="dxa"/>
            <w:tcBorders>
              <w:top w:val="nil"/>
              <w:left w:val="nil"/>
              <w:bottom w:val="nil"/>
              <w:right w:val="nil"/>
            </w:tcBorders>
          </w:tcPr>
          <w:p w14:paraId="14A61741"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IQ</w:t>
            </w:r>
          </w:p>
        </w:tc>
        <w:tc>
          <w:tcPr>
            <w:tcW w:w="3288" w:type="dxa"/>
            <w:tcBorders>
              <w:top w:val="nil"/>
              <w:left w:val="nil"/>
              <w:bottom w:val="nil"/>
              <w:right w:val="nil"/>
            </w:tcBorders>
          </w:tcPr>
          <w:p w14:paraId="42D6DB13"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-0.330</w:t>
            </w:r>
            <w:r w:rsidRPr="00BC54D1">
              <w:rPr>
                <w:rFonts w:ascii="Times New Roman" w:hAnsi="Times New Roman"/>
                <w:sz w:val="16"/>
                <w:szCs w:val="16"/>
                <w:vertAlign w:val="superscript"/>
                <w:lang w:val="en-US"/>
              </w:rPr>
              <w:t>***</w:t>
            </w:r>
          </w:p>
        </w:tc>
        <w:tc>
          <w:tcPr>
            <w:tcW w:w="907" w:type="dxa"/>
            <w:tcBorders>
              <w:top w:val="nil"/>
              <w:left w:val="nil"/>
              <w:bottom w:val="nil"/>
              <w:right w:val="nil"/>
            </w:tcBorders>
          </w:tcPr>
          <w:p w14:paraId="479F4629"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-0.519</w:t>
            </w:r>
            <w:r w:rsidRPr="00BC54D1">
              <w:rPr>
                <w:rFonts w:ascii="Times New Roman" w:hAnsi="Times New Roman"/>
                <w:sz w:val="16"/>
                <w:szCs w:val="16"/>
                <w:vertAlign w:val="superscript"/>
                <w:lang w:val="en-US"/>
              </w:rPr>
              <w:t>***</w:t>
            </w:r>
          </w:p>
        </w:tc>
        <w:tc>
          <w:tcPr>
            <w:tcW w:w="2891" w:type="dxa"/>
            <w:tcBorders>
              <w:top w:val="nil"/>
              <w:left w:val="nil"/>
              <w:bottom w:val="nil"/>
              <w:right w:val="nil"/>
            </w:tcBorders>
          </w:tcPr>
          <w:p w14:paraId="44538011"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-0.025*</w:t>
            </w:r>
          </w:p>
        </w:tc>
        <w:tc>
          <w:tcPr>
            <w:tcW w:w="1417" w:type="dxa"/>
            <w:tcBorders>
              <w:top w:val="nil"/>
              <w:left w:val="nil"/>
              <w:bottom w:val="nil"/>
              <w:right w:val="nil"/>
            </w:tcBorders>
          </w:tcPr>
          <w:p w14:paraId="5264D89A"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-0.497</w:t>
            </w:r>
            <w:r w:rsidRPr="00BC54D1">
              <w:rPr>
                <w:rFonts w:ascii="Times New Roman" w:hAnsi="Times New Roman"/>
                <w:sz w:val="16"/>
                <w:szCs w:val="16"/>
                <w:vertAlign w:val="superscript"/>
                <w:lang w:val="en-US"/>
              </w:rPr>
              <w:t>***</w:t>
            </w:r>
          </w:p>
        </w:tc>
      </w:tr>
      <w:tr w:rsidR="00BC54D1" w:rsidRPr="00BC54D1" w14:paraId="5DC64C90" w14:textId="77777777" w:rsidTr="7759D9CA">
        <w:tc>
          <w:tcPr>
            <w:tcW w:w="794" w:type="dxa"/>
            <w:tcBorders>
              <w:top w:val="nil"/>
              <w:left w:val="nil"/>
              <w:bottom w:val="nil"/>
              <w:right w:val="nil"/>
            </w:tcBorders>
          </w:tcPr>
          <w:p w14:paraId="1A9E0F97"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3CC8C563"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(-3.50)</w:t>
            </w:r>
          </w:p>
        </w:tc>
        <w:tc>
          <w:tcPr>
            <w:tcW w:w="907" w:type="dxa"/>
            <w:tcBorders>
              <w:top w:val="nil"/>
              <w:left w:val="nil"/>
              <w:bottom w:val="nil"/>
              <w:right w:val="nil"/>
            </w:tcBorders>
          </w:tcPr>
          <w:p w14:paraId="7D4933EA"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(-23.34)</w:t>
            </w:r>
          </w:p>
        </w:tc>
        <w:tc>
          <w:tcPr>
            <w:tcW w:w="2891" w:type="dxa"/>
            <w:tcBorders>
              <w:top w:val="nil"/>
              <w:left w:val="nil"/>
              <w:bottom w:val="nil"/>
              <w:right w:val="nil"/>
            </w:tcBorders>
          </w:tcPr>
          <w:p w14:paraId="7C5986C0"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(-1.94)</w:t>
            </w:r>
          </w:p>
        </w:tc>
        <w:tc>
          <w:tcPr>
            <w:tcW w:w="1417" w:type="dxa"/>
            <w:tcBorders>
              <w:top w:val="nil"/>
              <w:left w:val="nil"/>
              <w:bottom w:val="nil"/>
              <w:right w:val="nil"/>
            </w:tcBorders>
          </w:tcPr>
          <w:p w14:paraId="11935F93"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(-22.52)</w:t>
            </w:r>
          </w:p>
        </w:tc>
      </w:tr>
      <w:tr w:rsidR="00BC54D1" w:rsidRPr="00BC54D1" w14:paraId="143E017F" w14:textId="77777777" w:rsidTr="7759D9CA">
        <w:tc>
          <w:tcPr>
            <w:tcW w:w="794" w:type="dxa"/>
            <w:tcBorders>
              <w:top w:val="nil"/>
              <w:left w:val="nil"/>
              <w:bottom w:val="nil"/>
              <w:right w:val="nil"/>
            </w:tcBorders>
          </w:tcPr>
          <w:p w14:paraId="1B741911"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4FF2521A"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907" w:type="dxa"/>
            <w:tcBorders>
              <w:top w:val="nil"/>
              <w:left w:val="nil"/>
              <w:bottom w:val="nil"/>
              <w:right w:val="nil"/>
            </w:tcBorders>
          </w:tcPr>
          <w:p w14:paraId="1E44A0BD"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2891" w:type="dxa"/>
            <w:tcBorders>
              <w:top w:val="nil"/>
              <w:left w:val="nil"/>
              <w:bottom w:val="nil"/>
              <w:right w:val="nil"/>
            </w:tcBorders>
          </w:tcPr>
          <w:p w14:paraId="49D73EB6"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1417" w:type="dxa"/>
            <w:tcBorders>
              <w:top w:val="nil"/>
              <w:left w:val="nil"/>
              <w:bottom w:val="nil"/>
              <w:right w:val="nil"/>
            </w:tcBorders>
          </w:tcPr>
          <w:p w14:paraId="618DB3F7"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r>
      <w:tr w:rsidR="00BC54D1" w:rsidRPr="00BC54D1" w14:paraId="1CB8B620" w14:textId="77777777" w:rsidTr="7759D9CA">
        <w:tc>
          <w:tcPr>
            <w:tcW w:w="794" w:type="dxa"/>
            <w:tcBorders>
              <w:top w:val="nil"/>
              <w:left w:val="nil"/>
              <w:bottom w:val="nil"/>
              <w:right w:val="nil"/>
            </w:tcBorders>
          </w:tcPr>
          <w:p w14:paraId="29CC14CB" w14:textId="510A5E99" w:rsidR="00D55EA0" w:rsidRPr="00BC54D1" w:rsidRDefault="00D55EA0" w:rsidP="00C641D8">
            <w:pPr>
              <w:widowControl w:val="0"/>
              <w:autoSpaceDE w:val="0"/>
              <w:autoSpaceDN w:val="0"/>
              <w:adjustRightInd w:val="0"/>
              <w:rPr>
                <w:rFonts w:ascii="Times New Roman" w:hAnsi="Times New Roman"/>
                <w:sz w:val="16"/>
                <w:szCs w:val="16"/>
                <w:lang w:val="en-US"/>
              </w:rPr>
            </w:pPr>
            <w:proofErr w:type="spellStart"/>
            <w:r w:rsidRPr="00BC54D1">
              <w:rPr>
                <w:rFonts w:ascii="Times New Roman" w:hAnsi="Times New Roman"/>
                <w:sz w:val="16"/>
                <w:szCs w:val="16"/>
                <w:lang w:val="en-US"/>
              </w:rPr>
              <w:t>R&amp;D_</w:t>
            </w:r>
            <w:r w:rsidR="002F2667" w:rsidRPr="00BC54D1">
              <w:rPr>
                <w:rFonts w:ascii="Times New Roman" w:hAnsi="Times New Roman"/>
                <w:sz w:val="16"/>
                <w:szCs w:val="16"/>
                <w:lang w:val="en-US"/>
              </w:rPr>
              <w:t>dummy</w:t>
            </w:r>
            <w:proofErr w:type="spellEnd"/>
          </w:p>
        </w:tc>
        <w:tc>
          <w:tcPr>
            <w:tcW w:w="3288" w:type="dxa"/>
            <w:tcBorders>
              <w:top w:val="nil"/>
              <w:left w:val="nil"/>
              <w:bottom w:val="nil"/>
              <w:right w:val="nil"/>
            </w:tcBorders>
          </w:tcPr>
          <w:p w14:paraId="1546774E"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907" w:type="dxa"/>
            <w:tcBorders>
              <w:top w:val="nil"/>
              <w:left w:val="nil"/>
              <w:bottom w:val="nil"/>
              <w:right w:val="nil"/>
            </w:tcBorders>
          </w:tcPr>
          <w:p w14:paraId="4B5BB0B8"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-0.278</w:t>
            </w:r>
            <w:r w:rsidRPr="00BC54D1">
              <w:rPr>
                <w:rFonts w:ascii="Times New Roman" w:hAnsi="Times New Roman"/>
                <w:sz w:val="16"/>
                <w:szCs w:val="16"/>
                <w:vertAlign w:val="superscript"/>
                <w:lang w:val="en-US"/>
              </w:rPr>
              <w:t>***</w:t>
            </w:r>
          </w:p>
        </w:tc>
        <w:tc>
          <w:tcPr>
            <w:tcW w:w="2891" w:type="dxa"/>
            <w:tcBorders>
              <w:top w:val="nil"/>
              <w:left w:val="nil"/>
              <w:bottom w:val="nil"/>
              <w:right w:val="nil"/>
            </w:tcBorders>
          </w:tcPr>
          <w:p w14:paraId="17976454"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1417" w:type="dxa"/>
            <w:tcBorders>
              <w:top w:val="nil"/>
              <w:left w:val="nil"/>
              <w:bottom w:val="nil"/>
              <w:right w:val="nil"/>
            </w:tcBorders>
          </w:tcPr>
          <w:p w14:paraId="25F0AA0F"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r>
      <w:tr w:rsidR="00BC54D1" w:rsidRPr="00BC54D1" w14:paraId="1C969611" w14:textId="77777777" w:rsidTr="7759D9CA">
        <w:tc>
          <w:tcPr>
            <w:tcW w:w="794" w:type="dxa"/>
            <w:tcBorders>
              <w:top w:val="nil"/>
              <w:left w:val="nil"/>
              <w:bottom w:val="nil"/>
              <w:right w:val="nil"/>
            </w:tcBorders>
          </w:tcPr>
          <w:p w14:paraId="752FB7B3"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42A73235"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907" w:type="dxa"/>
            <w:tcBorders>
              <w:top w:val="nil"/>
              <w:left w:val="nil"/>
              <w:bottom w:val="nil"/>
              <w:right w:val="nil"/>
            </w:tcBorders>
          </w:tcPr>
          <w:p w14:paraId="233DEF8D"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(-9.47)</w:t>
            </w:r>
          </w:p>
        </w:tc>
        <w:tc>
          <w:tcPr>
            <w:tcW w:w="2891" w:type="dxa"/>
            <w:tcBorders>
              <w:top w:val="nil"/>
              <w:left w:val="nil"/>
              <w:bottom w:val="nil"/>
              <w:right w:val="nil"/>
            </w:tcBorders>
          </w:tcPr>
          <w:p w14:paraId="1A1BB4F7"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1417" w:type="dxa"/>
            <w:tcBorders>
              <w:top w:val="nil"/>
              <w:left w:val="nil"/>
              <w:bottom w:val="nil"/>
              <w:right w:val="nil"/>
            </w:tcBorders>
          </w:tcPr>
          <w:p w14:paraId="33FA18CF"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r>
      <w:tr w:rsidR="00BC54D1" w:rsidRPr="00BC54D1" w14:paraId="01642638" w14:textId="77777777" w:rsidTr="7759D9CA">
        <w:tc>
          <w:tcPr>
            <w:tcW w:w="794" w:type="dxa"/>
            <w:tcBorders>
              <w:top w:val="nil"/>
              <w:left w:val="nil"/>
              <w:bottom w:val="nil"/>
              <w:right w:val="nil"/>
            </w:tcBorders>
          </w:tcPr>
          <w:p w14:paraId="5807CDFC"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3E762526"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907" w:type="dxa"/>
            <w:tcBorders>
              <w:top w:val="nil"/>
              <w:left w:val="nil"/>
              <w:bottom w:val="nil"/>
              <w:right w:val="nil"/>
            </w:tcBorders>
          </w:tcPr>
          <w:p w14:paraId="557BEC29"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2891" w:type="dxa"/>
            <w:tcBorders>
              <w:top w:val="nil"/>
              <w:left w:val="nil"/>
              <w:bottom w:val="nil"/>
              <w:right w:val="nil"/>
            </w:tcBorders>
          </w:tcPr>
          <w:p w14:paraId="0E1FB411"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1417" w:type="dxa"/>
            <w:tcBorders>
              <w:top w:val="nil"/>
              <w:left w:val="nil"/>
              <w:bottom w:val="nil"/>
              <w:right w:val="nil"/>
            </w:tcBorders>
          </w:tcPr>
          <w:p w14:paraId="714BBB7A"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r>
      <w:tr w:rsidR="00BC54D1" w:rsidRPr="00BC54D1" w14:paraId="36CC99C5" w14:textId="77777777" w:rsidTr="7759D9CA">
        <w:tc>
          <w:tcPr>
            <w:tcW w:w="794" w:type="dxa"/>
            <w:tcBorders>
              <w:top w:val="nil"/>
              <w:left w:val="nil"/>
              <w:bottom w:val="nil"/>
              <w:right w:val="nil"/>
            </w:tcBorders>
          </w:tcPr>
          <w:p w14:paraId="7A1ADF39" w14:textId="16427DEA" w:rsidR="00D55EA0" w:rsidRPr="00BC54D1" w:rsidRDefault="00D55EA0"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ID_</w:t>
            </w:r>
            <w:r w:rsidR="002F2667" w:rsidRPr="00BC54D1">
              <w:rPr>
                <w:rFonts w:ascii="Times New Roman" w:hAnsi="Times New Roman"/>
                <w:sz w:val="16"/>
                <w:szCs w:val="16"/>
                <w:lang w:val="en-US"/>
              </w:rPr>
              <w:t>S</w:t>
            </w:r>
            <w:r w:rsidRPr="00BC54D1">
              <w:rPr>
                <w:rFonts w:ascii="Times New Roman" w:hAnsi="Times New Roman"/>
                <w:sz w:val="16"/>
                <w:szCs w:val="16"/>
                <w:lang w:val="en-US"/>
              </w:rPr>
              <w:t>GR</w:t>
            </w:r>
          </w:p>
        </w:tc>
        <w:tc>
          <w:tcPr>
            <w:tcW w:w="3288" w:type="dxa"/>
            <w:tcBorders>
              <w:top w:val="nil"/>
              <w:left w:val="nil"/>
              <w:bottom w:val="nil"/>
              <w:right w:val="nil"/>
            </w:tcBorders>
          </w:tcPr>
          <w:p w14:paraId="73F28657"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907" w:type="dxa"/>
            <w:tcBorders>
              <w:top w:val="nil"/>
              <w:left w:val="nil"/>
              <w:bottom w:val="nil"/>
              <w:right w:val="nil"/>
            </w:tcBorders>
          </w:tcPr>
          <w:p w14:paraId="3A18ADEB"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1.018</w:t>
            </w:r>
            <w:r w:rsidRPr="00BC54D1">
              <w:rPr>
                <w:rFonts w:ascii="Times New Roman" w:hAnsi="Times New Roman"/>
                <w:sz w:val="16"/>
                <w:szCs w:val="16"/>
                <w:vertAlign w:val="superscript"/>
                <w:lang w:val="en-US"/>
              </w:rPr>
              <w:t>***</w:t>
            </w:r>
          </w:p>
        </w:tc>
        <w:tc>
          <w:tcPr>
            <w:tcW w:w="2891" w:type="dxa"/>
            <w:tcBorders>
              <w:top w:val="nil"/>
              <w:left w:val="nil"/>
              <w:bottom w:val="nil"/>
              <w:right w:val="nil"/>
            </w:tcBorders>
          </w:tcPr>
          <w:p w14:paraId="5FD4E304"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1417" w:type="dxa"/>
            <w:tcBorders>
              <w:top w:val="nil"/>
              <w:left w:val="nil"/>
              <w:bottom w:val="nil"/>
              <w:right w:val="nil"/>
            </w:tcBorders>
          </w:tcPr>
          <w:p w14:paraId="0515F7B5"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1.019</w:t>
            </w:r>
            <w:r w:rsidRPr="00BC54D1">
              <w:rPr>
                <w:rFonts w:ascii="Times New Roman" w:hAnsi="Times New Roman"/>
                <w:sz w:val="16"/>
                <w:szCs w:val="16"/>
                <w:vertAlign w:val="superscript"/>
                <w:lang w:val="en-US"/>
              </w:rPr>
              <w:t>***</w:t>
            </w:r>
          </w:p>
        </w:tc>
      </w:tr>
      <w:tr w:rsidR="00BC54D1" w:rsidRPr="00BC54D1" w14:paraId="090C4794" w14:textId="77777777" w:rsidTr="7759D9CA">
        <w:tc>
          <w:tcPr>
            <w:tcW w:w="794" w:type="dxa"/>
            <w:tcBorders>
              <w:top w:val="nil"/>
              <w:left w:val="nil"/>
              <w:bottom w:val="nil"/>
              <w:right w:val="nil"/>
            </w:tcBorders>
          </w:tcPr>
          <w:p w14:paraId="6233EB30"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7CD27B5B"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907" w:type="dxa"/>
            <w:tcBorders>
              <w:top w:val="nil"/>
              <w:left w:val="nil"/>
              <w:bottom w:val="nil"/>
              <w:right w:val="nil"/>
            </w:tcBorders>
          </w:tcPr>
          <w:p w14:paraId="31D359FB"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(7.06)</w:t>
            </w:r>
          </w:p>
        </w:tc>
        <w:tc>
          <w:tcPr>
            <w:tcW w:w="2891" w:type="dxa"/>
            <w:tcBorders>
              <w:top w:val="nil"/>
              <w:left w:val="nil"/>
              <w:bottom w:val="nil"/>
              <w:right w:val="nil"/>
            </w:tcBorders>
          </w:tcPr>
          <w:p w14:paraId="142FB8D8"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1417" w:type="dxa"/>
            <w:tcBorders>
              <w:top w:val="nil"/>
              <w:left w:val="nil"/>
              <w:bottom w:val="nil"/>
              <w:right w:val="nil"/>
            </w:tcBorders>
          </w:tcPr>
          <w:p w14:paraId="05D2F4F6"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(7.03)</w:t>
            </w:r>
          </w:p>
        </w:tc>
      </w:tr>
      <w:tr w:rsidR="00BC54D1" w:rsidRPr="00BC54D1" w14:paraId="3F7237D3" w14:textId="77777777" w:rsidTr="7759D9CA">
        <w:tc>
          <w:tcPr>
            <w:tcW w:w="794" w:type="dxa"/>
            <w:tcBorders>
              <w:top w:val="nil"/>
              <w:left w:val="nil"/>
              <w:bottom w:val="nil"/>
              <w:right w:val="nil"/>
            </w:tcBorders>
          </w:tcPr>
          <w:p w14:paraId="3722B3CF"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4958EB22"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907" w:type="dxa"/>
            <w:tcBorders>
              <w:top w:val="nil"/>
              <w:left w:val="nil"/>
              <w:bottom w:val="nil"/>
              <w:right w:val="nil"/>
            </w:tcBorders>
          </w:tcPr>
          <w:p w14:paraId="73415682"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2891" w:type="dxa"/>
            <w:tcBorders>
              <w:top w:val="nil"/>
              <w:left w:val="nil"/>
              <w:bottom w:val="nil"/>
              <w:right w:val="nil"/>
            </w:tcBorders>
          </w:tcPr>
          <w:p w14:paraId="2CA0AD4B"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1417" w:type="dxa"/>
            <w:tcBorders>
              <w:top w:val="nil"/>
              <w:left w:val="nil"/>
              <w:bottom w:val="nil"/>
              <w:right w:val="nil"/>
            </w:tcBorders>
          </w:tcPr>
          <w:p w14:paraId="2B24D7A9"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r>
      <w:tr w:rsidR="00BC54D1" w:rsidRPr="00BC54D1" w14:paraId="45187448" w14:textId="77777777" w:rsidTr="7759D9CA">
        <w:tc>
          <w:tcPr>
            <w:tcW w:w="794" w:type="dxa"/>
            <w:tcBorders>
              <w:top w:val="nil"/>
              <w:left w:val="nil"/>
              <w:bottom w:val="nil"/>
              <w:right w:val="nil"/>
            </w:tcBorders>
          </w:tcPr>
          <w:p w14:paraId="1BD473CB" w14:textId="0AD8E305" w:rsidR="00D55EA0" w:rsidRPr="00BC54D1" w:rsidRDefault="7759D9CA"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R&amp;D</w:t>
            </w:r>
          </w:p>
        </w:tc>
        <w:tc>
          <w:tcPr>
            <w:tcW w:w="3288" w:type="dxa"/>
            <w:tcBorders>
              <w:top w:val="nil"/>
              <w:left w:val="nil"/>
              <w:bottom w:val="nil"/>
              <w:right w:val="nil"/>
            </w:tcBorders>
          </w:tcPr>
          <w:p w14:paraId="406AF9EE"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907" w:type="dxa"/>
            <w:tcBorders>
              <w:top w:val="nil"/>
              <w:left w:val="nil"/>
              <w:bottom w:val="nil"/>
              <w:right w:val="nil"/>
            </w:tcBorders>
          </w:tcPr>
          <w:p w14:paraId="6302E85D"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2891" w:type="dxa"/>
            <w:tcBorders>
              <w:top w:val="nil"/>
              <w:left w:val="nil"/>
              <w:bottom w:val="nil"/>
              <w:right w:val="nil"/>
            </w:tcBorders>
          </w:tcPr>
          <w:p w14:paraId="01992DE0"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1417" w:type="dxa"/>
            <w:tcBorders>
              <w:top w:val="nil"/>
              <w:left w:val="nil"/>
              <w:bottom w:val="nil"/>
              <w:right w:val="nil"/>
            </w:tcBorders>
          </w:tcPr>
          <w:p w14:paraId="6C81A80A"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-2.316</w:t>
            </w:r>
            <w:r w:rsidRPr="00BC54D1">
              <w:rPr>
                <w:rFonts w:ascii="Times New Roman" w:hAnsi="Times New Roman"/>
                <w:sz w:val="16"/>
                <w:szCs w:val="16"/>
                <w:vertAlign w:val="superscript"/>
                <w:lang w:val="en-US"/>
              </w:rPr>
              <w:t>***</w:t>
            </w:r>
          </w:p>
        </w:tc>
      </w:tr>
      <w:tr w:rsidR="00BC54D1" w:rsidRPr="00BC54D1" w14:paraId="0520836D" w14:textId="77777777" w:rsidTr="7759D9CA">
        <w:tc>
          <w:tcPr>
            <w:tcW w:w="794" w:type="dxa"/>
            <w:tcBorders>
              <w:top w:val="nil"/>
              <w:left w:val="nil"/>
              <w:bottom w:val="nil"/>
              <w:right w:val="nil"/>
            </w:tcBorders>
          </w:tcPr>
          <w:p w14:paraId="5631BBB5"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4CFAE884"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907" w:type="dxa"/>
            <w:tcBorders>
              <w:top w:val="nil"/>
              <w:left w:val="nil"/>
              <w:bottom w:val="nil"/>
              <w:right w:val="nil"/>
            </w:tcBorders>
          </w:tcPr>
          <w:p w14:paraId="50B70105"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2891" w:type="dxa"/>
            <w:tcBorders>
              <w:top w:val="nil"/>
              <w:left w:val="nil"/>
              <w:bottom w:val="nil"/>
              <w:right w:val="nil"/>
            </w:tcBorders>
          </w:tcPr>
          <w:p w14:paraId="17AEFA54"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p>
        </w:tc>
        <w:tc>
          <w:tcPr>
            <w:tcW w:w="1417" w:type="dxa"/>
            <w:tcBorders>
              <w:top w:val="nil"/>
              <w:left w:val="nil"/>
              <w:bottom w:val="nil"/>
              <w:right w:val="nil"/>
            </w:tcBorders>
          </w:tcPr>
          <w:p w14:paraId="2EC6365E"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(-8.03)</w:t>
            </w:r>
          </w:p>
        </w:tc>
      </w:tr>
      <w:tr w:rsidR="00BC54D1" w:rsidRPr="00BC54D1" w14:paraId="35675FEB" w14:textId="77777777" w:rsidTr="7759D9CA">
        <w:tc>
          <w:tcPr>
            <w:tcW w:w="794" w:type="dxa"/>
            <w:tcBorders>
              <w:top w:val="nil"/>
              <w:left w:val="nil"/>
              <w:bottom w:val="nil"/>
              <w:right w:val="nil"/>
            </w:tcBorders>
          </w:tcPr>
          <w:p w14:paraId="4B5EA6D1"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3288" w:type="dxa"/>
            <w:tcBorders>
              <w:top w:val="nil"/>
              <w:left w:val="nil"/>
              <w:bottom w:val="nil"/>
              <w:right w:val="nil"/>
            </w:tcBorders>
          </w:tcPr>
          <w:p w14:paraId="09327EF0"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907" w:type="dxa"/>
            <w:tcBorders>
              <w:top w:val="nil"/>
              <w:left w:val="nil"/>
              <w:bottom w:val="nil"/>
              <w:right w:val="nil"/>
            </w:tcBorders>
          </w:tcPr>
          <w:p w14:paraId="713C7CF3"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2891" w:type="dxa"/>
            <w:tcBorders>
              <w:top w:val="nil"/>
              <w:left w:val="nil"/>
              <w:bottom w:val="nil"/>
              <w:right w:val="nil"/>
            </w:tcBorders>
          </w:tcPr>
          <w:p w14:paraId="38926639"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c>
          <w:tcPr>
            <w:tcW w:w="1417" w:type="dxa"/>
            <w:tcBorders>
              <w:top w:val="nil"/>
              <w:left w:val="nil"/>
              <w:bottom w:val="nil"/>
              <w:right w:val="nil"/>
            </w:tcBorders>
          </w:tcPr>
          <w:p w14:paraId="63685A91"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tc>
      </w:tr>
      <w:tr w:rsidR="00BC54D1" w:rsidRPr="00BC54D1" w14:paraId="1B429F80" w14:textId="77777777" w:rsidTr="7759D9CA">
        <w:tc>
          <w:tcPr>
            <w:tcW w:w="794" w:type="dxa"/>
            <w:tcBorders>
              <w:top w:val="nil"/>
              <w:left w:val="nil"/>
              <w:bottom w:val="nil"/>
              <w:right w:val="nil"/>
            </w:tcBorders>
          </w:tcPr>
          <w:p w14:paraId="59D77BC8"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_Cons</w:t>
            </w:r>
          </w:p>
        </w:tc>
        <w:tc>
          <w:tcPr>
            <w:tcW w:w="3288" w:type="dxa"/>
            <w:tcBorders>
              <w:top w:val="nil"/>
              <w:left w:val="nil"/>
              <w:bottom w:val="nil"/>
              <w:right w:val="nil"/>
            </w:tcBorders>
          </w:tcPr>
          <w:p w14:paraId="3AB49773"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0.363</w:t>
            </w:r>
          </w:p>
        </w:tc>
        <w:tc>
          <w:tcPr>
            <w:tcW w:w="907" w:type="dxa"/>
            <w:tcBorders>
              <w:top w:val="nil"/>
              <w:left w:val="nil"/>
              <w:bottom w:val="nil"/>
              <w:right w:val="nil"/>
            </w:tcBorders>
          </w:tcPr>
          <w:p w14:paraId="3D22F0EB"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0.004</w:t>
            </w:r>
          </w:p>
        </w:tc>
        <w:tc>
          <w:tcPr>
            <w:tcW w:w="2891" w:type="dxa"/>
            <w:tcBorders>
              <w:top w:val="nil"/>
              <w:left w:val="nil"/>
              <w:bottom w:val="nil"/>
              <w:right w:val="nil"/>
            </w:tcBorders>
          </w:tcPr>
          <w:p w14:paraId="00812E8F"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0.039</w:t>
            </w:r>
          </w:p>
        </w:tc>
        <w:tc>
          <w:tcPr>
            <w:tcW w:w="1417" w:type="dxa"/>
            <w:tcBorders>
              <w:top w:val="nil"/>
              <w:left w:val="nil"/>
              <w:bottom w:val="nil"/>
              <w:right w:val="nil"/>
            </w:tcBorders>
          </w:tcPr>
          <w:p w14:paraId="76E3C67D"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-0.012*</w:t>
            </w:r>
          </w:p>
        </w:tc>
      </w:tr>
      <w:tr w:rsidR="00BC54D1" w:rsidRPr="00BC54D1" w14:paraId="2480FF03" w14:textId="77777777" w:rsidTr="7759D9CA">
        <w:tc>
          <w:tcPr>
            <w:tcW w:w="794" w:type="dxa"/>
            <w:tcBorders>
              <w:top w:val="nil"/>
              <w:left w:val="nil"/>
              <w:bottom w:val="single" w:sz="4" w:space="0" w:color="auto"/>
              <w:right w:val="nil"/>
            </w:tcBorders>
          </w:tcPr>
          <w:p w14:paraId="65EDBAB4"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p>
          <w:p w14:paraId="6C2076FC"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Year</w:t>
            </w:r>
          </w:p>
          <w:p w14:paraId="34819B75" w14:textId="77777777" w:rsidR="00D55EA0" w:rsidRPr="00BC54D1" w:rsidRDefault="00D55EA0" w:rsidP="00C641D8">
            <w:pPr>
              <w:widowControl w:val="0"/>
              <w:autoSpaceDE w:val="0"/>
              <w:autoSpaceDN w:val="0"/>
              <w:adjustRightInd w:val="0"/>
              <w:rPr>
                <w:rFonts w:ascii="Times New Roman" w:hAnsi="Times New Roman"/>
                <w:sz w:val="16"/>
                <w:szCs w:val="16"/>
                <w:lang w:val="en-US"/>
              </w:rPr>
            </w:pPr>
            <w:r w:rsidRPr="00BC54D1">
              <w:rPr>
                <w:rFonts w:ascii="Times New Roman" w:hAnsi="Times New Roman"/>
                <w:sz w:val="16"/>
                <w:szCs w:val="16"/>
                <w:lang w:val="en-US"/>
              </w:rPr>
              <w:t>Industry</w:t>
            </w:r>
          </w:p>
        </w:tc>
        <w:tc>
          <w:tcPr>
            <w:tcW w:w="3288" w:type="dxa"/>
            <w:tcBorders>
              <w:top w:val="nil"/>
              <w:left w:val="nil"/>
              <w:bottom w:val="single" w:sz="4" w:space="0" w:color="auto"/>
              <w:right w:val="nil"/>
            </w:tcBorders>
          </w:tcPr>
          <w:p w14:paraId="6B359F5C"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(1.30)</w:t>
            </w:r>
          </w:p>
          <w:p w14:paraId="032F6DAF"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YES</w:t>
            </w:r>
          </w:p>
          <w:p w14:paraId="4D8F7D5C"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YES</w:t>
            </w:r>
          </w:p>
        </w:tc>
        <w:tc>
          <w:tcPr>
            <w:tcW w:w="907" w:type="dxa"/>
            <w:tcBorders>
              <w:top w:val="nil"/>
              <w:left w:val="nil"/>
              <w:bottom w:val="single" w:sz="4" w:space="0" w:color="auto"/>
              <w:right w:val="nil"/>
            </w:tcBorders>
          </w:tcPr>
          <w:p w14:paraId="14C90167"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(0.45)</w:t>
            </w:r>
          </w:p>
          <w:p w14:paraId="7E4781C3"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YES</w:t>
            </w:r>
          </w:p>
          <w:p w14:paraId="184A22A2"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YES</w:t>
            </w:r>
          </w:p>
        </w:tc>
        <w:tc>
          <w:tcPr>
            <w:tcW w:w="2891" w:type="dxa"/>
            <w:tcBorders>
              <w:top w:val="nil"/>
              <w:left w:val="nil"/>
              <w:bottom w:val="single" w:sz="4" w:space="0" w:color="auto"/>
              <w:right w:val="nil"/>
            </w:tcBorders>
          </w:tcPr>
          <w:p w14:paraId="6F1F6003"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(1.03)</w:t>
            </w:r>
          </w:p>
          <w:p w14:paraId="21B35804"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YES</w:t>
            </w:r>
          </w:p>
          <w:p w14:paraId="78444DEB"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YES</w:t>
            </w:r>
          </w:p>
        </w:tc>
        <w:tc>
          <w:tcPr>
            <w:tcW w:w="1417" w:type="dxa"/>
            <w:tcBorders>
              <w:top w:val="nil"/>
              <w:left w:val="nil"/>
              <w:bottom w:val="single" w:sz="4" w:space="0" w:color="auto"/>
              <w:right w:val="nil"/>
            </w:tcBorders>
          </w:tcPr>
          <w:p w14:paraId="6F6E209C"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(-1.68)</w:t>
            </w:r>
          </w:p>
          <w:p w14:paraId="6EE604C5"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YES</w:t>
            </w:r>
          </w:p>
          <w:p w14:paraId="0951DC67" w14:textId="77777777" w:rsidR="00D55EA0" w:rsidRPr="00BC54D1" w:rsidRDefault="00D55EA0" w:rsidP="00C641D8">
            <w:pPr>
              <w:widowControl w:val="0"/>
              <w:autoSpaceDE w:val="0"/>
              <w:autoSpaceDN w:val="0"/>
              <w:adjustRightInd w:val="0"/>
              <w:jc w:val="center"/>
              <w:rPr>
                <w:rFonts w:ascii="Times New Roman" w:hAnsi="Times New Roman"/>
                <w:sz w:val="16"/>
                <w:szCs w:val="16"/>
                <w:lang w:val="en-US"/>
              </w:rPr>
            </w:pPr>
            <w:r w:rsidRPr="00BC54D1">
              <w:rPr>
                <w:rFonts w:ascii="Times New Roman" w:hAnsi="Times New Roman"/>
                <w:sz w:val="16"/>
                <w:szCs w:val="16"/>
                <w:lang w:val="en-US"/>
              </w:rPr>
              <w:t>YES</w:t>
            </w:r>
          </w:p>
        </w:tc>
      </w:tr>
      <w:tr w:rsidR="00BC54D1" w:rsidRPr="00BC54D1" w14:paraId="64516BDD" w14:textId="77777777" w:rsidTr="7759D9CA">
        <w:tc>
          <w:tcPr>
            <w:tcW w:w="794" w:type="dxa"/>
            <w:tcBorders>
              <w:top w:val="single" w:sz="4" w:space="0" w:color="auto"/>
              <w:left w:val="nil"/>
              <w:bottom w:val="single" w:sz="4" w:space="0" w:color="auto"/>
              <w:right w:val="nil"/>
            </w:tcBorders>
          </w:tcPr>
          <w:p w14:paraId="03C3D449" w14:textId="77777777" w:rsidR="00D55EA0" w:rsidRPr="00BC54D1" w:rsidRDefault="00D55EA0" w:rsidP="00C641D8">
            <w:pPr>
              <w:widowControl w:val="0"/>
              <w:autoSpaceDE w:val="0"/>
              <w:autoSpaceDN w:val="0"/>
              <w:adjustRightInd w:val="0"/>
              <w:spacing w:line="480" w:lineRule="auto"/>
              <w:rPr>
                <w:rFonts w:ascii="Times New Roman" w:hAnsi="Times New Roman"/>
                <w:b/>
                <w:bCs/>
                <w:sz w:val="16"/>
                <w:szCs w:val="16"/>
                <w:lang w:val="en-US"/>
              </w:rPr>
            </w:pPr>
            <w:r w:rsidRPr="00BC54D1">
              <w:rPr>
                <w:rFonts w:ascii="Times New Roman" w:hAnsi="Times New Roman"/>
                <w:b/>
                <w:bCs/>
                <w:i/>
                <w:iCs/>
                <w:sz w:val="16"/>
                <w:szCs w:val="16"/>
                <w:lang w:val="en-US"/>
              </w:rPr>
              <w:t>N</w:t>
            </w:r>
          </w:p>
        </w:tc>
        <w:tc>
          <w:tcPr>
            <w:tcW w:w="3288" w:type="dxa"/>
            <w:tcBorders>
              <w:top w:val="single" w:sz="4" w:space="0" w:color="auto"/>
              <w:left w:val="nil"/>
              <w:bottom w:val="single" w:sz="4" w:space="0" w:color="auto"/>
              <w:right w:val="nil"/>
            </w:tcBorders>
          </w:tcPr>
          <w:p w14:paraId="0AB39EDC" w14:textId="77777777" w:rsidR="00D55EA0" w:rsidRPr="00BC54D1" w:rsidRDefault="00D55EA0" w:rsidP="00C641D8">
            <w:pPr>
              <w:widowControl w:val="0"/>
              <w:autoSpaceDE w:val="0"/>
              <w:autoSpaceDN w:val="0"/>
              <w:adjustRightInd w:val="0"/>
              <w:spacing w:line="480" w:lineRule="auto"/>
              <w:jc w:val="center"/>
              <w:rPr>
                <w:rFonts w:ascii="Times New Roman" w:hAnsi="Times New Roman"/>
                <w:b/>
                <w:bCs/>
                <w:sz w:val="16"/>
                <w:szCs w:val="16"/>
                <w:lang w:val="en-US"/>
              </w:rPr>
            </w:pPr>
            <w:r w:rsidRPr="00BC54D1">
              <w:rPr>
                <w:rFonts w:ascii="Times New Roman" w:hAnsi="Times New Roman"/>
                <w:b/>
                <w:bCs/>
                <w:sz w:val="16"/>
                <w:szCs w:val="16"/>
                <w:lang w:val="en-US"/>
              </w:rPr>
              <w:t>224818</w:t>
            </w:r>
          </w:p>
        </w:tc>
        <w:tc>
          <w:tcPr>
            <w:tcW w:w="907" w:type="dxa"/>
            <w:tcBorders>
              <w:top w:val="single" w:sz="4" w:space="0" w:color="auto"/>
              <w:left w:val="nil"/>
              <w:bottom w:val="single" w:sz="4" w:space="0" w:color="auto"/>
              <w:right w:val="nil"/>
            </w:tcBorders>
          </w:tcPr>
          <w:p w14:paraId="27E20317" w14:textId="77777777" w:rsidR="00D55EA0" w:rsidRPr="00BC54D1" w:rsidRDefault="00D55EA0" w:rsidP="00C641D8">
            <w:pPr>
              <w:widowControl w:val="0"/>
              <w:autoSpaceDE w:val="0"/>
              <w:autoSpaceDN w:val="0"/>
              <w:adjustRightInd w:val="0"/>
              <w:spacing w:line="480" w:lineRule="auto"/>
              <w:jc w:val="center"/>
              <w:rPr>
                <w:rFonts w:ascii="Times New Roman" w:hAnsi="Times New Roman"/>
                <w:b/>
                <w:bCs/>
                <w:sz w:val="16"/>
                <w:szCs w:val="16"/>
                <w:lang w:val="en-US"/>
              </w:rPr>
            </w:pPr>
            <w:r w:rsidRPr="00BC54D1">
              <w:rPr>
                <w:rFonts w:ascii="Times New Roman" w:hAnsi="Times New Roman"/>
                <w:b/>
                <w:bCs/>
                <w:sz w:val="16"/>
                <w:szCs w:val="16"/>
                <w:lang w:val="en-US"/>
              </w:rPr>
              <w:t>224818</w:t>
            </w:r>
          </w:p>
        </w:tc>
        <w:tc>
          <w:tcPr>
            <w:tcW w:w="2891" w:type="dxa"/>
            <w:tcBorders>
              <w:top w:val="single" w:sz="4" w:space="0" w:color="auto"/>
              <w:left w:val="nil"/>
              <w:bottom w:val="single" w:sz="4" w:space="0" w:color="auto"/>
              <w:right w:val="nil"/>
            </w:tcBorders>
          </w:tcPr>
          <w:p w14:paraId="249D406E" w14:textId="77777777" w:rsidR="00D55EA0" w:rsidRPr="00BC54D1" w:rsidRDefault="00D55EA0" w:rsidP="00C641D8">
            <w:pPr>
              <w:widowControl w:val="0"/>
              <w:autoSpaceDE w:val="0"/>
              <w:autoSpaceDN w:val="0"/>
              <w:adjustRightInd w:val="0"/>
              <w:spacing w:line="480" w:lineRule="auto"/>
              <w:jc w:val="center"/>
              <w:rPr>
                <w:rFonts w:ascii="Times New Roman" w:hAnsi="Times New Roman"/>
                <w:b/>
                <w:bCs/>
                <w:sz w:val="16"/>
                <w:szCs w:val="16"/>
                <w:lang w:val="en-US"/>
              </w:rPr>
            </w:pPr>
            <w:r w:rsidRPr="00BC54D1">
              <w:rPr>
                <w:rFonts w:ascii="Times New Roman" w:hAnsi="Times New Roman"/>
                <w:b/>
                <w:bCs/>
                <w:sz w:val="16"/>
                <w:szCs w:val="16"/>
                <w:lang w:val="en-US"/>
              </w:rPr>
              <w:t>224818</w:t>
            </w:r>
          </w:p>
        </w:tc>
        <w:tc>
          <w:tcPr>
            <w:tcW w:w="1417" w:type="dxa"/>
            <w:tcBorders>
              <w:top w:val="single" w:sz="4" w:space="0" w:color="auto"/>
              <w:left w:val="nil"/>
              <w:bottom w:val="single" w:sz="4" w:space="0" w:color="auto"/>
              <w:right w:val="nil"/>
            </w:tcBorders>
          </w:tcPr>
          <w:p w14:paraId="3FBD82D8" w14:textId="77777777" w:rsidR="00D55EA0" w:rsidRPr="00BC54D1" w:rsidRDefault="00D55EA0" w:rsidP="00C641D8">
            <w:pPr>
              <w:widowControl w:val="0"/>
              <w:autoSpaceDE w:val="0"/>
              <w:autoSpaceDN w:val="0"/>
              <w:adjustRightInd w:val="0"/>
              <w:spacing w:line="480" w:lineRule="auto"/>
              <w:jc w:val="center"/>
              <w:rPr>
                <w:rFonts w:ascii="Times New Roman" w:hAnsi="Times New Roman"/>
                <w:b/>
                <w:bCs/>
                <w:sz w:val="16"/>
                <w:szCs w:val="16"/>
                <w:lang w:val="en-US"/>
              </w:rPr>
            </w:pPr>
            <w:r w:rsidRPr="00BC54D1">
              <w:rPr>
                <w:rFonts w:ascii="Times New Roman" w:hAnsi="Times New Roman"/>
                <w:b/>
                <w:bCs/>
                <w:sz w:val="16"/>
                <w:szCs w:val="16"/>
                <w:lang w:val="en-US"/>
              </w:rPr>
              <w:t>224818</w:t>
            </w:r>
          </w:p>
        </w:tc>
      </w:tr>
    </w:tbl>
    <w:p w14:paraId="325BDAEC" w14:textId="0C10AE1E" w:rsidR="00C742F7" w:rsidRPr="00BC54D1" w:rsidRDefault="00EF145C" w:rsidP="00732A21">
      <w:pPr>
        <w:widowControl w:val="0"/>
        <w:autoSpaceDE w:val="0"/>
        <w:autoSpaceDN w:val="0"/>
        <w:adjustRightInd w:val="0"/>
        <w:jc w:val="both"/>
        <w:rPr>
          <w:rFonts w:ascii="Times New Roman" w:hAnsi="Times New Roman"/>
          <w:b/>
          <w:bCs/>
          <w:sz w:val="18"/>
          <w:szCs w:val="18"/>
        </w:rPr>
      </w:pPr>
      <w:r w:rsidRPr="00BC54D1">
        <w:rPr>
          <w:rFonts w:ascii="Times New Roman" w:hAnsi="Times New Roman"/>
          <w:sz w:val="18"/>
          <w:szCs w:val="18"/>
        </w:rPr>
        <w:t>This table shows th</w:t>
      </w:r>
      <w:r w:rsidR="00025F7D" w:rsidRPr="00BC54D1">
        <w:rPr>
          <w:rFonts w:ascii="Times New Roman" w:hAnsi="Times New Roman"/>
          <w:sz w:val="18"/>
          <w:szCs w:val="18"/>
        </w:rPr>
        <w:t xml:space="preserve">ree-stage least square (3SLS) </w:t>
      </w:r>
      <w:r w:rsidRPr="00BC54D1">
        <w:rPr>
          <w:rFonts w:ascii="Times New Roman" w:hAnsi="Times New Roman"/>
          <w:sz w:val="18"/>
          <w:szCs w:val="18"/>
        </w:rPr>
        <w:t xml:space="preserve">regression </w:t>
      </w:r>
      <w:r w:rsidR="00025F7D" w:rsidRPr="00BC54D1">
        <w:rPr>
          <w:rFonts w:ascii="Times New Roman" w:hAnsi="Times New Roman"/>
          <w:sz w:val="18"/>
          <w:szCs w:val="18"/>
        </w:rPr>
        <w:t xml:space="preserve">results </w:t>
      </w:r>
      <w:r w:rsidRPr="00BC54D1">
        <w:rPr>
          <w:rFonts w:ascii="Times New Roman" w:hAnsi="Times New Roman"/>
          <w:sz w:val="18"/>
          <w:szCs w:val="18"/>
        </w:rPr>
        <w:t xml:space="preserve">of </w:t>
      </w:r>
      <w:r w:rsidR="00025F7D" w:rsidRPr="00BC54D1">
        <w:rPr>
          <w:rFonts w:ascii="Times New Roman" w:hAnsi="Times New Roman"/>
          <w:sz w:val="18"/>
          <w:szCs w:val="18"/>
        </w:rPr>
        <w:t>the effect of firm listing status on R&amp;D intensity.</w:t>
      </w:r>
      <w:r w:rsidRPr="00BC54D1">
        <w:rPr>
          <w:rFonts w:ascii="Times New Roman" w:hAnsi="Times New Roman"/>
          <w:sz w:val="18"/>
          <w:szCs w:val="18"/>
        </w:rPr>
        <w:t xml:space="preserve"> The first stage regression is where </w:t>
      </w:r>
      <w:r w:rsidR="00C641D8" w:rsidRPr="00BC54D1">
        <w:rPr>
          <w:rFonts w:ascii="Times New Roman" w:hAnsi="Times New Roman"/>
          <w:sz w:val="18"/>
          <w:szCs w:val="18"/>
        </w:rPr>
        <w:t>the</w:t>
      </w:r>
      <w:r w:rsidRPr="00BC54D1">
        <w:rPr>
          <w:rFonts w:ascii="Times New Roman" w:hAnsi="Times New Roman"/>
          <w:sz w:val="18"/>
          <w:szCs w:val="18"/>
        </w:rPr>
        <w:t xml:space="preserve"> endogenous variable: </w:t>
      </w:r>
      <w:r w:rsidR="00C641D8" w:rsidRPr="00BC54D1">
        <w:rPr>
          <w:rFonts w:ascii="Times New Roman" w:hAnsi="Times New Roman"/>
          <w:sz w:val="18"/>
          <w:szCs w:val="18"/>
        </w:rPr>
        <w:t>PRIV</w:t>
      </w:r>
      <w:r w:rsidRPr="00BC54D1">
        <w:rPr>
          <w:rFonts w:ascii="Times New Roman" w:hAnsi="Times New Roman"/>
          <w:sz w:val="18"/>
          <w:szCs w:val="18"/>
        </w:rPr>
        <w:t xml:space="preserve"> is regressed on </w:t>
      </w:r>
      <w:r w:rsidR="00C641D8" w:rsidRPr="00BC54D1">
        <w:rPr>
          <w:rFonts w:ascii="Times New Roman" w:hAnsi="Times New Roman"/>
          <w:i/>
          <w:iCs/>
          <w:sz w:val="18"/>
          <w:szCs w:val="18"/>
        </w:rPr>
        <w:t xml:space="preserve">R&amp;D </w:t>
      </w:r>
      <w:r w:rsidR="006A71DC" w:rsidRPr="00BC54D1">
        <w:rPr>
          <w:rFonts w:ascii="Times New Roman" w:hAnsi="Times New Roman"/>
          <w:i/>
          <w:iCs/>
          <w:sz w:val="18"/>
          <w:szCs w:val="18"/>
        </w:rPr>
        <w:t>activity,</w:t>
      </w:r>
      <w:r w:rsidR="00C641D8" w:rsidRPr="00BC54D1">
        <w:rPr>
          <w:rFonts w:ascii="Times New Roman" w:hAnsi="Times New Roman"/>
          <w:sz w:val="18"/>
          <w:szCs w:val="18"/>
        </w:rPr>
        <w:t xml:space="preserve"> </w:t>
      </w:r>
      <w:proofErr w:type="gramStart"/>
      <w:r w:rsidRPr="00BC54D1">
        <w:rPr>
          <w:rFonts w:ascii="Times New Roman" w:hAnsi="Times New Roman"/>
          <w:sz w:val="18"/>
          <w:szCs w:val="18"/>
        </w:rPr>
        <w:t>controls</w:t>
      </w:r>
      <w:proofErr w:type="gramEnd"/>
      <w:r w:rsidRPr="00BC54D1">
        <w:rPr>
          <w:rFonts w:ascii="Times New Roman" w:hAnsi="Times New Roman"/>
          <w:sz w:val="18"/>
          <w:szCs w:val="18"/>
        </w:rPr>
        <w:t xml:space="preserve"> and instrument</w:t>
      </w:r>
      <w:r w:rsidR="00C641D8" w:rsidRPr="00BC54D1">
        <w:rPr>
          <w:rFonts w:ascii="Times New Roman" w:hAnsi="Times New Roman"/>
          <w:sz w:val="18"/>
          <w:szCs w:val="18"/>
        </w:rPr>
        <w:t>al variable</w:t>
      </w:r>
      <w:r w:rsidRPr="00BC54D1">
        <w:rPr>
          <w:rFonts w:ascii="Times New Roman" w:hAnsi="Times New Roman"/>
          <w:sz w:val="18"/>
          <w:szCs w:val="18"/>
        </w:rPr>
        <w:t xml:space="preserve"> (industry median</w:t>
      </w:r>
      <w:r w:rsidR="00C641D8" w:rsidRPr="00BC54D1">
        <w:rPr>
          <w:rFonts w:ascii="Times New Roman" w:hAnsi="Times New Roman"/>
          <w:sz w:val="18"/>
          <w:szCs w:val="18"/>
        </w:rPr>
        <w:t xml:space="preserve"> growth </w:t>
      </w:r>
      <w:r w:rsidRPr="00BC54D1">
        <w:rPr>
          <w:rFonts w:ascii="Times New Roman" w:hAnsi="Times New Roman"/>
          <w:sz w:val="18"/>
          <w:szCs w:val="18"/>
        </w:rPr>
        <w:t>ID_</w:t>
      </w:r>
      <w:r w:rsidR="00C641D8" w:rsidRPr="00BC54D1">
        <w:rPr>
          <w:rFonts w:ascii="Times New Roman" w:hAnsi="Times New Roman"/>
          <w:sz w:val="18"/>
          <w:szCs w:val="18"/>
        </w:rPr>
        <w:t>SGR</w:t>
      </w:r>
      <w:r w:rsidRPr="00BC54D1">
        <w:rPr>
          <w:rFonts w:ascii="Times New Roman" w:hAnsi="Times New Roman"/>
          <w:sz w:val="18"/>
          <w:szCs w:val="18"/>
        </w:rPr>
        <w:t xml:space="preserve">). </w:t>
      </w:r>
      <w:r w:rsidR="00C641D8" w:rsidRPr="00BC54D1">
        <w:rPr>
          <w:rFonts w:ascii="Times New Roman" w:hAnsi="Times New Roman"/>
          <w:sz w:val="18"/>
          <w:szCs w:val="18"/>
        </w:rPr>
        <w:t xml:space="preserve">Our reported results used </w:t>
      </w:r>
      <w:r w:rsidR="003E3425" w:rsidRPr="00BC54D1">
        <w:rPr>
          <w:rFonts w:ascii="Times New Roman" w:hAnsi="Times New Roman"/>
          <w:sz w:val="18"/>
          <w:szCs w:val="18"/>
        </w:rPr>
        <w:t>two measures of R&amp;D intensity (R&amp;D dummy and R&amp;D ratio).</w:t>
      </w:r>
      <w:r w:rsidRPr="00BC54D1">
        <w:rPr>
          <w:rFonts w:ascii="Times New Roman" w:hAnsi="Times New Roman"/>
          <w:sz w:val="18"/>
          <w:szCs w:val="18"/>
        </w:rPr>
        <w:t xml:space="preserve"> The coefficients on the variable of interest</w:t>
      </w:r>
      <w:r w:rsidR="003E3425" w:rsidRPr="00BC54D1">
        <w:rPr>
          <w:rFonts w:ascii="Times New Roman" w:hAnsi="Times New Roman"/>
          <w:sz w:val="18"/>
          <w:szCs w:val="18"/>
        </w:rPr>
        <w:t xml:space="preserve">: </w:t>
      </w:r>
      <w:r w:rsidRPr="00BC54D1">
        <w:rPr>
          <w:rFonts w:ascii="Times New Roman" w:hAnsi="Times New Roman"/>
          <w:sz w:val="18"/>
          <w:szCs w:val="18"/>
        </w:rPr>
        <w:t xml:space="preserve"> </w:t>
      </w:r>
      <w:r w:rsidR="003E3425" w:rsidRPr="00BC54D1">
        <w:rPr>
          <w:rFonts w:ascii="Times New Roman" w:hAnsi="Times New Roman"/>
          <w:i/>
          <w:iCs/>
          <w:sz w:val="18"/>
          <w:szCs w:val="18"/>
        </w:rPr>
        <w:t>PRIV</w:t>
      </w:r>
      <w:r w:rsidRPr="00BC54D1">
        <w:rPr>
          <w:rFonts w:ascii="Times New Roman" w:hAnsi="Times New Roman"/>
          <w:sz w:val="18"/>
          <w:szCs w:val="18"/>
        </w:rPr>
        <w:t xml:space="preserve"> </w:t>
      </w:r>
      <w:r w:rsidR="003E3425" w:rsidRPr="00BC54D1">
        <w:rPr>
          <w:rFonts w:ascii="Times New Roman" w:hAnsi="Times New Roman"/>
          <w:sz w:val="18"/>
          <w:szCs w:val="18"/>
        </w:rPr>
        <w:t>is</w:t>
      </w:r>
      <w:r w:rsidRPr="00BC54D1">
        <w:rPr>
          <w:rFonts w:ascii="Times New Roman" w:hAnsi="Times New Roman"/>
          <w:sz w:val="18"/>
          <w:szCs w:val="18"/>
        </w:rPr>
        <w:t xml:space="preserve"> shown in the</w:t>
      </w:r>
      <w:r w:rsidRPr="00BC54D1">
        <w:rPr>
          <w:rFonts w:ascii="Times New Roman" w:hAnsi="Times New Roman"/>
          <w:i/>
          <w:iCs/>
          <w:sz w:val="18"/>
          <w:szCs w:val="18"/>
        </w:rPr>
        <w:t xml:space="preserve"> </w:t>
      </w:r>
      <w:r w:rsidR="003E3425" w:rsidRPr="00BC54D1">
        <w:rPr>
          <w:rFonts w:ascii="Times New Roman" w:hAnsi="Times New Roman"/>
          <w:i/>
          <w:iCs/>
          <w:sz w:val="18"/>
          <w:szCs w:val="18"/>
        </w:rPr>
        <w:t>R&amp;D</w:t>
      </w:r>
      <w:r w:rsidRPr="00BC54D1">
        <w:rPr>
          <w:rFonts w:ascii="Times New Roman" w:hAnsi="Times New Roman"/>
          <w:sz w:val="18"/>
          <w:szCs w:val="18"/>
        </w:rPr>
        <w:t xml:space="preserve"> model</w:t>
      </w:r>
      <w:r w:rsidR="003E3425" w:rsidRPr="00BC54D1">
        <w:rPr>
          <w:rFonts w:ascii="Times New Roman" w:hAnsi="Times New Roman"/>
          <w:sz w:val="18"/>
          <w:szCs w:val="18"/>
        </w:rPr>
        <w:t>s</w:t>
      </w:r>
      <w:r w:rsidRPr="00BC54D1">
        <w:rPr>
          <w:rFonts w:ascii="Times New Roman" w:hAnsi="Times New Roman"/>
          <w:sz w:val="18"/>
          <w:szCs w:val="18"/>
        </w:rPr>
        <w:t xml:space="preserve">. The models included fixed effects in all estimations. The reported t-statistics based on robust standard errors are within parentheses. Variable definitions are described in Table I. </w:t>
      </w:r>
      <w:r w:rsidRPr="00BC54D1">
        <w:rPr>
          <w:rFonts w:ascii="Times New Roman" w:hAnsi="Times New Roman"/>
          <w:b/>
          <w:bCs/>
          <w:sz w:val="18"/>
          <w:szCs w:val="18"/>
        </w:rPr>
        <w:t>*</w:t>
      </w:r>
      <w:r w:rsidRPr="00BC54D1">
        <w:rPr>
          <w:rFonts w:ascii="Times New Roman" w:hAnsi="Times New Roman"/>
          <w:bCs/>
          <w:sz w:val="18"/>
          <w:szCs w:val="18"/>
        </w:rPr>
        <w:t>,</w:t>
      </w:r>
      <w:r w:rsidRPr="00BC54D1">
        <w:rPr>
          <w:rFonts w:ascii="Times New Roman" w:hAnsi="Times New Roman"/>
          <w:b/>
          <w:bCs/>
          <w:sz w:val="18"/>
          <w:szCs w:val="18"/>
        </w:rPr>
        <w:t xml:space="preserve"> ** </w:t>
      </w:r>
      <w:r w:rsidRPr="00BC54D1">
        <w:rPr>
          <w:rFonts w:ascii="Times New Roman" w:hAnsi="Times New Roman"/>
          <w:bCs/>
          <w:sz w:val="18"/>
          <w:szCs w:val="18"/>
        </w:rPr>
        <w:t>and ***</w:t>
      </w:r>
      <w:r w:rsidRPr="00BC54D1">
        <w:rPr>
          <w:rFonts w:ascii="Times New Roman" w:hAnsi="Times New Roman"/>
          <w:sz w:val="18"/>
          <w:szCs w:val="18"/>
        </w:rPr>
        <w:t xml:space="preserve"> </w:t>
      </w:r>
      <w:r w:rsidRPr="00BC54D1">
        <w:rPr>
          <w:rFonts w:ascii="Times New Roman" w:hAnsi="Times New Roman"/>
          <w:bCs/>
          <w:sz w:val="18"/>
          <w:szCs w:val="18"/>
        </w:rPr>
        <w:t>indicate statistical significance at the 10%, 5% and 1% levels respectively</w:t>
      </w:r>
    </w:p>
    <w:p w14:paraId="5334EDD3" w14:textId="77777777" w:rsidR="00732A21" w:rsidRPr="00BC54D1" w:rsidRDefault="00732A21" w:rsidP="00732A21">
      <w:pPr>
        <w:widowControl w:val="0"/>
        <w:autoSpaceDE w:val="0"/>
        <w:autoSpaceDN w:val="0"/>
        <w:adjustRightInd w:val="0"/>
        <w:jc w:val="both"/>
        <w:rPr>
          <w:rFonts w:ascii="Times New Roman" w:hAnsi="Times New Roman"/>
          <w:b/>
          <w:bCs/>
          <w:sz w:val="18"/>
          <w:szCs w:val="18"/>
        </w:rPr>
      </w:pPr>
      <w:r w:rsidRPr="00BC54D1">
        <w:rPr>
          <w:rFonts w:ascii="Times New Roman" w:hAnsi="Times New Roman"/>
          <w:b/>
          <w:bCs/>
          <w:sz w:val="18"/>
          <w:szCs w:val="18"/>
        </w:rPr>
        <w:t xml:space="preserve"> </w:t>
      </w:r>
    </w:p>
    <w:p w14:paraId="3094A6C6" w14:textId="77777777" w:rsidR="00732A21" w:rsidRPr="00BC54D1" w:rsidRDefault="00732A21" w:rsidP="00732A21">
      <w:pPr>
        <w:jc w:val="both"/>
        <w:rPr>
          <w:rFonts w:ascii="Times New Roman" w:hAnsi="Times New Roman"/>
          <w:b/>
          <w:bCs/>
        </w:rPr>
      </w:pPr>
    </w:p>
    <w:p w14:paraId="1D8C62D0" w14:textId="24D57F16" w:rsidR="00033763" w:rsidRPr="00BC54D1" w:rsidRDefault="00033763" w:rsidP="00E4569B">
      <w:pPr>
        <w:spacing w:after="160" w:line="259" w:lineRule="auto"/>
        <w:jc w:val="both"/>
        <w:rPr>
          <w:rFonts w:ascii="Times New Roman" w:eastAsiaTheme="minorHAnsi" w:hAnsi="Times New Roman"/>
          <w:lang w:eastAsia="en-US"/>
        </w:rPr>
      </w:pPr>
    </w:p>
    <w:p w14:paraId="2D7941B7" w14:textId="1FDAD157" w:rsidR="00732A21" w:rsidRPr="00BC54D1" w:rsidRDefault="00732A21" w:rsidP="00E4569B">
      <w:pPr>
        <w:spacing w:after="160" w:line="259" w:lineRule="auto"/>
        <w:jc w:val="both"/>
        <w:rPr>
          <w:rFonts w:ascii="Times New Roman" w:eastAsiaTheme="minorHAnsi" w:hAnsi="Times New Roman"/>
          <w:lang w:eastAsia="en-US"/>
        </w:rPr>
      </w:pPr>
    </w:p>
    <w:p w14:paraId="4B590DF7" w14:textId="018093EB" w:rsidR="00732A21" w:rsidRPr="00BC54D1" w:rsidRDefault="00732A21" w:rsidP="00732A21">
      <w:pPr>
        <w:jc w:val="both"/>
        <w:rPr>
          <w:rFonts w:ascii="Times New Roman" w:hAnsi="Times New Roman"/>
          <w:b/>
          <w:bCs/>
        </w:rPr>
      </w:pPr>
      <w:r w:rsidRPr="00BC54D1">
        <w:rPr>
          <w:rFonts w:ascii="Times New Roman" w:hAnsi="Times New Roman"/>
          <w:b/>
          <w:bCs/>
        </w:rPr>
        <w:lastRenderedPageBreak/>
        <w:t xml:space="preserve">Table </w:t>
      </w:r>
      <w:r w:rsidR="00DD56F2" w:rsidRPr="00BC54D1">
        <w:rPr>
          <w:rFonts w:ascii="Times New Roman" w:hAnsi="Times New Roman"/>
          <w:b/>
          <w:bCs/>
        </w:rPr>
        <w:t>V</w:t>
      </w:r>
      <w:r w:rsidR="00D55EA0" w:rsidRPr="00BC54D1">
        <w:rPr>
          <w:rFonts w:ascii="Times New Roman" w:hAnsi="Times New Roman"/>
          <w:b/>
          <w:bCs/>
        </w:rPr>
        <w:t>I</w:t>
      </w:r>
      <w:r w:rsidRPr="00BC54D1">
        <w:rPr>
          <w:rFonts w:ascii="Times New Roman" w:hAnsi="Times New Roman"/>
          <w:b/>
          <w:bCs/>
        </w:rPr>
        <w:t xml:space="preserve">: Firm Listing Status (Private vs Public) and R&amp;D Intensity: the role of Industry, </w:t>
      </w:r>
      <w:r w:rsidR="00686382" w:rsidRPr="00BC54D1">
        <w:rPr>
          <w:rFonts w:ascii="Times New Roman" w:hAnsi="Times New Roman"/>
          <w:b/>
          <w:bCs/>
        </w:rPr>
        <w:t>Cash flow</w:t>
      </w:r>
      <w:r w:rsidRPr="00BC54D1">
        <w:rPr>
          <w:rFonts w:ascii="Times New Roman" w:hAnsi="Times New Roman"/>
          <w:b/>
          <w:bCs/>
        </w:rPr>
        <w:t xml:space="preserve">, </w:t>
      </w:r>
      <w:proofErr w:type="gramStart"/>
      <w:r w:rsidRPr="00BC54D1">
        <w:rPr>
          <w:rFonts w:ascii="Times New Roman" w:hAnsi="Times New Roman"/>
          <w:b/>
          <w:bCs/>
        </w:rPr>
        <w:t>Leverage</w:t>
      </w:r>
      <w:proofErr w:type="gramEnd"/>
      <w:r w:rsidRPr="00BC54D1">
        <w:rPr>
          <w:rFonts w:ascii="Times New Roman" w:hAnsi="Times New Roman"/>
          <w:b/>
          <w:bCs/>
        </w:rPr>
        <w:t xml:space="preserve"> and Information Quality</w:t>
      </w:r>
    </w:p>
    <w:tbl>
      <w:tblPr>
        <w:tblW w:w="8877" w:type="dxa"/>
        <w:tblLayout w:type="fixed"/>
        <w:tblLook w:val="0000" w:firstRow="0" w:lastRow="0" w:firstColumn="0" w:lastColumn="0" w:noHBand="0" w:noVBand="0"/>
      </w:tblPr>
      <w:tblGrid>
        <w:gridCol w:w="1134"/>
        <w:gridCol w:w="2016"/>
        <w:gridCol w:w="1304"/>
        <w:gridCol w:w="1701"/>
        <w:gridCol w:w="1361"/>
        <w:gridCol w:w="1361"/>
      </w:tblGrid>
      <w:tr w:rsidR="00BC54D1" w:rsidRPr="00BC54D1" w14:paraId="5BFEB9AE" w14:textId="77777777" w:rsidTr="00732A21">
        <w:tc>
          <w:tcPr>
            <w:tcW w:w="1134" w:type="dxa"/>
            <w:tcBorders>
              <w:top w:val="single" w:sz="4" w:space="0" w:color="auto"/>
              <w:left w:val="nil"/>
              <w:bottom w:val="nil"/>
              <w:right w:val="nil"/>
            </w:tcBorders>
          </w:tcPr>
          <w:p w14:paraId="32799CDD" w14:textId="77777777" w:rsidR="00732A21" w:rsidRPr="00BC54D1" w:rsidRDefault="00732A21" w:rsidP="00732A21">
            <w:pPr>
              <w:widowControl w:val="0"/>
              <w:autoSpaceDE w:val="0"/>
              <w:autoSpaceDN w:val="0"/>
              <w:adjustRightInd w:val="0"/>
              <w:spacing w:line="360" w:lineRule="auto"/>
              <w:rPr>
                <w:rFonts w:ascii="Times New Roman" w:hAnsi="Times New Roman"/>
                <w:b/>
                <w:bCs/>
                <w:sz w:val="16"/>
                <w:szCs w:val="16"/>
              </w:rPr>
            </w:pPr>
          </w:p>
        </w:tc>
        <w:tc>
          <w:tcPr>
            <w:tcW w:w="2016" w:type="dxa"/>
            <w:tcBorders>
              <w:top w:val="single" w:sz="4" w:space="0" w:color="auto"/>
              <w:left w:val="nil"/>
              <w:bottom w:val="nil"/>
              <w:right w:val="nil"/>
            </w:tcBorders>
          </w:tcPr>
          <w:p w14:paraId="7E83A5D8" w14:textId="22360A44" w:rsidR="00732A21" w:rsidRPr="00BC54D1" w:rsidRDefault="00732A21" w:rsidP="00732A21">
            <w:pPr>
              <w:widowControl w:val="0"/>
              <w:autoSpaceDE w:val="0"/>
              <w:autoSpaceDN w:val="0"/>
              <w:adjustRightInd w:val="0"/>
              <w:spacing w:line="360" w:lineRule="auto"/>
              <w:jc w:val="center"/>
              <w:rPr>
                <w:rFonts w:ascii="Times New Roman" w:hAnsi="Times New Roman"/>
                <w:b/>
                <w:bCs/>
                <w:sz w:val="16"/>
                <w:szCs w:val="16"/>
              </w:rPr>
            </w:pPr>
            <w:r w:rsidRPr="00BC54D1">
              <w:rPr>
                <w:rFonts w:ascii="Times New Roman" w:hAnsi="Times New Roman"/>
                <w:b/>
                <w:bCs/>
                <w:sz w:val="16"/>
                <w:szCs w:val="16"/>
              </w:rPr>
              <w:t>(</w:t>
            </w:r>
            <w:r w:rsidR="00972C20" w:rsidRPr="00BC54D1">
              <w:rPr>
                <w:rFonts w:ascii="Times New Roman" w:hAnsi="Times New Roman"/>
                <w:b/>
                <w:bCs/>
                <w:sz w:val="16"/>
                <w:szCs w:val="16"/>
              </w:rPr>
              <w:t>Model 1</w:t>
            </w:r>
            <w:r w:rsidRPr="00BC54D1">
              <w:rPr>
                <w:rFonts w:ascii="Times New Roman" w:hAnsi="Times New Roman"/>
                <w:b/>
                <w:bCs/>
                <w:sz w:val="16"/>
                <w:szCs w:val="16"/>
              </w:rPr>
              <w:t>)</w:t>
            </w:r>
          </w:p>
        </w:tc>
        <w:tc>
          <w:tcPr>
            <w:tcW w:w="1304" w:type="dxa"/>
            <w:tcBorders>
              <w:top w:val="single" w:sz="4" w:space="0" w:color="auto"/>
              <w:left w:val="nil"/>
              <w:bottom w:val="nil"/>
              <w:right w:val="nil"/>
            </w:tcBorders>
          </w:tcPr>
          <w:p w14:paraId="1B7E4E53" w14:textId="0E348F8C" w:rsidR="00732A21" w:rsidRPr="00BC54D1" w:rsidRDefault="00732A21" w:rsidP="00732A21">
            <w:pPr>
              <w:widowControl w:val="0"/>
              <w:autoSpaceDE w:val="0"/>
              <w:autoSpaceDN w:val="0"/>
              <w:adjustRightInd w:val="0"/>
              <w:spacing w:line="360" w:lineRule="auto"/>
              <w:jc w:val="center"/>
              <w:rPr>
                <w:rFonts w:ascii="Times New Roman" w:hAnsi="Times New Roman"/>
                <w:b/>
                <w:bCs/>
                <w:sz w:val="16"/>
                <w:szCs w:val="16"/>
              </w:rPr>
            </w:pPr>
            <w:r w:rsidRPr="00BC54D1">
              <w:rPr>
                <w:rFonts w:ascii="Times New Roman" w:hAnsi="Times New Roman"/>
                <w:b/>
                <w:bCs/>
                <w:sz w:val="16"/>
                <w:szCs w:val="16"/>
              </w:rPr>
              <w:t>(</w:t>
            </w:r>
            <w:r w:rsidR="00972C20" w:rsidRPr="00BC54D1">
              <w:rPr>
                <w:rFonts w:ascii="Times New Roman" w:hAnsi="Times New Roman"/>
                <w:b/>
                <w:bCs/>
                <w:sz w:val="16"/>
                <w:szCs w:val="16"/>
              </w:rPr>
              <w:t>Model 2</w:t>
            </w:r>
            <w:r w:rsidRPr="00BC54D1">
              <w:rPr>
                <w:rFonts w:ascii="Times New Roman" w:hAnsi="Times New Roman"/>
                <w:b/>
                <w:bCs/>
                <w:sz w:val="16"/>
                <w:szCs w:val="16"/>
              </w:rPr>
              <w:t>)</w:t>
            </w:r>
          </w:p>
        </w:tc>
        <w:tc>
          <w:tcPr>
            <w:tcW w:w="1701" w:type="dxa"/>
            <w:tcBorders>
              <w:top w:val="single" w:sz="4" w:space="0" w:color="auto"/>
              <w:left w:val="nil"/>
              <w:bottom w:val="nil"/>
              <w:right w:val="nil"/>
            </w:tcBorders>
          </w:tcPr>
          <w:p w14:paraId="578F8D8F" w14:textId="1173B438" w:rsidR="00732A21" w:rsidRPr="00BC54D1" w:rsidRDefault="00732A21" w:rsidP="00732A21">
            <w:pPr>
              <w:widowControl w:val="0"/>
              <w:autoSpaceDE w:val="0"/>
              <w:autoSpaceDN w:val="0"/>
              <w:adjustRightInd w:val="0"/>
              <w:spacing w:line="360" w:lineRule="auto"/>
              <w:jc w:val="center"/>
              <w:rPr>
                <w:rFonts w:ascii="Times New Roman" w:hAnsi="Times New Roman"/>
                <w:b/>
                <w:bCs/>
                <w:sz w:val="16"/>
                <w:szCs w:val="16"/>
              </w:rPr>
            </w:pPr>
            <w:r w:rsidRPr="00BC54D1">
              <w:rPr>
                <w:rFonts w:ascii="Times New Roman" w:hAnsi="Times New Roman"/>
                <w:b/>
                <w:bCs/>
                <w:sz w:val="16"/>
                <w:szCs w:val="16"/>
              </w:rPr>
              <w:t>(</w:t>
            </w:r>
            <w:r w:rsidR="00972C20" w:rsidRPr="00BC54D1">
              <w:rPr>
                <w:rFonts w:ascii="Times New Roman" w:hAnsi="Times New Roman"/>
                <w:b/>
                <w:bCs/>
                <w:sz w:val="16"/>
                <w:szCs w:val="16"/>
              </w:rPr>
              <w:t>Model 3</w:t>
            </w:r>
            <w:r w:rsidRPr="00BC54D1">
              <w:rPr>
                <w:rFonts w:ascii="Times New Roman" w:hAnsi="Times New Roman"/>
                <w:b/>
                <w:bCs/>
                <w:sz w:val="16"/>
                <w:szCs w:val="16"/>
              </w:rPr>
              <w:t>)</w:t>
            </w:r>
          </w:p>
        </w:tc>
        <w:tc>
          <w:tcPr>
            <w:tcW w:w="1361" w:type="dxa"/>
            <w:tcBorders>
              <w:top w:val="single" w:sz="4" w:space="0" w:color="auto"/>
              <w:left w:val="nil"/>
              <w:bottom w:val="nil"/>
              <w:right w:val="nil"/>
            </w:tcBorders>
          </w:tcPr>
          <w:p w14:paraId="393684C3" w14:textId="1ED59154" w:rsidR="00732A21" w:rsidRPr="00BC54D1" w:rsidRDefault="00732A21" w:rsidP="00732A21">
            <w:pPr>
              <w:widowControl w:val="0"/>
              <w:autoSpaceDE w:val="0"/>
              <w:autoSpaceDN w:val="0"/>
              <w:adjustRightInd w:val="0"/>
              <w:spacing w:line="360" w:lineRule="auto"/>
              <w:jc w:val="center"/>
              <w:rPr>
                <w:rFonts w:ascii="Times New Roman" w:hAnsi="Times New Roman"/>
                <w:b/>
                <w:bCs/>
                <w:sz w:val="16"/>
                <w:szCs w:val="16"/>
              </w:rPr>
            </w:pPr>
            <w:r w:rsidRPr="00BC54D1">
              <w:rPr>
                <w:rFonts w:ascii="Times New Roman" w:hAnsi="Times New Roman"/>
                <w:b/>
                <w:bCs/>
                <w:sz w:val="16"/>
                <w:szCs w:val="16"/>
              </w:rPr>
              <w:t>(</w:t>
            </w:r>
            <w:r w:rsidR="00972C20" w:rsidRPr="00BC54D1">
              <w:rPr>
                <w:rFonts w:ascii="Times New Roman" w:hAnsi="Times New Roman"/>
                <w:b/>
                <w:bCs/>
                <w:sz w:val="16"/>
                <w:szCs w:val="16"/>
              </w:rPr>
              <w:t>Model 4</w:t>
            </w:r>
            <w:r w:rsidRPr="00BC54D1">
              <w:rPr>
                <w:rFonts w:ascii="Times New Roman" w:hAnsi="Times New Roman"/>
                <w:b/>
                <w:bCs/>
                <w:sz w:val="16"/>
                <w:szCs w:val="16"/>
              </w:rPr>
              <w:t>)</w:t>
            </w:r>
          </w:p>
        </w:tc>
        <w:tc>
          <w:tcPr>
            <w:tcW w:w="1361" w:type="dxa"/>
            <w:tcBorders>
              <w:top w:val="single" w:sz="4" w:space="0" w:color="auto"/>
              <w:left w:val="nil"/>
              <w:bottom w:val="nil"/>
              <w:right w:val="nil"/>
            </w:tcBorders>
          </w:tcPr>
          <w:p w14:paraId="7B8FF032" w14:textId="0234F3D9" w:rsidR="00732A21" w:rsidRPr="00BC54D1" w:rsidRDefault="00732A21" w:rsidP="00732A21">
            <w:pPr>
              <w:widowControl w:val="0"/>
              <w:autoSpaceDE w:val="0"/>
              <w:autoSpaceDN w:val="0"/>
              <w:adjustRightInd w:val="0"/>
              <w:spacing w:line="360" w:lineRule="auto"/>
              <w:jc w:val="center"/>
              <w:rPr>
                <w:rFonts w:ascii="Times New Roman" w:hAnsi="Times New Roman"/>
                <w:b/>
                <w:bCs/>
                <w:sz w:val="16"/>
                <w:szCs w:val="16"/>
              </w:rPr>
            </w:pPr>
            <w:r w:rsidRPr="00BC54D1">
              <w:rPr>
                <w:rFonts w:ascii="Times New Roman" w:hAnsi="Times New Roman"/>
                <w:b/>
                <w:bCs/>
                <w:sz w:val="16"/>
                <w:szCs w:val="16"/>
              </w:rPr>
              <w:t>(</w:t>
            </w:r>
            <w:r w:rsidR="00972C20" w:rsidRPr="00BC54D1">
              <w:rPr>
                <w:rFonts w:ascii="Times New Roman" w:hAnsi="Times New Roman"/>
                <w:b/>
                <w:bCs/>
                <w:sz w:val="16"/>
                <w:szCs w:val="16"/>
              </w:rPr>
              <w:t>Model 5</w:t>
            </w:r>
            <w:r w:rsidRPr="00BC54D1">
              <w:rPr>
                <w:rFonts w:ascii="Times New Roman" w:hAnsi="Times New Roman"/>
                <w:b/>
                <w:bCs/>
                <w:sz w:val="16"/>
                <w:szCs w:val="16"/>
              </w:rPr>
              <w:t>)</w:t>
            </w:r>
          </w:p>
        </w:tc>
      </w:tr>
      <w:tr w:rsidR="00BC54D1" w:rsidRPr="00BC54D1" w14:paraId="770EDCAF" w14:textId="77777777" w:rsidTr="00732A21">
        <w:tc>
          <w:tcPr>
            <w:tcW w:w="1134" w:type="dxa"/>
            <w:tcBorders>
              <w:top w:val="nil"/>
              <w:left w:val="nil"/>
              <w:bottom w:val="nil"/>
              <w:right w:val="nil"/>
            </w:tcBorders>
          </w:tcPr>
          <w:p w14:paraId="56262A71" w14:textId="77777777" w:rsidR="00732A21" w:rsidRPr="00BC54D1" w:rsidRDefault="00732A21" w:rsidP="00732A21">
            <w:pPr>
              <w:widowControl w:val="0"/>
              <w:autoSpaceDE w:val="0"/>
              <w:autoSpaceDN w:val="0"/>
              <w:adjustRightInd w:val="0"/>
              <w:spacing w:line="360" w:lineRule="auto"/>
              <w:rPr>
                <w:rFonts w:ascii="Times New Roman" w:hAnsi="Times New Roman"/>
                <w:b/>
                <w:bCs/>
                <w:sz w:val="16"/>
                <w:szCs w:val="16"/>
              </w:rPr>
            </w:pPr>
          </w:p>
        </w:tc>
        <w:tc>
          <w:tcPr>
            <w:tcW w:w="2016" w:type="dxa"/>
            <w:tcBorders>
              <w:top w:val="nil"/>
              <w:left w:val="nil"/>
              <w:bottom w:val="nil"/>
              <w:right w:val="nil"/>
            </w:tcBorders>
          </w:tcPr>
          <w:p w14:paraId="11370FEA" w14:textId="77777777" w:rsidR="00732A21" w:rsidRPr="00BC54D1" w:rsidRDefault="00732A21" w:rsidP="00732A21">
            <w:pPr>
              <w:widowControl w:val="0"/>
              <w:autoSpaceDE w:val="0"/>
              <w:autoSpaceDN w:val="0"/>
              <w:adjustRightInd w:val="0"/>
              <w:spacing w:line="360" w:lineRule="auto"/>
              <w:jc w:val="center"/>
              <w:rPr>
                <w:rFonts w:ascii="Times New Roman" w:hAnsi="Times New Roman"/>
                <w:b/>
                <w:bCs/>
                <w:sz w:val="16"/>
                <w:szCs w:val="16"/>
              </w:rPr>
            </w:pPr>
            <w:proofErr w:type="spellStart"/>
            <w:r w:rsidRPr="00BC54D1">
              <w:rPr>
                <w:rFonts w:ascii="Times New Roman" w:hAnsi="Times New Roman"/>
                <w:b/>
                <w:bCs/>
                <w:sz w:val="16"/>
                <w:szCs w:val="16"/>
              </w:rPr>
              <w:t>R&amp;D_Intensity</w:t>
            </w:r>
            <w:proofErr w:type="spellEnd"/>
          </w:p>
        </w:tc>
        <w:tc>
          <w:tcPr>
            <w:tcW w:w="1304" w:type="dxa"/>
            <w:tcBorders>
              <w:top w:val="nil"/>
              <w:left w:val="nil"/>
              <w:bottom w:val="nil"/>
              <w:right w:val="nil"/>
            </w:tcBorders>
          </w:tcPr>
          <w:p w14:paraId="086A35D7" w14:textId="77777777" w:rsidR="00732A21" w:rsidRPr="00BC54D1" w:rsidRDefault="00732A21" w:rsidP="00732A21">
            <w:pPr>
              <w:widowControl w:val="0"/>
              <w:autoSpaceDE w:val="0"/>
              <w:autoSpaceDN w:val="0"/>
              <w:adjustRightInd w:val="0"/>
              <w:spacing w:line="360" w:lineRule="auto"/>
              <w:rPr>
                <w:rFonts w:ascii="Times New Roman" w:hAnsi="Times New Roman"/>
                <w:b/>
                <w:bCs/>
                <w:sz w:val="16"/>
                <w:szCs w:val="16"/>
              </w:rPr>
            </w:pPr>
            <w:proofErr w:type="spellStart"/>
            <w:r w:rsidRPr="00BC54D1">
              <w:rPr>
                <w:rFonts w:ascii="Times New Roman" w:hAnsi="Times New Roman"/>
                <w:b/>
                <w:bCs/>
                <w:sz w:val="16"/>
                <w:szCs w:val="16"/>
              </w:rPr>
              <w:t>R&amp;D_Intensity</w:t>
            </w:r>
            <w:proofErr w:type="spellEnd"/>
          </w:p>
        </w:tc>
        <w:tc>
          <w:tcPr>
            <w:tcW w:w="1701" w:type="dxa"/>
            <w:tcBorders>
              <w:top w:val="nil"/>
              <w:left w:val="nil"/>
              <w:bottom w:val="nil"/>
              <w:right w:val="nil"/>
            </w:tcBorders>
          </w:tcPr>
          <w:p w14:paraId="6DA02490" w14:textId="77777777" w:rsidR="00732A21" w:rsidRPr="00BC54D1" w:rsidRDefault="00732A21" w:rsidP="00732A21">
            <w:pPr>
              <w:widowControl w:val="0"/>
              <w:autoSpaceDE w:val="0"/>
              <w:autoSpaceDN w:val="0"/>
              <w:adjustRightInd w:val="0"/>
              <w:spacing w:line="360" w:lineRule="auto"/>
              <w:jc w:val="center"/>
              <w:rPr>
                <w:rFonts w:ascii="Times New Roman" w:hAnsi="Times New Roman"/>
                <w:b/>
                <w:bCs/>
                <w:sz w:val="16"/>
                <w:szCs w:val="16"/>
              </w:rPr>
            </w:pPr>
            <w:proofErr w:type="spellStart"/>
            <w:r w:rsidRPr="00BC54D1">
              <w:rPr>
                <w:rFonts w:ascii="Times New Roman" w:hAnsi="Times New Roman"/>
                <w:b/>
                <w:bCs/>
                <w:sz w:val="16"/>
                <w:szCs w:val="16"/>
              </w:rPr>
              <w:t>R&amp;D_Intensity</w:t>
            </w:r>
            <w:proofErr w:type="spellEnd"/>
          </w:p>
        </w:tc>
        <w:tc>
          <w:tcPr>
            <w:tcW w:w="1361" w:type="dxa"/>
            <w:tcBorders>
              <w:top w:val="nil"/>
              <w:left w:val="nil"/>
              <w:bottom w:val="nil"/>
              <w:right w:val="nil"/>
            </w:tcBorders>
          </w:tcPr>
          <w:p w14:paraId="33A78FA4" w14:textId="77777777" w:rsidR="00732A21" w:rsidRPr="00BC54D1" w:rsidRDefault="00732A21" w:rsidP="00732A21">
            <w:pPr>
              <w:widowControl w:val="0"/>
              <w:autoSpaceDE w:val="0"/>
              <w:autoSpaceDN w:val="0"/>
              <w:adjustRightInd w:val="0"/>
              <w:spacing w:line="360" w:lineRule="auto"/>
              <w:jc w:val="center"/>
              <w:rPr>
                <w:rFonts w:ascii="Times New Roman" w:hAnsi="Times New Roman"/>
                <w:b/>
                <w:bCs/>
                <w:sz w:val="16"/>
                <w:szCs w:val="16"/>
              </w:rPr>
            </w:pPr>
            <w:proofErr w:type="spellStart"/>
            <w:r w:rsidRPr="00BC54D1">
              <w:rPr>
                <w:rFonts w:ascii="Times New Roman" w:hAnsi="Times New Roman"/>
                <w:b/>
                <w:bCs/>
                <w:sz w:val="16"/>
                <w:szCs w:val="16"/>
              </w:rPr>
              <w:t>R&amp;D_Intensity</w:t>
            </w:r>
            <w:proofErr w:type="spellEnd"/>
          </w:p>
        </w:tc>
        <w:tc>
          <w:tcPr>
            <w:tcW w:w="1361" w:type="dxa"/>
            <w:tcBorders>
              <w:top w:val="nil"/>
              <w:left w:val="nil"/>
              <w:bottom w:val="nil"/>
              <w:right w:val="nil"/>
            </w:tcBorders>
          </w:tcPr>
          <w:p w14:paraId="3E3E4CA3" w14:textId="77777777" w:rsidR="00732A21" w:rsidRPr="00BC54D1" w:rsidRDefault="00732A21" w:rsidP="00732A21">
            <w:pPr>
              <w:widowControl w:val="0"/>
              <w:autoSpaceDE w:val="0"/>
              <w:autoSpaceDN w:val="0"/>
              <w:adjustRightInd w:val="0"/>
              <w:spacing w:line="360" w:lineRule="auto"/>
              <w:jc w:val="center"/>
              <w:rPr>
                <w:rFonts w:ascii="Times New Roman" w:hAnsi="Times New Roman"/>
                <w:b/>
                <w:bCs/>
                <w:sz w:val="16"/>
                <w:szCs w:val="16"/>
              </w:rPr>
            </w:pPr>
            <w:proofErr w:type="spellStart"/>
            <w:r w:rsidRPr="00BC54D1">
              <w:rPr>
                <w:rFonts w:ascii="Times New Roman" w:hAnsi="Times New Roman"/>
                <w:b/>
                <w:bCs/>
                <w:sz w:val="16"/>
                <w:szCs w:val="16"/>
              </w:rPr>
              <w:t>R&amp;D_Intensity</w:t>
            </w:r>
            <w:proofErr w:type="spellEnd"/>
          </w:p>
        </w:tc>
      </w:tr>
      <w:tr w:rsidR="00BC54D1" w:rsidRPr="00BC54D1" w14:paraId="45B261E3" w14:textId="77777777" w:rsidTr="00732A21">
        <w:tc>
          <w:tcPr>
            <w:tcW w:w="1134" w:type="dxa"/>
            <w:tcBorders>
              <w:top w:val="single" w:sz="4" w:space="0" w:color="auto"/>
              <w:left w:val="nil"/>
              <w:bottom w:val="nil"/>
              <w:right w:val="nil"/>
            </w:tcBorders>
          </w:tcPr>
          <w:p w14:paraId="10350CC1"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single" w:sz="4" w:space="0" w:color="auto"/>
              <w:left w:val="nil"/>
              <w:bottom w:val="nil"/>
              <w:right w:val="nil"/>
            </w:tcBorders>
          </w:tcPr>
          <w:p w14:paraId="5E37003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04" w:type="dxa"/>
            <w:tcBorders>
              <w:top w:val="single" w:sz="4" w:space="0" w:color="auto"/>
              <w:left w:val="nil"/>
              <w:bottom w:val="nil"/>
              <w:right w:val="nil"/>
            </w:tcBorders>
          </w:tcPr>
          <w:p w14:paraId="7F10D98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701" w:type="dxa"/>
            <w:tcBorders>
              <w:top w:val="single" w:sz="4" w:space="0" w:color="auto"/>
              <w:left w:val="nil"/>
              <w:bottom w:val="nil"/>
              <w:right w:val="nil"/>
            </w:tcBorders>
          </w:tcPr>
          <w:p w14:paraId="447536A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single" w:sz="4" w:space="0" w:color="auto"/>
              <w:left w:val="nil"/>
              <w:bottom w:val="nil"/>
              <w:right w:val="nil"/>
            </w:tcBorders>
          </w:tcPr>
          <w:p w14:paraId="5FBE8A32"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single" w:sz="4" w:space="0" w:color="auto"/>
              <w:left w:val="nil"/>
              <w:bottom w:val="nil"/>
              <w:right w:val="nil"/>
            </w:tcBorders>
          </w:tcPr>
          <w:p w14:paraId="2BC87EBA"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r>
      <w:tr w:rsidR="00BC54D1" w:rsidRPr="00BC54D1" w14:paraId="29B85C9D" w14:textId="77777777" w:rsidTr="00732A21">
        <w:tc>
          <w:tcPr>
            <w:tcW w:w="1134" w:type="dxa"/>
            <w:tcBorders>
              <w:top w:val="nil"/>
              <w:left w:val="nil"/>
              <w:bottom w:val="nil"/>
              <w:right w:val="nil"/>
            </w:tcBorders>
          </w:tcPr>
          <w:p w14:paraId="676223C5"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PRIV</w:t>
            </w:r>
          </w:p>
        </w:tc>
        <w:tc>
          <w:tcPr>
            <w:tcW w:w="2016" w:type="dxa"/>
            <w:tcBorders>
              <w:top w:val="nil"/>
              <w:left w:val="nil"/>
              <w:bottom w:val="nil"/>
              <w:right w:val="nil"/>
            </w:tcBorders>
          </w:tcPr>
          <w:p w14:paraId="3B032265"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-1.223</w:t>
            </w:r>
            <w:r w:rsidRPr="00BC54D1">
              <w:rPr>
                <w:rFonts w:ascii="Times New Roman" w:hAnsi="Times New Roman"/>
                <w:sz w:val="16"/>
                <w:szCs w:val="16"/>
                <w:vertAlign w:val="superscript"/>
              </w:rPr>
              <w:t>***</w:t>
            </w:r>
          </w:p>
        </w:tc>
        <w:tc>
          <w:tcPr>
            <w:tcW w:w="1304" w:type="dxa"/>
            <w:tcBorders>
              <w:top w:val="nil"/>
              <w:left w:val="nil"/>
              <w:bottom w:val="nil"/>
              <w:right w:val="nil"/>
            </w:tcBorders>
          </w:tcPr>
          <w:p w14:paraId="024B50C4" w14:textId="4102FACC"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-0.622</w:t>
            </w:r>
            <w:r w:rsidRPr="00BC54D1">
              <w:rPr>
                <w:rFonts w:ascii="Times New Roman" w:hAnsi="Times New Roman"/>
                <w:sz w:val="16"/>
                <w:szCs w:val="16"/>
                <w:vertAlign w:val="superscript"/>
              </w:rPr>
              <w:t>*</w:t>
            </w:r>
            <w:r w:rsidR="00BE2867" w:rsidRPr="00BC54D1">
              <w:rPr>
                <w:rFonts w:ascii="Times New Roman" w:hAnsi="Times New Roman"/>
                <w:sz w:val="16"/>
                <w:szCs w:val="16"/>
                <w:vertAlign w:val="superscript"/>
              </w:rPr>
              <w:t>*</w:t>
            </w:r>
            <w:r w:rsidRPr="00BC54D1">
              <w:rPr>
                <w:rFonts w:ascii="Times New Roman" w:hAnsi="Times New Roman"/>
                <w:sz w:val="16"/>
                <w:szCs w:val="16"/>
                <w:vertAlign w:val="superscript"/>
              </w:rPr>
              <w:t>*</w:t>
            </w:r>
          </w:p>
        </w:tc>
        <w:tc>
          <w:tcPr>
            <w:tcW w:w="1701" w:type="dxa"/>
            <w:tcBorders>
              <w:top w:val="nil"/>
              <w:left w:val="nil"/>
              <w:bottom w:val="nil"/>
              <w:right w:val="nil"/>
            </w:tcBorders>
          </w:tcPr>
          <w:p w14:paraId="1E661B0A"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-1.265</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4E280C13"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-1.313</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716423A5"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-1.409</w:t>
            </w:r>
            <w:r w:rsidRPr="00BC54D1">
              <w:rPr>
                <w:rFonts w:ascii="Times New Roman" w:hAnsi="Times New Roman"/>
                <w:sz w:val="16"/>
                <w:szCs w:val="16"/>
                <w:vertAlign w:val="superscript"/>
              </w:rPr>
              <w:t>***</w:t>
            </w:r>
          </w:p>
        </w:tc>
      </w:tr>
      <w:tr w:rsidR="00BC54D1" w:rsidRPr="00BC54D1" w14:paraId="54CC6B89" w14:textId="77777777" w:rsidTr="00732A21">
        <w:tc>
          <w:tcPr>
            <w:tcW w:w="1134" w:type="dxa"/>
            <w:tcBorders>
              <w:top w:val="nil"/>
              <w:left w:val="nil"/>
              <w:bottom w:val="nil"/>
              <w:right w:val="nil"/>
            </w:tcBorders>
          </w:tcPr>
          <w:p w14:paraId="20C5CDA0"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5F6E3DC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(-28.18)</w:t>
            </w:r>
          </w:p>
        </w:tc>
        <w:tc>
          <w:tcPr>
            <w:tcW w:w="1304" w:type="dxa"/>
            <w:tcBorders>
              <w:top w:val="nil"/>
              <w:left w:val="nil"/>
              <w:bottom w:val="nil"/>
              <w:right w:val="nil"/>
            </w:tcBorders>
          </w:tcPr>
          <w:p w14:paraId="2343EBA8"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(-2.74)</w:t>
            </w:r>
          </w:p>
        </w:tc>
        <w:tc>
          <w:tcPr>
            <w:tcW w:w="1701" w:type="dxa"/>
            <w:tcBorders>
              <w:top w:val="nil"/>
              <w:left w:val="nil"/>
              <w:bottom w:val="nil"/>
              <w:right w:val="nil"/>
            </w:tcBorders>
          </w:tcPr>
          <w:p w14:paraId="7FB45E00"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(-26.95)</w:t>
            </w:r>
          </w:p>
        </w:tc>
        <w:tc>
          <w:tcPr>
            <w:tcW w:w="1361" w:type="dxa"/>
            <w:tcBorders>
              <w:top w:val="nil"/>
              <w:left w:val="nil"/>
              <w:bottom w:val="nil"/>
              <w:right w:val="nil"/>
            </w:tcBorders>
          </w:tcPr>
          <w:p w14:paraId="45871B43"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(-19.34)</w:t>
            </w:r>
          </w:p>
        </w:tc>
        <w:tc>
          <w:tcPr>
            <w:tcW w:w="1361" w:type="dxa"/>
            <w:tcBorders>
              <w:top w:val="nil"/>
              <w:left w:val="nil"/>
              <w:bottom w:val="nil"/>
              <w:right w:val="nil"/>
            </w:tcBorders>
          </w:tcPr>
          <w:p w14:paraId="6B2DBD84"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(-24.16)</w:t>
            </w:r>
          </w:p>
        </w:tc>
      </w:tr>
      <w:tr w:rsidR="00BC54D1" w:rsidRPr="00BC54D1" w14:paraId="64092474" w14:textId="77777777" w:rsidTr="00732A21">
        <w:tc>
          <w:tcPr>
            <w:tcW w:w="1134" w:type="dxa"/>
            <w:tcBorders>
              <w:top w:val="nil"/>
              <w:left w:val="nil"/>
              <w:bottom w:val="nil"/>
              <w:right w:val="nil"/>
            </w:tcBorders>
          </w:tcPr>
          <w:p w14:paraId="414646E7"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401AE77B"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632F322C"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24A4AFAE"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5CF47D0D"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2A6E4992"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00C609E7" w14:textId="77777777" w:rsidTr="00732A21">
        <w:tc>
          <w:tcPr>
            <w:tcW w:w="1134" w:type="dxa"/>
            <w:tcBorders>
              <w:top w:val="nil"/>
              <w:left w:val="nil"/>
              <w:bottom w:val="nil"/>
              <w:right w:val="nil"/>
            </w:tcBorders>
          </w:tcPr>
          <w:p w14:paraId="4DC85BBE"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CF</w:t>
            </w:r>
          </w:p>
        </w:tc>
        <w:tc>
          <w:tcPr>
            <w:tcW w:w="2016" w:type="dxa"/>
            <w:tcBorders>
              <w:top w:val="nil"/>
              <w:left w:val="nil"/>
              <w:bottom w:val="nil"/>
              <w:right w:val="nil"/>
            </w:tcBorders>
          </w:tcPr>
          <w:p w14:paraId="1A746D8E"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0.346</w:t>
            </w:r>
            <w:r w:rsidRPr="00BC54D1">
              <w:rPr>
                <w:rFonts w:ascii="Times New Roman" w:hAnsi="Times New Roman"/>
                <w:sz w:val="16"/>
                <w:szCs w:val="16"/>
                <w:vertAlign w:val="superscript"/>
              </w:rPr>
              <w:t>***</w:t>
            </w:r>
          </w:p>
        </w:tc>
        <w:tc>
          <w:tcPr>
            <w:tcW w:w="1304" w:type="dxa"/>
            <w:tcBorders>
              <w:top w:val="nil"/>
              <w:left w:val="nil"/>
              <w:bottom w:val="nil"/>
              <w:right w:val="nil"/>
            </w:tcBorders>
          </w:tcPr>
          <w:p w14:paraId="7F9B98C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0.353</w:t>
            </w:r>
            <w:r w:rsidRPr="00BC54D1">
              <w:rPr>
                <w:rFonts w:ascii="Times New Roman" w:hAnsi="Times New Roman"/>
                <w:sz w:val="16"/>
                <w:szCs w:val="16"/>
                <w:vertAlign w:val="superscript"/>
              </w:rPr>
              <w:t>***</w:t>
            </w:r>
          </w:p>
        </w:tc>
        <w:tc>
          <w:tcPr>
            <w:tcW w:w="1701" w:type="dxa"/>
            <w:tcBorders>
              <w:top w:val="nil"/>
              <w:left w:val="nil"/>
              <w:bottom w:val="nil"/>
              <w:right w:val="nil"/>
            </w:tcBorders>
          </w:tcPr>
          <w:p w14:paraId="0F411357" w14:textId="318D5042"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-0.841</w:t>
            </w:r>
            <w:r w:rsidRPr="00BC54D1">
              <w:rPr>
                <w:rFonts w:ascii="Times New Roman" w:hAnsi="Times New Roman"/>
                <w:sz w:val="16"/>
                <w:szCs w:val="16"/>
                <w:vertAlign w:val="superscript"/>
              </w:rPr>
              <w:t>*</w:t>
            </w:r>
            <w:r w:rsidR="00BE2867" w:rsidRPr="00BC54D1">
              <w:rPr>
                <w:rFonts w:ascii="Times New Roman" w:hAnsi="Times New Roman"/>
                <w:sz w:val="16"/>
                <w:szCs w:val="16"/>
                <w:vertAlign w:val="superscript"/>
              </w:rPr>
              <w:t>*</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4E8FAC9F"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0.147</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78DE3C8E" w14:textId="2A5C49F0"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0.135</w:t>
            </w:r>
            <w:r w:rsidRPr="00BC54D1">
              <w:rPr>
                <w:rFonts w:ascii="Times New Roman" w:hAnsi="Times New Roman"/>
                <w:sz w:val="16"/>
                <w:szCs w:val="16"/>
                <w:vertAlign w:val="superscript"/>
              </w:rPr>
              <w:t>*</w:t>
            </w:r>
            <w:r w:rsidR="00BE2867" w:rsidRPr="00BC54D1">
              <w:rPr>
                <w:rFonts w:ascii="Times New Roman" w:hAnsi="Times New Roman"/>
                <w:sz w:val="16"/>
                <w:szCs w:val="16"/>
                <w:vertAlign w:val="superscript"/>
              </w:rPr>
              <w:t>*</w:t>
            </w:r>
          </w:p>
        </w:tc>
      </w:tr>
      <w:tr w:rsidR="00BC54D1" w:rsidRPr="00BC54D1" w14:paraId="066B70BE" w14:textId="77777777" w:rsidTr="00732A21">
        <w:tc>
          <w:tcPr>
            <w:tcW w:w="1134" w:type="dxa"/>
            <w:tcBorders>
              <w:top w:val="nil"/>
              <w:left w:val="nil"/>
              <w:bottom w:val="nil"/>
              <w:right w:val="nil"/>
            </w:tcBorders>
          </w:tcPr>
          <w:p w14:paraId="48768F33"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07607EC9"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(5.85)</w:t>
            </w:r>
          </w:p>
        </w:tc>
        <w:tc>
          <w:tcPr>
            <w:tcW w:w="1304" w:type="dxa"/>
            <w:tcBorders>
              <w:top w:val="nil"/>
              <w:left w:val="nil"/>
              <w:bottom w:val="nil"/>
              <w:right w:val="nil"/>
            </w:tcBorders>
          </w:tcPr>
          <w:p w14:paraId="1BEC8923"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(5.90)</w:t>
            </w:r>
          </w:p>
        </w:tc>
        <w:tc>
          <w:tcPr>
            <w:tcW w:w="1701" w:type="dxa"/>
            <w:tcBorders>
              <w:top w:val="nil"/>
              <w:left w:val="nil"/>
              <w:bottom w:val="nil"/>
              <w:right w:val="nil"/>
            </w:tcBorders>
          </w:tcPr>
          <w:p w14:paraId="5C55CC52"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(-2.87)</w:t>
            </w:r>
          </w:p>
        </w:tc>
        <w:tc>
          <w:tcPr>
            <w:tcW w:w="1361" w:type="dxa"/>
            <w:tcBorders>
              <w:top w:val="nil"/>
              <w:left w:val="nil"/>
              <w:bottom w:val="nil"/>
              <w:right w:val="nil"/>
            </w:tcBorders>
          </w:tcPr>
          <w:p w14:paraId="628C4000"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(2.25)</w:t>
            </w:r>
          </w:p>
        </w:tc>
        <w:tc>
          <w:tcPr>
            <w:tcW w:w="1361" w:type="dxa"/>
            <w:tcBorders>
              <w:top w:val="nil"/>
              <w:left w:val="nil"/>
              <w:bottom w:val="nil"/>
              <w:right w:val="nil"/>
            </w:tcBorders>
          </w:tcPr>
          <w:p w14:paraId="39803484"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(2.06)</w:t>
            </w:r>
          </w:p>
        </w:tc>
      </w:tr>
      <w:tr w:rsidR="00BC54D1" w:rsidRPr="00BC54D1" w14:paraId="48267323" w14:textId="77777777" w:rsidTr="00732A21">
        <w:tc>
          <w:tcPr>
            <w:tcW w:w="1134" w:type="dxa"/>
            <w:tcBorders>
              <w:top w:val="nil"/>
              <w:left w:val="nil"/>
              <w:bottom w:val="nil"/>
              <w:right w:val="nil"/>
            </w:tcBorders>
          </w:tcPr>
          <w:p w14:paraId="62D0D2C2"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00323CFD"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225A6797"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0144CFBF"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47E2839D"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57E004D6"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4E5C9CD6" w14:textId="77777777" w:rsidTr="00732A21">
        <w:tc>
          <w:tcPr>
            <w:tcW w:w="1134" w:type="dxa"/>
            <w:tcBorders>
              <w:top w:val="nil"/>
              <w:left w:val="nil"/>
              <w:bottom w:val="nil"/>
              <w:right w:val="nil"/>
            </w:tcBorders>
          </w:tcPr>
          <w:p w14:paraId="061BE70D"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SGR</w:t>
            </w:r>
          </w:p>
        </w:tc>
        <w:tc>
          <w:tcPr>
            <w:tcW w:w="2016" w:type="dxa"/>
            <w:tcBorders>
              <w:top w:val="nil"/>
              <w:left w:val="nil"/>
              <w:bottom w:val="nil"/>
              <w:right w:val="nil"/>
            </w:tcBorders>
          </w:tcPr>
          <w:p w14:paraId="777B8F52"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-0.0247</w:t>
            </w:r>
          </w:p>
        </w:tc>
        <w:tc>
          <w:tcPr>
            <w:tcW w:w="1304" w:type="dxa"/>
            <w:tcBorders>
              <w:top w:val="nil"/>
              <w:left w:val="nil"/>
              <w:bottom w:val="nil"/>
              <w:right w:val="nil"/>
            </w:tcBorders>
          </w:tcPr>
          <w:p w14:paraId="5A36466E"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-0.0440</w:t>
            </w:r>
          </w:p>
        </w:tc>
        <w:tc>
          <w:tcPr>
            <w:tcW w:w="1701" w:type="dxa"/>
            <w:tcBorders>
              <w:top w:val="nil"/>
              <w:left w:val="nil"/>
              <w:bottom w:val="nil"/>
              <w:right w:val="nil"/>
            </w:tcBorders>
          </w:tcPr>
          <w:p w14:paraId="6F38DDB9" w14:textId="154CC62D"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0.249</w:t>
            </w:r>
            <w:r w:rsidRPr="00BC54D1">
              <w:rPr>
                <w:rFonts w:ascii="Times New Roman" w:hAnsi="Times New Roman"/>
                <w:sz w:val="16"/>
                <w:szCs w:val="16"/>
                <w:vertAlign w:val="superscript"/>
              </w:rPr>
              <w:t>*</w:t>
            </w:r>
            <w:r w:rsidR="00BE2867" w:rsidRPr="00BC54D1">
              <w:rPr>
                <w:rFonts w:ascii="Times New Roman" w:hAnsi="Times New Roman"/>
                <w:sz w:val="16"/>
                <w:szCs w:val="16"/>
                <w:vertAlign w:val="superscript"/>
              </w:rPr>
              <w:t>*</w:t>
            </w:r>
          </w:p>
        </w:tc>
        <w:tc>
          <w:tcPr>
            <w:tcW w:w="1361" w:type="dxa"/>
            <w:tcBorders>
              <w:top w:val="nil"/>
              <w:left w:val="nil"/>
              <w:bottom w:val="nil"/>
              <w:right w:val="nil"/>
            </w:tcBorders>
          </w:tcPr>
          <w:p w14:paraId="739EF465"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0.247</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3412C000" w14:textId="3D5B69CA"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0.252</w:t>
            </w:r>
            <w:r w:rsidRPr="00BC54D1">
              <w:rPr>
                <w:rFonts w:ascii="Times New Roman" w:hAnsi="Times New Roman"/>
                <w:sz w:val="16"/>
                <w:szCs w:val="16"/>
                <w:vertAlign w:val="superscript"/>
              </w:rPr>
              <w:t>*</w:t>
            </w:r>
            <w:r w:rsidR="00BE2867" w:rsidRPr="00BC54D1">
              <w:rPr>
                <w:rFonts w:ascii="Times New Roman" w:hAnsi="Times New Roman"/>
                <w:sz w:val="16"/>
                <w:szCs w:val="16"/>
                <w:vertAlign w:val="superscript"/>
              </w:rPr>
              <w:t>*</w:t>
            </w:r>
          </w:p>
        </w:tc>
      </w:tr>
      <w:tr w:rsidR="00BC54D1" w:rsidRPr="00BC54D1" w14:paraId="6FF529F7" w14:textId="77777777" w:rsidTr="00732A21">
        <w:tc>
          <w:tcPr>
            <w:tcW w:w="1134" w:type="dxa"/>
            <w:tcBorders>
              <w:top w:val="nil"/>
              <w:left w:val="nil"/>
              <w:bottom w:val="nil"/>
              <w:right w:val="nil"/>
            </w:tcBorders>
          </w:tcPr>
          <w:p w14:paraId="51F9999A"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6F869D4E"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(-0.26)</w:t>
            </w:r>
          </w:p>
        </w:tc>
        <w:tc>
          <w:tcPr>
            <w:tcW w:w="1304" w:type="dxa"/>
            <w:tcBorders>
              <w:top w:val="nil"/>
              <w:left w:val="nil"/>
              <w:bottom w:val="nil"/>
              <w:right w:val="nil"/>
            </w:tcBorders>
          </w:tcPr>
          <w:p w14:paraId="1A4DBCEA"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(-0.43)</w:t>
            </w:r>
          </w:p>
        </w:tc>
        <w:tc>
          <w:tcPr>
            <w:tcW w:w="1701" w:type="dxa"/>
            <w:tcBorders>
              <w:top w:val="nil"/>
              <w:left w:val="nil"/>
              <w:bottom w:val="nil"/>
              <w:right w:val="nil"/>
            </w:tcBorders>
          </w:tcPr>
          <w:p w14:paraId="33550EF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(2.12)</w:t>
            </w:r>
          </w:p>
        </w:tc>
        <w:tc>
          <w:tcPr>
            <w:tcW w:w="1361" w:type="dxa"/>
            <w:tcBorders>
              <w:top w:val="nil"/>
              <w:left w:val="nil"/>
              <w:bottom w:val="nil"/>
              <w:right w:val="nil"/>
            </w:tcBorders>
          </w:tcPr>
          <w:p w14:paraId="612CB94E"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(2.11)</w:t>
            </w:r>
          </w:p>
        </w:tc>
        <w:tc>
          <w:tcPr>
            <w:tcW w:w="1361" w:type="dxa"/>
            <w:tcBorders>
              <w:top w:val="nil"/>
              <w:left w:val="nil"/>
              <w:bottom w:val="nil"/>
              <w:right w:val="nil"/>
            </w:tcBorders>
          </w:tcPr>
          <w:p w14:paraId="0BCDC46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(2.17)</w:t>
            </w:r>
          </w:p>
        </w:tc>
      </w:tr>
      <w:tr w:rsidR="00BC54D1" w:rsidRPr="00BC54D1" w14:paraId="4F30107B" w14:textId="77777777" w:rsidTr="00732A21">
        <w:tc>
          <w:tcPr>
            <w:tcW w:w="1134" w:type="dxa"/>
            <w:tcBorders>
              <w:top w:val="nil"/>
              <w:left w:val="nil"/>
              <w:bottom w:val="nil"/>
              <w:right w:val="nil"/>
            </w:tcBorders>
          </w:tcPr>
          <w:p w14:paraId="2B57D48E"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63820DBF"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0F564124"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7B0DB301"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57991EA7"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2839DF16"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54E15202" w14:textId="77777777" w:rsidTr="00732A21">
        <w:tc>
          <w:tcPr>
            <w:tcW w:w="1134" w:type="dxa"/>
            <w:tcBorders>
              <w:top w:val="nil"/>
              <w:left w:val="nil"/>
              <w:bottom w:val="nil"/>
              <w:right w:val="nil"/>
            </w:tcBorders>
          </w:tcPr>
          <w:p w14:paraId="01F50F16"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SZ</w:t>
            </w:r>
          </w:p>
        </w:tc>
        <w:tc>
          <w:tcPr>
            <w:tcW w:w="2016" w:type="dxa"/>
            <w:tcBorders>
              <w:top w:val="nil"/>
              <w:left w:val="nil"/>
              <w:bottom w:val="nil"/>
              <w:right w:val="nil"/>
            </w:tcBorders>
          </w:tcPr>
          <w:p w14:paraId="31506EA6"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0.0977</w:t>
            </w:r>
            <w:r w:rsidRPr="00BC54D1">
              <w:rPr>
                <w:rFonts w:ascii="Times New Roman" w:hAnsi="Times New Roman"/>
                <w:sz w:val="16"/>
                <w:szCs w:val="16"/>
                <w:vertAlign w:val="superscript"/>
              </w:rPr>
              <w:t>***</w:t>
            </w:r>
          </w:p>
        </w:tc>
        <w:tc>
          <w:tcPr>
            <w:tcW w:w="1304" w:type="dxa"/>
            <w:tcBorders>
              <w:top w:val="nil"/>
              <w:left w:val="nil"/>
              <w:bottom w:val="nil"/>
              <w:right w:val="nil"/>
            </w:tcBorders>
          </w:tcPr>
          <w:p w14:paraId="75B19DD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0.102</w:t>
            </w:r>
            <w:r w:rsidRPr="00BC54D1">
              <w:rPr>
                <w:rFonts w:ascii="Times New Roman" w:hAnsi="Times New Roman"/>
                <w:sz w:val="16"/>
                <w:szCs w:val="16"/>
                <w:vertAlign w:val="superscript"/>
              </w:rPr>
              <w:t>***</w:t>
            </w:r>
          </w:p>
        </w:tc>
        <w:tc>
          <w:tcPr>
            <w:tcW w:w="1701" w:type="dxa"/>
            <w:tcBorders>
              <w:top w:val="nil"/>
              <w:left w:val="nil"/>
              <w:bottom w:val="nil"/>
              <w:right w:val="nil"/>
            </w:tcBorders>
          </w:tcPr>
          <w:p w14:paraId="3A0203A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0.205</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7A53B5F9"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0.200</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7878FF26"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0.200</w:t>
            </w:r>
            <w:r w:rsidRPr="00BC54D1">
              <w:rPr>
                <w:rFonts w:ascii="Times New Roman" w:hAnsi="Times New Roman"/>
                <w:sz w:val="16"/>
                <w:szCs w:val="16"/>
                <w:vertAlign w:val="superscript"/>
              </w:rPr>
              <w:t>***</w:t>
            </w:r>
          </w:p>
        </w:tc>
      </w:tr>
      <w:tr w:rsidR="00BC54D1" w:rsidRPr="00BC54D1" w14:paraId="6D497FF3" w14:textId="77777777" w:rsidTr="00732A21">
        <w:tc>
          <w:tcPr>
            <w:tcW w:w="1134" w:type="dxa"/>
            <w:tcBorders>
              <w:top w:val="nil"/>
              <w:left w:val="nil"/>
              <w:bottom w:val="nil"/>
              <w:right w:val="nil"/>
            </w:tcBorders>
          </w:tcPr>
          <w:p w14:paraId="631404A5"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120319B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(3.48)</w:t>
            </w:r>
          </w:p>
        </w:tc>
        <w:tc>
          <w:tcPr>
            <w:tcW w:w="1304" w:type="dxa"/>
            <w:tcBorders>
              <w:top w:val="nil"/>
              <w:left w:val="nil"/>
              <w:bottom w:val="nil"/>
              <w:right w:val="nil"/>
            </w:tcBorders>
          </w:tcPr>
          <w:p w14:paraId="1BFD566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(3.62)</w:t>
            </w:r>
          </w:p>
        </w:tc>
        <w:tc>
          <w:tcPr>
            <w:tcW w:w="1701" w:type="dxa"/>
            <w:tcBorders>
              <w:top w:val="nil"/>
              <w:left w:val="nil"/>
              <w:bottom w:val="nil"/>
              <w:right w:val="nil"/>
            </w:tcBorders>
          </w:tcPr>
          <w:p w14:paraId="60E92CC6"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(6.50)</w:t>
            </w:r>
          </w:p>
        </w:tc>
        <w:tc>
          <w:tcPr>
            <w:tcW w:w="1361" w:type="dxa"/>
            <w:tcBorders>
              <w:top w:val="nil"/>
              <w:left w:val="nil"/>
              <w:bottom w:val="nil"/>
              <w:right w:val="nil"/>
            </w:tcBorders>
          </w:tcPr>
          <w:p w14:paraId="6C6782F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(6.35)</w:t>
            </w:r>
          </w:p>
        </w:tc>
        <w:tc>
          <w:tcPr>
            <w:tcW w:w="1361" w:type="dxa"/>
            <w:tcBorders>
              <w:top w:val="nil"/>
              <w:left w:val="nil"/>
              <w:bottom w:val="nil"/>
              <w:right w:val="nil"/>
            </w:tcBorders>
          </w:tcPr>
          <w:p w14:paraId="5A18322B"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(6.34)</w:t>
            </w:r>
          </w:p>
        </w:tc>
      </w:tr>
      <w:tr w:rsidR="00BC54D1" w:rsidRPr="00BC54D1" w14:paraId="3E07C96E" w14:textId="77777777" w:rsidTr="00732A21">
        <w:tc>
          <w:tcPr>
            <w:tcW w:w="1134" w:type="dxa"/>
            <w:tcBorders>
              <w:top w:val="nil"/>
              <w:left w:val="nil"/>
              <w:bottom w:val="nil"/>
              <w:right w:val="nil"/>
            </w:tcBorders>
          </w:tcPr>
          <w:p w14:paraId="37BE6F6F"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1FC5CD5E"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0264530A"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5DD24979"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6759928E"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72583C22"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3C07F90C" w14:textId="77777777" w:rsidTr="00732A21">
        <w:tc>
          <w:tcPr>
            <w:tcW w:w="1134" w:type="dxa"/>
            <w:tcBorders>
              <w:top w:val="nil"/>
              <w:left w:val="nil"/>
              <w:bottom w:val="nil"/>
              <w:right w:val="nil"/>
            </w:tcBorders>
          </w:tcPr>
          <w:p w14:paraId="4BC75C26"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CH</w:t>
            </w:r>
          </w:p>
        </w:tc>
        <w:tc>
          <w:tcPr>
            <w:tcW w:w="2016" w:type="dxa"/>
            <w:tcBorders>
              <w:top w:val="nil"/>
              <w:left w:val="nil"/>
              <w:bottom w:val="nil"/>
              <w:right w:val="nil"/>
            </w:tcBorders>
          </w:tcPr>
          <w:p w14:paraId="3A26F9D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-0.065</w:t>
            </w:r>
          </w:p>
        </w:tc>
        <w:tc>
          <w:tcPr>
            <w:tcW w:w="1304" w:type="dxa"/>
            <w:tcBorders>
              <w:top w:val="nil"/>
              <w:left w:val="nil"/>
              <w:bottom w:val="nil"/>
              <w:right w:val="nil"/>
            </w:tcBorders>
          </w:tcPr>
          <w:p w14:paraId="044AA2DE"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-0.0420</w:t>
            </w:r>
          </w:p>
        </w:tc>
        <w:tc>
          <w:tcPr>
            <w:tcW w:w="1701" w:type="dxa"/>
            <w:tcBorders>
              <w:top w:val="nil"/>
              <w:left w:val="nil"/>
              <w:bottom w:val="nil"/>
              <w:right w:val="nil"/>
            </w:tcBorders>
          </w:tcPr>
          <w:p w14:paraId="3E56CD4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0.160</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230D0FB5"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0.170</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4720451B"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0.170</w:t>
            </w:r>
            <w:r w:rsidRPr="00BC54D1">
              <w:rPr>
                <w:rFonts w:ascii="Times New Roman" w:hAnsi="Times New Roman"/>
                <w:sz w:val="16"/>
                <w:szCs w:val="16"/>
                <w:vertAlign w:val="superscript"/>
              </w:rPr>
              <w:t>***</w:t>
            </w:r>
          </w:p>
        </w:tc>
      </w:tr>
      <w:tr w:rsidR="00BC54D1" w:rsidRPr="00BC54D1" w14:paraId="06AA4091" w14:textId="77777777" w:rsidTr="00732A21">
        <w:tc>
          <w:tcPr>
            <w:tcW w:w="1134" w:type="dxa"/>
            <w:tcBorders>
              <w:top w:val="nil"/>
              <w:left w:val="nil"/>
              <w:bottom w:val="nil"/>
              <w:right w:val="nil"/>
            </w:tcBorders>
          </w:tcPr>
          <w:p w14:paraId="18EA0BD7"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65D4FFB6"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(-1.59)</w:t>
            </w:r>
          </w:p>
        </w:tc>
        <w:tc>
          <w:tcPr>
            <w:tcW w:w="1304" w:type="dxa"/>
            <w:tcBorders>
              <w:top w:val="nil"/>
              <w:left w:val="nil"/>
              <w:bottom w:val="nil"/>
              <w:right w:val="nil"/>
            </w:tcBorders>
          </w:tcPr>
          <w:p w14:paraId="3762C355"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(-1.02)</w:t>
            </w:r>
          </w:p>
        </w:tc>
        <w:tc>
          <w:tcPr>
            <w:tcW w:w="1701" w:type="dxa"/>
            <w:tcBorders>
              <w:top w:val="nil"/>
              <w:left w:val="nil"/>
              <w:bottom w:val="nil"/>
              <w:right w:val="nil"/>
            </w:tcBorders>
          </w:tcPr>
          <w:p w14:paraId="62EC620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(3.52)</w:t>
            </w:r>
          </w:p>
        </w:tc>
        <w:tc>
          <w:tcPr>
            <w:tcW w:w="1361" w:type="dxa"/>
            <w:tcBorders>
              <w:top w:val="nil"/>
              <w:left w:val="nil"/>
              <w:bottom w:val="nil"/>
              <w:right w:val="nil"/>
            </w:tcBorders>
          </w:tcPr>
          <w:p w14:paraId="217991B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(3.74)</w:t>
            </w:r>
          </w:p>
        </w:tc>
        <w:tc>
          <w:tcPr>
            <w:tcW w:w="1361" w:type="dxa"/>
            <w:tcBorders>
              <w:top w:val="nil"/>
              <w:left w:val="nil"/>
              <w:bottom w:val="nil"/>
              <w:right w:val="nil"/>
            </w:tcBorders>
          </w:tcPr>
          <w:p w14:paraId="4FD70366"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(3.75)</w:t>
            </w:r>
          </w:p>
        </w:tc>
      </w:tr>
      <w:tr w:rsidR="00BC54D1" w:rsidRPr="00BC54D1" w14:paraId="25B7B659" w14:textId="77777777" w:rsidTr="00732A21">
        <w:tc>
          <w:tcPr>
            <w:tcW w:w="1134" w:type="dxa"/>
            <w:tcBorders>
              <w:top w:val="nil"/>
              <w:left w:val="nil"/>
              <w:bottom w:val="nil"/>
              <w:right w:val="nil"/>
            </w:tcBorders>
          </w:tcPr>
          <w:p w14:paraId="4C7BAC5A"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3F8FE2F2"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0E02271F"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03A39580"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35AAFCAF"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7BAC8D5A"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2996E0F8" w14:textId="77777777" w:rsidTr="00732A21">
        <w:tc>
          <w:tcPr>
            <w:tcW w:w="1134" w:type="dxa"/>
            <w:tcBorders>
              <w:top w:val="nil"/>
              <w:left w:val="nil"/>
              <w:bottom w:val="nil"/>
              <w:right w:val="nil"/>
            </w:tcBorders>
          </w:tcPr>
          <w:p w14:paraId="13DB4987"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LEV</w:t>
            </w:r>
          </w:p>
        </w:tc>
        <w:tc>
          <w:tcPr>
            <w:tcW w:w="2016" w:type="dxa"/>
            <w:tcBorders>
              <w:top w:val="nil"/>
              <w:left w:val="nil"/>
              <w:bottom w:val="nil"/>
              <w:right w:val="nil"/>
            </w:tcBorders>
          </w:tcPr>
          <w:p w14:paraId="5EA087A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-0.391</w:t>
            </w:r>
            <w:r w:rsidRPr="00BC54D1">
              <w:rPr>
                <w:rFonts w:ascii="Times New Roman" w:hAnsi="Times New Roman"/>
                <w:sz w:val="16"/>
                <w:szCs w:val="16"/>
                <w:vertAlign w:val="superscript"/>
              </w:rPr>
              <w:t>***</w:t>
            </w:r>
          </w:p>
        </w:tc>
        <w:tc>
          <w:tcPr>
            <w:tcW w:w="1304" w:type="dxa"/>
            <w:tcBorders>
              <w:top w:val="nil"/>
              <w:left w:val="nil"/>
              <w:bottom w:val="nil"/>
              <w:right w:val="nil"/>
            </w:tcBorders>
          </w:tcPr>
          <w:p w14:paraId="4F81C433"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-0.392</w:t>
            </w:r>
            <w:r w:rsidRPr="00BC54D1">
              <w:rPr>
                <w:rFonts w:ascii="Times New Roman" w:hAnsi="Times New Roman"/>
                <w:sz w:val="16"/>
                <w:szCs w:val="16"/>
                <w:vertAlign w:val="superscript"/>
              </w:rPr>
              <w:t>***</w:t>
            </w:r>
          </w:p>
        </w:tc>
        <w:tc>
          <w:tcPr>
            <w:tcW w:w="1701" w:type="dxa"/>
            <w:tcBorders>
              <w:top w:val="nil"/>
              <w:left w:val="nil"/>
              <w:bottom w:val="nil"/>
              <w:right w:val="nil"/>
            </w:tcBorders>
          </w:tcPr>
          <w:p w14:paraId="4050B5E3"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-0.285</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735EABBD"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-0.825</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11EF6F8B"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-0.294</w:t>
            </w:r>
            <w:r w:rsidRPr="00BC54D1">
              <w:rPr>
                <w:rFonts w:ascii="Times New Roman" w:hAnsi="Times New Roman"/>
                <w:sz w:val="16"/>
                <w:szCs w:val="16"/>
                <w:vertAlign w:val="superscript"/>
              </w:rPr>
              <w:t>***</w:t>
            </w:r>
          </w:p>
        </w:tc>
      </w:tr>
      <w:tr w:rsidR="00BC54D1" w:rsidRPr="00BC54D1" w14:paraId="234904AF" w14:textId="77777777" w:rsidTr="00732A21">
        <w:tc>
          <w:tcPr>
            <w:tcW w:w="1134" w:type="dxa"/>
            <w:tcBorders>
              <w:top w:val="nil"/>
              <w:left w:val="nil"/>
              <w:bottom w:val="nil"/>
              <w:right w:val="nil"/>
            </w:tcBorders>
          </w:tcPr>
          <w:p w14:paraId="1C4149C9"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0FB866A2"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(-12.07)</w:t>
            </w:r>
          </w:p>
        </w:tc>
        <w:tc>
          <w:tcPr>
            <w:tcW w:w="1304" w:type="dxa"/>
            <w:tcBorders>
              <w:top w:val="nil"/>
              <w:left w:val="nil"/>
              <w:bottom w:val="nil"/>
              <w:right w:val="nil"/>
            </w:tcBorders>
          </w:tcPr>
          <w:p w14:paraId="30461AB0"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(-12.07)</w:t>
            </w:r>
          </w:p>
        </w:tc>
        <w:tc>
          <w:tcPr>
            <w:tcW w:w="1701" w:type="dxa"/>
            <w:tcBorders>
              <w:top w:val="nil"/>
              <w:left w:val="nil"/>
              <w:bottom w:val="nil"/>
              <w:right w:val="nil"/>
            </w:tcBorders>
          </w:tcPr>
          <w:p w14:paraId="0C7A9082"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(-7.92)</w:t>
            </w:r>
          </w:p>
        </w:tc>
        <w:tc>
          <w:tcPr>
            <w:tcW w:w="1361" w:type="dxa"/>
            <w:tcBorders>
              <w:top w:val="nil"/>
              <w:left w:val="nil"/>
              <w:bottom w:val="nil"/>
              <w:right w:val="nil"/>
            </w:tcBorders>
          </w:tcPr>
          <w:p w14:paraId="5506720A"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(-2.61)</w:t>
            </w:r>
          </w:p>
        </w:tc>
        <w:tc>
          <w:tcPr>
            <w:tcW w:w="1361" w:type="dxa"/>
            <w:tcBorders>
              <w:top w:val="nil"/>
              <w:left w:val="nil"/>
              <w:bottom w:val="nil"/>
              <w:right w:val="nil"/>
            </w:tcBorders>
          </w:tcPr>
          <w:p w14:paraId="7351C6EA"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(-8.17)</w:t>
            </w:r>
          </w:p>
        </w:tc>
      </w:tr>
      <w:tr w:rsidR="00BC54D1" w:rsidRPr="00BC54D1" w14:paraId="6E27165F" w14:textId="77777777" w:rsidTr="00732A21">
        <w:tc>
          <w:tcPr>
            <w:tcW w:w="1134" w:type="dxa"/>
            <w:tcBorders>
              <w:top w:val="nil"/>
              <w:left w:val="nil"/>
              <w:bottom w:val="nil"/>
              <w:right w:val="nil"/>
            </w:tcBorders>
          </w:tcPr>
          <w:p w14:paraId="434562D9"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57EDFE4A"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60414675"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4338CDB8"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7538F62A"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25489FCC"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2708A6AD" w14:textId="77777777" w:rsidTr="00732A21">
        <w:tc>
          <w:tcPr>
            <w:tcW w:w="1134" w:type="dxa"/>
            <w:tcBorders>
              <w:top w:val="nil"/>
              <w:left w:val="nil"/>
              <w:bottom w:val="nil"/>
              <w:right w:val="nil"/>
            </w:tcBorders>
          </w:tcPr>
          <w:p w14:paraId="6C921C5E"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PR</w:t>
            </w:r>
          </w:p>
        </w:tc>
        <w:tc>
          <w:tcPr>
            <w:tcW w:w="2016" w:type="dxa"/>
            <w:tcBorders>
              <w:top w:val="nil"/>
              <w:left w:val="nil"/>
              <w:bottom w:val="nil"/>
              <w:right w:val="nil"/>
            </w:tcBorders>
          </w:tcPr>
          <w:p w14:paraId="3C5724AE"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1.696</w:t>
            </w:r>
            <w:r w:rsidRPr="00BC54D1">
              <w:rPr>
                <w:rFonts w:ascii="Times New Roman" w:hAnsi="Times New Roman"/>
                <w:sz w:val="16"/>
                <w:szCs w:val="16"/>
                <w:vertAlign w:val="superscript"/>
              </w:rPr>
              <w:t>***</w:t>
            </w:r>
          </w:p>
        </w:tc>
        <w:tc>
          <w:tcPr>
            <w:tcW w:w="1304" w:type="dxa"/>
            <w:tcBorders>
              <w:top w:val="nil"/>
              <w:left w:val="nil"/>
              <w:bottom w:val="nil"/>
              <w:right w:val="nil"/>
            </w:tcBorders>
          </w:tcPr>
          <w:p w14:paraId="7626FBA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1.710</w:t>
            </w:r>
            <w:r w:rsidRPr="00BC54D1">
              <w:rPr>
                <w:rFonts w:ascii="Times New Roman" w:hAnsi="Times New Roman"/>
                <w:sz w:val="16"/>
                <w:szCs w:val="16"/>
                <w:vertAlign w:val="superscript"/>
              </w:rPr>
              <w:t>***</w:t>
            </w:r>
          </w:p>
        </w:tc>
        <w:tc>
          <w:tcPr>
            <w:tcW w:w="1701" w:type="dxa"/>
            <w:tcBorders>
              <w:top w:val="nil"/>
              <w:left w:val="nil"/>
              <w:bottom w:val="nil"/>
              <w:right w:val="nil"/>
            </w:tcBorders>
          </w:tcPr>
          <w:p w14:paraId="50912AB5"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1.241</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6C20311A"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1.258</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2A0899FF"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1.252</w:t>
            </w:r>
            <w:r w:rsidRPr="00BC54D1">
              <w:rPr>
                <w:rFonts w:ascii="Times New Roman" w:hAnsi="Times New Roman"/>
                <w:sz w:val="16"/>
                <w:szCs w:val="16"/>
                <w:vertAlign w:val="superscript"/>
              </w:rPr>
              <w:t>***</w:t>
            </w:r>
          </w:p>
        </w:tc>
      </w:tr>
      <w:tr w:rsidR="00BC54D1" w:rsidRPr="00BC54D1" w14:paraId="30B1352F" w14:textId="77777777" w:rsidTr="00732A21">
        <w:tc>
          <w:tcPr>
            <w:tcW w:w="1134" w:type="dxa"/>
            <w:tcBorders>
              <w:top w:val="nil"/>
              <w:left w:val="nil"/>
              <w:bottom w:val="nil"/>
              <w:right w:val="nil"/>
            </w:tcBorders>
          </w:tcPr>
          <w:p w14:paraId="11EF08ED"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1A3629EB"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(14.23)</w:t>
            </w:r>
          </w:p>
        </w:tc>
        <w:tc>
          <w:tcPr>
            <w:tcW w:w="1304" w:type="dxa"/>
            <w:tcBorders>
              <w:top w:val="nil"/>
              <w:left w:val="nil"/>
              <w:bottom w:val="nil"/>
              <w:right w:val="nil"/>
            </w:tcBorders>
          </w:tcPr>
          <w:p w14:paraId="2AF2CA3B"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(14.27)</w:t>
            </w:r>
          </w:p>
        </w:tc>
        <w:tc>
          <w:tcPr>
            <w:tcW w:w="1701" w:type="dxa"/>
            <w:tcBorders>
              <w:top w:val="nil"/>
              <w:left w:val="nil"/>
              <w:bottom w:val="nil"/>
              <w:right w:val="nil"/>
            </w:tcBorders>
          </w:tcPr>
          <w:p w14:paraId="3F44F334"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(9.49)</w:t>
            </w:r>
          </w:p>
        </w:tc>
        <w:tc>
          <w:tcPr>
            <w:tcW w:w="1361" w:type="dxa"/>
            <w:tcBorders>
              <w:top w:val="nil"/>
              <w:left w:val="nil"/>
              <w:bottom w:val="nil"/>
              <w:right w:val="nil"/>
            </w:tcBorders>
          </w:tcPr>
          <w:p w14:paraId="5332ED74"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(9.63)</w:t>
            </w:r>
          </w:p>
        </w:tc>
        <w:tc>
          <w:tcPr>
            <w:tcW w:w="1361" w:type="dxa"/>
            <w:tcBorders>
              <w:top w:val="nil"/>
              <w:left w:val="nil"/>
              <w:bottom w:val="nil"/>
              <w:right w:val="nil"/>
            </w:tcBorders>
          </w:tcPr>
          <w:p w14:paraId="63CC53A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(9.58)</w:t>
            </w:r>
          </w:p>
        </w:tc>
      </w:tr>
      <w:tr w:rsidR="00BC54D1" w:rsidRPr="00BC54D1" w14:paraId="448D9003" w14:textId="77777777" w:rsidTr="00732A21">
        <w:tc>
          <w:tcPr>
            <w:tcW w:w="1134" w:type="dxa"/>
            <w:tcBorders>
              <w:top w:val="nil"/>
              <w:left w:val="nil"/>
              <w:bottom w:val="nil"/>
              <w:right w:val="nil"/>
            </w:tcBorders>
          </w:tcPr>
          <w:p w14:paraId="195222EB"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7F1258D9"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7DE787F8"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36584123"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72C7A1EB"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6F9BBC23"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2B29C69C" w14:textId="77777777" w:rsidTr="00732A21">
        <w:tc>
          <w:tcPr>
            <w:tcW w:w="1134" w:type="dxa"/>
            <w:tcBorders>
              <w:top w:val="nil"/>
              <w:left w:val="nil"/>
              <w:bottom w:val="nil"/>
              <w:right w:val="nil"/>
            </w:tcBorders>
          </w:tcPr>
          <w:p w14:paraId="05DAA254"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FY</w:t>
            </w:r>
          </w:p>
        </w:tc>
        <w:tc>
          <w:tcPr>
            <w:tcW w:w="2016" w:type="dxa"/>
            <w:tcBorders>
              <w:top w:val="nil"/>
              <w:left w:val="nil"/>
              <w:bottom w:val="nil"/>
              <w:right w:val="nil"/>
            </w:tcBorders>
          </w:tcPr>
          <w:p w14:paraId="2F921ED3"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0.004</w:t>
            </w:r>
            <w:r w:rsidRPr="00BC54D1">
              <w:rPr>
                <w:rFonts w:ascii="Times New Roman" w:hAnsi="Times New Roman"/>
                <w:sz w:val="16"/>
                <w:szCs w:val="16"/>
                <w:vertAlign w:val="superscript"/>
              </w:rPr>
              <w:t>***</w:t>
            </w:r>
          </w:p>
        </w:tc>
        <w:tc>
          <w:tcPr>
            <w:tcW w:w="1304" w:type="dxa"/>
            <w:tcBorders>
              <w:top w:val="nil"/>
              <w:left w:val="nil"/>
              <w:bottom w:val="nil"/>
              <w:right w:val="nil"/>
            </w:tcBorders>
          </w:tcPr>
          <w:p w14:paraId="13B541DF"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0.004</w:t>
            </w:r>
            <w:r w:rsidRPr="00BC54D1">
              <w:rPr>
                <w:rFonts w:ascii="Times New Roman" w:hAnsi="Times New Roman"/>
                <w:sz w:val="16"/>
                <w:szCs w:val="16"/>
                <w:vertAlign w:val="superscript"/>
              </w:rPr>
              <w:t>***</w:t>
            </w:r>
          </w:p>
        </w:tc>
        <w:tc>
          <w:tcPr>
            <w:tcW w:w="1701" w:type="dxa"/>
            <w:tcBorders>
              <w:top w:val="nil"/>
              <w:left w:val="nil"/>
              <w:bottom w:val="nil"/>
              <w:right w:val="nil"/>
            </w:tcBorders>
          </w:tcPr>
          <w:p w14:paraId="2BACCAD9"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0.001</w:t>
            </w:r>
          </w:p>
        </w:tc>
        <w:tc>
          <w:tcPr>
            <w:tcW w:w="1361" w:type="dxa"/>
            <w:tcBorders>
              <w:top w:val="nil"/>
              <w:left w:val="nil"/>
              <w:bottom w:val="nil"/>
              <w:right w:val="nil"/>
            </w:tcBorders>
          </w:tcPr>
          <w:p w14:paraId="1EEEC193"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0.001</w:t>
            </w:r>
          </w:p>
        </w:tc>
        <w:tc>
          <w:tcPr>
            <w:tcW w:w="1361" w:type="dxa"/>
            <w:tcBorders>
              <w:top w:val="nil"/>
              <w:left w:val="nil"/>
              <w:bottom w:val="nil"/>
              <w:right w:val="nil"/>
            </w:tcBorders>
          </w:tcPr>
          <w:p w14:paraId="4884D69B"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0.001</w:t>
            </w:r>
          </w:p>
        </w:tc>
      </w:tr>
      <w:tr w:rsidR="00BC54D1" w:rsidRPr="00BC54D1" w14:paraId="546AF5BC" w14:textId="77777777" w:rsidTr="00732A21">
        <w:tc>
          <w:tcPr>
            <w:tcW w:w="1134" w:type="dxa"/>
            <w:tcBorders>
              <w:top w:val="nil"/>
              <w:left w:val="nil"/>
              <w:bottom w:val="nil"/>
              <w:right w:val="nil"/>
            </w:tcBorders>
          </w:tcPr>
          <w:p w14:paraId="7CB52164"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4BCEE78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(12.32)</w:t>
            </w:r>
          </w:p>
        </w:tc>
        <w:tc>
          <w:tcPr>
            <w:tcW w:w="1304" w:type="dxa"/>
            <w:tcBorders>
              <w:top w:val="nil"/>
              <w:left w:val="nil"/>
              <w:bottom w:val="nil"/>
              <w:right w:val="nil"/>
            </w:tcBorders>
          </w:tcPr>
          <w:p w14:paraId="5B95C73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(12.14)</w:t>
            </w:r>
          </w:p>
        </w:tc>
        <w:tc>
          <w:tcPr>
            <w:tcW w:w="1701" w:type="dxa"/>
            <w:tcBorders>
              <w:top w:val="nil"/>
              <w:left w:val="nil"/>
              <w:bottom w:val="nil"/>
              <w:right w:val="nil"/>
            </w:tcBorders>
          </w:tcPr>
          <w:p w14:paraId="1C077AC5"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(1.36)</w:t>
            </w:r>
          </w:p>
        </w:tc>
        <w:tc>
          <w:tcPr>
            <w:tcW w:w="1361" w:type="dxa"/>
            <w:tcBorders>
              <w:top w:val="nil"/>
              <w:left w:val="nil"/>
              <w:bottom w:val="nil"/>
              <w:right w:val="nil"/>
            </w:tcBorders>
          </w:tcPr>
          <w:p w14:paraId="65FD947B"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(1.28)</w:t>
            </w:r>
          </w:p>
        </w:tc>
        <w:tc>
          <w:tcPr>
            <w:tcW w:w="1361" w:type="dxa"/>
            <w:tcBorders>
              <w:top w:val="nil"/>
              <w:left w:val="nil"/>
              <w:bottom w:val="nil"/>
              <w:right w:val="nil"/>
            </w:tcBorders>
          </w:tcPr>
          <w:p w14:paraId="4C36265F"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(1.06)</w:t>
            </w:r>
          </w:p>
        </w:tc>
      </w:tr>
      <w:tr w:rsidR="00BC54D1" w:rsidRPr="00BC54D1" w14:paraId="606164F2" w14:textId="77777777" w:rsidTr="00732A21">
        <w:tc>
          <w:tcPr>
            <w:tcW w:w="1134" w:type="dxa"/>
            <w:tcBorders>
              <w:top w:val="nil"/>
              <w:left w:val="nil"/>
              <w:bottom w:val="nil"/>
              <w:right w:val="nil"/>
            </w:tcBorders>
          </w:tcPr>
          <w:p w14:paraId="2662045E"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194E402D"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6A00B066"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377C1FC8"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2FDC169F"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295C98DF"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293A8706" w14:textId="77777777" w:rsidTr="00732A21">
        <w:tc>
          <w:tcPr>
            <w:tcW w:w="1134" w:type="dxa"/>
            <w:tcBorders>
              <w:top w:val="nil"/>
              <w:left w:val="nil"/>
              <w:bottom w:val="nil"/>
              <w:right w:val="nil"/>
            </w:tcBorders>
          </w:tcPr>
          <w:p w14:paraId="136A9220" w14:textId="2847B8E2"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DM</w:t>
            </w:r>
          </w:p>
        </w:tc>
        <w:tc>
          <w:tcPr>
            <w:tcW w:w="2016" w:type="dxa"/>
            <w:tcBorders>
              <w:top w:val="nil"/>
              <w:left w:val="nil"/>
              <w:bottom w:val="nil"/>
              <w:right w:val="nil"/>
            </w:tcBorders>
          </w:tcPr>
          <w:p w14:paraId="7A7492EA"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0.034*</w:t>
            </w:r>
          </w:p>
        </w:tc>
        <w:tc>
          <w:tcPr>
            <w:tcW w:w="1304" w:type="dxa"/>
            <w:tcBorders>
              <w:top w:val="nil"/>
              <w:left w:val="nil"/>
              <w:bottom w:val="nil"/>
              <w:right w:val="nil"/>
            </w:tcBorders>
          </w:tcPr>
          <w:p w14:paraId="65350B2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0.036*</w:t>
            </w:r>
          </w:p>
        </w:tc>
        <w:tc>
          <w:tcPr>
            <w:tcW w:w="1701" w:type="dxa"/>
            <w:tcBorders>
              <w:top w:val="nil"/>
              <w:left w:val="nil"/>
              <w:bottom w:val="nil"/>
              <w:right w:val="nil"/>
            </w:tcBorders>
          </w:tcPr>
          <w:p w14:paraId="3EFA940A"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0.0530</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2E0E238B"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 xml:space="preserve"> 0.053***</w:t>
            </w:r>
          </w:p>
        </w:tc>
        <w:tc>
          <w:tcPr>
            <w:tcW w:w="1361" w:type="dxa"/>
            <w:tcBorders>
              <w:top w:val="nil"/>
              <w:left w:val="nil"/>
              <w:bottom w:val="nil"/>
              <w:right w:val="nil"/>
            </w:tcBorders>
          </w:tcPr>
          <w:p w14:paraId="6F765227" w14:textId="76F6421F"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0.0542</w:t>
            </w:r>
            <w:r w:rsidRPr="00BC54D1">
              <w:rPr>
                <w:rFonts w:ascii="Times New Roman" w:hAnsi="Times New Roman"/>
                <w:sz w:val="16"/>
                <w:szCs w:val="16"/>
                <w:vertAlign w:val="superscript"/>
              </w:rPr>
              <w:t>**</w:t>
            </w:r>
            <w:r w:rsidR="00BE2867" w:rsidRPr="00BC54D1">
              <w:rPr>
                <w:rFonts w:ascii="Times New Roman" w:hAnsi="Times New Roman"/>
                <w:sz w:val="16"/>
                <w:szCs w:val="16"/>
                <w:vertAlign w:val="superscript"/>
              </w:rPr>
              <w:t>*</w:t>
            </w:r>
          </w:p>
        </w:tc>
      </w:tr>
      <w:tr w:rsidR="00BC54D1" w:rsidRPr="00BC54D1" w14:paraId="2B2AC394" w14:textId="77777777" w:rsidTr="00732A21">
        <w:tc>
          <w:tcPr>
            <w:tcW w:w="1134" w:type="dxa"/>
            <w:tcBorders>
              <w:top w:val="nil"/>
              <w:left w:val="nil"/>
              <w:bottom w:val="nil"/>
              <w:right w:val="nil"/>
            </w:tcBorders>
          </w:tcPr>
          <w:p w14:paraId="455AB78A"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443FF21D"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(1.86)</w:t>
            </w:r>
          </w:p>
        </w:tc>
        <w:tc>
          <w:tcPr>
            <w:tcW w:w="1304" w:type="dxa"/>
            <w:tcBorders>
              <w:top w:val="nil"/>
              <w:left w:val="nil"/>
              <w:bottom w:val="nil"/>
              <w:right w:val="nil"/>
            </w:tcBorders>
          </w:tcPr>
          <w:p w14:paraId="6438193A"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(1.94)</w:t>
            </w:r>
          </w:p>
        </w:tc>
        <w:tc>
          <w:tcPr>
            <w:tcW w:w="1701" w:type="dxa"/>
            <w:tcBorders>
              <w:top w:val="nil"/>
              <w:left w:val="nil"/>
              <w:bottom w:val="nil"/>
              <w:right w:val="nil"/>
            </w:tcBorders>
          </w:tcPr>
          <w:p w14:paraId="572CA5FA"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(2.66)</w:t>
            </w:r>
          </w:p>
        </w:tc>
        <w:tc>
          <w:tcPr>
            <w:tcW w:w="1361" w:type="dxa"/>
            <w:tcBorders>
              <w:top w:val="nil"/>
              <w:left w:val="nil"/>
              <w:bottom w:val="nil"/>
              <w:right w:val="nil"/>
            </w:tcBorders>
          </w:tcPr>
          <w:p w14:paraId="66E854D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(2.68)</w:t>
            </w:r>
          </w:p>
        </w:tc>
        <w:tc>
          <w:tcPr>
            <w:tcW w:w="1361" w:type="dxa"/>
            <w:tcBorders>
              <w:top w:val="nil"/>
              <w:left w:val="nil"/>
              <w:bottom w:val="nil"/>
              <w:right w:val="nil"/>
            </w:tcBorders>
          </w:tcPr>
          <w:p w14:paraId="7A0BA0F5"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(2.72)</w:t>
            </w:r>
          </w:p>
        </w:tc>
      </w:tr>
      <w:tr w:rsidR="00BC54D1" w:rsidRPr="00BC54D1" w14:paraId="5D66F60E" w14:textId="77777777" w:rsidTr="00732A21">
        <w:tc>
          <w:tcPr>
            <w:tcW w:w="1134" w:type="dxa"/>
            <w:tcBorders>
              <w:top w:val="nil"/>
              <w:left w:val="nil"/>
              <w:bottom w:val="nil"/>
              <w:right w:val="nil"/>
            </w:tcBorders>
          </w:tcPr>
          <w:p w14:paraId="229DBFE3"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18D72702"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11002C68"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4EB4397E"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730E7AF3"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0D8FB6DD"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734A2CD5" w14:textId="77777777" w:rsidTr="00732A21">
        <w:tc>
          <w:tcPr>
            <w:tcW w:w="1134" w:type="dxa"/>
            <w:tcBorders>
              <w:top w:val="nil"/>
              <w:left w:val="nil"/>
              <w:bottom w:val="nil"/>
              <w:right w:val="nil"/>
            </w:tcBorders>
          </w:tcPr>
          <w:p w14:paraId="51FA52A6"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IQ</w:t>
            </w:r>
          </w:p>
        </w:tc>
        <w:tc>
          <w:tcPr>
            <w:tcW w:w="2016" w:type="dxa"/>
            <w:tcBorders>
              <w:top w:val="nil"/>
              <w:left w:val="nil"/>
              <w:bottom w:val="nil"/>
              <w:right w:val="nil"/>
            </w:tcBorders>
          </w:tcPr>
          <w:p w14:paraId="0B4182C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0.261</w:t>
            </w:r>
          </w:p>
        </w:tc>
        <w:tc>
          <w:tcPr>
            <w:tcW w:w="1304" w:type="dxa"/>
            <w:tcBorders>
              <w:top w:val="nil"/>
              <w:left w:val="nil"/>
              <w:bottom w:val="nil"/>
              <w:right w:val="nil"/>
            </w:tcBorders>
          </w:tcPr>
          <w:p w14:paraId="6B439370"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0.827</w:t>
            </w:r>
            <w:r w:rsidRPr="00BC54D1">
              <w:rPr>
                <w:rFonts w:ascii="Times New Roman" w:hAnsi="Times New Roman"/>
                <w:sz w:val="16"/>
                <w:szCs w:val="16"/>
                <w:vertAlign w:val="superscript"/>
              </w:rPr>
              <w:t>***</w:t>
            </w:r>
          </w:p>
        </w:tc>
        <w:tc>
          <w:tcPr>
            <w:tcW w:w="1701" w:type="dxa"/>
            <w:tcBorders>
              <w:top w:val="nil"/>
              <w:left w:val="nil"/>
              <w:bottom w:val="nil"/>
              <w:right w:val="nil"/>
            </w:tcBorders>
          </w:tcPr>
          <w:p w14:paraId="1A7C2CE5"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-6.977</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28D314C0"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-6.994***</w:t>
            </w:r>
          </w:p>
        </w:tc>
        <w:tc>
          <w:tcPr>
            <w:tcW w:w="1361" w:type="dxa"/>
            <w:tcBorders>
              <w:top w:val="nil"/>
              <w:left w:val="nil"/>
              <w:bottom w:val="nil"/>
              <w:right w:val="nil"/>
            </w:tcBorders>
          </w:tcPr>
          <w:p w14:paraId="44CFCF22"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-11.14</w:t>
            </w:r>
            <w:r w:rsidRPr="00BC54D1">
              <w:rPr>
                <w:rFonts w:ascii="Times New Roman" w:hAnsi="Times New Roman"/>
                <w:sz w:val="16"/>
                <w:szCs w:val="16"/>
                <w:vertAlign w:val="superscript"/>
              </w:rPr>
              <w:t>***</w:t>
            </w:r>
          </w:p>
        </w:tc>
      </w:tr>
      <w:tr w:rsidR="00BC54D1" w:rsidRPr="00BC54D1" w14:paraId="10DF16F4" w14:textId="77777777" w:rsidTr="00732A21">
        <w:tc>
          <w:tcPr>
            <w:tcW w:w="1134" w:type="dxa"/>
            <w:tcBorders>
              <w:top w:val="nil"/>
              <w:left w:val="nil"/>
              <w:bottom w:val="nil"/>
              <w:right w:val="nil"/>
            </w:tcBorders>
          </w:tcPr>
          <w:p w14:paraId="7FA6CD47"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3D1E1E32"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(1.39)</w:t>
            </w:r>
          </w:p>
        </w:tc>
        <w:tc>
          <w:tcPr>
            <w:tcW w:w="1304" w:type="dxa"/>
            <w:tcBorders>
              <w:top w:val="nil"/>
              <w:left w:val="nil"/>
              <w:bottom w:val="nil"/>
              <w:right w:val="nil"/>
            </w:tcBorders>
          </w:tcPr>
          <w:p w14:paraId="47793250"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(4.78)</w:t>
            </w:r>
          </w:p>
        </w:tc>
        <w:tc>
          <w:tcPr>
            <w:tcW w:w="1701" w:type="dxa"/>
            <w:tcBorders>
              <w:top w:val="nil"/>
              <w:left w:val="nil"/>
              <w:bottom w:val="nil"/>
              <w:right w:val="nil"/>
            </w:tcBorders>
          </w:tcPr>
          <w:p w14:paraId="0F8C123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(-7.06)</w:t>
            </w:r>
          </w:p>
        </w:tc>
        <w:tc>
          <w:tcPr>
            <w:tcW w:w="1361" w:type="dxa"/>
            <w:tcBorders>
              <w:top w:val="nil"/>
              <w:left w:val="nil"/>
              <w:bottom w:val="nil"/>
              <w:right w:val="nil"/>
            </w:tcBorders>
          </w:tcPr>
          <w:p w14:paraId="0BA371B8"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(-7.05)</w:t>
            </w:r>
          </w:p>
        </w:tc>
        <w:tc>
          <w:tcPr>
            <w:tcW w:w="1361" w:type="dxa"/>
            <w:tcBorders>
              <w:top w:val="nil"/>
              <w:left w:val="nil"/>
              <w:bottom w:val="nil"/>
              <w:right w:val="nil"/>
            </w:tcBorders>
          </w:tcPr>
          <w:p w14:paraId="184E59FE"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(-8.40)</w:t>
            </w:r>
          </w:p>
        </w:tc>
      </w:tr>
      <w:tr w:rsidR="00BC54D1" w:rsidRPr="00BC54D1" w14:paraId="2B685602" w14:textId="77777777" w:rsidTr="00732A21">
        <w:tc>
          <w:tcPr>
            <w:tcW w:w="1134" w:type="dxa"/>
            <w:tcBorders>
              <w:top w:val="nil"/>
              <w:left w:val="nil"/>
              <w:bottom w:val="nil"/>
              <w:right w:val="nil"/>
            </w:tcBorders>
          </w:tcPr>
          <w:p w14:paraId="59805286"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2AEACE40"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0CF7327D"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02589299"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1AFC9901"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67866F4A"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1ED4AF53" w14:textId="77777777" w:rsidTr="00732A21">
        <w:tc>
          <w:tcPr>
            <w:tcW w:w="1134" w:type="dxa"/>
            <w:tcBorders>
              <w:top w:val="nil"/>
              <w:left w:val="nil"/>
              <w:bottom w:val="nil"/>
              <w:right w:val="nil"/>
            </w:tcBorders>
          </w:tcPr>
          <w:p w14:paraId="5CB84252"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TEC</w:t>
            </w:r>
          </w:p>
        </w:tc>
        <w:tc>
          <w:tcPr>
            <w:tcW w:w="2016" w:type="dxa"/>
            <w:tcBorders>
              <w:top w:val="nil"/>
              <w:left w:val="nil"/>
              <w:bottom w:val="nil"/>
              <w:right w:val="nil"/>
            </w:tcBorders>
          </w:tcPr>
          <w:p w14:paraId="23D53B74"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-5.382</w:t>
            </w:r>
            <w:r w:rsidRPr="00BC54D1">
              <w:rPr>
                <w:rFonts w:ascii="Times New Roman" w:hAnsi="Times New Roman"/>
                <w:sz w:val="16"/>
                <w:szCs w:val="16"/>
                <w:vertAlign w:val="superscript"/>
              </w:rPr>
              <w:t>***</w:t>
            </w:r>
          </w:p>
        </w:tc>
        <w:tc>
          <w:tcPr>
            <w:tcW w:w="1304" w:type="dxa"/>
            <w:tcBorders>
              <w:top w:val="nil"/>
              <w:left w:val="nil"/>
              <w:bottom w:val="nil"/>
              <w:right w:val="nil"/>
            </w:tcBorders>
          </w:tcPr>
          <w:p w14:paraId="465687B0"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701" w:type="dxa"/>
            <w:tcBorders>
              <w:top w:val="nil"/>
              <w:left w:val="nil"/>
              <w:bottom w:val="nil"/>
              <w:right w:val="nil"/>
            </w:tcBorders>
          </w:tcPr>
          <w:p w14:paraId="00A04DC6"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20D44873"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0AEC1B0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r>
      <w:tr w:rsidR="00BC54D1" w:rsidRPr="00BC54D1" w14:paraId="7577E234" w14:textId="77777777" w:rsidTr="00732A21">
        <w:tc>
          <w:tcPr>
            <w:tcW w:w="1134" w:type="dxa"/>
            <w:tcBorders>
              <w:top w:val="nil"/>
              <w:left w:val="nil"/>
              <w:bottom w:val="nil"/>
              <w:right w:val="nil"/>
            </w:tcBorders>
          </w:tcPr>
          <w:p w14:paraId="6056B697"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79A7A039"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(-65.25)</w:t>
            </w:r>
          </w:p>
        </w:tc>
        <w:tc>
          <w:tcPr>
            <w:tcW w:w="1304" w:type="dxa"/>
            <w:tcBorders>
              <w:top w:val="nil"/>
              <w:left w:val="nil"/>
              <w:bottom w:val="nil"/>
              <w:right w:val="nil"/>
            </w:tcBorders>
          </w:tcPr>
          <w:p w14:paraId="2EBA994D"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701" w:type="dxa"/>
            <w:tcBorders>
              <w:top w:val="nil"/>
              <w:left w:val="nil"/>
              <w:bottom w:val="nil"/>
              <w:right w:val="nil"/>
            </w:tcBorders>
          </w:tcPr>
          <w:p w14:paraId="4797FCB5"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2CC68E83"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5855FA80"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r>
      <w:tr w:rsidR="00BC54D1" w:rsidRPr="00BC54D1" w14:paraId="257A1F60" w14:textId="77777777" w:rsidTr="00732A21">
        <w:tc>
          <w:tcPr>
            <w:tcW w:w="1134" w:type="dxa"/>
            <w:tcBorders>
              <w:top w:val="nil"/>
              <w:left w:val="nil"/>
              <w:bottom w:val="nil"/>
              <w:right w:val="nil"/>
            </w:tcBorders>
          </w:tcPr>
          <w:p w14:paraId="132DDFB3"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61EBA4C6"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281D3C76"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04A5505D"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5508BCED"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4B44B254"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00B0ADB9" w14:textId="77777777" w:rsidTr="00732A21">
        <w:tc>
          <w:tcPr>
            <w:tcW w:w="1134" w:type="dxa"/>
            <w:tcBorders>
              <w:top w:val="nil"/>
              <w:left w:val="nil"/>
              <w:bottom w:val="nil"/>
              <w:right w:val="nil"/>
            </w:tcBorders>
          </w:tcPr>
          <w:p w14:paraId="59127E10"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PRIV_TEC</w:t>
            </w:r>
          </w:p>
        </w:tc>
        <w:tc>
          <w:tcPr>
            <w:tcW w:w="2016" w:type="dxa"/>
            <w:tcBorders>
              <w:top w:val="nil"/>
              <w:left w:val="nil"/>
              <w:bottom w:val="nil"/>
              <w:right w:val="nil"/>
            </w:tcBorders>
          </w:tcPr>
          <w:p w14:paraId="357B2400"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4.864***</w:t>
            </w:r>
          </w:p>
        </w:tc>
        <w:tc>
          <w:tcPr>
            <w:tcW w:w="1304" w:type="dxa"/>
            <w:tcBorders>
              <w:top w:val="nil"/>
              <w:left w:val="nil"/>
              <w:bottom w:val="nil"/>
              <w:right w:val="nil"/>
            </w:tcBorders>
          </w:tcPr>
          <w:p w14:paraId="5020D4F6"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701" w:type="dxa"/>
            <w:tcBorders>
              <w:top w:val="nil"/>
              <w:left w:val="nil"/>
              <w:bottom w:val="nil"/>
              <w:right w:val="nil"/>
            </w:tcBorders>
          </w:tcPr>
          <w:p w14:paraId="1696CDB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325EB1F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75DED57A"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r>
      <w:tr w:rsidR="00BC54D1" w:rsidRPr="00BC54D1" w14:paraId="05B3967A" w14:textId="77777777" w:rsidTr="00732A21">
        <w:tc>
          <w:tcPr>
            <w:tcW w:w="1134" w:type="dxa"/>
            <w:tcBorders>
              <w:top w:val="nil"/>
              <w:left w:val="nil"/>
              <w:bottom w:val="nil"/>
              <w:right w:val="nil"/>
            </w:tcBorders>
          </w:tcPr>
          <w:p w14:paraId="15054430"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06159ED6"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(52.77)</w:t>
            </w:r>
          </w:p>
        </w:tc>
        <w:tc>
          <w:tcPr>
            <w:tcW w:w="1304" w:type="dxa"/>
            <w:tcBorders>
              <w:top w:val="nil"/>
              <w:left w:val="nil"/>
              <w:bottom w:val="nil"/>
              <w:right w:val="nil"/>
            </w:tcBorders>
          </w:tcPr>
          <w:p w14:paraId="067B3BF8"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701" w:type="dxa"/>
            <w:tcBorders>
              <w:top w:val="nil"/>
              <w:left w:val="nil"/>
              <w:bottom w:val="nil"/>
              <w:right w:val="nil"/>
            </w:tcBorders>
          </w:tcPr>
          <w:p w14:paraId="40B8481D"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78B3466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10A0D90E"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r>
      <w:tr w:rsidR="00BC54D1" w:rsidRPr="00BC54D1" w14:paraId="3377E59A" w14:textId="77777777" w:rsidTr="00732A21">
        <w:tc>
          <w:tcPr>
            <w:tcW w:w="1134" w:type="dxa"/>
            <w:tcBorders>
              <w:top w:val="nil"/>
              <w:left w:val="nil"/>
              <w:bottom w:val="nil"/>
              <w:right w:val="nil"/>
            </w:tcBorders>
          </w:tcPr>
          <w:p w14:paraId="55A07620"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07E07F1F"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4A798567"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32FFA2A6"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140F992B"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3573B873"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5290068A" w14:textId="77777777" w:rsidTr="00732A21">
        <w:tc>
          <w:tcPr>
            <w:tcW w:w="1134" w:type="dxa"/>
            <w:tcBorders>
              <w:top w:val="nil"/>
              <w:left w:val="nil"/>
              <w:bottom w:val="nil"/>
              <w:right w:val="nil"/>
            </w:tcBorders>
          </w:tcPr>
          <w:p w14:paraId="19B005E9"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NTEC</w:t>
            </w:r>
          </w:p>
        </w:tc>
        <w:tc>
          <w:tcPr>
            <w:tcW w:w="2016" w:type="dxa"/>
            <w:tcBorders>
              <w:top w:val="nil"/>
              <w:left w:val="nil"/>
              <w:bottom w:val="nil"/>
              <w:right w:val="nil"/>
            </w:tcBorders>
          </w:tcPr>
          <w:p w14:paraId="10DF81A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04" w:type="dxa"/>
            <w:tcBorders>
              <w:top w:val="nil"/>
              <w:left w:val="nil"/>
              <w:bottom w:val="nil"/>
              <w:right w:val="nil"/>
            </w:tcBorders>
          </w:tcPr>
          <w:p w14:paraId="697CC9FD"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1.042</w:t>
            </w:r>
            <w:r w:rsidRPr="00BC54D1">
              <w:rPr>
                <w:rFonts w:ascii="Times New Roman" w:hAnsi="Times New Roman"/>
                <w:sz w:val="16"/>
                <w:szCs w:val="16"/>
                <w:vertAlign w:val="superscript"/>
              </w:rPr>
              <w:t>***</w:t>
            </w:r>
          </w:p>
        </w:tc>
        <w:tc>
          <w:tcPr>
            <w:tcW w:w="1701" w:type="dxa"/>
            <w:tcBorders>
              <w:top w:val="nil"/>
              <w:left w:val="nil"/>
              <w:bottom w:val="nil"/>
              <w:right w:val="nil"/>
            </w:tcBorders>
          </w:tcPr>
          <w:p w14:paraId="735DDA34"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72890149"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0D034C3A"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r>
      <w:tr w:rsidR="00BC54D1" w:rsidRPr="00BC54D1" w14:paraId="3D72651A" w14:textId="77777777" w:rsidTr="00732A21">
        <w:tc>
          <w:tcPr>
            <w:tcW w:w="1134" w:type="dxa"/>
            <w:tcBorders>
              <w:top w:val="nil"/>
              <w:left w:val="nil"/>
              <w:bottom w:val="nil"/>
              <w:right w:val="nil"/>
            </w:tcBorders>
          </w:tcPr>
          <w:p w14:paraId="7A57C22F"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13C16E0D"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04" w:type="dxa"/>
            <w:tcBorders>
              <w:top w:val="nil"/>
              <w:left w:val="nil"/>
              <w:bottom w:val="nil"/>
              <w:right w:val="nil"/>
            </w:tcBorders>
          </w:tcPr>
          <w:p w14:paraId="7EA7AEA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(4.53)</w:t>
            </w:r>
          </w:p>
        </w:tc>
        <w:tc>
          <w:tcPr>
            <w:tcW w:w="1701" w:type="dxa"/>
            <w:tcBorders>
              <w:top w:val="nil"/>
              <w:left w:val="nil"/>
              <w:bottom w:val="nil"/>
              <w:right w:val="nil"/>
            </w:tcBorders>
          </w:tcPr>
          <w:p w14:paraId="01E34264"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06769906"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0ED9327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r>
      <w:tr w:rsidR="00BC54D1" w:rsidRPr="00BC54D1" w14:paraId="27CED452" w14:textId="77777777" w:rsidTr="00732A21">
        <w:tc>
          <w:tcPr>
            <w:tcW w:w="1134" w:type="dxa"/>
            <w:tcBorders>
              <w:top w:val="nil"/>
              <w:left w:val="nil"/>
              <w:bottom w:val="nil"/>
              <w:right w:val="nil"/>
            </w:tcBorders>
          </w:tcPr>
          <w:p w14:paraId="689D6B86"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7A32EA5D"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0E55E733"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10935B48"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0021A523"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25C8EA3C"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5DC87CE4" w14:textId="77777777" w:rsidTr="00732A21">
        <w:tc>
          <w:tcPr>
            <w:tcW w:w="1134" w:type="dxa"/>
            <w:tcBorders>
              <w:top w:val="nil"/>
              <w:left w:val="nil"/>
              <w:bottom w:val="nil"/>
              <w:right w:val="nil"/>
            </w:tcBorders>
          </w:tcPr>
          <w:p w14:paraId="44B40B75"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PRIV_NTEC</w:t>
            </w:r>
          </w:p>
        </w:tc>
        <w:tc>
          <w:tcPr>
            <w:tcW w:w="2016" w:type="dxa"/>
            <w:tcBorders>
              <w:top w:val="nil"/>
              <w:left w:val="nil"/>
              <w:bottom w:val="nil"/>
              <w:right w:val="nil"/>
            </w:tcBorders>
          </w:tcPr>
          <w:p w14:paraId="4A284DC9"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04" w:type="dxa"/>
            <w:tcBorders>
              <w:top w:val="nil"/>
              <w:left w:val="nil"/>
              <w:bottom w:val="nil"/>
              <w:right w:val="nil"/>
            </w:tcBorders>
          </w:tcPr>
          <w:p w14:paraId="073D0066"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-0.609***</w:t>
            </w:r>
          </w:p>
        </w:tc>
        <w:tc>
          <w:tcPr>
            <w:tcW w:w="1701" w:type="dxa"/>
            <w:tcBorders>
              <w:top w:val="nil"/>
              <w:left w:val="nil"/>
              <w:bottom w:val="nil"/>
              <w:right w:val="nil"/>
            </w:tcBorders>
          </w:tcPr>
          <w:p w14:paraId="4A44FD8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53BE1D65"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3F7A9C3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r>
      <w:tr w:rsidR="00BC54D1" w:rsidRPr="00BC54D1" w14:paraId="7BA05310" w14:textId="77777777" w:rsidTr="00732A21">
        <w:tc>
          <w:tcPr>
            <w:tcW w:w="1134" w:type="dxa"/>
            <w:tcBorders>
              <w:top w:val="nil"/>
              <w:left w:val="nil"/>
              <w:bottom w:val="nil"/>
              <w:right w:val="nil"/>
            </w:tcBorders>
          </w:tcPr>
          <w:p w14:paraId="6F6C2186"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224F04B2"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04" w:type="dxa"/>
            <w:tcBorders>
              <w:top w:val="nil"/>
              <w:left w:val="nil"/>
              <w:bottom w:val="nil"/>
              <w:right w:val="nil"/>
            </w:tcBorders>
          </w:tcPr>
          <w:p w14:paraId="4C73F39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(-2.63)</w:t>
            </w:r>
          </w:p>
        </w:tc>
        <w:tc>
          <w:tcPr>
            <w:tcW w:w="1701" w:type="dxa"/>
            <w:tcBorders>
              <w:top w:val="nil"/>
              <w:left w:val="nil"/>
              <w:bottom w:val="nil"/>
              <w:right w:val="nil"/>
            </w:tcBorders>
          </w:tcPr>
          <w:p w14:paraId="17558470"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46C66B38"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450C157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r>
      <w:tr w:rsidR="00BC54D1" w:rsidRPr="00BC54D1" w14:paraId="2D0BD79F" w14:textId="77777777" w:rsidTr="00732A21">
        <w:tc>
          <w:tcPr>
            <w:tcW w:w="1134" w:type="dxa"/>
            <w:tcBorders>
              <w:top w:val="nil"/>
              <w:left w:val="nil"/>
              <w:bottom w:val="nil"/>
              <w:right w:val="nil"/>
            </w:tcBorders>
          </w:tcPr>
          <w:p w14:paraId="509F8F0A"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143F40C9"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59A523CD"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2F5B65F0"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60626255"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39632EEC"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175CD717" w14:textId="77777777" w:rsidTr="00732A21">
        <w:tc>
          <w:tcPr>
            <w:tcW w:w="1134" w:type="dxa"/>
            <w:tcBorders>
              <w:top w:val="nil"/>
              <w:left w:val="nil"/>
              <w:bottom w:val="nil"/>
              <w:right w:val="nil"/>
            </w:tcBorders>
          </w:tcPr>
          <w:p w14:paraId="3A5BB7F8"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PRIV_CF</w:t>
            </w:r>
          </w:p>
        </w:tc>
        <w:tc>
          <w:tcPr>
            <w:tcW w:w="2016" w:type="dxa"/>
            <w:tcBorders>
              <w:top w:val="nil"/>
              <w:left w:val="nil"/>
              <w:bottom w:val="nil"/>
              <w:right w:val="nil"/>
            </w:tcBorders>
          </w:tcPr>
          <w:p w14:paraId="6BAD6A53"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04" w:type="dxa"/>
            <w:tcBorders>
              <w:top w:val="nil"/>
              <w:left w:val="nil"/>
              <w:bottom w:val="nil"/>
              <w:right w:val="nil"/>
            </w:tcBorders>
          </w:tcPr>
          <w:p w14:paraId="76D4EC0F"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701" w:type="dxa"/>
            <w:tcBorders>
              <w:top w:val="nil"/>
              <w:left w:val="nil"/>
              <w:bottom w:val="nil"/>
              <w:right w:val="nil"/>
            </w:tcBorders>
          </w:tcPr>
          <w:p w14:paraId="6170E9AB"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1.035***</w:t>
            </w:r>
          </w:p>
        </w:tc>
        <w:tc>
          <w:tcPr>
            <w:tcW w:w="1361" w:type="dxa"/>
            <w:tcBorders>
              <w:top w:val="nil"/>
              <w:left w:val="nil"/>
              <w:bottom w:val="nil"/>
              <w:right w:val="nil"/>
            </w:tcBorders>
          </w:tcPr>
          <w:p w14:paraId="43C12674"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63ED081B"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r>
      <w:tr w:rsidR="00BC54D1" w:rsidRPr="00BC54D1" w14:paraId="42BA6256" w14:textId="77777777" w:rsidTr="00732A21">
        <w:tc>
          <w:tcPr>
            <w:tcW w:w="1134" w:type="dxa"/>
            <w:tcBorders>
              <w:top w:val="nil"/>
              <w:left w:val="nil"/>
              <w:bottom w:val="nil"/>
              <w:right w:val="nil"/>
            </w:tcBorders>
          </w:tcPr>
          <w:p w14:paraId="5FB45AAE"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2507B06F"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04" w:type="dxa"/>
            <w:tcBorders>
              <w:top w:val="nil"/>
              <w:left w:val="nil"/>
              <w:bottom w:val="nil"/>
              <w:right w:val="nil"/>
            </w:tcBorders>
          </w:tcPr>
          <w:p w14:paraId="33086964"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701" w:type="dxa"/>
            <w:tcBorders>
              <w:top w:val="nil"/>
              <w:left w:val="nil"/>
              <w:bottom w:val="nil"/>
              <w:right w:val="nil"/>
            </w:tcBorders>
          </w:tcPr>
          <w:p w14:paraId="64BFFDB6"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(3.45)</w:t>
            </w:r>
          </w:p>
        </w:tc>
        <w:tc>
          <w:tcPr>
            <w:tcW w:w="1361" w:type="dxa"/>
            <w:tcBorders>
              <w:top w:val="nil"/>
              <w:left w:val="nil"/>
              <w:bottom w:val="nil"/>
              <w:right w:val="nil"/>
            </w:tcBorders>
          </w:tcPr>
          <w:p w14:paraId="34752DE6"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0E6E90E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r>
      <w:tr w:rsidR="00BC54D1" w:rsidRPr="00BC54D1" w14:paraId="7E24F2AE" w14:textId="77777777" w:rsidTr="00732A21">
        <w:tc>
          <w:tcPr>
            <w:tcW w:w="1134" w:type="dxa"/>
            <w:tcBorders>
              <w:top w:val="nil"/>
              <w:left w:val="nil"/>
              <w:bottom w:val="nil"/>
              <w:right w:val="nil"/>
            </w:tcBorders>
          </w:tcPr>
          <w:p w14:paraId="035B445A"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5F59F2A1"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18BE04B3"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4CC70451"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09FD8799"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5E47A8D6"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4DB38E5D" w14:textId="77777777" w:rsidTr="00732A21">
        <w:tc>
          <w:tcPr>
            <w:tcW w:w="1134" w:type="dxa"/>
            <w:tcBorders>
              <w:top w:val="nil"/>
              <w:left w:val="nil"/>
              <w:bottom w:val="nil"/>
              <w:right w:val="nil"/>
            </w:tcBorders>
          </w:tcPr>
          <w:p w14:paraId="6A7EEE5A"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PRIV_LEV</w:t>
            </w:r>
          </w:p>
        </w:tc>
        <w:tc>
          <w:tcPr>
            <w:tcW w:w="2016" w:type="dxa"/>
            <w:tcBorders>
              <w:top w:val="nil"/>
              <w:left w:val="nil"/>
              <w:bottom w:val="nil"/>
              <w:right w:val="nil"/>
            </w:tcBorders>
          </w:tcPr>
          <w:p w14:paraId="228AD753"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04" w:type="dxa"/>
            <w:tcBorders>
              <w:top w:val="nil"/>
              <w:left w:val="nil"/>
              <w:bottom w:val="nil"/>
              <w:right w:val="nil"/>
            </w:tcBorders>
          </w:tcPr>
          <w:p w14:paraId="437362D2"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701" w:type="dxa"/>
            <w:tcBorders>
              <w:top w:val="nil"/>
              <w:left w:val="nil"/>
              <w:bottom w:val="nil"/>
              <w:right w:val="nil"/>
            </w:tcBorders>
          </w:tcPr>
          <w:p w14:paraId="3CA2D9B2"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4E865F79"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0.543*</w:t>
            </w:r>
          </w:p>
        </w:tc>
        <w:tc>
          <w:tcPr>
            <w:tcW w:w="1361" w:type="dxa"/>
            <w:tcBorders>
              <w:top w:val="nil"/>
              <w:left w:val="nil"/>
              <w:bottom w:val="nil"/>
              <w:right w:val="nil"/>
            </w:tcBorders>
          </w:tcPr>
          <w:p w14:paraId="14098EAF"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r>
      <w:tr w:rsidR="00BC54D1" w:rsidRPr="00BC54D1" w14:paraId="04264011" w14:textId="77777777" w:rsidTr="00732A21">
        <w:tc>
          <w:tcPr>
            <w:tcW w:w="1134" w:type="dxa"/>
            <w:tcBorders>
              <w:top w:val="nil"/>
              <w:left w:val="nil"/>
              <w:bottom w:val="nil"/>
              <w:right w:val="nil"/>
            </w:tcBorders>
          </w:tcPr>
          <w:p w14:paraId="7C6967DD"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72C2809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04" w:type="dxa"/>
            <w:tcBorders>
              <w:top w:val="nil"/>
              <w:left w:val="nil"/>
              <w:bottom w:val="nil"/>
              <w:right w:val="nil"/>
            </w:tcBorders>
          </w:tcPr>
          <w:p w14:paraId="2ACB4179"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701" w:type="dxa"/>
            <w:tcBorders>
              <w:top w:val="nil"/>
              <w:left w:val="nil"/>
              <w:bottom w:val="nil"/>
              <w:right w:val="nil"/>
            </w:tcBorders>
          </w:tcPr>
          <w:p w14:paraId="529B901B"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34F42AC9"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(1.71)</w:t>
            </w:r>
          </w:p>
        </w:tc>
        <w:tc>
          <w:tcPr>
            <w:tcW w:w="1361" w:type="dxa"/>
            <w:tcBorders>
              <w:top w:val="nil"/>
              <w:left w:val="nil"/>
              <w:bottom w:val="nil"/>
              <w:right w:val="nil"/>
            </w:tcBorders>
          </w:tcPr>
          <w:p w14:paraId="161A25BB"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r>
      <w:tr w:rsidR="00BC54D1" w:rsidRPr="00BC54D1" w14:paraId="3DA69613" w14:textId="77777777" w:rsidTr="00732A21">
        <w:tc>
          <w:tcPr>
            <w:tcW w:w="1134" w:type="dxa"/>
            <w:tcBorders>
              <w:top w:val="nil"/>
              <w:left w:val="nil"/>
              <w:bottom w:val="nil"/>
              <w:right w:val="nil"/>
            </w:tcBorders>
          </w:tcPr>
          <w:p w14:paraId="4A748A71"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73EFE8B7"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55BFA240"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33C04F23"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73A8BC0A"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2B42D308"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34555F87" w14:textId="77777777" w:rsidTr="00732A21">
        <w:tc>
          <w:tcPr>
            <w:tcW w:w="1134" w:type="dxa"/>
            <w:tcBorders>
              <w:top w:val="nil"/>
              <w:left w:val="nil"/>
              <w:bottom w:val="nil"/>
              <w:right w:val="nil"/>
            </w:tcBorders>
          </w:tcPr>
          <w:p w14:paraId="3AD82B46"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PRIV_IQ</w:t>
            </w:r>
          </w:p>
        </w:tc>
        <w:tc>
          <w:tcPr>
            <w:tcW w:w="2016" w:type="dxa"/>
            <w:tcBorders>
              <w:top w:val="nil"/>
              <w:left w:val="nil"/>
              <w:bottom w:val="nil"/>
              <w:right w:val="nil"/>
            </w:tcBorders>
          </w:tcPr>
          <w:p w14:paraId="1200E424"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04" w:type="dxa"/>
            <w:tcBorders>
              <w:top w:val="nil"/>
              <w:left w:val="nil"/>
              <w:bottom w:val="nil"/>
              <w:right w:val="nil"/>
            </w:tcBorders>
          </w:tcPr>
          <w:p w14:paraId="473CE609"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701" w:type="dxa"/>
            <w:tcBorders>
              <w:top w:val="nil"/>
              <w:left w:val="nil"/>
              <w:bottom w:val="nil"/>
              <w:right w:val="nil"/>
            </w:tcBorders>
          </w:tcPr>
          <w:p w14:paraId="0651C083"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095321E2"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554788BB"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4.418***</w:t>
            </w:r>
          </w:p>
        </w:tc>
      </w:tr>
      <w:tr w:rsidR="00BC54D1" w:rsidRPr="00BC54D1" w14:paraId="0336177D" w14:textId="77777777" w:rsidTr="00732A21">
        <w:tc>
          <w:tcPr>
            <w:tcW w:w="1134" w:type="dxa"/>
            <w:tcBorders>
              <w:top w:val="nil"/>
              <w:left w:val="nil"/>
              <w:bottom w:val="nil"/>
              <w:right w:val="nil"/>
            </w:tcBorders>
          </w:tcPr>
          <w:p w14:paraId="4A3E7F9B"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5AB234A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04" w:type="dxa"/>
            <w:tcBorders>
              <w:top w:val="nil"/>
              <w:left w:val="nil"/>
              <w:bottom w:val="nil"/>
              <w:right w:val="nil"/>
            </w:tcBorders>
          </w:tcPr>
          <w:p w14:paraId="019BA2C0"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701" w:type="dxa"/>
            <w:tcBorders>
              <w:top w:val="nil"/>
              <w:left w:val="nil"/>
              <w:bottom w:val="nil"/>
              <w:right w:val="nil"/>
            </w:tcBorders>
          </w:tcPr>
          <w:p w14:paraId="4ABF415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2639A8A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p>
        </w:tc>
        <w:tc>
          <w:tcPr>
            <w:tcW w:w="1361" w:type="dxa"/>
            <w:tcBorders>
              <w:top w:val="nil"/>
              <w:left w:val="nil"/>
              <w:bottom w:val="nil"/>
              <w:right w:val="nil"/>
            </w:tcBorders>
          </w:tcPr>
          <w:p w14:paraId="0D07E703"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(4.69)</w:t>
            </w:r>
          </w:p>
        </w:tc>
      </w:tr>
      <w:tr w:rsidR="00BC54D1" w:rsidRPr="00BC54D1" w14:paraId="594A6A66" w14:textId="77777777" w:rsidTr="00732A21">
        <w:tc>
          <w:tcPr>
            <w:tcW w:w="1134" w:type="dxa"/>
            <w:tcBorders>
              <w:top w:val="nil"/>
              <w:left w:val="nil"/>
              <w:bottom w:val="nil"/>
              <w:right w:val="nil"/>
            </w:tcBorders>
          </w:tcPr>
          <w:p w14:paraId="4D2FCF21"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2016" w:type="dxa"/>
            <w:tcBorders>
              <w:top w:val="nil"/>
              <w:left w:val="nil"/>
              <w:bottom w:val="nil"/>
              <w:right w:val="nil"/>
            </w:tcBorders>
          </w:tcPr>
          <w:p w14:paraId="3E2A1216"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04" w:type="dxa"/>
            <w:tcBorders>
              <w:top w:val="nil"/>
              <w:left w:val="nil"/>
              <w:bottom w:val="nil"/>
              <w:right w:val="nil"/>
            </w:tcBorders>
          </w:tcPr>
          <w:p w14:paraId="6F04B273"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701" w:type="dxa"/>
            <w:tcBorders>
              <w:top w:val="nil"/>
              <w:left w:val="nil"/>
              <w:bottom w:val="nil"/>
              <w:right w:val="nil"/>
            </w:tcBorders>
          </w:tcPr>
          <w:p w14:paraId="223EEB87"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62DE565C" w14:textId="77777777" w:rsidR="00732A21" w:rsidRPr="00BC54D1" w:rsidRDefault="00732A21" w:rsidP="00732A21">
            <w:pPr>
              <w:widowControl w:val="0"/>
              <w:autoSpaceDE w:val="0"/>
              <w:autoSpaceDN w:val="0"/>
              <w:adjustRightInd w:val="0"/>
              <w:rPr>
                <w:rFonts w:ascii="Times New Roman" w:hAnsi="Times New Roman"/>
                <w:sz w:val="16"/>
                <w:szCs w:val="16"/>
              </w:rPr>
            </w:pPr>
          </w:p>
        </w:tc>
        <w:tc>
          <w:tcPr>
            <w:tcW w:w="1361" w:type="dxa"/>
            <w:tcBorders>
              <w:top w:val="nil"/>
              <w:left w:val="nil"/>
              <w:bottom w:val="nil"/>
              <w:right w:val="nil"/>
            </w:tcBorders>
          </w:tcPr>
          <w:p w14:paraId="06A3E9BB" w14:textId="77777777" w:rsidR="00732A21" w:rsidRPr="00BC54D1" w:rsidRDefault="00732A21" w:rsidP="00732A21">
            <w:pPr>
              <w:widowControl w:val="0"/>
              <w:autoSpaceDE w:val="0"/>
              <w:autoSpaceDN w:val="0"/>
              <w:adjustRightInd w:val="0"/>
              <w:rPr>
                <w:rFonts w:ascii="Times New Roman" w:hAnsi="Times New Roman"/>
                <w:sz w:val="16"/>
                <w:szCs w:val="16"/>
              </w:rPr>
            </w:pPr>
          </w:p>
        </w:tc>
      </w:tr>
      <w:tr w:rsidR="00BC54D1" w:rsidRPr="00BC54D1" w14:paraId="7DC1B079" w14:textId="77777777" w:rsidTr="00732A21">
        <w:tc>
          <w:tcPr>
            <w:tcW w:w="1134" w:type="dxa"/>
            <w:tcBorders>
              <w:top w:val="nil"/>
              <w:left w:val="nil"/>
              <w:bottom w:val="nil"/>
              <w:right w:val="nil"/>
            </w:tcBorders>
          </w:tcPr>
          <w:p w14:paraId="16E09F21"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_Cons</w:t>
            </w:r>
          </w:p>
        </w:tc>
        <w:tc>
          <w:tcPr>
            <w:tcW w:w="2016" w:type="dxa"/>
            <w:tcBorders>
              <w:top w:val="nil"/>
              <w:left w:val="nil"/>
              <w:bottom w:val="nil"/>
              <w:right w:val="nil"/>
            </w:tcBorders>
          </w:tcPr>
          <w:p w14:paraId="424560D2"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-5.350</w:t>
            </w:r>
            <w:r w:rsidRPr="00BC54D1">
              <w:rPr>
                <w:rFonts w:ascii="Times New Roman" w:hAnsi="Times New Roman"/>
                <w:sz w:val="16"/>
                <w:szCs w:val="16"/>
                <w:vertAlign w:val="superscript"/>
              </w:rPr>
              <w:t>***</w:t>
            </w:r>
          </w:p>
        </w:tc>
        <w:tc>
          <w:tcPr>
            <w:tcW w:w="1304" w:type="dxa"/>
            <w:tcBorders>
              <w:top w:val="nil"/>
              <w:left w:val="nil"/>
              <w:bottom w:val="nil"/>
              <w:right w:val="nil"/>
            </w:tcBorders>
          </w:tcPr>
          <w:p w14:paraId="7AA03C1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-6.378</w:t>
            </w:r>
            <w:r w:rsidRPr="00BC54D1">
              <w:rPr>
                <w:rFonts w:ascii="Times New Roman" w:hAnsi="Times New Roman"/>
                <w:sz w:val="16"/>
                <w:szCs w:val="16"/>
                <w:vertAlign w:val="superscript"/>
              </w:rPr>
              <w:t>***</w:t>
            </w:r>
          </w:p>
        </w:tc>
        <w:tc>
          <w:tcPr>
            <w:tcW w:w="1701" w:type="dxa"/>
            <w:tcBorders>
              <w:top w:val="nil"/>
              <w:left w:val="nil"/>
              <w:bottom w:val="nil"/>
              <w:right w:val="nil"/>
            </w:tcBorders>
          </w:tcPr>
          <w:p w14:paraId="702E3C75"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-7.235</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38D24951"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-6.775</w:t>
            </w:r>
            <w:r w:rsidRPr="00BC54D1">
              <w:rPr>
                <w:rFonts w:ascii="Times New Roman" w:hAnsi="Times New Roman"/>
                <w:sz w:val="16"/>
                <w:szCs w:val="16"/>
                <w:vertAlign w:val="superscript"/>
              </w:rPr>
              <w:t>***</w:t>
            </w:r>
          </w:p>
        </w:tc>
        <w:tc>
          <w:tcPr>
            <w:tcW w:w="1361" w:type="dxa"/>
            <w:tcBorders>
              <w:top w:val="nil"/>
              <w:left w:val="nil"/>
              <w:bottom w:val="nil"/>
              <w:right w:val="nil"/>
            </w:tcBorders>
          </w:tcPr>
          <w:p w14:paraId="76538928"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-6.695</w:t>
            </w:r>
            <w:r w:rsidRPr="00BC54D1">
              <w:rPr>
                <w:rFonts w:ascii="Times New Roman" w:hAnsi="Times New Roman"/>
                <w:sz w:val="16"/>
                <w:szCs w:val="16"/>
                <w:vertAlign w:val="superscript"/>
              </w:rPr>
              <w:t>***</w:t>
            </w:r>
          </w:p>
        </w:tc>
      </w:tr>
      <w:tr w:rsidR="00BC54D1" w:rsidRPr="00BC54D1" w14:paraId="766A513A" w14:textId="77777777" w:rsidTr="00732A21">
        <w:tc>
          <w:tcPr>
            <w:tcW w:w="1134" w:type="dxa"/>
            <w:tcBorders>
              <w:top w:val="nil"/>
              <w:left w:val="nil"/>
              <w:bottom w:val="single" w:sz="4" w:space="0" w:color="auto"/>
              <w:right w:val="nil"/>
            </w:tcBorders>
          </w:tcPr>
          <w:p w14:paraId="0A9C165C" w14:textId="77777777" w:rsidR="00732A21" w:rsidRPr="00BC54D1" w:rsidRDefault="00732A21" w:rsidP="00732A21">
            <w:pPr>
              <w:widowControl w:val="0"/>
              <w:autoSpaceDE w:val="0"/>
              <w:autoSpaceDN w:val="0"/>
              <w:adjustRightInd w:val="0"/>
              <w:rPr>
                <w:rFonts w:ascii="Times New Roman" w:hAnsi="Times New Roman"/>
                <w:sz w:val="16"/>
                <w:szCs w:val="16"/>
              </w:rPr>
            </w:pPr>
          </w:p>
          <w:p w14:paraId="21127967"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Year</w:t>
            </w:r>
          </w:p>
          <w:p w14:paraId="5CC81DD0" w14:textId="77777777" w:rsidR="00732A21" w:rsidRPr="00BC54D1" w:rsidRDefault="00732A21" w:rsidP="00732A21">
            <w:pPr>
              <w:widowControl w:val="0"/>
              <w:autoSpaceDE w:val="0"/>
              <w:autoSpaceDN w:val="0"/>
              <w:adjustRightInd w:val="0"/>
              <w:rPr>
                <w:rFonts w:ascii="Times New Roman" w:hAnsi="Times New Roman"/>
                <w:sz w:val="16"/>
                <w:szCs w:val="16"/>
              </w:rPr>
            </w:pPr>
            <w:r w:rsidRPr="00BC54D1">
              <w:rPr>
                <w:rFonts w:ascii="Times New Roman" w:hAnsi="Times New Roman"/>
                <w:sz w:val="16"/>
                <w:szCs w:val="16"/>
              </w:rPr>
              <w:t>Industry</w:t>
            </w:r>
          </w:p>
        </w:tc>
        <w:tc>
          <w:tcPr>
            <w:tcW w:w="2016" w:type="dxa"/>
            <w:tcBorders>
              <w:top w:val="nil"/>
              <w:left w:val="nil"/>
              <w:bottom w:val="single" w:sz="4" w:space="0" w:color="auto"/>
              <w:right w:val="nil"/>
            </w:tcBorders>
          </w:tcPr>
          <w:p w14:paraId="042C93A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(-22.53)</w:t>
            </w:r>
          </w:p>
          <w:p w14:paraId="3D290E0A"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YES</w:t>
            </w:r>
          </w:p>
        </w:tc>
        <w:tc>
          <w:tcPr>
            <w:tcW w:w="1304" w:type="dxa"/>
            <w:tcBorders>
              <w:top w:val="nil"/>
              <w:left w:val="nil"/>
              <w:bottom w:val="single" w:sz="4" w:space="0" w:color="auto"/>
              <w:right w:val="nil"/>
            </w:tcBorders>
          </w:tcPr>
          <w:p w14:paraId="6B0C5B1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(-19.83)</w:t>
            </w:r>
          </w:p>
          <w:p w14:paraId="540F69CE"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YES</w:t>
            </w:r>
          </w:p>
        </w:tc>
        <w:tc>
          <w:tcPr>
            <w:tcW w:w="1701" w:type="dxa"/>
            <w:tcBorders>
              <w:top w:val="nil"/>
              <w:left w:val="nil"/>
              <w:bottom w:val="single" w:sz="4" w:space="0" w:color="auto"/>
              <w:right w:val="nil"/>
            </w:tcBorders>
          </w:tcPr>
          <w:p w14:paraId="6E5AE5C4"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(-20.38)</w:t>
            </w:r>
          </w:p>
          <w:p w14:paraId="302D798E"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YES</w:t>
            </w:r>
          </w:p>
          <w:p w14:paraId="5B9CFF0C"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YES</w:t>
            </w:r>
          </w:p>
        </w:tc>
        <w:tc>
          <w:tcPr>
            <w:tcW w:w="1361" w:type="dxa"/>
            <w:tcBorders>
              <w:top w:val="nil"/>
              <w:left w:val="nil"/>
              <w:bottom w:val="single" w:sz="4" w:space="0" w:color="auto"/>
              <w:right w:val="nil"/>
            </w:tcBorders>
          </w:tcPr>
          <w:p w14:paraId="30F14D9F"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(-24.34)</w:t>
            </w:r>
          </w:p>
          <w:p w14:paraId="343B9392"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YES</w:t>
            </w:r>
          </w:p>
          <w:p w14:paraId="6C991477"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YES</w:t>
            </w:r>
          </w:p>
        </w:tc>
        <w:tc>
          <w:tcPr>
            <w:tcW w:w="1361" w:type="dxa"/>
            <w:tcBorders>
              <w:top w:val="nil"/>
              <w:left w:val="nil"/>
              <w:bottom w:val="single" w:sz="4" w:space="0" w:color="auto"/>
              <w:right w:val="nil"/>
            </w:tcBorders>
          </w:tcPr>
          <w:p w14:paraId="47B2FD8F"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(-24.59)</w:t>
            </w:r>
          </w:p>
          <w:p w14:paraId="38B6392E"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YES</w:t>
            </w:r>
          </w:p>
          <w:p w14:paraId="41BC7892" w14:textId="77777777" w:rsidR="00732A21" w:rsidRPr="00BC54D1" w:rsidRDefault="00732A21" w:rsidP="00732A21">
            <w:pPr>
              <w:widowControl w:val="0"/>
              <w:autoSpaceDE w:val="0"/>
              <w:autoSpaceDN w:val="0"/>
              <w:adjustRightInd w:val="0"/>
              <w:jc w:val="center"/>
              <w:rPr>
                <w:rFonts w:ascii="Times New Roman" w:hAnsi="Times New Roman"/>
                <w:sz w:val="16"/>
                <w:szCs w:val="16"/>
              </w:rPr>
            </w:pPr>
            <w:r w:rsidRPr="00BC54D1">
              <w:rPr>
                <w:rFonts w:ascii="Times New Roman" w:hAnsi="Times New Roman"/>
                <w:sz w:val="16"/>
                <w:szCs w:val="16"/>
              </w:rPr>
              <w:t>YES</w:t>
            </w:r>
          </w:p>
        </w:tc>
      </w:tr>
      <w:tr w:rsidR="00BC54D1" w:rsidRPr="00BC54D1" w14:paraId="66638C8D" w14:textId="77777777" w:rsidTr="00732A21">
        <w:tc>
          <w:tcPr>
            <w:tcW w:w="1134" w:type="dxa"/>
            <w:tcBorders>
              <w:top w:val="single" w:sz="4" w:space="0" w:color="auto"/>
              <w:left w:val="nil"/>
              <w:bottom w:val="nil"/>
              <w:right w:val="nil"/>
            </w:tcBorders>
          </w:tcPr>
          <w:p w14:paraId="67BB1641" w14:textId="77777777" w:rsidR="00732A21" w:rsidRPr="00BC54D1" w:rsidRDefault="00732A21" w:rsidP="00732A21">
            <w:pPr>
              <w:widowControl w:val="0"/>
              <w:autoSpaceDE w:val="0"/>
              <w:autoSpaceDN w:val="0"/>
              <w:adjustRightInd w:val="0"/>
              <w:rPr>
                <w:rFonts w:ascii="Times New Roman" w:hAnsi="Times New Roman"/>
                <w:b/>
                <w:bCs/>
                <w:sz w:val="16"/>
                <w:szCs w:val="16"/>
              </w:rPr>
            </w:pPr>
            <w:r w:rsidRPr="00BC54D1">
              <w:rPr>
                <w:rFonts w:ascii="Times New Roman" w:hAnsi="Times New Roman"/>
                <w:b/>
                <w:bCs/>
                <w:i/>
                <w:iCs/>
                <w:sz w:val="16"/>
                <w:szCs w:val="16"/>
              </w:rPr>
              <w:t>N</w:t>
            </w:r>
          </w:p>
        </w:tc>
        <w:tc>
          <w:tcPr>
            <w:tcW w:w="2016" w:type="dxa"/>
            <w:tcBorders>
              <w:top w:val="single" w:sz="4" w:space="0" w:color="auto"/>
              <w:left w:val="nil"/>
              <w:bottom w:val="nil"/>
              <w:right w:val="nil"/>
            </w:tcBorders>
          </w:tcPr>
          <w:p w14:paraId="0F51A2F1"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118988</w:t>
            </w:r>
          </w:p>
        </w:tc>
        <w:tc>
          <w:tcPr>
            <w:tcW w:w="1304" w:type="dxa"/>
            <w:tcBorders>
              <w:top w:val="single" w:sz="4" w:space="0" w:color="auto"/>
              <w:left w:val="nil"/>
              <w:bottom w:val="nil"/>
              <w:right w:val="nil"/>
            </w:tcBorders>
          </w:tcPr>
          <w:p w14:paraId="49E4BD89"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118988</w:t>
            </w:r>
          </w:p>
        </w:tc>
        <w:tc>
          <w:tcPr>
            <w:tcW w:w="1701" w:type="dxa"/>
            <w:tcBorders>
              <w:top w:val="single" w:sz="4" w:space="0" w:color="auto"/>
              <w:left w:val="nil"/>
              <w:bottom w:val="nil"/>
              <w:right w:val="nil"/>
            </w:tcBorders>
          </w:tcPr>
          <w:p w14:paraId="6747FD45"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118988</w:t>
            </w:r>
          </w:p>
        </w:tc>
        <w:tc>
          <w:tcPr>
            <w:tcW w:w="1361" w:type="dxa"/>
            <w:tcBorders>
              <w:top w:val="single" w:sz="4" w:space="0" w:color="auto"/>
              <w:left w:val="nil"/>
              <w:bottom w:val="nil"/>
              <w:right w:val="nil"/>
            </w:tcBorders>
          </w:tcPr>
          <w:p w14:paraId="4FCC2B5D"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118988</w:t>
            </w:r>
          </w:p>
        </w:tc>
        <w:tc>
          <w:tcPr>
            <w:tcW w:w="1361" w:type="dxa"/>
            <w:tcBorders>
              <w:top w:val="single" w:sz="4" w:space="0" w:color="auto"/>
              <w:left w:val="nil"/>
              <w:bottom w:val="nil"/>
              <w:right w:val="nil"/>
            </w:tcBorders>
          </w:tcPr>
          <w:p w14:paraId="66A86CD1"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118988</w:t>
            </w:r>
          </w:p>
        </w:tc>
      </w:tr>
      <w:tr w:rsidR="00BC54D1" w:rsidRPr="00BC54D1" w14:paraId="2FD8EF76" w14:textId="77777777" w:rsidTr="00732A21">
        <w:tc>
          <w:tcPr>
            <w:tcW w:w="1134" w:type="dxa"/>
            <w:tcBorders>
              <w:top w:val="nil"/>
              <w:left w:val="nil"/>
              <w:bottom w:val="single" w:sz="4" w:space="0" w:color="auto"/>
              <w:right w:val="nil"/>
            </w:tcBorders>
          </w:tcPr>
          <w:p w14:paraId="1413FC61" w14:textId="77777777" w:rsidR="00732A21" w:rsidRPr="00BC54D1" w:rsidRDefault="00732A21" w:rsidP="00732A21">
            <w:pPr>
              <w:widowControl w:val="0"/>
              <w:autoSpaceDE w:val="0"/>
              <w:autoSpaceDN w:val="0"/>
              <w:adjustRightInd w:val="0"/>
              <w:rPr>
                <w:rFonts w:ascii="Times New Roman" w:hAnsi="Times New Roman"/>
                <w:b/>
                <w:bCs/>
                <w:i/>
                <w:iCs/>
                <w:sz w:val="16"/>
                <w:szCs w:val="16"/>
              </w:rPr>
            </w:pPr>
            <w:r w:rsidRPr="00BC54D1">
              <w:rPr>
                <w:rFonts w:ascii="Times New Roman" w:hAnsi="Times New Roman"/>
                <w:b/>
                <w:bCs/>
                <w:i/>
                <w:iCs/>
                <w:sz w:val="16"/>
                <w:szCs w:val="16"/>
              </w:rPr>
              <w:t>Pseudo R</w:t>
            </w:r>
            <w:r w:rsidRPr="00BC54D1">
              <w:rPr>
                <w:rFonts w:ascii="Times New Roman" w:hAnsi="Times New Roman"/>
                <w:b/>
                <w:bCs/>
                <w:sz w:val="16"/>
                <w:szCs w:val="16"/>
                <w:vertAlign w:val="superscript"/>
              </w:rPr>
              <w:t>2</w:t>
            </w:r>
          </w:p>
          <w:p w14:paraId="5DC5D214" w14:textId="77777777" w:rsidR="00732A21" w:rsidRPr="00BC54D1" w:rsidRDefault="00732A21" w:rsidP="00732A21">
            <w:pPr>
              <w:widowControl w:val="0"/>
              <w:autoSpaceDE w:val="0"/>
              <w:autoSpaceDN w:val="0"/>
              <w:adjustRightInd w:val="0"/>
              <w:rPr>
                <w:rFonts w:ascii="Times New Roman" w:hAnsi="Times New Roman"/>
                <w:b/>
                <w:bCs/>
                <w:sz w:val="16"/>
                <w:szCs w:val="16"/>
              </w:rPr>
            </w:pPr>
            <w:r w:rsidRPr="00BC54D1">
              <w:rPr>
                <w:rFonts w:ascii="Times New Roman" w:hAnsi="Times New Roman"/>
                <w:b/>
                <w:bCs/>
                <w:i/>
                <w:iCs/>
                <w:sz w:val="16"/>
                <w:szCs w:val="16"/>
              </w:rPr>
              <w:t>Wald Chi2</w:t>
            </w:r>
          </w:p>
        </w:tc>
        <w:tc>
          <w:tcPr>
            <w:tcW w:w="2016" w:type="dxa"/>
            <w:tcBorders>
              <w:top w:val="nil"/>
              <w:left w:val="nil"/>
              <w:bottom w:val="single" w:sz="4" w:space="0" w:color="auto"/>
              <w:right w:val="nil"/>
            </w:tcBorders>
          </w:tcPr>
          <w:p w14:paraId="091935FE"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0.09</w:t>
            </w:r>
          </w:p>
          <w:p w14:paraId="2738F3E4"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9963.08</w:t>
            </w:r>
          </w:p>
        </w:tc>
        <w:tc>
          <w:tcPr>
            <w:tcW w:w="1304" w:type="dxa"/>
            <w:tcBorders>
              <w:top w:val="nil"/>
              <w:left w:val="nil"/>
              <w:bottom w:val="single" w:sz="4" w:space="0" w:color="auto"/>
              <w:right w:val="nil"/>
            </w:tcBorders>
          </w:tcPr>
          <w:p w14:paraId="4EF14885"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0.09</w:t>
            </w:r>
          </w:p>
          <w:p w14:paraId="1977F63A"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9924.33</w:t>
            </w:r>
          </w:p>
        </w:tc>
        <w:tc>
          <w:tcPr>
            <w:tcW w:w="1701" w:type="dxa"/>
            <w:tcBorders>
              <w:top w:val="nil"/>
              <w:left w:val="nil"/>
              <w:bottom w:val="single" w:sz="4" w:space="0" w:color="auto"/>
              <w:right w:val="nil"/>
            </w:tcBorders>
          </w:tcPr>
          <w:p w14:paraId="2A2DD5BB"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0.20</w:t>
            </w:r>
          </w:p>
          <w:p w14:paraId="3B6D256D"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11578.36</w:t>
            </w:r>
          </w:p>
        </w:tc>
        <w:tc>
          <w:tcPr>
            <w:tcW w:w="1361" w:type="dxa"/>
            <w:tcBorders>
              <w:top w:val="nil"/>
              <w:left w:val="nil"/>
              <w:bottom w:val="single" w:sz="4" w:space="0" w:color="auto"/>
              <w:right w:val="nil"/>
            </w:tcBorders>
          </w:tcPr>
          <w:p w14:paraId="65418CCE"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0.20</w:t>
            </w:r>
          </w:p>
          <w:p w14:paraId="1EC39C3F"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13924.02</w:t>
            </w:r>
          </w:p>
        </w:tc>
        <w:tc>
          <w:tcPr>
            <w:tcW w:w="1361" w:type="dxa"/>
            <w:tcBorders>
              <w:top w:val="nil"/>
              <w:left w:val="nil"/>
              <w:bottom w:val="single" w:sz="4" w:space="0" w:color="auto"/>
              <w:right w:val="nil"/>
            </w:tcBorders>
          </w:tcPr>
          <w:p w14:paraId="514DD575"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0.20</w:t>
            </w:r>
          </w:p>
          <w:p w14:paraId="3202C8AA" w14:textId="77777777" w:rsidR="00732A21" w:rsidRPr="00BC54D1" w:rsidRDefault="00732A21" w:rsidP="00732A21">
            <w:pPr>
              <w:widowControl w:val="0"/>
              <w:autoSpaceDE w:val="0"/>
              <w:autoSpaceDN w:val="0"/>
              <w:adjustRightInd w:val="0"/>
              <w:jc w:val="center"/>
              <w:rPr>
                <w:rFonts w:ascii="Times New Roman" w:hAnsi="Times New Roman"/>
                <w:b/>
                <w:bCs/>
                <w:sz w:val="16"/>
                <w:szCs w:val="16"/>
              </w:rPr>
            </w:pPr>
            <w:r w:rsidRPr="00BC54D1">
              <w:rPr>
                <w:rFonts w:ascii="Times New Roman" w:hAnsi="Times New Roman"/>
                <w:b/>
                <w:bCs/>
                <w:sz w:val="16"/>
                <w:szCs w:val="16"/>
              </w:rPr>
              <w:t>13714.61</w:t>
            </w:r>
          </w:p>
        </w:tc>
      </w:tr>
    </w:tbl>
    <w:p w14:paraId="30674335" w14:textId="76447040" w:rsidR="00732A21" w:rsidRPr="00C07A22" w:rsidRDefault="00CC38B0" w:rsidP="00732A21">
      <w:pPr>
        <w:widowControl w:val="0"/>
        <w:autoSpaceDE w:val="0"/>
        <w:autoSpaceDN w:val="0"/>
        <w:adjustRightInd w:val="0"/>
        <w:jc w:val="both"/>
        <w:rPr>
          <w:rFonts w:ascii="Times New Roman" w:hAnsi="Times New Roman"/>
          <w:bCs/>
          <w:sz w:val="15"/>
          <w:szCs w:val="15"/>
        </w:rPr>
      </w:pPr>
      <w:r w:rsidRPr="00C07A22">
        <w:rPr>
          <w:rFonts w:ascii="Times New Roman" w:hAnsi="Times New Roman"/>
          <w:bCs/>
          <w:sz w:val="15"/>
          <w:szCs w:val="15"/>
        </w:rPr>
        <w:t>Models 1 &amp;2</w:t>
      </w:r>
      <w:r w:rsidR="006C2D69" w:rsidRPr="00C07A22">
        <w:rPr>
          <w:rFonts w:ascii="Times New Roman" w:hAnsi="Times New Roman"/>
          <w:bCs/>
          <w:sz w:val="15"/>
          <w:szCs w:val="15"/>
        </w:rPr>
        <w:t xml:space="preserve"> </w:t>
      </w:r>
      <w:r w:rsidR="00732A21" w:rsidRPr="00C07A22">
        <w:rPr>
          <w:rFonts w:ascii="Times New Roman" w:hAnsi="Times New Roman"/>
          <w:bCs/>
          <w:sz w:val="15"/>
          <w:szCs w:val="15"/>
        </w:rPr>
        <w:t xml:space="preserve">show the interaction effects of private </w:t>
      </w:r>
      <w:r w:rsidRPr="00C07A22">
        <w:rPr>
          <w:rFonts w:ascii="Times New Roman" w:hAnsi="Times New Roman"/>
          <w:bCs/>
          <w:sz w:val="15"/>
          <w:szCs w:val="15"/>
        </w:rPr>
        <w:t xml:space="preserve">(PRIV) </w:t>
      </w:r>
      <w:r w:rsidR="00732A21" w:rsidRPr="00C07A22">
        <w:rPr>
          <w:rFonts w:ascii="Times New Roman" w:hAnsi="Times New Roman"/>
          <w:bCs/>
          <w:sz w:val="15"/>
          <w:szCs w:val="15"/>
        </w:rPr>
        <w:t xml:space="preserve">dummy &amp; technology sector (PRIV_TEC), private dummy &amp; non-technology (PRIV_NTEC), </w:t>
      </w:r>
      <w:r w:rsidR="004D4B78" w:rsidRPr="00C07A22">
        <w:rPr>
          <w:rFonts w:ascii="Times New Roman" w:hAnsi="Times New Roman"/>
          <w:bCs/>
          <w:sz w:val="15"/>
          <w:szCs w:val="15"/>
        </w:rPr>
        <w:t xml:space="preserve">while models 3, 4 &amp; 5 </w:t>
      </w:r>
      <w:r w:rsidR="00E67327" w:rsidRPr="00C07A22">
        <w:rPr>
          <w:rFonts w:ascii="Times New Roman" w:hAnsi="Times New Roman"/>
          <w:bCs/>
          <w:sz w:val="15"/>
          <w:szCs w:val="15"/>
        </w:rPr>
        <w:t>–</w:t>
      </w:r>
      <w:r w:rsidR="004D4B78" w:rsidRPr="00C07A22">
        <w:rPr>
          <w:rFonts w:ascii="Times New Roman" w:hAnsi="Times New Roman"/>
          <w:bCs/>
          <w:sz w:val="15"/>
          <w:szCs w:val="15"/>
        </w:rPr>
        <w:t xml:space="preserve"> </w:t>
      </w:r>
      <w:r w:rsidR="00732A21" w:rsidRPr="00C07A22">
        <w:rPr>
          <w:rFonts w:ascii="Times New Roman" w:hAnsi="Times New Roman"/>
          <w:bCs/>
          <w:sz w:val="15"/>
          <w:szCs w:val="15"/>
        </w:rPr>
        <w:t xml:space="preserve">private dummy &amp; </w:t>
      </w:r>
      <w:r w:rsidR="006C2D69" w:rsidRPr="00C07A22">
        <w:rPr>
          <w:rFonts w:ascii="Times New Roman" w:hAnsi="Times New Roman"/>
          <w:bCs/>
          <w:sz w:val="15"/>
          <w:szCs w:val="15"/>
        </w:rPr>
        <w:t xml:space="preserve">cash flow </w:t>
      </w:r>
      <w:r w:rsidR="00732A21" w:rsidRPr="00C07A22">
        <w:rPr>
          <w:rFonts w:ascii="Times New Roman" w:hAnsi="Times New Roman"/>
          <w:bCs/>
          <w:sz w:val="15"/>
          <w:szCs w:val="15"/>
        </w:rPr>
        <w:t>(PRIV_CF), private dummy &amp; leverage (PRIV_LEV) and private dummy &amp; information quality (PRIV_IQ)</w:t>
      </w:r>
      <w:r w:rsidR="004D4B78" w:rsidRPr="00C07A22">
        <w:rPr>
          <w:rFonts w:ascii="Times New Roman" w:hAnsi="Times New Roman"/>
          <w:bCs/>
          <w:sz w:val="15"/>
          <w:szCs w:val="15"/>
        </w:rPr>
        <w:t xml:space="preserve"> </w:t>
      </w:r>
      <w:r w:rsidR="00E67327" w:rsidRPr="00C07A22">
        <w:rPr>
          <w:rFonts w:ascii="Times New Roman" w:hAnsi="Times New Roman"/>
          <w:bCs/>
          <w:sz w:val="15"/>
          <w:szCs w:val="15"/>
        </w:rPr>
        <w:t xml:space="preserve">– </w:t>
      </w:r>
      <w:r w:rsidR="004D4B78" w:rsidRPr="00C07A22">
        <w:rPr>
          <w:rFonts w:ascii="Times New Roman" w:hAnsi="Times New Roman"/>
          <w:bCs/>
          <w:sz w:val="15"/>
          <w:szCs w:val="15"/>
        </w:rPr>
        <w:t xml:space="preserve">show the interaction term results. </w:t>
      </w:r>
      <w:r w:rsidR="00732A21" w:rsidRPr="00C07A22">
        <w:rPr>
          <w:rFonts w:ascii="Times New Roman" w:hAnsi="Times New Roman"/>
          <w:bCs/>
          <w:sz w:val="15"/>
          <w:szCs w:val="15"/>
        </w:rPr>
        <w:t xml:space="preserve">Our key interests are the interaction covariates: </w:t>
      </w:r>
      <w:r w:rsidR="00732A21" w:rsidRPr="00C07A22">
        <w:rPr>
          <w:rFonts w:ascii="Times New Roman" w:hAnsi="Times New Roman"/>
          <w:bCs/>
          <w:i/>
          <w:iCs/>
          <w:sz w:val="15"/>
          <w:szCs w:val="15"/>
        </w:rPr>
        <w:t>PRIV_TEC, PRIV_NTEC, PRIV_CF, PRIV_LEV &amp; PRIV_IQ</w:t>
      </w:r>
      <w:r w:rsidR="00732A21" w:rsidRPr="00C07A22">
        <w:rPr>
          <w:rFonts w:ascii="Times New Roman" w:hAnsi="Times New Roman"/>
          <w:bCs/>
          <w:sz w:val="15"/>
          <w:szCs w:val="15"/>
        </w:rPr>
        <w:t xml:space="preserve"> and are shown in the </w:t>
      </w:r>
      <w:proofErr w:type="spellStart"/>
      <w:r w:rsidR="000675D7" w:rsidRPr="00C07A22">
        <w:rPr>
          <w:rFonts w:ascii="Times New Roman" w:hAnsi="Times New Roman"/>
          <w:bCs/>
          <w:sz w:val="15"/>
          <w:szCs w:val="15"/>
        </w:rPr>
        <w:t>p</w:t>
      </w:r>
      <w:r w:rsidR="00732A21" w:rsidRPr="00C07A22">
        <w:rPr>
          <w:rFonts w:ascii="Times New Roman" w:hAnsi="Times New Roman"/>
          <w:bCs/>
          <w:sz w:val="15"/>
          <w:szCs w:val="15"/>
        </w:rPr>
        <w:t>robit</w:t>
      </w:r>
      <w:proofErr w:type="spellEnd"/>
      <w:r w:rsidR="00732A21" w:rsidRPr="00C07A22">
        <w:rPr>
          <w:rFonts w:ascii="Times New Roman" w:hAnsi="Times New Roman"/>
          <w:bCs/>
          <w:sz w:val="15"/>
          <w:szCs w:val="15"/>
        </w:rPr>
        <w:t xml:space="preserve"> regression models: 1, 2, 3, 4 &amp; 5. The *, ** and *** indicate statistical significance at the 10%, 5% and 1% levels</w:t>
      </w:r>
      <w:r w:rsidR="00E67327" w:rsidRPr="00C07A22">
        <w:rPr>
          <w:rFonts w:ascii="Times New Roman" w:hAnsi="Times New Roman"/>
          <w:bCs/>
          <w:sz w:val="15"/>
          <w:szCs w:val="15"/>
        </w:rPr>
        <w:t>,</w:t>
      </w:r>
      <w:r w:rsidR="00732A21" w:rsidRPr="00C07A22">
        <w:rPr>
          <w:rFonts w:ascii="Times New Roman" w:hAnsi="Times New Roman"/>
          <w:bCs/>
          <w:sz w:val="15"/>
          <w:szCs w:val="15"/>
        </w:rPr>
        <w:t xml:space="preserve"> respectively.</w:t>
      </w:r>
    </w:p>
    <w:sectPr w:rsidR="00732A21" w:rsidRPr="00C07A22">
      <w:head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CA53" w14:textId="77777777" w:rsidR="00857480" w:rsidRDefault="00857480">
      <w:r>
        <w:separator/>
      </w:r>
    </w:p>
  </w:endnote>
  <w:endnote w:type="continuationSeparator" w:id="0">
    <w:p w14:paraId="347CC1C7" w14:textId="77777777" w:rsidR="00857480" w:rsidRDefault="0085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
    <w:altName w:val="﷽﷽﷽﷽﷽﷽﷽﷽怀"/>
    <w:panose1 w:val="02020603050405020304"/>
    <w:charset w:val="00"/>
    <w:family w:val="auto"/>
    <w:pitch w:val="variable"/>
    <w:sig w:usb0="E00002FF" w:usb1="5000205A" w:usb2="00000000" w:usb3="00000000" w:csb0="0000019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B82E" w14:textId="77777777" w:rsidR="00D005FC" w:rsidRDefault="00D005FC">
    <w:pPr>
      <w:spacing w:line="259" w:lineRule="auto"/>
      <w:ind w:right="11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87A9" w14:textId="77777777" w:rsidR="00D005FC" w:rsidRDefault="00D005FC">
    <w:pPr>
      <w:spacing w:line="259" w:lineRule="auto"/>
      <w:ind w:right="110"/>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30AA" w14:textId="77777777" w:rsidR="00D005FC" w:rsidRDefault="00D005FC">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EB4B" w14:textId="77777777" w:rsidR="00857480" w:rsidRDefault="00857480">
      <w:r>
        <w:separator/>
      </w:r>
    </w:p>
  </w:footnote>
  <w:footnote w:type="continuationSeparator" w:id="0">
    <w:p w14:paraId="78B0F151" w14:textId="77777777" w:rsidR="00857480" w:rsidRDefault="00857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005FC" w14:paraId="22E13568" w14:textId="77777777" w:rsidTr="355FDF37">
      <w:tc>
        <w:tcPr>
          <w:tcW w:w="3120" w:type="dxa"/>
        </w:tcPr>
        <w:p w14:paraId="4ED53682" w14:textId="5B816E6F" w:rsidR="00D005FC" w:rsidRDefault="00D005FC" w:rsidP="355FDF37">
          <w:pPr>
            <w:pStyle w:val="Header"/>
            <w:ind w:left="-115"/>
            <w:jc w:val="left"/>
            <w:rPr>
              <w:color w:val="000000" w:themeColor="text1"/>
              <w:szCs w:val="24"/>
            </w:rPr>
          </w:pPr>
        </w:p>
      </w:tc>
      <w:tc>
        <w:tcPr>
          <w:tcW w:w="3120" w:type="dxa"/>
        </w:tcPr>
        <w:p w14:paraId="2E583247" w14:textId="7CB14108" w:rsidR="00D005FC" w:rsidRDefault="00D005FC" w:rsidP="355FDF37">
          <w:pPr>
            <w:pStyle w:val="Header"/>
            <w:jc w:val="center"/>
            <w:rPr>
              <w:color w:val="000000" w:themeColor="text1"/>
              <w:szCs w:val="24"/>
            </w:rPr>
          </w:pPr>
        </w:p>
      </w:tc>
      <w:tc>
        <w:tcPr>
          <w:tcW w:w="3120" w:type="dxa"/>
        </w:tcPr>
        <w:p w14:paraId="7B761843" w14:textId="12D0B7A0" w:rsidR="00D005FC" w:rsidRDefault="00D005FC" w:rsidP="355FDF37">
          <w:pPr>
            <w:pStyle w:val="Header"/>
            <w:ind w:right="-115"/>
            <w:jc w:val="right"/>
            <w:rPr>
              <w:color w:val="000000" w:themeColor="text1"/>
              <w:szCs w:val="24"/>
            </w:rPr>
          </w:pPr>
        </w:p>
      </w:tc>
    </w:tr>
  </w:tbl>
  <w:p w14:paraId="266FFEF0" w14:textId="3C1790B3" w:rsidR="00D005FC" w:rsidRDefault="00D005FC" w:rsidP="355FDF37">
    <w:pPr>
      <w:pStyle w:val="Header"/>
      <w:rPr>
        <w:color w:val="000000" w:themeColor="text1"/>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005FC" w14:paraId="712E5C13" w14:textId="77777777" w:rsidTr="355FDF37">
      <w:tc>
        <w:tcPr>
          <w:tcW w:w="3120" w:type="dxa"/>
        </w:tcPr>
        <w:p w14:paraId="669F3EA6" w14:textId="057E3B26" w:rsidR="00D005FC" w:rsidRDefault="00D005FC" w:rsidP="355FDF37">
          <w:pPr>
            <w:pStyle w:val="Header"/>
            <w:ind w:left="-115"/>
            <w:jc w:val="left"/>
            <w:rPr>
              <w:color w:val="000000" w:themeColor="text1"/>
              <w:szCs w:val="24"/>
            </w:rPr>
          </w:pPr>
        </w:p>
      </w:tc>
      <w:tc>
        <w:tcPr>
          <w:tcW w:w="3120" w:type="dxa"/>
        </w:tcPr>
        <w:p w14:paraId="27FA8A88" w14:textId="09001291" w:rsidR="00D005FC" w:rsidRDefault="00D005FC" w:rsidP="355FDF37">
          <w:pPr>
            <w:pStyle w:val="Header"/>
            <w:jc w:val="center"/>
            <w:rPr>
              <w:color w:val="000000" w:themeColor="text1"/>
              <w:szCs w:val="24"/>
            </w:rPr>
          </w:pPr>
        </w:p>
      </w:tc>
      <w:tc>
        <w:tcPr>
          <w:tcW w:w="3120" w:type="dxa"/>
        </w:tcPr>
        <w:p w14:paraId="762EA090" w14:textId="4902EA10" w:rsidR="00D005FC" w:rsidRDefault="00D005FC" w:rsidP="355FDF37">
          <w:pPr>
            <w:pStyle w:val="Header"/>
            <w:ind w:right="-115"/>
            <w:jc w:val="right"/>
            <w:rPr>
              <w:color w:val="000000" w:themeColor="text1"/>
              <w:szCs w:val="24"/>
            </w:rPr>
          </w:pPr>
        </w:p>
      </w:tc>
    </w:tr>
  </w:tbl>
  <w:p w14:paraId="4A11013E" w14:textId="4C081738" w:rsidR="00D005FC" w:rsidRDefault="00D005FC" w:rsidP="355FDF37">
    <w:pPr>
      <w:pStyle w:val="Header"/>
      <w:rPr>
        <w:color w:val="000000" w:themeColor="text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085"/>
    <w:multiLevelType w:val="hybridMultilevel"/>
    <w:tmpl w:val="AA8A054A"/>
    <w:lvl w:ilvl="0" w:tplc="DADCB530">
      <w:start w:val="1"/>
      <w:numFmt w:val="decimal"/>
      <w:lvlText w:val="%1"/>
      <w:lvlJc w:val="left"/>
      <w:pPr>
        <w:ind w:left="1436" w:hanging="870"/>
      </w:pPr>
      <w:rPr>
        <w:rFonts w:hint="default"/>
        <w:i w:val="0"/>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 w15:restartNumberingAfterBreak="0">
    <w:nsid w:val="195F16BB"/>
    <w:multiLevelType w:val="hybridMultilevel"/>
    <w:tmpl w:val="6B6C6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2753CD"/>
    <w:multiLevelType w:val="multilevel"/>
    <w:tmpl w:val="6CF8BEEA"/>
    <w:lvl w:ilvl="0">
      <w:start w:val="3"/>
      <w:numFmt w:val="decimal"/>
      <w:lvlText w:val="%1"/>
      <w:lvlJc w:val="left"/>
      <w:pPr>
        <w:ind w:left="760" w:hanging="760"/>
      </w:pPr>
      <w:rPr>
        <w:rFonts w:hint="default"/>
      </w:rPr>
    </w:lvl>
    <w:lvl w:ilvl="1">
      <w:start w:val="1"/>
      <w:numFmt w:val="decimal"/>
      <w:lvlText w:val="%1.%2"/>
      <w:lvlJc w:val="left"/>
      <w:pPr>
        <w:ind w:left="760" w:hanging="76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5F26838"/>
    <w:multiLevelType w:val="hybridMultilevel"/>
    <w:tmpl w:val="767CEEC4"/>
    <w:lvl w:ilvl="0" w:tplc="7F601BAA">
      <w:start w:val="1"/>
      <w:numFmt w:val="decimal"/>
      <w:lvlText w:val="%1."/>
      <w:lvlJc w:val="left"/>
      <w:pPr>
        <w:ind w:left="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31A0D8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88E330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CDEC3CC">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2065D0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868A6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440369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48C4CB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1648EC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4F0224"/>
    <w:multiLevelType w:val="hybridMultilevel"/>
    <w:tmpl w:val="15548AE0"/>
    <w:lvl w:ilvl="0" w:tplc="7F601BAA">
      <w:start w:val="1"/>
      <w:numFmt w:val="decimal"/>
      <w:lvlText w:val="%1."/>
      <w:lvlJc w:val="left"/>
      <w:pPr>
        <w:ind w:left="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31A0D8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88E330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CDEC3CC">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2065D0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868A6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440369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48C4CB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1648EC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77B00DF"/>
    <w:multiLevelType w:val="hybridMultilevel"/>
    <w:tmpl w:val="A656D2EA"/>
    <w:lvl w:ilvl="0" w:tplc="343A0798">
      <w:start w:val="3"/>
      <w:numFmt w:val="bullet"/>
      <w:lvlText w:val="-"/>
      <w:lvlJc w:val="left"/>
      <w:pPr>
        <w:ind w:left="640" w:hanging="360"/>
      </w:pPr>
      <w:rPr>
        <w:rFonts w:ascii="Times New Roman" w:eastAsia="Calibri" w:hAnsi="Times New Roman" w:cs="Times New Roman"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6" w15:restartNumberingAfterBreak="0">
    <w:nsid w:val="4B262548"/>
    <w:multiLevelType w:val="multilevel"/>
    <w:tmpl w:val="FCD88DE2"/>
    <w:lvl w:ilvl="0">
      <w:start w:val="1"/>
      <w:numFmt w:val="decimal"/>
      <w:pStyle w:val="Heading1"/>
      <w:lvlText w:val="%1"/>
      <w:lvlJc w:val="left"/>
      <w:pPr>
        <w:ind w:left="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abstractNum>
  <w:abstractNum w:abstractNumId="7" w15:restartNumberingAfterBreak="0">
    <w:nsid w:val="50EB0F26"/>
    <w:multiLevelType w:val="multilevel"/>
    <w:tmpl w:val="8A125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67645E"/>
    <w:multiLevelType w:val="multilevel"/>
    <w:tmpl w:val="860AA89E"/>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D7F7DA2"/>
    <w:multiLevelType w:val="hybridMultilevel"/>
    <w:tmpl w:val="C4683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2"/>
  </w:num>
  <w:num w:numId="6">
    <w:abstractNumId w:val="8"/>
  </w:num>
  <w:num w:numId="7">
    <w:abstractNumId w:val="0"/>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348"/>
    <w:rsid w:val="00004A65"/>
    <w:rsid w:val="0000750E"/>
    <w:rsid w:val="0001100B"/>
    <w:rsid w:val="0001210F"/>
    <w:rsid w:val="000123AE"/>
    <w:rsid w:val="000123E0"/>
    <w:rsid w:val="0001390D"/>
    <w:rsid w:val="000174AF"/>
    <w:rsid w:val="00021B22"/>
    <w:rsid w:val="00023350"/>
    <w:rsid w:val="000233C2"/>
    <w:rsid w:val="00024921"/>
    <w:rsid w:val="00024C5E"/>
    <w:rsid w:val="000254BF"/>
    <w:rsid w:val="00025F7D"/>
    <w:rsid w:val="0002668D"/>
    <w:rsid w:val="00032DB8"/>
    <w:rsid w:val="00033763"/>
    <w:rsid w:val="000341BD"/>
    <w:rsid w:val="0003453D"/>
    <w:rsid w:val="00036599"/>
    <w:rsid w:val="00040847"/>
    <w:rsid w:val="00041008"/>
    <w:rsid w:val="00041326"/>
    <w:rsid w:val="00041717"/>
    <w:rsid w:val="000417F9"/>
    <w:rsid w:val="00042CA6"/>
    <w:rsid w:val="00045AB2"/>
    <w:rsid w:val="00046801"/>
    <w:rsid w:val="00046A8E"/>
    <w:rsid w:val="00046ACA"/>
    <w:rsid w:val="000520BF"/>
    <w:rsid w:val="00052BF6"/>
    <w:rsid w:val="00054F0F"/>
    <w:rsid w:val="00055D7B"/>
    <w:rsid w:val="00056A87"/>
    <w:rsid w:val="000609AB"/>
    <w:rsid w:val="00060B14"/>
    <w:rsid w:val="0006177E"/>
    <w:rsid w:val="0006232F"/>
    <w:rsid w:val="000639FE"/>
    <w:rsid w:val="00064E11"/>
    <w:rsid w:val="000655DB"/>
    <w:rsid w:val="000675D7"/>
    <w:rsid w:val="0007130F"/>
    <w:rsid w:val="000713E0"/>
    <w:rsid w:val="00072158"/>
    <w:rsid w:val="00074093"/>
    <w:rsid w:val="00075E26"/>
    <w:rsid w:val="00083F5B"/>
    <w:rsid w:val="00084CF3"/>
    <w:rsid w:val="00085052"/>
    <w:rsid w:val="00086B09"/>
    <w:rsid w:val="00087C71"/>
    <w:rsid w:val="00092537"/>
    <w:rsid w:val="00092843"/>
    <w:rsid w:val="0009388B"/>
    <w:rsid w:val="00096016"/>
    <w:rsid w:val="000A008D"/>
    <w:rsid w:val="000A0D65"/>
    <w:rsid w:val="000A1269"/>
    <w:rsid w:val="000A2A5F"/>
    <w:rsid w:val="000A52A0"/>
    <w:rsid w:val="000A6827"/>
    <w:rsid w:val="000B023E"/>
    <w:rsid w:val="000B0591"/>
    <w:rsid w:val="000B2DE5"/>
    <w:rsid w:val="000B464A"/>
    <w:rsid w:val="000B53DC"/>
    <w:rsid w:val="000B64C6"/>
    <w:rsid w:val="000C211B"/>
    <w:rsid w:val="000C2A4F"/>
    <w:rsid w:val="000C39F3"/>
    <w:rsid w:val="000C4318"/>
    <w:rsid w:val="000C50B4"/>
    <w:rsid w:val="000C7326"/>
    <w:rsid w:val="000C7546"/>
    <w:rsid w:val="000C784D"/>
    <w:rsid w:val="000D1880"/>
    <w:rsid w:val="000D2076"/>
    <w:rsid w:val="000D32FC"/>
    <w:rsid w:val="000D3C44"/>
    <w:rsid w:val="000D4F85"/>
    <w:rsid w:val="000D5009"/>
    <w:rsid w:val="000E1E81"/>
    <w:rsid w:val="000E238C"/>
    <w:rsid w:val="000E57AE"/>
    <w:rsid w:val="000E6CFB"/>
    <w:rsid w:val="000F15F7"/>
    <w:rsid w:val="000F1AF2"/>
    <w:rsid w:val="000F403F"/>
    <w:rsid w:val="000F4294"/>
    <w:rsid w:val="000F72F8"/>
    <w:rsid w:val="000F7EA2"/>
    <w:rsid w:val="00100096"/>
    <w:rsid w:val="00100134"/>
    <w:rsid w:val="00100C8A"/>
    <w:rsid w:val="00102EA9"/>
    <w:rsid w:val="00102F39"/>
    <w:rsid w:val="00103075"/>
    <w:rsid w:val="00104BEE"/>
    <w:rsid w:val="00105A63"/>
    <w:rsid w:val="00105BA3"/>
    <w:rsid w:val="00106FF0"/>
    <w:rsid w:val="00107AAC"/>
    <w:rsid w:val="00112779"/>
    <w:rsid w:val="00115F18"/>
    <w:rsid w:val="001168A2"/>
    <w:rsid w:val="00116DE9"/>
    <w:rsid w:val="00116FA2"/>
    <w:rsid w:val="00116FB1"/>
    <w:rsid w:val="00117A1A"/>
    <w:rsid w:val="00117B80"/>
    <w:rsid w:val="0012006D"/>
    <w:rsid w:val="0012030A"/>
    <w:rsid w:val="001230A1"/>
    <w:rsid w:val="00123646"/>
    <w:rsid w:val="00123D2B"/>
    <w:rsid w:val="00123E80"/>
    <w:rsid w:val="00124A35"/>
    <w:rsid w:val="00126131"/>
    <w:rsid w:val="00127EA2"/>
    <w:rsid w:val="00131413"/>
    <w:rsid w:val="001346F1"/>
    <w:rsid w:val="0013473E"/>
    <w:rsid w:val="0013565A"/>
    <w:rsid w:val="00135779"/>
    <w:rsid w:val="00136D55"/>
    <w:rsid w:val="001371A2"/>
    <w:rsid w:val="00137936"/>
    <w:rsid w:val="00140571"/>
    <w:rsid w:val="00143062"/>
    <w:rsid w:val="001434E8"/>
    <w:rsid w:val="00143EB7"/>
    <w:rsid w:val="00144240"/>
    <w:rsid w:val="0014536B"/>
    <w:rsid w:val="001456B1"/>
    <w:rsid w:val="00145F58"/>
    <w:rsid w:val="0014728C"/>
    <w:rsid w:val="001474EA"/>
    <w:rsid w:val="00151417"/>
    <w:rsid w:val="00152691"/>
    <w:rsid w:val="00152B09"/>
    <w:rsid w:val="00154014"/>
    <w:rsid w:val="001567E5"/>
    <w:rsid w:val="00156FCA"/>
    <w:rsid w:val="00157D4E"/>
    <w:rsid w:val="00160428"/>
    <w:rsid w:val="00161109"/>
    <w:rsid w:val="0016164D"/>
    <w:rsid w:val="00161655"/>
    <w:rsid w:val="001665DC"/>
    <w:rsid w:val="00166EE2"/>
    <w:rsid w:val="0017014A"/>
    <w:rsid w:val="0017018B"/>
    <w:rsid w:val="0017226B"/>
    <w:rsid w:val="001744B9"/>
    <w:rsid w:val="001756A9"/>
    <w:rsid w:val="00176139"/>
    <w:rsid w:val="00176297"/>
    <w:rsid w:val="00177724"/>
    <w:rsid w:val="0017777E"/>
    <w:rsid w:val="00177B1B"/>
    <w:rsid w:val="00177D46"/>
    <w:rsid w:val="00180831"/>
    <w:rsid w:val="001813B6"/>
    <w:rsid w:val="00181755"/>
    <w:rsid w:val="00181C0C"/>
    <w:rsid w:val="001821CF"/>
    <w:rsid w:val="00183F45"/>
    <w:rsid w:val="00183FE5"/>
    <w:rsid w:val="0018459F"/>
    <w:rsid w:val="00185CDA"/>
    <w:rsid w:val="001875E0"/>
    <w:rsid w:val="00191983"/>
    <w:rsid w:val="00193EFC"/>
    <w:rsid w:val="001942B5"/>
    <w:rsid w:val="001A01B6"/>
    <w:rsid w:val="001A1025"/>
    <w:rsid w:val="001A1FF3"/>
    <w:rsid w:val="001A2025"/>
    <w:rsid w:val="001A276A"/>
    <w:rsid w:val="001A2C33"/>
    <w:rsid w:val="001A30A0"/>
    <w:rsid w:val="001A353C"/>
    <w:rsid w:val="001A3FD7"/>
    <w:rsid w:val="001A45BD"/>
    <w:rsid w:val="001A65DE"/>
    <w:rsid w:val="001A6FAF"/>
    <w:rsid w:val="001A7BEE"/>
    <w:rsid w:val="001A7C0A"/>
    <w:rsid w:val="001B0CDD"/>
    <w:rsid w:val="001B442D"/>
    <w:rsid w:val="001B75E5"/>
    <w:rsid w:val="001C0168"/>
    <w:rsid w:val="001C033B"/>
    <w:rsid w:val="001C0797"/>
    <w:rsid w:val="001C089F"/>
    <w:rsid w:val="001C211D"/>
    <w:rsid w:val="001C21A7"/>
    <w:rsid w:val="001C4A78"/>
    <w:rsid w:val="001C60D8"/>
    <w:rsid w:val="001C6692"/>
    <w:rsid w:val="001C70E7"/>
    <w:rsid w:val="001D1123"/>
    <w:rsid w:val="001D1AC0"/>
    <w:rsid w:val="001D2375"/>
    <w:rsid w:val="001D5D79"/>
    <w:rsid w:val="001D60AC"/>
    <w:rsid w:val="001D74B3"/>
    <w:rsid w:val="001E268D"/>
    <w:rsid w:val="001E272E"/>
    <w:rsid w:val="001E2C39"/>
    <w:rsid w:val="001E2CC1"/>
    <w:rsid w:val="001E4316"/>
    <w:rsid w:val="001E4F23"/>
    <w:rsid w:val="001E5565"/>
    <w:rsid w:val="001E58D9"/>
    <w:rsid w:val="001E6482"/>
    <w:rsid w:val="001E770A"/>
    <w:rsid w:val="001F0230"/>
    <w:rsid w:val="001F0F62"/>
    <w:rsid w:val="001F1070"/>
    <w:rsid w:val="001F1AB4"/>
    <w:rsid w:val="001F4CA1"/>
    <w:rsid w:val="001F6098"/>
    <w:rsid w:val="001F6B92"/>
    <w:rsid w:val="001F6BC5"/>
    <w:rsid w:val="002045EA"/>
    <w:rsid w:val="0021631A"/>
    <w:rsid w:val="00217FC4"/>
    <w:rsid w:val="00221E32"/>
    <w:rsid w:val="002222BF"/>
    <w:rsid w:val="00222E16"/>
    <w:rsid w:val="0022305A"/>
    <w:rsid w:val="00224B0C"/>
    <w:rsid w:val="0022581E"/>
    <w:rsid w:val="00232714"/>
    <w:rsid w:val="0023277D"/>
    <w:rsid w:val="0023455B"/>
    <w:rsid w:val="00234E34"/>
    <w:rsid w:val="00235142"/>
    <w:rsid w:val="00240873"/>
    <w:rsid w:val="002412E9"/>
    <w:rsid w:val="00242076"/>
    <w:rsid w:val="00243D50"/>
    <w:rsid w:val="002441E2"/>
    <w:rsid w:val="0024552F"/>
    <w:rsid w:val="00246D59"/>
    <w:rsid w:val="00251A89"/>
    <w:rsid w:val="002525CB"/>
    <w:rsid w:val="00252886"/>
    <w:rsid w:val="00255529"/>
    <w:rsid w:val="00255919"/>
    <w:rsid w:val="00255E0E"/>
    <w:rsid w:val="002638CD"/>
    <w:rsid w:val="00263C88"/>
    <w:rsid w:val="00267256"/>
    <w:rsid w:val="00271172"/>
    <w:rsid w:val="00271983"/>
    <w:rsid w:val="0027227C"/>
    <w:rsid w:val="00275BF3"/>
    <w:rsid w:val="002760EC"/>
    <w:rsid w:val="00276C86"/>
    <w:rsid w:val="00277A25"/>
    <w:rsid w:val="00277DFC"/>
    <w:rsid w:val="0028235E"/>
    <w:rsid w:val="002831DD"/>
    <w:rsid w:val="00286671"/>
    <w:rsid w:val="002874C1"/>
    <w:rsid w:val="00287921"/>
    <w:rsid w:val="00287B78"/>
    <w:rsid w:val="002908D0"/>
    <w:rsid w:val="002911FC"/>
    <w:rsid w:val="00291644"/>
    <w:rsid w:val="002948D8"/>
    <w:rsid w:val="002968D7"/>
    <w:rsid w:val="002973C0"/>
    <w:rsid w:val="002A2EB0"/>
    <w:rsid w:val="002A430E"/>
    <w:rsid w:val="002A6AF9"/>
    <w:rsid w:val="002B0C3A"/>
    <w:rsid w:val="002B48A6"/>
    <w:rsid w:val="002B49CA"/>
    <w:rsid w:val="002B75BA"/>
    <w:rsid w:val="002B77CC"/>
    <w:rsid w:val="002B7AFD"/>
    <w:rsid w:val="002C0669"/>
    <w:rsid w:val="002C0837"/>
    <w:rsid w:val="002C1E56"/>
    <w:rsid w:val="002C4930"/>
    <w:rsid w:val="002C53B8"/>
    <w:rsid w:val="002C65EF"/>
    <w:rsid w:val="002C7572"/>
    <w:rsid w:val="002D0D3A"/>
    <w:rsid w:val="002D2706"/>
    <w:rsid w:val="002D3665"/>
    <w:rsid w:val="002D398E"/>
    <w:rsid w:val="002D61DE"/>
    <w:rsid w:val="002D6F26"/>
    <w:rsid w:val="002D7379"/>
    <w:rsid w:val="002E1123"/>
    <w:rsid w:val="002E148E"/>
    <w:rsid w:val="002E2420"/>
    <w:rsid w:val="002E2C00"/>
    <w:rsid w:val="002F02F3"/>
    <w:rsid w:val="002F13AD"/>
    <w:rsid w:val="002F143B"/>
    <w:rsid w:val="002F1A78"/>
    <w:rsid w:val="002F2430"/>
    <w:rsid w:val="002F2667"/>
    <w:rsid w:val="002F5F92"/>
    <w:rsid w:val="002F7A92"/>
    <w:rsid w:val="0030247D"/>
    <w:rsid w:val="0030507E"/>
    <w:rsid w:val="00305655"/>
    <w:rsid w:val="00306559"/>
    <w:rsid w:val="00306FB7"/>
    <w:rsid w:val="00307964"/>
    <w:rsid w:val="0031043A"/>
    <w:rsid w:val="0031139A"/>
    <w:rsid w:val="003119A6"/>
    <w:rsid w:val="003140A2"/>
    <w:rsid w:val="003158F9"/>
    <w:rsid w:val="00316068"/>
    <w:rsid w:val="0031612E"/>
    <w:rsid w:val="0031700F"/>
    <w:rsid w:val="003175B8"/>
    <w:rsid w:val="00320624"/>
    <w:rsid w:val="00321503"/>
    <w:rsid w:val="00322BD0"/>
    <w:rsid w:val="00323558"/>
    <w:rsid w:val="00324482"/>
    <w:rsid w:val="00324F01"/>
    <w:rsid w:val="00326E88"/>
    <w:rsid w:val="00327A96"/>
    <w:rsid w:val="00331423"/>
    <w:rsid w:val="00331D8A"/>
    <w:rsid w:val="00332006"/>
    <w:rsid w:val="00332D1E"/>
    <w:rsid w:val="00333C85"/>
    <w:rsid w:val="00335A1E"/>
    <w:rsid w:val="00335B44"/>
    <w:rsid w:val="003411C0"/>
    <w:rsid w:val="0034491F"/>
    <w:rsid w:val="00345697"/>
    <w:rsid w:val="00346070"/>
    <w:rsid w:val="003479CB"/>
    <w:rsid w:val="00350C8D"/>
    <w:rsid w:val="00351646"/>
    <w:rsid w:val="003519AD"/>
    <w:rsid w:val="00352673"/>
    <w:rsid w:val="00352B6E"/>
    <w:rsid w:val="00353BD4"/>
    <w:rsid w:val="0035456B"/>
    <w:rsid w:val="00354575"/>
    <w:rsid w:val="00354D86"/>
    <w:rsid w:val="003607C3"/>
    <w:rsid w:val="00361D23"/>
    <w:rsid w:val="0036242A"/>
    <w:rsid w:val="00365912"/>
    <w:rsid w:val="00366AA7"/>
    <w:rsid w:val="00367019"/>
    <w:rsid w:val="00367285"/>
    <w:rsid w:val="00370E41"/>
    <w:rsid w:val="00374929"/>
    <w:rsid w:val="00374F9E"/>
    <w:rsid w:val="003766D7"/>
    <w:rsid w:val="00376BB2"/>
    <w:rsid w:val="003816B9"/>
    <w:rsid w:val="00381E48"/>
    <w:rsid w:val="00382730"/>
    <w:rsid w:val="00385D5E"/>
    <w:rsid w:val="00386DD9"/>
    <w:rsid w:val="003878CA"/>
    <w:rsid w:val="00390141"/>
    <w:rsid w:val="00390B24"/>
    <w:rsid w:val="00391DE1"/>
    <w:rsid w:val="00392BF1"/>
    <w:rsid w:val="00392C5D"/>
    <w:rsid w:val="003956DB"/>
    <w:rsid w:val="00397394"/>
    <w:rsid w:val="0039753C"/>
    <w:rsid w:val="00397B78"/>
    <w:rsid w:val="003A0A52"/>
    <w:rsid w:val="003A0B07"/>
    <w:rsid w:val="003A21FD"/>
    <w:rsid w:val="003A2C69"/>
    <w:rsid w:val="003A3BC9"/>
    <w:rsid w:val="003A4A6F"/>
    <w:rsid w:val="003A4A7C"/>
    <w:rsid w:val="003B3CE8"/>
    <w:rsid w:val="003B3F79"/>
    <w:rsid w:val="003B623D"/>
    <w:rsid w:val="003B75D6"/>
    <w:rsid w:val="003C06B6"/>
    <w:rsid w:val="003C23F2"/>
    <w:rsid w:val="003C28F1"/>
    <w:rsid w:val="003C2FA0"/>
    <w:rsid w:val="003C30DE"/>
    <w:rsid w:val="003C33E9"/>
    <w:rsid w:val="003C7FA3"/>
    <w:rsid w:val="003D0338"/>
    <w:rsid w:val="003D1115"/>
    <w:rsid w:val="003D5860"/>
    <w:rsid w:val="003D5CF3"/>
    <w:rsid w:val="003E3350"/>
    <w:rsid w:val="003E3425"/>
    <w:rsid w:val="003E39D4"/>
    <w:rsid w:val="003E3F37"/>
    <w:rsid w:val="003E4908"/>
    <w:rsid w:val="003E5EDD"/>
    <w:rsid w:val="003E5F4F"/>
    <w:rsid w:val="003E6ABF"/>
    <w:rsid w:val="003E7636"/>
    <w:rsid w:val="003E77FE"/>
    <w:rsid w:val="003F0C2F"/>
    <w:rsid w:val="003F1436"/>
    <w:rsid w:val="003F17C5"/>
    <w:rsid w:val="003F28A1"/>
    <w:rsid w:val="003F5890"/>
    <w:rsid w:val="003F6747"/>
    <w:rsid w:val="003F7388"/>
    <w:rsid w:val="0040132D"/>
    <w:rsid w:val="00401EE7"/>
    <w:rsid w:val="004058DD"/>
    <w:rsid w:val="00407770"/>
    <w:rsid w:val="00407903"/>
    <w:rsid w:val="00407BF4"/>
    <w:rsid w:val="00410067"/>
    <w:rsid w:val="00410B98"/>
    <w:rsid w:val="00410FB4"/>
    <w:rsid w:val="004120E4"/>
    <w:rsid w:val="00412167"/>
    <w:rsid w:val="00414076"/>
    <w:rsid w:val="00414341"/>
    <w:rsid w:val="004154AD"/>
    <w:rsid w:val="00417930"/>
    <w:rsid w:val="00420988"/>
    <w:rsid w:val="00422FF1"/>
    <w:rsid w:val="004259FE"/>
    <w:rsid w:val="00426D76"/>
    <w:rsid w:val="004279E5"/>
    <w:rsid w:val="00427DAC"/>
    <w:rsid w:val="004309BA"/>
    <w:rsid w:val="00430B28"/>
    <w:rsid w:val="00434234"/>
    <w:rsid w:val="004351B7"/>
    <w:rsid w:val="00435D20"/>
    <w:rsid w:val="004372BC"/>
    <w:rsid w:val="00437F52"/>
    <w:rsid w:val="00440788"/>
    <w:rsid w:val="00440F27"/>
    <w:rsid w:val="00444FF9"/>
    <w:rsid w:val="00446B7C"/>
    <w:rsid w:val="00446D24"/>
    <w:rsid w:val="00446E2E"/>
    <w:rsid w:val="0044730B"/>
    <w:rsid w:val="00450F23"/>
    <w:rsid w:val="00451571"/>
    <w:rsid w:val="00453748"/>
    <w:rsid w:val="00454324"/>
    <w:rsid w:val="004553F6"/>
    <w:rsid w:val="00460610"/>
    <w:rsid w:val="00460B0D"/>
    <w:rsid w:val="0046110D"/>
    <w:rsid w:val="004612BC"/>
    <w:rsid w:val="00462F10"/>
    <w:rsid w:val="00465A15"/>
    <w:rsid w:val="00467C4F"/>
    <w:rsid w:val="004733DD"/>
    <w:rsid w:val="004751DB"/>
    <w:rsid w:val="00475ADC"/>
    <w:rsid w:val="00476581"/>
    <w:rsid w:val="00481ABF"/>
    <w:rsid w:val="00483943"/>
    <w:rsid w:val="004873FE"/>
    <w:rsid w:val="00491857"/>
    <w:rsid w:val="004928EC"/>
    <w:rsid w:val="00492FCC"/>
    <w:rsid w:val="004931E7"/>
    <w:rsid w:val="00493B82"/>
    <w:rsid w:val="004943D6"/>
    <w:rsid w:val="00494995"/>
    <w:rsid w:val="004955BC"/>
    <w:rsid w:val="00496B8E"/>
    <w:rsid w:val="004A05D2"/>
    <w:rsid w:val="004A0DAE"/>
    <w:rsid w:val="004A17DA"/>
    <w:rsid w:val="004A40AD"/>
    <w:rsid w:val="004A5A7E"/>
    <w:rsid w:val="004A7EE2"/>
    <w:rsid w:val="004B10A9"/>
    <w:rsid w:val="004B13F2"/>
    <w:rsid w:val="004B143F"/>
    <w:rsid w:val="004B22F8"/>
    <w:rsid w:val="004B2C0B"/>
    <w:rsid w:val="004B2FDA"/>
    <w:rsid w:val="004B5798"/>
    <w:rsid w:val="004C0BC0"/>
    <w:rsid w:val="004C462F"/>
    <w:rsid w:val="004C4C18"/>
    <w:rsid w:val="004C6EDF"/>
    <w:rsid w:val="004D1DB9"/>
    <w:rsid w:val="004D2C03"/>
    <w:rsid w:val="004D3390"/>
    <w:rsid w:val="004D44B8"/>
    <w:rsid w:val="004D4B78"/>
    <w:rsid w:val="004D56AB"/>
    <w:rsid w:val="004D736A"/>
    <w:rsid w:val="004D7889"/>
    <w:rsid w:val="004E0A2C"/>
    <w:rsid w:val="004E0E1A"/>
    <w:rsid w:val="004E1AA5"/>
    <w:rsid w:val="004E2703"/>
    <w:rsid w:val="004E463A"/>
    <w:rsid w:val="004E5522"/>
    <w:rsid w:val="004E572F"/>
    <w:rsid w:val="004E621B"/>
    <w:rsid w:val="004F1720"/>
    <w:rsid w:val="004F1EA1"/>
    <w:rsid w:val="004F24BE"/>
    <w:rsid w:val="004F3486"/>
    <w:rsid w:val="004F4D31"/>
    <w:rsid w:val="004F4DF9"/>
    <w:rsid w:val="004F4E5E"/>
    <w:rsid w:val="004F5AD1"/>
    <w:rsid w:val="004F5AD5"/>
    <w:rsid w:val="005009B7"/>
    <w:rsid w:val="00500EA3"/>
    <w:rsid w:val="00502B28"/>
    <w:rsid w:val="00503ADE"/>
    <w:rsid w:val="005040D3"/>
    <w:rsid w:val="00504729"/>
    <w:rsid w:val="0050674A"/>
    <w:rsid w:val="005074A8"/>
    <w:rsid w:val="00507AA1"/>
    <w:rsid w:val="00511BD8"/>
    <w:rsid w:val="00512619"/>
    <w:rsid w:val="005139A4"/>
    <w:rsid w:val="00514547"/>
    <w:rsid w:val="00516BCF"/>
    <w:rsid w:val="0051732B"/>
    <w:rsid w:val="005203BA"/>
    <w:rsid w:val="00521513"/>
    <w:rsid w:val="00521F1C"/>
    <w:rsid w:val="0052390F"/>
    <w:rsid w:val="00523CC9"/>
    <w:rsid w:val="0052585F"/>
    <w:rsid w:val="005259FB"/>
    <w:rsid w:val="00526345"/>
    <w:rsid w:val="005275D2"/>
    <w:rsid w:val="00530D46"/>
    <w:rsid w:val="00531635"/>
    <w:rsid w:val="005319F9"/>
    <w:rsid w:val="00535362"/>
    <w:rsid w:val="00535ED4"/>
    <w:rsid w:val="0053605A"/>
    <w:rsid w:val="00537DB7"/>
    <w:rsid w:val="00541F6A"/>
    <w:rsid w:val="005420E7"/>
    <w:rsid w:val="005430B3"/>
    <w:rsid w:val="005433B2"/>
    <w:rsid w:val="005443B5"/>
    <w:rsid w:val="00544D30"/>
    <w:rsid w:val="00545296"/>
    <w:rsid w:val="00546A5A"/>
    <w:rsid w:val="00546B16"/>
    <w:rsid w:val="005474F8"/>
    <w:rsid w:val="00547960"/>
    <w:rsid w:val="005500E7"/>
    <w:rsid w:val="00550323"/>
    <w:rsid w:val="0055385C"/>
    <w:rsid w:val="00553AC0"/>
    <w:rsid w:val="00553FF2"/>
    <w:rsid w:val="00554A18"/>
    <w:rsid w:val="00556839"/>
    <w:rsid w:val="00557BA7"/>
    <w:rsid w:val="00562E74"/>
    <w:rsid w:val="00563B50"/>
    <w:rsid w:val="00563D70"/>
    <w:rsid w:val="005640B7"/>
    <w:rsid w:val="005664D9"/>
    <w:rsid w:val="00566AE4"/>
    <w:rsid w:val="00567A30"/>
    <w:rsid w:val="005703DE"/>
    <w:rsid w:val="00570B78"/>
    <w:rsid w:val="00571BB2"/>
    <w:rsid w:val="0057488B"/>
    <w:rsid w:val="00577FBE"/>
    <w:rsid w:val="005807F2"/>
    <w:rsid w:val="0058188C"/>
    <w:rsid w:val="00582E4A"/>
    <w:rsid w:val="00582F00"/>
    <w:rsid w:val="00583D2A"/>
    <w:rsid w:val="00594875"/>
    <w:rsid w:val="00594AC6"/>
    <w:rsid w:val="00594C3E"/>
    <w:rsid w:val="00594FAD"/>
    <w:rsid w:val="00597E6C"/>
    <w:rsid w:val="005A090A"/>
    <w:rsid w:val="005A0B43"/>
    <w:rsid w:val="005A1B08"/>
    <w:rsid w:val="005A2771"/>
    <w:rsid w:val="005B0137"/>
    <w:rsid w:val="005B12E4"/>
    <w:rsid w:val="005B1892"/>
    <w:rsid w:val="005B4DFB"/>
    <w:rsid w:val="005B5E06"/>
    <w:rsid w:val="005B6084"/>
    <w:rsid w:val="005B6C1A"/>
    <w:rsid w:val="005C011F"/>
    <w:rsid w:val="005C0C8E"/>
    <w:rsid w:val="005C197A"/>
    <w:rsid w:val="005C20B9"/>
    <w:rsid w:val="005C3E25"/>
    <w:rsid w:val="005C4477"/>
    <w:rsid w:val="005C4A9F"/>
    <w:rsid w:val="005C5548"/>
    <w:rsid w:val="005C5D5F"/>
    <w:rsid w:val="005C6647"/>
    <w:rsid w:val="005C72A1"/>
    <w:rsid w:val="005C734F"/>
    <w:rsid w:val="005C7D36"/>
    <w:rsid w:val="005D03E9"/>
    <w:rsid w:val="005D1C87"/>
    <w:rsid w:val="005D26BA"/>
    <w:rsid w:val="005D2BEB"/>
    <w:rsid w:val="005D5225"/>
    <w:rsid w:val="005D533D"/>
    <w:rsid w:val="005D547A"/>
    <w:rsid w:val="005E0763"/>
    <w:rsid w:val="005E31E4"/>
    <w:rsid w:val="005E4548"/>
    <w:rsid w:val="005E5537"/>
    <w:rsid w:val="005E65B7"/>
    <w:rsid w:val="005E68FD"/>
    <w:rsid w:val="005F26D2"/>
    <w:rsid w:val="005F2738"/>
    <w:rsid w:val="005F5F81"/>
    <w:rsid w:val="005F69A3"/>
    <w:rsid w:val="005F7FAB"/>
    <w:rsid w:val="006000CD"/>
    <w:rsid w:val="00600F1E"/>
    <w:rsid w:val="006021E1"/>
    <w:rsid w:val="00602881"/>
    <w:rsid w:val="00603A33"/>
    <w:rsid w:val="006075E6"/>
    <w:rsid w:val="00612719"/>
    <w:rsid w:val="0061320A"/>
    <w:rsid w:val="0061510B"/>
    <w:rsid w:val="00620719"/>
    <w:rsid w:val="00621449"/>
    <w:rsid w:val="00623143"/>
    <w:rsid w:val="006235CE"/>
    <w:rsid w:val="00624DCF"/>
    <w:rsid w:val="0062635E"/>
    <w:rsid w:val="0062660E"/>
    <w:rsid w:val="006278A5"/>
    <w:rsid w:val="00630914"/>
    <w:rsid w:val="0063175A"/>
    <w:rsid w:val="00634C7E"/>
    <w:rsid w:val="00634EAA"/>
    <w:rsid w:val="00640F81"/>
    <w:rsid w:val="0064330F"/>
    <w:rsid w:val="00645710"/>
    <w:rsid w:val="00645CA3"/>
    <w:rsid w:val="00645EC2"/>
    <w:rsid w:val="0064627E"/>
    <w:rsid w:val="006470ED"/>
    <w:rsid w:val="006472F2"/>
    <w:rsid w:val="00650595"/>
    <w:rsid w:val="00650F5A"/>
    <w:rsid w:val="00652E50"/>
    <w:rsid w:val="006534EC"/>
    <w:rsid w:val="0065438E"/>
    <w:rsid w:val="00655035"/>
    <w:rsid w:val="00655A90"/>
    <w:rsid w:val="00655FA9"/>
    <w:rsid w:val="006565E1"/>
    <w:rsid w:val="00657F05"/>
    <w:rsid w:val="00664B16"/>
    <w:rsid w:val="00667C16"/>
    <w:rsid w:val="0067050D"/>
    <w:rsid w:val="0067091C"/>
    <w:rsid w:val="00671681"/>
    <w:rsid w:val="0067450D"/>
    <w:rsid w:val="006757FA"/>
    <w:rsid w:val="006761C4"/>
    <w:rsid w:val="00676991"/>
    <w:rsid w:val="00680082"/>
    <w:rsid w:val="00680314"/>
    <w:rsid w:val="006810E8"/>
    <w:rsid w:val="006816A6"/>
    <w:rsid w:val="006818BB"/>
    <w:rsid w:val="00681D86"/>
    <w:rsid w:val="006834A8"/>
    <w:rsid w:val="00683D4D"/>
    <w:rsid w:val="0068443B"/>
    <w:rsid w:val="0068454D"/>
    <w:rsid w:val="00686212"/>
    <w:rsid w:val="00686382"/>
    <w:rsid w:val="00687517"/>
    <w:rsid w:val="00687BC8"/>
    <w:rsid w:val="00687D51"/>
    <w:rsid w:val="00687F7C"/>
    <w:rsid w:val="0069069C"/>
    <w:rsid w:val="00691732"/>
    <w:rsid w:val="00691A90"/>
    <w:rsid w:val="00693091"/>
    <w:rsid w:val="00696407"/>
    <w:rsid w:val="00696434"/>
    <w:rsid w:val="006A1F2D"/>
    <w:rsid w:val="006A2E73"/>
    <w:rsid w:val="006A33F9"/>
    <w:rsid w:val="006A5D21"/>
    <w:rsid w:val="006A675D"/>
    <w:rsid w:val="006A6837"/>
    <w:rsid w:val="006A6CA9"/>
    <w:rsid w:val="006A71DC"/>
    <w:rsid w:val="006B1466"/>
    <w:rsid w:val="006B1C80"/>
    <w:rsid w:val="006B4D65"/>
    <w:rsid w:val="006B541D"/>
    <w:rsid w:val="006B5498"/>
    <w:rsid w:val="006B5AF3"/>
    <w:rsid w:val="006B7E59"/>
    <w:rsid w:val="006C08D2"/>
    <w:rsid w:val="006C145A"/>
    <w:rsid w:val="006C2D69"/>
    <w:rsid w:val="006C3478"/>
    <w:rsid w:val="006C47E4"/>
    <w:rsid w:val="006C532B"/>
    <w:rsid w:val="006C55C5"/>
    <w:rsid w:val="006C5E19"/>
    <w:rsid w:val="006C6EDB"/>
    <w:rsid w:val="006C7C3C"/>
    <w:rsid w:val="006D0548"/>
    <w:rsid w:val="006D248A"/>
    <w:rsid w:val="006D37C6"/>
    <w:rsid w:val="006D3A82"/>
    <w:rsid w:val="006D3E38"/>
    <w:rsid w:val="006D41D0"/>
    <w:rsid w:val="006D492C"/>
    <w:rsid w:val="006D4934"/>
    <w:rsid w:val="006D56BF"/>
    <w:rsid w:val="006D5ED4"/>
    <w:rsid w:val="006D7E05"/>
    <w:rsid w:val="006E074D"/>
    <w:rsid w:val="006E14A7"/>
    <w:rsid w:val="006E31AF"/>
    <w:rsid w:val="006E4549"/>
    <w:rsid w:val="006E7BFC"/>
    <w:rsid w:val="006F0277"/>
    <w:rsid w:val="006F02D5"/>
    <w:rsid w:val="006F04D4"/>
    <w:rsid w:val="006F2883"/>
    <w:rsid w:val="006F4A74"/>
    <w:rsid w:val="006F5664"/>
    <w:rsid w:val="006F6190"/>
    <w:rsid w:val="006F70F9"/>
    <w:rsid w:val="006F786D"/>
    <w:rsid w:val="0070102F"/>
    <w:rsid w:val="0070212C"/>
    <w:rsid w:val="007025C0"/>
    <w:rsid w:val="00702861"/>
    <w:rsid w:val="00702A4F"/>
    <w:rsid w:val="007032BE"/>
    <w:rsid w:val="0070405B"/>
    <w:rsid w:val="007042FA"/>
    <w:rsid w:val="0070464A"/>
    <w:rsid w:val="007059AD"/>
    <w:rsid w:val="007067D4"/>
    <w:rsid w:val="007108CB"/>
    <w:rsid w:val="007112FB"/>
    <w:rsid w:val="0071231E"/>
    <w:rsid w:val="0071236F"/>
    <w:rsid w:val="00712412"/>
    <w:rsid w:val="00712F5B"/>
    <w:rsid w:val="00712FE1"/>
    <w:rsid w:val="007130A6"/>
    <w:rsid w:val="00714759"/>
    <w:rsid w:val="00716461"/>
    <w:rsid w:val="00716B6A"/>
    <w:rsid w:val="0071715E"/>
    <w:rsid w:val="00717E36"/>
    <w:rsid w:val="00720224"/>
    <w:rsid w:val="00722193"/>
    <w:rsid w:val="00722235"/>
    <w:rsid w:val="00724F78"/>
    <w:rsid w:val="0072539B"/>
    <w:rsid w:val="00725DD9"/>
    <w:rsid w:val="00726C83"/>
    <w:rsid w:val="00726F1D"/>
    <w:rsid w:val="00730608"/>
    <w:rsid w:val="00730984"/>
    <w:rsid w:val="007318CE"/>
    <w:rsid w:val="00732A21"/>
    <w:rsid w:val="00734D15"/>
    <w:rsid w:val="00735270"/>
    <w:rsid w:val="00735FA6"/>
    <w:rsid w:val="0073624C"/>
    <w:rsid w:val="0073648F"/>
    <w:rsid w:val="00737AC1"/>
    <w:rsid w:val="00740BC9"/>
    <w:rsid w:val="007420ED"/>
    <w:rsid w:val="0074300F"/>
    <w:rsid w:val="00744A61"/>
    <w:rsid w:val="00744D8F"/>
    <w:rsid w:val="007462EC"/>
    <w:rsid w:val="0074666B"/>
    <w:rsid w:val="00747224"/>
    <w:rsid w:val="00747787"/>
    <w:rsid w:val="007505B2"/>
    <w:rsid w:val="00750E35"/>
    <w:rsid w:val="007520C2"/>
    <w:rsid w:val="0075263B"/>
    <w:rsid w:val="00752956"/>
    <w:rsid w:val="0075318E"/>
    <w:rsid w:val="007541C0"/>
    <w:rsid w:val="00754855"/>
    <w:rsid w:val="0076059A"/>
    <w:rsid w:val="00764566"/>
    <w:rsid w:val="0077103E"/>
    <w:rsid w:val="00772F58"/>
    <w:rsid w:val="007752F8"/>
    <w:rsid w:val="00776DAA"/>
    <w:rsid w:val="007820E4"/>
    <w:rsid w:val="007836A5"/>
    <w:rsid w:val="007914A7"/>
    <w:rsid w:val="007920DA"/>
    <w:rsid w:val="00792905"/>
    <w:rsid w:val="00792E30"/>
    <w:rsid w:val="00793402"/>
    <w:rsid w:val="007941E7"/>
    <w:rsid w:val="00796CE9"/>
    <w:rsid w:val="00797C0F"/>
    <w:rsid w:val="007A0673"/>
    <w:rsid w:val="007A1473"/>
    <w:rsid w:val="007A1C4D"/>
    <w:rsid w:val="007A586D"/>
    <w:rsid w:val="007A5AE8"/>
    <w:rsid w:val="007A5D9A"/>
    <w:rsid w:val="007A5F43"/>
    <w:rsid w:val="007A78CA"/>
    <w:rsid w:val="007B1AF6"/>
    <w:rsid w:val="007B2A55"/>
    <w:rsid w:val="007B36FA"/>
    <w:rsid w:val="007B6662"/>
    <w:rsid w:val="007B6ABC"/>
    <w:rsid w:val="007C3C6E"/>
    <w:rsid w:val="007C49DF"/>
    <w:rsid w:val="007C665D"/>
    <w:rsid w:val="007D1744"/>
    <w:rsid w:val="007D1F0F"/>
    <w:rsid w:val="007D3089"/>
    <w:rsid w:val="007D3320"/>
    <w:rsid w:val="007D38EA"/>
    <w:rsid w:val="007D484E"/>
    <w:rsid w:val="007E135C"/>
    <w:rsid w:val="007E1427"/>
    <w:rsid w:val="007E4680"/>
    <w:rsid w:val="007E543E"/>
    <w:rsid w:val="007E573D"/>
    <w:rsid w:val="007E5EBF"/>
    <w:rsid w:val="007E7774"/>
    <w:rsid w:val="007F3FB7"/>
    <w:rsid w:val="007F54DD"/>
    <w:rsid w:val="008005BF"/>
    <w:rsid w:val="008006C4"/>
    <w:rsid w:val="00800811"/>
    <w:rsid w:val="00802D64"/>
    <w:rsid w:val="00803512"/>
    <w:rsid w:val="00803592"/>
    <w:rsid w:val="008054C4"/>
    <w:rsid w:val="008060A1"/>
    <w:rsid w:val="0080726C"/>
    <w:rsid w:val="0080793D"/>
    <w:rsid w:val="00807F87"/>
    <w:rsid w:val="0081032D"/>
    <w:rsid w:val="00810C74"/>
    <w:rsid w:val="00810E97"/>
    <w:rsid w:val="00811D45"/>
    <w:rsid w:val="00811EE6"/>
    <w:rsid w:val="00811F07"/>
    <w:rsid w:val="00812321"/>
    <w:rsid w:val="008166C1"/>
    <w:rsid w:val="008169EC"/>
    <w:rsid w:val="0082085E"/>
    <w:rsid w:val="00820DAF"/>
    <w:rsid w:val="008215D8"/>
    <w:rsid w:val="00821A92"/>
    <w:rsid w:val="00822BCE"/>
    <w:rsid w:val="008234AA"/>
    <w:rsid w:val="00825308"/>
    <w:rsid w:val="00825C92"/>
    <w:rsid w:val="00827815"/>
    <w:rsid w:val="008306AF"/>
    <w:rsid w:val="008328D2"/>
    <w:rsid w:val="00832B0C"/>
    <w:rsid w:val="008335B2"/>
    <w:rsid w:val="00833EC2"/>
    <w:rsid w:val="00834C26"/>
    <w:rsid w:val="00835472"/>
    <w:rsid w:val="00835FA2"/>
    <w:rsid w:val="00836965"/>
    <w:rsid w:val="00837B71"/>
    <w:rsid w:val="00840636"/>
    <w:rsid w:val="00843182"/>
    <w:rsid w:val="0084406A"/>
    <w:rsid w:val="0084503C"/>
    <w:rsid w:val="0085036C"/>
    <w:rsid w:val="00850686"/>
    <w:rsid w:val="0085179C"/>
    <w:rsid w:val="00851820"/>
    <w:rsid w:val="00852115"/>
    <w:rsid w:val="00852938"/>
    <w:rsid w:val="00853348"/>
    <w:rsid w:val="00853708"/>
    <w:rsid w:val="00854D6A"/>
    <w:rsid w:val="00855F05"/>
    <w:rsid w:val="008563F1"/>
    <w:rsid w:val="00857480"/>
    <w:rsid w:val="00861D09"/>
    <w:rsid w:val="00861E1B"/>
    <w:rsid w:val="00863340"/>
    <w:rsid w:val="0086430A"/>
    <w:rsid w:val="00864E91"/>
    <w:rsid w:val="0087197D"/>
    <w:rsid w:val="00872265"/>
    <w:rsid w:val="0087272D"/>
    <w:rsid w:val="008756A8"/>
    <w:rsid w:val="00875982"/>
    <w:rsid w:val="00875D4D"/>
    <w:rsid w:val="008768A6"/>
    <w:rsid w:val="00880678"/>
    <w:rsid w:val="00880E98"/>
    <w:rsid w:val="00884F02"/>
    <w:rsid w:val="0088517E"/>
    <w:rsid w:val="0088664A"/>
    <w:rsid w:val="008870B5"/>
    <w:rsid w:val="00887A05"/>
    <w:rsid w:val="00891BF4"/>
    <w:rsid w:val="0089235F"/>
    <w:rsid w:val="00892751"/>
    <w:rsid w:val="00892EEB"/>
    <w:rsid w:val="00893D0D"/>
    <w:rsid w:val="00893DC6"/>
    <w:rsid w:val="00893F35"/>
    <w:rsid w:val="00893FA5"/>
    <w:rsid w:val="00894491"/>
    <w:rsid w:val="00894CB6"/>
    <w:rsid w:val="0089502A"/>
    <w:rsid w:val="00895260"/>
    <w:rsid w:val="008966BF"/>
    <w:rsid w:val="008A066B"/>
    <w:rsid w:val="008A1430"/>
    <w:rsid w:val="008A365B"/>
    <w:rsid w:val="008A3AC5"/>
    <w:rsid w:val="008A41A6"/>
    <w:rsid w:val="008A50CC"/>
    <w:rsid w:val="008A5941"/>
    <w:rsid w:val="008A5994"/>
    <w:rsid w:val="008B2772"/>
    <w:rsid w:val="008B2D3D"/>
    <w:rsid w:val="008B38DB"/>
    <w:rsid w:val="008B7089"/>
    <w:rsid w:val="008B763C"/>
    <w:rsid w:val="008B77E4"/>
    <w:rsid w:val="008B7C46"/>
    <w:rsid w:val="008C2328"/>
    <w:rsid w:val="008C65A2"/>
    <w:rsid w:val="008C68F1"/>
    <w:rsid w:val="008C6F87"/>
    <w:rsid w:val="008D01F0"/>
    <w:rsid w:val="008D319B"/>
    <w:rsid w:val="008D48AF"/>
    <w:rsid w:val="008D5988"/>
    <w:rsid w:val="008D5C38"/>
    <w:rsid w:val="008D77DE"/>
    <w:rsid w:val="008E1393"/>
    <w:rsid w:val="008E2EC2"/>
    <w:rsid w:val="008E32EE"/>
    <w:rsid w:val="008E3AD9"/>
    <w:rsid w:val="008E4200"/>
    <w:rsid w:val="008E5297"/>
    <w:rsid w:val="008E5FFB"/>
    <w:rsid w:val="008E7F16"/>
    <w:rsid w:val="008F1146"/>
    <w:rsid w:val="008F2E8D"/>
    <w:rsid w:val="008F3C6B"/>
    <w:rsid w:val="008F4536"/>
    <w:rsid w:val="008F73FF"/>
    <w:rsid w:val="00902A9D"/>
    <w:rsid w:val="0090456E"/>
    <w:rsid w:val="00907E48"/>
    <w:rsid w:val="00910BFA"/>
    <w:rsid w:val="00911C3E"/>
    <w:rsid w:val="009130B1"/>
    <w:rsid w:val="00913464"/>
    <w:rsid w:val="009169CB"/>
    <w:rsid w:val="00916C4D"/>
    <w:rsid w:val="009172DA"/>
    <w:rsid w:val="00917D9E"/>
    <w:rsid w:val="009249D1"/>
    <w:rsid w:val="00931EE6"/>
    <w:rsid w:val="00933348"/>
    <w:rsid w:val="0093374E"/>
    <w:rsid w:val="00933C03"/>
    <w:rsid w:val="009374DC"/>
    <w:rsid w:val="00937C58"/>
    <w:rsid w:val="009415F0"/>
    <w:rsid w:val="00942902"/>
    <w:rsid w:val="00944CA9"/>
    <w:rsid w:val="0094634E"/>
    <w:rsid w:val="009509AC"/>
    <w:rsid w:val="0095147A"/>
    <w:rsid w:val="00951569"/>
    <w:rsid w:val="00952257"/>
    <w:rsid w:val="0095311A"/>
    <w:rsid w:val="00955611"/>
    <w:rsid w:val="00957D49"/>
    <w:rsid w:val="00960C75"/>
    <w:rsid w:val="0096138E"/>
    <w:rsid w:val="00962E9A"/>
    <w:rsid w:val="00962EC0"/>
    <w:rsid w:val="009643B4"/>
    <w:rsid w:val="00964997"/>
    <w:rsid w:val="009659AB"/>
    <w:rsid w:val="00967631"/>
    <w:rsid w:val="00970C42"/>
    <w:rsid w:val="00972C20"/>
    <w:rsid w:val="00975A3C"/>
    <w:rsid w:val="00975F92"/>
    <w:rsid w:val="00977A69"/>
    <w:rsid w:val="00986F64"/>
    <w:rsid w:val="00987AB2"/>
    <w:rsid w:val="00990A31"/>
    <w:rsid w:val="00990BEE"/>
    <w:rsid w:val="009914BE"/>
    <w:rsid w:val="00991721"/>
    <w:rsid w:val="00993456"/>
    <w:rsid w:val="00993D5D"/>
    <w:rsid w:val="00993FD4"/>
    <w:rsid w:val="00994E17"/>
    <w:rsid w:val="009958C0"/>
    <w:rsid w:val="009A10EF"/>
    <w:rsid w:val="009A2BCE"/>
    <w:rsid w:val="009A47F4"/>
    <w:rsid w:val="009A5666"/>
    <w:rsid w:val="009A5E16"/>
    <w:rsid w:val="009A62D4"/>
    <w:rsid w:val="009A75DC"/>
    <w:rsid w:val="009B0F32"/>
    <w:rsid w:val="009B111E"/>
    <w:rsid w:val="009B122F"/>
    <w:rsid w:val="009B1792"/>
    <w:rsid w:val="009B1DAD"/>
    <w:rsid w:val="009B2F7D"/>
    <w:rsid w:val="009B334C"/>
    <w:rsid w:val="009B4368"/>
    <w:rsid w:val="009B4517"/>
    <w:rsid w:val="009B5DD9"/>
    <w:rsid w:val="009B73FE"/>
    <w:rsid w:val="009C0825"/>
    <w:rsid w:val="009C0A56"/>
    <w:rsid w:val="009C169B"/>
    <w:rsid w:val="009C4109"/>
    <w:rsid w:val="009C589E"/>
    <w:rsid w:val="009C6107"/>
    <w:rsid w:val="009D101A"/>
    <w:rsid w:val="009D2931"/>
    <w:rsid w:val="009D48BE"/>
    <w:rsid w:val="009D7ECD"/>
    <w:rsid w:val="009E225E"/>
    <w:rsid w:val="009E3595"/>
    <w:rsid w:val="009E4BC0"/>
    <w:rsid w:val="009E59F7"/>
    <w:rsid w:val="009E779E"/>
    <w:rsid w:val="009F04D7"/>
    <w:rsid w:val="009F10C1"/>
    <w:rsid w:val="009F1F37"/>
    <w:rsid w:val="009F34E0"/>
    <w:rsid w:val="009F56E8"/>
    <w:rsid w:val="009F6EE5"/>
    <w:rsid w:val="009F71E8"/>
    <w:rsid w:val="00A03402"/>
    <w:rsid w:val="00A03F75"/>
    <w:rsid w:val="00A04B18"/>
    <w:rsid w:val="00A076DF"/>
    <w:rsid w:val="00A07A0D"/>
    <w:rsid w:val="00A07BBD"/>
    <w:rsid w:val="00A10516"/>
    <w:rsid w:val="00A10C2E"/>
    <w:rsid w:val="00A11A01"/>
    <w:rsid w:val="00A124C6"/>
    <w:rsid w:val="00A139F9"/>
    <w:rsid w:val="00A1458C"/>
    <w:rsid w:val="00A1490D"/>
    <w:rsid w:val="00A14B2A"/>
    <w:rsid w:val="00A16ED5"/>
    <w:rsid w:val="00A20A05"/>
    <w:rsid w:val="00A20C82"/>
    <w:rsid w:val="00A21B97"/>
    <w:rsid w:val="00A21C66"/>
    <w:rsid w:val="00A22272"/>
    <w:rsid w:val="00A2348D"/>
    <w:rsid w:val="00A2438C"/>
    <w:rsid w:val="00A306E4"/>
    <w:rsid w:val="00A31755"/>
    <w:rsid w:val="00A32C88"/>
    <w:rsid w:val="00A33877"/>
    <w:rsid w:val="00A33C4A"/>
    <w:rsid w:val="00A33DA3"/>
    <w:rsid w:val="00A34DE7"/>
    <w:rsid w:val="00A35501"/>
    <w:rsid w:val="00A35964"/>
    <w:rsid w:val="00A37BBF"/>
    <w:rsid w:val="00A37E9D"/>
    <w:rsid w:val="00A4133B"/>
    <w:rsid w:val="00A4143E"/>
    <w:rsid w:val="00A44AC4"/>
    <w:rsid w:val="00A457B6"/>
    <w:rsid w:val="00A474FD"/>
    <w:rsid w:val="00A50900"/>
    <w:rsid w:val="00A54E88"/>
    <w:rsid w:val="00A5683C"/>
    <w:rsid w:val="00A56A3C"/>
    <w:rsid w:val="00A576E0"/>
    <w:rsid w:val="00A578C1"/>
    <w:rsid w:val="00A57D1F"/>
    <w:rsid w:val="00A605EF"/>
    <w:rsid w:val="00A6226D"/>
    <w:rsid w:val="00A64402"/>
    <w:rsid w:val="00A65790"/>
    <w:rsid w:val="00A6667C"/>
    <w:rsid w:val="00A67C12"/>
    <w:rsid w:val="00A67D47"/>
    <w:rsid w:val="00A67E55"/>
    <w:rsid w:val="00A739CF"/>
    <w:rsid w:val="00A77093"/>
    <w:rsid w:val="00A80A27"/>
    <w:rsid w:val="00A83435"/>
    <w:rsid w:val="00A84A40"/>
    <w:rsid w:val="00A84C5D"/>
    <w:rsid w:val="00A84CAE"/>
    <w:rsid w:val="00A8662C"/>
    <w:rsid w:val="00A86E72"/>
    <w:rsid w:val="00A9054C"/>
    <w:rsid w:val="00A917FC"/>
    <w:rsid w:val="00A920AD"/>
    <w:rsid w:val="00A93DF8"/>
    <w:rsid w:val="00A94E37"/>
    <w:rsid w:val="00A95E21"/>
    <w:rsid w:val="00A97BD7"/>
    <w:rsid w:val="00AA02E7"/>
    <w:rsid w:val="00AA1828"/>
    <w:rsid w:val="00AA665B"/>
    <w:rsid w:val="00AA7098"/>
    <w:rsid w:val="00AB296B"/>
    <w:rsid w:val="00AB4FCE"/>
    <w:rsid w:val="00AB65AF"/>
    <w:rsid w:val="00AB69CB"/>
    <w:rsid w:val="00AB72B2"/>
    <w:rsid w:val="00AB72B9"/>
    <w:rsid w:val="00AB762F"/>
    <w:rsid w:val="00AC08F9"/>
    <w:rsid w:val="00AC1755"/>
    <w:rsid w:val="00AC2D41"/>
    <w:rsid w:val="00AC477E"/>
    <w:rsid w:val="00AC5DC8"/>
    <w:rsid w:val="00AC68EC"/>
    <w:rsid w:val="00AC6943"/>
    <w:rsid w:val="00AD088B"/>
    <w:rsid w:val="00AD0B15"/>
    <w:rsid w:val="00AD0C44"/>
    <w:rsid w:val="00AD0D33"/>
    <w:rsid w:val="00AD3176"/>
    <w:rsid w:val="00AD44E9"/>
    <w:rsid w:val="00AD5F50"/>
    <w:rsid w:val="00AD7729"/>
    <w:rsid w:val="00AE183F"/>
    <w:rsid w:val="00AE27AE"/>
    <w:rsid w:val="00AE34F6"/>
    <w:rsid w:val="00AE378E"/>
    <w:rsid w:val="00AE46F3"/>
    <w:rsid w:val="00AE53DE"/>
    <w:rsid w:val="00AE659E"/>
    <w:rsid w:val="00AF0A6C"/>
    <w:rsid w:val="00AF0ECA"/>
    <w:rsid w:val="00AF27BC"/>
    <w:rsid w:val="00AF2D15"/>
    <w:rsid w:val="00AF6500"/>
    <w:rsid w:val="00B0108B"/>
    <w:rsid w:val="00B010C8"/>
    <w:rsid w:val="00B03D16"/>
    <w:rsid w:val="00B04537"/>
    <w:rsid w:val="00B074F6"/>
    <w:rsid w:val="00B109A5"/>
    <w:rsid w:val="00B114D3"/>
    <w:rsid w:val="00B123B7"/>
    <w:rsid w:val="00B1431A"/>
    <w:rsid w:val="00B14C4F"/>
    <w:rsid w:val="00B156EC"/>
    <w:rsid w:val="00B16224"/>
    <w:rsid w:val="00B167B6"/>
    <w:rsid w:val="00B17017"/>
    <w:rsid w:val="00B1768B"/>
    <w:rsid w:val="00B24641"/>
    <w:rsid w:val="00B25050"/>
    <w:rsid w:val="00B253CA"/>
    <w:rsid w:val="00B25E3D"/>
    <w:rsid w:val="00B303D9"/>
    <w:rsid w:val="00B30DF3"/>
    <w:rsid w:val="00B32F4A"/>
    <w:rsid w:val="00B34A11"/>
    <w:rsid w:val="00B35872"/>
    <w:rsid w:val="00B3660A"/>
    <w:rsid w:val="00B36D3A"/>
    <w:rsid w:val="00B37468"/>
    <w:rsid w:val="00B37627"/>
    <w:rsid w:val="00B3795F"/>
    <w:rsid w:val="00B404A5"/>
    <w:rsid w:val="00B40899"/>
    <w:rsid w:val="00B416A6"/>
    <w:rsid w:val="00B431BC"/>
    <w:rsid w:val="00B45132"/>
    <w:rsid w:val="00B45B6D"/>
    <w:rsid w:val="00B46493"/>
    <w:rsid w:val="00B46557"/>
    <w:rsid w:val="00B50AE2"/>
    <w:rsid w:val="00B50F7A"/>
    <w:rsid w:val="00B52472"/>
    <w:rsid w:val="00B53442"/>
    <w:rsid w:val="00B57F99"/>
    <w:rsid w:val="00B6049A"/>
    <w:rsid w:val="00B60FE3"/>
    <w:rsid w:val="00B614B1"/>
    <w:rsid w:val="00B6263C"/>
    <w:rsid w:val="00B63D85"/>
    <w:rsid w:val="00B651DE"/>
    <w:rsid w:val="00B65F09"/>
    <w:rsid w:val="00B7067B"/>
    <w:rsid w:val="00B712C1"/>
    <w:rsid w:val="00B72424"/>
    <w:rsid w:val="00B72893"/>
    <w:rsid w:val="00B7425D"/>
    <w:rsid w:val="00B74993"/>
    <w:rsid w:val="00B74FF5"/>
    <w:rsid w:val="00B75F8A"/>
    <w:rsid w:val="00B76ED6"/>
    <w:rsid w:val="00B77BC8"/>
    <w:rsid w:val="00B82CBE"/>
    <w:rsid w:val="00B82F04"/>
    <w:rsid w:val="00B83029"/>
    <w:rsid w:val="00B86DBB"/>
    <w:rsid w:val="00B87F57"/>
    <w:rsid w:val="00B91D07"/>
    <w:rsid w:val="00B93074"/>
    <w:rsid w:val="00B9456C"/>
    <w:rsid w:val="00B957FC"/>
    <w:rsid w:val="00B9688C"/>
    <w:rsid w:val="00BA0144"/>
    <w:rsid w:val="00BA073B"/>
    <w:rsid w:val="00BA0AD0"/>
    <w:rsid w:val="00BA0FE7"/>
    <w:rsid w:val="00BA1DF2"/>
    <w:rsid w:val="00BA2F58"/>
    <w:rsid w:val="00BA798E"/>
    <w:rsid w:val="00BB0885"/>
    <w:rsid w:val="00BB0E64"/>
    <w:rsid w:val="00BB1B1E"/>
    <w:rsid w:val="00BB5A50"/>
    <w:rsid w:val="00BB641E"/>
    <w:rsid w:val="00BB7A88"/>
    <w:rsid w:val="00BB7CDF"/>
    <w:rsid w:val="00BC0C3F"/>
    <w:rsid w:val="00BC12F0"/>
    <w:rsid w:val="00BC1B21"/>
    <w:rsid w:val="00BC29E1"/>
    <w:rsid w:val="00BC4436"/>
    <w:rsid w:val="00BC52B2"/>
    <w:rsid w:val="00BC54D1"/>
    <w:rsid w:val="00BC5B67"/>
    <w:rsid w:val="00BC723F"/>
    <w:rsid w:val="00BC7755"/>
    <w:rsid w:val="00BC7A41"/>
    <w:rsid w:val="00BD1950"/>
    <w:rsid w:val="00BD286A"/>
    <w:rsid w:val="00BD4245"/>
    <w:rsid w:val="00BD4487"/>
    <w:rsid w:val="00BD4AFB"/>
    <w:rsid w:val="00BD5006"/>
    <w:rsid w:val="00BD65FA"/>
    <w:rsid w:val="00BD6719"/>
    <w:rsid w:val="00BE1951"/>
    <w:rsid w:val="00BE1B61"/>
    <w:rsid w:val="00BE219E"/>
    <w:rsid w:val="00BE25AB"/>
    <w:rsid w:val="00BE2867"/>
    <w:rsid w:val="00BE28BF"/>
    <w:rsid w:val="00BE4134"/>
    <w:rsid w:val="00BE4AFE"/>
    <w:rsid w:val="00BE67AD"/>
    <w:rsid w:val="00BE7071"/>
    <w:rsid w:val="00BE7847"/>
    <w:rsid w:val="00BF0096"/>
    <w:rsid w:val="00BF11D4"/>
    <w:rsid w:val="00BF1913"/>
    <w:rsid w:val="00BF27DB"/>
    <w:rsid w:val="00BF3272"/>
    <w:rsid w:val="00BF3C7A"/>
    <w:rsid w:val="00BF44D8"/>
    <w:rsid w:val="00BF5516"/>
    <w:rsid w:val="00BF5D08"/>
    <w:rsid w:val="00BF5E54"/>
    <w:rsid w:val="00BF6042"/>
    <w:rsid w:val="00BF622C"/>
    <w:rsid w:val="00BF75E1"/>
    <w:rsid w:val="00C022C3"/>
    <w:rsid w:val="00C02E4F"/>
    <w:rsid w:val="00C02F0C"/>
    <w:rsid w:val="00C0611F"/>
    <w:rsid w:val="00C062CA"/>
    <w:rsid w:val="00C06685"/>
    <w:rsid w:val="00C076BE"/>
    <w:rsid w:val="00C07A22"/>
    <w:rsid w:val="00C13AE6"/>
    <w:rsid w:val="00C16B2F"/>
    <w:rsid w:val="00C16F9B"/>
    <w:rsid w:val="00C176C8"/>
    <w:rsid w:val="00C177F6"/>
    <w:rsid w:val="00C2039C"/>
    <w:rsid w:val="00C21065"/>
    <w:rsid w:val="00C22C53"/>
    <w:rsid w:val="00C249BE"/>
    <w:rsid w:val="00C24C5A"/>
    <w:rsid w:val="00C262DB"/>
    <w:rsid w:val="00C2697B"/>
    <w:rsid w:val="00C27CB1"/>
    <w:rsid w:val="00C32715"/>
    <w:rsid w:val="00C33F6C"/>
    <w:rsid w:val="00C37074"/>
    <w:rsid w:val="00C41C20"/>
    <w:rsid w:val="00C42FDA"/>
    <w:rsid w:val="00C441BE"/>
    <w:rsid w:val="00C45C5F"/>
    <w:rsid w:val="00C466AA"/>
    <w:rsid w:val="00C50C67"/>
    <w:rsid w:val="00C51777"/>
    <w:rsid w:val="00C521B0"/>
    <w:rsid w:val="00C52DBD"/>
    <w:rsid w:val="00C53D4D"/>
    <w:rsid w:val="00C563BF"/>
    <w:rsid w:val="00C60C53"/>
    <w:rsid w:val="00C619E5"/>
    <w:rsid w:val="00C638EB"/>
    <w:rsid w:val="00C64013"/>
    <w:rsid w:val="00C641D8"/>
    <w:rsid w:val="00C67D35"/>
    <w:rsid w:val="00C71B3B"/>
    <w:rsid w:val="00C7240C"/>
    <w:rsid w:val="00C72586"/>
    <w:rsid w:val="00C734FE"/>
    <w:rsid w:val="00C73664"/>
    <w:rsid w:val="00C73BF3"/>
    <w:rsid w:val="00C742F7"/>
    <w:rsid w:val="00C74D1F"/>
    <w:rsid w:val="00C74D38"/>
    <w:rsid w:val="00C75436"/>
    <w:rsid w:val="00C805C0"/>
    <w:rsid w:val="00C80E24"/>
    <w:rsid w:val="00C80E4C"/>
    <w:rsid w:val="00C826D3"/>
    <w:rsid w:val="00C85A58"/>
    <w:rsid w:val="00C85D75"/>
    <w:rsid w:val="00C85F12"/>
    <w:rsid w:val="00C8626B"/>
    <w:rsid w:val="00C86B67"/>
    <w:rsid w:val="00C90168"/>
    <w:rsid w:val="00C90D1E"/>
    <w:rsid w:val="00C9177F"/>
    <w:rsid w:val="00C91815"/>
    <w:rsid w:val="00C931E7"/>
    <w:rsid w:val="00C97594"/>
    <w:rsid w:val="00C97A35"/>
    <w:rsid w:val="00CA0470"/>
    <w:rsid w:val="00CA09F5"/>
    <w:rsid w:val="00CA0F2C"/>
    <w:rsid w:val="00CA1407"/>
    <w:rsid w:val="00CA188B"/>
    <w:rsid w:val="00CA1F89"/>
    <w:rsid w:val="00CA2764"/>
    <w:rsid w:val="00CA3A97"/>
    <w:rsid w:val="00CA3CAD"/>
    <w:rsid w:val="00CA5439"/>
    <w:rsid w:val="00CA6708"/>
    <w:rsid w:val="00CA67B4"/>
    <w:rsid w:val="00CA7BBF"/>
    <w:rsid w:val="00CA7F30"/>
    <w:rsid w:val="00CB7267"/>
    <w:rsid w:val="00CB7F4A"/>
    <w:rsid w:val="00CC0AA2"/>
    <w:rsid w:val="00CC15AD"/>
    <w:rsid w:val="00CC1A38"/>
    <w:rsid w:val="00CC2473"/>
    <w:rsid w:val="00CC2945"/>
    <w:rsid w:val="00CC38B0"/>
    <w:rsid w:val="00CC432A"/>
    <w:rsid w:val="00CC4668"/>
    <w:rsid w:val="00CC4C86"/>
    <w:rsid w:val="00CC5CC6"/>
    <w:rsid w:val="00CC7041"/>
    <w:rsid w:val="00CC75B7"/>
    <w:rsid w:val="00CD3D8A"/>
    <w:rsid w:val="00CD4A75"/>
    <w:rsid w:val="00CD618A"/>
    <w:rsid w:val="00CD77F8"/>
    <w:rsid w:val="00CE32CD"/>
    <w:rsid w:val="00CE3634"/>
    <w:rsid w:val="00CE397B"/>
    <w:rsid w:val="00CE3B87"/>
    <w:rsid w:val="00CE43F3"/>
    <w:rsid w:val="00CE55C9"/>
    <w:rsid w:val="00CE5BCF"/>
    <w:rsid w:val="00CF0C58"/>
    <w:rsid w:val="00CF1AA2"/>
    <w:rsid w:val="00CF2096"/>
    <w:rsid w:val="00CF2220"/>
    <w:rsid w:val="00CF3437"/>
    <w:rsid w:val="00CF37C3"/>
    <w:rsid w:val="00D005FC"/>
    <w:rsid w:val="00D01340"/>
    <w:rsid w:val="00D0175A"/>
    <w:rsid w:val="00D02120"/>
    <w:rsid w:val="00D02BBF"/>
    <w:rsid w:val="00D03F08"/>
    <w:rsid w:val="00D04E06"/>
    <w:rsid w:val="00D0535F"/>
    <w:rsid w:val="00D062E4"/>
    <w:rsid w:val="00D06C50"/>
    <w:rsid w:val="00D10986"/>
    <w:rsid w:val="00D10A1E"/>
    <w:rsid w:val="00D11F8E"/>
    <w:rsid w:val="00D125B6"/>
    <w:rsid w:val="00D13651"/>
    <w:rsid w:val="00D159FD"/>
    <w:rsid w:val="00D20138"/>
    <w:rsid w:val="00D21C28"/>
    <w:rsid w:val="00D21E0C"/>
    <w:rsid w:val="00D247EB"/>
    <w:rsid w:val="00D27A3C"/>
    <w:rsid w:val="00D27BB0"/>
    <w:rsid w:val="00D27C74"/>
    <w:rsid w:val="00D333F4"/>
    <w:rsid w:val="00D33ABB"/>
    <w:rsid w:val="00D33E9C"/>
    <w:rsid w:val="00D34A28"/>
    <w:rsid w:val="00D34FFF"/>
    <w:rsid w:val="00D37307"/>
    <w:rsid w:val="00D401F2"/>
    <w:rsid w:val="00D44AC3"/>
    <w:rsid w:val="00D44D7A"/>
    <w:rsid w:val="00D472F2"/>
    <w:rsid w:val="00D51E3F"/>
    <w:rsid w:val="00D52563"/>
    <w:rsid w:val="00D528B1"/>
    <w:rsid w:val="00D52FAF"/>
    <w:rsid w:val="00D5314F"/>
    <w:rsid w:val="00D55EA0"/>
    <w:rsid w:val="00D56312"/>
    <w:rsid w:val="00D56C14"/>
    <w:rsid w:val="00D57CB2"/>
    <w:rsid w:val="00D60EE3"/>
    <w:rsid w:val="00D623F7"/>
    <w:rsid w:val="00D62CFB"/>
    <w:rsid w:val="00D64B45"/>
    <w:rsid w:val="00D65A64"/>
    <w:rsid w:val="00D667BB"/>
    <w:rsid w:val="00D725D4"/>
    <w:rsid w:val="00D7514D"/>
    <w:rsid w:val="00D75F17"/>
    <w:rsid w:val="00D81739"/>
    <w:rsid w:val="00D836E4"/>
    <w:rsid w:val="00D83FD8"/>
    <w:rsid w:val="00D84712"/>
    <w:rsid w:val="00D84EA0"/>
    <w:rsid w:val="00D85600"/>
    <w:rsid w:val="00D876D1"/>
    <w:rsid w:val="00D90701"/>
    <w:rsid w:val="00D93B4C"/>
    <w:rsid w:val="00D9643C"/>
    <w:rsid w:val="00D97726"/>
    <w:rsid w:val="00D9783B"/>
    <w:rsid w:val="00DA08DE"/>
    <w:rsid w:val="00DA1A4E"/>
    <w:rsid w:val="00DA323E"/>
    <w:rsid w:val="00DA51D8"/>
    <w:rsid w:val="00DA53DA"/>
    <w:rsid w:val="00DA5C82"/>
    <w:rsid w:val="00DA6D97"/>
    <w:rsid w:val="00DA7764"/>
    <w:rsid w:val="00DB112C"/>
    <w:rsid w:val="00DB2174"/>
    <w:rsid w:val="00DB2312"/>
    <w:rsid w:val="00DB2729"/>
    <w:rsid w:val="00DB6B91"/>
    <w:rsid w:val="00DB7332"/>
    <w:rsid w:val="00DB7A3E"/>
    <w:rsid w:val="00DC2B5D"/>
    <w:rsid w:val="00DC2C51"/>
    <w:rsid w:val="00DC39EE"/>
    <w:rsid w:val="00DC4C16"/>
    <w:rsid w:val="00DC64CA"/>
    <w:rsid w:val="00DC6D4A"/>
    <w:rsid w:val="00DD1AA4"/>
    <w:rsid w:val="00DD1B0F"/>
    <w:rsid w:val="00DD317D"/>
    <w:rsid w:val="00DD4B08"/>
    <w:rsid w:val="00DD56F2"/>
    <w:rsid w:val="00DD65CF"/>
    <w:rsid w:val="00DD6FE7"/>
    <w:rsid w:val="00DD725D"/>
    <w:rsid w:val="00DD7C1F"/>
    <w:rsid w:val="00DE0CC1"/>
    <w:rsid w:val="00DE12F5"/>
    <w:rsid w:val="00DE2306"/>
    <w:rsid w:val="00DE34CD"/>
    <w:rsid w:val="00DF0CB5"/>
    <w:rsid w:val="00DF170F"/>
    <w:rsid w:val="00DF39C9"/>
    <w:rsid w:val="00DF45DE"/>
    <w:rsid w:val="00DF4D90"/>
    <w:rsid w:val="00DF557B"/>
    <w:rsid w:val="00DF5BBC"/>
    <w:rsid w:val="00DF68FE"/>
    <w:rsid w:val="00E00A1C"/>
    <w:rsid w:val="00E02976"/>
    <w:rsid w:val="00E03794"/>
    <w:rsid w:val="00E03B1A"/>
    <w:rsid w:val="00E046EE"/>
    <w:rsid w:val="00E054A1"/>
    <w:rsid w:val="00E054D4"/>
    <w:rsid w:val="00E055A0"/>
    <w:rsid w:val="00E0584E"/>
    <w:rsid w:val="00E05A94"/>
    <w:rsid w:val="00E05AF8"/>
    <w:rsid w:val="00E070C4"/>
    <w:rsid w:val="00E070E9"/>
    <w:rsid w:val="00E07B84"/>
    <w:rsid w:val="00E11AA0"/>
    <w:rsid w:val="00E12514"/>
    <w:rsid w:val="00E14B58"/>
    <w:rsid w:val="00E14E78"/>
    <w:rsid w:val="00E15D4C"/>
    <w:rsid w:val="00E17C4C"/>
    <w:rsid w:val="00E2102E"/>
    <w:rsid w:val="00E24B38"/>
    <w:rsid w:val="00E266A5"/>
    <w:rsid w:val="00E3085F"/>
    <w:rsid w:val="00E35EE0"/>
    <w:rsid w:val="00E36B82"/>
    <w:rsid w:val="00E37E59"/>
    <w:rsid w:val="00E41BC0"/>
    <w:rsid w:val="00E4569B"/>
    <w:rsid w:val="00E4596A"/>
    <w:rsid w:val="00E46435"/>
    <w:rsid w:val="00E51A48"/>
    <w:rsid w:val="00E5297E"/>
    <w:rsid w:val="00E52AA1"/>
    <w:rsid w:val="00E53477"/>
    <w:rsid w:val="00E560BD"/>
    <w:rsid w:val="00E57011"/>
    <w:rsid w:val="00E57557"/>
    <w:rsid w:val="00E60D4C"/>
    <w:rsid w:val="00E6174D"/>
    <w:rsid w:val="00E61D78"/>
    <w:rsid w:val="00E623E8"/>
    <w:rsid w:val="00E62AD0"/>
    <w:rsid w:val="00E63C2A"/>
    <w:rsid w:val="00E6451B"/>
    <w:rsid w:val="00E65FB0"/>
    <w:rsid w:val="00E67327"/>
    <w:rsid w:val="00E713D4"/>
    <w:rsid w:val="00E722B4"/>
    <w:rsid w:val="00E744CF"/>
    <w:rsid w:val="00E74997"/>
    <w:rsid w:val="00E75A00"/>
    <w:rsid w:val="00E766EE"/>
    <w:rsid w:val="00E806CB"/>
    <w:rsid w:val="00E80FC2"/>
    <w:rsid w:val="00E81FD5"/>
    <w:rsid w:val="00E84058"/>
    <w:rsid w:val="00E84BE9"/>
    <w:rsid w:val="00E84D2F"/>
    <w:rsid w:val="00E8507E"/>
    <w:rsid w:val="00E873AA"/>
    <w:rsid w:val="00E879C0"/>
    <w:rsid w:val="00E91DC5"/>
    <w:rsid w:val="00E9236F"/>
    <w:rsid w:val="00E93B06"/>
    <w:rsid w:val="00E95798"/>
    <w:rsid w:val="00E96EF7"/>
    <w:rsid w:val="00EA089C"/>
    <w:rsid w:val="00EA0EBB"/>
    <w:rsid w:val="00EA4576"/>
    <w:rsid w:val="00EA6745"/>
    <w:rsid w:val="00EB04B8"/>
    <w:rsid w:val="00EB408F"/>
    <w:rsid w:val="00EB5B5D"/>
    <w:rsid w:val="00EB5E1E"/>
    <w:rsid w:val="00EB5F2A"/>
    <w:rsid w:val="00EB63B8"/>
    <w:rsid w:val="00EB7B27"/>
    <w:rsid w:val="00EB7D1A"/>
    <w:rsid w:val="00EC05BF"/>
    <w:rsid w:val="00EC0662"/>
    <w:rsid w:val="00EC1EF4"/>
    <w:rsid w:val="00EC45F9"/>
    <w:rsid w:val="00EC51F2"/>
    <w:rsid w:val="00EC5BC8"/>
    <w:rsid w:val="00EC5F4A"/>
    <w:rsid w:val="00EC7A19"/>
    <w:rsid w:val="00ED0937"/>
    <w:rsid w:val="00ED10B3"/>
    <w:rsid w:val="00ED2650"/>
    <w:rsid w:val="00ED4C6D"/>
    <w:rsid w:val="00ED552E"/>
    <w:rsid w:val="00EE1EE6"/>
    <w:rsid w:val="00EE1FF6"/>
    <w:rsid w:val="00EE3C74"/>
    <w:rsid w:val="00EE5689"/>
    <w:rsid w:val="00EE5870"/>
    <w:rsid w:val="00EE6631"/>
    <w:rsid w:val="00EE7709"/>
    <w:rsid w:val="00EF0BCD"/>
    <w:rsid w:val="00EF145C"/>
    <w:rsid w:val="00EF22C1"/>
    <w:rsid w:val="00EF5613"/>
    <w:rsid w:val="00EF70A0"/>
    <w:rsid w:val="00EF75F7"/>
    <w:rsid w:val="00F01F5F"/>
    <w:rsid w:val="00F02883"/>
    <w:rsid w:val="00F03295"/>
    <w:rsid w:val="00F035CB"/>
    <w:rsid w:val="00F06256"/>
    <w:rsid w:val="00F072E0"/>
    <w:rsid w:val="00F10033"/>
    <w:rsid w:val="00F10E02"/>
    <w:rsid w:val="00F11854"/>
    <w:rsid w:val="00F11BAD"/>
    <w:rsid w:val="00F12406"/>
    <w:rsid w:val="00F161D1"/>
    <w:rsid w:val="00F1685A"/>
    <w:rsid w:val="00F170E9"/>
    <w:rsid w:val="00F177F2"/>
    <w:rsid w:val="00F20BA0"/>
    <w:rsid w:val="00F22878"/>
    <w:rsid w:val="00F22A9A"/>
    <w:rsid w:val="00F26690"/>
    <w:rsid w:val="00F273C8"/>
    <w:rsid w:val="00F27ABF"/>
    <w:rsid w:val="00F310C1"/>
    <w:rsid w:val="00F321E7"/>
    <w:rsid w:val="00F33410"/>
    <w:rsid w:val="00F35239"/>
    <w:rsid w:val="00F3675E"/>
    <w:rsid w:val="00F36CD1"/>
    <w:rsid w:val="00F36F32"/>
    <w:rsid w:val="00F37674"/>
    <w:rsid w:val="00F407BD"/>
    <w:rsid w:val="00F40EA1"/>
    <w:rsid w:val="00F41B78"/>
    <w:rsid w:val="00F41B84"/>
    <w:rsid w:val="00F4389B"/>
    <w:rsid w:val="00F450C9"/>
    <w:rsid w:val="00F45148"/>
    <w:rsid w:val="00F523F3"/>
    <w:rsid w:val="00F53A19"/>
    <w:rsid w:val="00F551E4"/>
    <w:rsid w:val="00F55DCE"/>
    <w:rsid w:val="00F62605"/>
    <w:rsid w:val="00F62C4A"/>
    <w:rsid w:val="00F63039"/>
    <w:rsid w:val="00F63B83"/>
    <w:rsid w:val="00F64B48"/>
    <w:rsid w:val="00F6692C"/>
    <w:rsid w:val="00F70352"/>
    <w:rsid w:val="00F71297"/>
    <w:rsid w:val="00F71B54"/>
    <w:rsid w:val="00F73AFF"/>
    <w:rsid w:val="00F7422B"/>
    <w:rsid w:val="00F760DA"/>
    <w:rsid w:val="00F76677"/>
    <w:rsid w:val="00F771BD"/>
    <w:rsid w:val="00F771E9"/>
    <w:rsid w:val="00F8235C"/>
    <w:rsid w:val="00F842EA"/>
    <w:rsid w:val="00F86574"/>
    <w:rsid w:val="00F87B49"/>
    <w:rsid w:val="00F90D6A"/>
    <w:rsid w:val="00F95301"/>
    <w:rsid w:val="00F95451"/>
    <w:rsid w:val="00F977A4"/>
    <w:rsid w:val="00F97E50"/>
    <w:rsid w:val="00FA07BE"/>
    <w:rsid w:val="00FA1FE2"/>
    <w:rsid w:val="00FA2743"/>
    <w:rsid w:val="00FA6298"/>
    <w:rsid w:val="00FA71C9"/>
    <w:rsid w:val="00FB0288"/>
    <w:rsid w:val="00FB149A"/>
    <w:rsid w:val="00FB25DC"/>
    <w:rsid w:val="00FB262A"/>
    <w:rsid w:val="00FB32AF"/>
    <w:rsid w:val="00FB75A7"/>
    <w:rsid w:val="00FC0914"/>
    <w:rsid w:val="00FC0BAD"/>
    <w:rsid w:val="00FC2424"/>
    <w:rsid w:val="00FC50A0"/>
    <w:rsid w:val="00FC5EC1"/>
    <w:rsid w:val="00FC5F5E"/>
    <w:rsid w:val="00FC74A8"/>
    <w:rsid w:val="00FC7830"/>
    <w:rsid w:val="00FD077E"/>
    <w:rsid w:val="00FD13FA"/>
    <w:rsid w:val="00FD15EF"/>
    <w:rsid w:val="00FD1654"/>
    <w:rsid w:val="00FD265D"/>
    <w:rsid w:val="00FD2AB6"/>
    <w:rsid w:val="00FD3428"/>
    <w:rsid w:val="00FD447D"/>
    <w:rsid w:val="00FD4D05"/>
    <w:rsid w:val="00FD5BE4"/>
    <w:rsid w:val="00FD6ACC"/>
    <w:rsid w:val="00FE0238"/>
    <w:rsid w:val="00FE19CF"/>
    <w:rsid w:val="00FE1EA4"/>
    <w:rsid w:val="00FE71C5"/>
    <w:rsid w:val="00FE7539"/>
    <w:rsid w:val="00FF0424"/>
    <w:rsid w:val="00FF0B8F"/>
    <w:rsid w:val="00FF135A"/>
    <w:rsid w:val="00FF22CB"/>
    <w:rsid w:val="00FF34B8"/>
    <w:rsid w:val="06607826"/>
    <w:rsid w:val="257E18C9"/>
    <w:rsid w:val="355FDF37"/>
    <w:rsid w:val="3E6C7172"/>
    <w:rsid w:val="3EF682C5"/>
    <w:rsid w:val="44762436"/>
    <w:rsid w:val="487CA873"/>
    <w:rsid w:val="50CFE6D3"/>
    <w:rsid w:val="52512F63"/>
    <w:rsid w:val="567C38ED"/>
    <w:rsid w:val="56B61E6E"/>
    <w:rsid w:val="573AEBE5"/>
    <w:rsid w:val="7759D9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BF37F"/>
  <w14:defaultImageDpi w14:val="96"/>
  <w15:docId w15:val="{2F035E0A-B506-48BA-A37D-EB1421DB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next w:val="Normal"/>
    <w:link w:val="Heading1Char"/>
    <w:uiPriority w:val="9"/>
    <w:qFormat/>
    <w:rsid w:val="004A0DAE"/>
    <w:pPr>
      <w:keepNext/>
      <w:keepLines/>
      <w:numPr>
        <w:numId w:val="2"/>
      </w:numPr>
      <w:spacing w:after="473" w:line="265" w:lineRule="auto"/>
      <w:outlineLvl w:val="0"/>
    </w:pPr>
    <w:rPr>
      <w:rFonts w:ascii="Cambria" w:eastAsia="Cambria" w:hAnsi="Cambria" w:cs="Cambria"/>
      <w:b/>
      <w:color w:val="000000"/>
      <w:sz w:val="34"/>
      <w:szCs w:val="22"/>
    </w:rPr>
  </w:style>
  <w:style w:type="paragraph" w:styleId="Heading2">
    <w:name w:val="heading 2"/>
    <w:next w:val="Normal"/>
    <w:link w:val="Heading2Char"/>
    <w:uiPriority w:val="9"/>
    <w:unhideWhenUsed/>
    <w:qFormat/>
    <w:rsid w:val="004A0DAE"/>
    <w:pPr>
      <w:keepNext/>
      <w:keepLines/>
      <w:numPr>
        <w:ilvl w:val="1"/>
        <w:numId w:val="2"/>
      </w:numPr>
      <w:spacing w:after="425" w:line="297" w:lineRule="auto"/>
      <w:outlineLvl w:val="1"/>
    </w:pPr>
    <w:rPr>
      <w:rFonts w:ascii="Cambria" w:eastAsia="Cambria" w:hAnsi="Cambria" w:cs="Cambria"/>
      <w:b/>
      <w:color w:val="000000"/>
      <w:sz w:val="2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A0DAE"/>
    <w:rPr>
      <w:rFonts w:ascii="Cambria" w:eastAsia="Cambria" w:hAnsi="Cambria" w:cs="Cambria"/>
      <w:b/>
      <w:color w:val="000000"/>
      <w:sz w:val="34"/>
      <w:szCs w:val="22"/>
    </w:rPr>
  </w:style>
  <w:style w:type="character" w:customStyle="1" w:styleId="Heading2Char">
    <w:name w:val="Heading 2 Char"/>
    <w:link w:val="Heading2"/>
    <w:uiPriority w:val="9"/>
    <w:rsid w:val="004A0DAE"/>
    <w:rPr>
      <w:rFonts w:ascii="Cambria" w:eastAsia="Cambria" w:hAnsi="Cambria" w:cs="Cambria"/>
      <w:b/>
      <w:color w:val="000000"/>
      <w:sz w:val="29"/>
      <w:szCs w:val="22"/>
    </w:rPr>
  </w:style>
  <w:style w:type="table" w:customStyle="1" w:styleId="TableGrid1">
    <w:name w:val="Table Grid1"/>
    <w:rsid w:val="004A0DAE"/>
    <w:rPr>
      <w:sz w:val="22"/>
      <w:szCs w:val="22"/>
    </w:rPr>
    <w:tblPr>
      <w:tblCellMar>
        <w:top w:w="0" w:type="dxa"/>
        <w:left w:w="0" w:type="dxa"/>
        <w:bottom w:w="0" w:type="dxa"/>
        <w:right w:w="0" w:type="dxa"/>
      </w:tblCellMar>
    </w:tblPr>
  </w:style>
  <w:style w:type="character" w:styleId="Hyperlink">
    <w:name w:val="Hyperlink"/>
    <w:uiPriority w:val="99"/>
    <w:unhideWhenUsed/>
    <w:rsid w:val="004A0DAE"/>
    <w:rPr>
      <w:color w:val="0563C1"/>
      <w:u w:val="single"/>
    </w:rPr>
  </w:style>
  <w:style w:type="character" w:customStyle="1" w:styleId="UnresolvedMention1">
    <w:name w:val="Unresolved Mention1"/>
    <w:uiPriority w:val="99"/>
    <w:semiHidden/>
    <w:unhideWhenUsed/>
    <w:rsid w:val="004A0DAE"/>
    <w:rPr>
      <w:color w:val="605E5C"/>
      <w:shd w:val="clear" w:color="auto" w:fill="E1DFDD"/>
    </w:rPr>
  </w:style>
  <w:style w:type="table" w:customStyle="1" w:styleId="TableGrid0">
    <w:name w:val="Table Grid0"/>
    <w:basedOn w:val="TableNormal"/>
    <w:uiPriority w:val="39"/>
    <w:rsid w:val="004A0DA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0"/>
    <w:uiPriority w:val="59"/>
    <w:rsid w:val="004A0D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0DAE"/>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4A0DAE"/>
    <w:pPr>
      <w:tabs>
        <w:tab w:val="center" w:pos="4513"/>
        <w:tab w:val="right" w:pos="9026"/>
      </w:tabs>
      <w:ind w:left="10" w:hanging="10"/>
      <w:jc w:val="both"/>
    </w:pPr>
    <w:rPr>
      <w:rFonts w:ascii="Cambria" w:eastAsia="Cambria" w:hAnsi="Cambria" w:cs="Cambria"/>
      <w:color w:val="000000"/>
      <w:szCs w:val="22"/>
    </w:rPr>
  </w:style>
  <w:style w:type="character" w:customStyle="1" w:styleId="HeaderChar">
    <w:name w:val="Header Char"/>
    <w:link w:val="Header"/>
    <w:uiPriority w:val="99"/>
    <w:rsid w:val="004A0DAE"/>
    <w:rPr>
      <w:rFonts w:ascii="Cambria" w:eastAsia="Cambria" w:hAnsi="Cambria" w:cs="Cambria"/>
      <w:color w:val="000000"/>
      <w:sz w:val="24"/>
      <w:szCs w:val="22"/>
    </w:rPr>
  </w:style>
  <w:style w:type="paragraph" w:styleId="Footer">
    <w:name w:val="footer"/>
    <w:basedOn w:val="Normal"/>
    <w:link w:val="FooterChar"/>
    <w:uiPriority w:val="99"/>
    <w:unhideWhenUsed/>
    <w:rsid w:val="004A0DAE"/>
    <w:pPr>
      <w:tabs>
        <w:tab w:val="center" w:pos="4680"/>
        <w:tab w:val="right" w:pos="9360"/>
      </w:tabs>
    </w:pPr>
    <w:rPr>
      <w:sz w:val="22"/>
      <w:szCs w:val="22"/>
      <w:lang w:val="en-US" w:eastAsia="en-US"/>
    </w:rPr>
  </w:style>
  <w:style w:type="character" w:customStyle="1" w:styleId="FooterChar">
    <w:name w:val="Footer Char"/>
    <w:link w:val="Footer"/>
    <w:uiPriority w:val="99"/>
    <w:rsid w:val="004A0DAE"/>
    <w:rPr>
      <w:sz w:val="22"/>
      <w:szCs w:val="22"/>
      <w:lang w:val="en-US" w:eastAsia="en-US"/>
    </w:rPr>
  </w:style>
  <w:style w:type="paragraph" w:styleId="BalloonText">
    <w:name w:val="Balloon Text"/>
    <w:basedOn w:val="Normal"/>
    <w:link w:val="BalloonTextChar"/>
    <w:uiPriority w:val="99"/>
    <w:semiHidden/>
    <w:unhideWhenUsed/>
    <w:rsid w:val="004A0DAE"/>
    <w:pPr>
      <w:ind w:left="10" w:hanging="10"/>
      <w:jc w:val="both"/>
    </w:pPr>
    <w:rPr>
      <w:rFonts w:ascii="Segoe UI" w:eastAsia="Cambria" w:hAnsi="Segoe UI" w:cs="Segoe UI"/>
      <w:color w:val="000000"/>
      <w:sz w:val="18"/>
      <w:szCs w:val="18"/>
    </w:rPr>
  </w:style>
  <w:style w:type="character" w:customStyle="1" w:styleId="BalloonTextChar">
    <w:name w:val="Balloon Text Char"/>
    <w:link w:val="BalloonText"/>
    <w:uiPriority w:val="99"/>
    <w:semiHidden/>
    <w:rsid w:val="004A0DAE"/>
    <w:rPr>
      <w:rFonts w:ascii="Segoe UI" w:eastAsia="Cambria" w:hAnsi="Segoe UI" w:cs="Segoe UI"/>
      <w:color w:val="000000"/>
      <w:sz w:val="18"/>
      <w:szCs w:val="18"/>
    </w:rPr>
  </w:style>
  <w:style w:type="character" w:styleId="CommentReference">
    <w:name w:val="annotation reference"/>
    <w:uiPriority w:val="99"/>
    <w:semiHidden/>
    <w:unhideWhenUsed/>
    <w:rsid w:val="004A0DAE"/>
    <w:rPr>
      <w:sz w:val="16"/>
      <w:szCs w:val="16"/>
    </w:rPr>
  </w:style>
  <w:style w:type="paragraph" w:styleId="CommentText">
    <w:name w:val="annotation text"/>
    <w:basedOn w:val="Normal"/>
    <w:link w:val="CommentTextChar"/>
    <w:uiPriority w:val="99"/>
    <w:unhideWhenUsed/>
    <w:rsid w:val="004A0DAE"/>
    <w:pPr>
      <w:spacing w:after="226"/>
      <w:ind w:left="10" w:hanging="10"/>
      <w:jc w:val="both"/>
    </w:pPr>
    <w:rPr>
      <w:rFonts w:ascii="Cambria" w:eastAsia="Cambria" w:hAnsi="Cambria" w:cs="Cambria"/>
      <w:color w:val="000000"/>
      <w:sz w:val="20"/>
      <w:szCs w:val="20"/>
    </w:rPr>
  </w:style>
  <w:style w:type="character" w:customStyle="1" w:styleId="CommentTextChar">
    <w:name w:val="Comment Text Char"/>
    <w:link w:val="CommentText"/>
    <w:uiPriority w:val="99"/>
    <w:rsid w:val="004A0DAE"/>
    <w:rPr>
      <w:rFonts w:ascii="Cambria" w:eastAsia="Cambria" w:hAnsi="Cambria" w:cs="Cambria"/>
      <w:color w:val="000000"/>
    </w:rPr>
  </w:style>
  <w:style w:type="paragraph" w:styleId="CommentSubject">
    <w:name w:val="annotation subject"/>
    <w:basedOn w:val="CommentText"/>
    <w:next w:val="CommentText"/>
    <w:link w:val="CommentSubjectChar"/>
    <w:uiPriority w:val="99"/>
    <w:semiHidden/>
    <w:unhideWhenUsed/>
    <w:rsid w:val="004A0DAE"/>
    <w:rPr>
      <w:b/>
      <w:bCs/>
    </w:rPr>
  </w:style>
  <w:style w:type="character" w:customStyle="1" w:styleId="CommentSubjectChar">
    <w:name w:val="Comment Subject Char"/>
    <w:link w:val="CommentSubject"/>
    <w:uiPriority w:val="99"/>
    <w:semiHidden/>
    <w:rsid w:val="004A0DAE"/>
    <w:rPr>
      <w:rFonts w:ascii="Cambria" w:eastAsia="Cambria" w:hAnsi="Cambria" w:cs="Cambria"/>
      <w:b/>
      <w:bCs/>
      <w:color w:val="000000"/>
    </w:rPr>
  </w:style>
  <w:style w:type="paragraph" w:styleId="ListParagraph">
    <w:name w:val="List Paragraph"/>
    <w:basedOn w:val="Normal"/>
    <w:uiPriority w:val="34"/>
    <w:qFormat/>
    <w:rsid w:val="004A0DAE"/>
    <w:pPr>
      <w:spacing w:after="226" w:line="380" w:lineRule="auto"/>
      <w:ind w:left="720" w:hanging="10"/>
      <w:contextualSpacing/>
      <w:jc w:val="both"/>
    </w:pPr>
    <w:rPr>
      <w:rFonts w:ascii="Cambria" w:eastAsia="Cambria" w:hAnsi="Cambria" w:cs="Cambria"/>
      <w:color w:val="000000"/>
      <w:szCs w:val="22"/>
    </w:rPr>
  </w:style>
  <w:style w:type="paragraph" w:styleId="NoSpacing">
    <w:name w:val="No Spacing"/>
    <w:uiPriority w:val="1"/>
    <w:qFormat/>
    <w:rsid w:val="004A0DAE"/>
    <w:pPr>
      <w:ind w:left="10" w:hanging="10"/>
      <w:jc w:val="both"/>
    </w:pPr>
    <w:rPr>
      <w:rFonts w:ascii="Cambria" w:eastAsia="Cambria" w:hAnsi="Cambria" w:cs="Cambria"/>
      <w:color w:val="000000"/>
      <w:sz w:val="24"/>
      <w:szCs w:val="22"/>
    </w:rPr>
  </w:style>
  <w:style w:type="paragraph" w:styleId="Revision">
    <w:name w:val="Revision"/>
    <w:hidden/>
    <w:uiPriority w:val="99"/>
    <w:semiHidden/>
    <w:rsid w:val="004A0DAE"/>
    <w:rPr>
      <w:rFonts w:ascii="Cambria" w:eastAsia="Cambria" w:hAnsi="Cambria" w:cs="Cambria"/>
      <w:color w:val="000000"/>
      <w:sz w:val="24"/>
      <w:szCs w:val="22"/>
    </w:rPr>
  </w:style>
  <w:style w:type="table" w:styleId="PlainTable1">
    <w:name w:val="Plain Table 1"/>
    <w:basedOn w:val="TableNormal"/>
    <w:uiPriority w:val="41"/>
    <w:rsid w:val="004A0DAE"/>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4A0DAE"/>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4A0DAE"/>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noteText">
    <w:name w:val="footnote text"/>
    <w:basedOn w:val="Normal"/>
    <w:link w:val="FootnoteTextChar"/>
    <w:uiPriority w:val="99"/>
    <w:semiHidden/>
    <w:unhideWhenUsed/>
    <w:rsid w:val="004A0DAE"/>
    <w:pPr>
      <w:ind w:left="10" w:hanging="10"/>
      <w:jc w:val="both"/>
    </w:pPr>
    <w:rPr>
      <w:rFonts w:ascii="Cambria" w:eastAsia="Cambria" w:hAnsi="Cambria" w:cs="Cambria"/>
      <w:color w:val="000000"/>
      <w:sz w:val="20"/>
      <w:szCs w:val="20"/>
    </w:rPr>
  </w:style>
  <w:style w:type="character" w:customStyle="1" w:styleId="FootnoteTextChar">
    <w:name w:val="Footnote Text Char"/>
    <w:link w:val="FootnoteText"/>
    <w:uiPriority w:val="99"/>
    <w:semiHidden/>
    <w:rsid w:val="004A0DAE"/>
    <w:rPr>
      <w:rFonts w:ascii="Cambria" w:eastAsia="Cambria" w:hAnsi="Cambria" w:cs="Cambria"/>
      <w:color w:val="000000"/>
    </w:rPr>
  </w:style>
  <w:style w:type="character" w:styleId="FootnoteReference">
    <w:name w:val="footnote reference"/>
    <w:uiPriority w:val="99"/>
    <w:semiHidden/>
    <w:unhideWhenUsed/>
    <w:rsid w:val="004A0DAE"/>
    <w:rPr>
      <w:vertAlign w:val="superscript"/>
    </w:rPr>
  </w:style>
  <w:style w:type="character" w:styleId="Emphasis">
    <w:name w:val="Emphasis"/>
    <w:uiPriority w:val="20"/>
    <w:qFormat/>
    <w:rsid w:val="004A0DAE"/>
    <w:rPr>
      <w:i/>
      <w:iCs/>
    </w:rPr>
  </w:style>
  <w:style w:type="character" w:styleId="FollowedHyperlink">
    <w:name w:val="FollowedHyperlink"/>
    <w:basedOn w:val="DefaultParagraphFont"/>
    <w:uiPriority w:val="99"/>
    <w:semiHidden/>
    <w:unhideWhenUsed/>
    <w:rsid w:val="00060B14"/>
    <w:rPr>
      <w:color w:val="954F72" w:themeColor="followedHyperlink"/>
      <w:u w:val="single"/>
    </w:rPr>
  </w:style>
  <w:style w:type="character" w:customStyle="1" w:styleId="UnresolvedMention2">
    <w:name w:val="Unresolved Mention2"/>
    <w:basedOn w:val="DefaultParagraphFont"/>
    <w:uiPriority w:val="99"/>
    <w:semiHidden/>
    <w:unhideWhenUsed/>
    <w:rsid w:val="00320624"/>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AB72B2"/>
  </w:style>
  <w:style w:type="character" w:customStyle="1" w:styleId="spellingerror">
    <w:name w:val="spellingerror"/>
    <w:basedOn w:val="DefaultParagraphFont"/>
    <w:rsid w:val="00AD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6248">
      <w:bodyDiv w:val="1"/>
      <w:marLeft w:val="0"/>
      <w:marRight w:val="0"/>
      <w:marTop w:val="0"/>
      <w:marBottom w:val="0"/>
      <w:divBdr>
        <w:top w:val="none" w:sz="0" w:space="0" w:color="auto"/>
        <w:left w:val="none" w:sz="0" w:space="0" w:color="auto"/>
        <w:bottom w:val="none" w:sz="0" w:space="0" w:color="auto"/>
        <w:right w:val="none" w:sz="0" w:space="0" w:color="auto"/>
      </w:divBdr>
      <w:divsChild>
        <w:div w:id="665860647">
          <w:marLeft w:val="0"/>
          <w:marRight w:val="0"/>
          <w:marTop w:val="0"/>
          <w:marBottom w:val="0"/>
          <w:divBdr>
            <w:top w:val="none" w:sz="0" w:space="0" w:color="auto"/>
            <w:left w:val="none" w:sz="0" w:space="0" w:color="auto"/>
            <w:bottom w:val="none" w:sz="0" w:space="0" w:color="auto"/>
            <w:right w:val="none" w:sz="0" w:space="0" w:color="auto"/>
          </w:divBdr>
          <w:divsChild>
            <w:div w:id="1090154051">
              <w:marLeft w:val="0"/>
              <w:marRight w:val="0"/>
              <w:marTop w:val="0"/>
              <w:marBottom w:val="0"/>
              <w:divBdr>
                <w:top w:val="none" w:sz="0" w:space="0" w:color="auto"/>
                <w:left w:val="none" w:sz="0" w:space="0" w:color="auto"/>
                <w:bottom w:val="none" w:sz="0" w:space="0" w:color="auto"/>
                <w:right w:val="none" w:sz="0" w:space="0" w:color="auto"/>
              </w:divBdr>
              <w:divsChild>
                <w:div w:id="921989730">
                  <w:marLeft w:val="0"/>
                  <w:marRight w:val="0"/>
                  <w:marTop w:val="0"/>
                  <w:marBottom w:val="0"/>
                  <w:divBdr>
                    <w:top w:val="none" w:sz="0" w:space="0" w:color="auto"/>
                    <w:left w:val="none" w:sz="0" w:space="0" w:color="auto"/>
                    <w:bottom w:val="none" w:sz="0" w:space="0" w:color="auto"/>
                    <w:right w:val="none" w:sz="0" w:space="0" w:color="auto"/>
                  </w:divBdr>
                  <w:divsChild>
                    <w:div w:id="2248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5515">
      <w:bodyDiv w:val="1"/>
      <w:marLeft w:val="0"/>
      <w:marRight w:val="0"/>
      <w:marTop w:val="0"/>
      <w:marBottom w:val="0"/>
      <w:divBdr>
        <w:top w:val="none" w:sz="0" w:space="0" w:color="auto"/>
        <w:left w:val="none" w:sz="0" w:space="0" w:color="auto"/>
        <w:bottom w:val="none" w:sz="0" w:space="0" w:color="auto"/>
        <w:right w:val="none" w:sz="0" w:space="0" w:color="auto"/>
      </w:divBdr>
    </w:div>
    <w:div w:id="613561959">
      <w:bodyDiv w:val="1"/>
      <w:marLeft w:val="0"/>
      <w:marRight w:val="0"/>
      <w:marTop w:val="0"/>
      <w:marBottom w:val="0"/>
      <w:divBdr>
        <w:top w:val="none" w:sz="0" w:space="0" w:color="auto"/>
        <w:left w:val="none" w:sz="0" w:space="0" w:color="auto"/>
        <w:bottom w:val="none" w:sz="0" w:space="0" w:color="auto"/>
        <w:right w:val="none" w:sz="0" w:space="0" w:color="auto"/>
      </w:divBdr>
      <w:divsChild>
        <w:div w:id="1766731260">
          <w:marLeft w:val="0"/>
          <w:marRight w:val="0"/>
          <w:marTop w:val="0"/>
          <w:marBottom w:val="0"/>
          <w:divBdr>
            <w:top w:val="none" w:sz="0" w:space="0" w:color="auto"/>
            <w:left w:val="none" w:sz="0" w:space="0" w:color="auto"/>
            <w:bottom w:val="none" w:sz="0" w:space="0" w:color="auto"/>
            <w:right w:val="none" w:sz="0" w:space="0" w:color="auto"/>
          </w:divBdr>
          <w:divsChild>
            <w:div w:id="1272083203">
              <w:marLeft w:val="0"/>
              <w:marRight w:val="0"/>
              <w:marTop w:val="0"/>
              <w:marBottom w:val="0"/>
              <w:divBdr>
                <w:top w:val="none" w:sz="0" w:space="0" w:color="auto"/>
                <w:left w:val="none" w:sz="0" w:space="0" w:color="auto"/>
                <w:bottom w:val="none" w:sz="0" w:space="0" w:color="auto"/>
                <w:right w:val="none" w:sz="0" w:space="0" w:color="auto"/>
              </w:divBdr>
              <w:divsChild>
                <w:div w:id="21016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4858">
      <w:bodyDiv w:val="1"/>
      <w:marLeft w:val="0"/>
      <w:marRight w:val="0"/>
      <w:marTop w:val="0"/>
      <w:marBottom w:val="0"/>
      <w:divBdr>
        <w:top w:val="none" w:sz="0" w:space="0" w:color="auto"/>
        <w:left w:val="none" w:sz="0" w:space="0" w:color="auto"/>
        <w:bottom w:val="none" w:sz="0" w:space="0" w:color="auto"/>
        <w:right w:val="none" w:sz="0" w:space="0" w:color="auto"/>
      </w:divBdr>
    </w:div>
    <w:div w:id="997539535">
      <w:bodyDiv w:val="1"/>
      <w:marLeft w:val="0"/>
      <w:marRight w:val="0"/>
      <w:marTop w:val="0"/>
      <w:marBottom w:val="0"/>
      <w:divBdr>
        <w:top w:val="none" w:sz="0" w:space="0" w:color="auto"/>
        <w:left w:val="none" w:sz="0" w:space="0" w:color="auto"/>
        <w:bottom w:val="none" w:sz="0" w:space="0" w:color="auto"/>
        <w:right w:val="none" w:sz="0" w:space="0" w:color="auto"/>
      </w:divBdr>
      <w:divsChild>
        <w:div w:id="1285775131">
          <w:marLeft w:val="0"/>
          <w:marRight w:val="0"/>
          <w:marTop w:val="0"/>
          <w:marBottom w:val="0"/>
          <w:divBdr>
            <w:top w:val="none" w:sz="0" w:space="0" w:color="auto"/>
            <w:left w:val="none" w:sz="0" w:space="0" w:color="auto"/>
            <w:bottom w:val="none" w:sz="0" w:space="0" w:color="auto"/>
            <w:right w:val="none" w:sz="0" w:space="0" w:color="auto"/>
          </w:divBdr>
          <w:divsChild>
            <w:div w:id="356081676">
              <w:marLeft w:val="0"/>
              <w:marRight w:val="0"/>
              <w:marTop w:val="0"/>
              <w:marBottom w:val="0"/>
              <w:divBdr>
                <w:top w:val="none" w:sz="0" w:space="0" w:color="auto"/>
                <w:left w:val="none" w:sz="0" w:space="0" w:color="auto"/>
                <w:bottom w:val="none" w:sz="0" w:space="0" w:color="auto"/>
                <w:right w:val="none" w:sz="0" w:space="0" w:color="auto"/>
              </w:divBdr>
              <w:divsChild>
                <w:div w:id="4901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3358">
      <w:bodyDiv w:val="1"/>
      <w:marLeft w:val="0"/>
      <w:marRight w:val="0"/>
      <w:marTop w:val="0"/>
      <w:marBottom w:val="0"/>
      <w:divBdr>
        <w:top w:val="none" w:sz="0" w:space="0" w:color="auto"/>
        <w:left w:val="none" w:sz="0" w:space="0" w:color="auto"/>
        <w:bottom w:val="none" w:sz="0" w:space="0" w:color="auto"/>
        <w:right w:val="none" w:sz="0" w:space="0" w:color="auto"/>
      </w:divBdr>
      <w:divsChild>
        <w:div w:id="369770160">
          <w:marLeft w:val="0"/>
          <w:marRight w:val="0"/>
          <w:marTop w:val="0"/>
          <w:marBottom w:val="0"/>
          <w:divBdr>
            <w:top w:val="none" w:sz="0" w:space="0" w:color="auto"/>
            <w:left w:val="none" w:sz="0" w:space="0" w:color="auto"/>
            <w:bottom w:val="none" w:sz="0" w:space="0" w:color="auto"/>
            <w:right w:val="none" w:sz="0" w:space="0" w:color="auto"/>
          </w:divBdr>
        </w:div>
        <w:div w:id="1839926942">
          <w:marLeft w:val="0"/>
          <w:marRight w:val="0"/>
          <w:marTop w:val="0"/>
          <w:marBottom w:val="0"/>
          <w:divBdr>
            <w:top w:val="none" w:sz="0" w:space="0" w:color="auto"/>
            <w:left w:val="none" w:sz="0" w:space="0" w:color="auto"/>
            <w:bottom w:val="none" w:sz="0" w:space="0" w:color="auto"/>
            <w:right w:val="none" w:sz="0" w:space="0" w:color="auto"/>
          </w:divBdr>
        </w:div>
        <w:div w:id="1347246040">
          <w:marLeft w:val="0"/>
          <w:marRight w:val="0"/>
          <w:marTop w:val="0"/>
          <w:marBottom w:val="0"/>
          <w:divBdr>
            <w:top w:val="none" w:sz="0" w:space="0" w:color="auto"/>
            <w:left w:val="none" w:sz="0" w:space="0" w:color="auto"/>
            <w:bottom w:val="none" w:sz="0" w:space="0" w:color="auto"/>
            <w:right w:val="none" w:sz="0" w:space="0" w:color="auto"/>
          </w:divBdr>
        </w:div>
        <w:div w:id="409430629">
          <w:marLeft w:val="0"/>
          <w:marRight w:val="0"/>
          <w:marTop w:val="0"/>
          <w:marBottom w:val="0"/>
          <w:divBdr>
            <w:top w:val="none" w:sz="0" w:space="0" w:color="auto"/>
            <w:left w:val="none" w:sz="0" w:space="0" w:color="auto"/>
            <w:bottom w:val="none" w:sz="0" w:space="0" w:color="auto"/>
            <w:right w:val="none" w:sz="0" w:space="0" w:color="auto"/>
          </w:divBdr>
        </w:div>
        <w:div w:id="1344285328">
          <w:marLeft w:val="0"/>
          <w:marRight w:val="0"/>
          <w:marTop w:val="0"/>
          <w:marBottom w:val="0"/>
          <w:divBdr>
            <w:top w:val="none" w:sz="0" w:space="0" w:color="auto"/>
            <w:left w:val="none" w:sz="0" w:space="0" w:color="auto"/>
            <w:bottom w:val="none" w:sz="0" w:space="0" w:color="auto"/>
            <w:right w:val="none" w:sz="0" w:space="0" w:color="auto"/>
          </w:divBdr>
        </w:div>
      </w:divsChild>
    </w:div>
    <w:div w:id="1755471753">
      <w:bodyDiv w:val="1"/>
      <w:marLeft w:val="0"/>
      <w:marRight w:val="0"/>
      <w:marTop w:val="0"/>
      <w:marBottom w:val="0"/>
      <w:divBdr>
        <w:top w:val="none" w:sz="0" w:space="0" w:color="auto"/>
        <w:left w:val="none" w:sz="0" w:space="0" w:color="auto"/>
        <w:bottom w:val="none" w:sz="0" w:space="0" w:color="auto"/>
        <w:right w:val="none" w:sz="0" w:space="0" w:color="auto"/>
      </w:divBdr>
      <w:divsChild>
        <w:div w:id="331300691">
          <w:marLeft w:val="0"/>
          <w:marRight w:val="0"/>
          <w:marTop w:val="0"/>
          <w:marBottom w:val="0"/>
          <w:divBdr>
            <w:top w:val="none" w:sz="0" w:space="0" w:color="auto"/>
            <w:left w:val="none" w:sz="0" w:space="0" w:color="auto"/>
            <w:bottom w:val="none" w:sz="0" w:space="0" w:color="auto"/>
            <w:right w:val="none" w:sz="0" w:space="0" w:color="auto"/>
          </w:divBdr>
          <w:divsChild>
            <w:div w:id="205336036">
              <w:marLeft w:val="0"/>
              <w:marRight w:val="0"/>
              <w:marTop w:val="0"/>
              <w:marBottom w:val="0"/>
              <w:divBdr>
                <w:top w:val="none" w:sz="0" w:space="0" w:color="auto"/>
                <w:left w:val="none" w:sz="0" w:space="0" w:color="auto"/>
                <w:bottom w:val="none" w:sz="0" w:space="0" w:color="auto"/>
                <w:right w:val="none" w:sz="0" w:space="0" w:color="auto"/>
              </w:divBdr>
              <w:divsChild>
                <w:div w:id="2092001538">
                  <w:marLeft w:val="0"/>
                  <w:marRight w:val="0"/>
                  <w:marTop w:val="0"/>
                  <w:marBottom w:val="0"/>
                  <w:divBdr>
                    <w:top w:val="none" w:sz="0" w:space="0" w:color="auto"/>
                    <w:left w:val="none" w:sz="0" w:space="0" w:color="auto"/>
                    <w:bottom w:val="none" w:sz="0" w:space="0" w:color="auto"/>
                    <w:right w:val="none" w:sz="0" w:space="0" w:color="auto"/>
                  </w:divBdr>
                  <w:divsChild>
                    <w:div w:id="842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97448">
      <w:bodyDiv w:val="1"/>
      <w:marLeft w:val="0"/>
      <w:marRight w:val="0"/>
      <w:marTop w:val="0"/>
      <w:marBottom w:val="0"/>
      <w:divBdr>
        <w:top w:val="none" w:sz="0" w:space="0" w:color="auto"/>
        <w:left w:val="none" w:sz="0" w:space="0" w:color="auto"/>
        <w:bottom w:val="none" w:sz="0" w:space="0" w:color="auto"/>
        <w:right w:val="none" w:sz="0" w:space="0" w:color="auto"/>
      </w:divBdr>
      <w:divsChild>
        <w:div w:id="568153550">
          <w:marLeft w:val="0"/>
          <w:marRight w:val="0"/>
          <w:marTop w:val="0"/>
          <w:marBottom w:val="0"/>
          <w:divBdr>
            <w:top w:val="none" w:sz="0" w:space="0" w:color="auto"/>
            <w:left w:val="none" w:sz="0" w:space="0" w:color="auto"/>
            <w:bottom w:val="none" w:sz="0" w:space="0" w:color="auto"/>
            <w:right w:val="none" w:sz="0" w:space="0" w:color="auto"/>
          </w:divBdr>
          <w:divsChild>
            <w:div w:id="1337535051">
              <w:marLeft w:val="0"/>
              <w:marRight w:val="0"/>
              <w:marTop w:val="0"/>
              <w:marBottom w:val="0"/>
              <w:divBdr>
                <w:top w:val="none" w:sz="0" w:space="0" w:color="auto"/>
                <w:left w:val="none" w:sz="0" w:space="0" w:color="auto"/>
                <w:bottom w:val="none" w:sz="0" w:space="0" w:color="auto"/>
                <w:right w:val="none" w:sz="0" w:space="0" w:color="auto"/>
              </w:divBdr>
              <w:divsChild>
                <w:div w:id="17033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0F32B-6FA2-4277-AF19-1F6B4698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8963</Words>
  <Characters>51090</Characters>
  <Application>Microsoft Office Word</Application>
  <DocSecurity>0</DocSecurity>
  <Lines>425</Lines>
  <Paragraphs>119</Paragraphs>
  <ScaleCrop>false</ScaleCrop>
  <Company>.</Company>
  <LinksUpToDate>false</LinksUpToDate>
  <CharactersWithSpaces>59934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Emmanuel Adu-Ameyaw</cp:lastModifiedBy>
  <cp:revision>2</cp:revision>
  <dcterms:created xsi:type="dcterms:W3CDTF">2022-04-28T08:49:00Z</dcterms:created>
  <dcterms:modified xsi:type="dcterms:W3CDTF">2022-04-28T08:49:00Z</dcterms:modified>
</cp:coreProperties>
</file>