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58F" w:rsidRDefault="00C62B16" w:rsidP="003160BA">
      <w:pPr>
        <w:spacing w:line="360" w:lineRule="auto"/>
        <w:jc w:val="both"/>
        <w:rPr>
          <w:rFonts w:ascii="Arial" w:hAnsi="Arial" w:cs="Arial"/>
          <w:b/>
          <w:sz w:val="24"/>
          <w:szCs w:val="24"/>
          <w:u w:val="single"/>
        </w:rPr>
      </w:pPr>
      <w:r w:rsidRPr="00C62B16">
        <w:rPr>
          <w:rFonts w:ascii="Arial" w:hAnsi="Arial" w:cs="Arial"/>
          <w:b/>
          <w:sz w:val="24"/>
          <w:szCs w:val="24"/>
          <w:u w:val="single"/>
        </w:rPr>
        <w:t>IUS CANADA PAPER 2012</w:t>
      </w:r>
    </w:p>
    <w:p w:rsidR="00C62B16" w:rsidRDefault="00C62B16" w:rsidP="003160BA">
      <w:pPr>
        <w:spacing w:line="360" w:lineRule="auto"/>
        <w:jc w:val="both"/>
        <w:rPr>
          <w:rFonts w:ascii="Arial" w:hAnsi="Arial" w:cs="Arial"/>
          <w:b/>
          <w:sz w:val="24"/>
          <w:szCs w:val="24"/>
          <w:u w:val="single"/>
        </w:rPr>
      </w:pPr>
    </w:p>
    <w:p w:rsidR="00C62B16" w:rsidRDefault="00C62B16" w:rsidP="003160BA">
      <w:pPr>
        <w:spacing w:line="360" w:lineRule="auto"/>
        <w:jc w:val="both"/>
        <w:rPr>
          <w:rFonts w:ascii="Arial" w:hAnsi="Arial" w:cs="Arial"/>
          <w:sz w:val="24"/>
          <w:szCs w:val="24"/>
        </w:rPr>
      </w:pPr>
      <w:r>
        <w:rPr>
          <w:rFonts w:ascii="Arial" w:hAnsi="Arial" w:cs="Arial"/>
          <w:b/>
          <w:sz w:val="24"/>
          <w:szCs w:val="24"/>
          <w:u w:val="single"/>
        </w:rPr>
        <w:t>FEMALE COMBAT EXCLUSION IN THE UK ARMED FORCES</w:t>
      </w:r>
      <w:r w:rsidR="00C42B21">
        <w:rPr>
          <w:rFonts w:ascii="Arial" w:hAnsi="Arial" w:cs="Arial"/>
          <w:b/>
          <w:sz w:val="24"/>
          <w:szCs w:val="24"/>
          <w:u w:val="single"/>
        </w:rPr>
        <w:t xml:space="preserve"> – IS IT</w:t>
      </w:r>
      <w:r w:rsidR="009A271B">
        <w:rPr>
          <w:rFonts w:ascii="Arial" w:hAnsi="Arial" w:cs="Arial"/>
          <w:b/>
          <w:sz w:val="24"/>
          <w:szCs w:val="24"/>
          <w:u w:val="single"/>
        </w:rPr>
        <w:t xml:space="preserve"> STILL</w:t>
      </w:r>
      <w:r w:rsidR="00C42B21">
        <w:rPr>
          <w:rFonts w:ascii="Arial" w:hAnsi="Arial" w:cs="Arial"/>
          <w:b/>
          <w:sz w:val="24"/>
          <w:szCs w:val="24"/>
          <w:u w:val="single"/>
        </w:rPr>
        <w:t xml:space="preserve"> LEGAL?</w:t>
      </w:r>
    </w:p>
    <w:p w:rsidR="00C62B16" w:rsidRDefault="00C62B16" w:rsidP="003160BA">
      <w:pPr>
        <w:spacing w:line="360" w:lineRule="auto"/>
        <w:jc w:val="both"/>
        <w:rPr>
          <w:rFonts w:ascii="Arial" w:hAnsi="Arial" w:cs="Arial"/>
          <w:sz w:val="24"/>
          <w:szCs w:val="24"/>
        </w:rPr>
      </w:pPr>
    </w:p>
    <w:p w:rsidR="001D6183" w:rsidRDefault="001D6183" w:rsidP="001D6183">
      <w:pPr>
        <w:spacing w:line="360" w:lineRule="auto"/>
        <w:jc w:val="both"/>
        <w:rPr>
          <w:rFonts w:ascii="Arial" w:hAnsi="Arial" w:cs="Arial"/>
          <w:sz w:val="24"/>
          <w:szCs w:val="24"/>
        </w:rPr>
      </w:pPr>
      <w:r>
        <w:rPr>
          <w:rFonts w:ascii="Arial" w:hAnsi="Arial" w:cs="Arial"/>
          <w:b/>
          <w:sz w:val="24"/>
          <w:szCs w:val="24"/>
          <w:u w:val="single"/>
        </w:rPr>
        <w:t>INTRODUCTION</w:t>
      </w:r>
    </w:p>
    <w:p w:rsidR="001D6183" w:rsidRDefault="001D6183" w:rsidP="003160BA">
      <w:pPr>
        <w:spacing w:line="360" w:lineRule="auto"/>
        <w:jc w:val="both"/>
        <w:rPr>
          <w:rFonts w:ascii="Arial" w:hAnsi="Arial" w:cs="Arial"/>
          <w:sz w:val="24"/>
          <w:szCs w:val="24"/>
        </w:rPr>
      </w:pPr>
    </w:p>
    <w:p w:rsidR="00C62B16" w:rsidRDefault="005753ED" w:rsidP="003160BA">
      <w:pPr>
        <w:spacing w:line="360" w:lineRule="auto"/>
        <w:jc w:val="both"/>
        <w:rPr>
          <w:rFonts w:ascii="Arial" w:hAnsi="Arial" w:cs="Arial"/>
          <w:sz w:val="24"/>
          <w:szCs w:val="24"/>
        </w:rPr>
      </w:pPr>
      <w:r>
        <w:rPr>
          <w:rFonts w:ascii="Arial" w:hAnsi="Arial" w:cs="Arial"/>
          <w:sz w:val="24"/>
          <w:szCs w:val="24"/>
        </w:rPr>
        <w:t xml:space="preserve">Women have served in the UK </w:t>
      </w:r>
      <w:r w:rsidR="009A271B">
        <w:rPr>
          <w:rFonts w:ascii="Arial" w:hAnsi="Arial" w:cs="Arial"/>
          <w:sz w:val="24"/>
          <w:szCs w:val="24"/>
        </w:rPr>
        <w:t>military</w:t>
      </w:r>
      <w:r>
        <w:rPr>
          <w:rFonts w:ascii="Arial" w:hAnsi="Arial" w:cs="Arial"/>
          <w:sz w:val="24"/>
          <w:szCs w:val="24"/>
        </w:rPr>
        <w:t xml:space="preserve"> for many years and today 73% of jobs are open to women in the Navy, 70% in the Army and 96% in the RAF. </w:t>
      </w:r>
      <w:r w:rsidR="00733B89">
        <w:rPr>
          <w:rFonts w:ascii="Arial" w:hAnsi="Arial" w:cs="Arial"/>
          <w:sz w:val="24"/>
          <w:szCs w:val="24"/>
        </w:rPr>
        <w:t xml:space="preserve">The </w:t>
      </w:r>
      <w:r>
        <w:rPr>
          <w:rFonts w:ascii="Arial" w:hAnsi="Arial" w:cs="Arial"/>
          <w:sz w:val="24"/>
          <w:szCs w:val="24"/>
        </w:rPr>
        <w:t xml:space="preserve">Sex </w:t>
      </w:r>
      <w:r w:rsidR="00733B89">
        <w:rPr>
          <w:rFonts w:ascii="Arial" w:hAnsi="Arial" w:cs="Arial"/>
          <w:sz w:val="24"/>
          <w:szCs w:val="24"/>
        </w:rPr>
        <w:t>Discrimination Act 1975 (SDA75)</w:t>
      </w:r>
      <w:r w:rsidR="00733B89">
        <w:rPr>
          <w:rStyle w:val="FootnoteReference"/>
          <w:rFonts w:ascii="Arial" w:hAnsi="Arial" w:cs="Arial"/>
          <w:sz w:val="24"/>
          <w:szCs w:val="24"/>
        </w:rPr>
        <w:footnoteReference w:id="1"/>
      </w:r>
      <w:r w:rsidR="00733B89">
        <w:rPr>
          <w:rFonts w:ascii="Arial" w:hAnsi="Arial" w:cs="Arial"/>
          <w:sz w:val="24"/>
          <w:szCs w:val="24"/>
        </w:rPr>
        <w:t>, now replaced by the Equality Act 2010</w:t>
      </w:r>
      <w:r w:rsidR="00733B89">
        <w:rPr>
          <w:rStyle w:val="FootnoteReference"/>
          <w:rFonts w:ascii="Arial" w:hAnsi="Arial" w:cs="Arial"/>
          <w:sz w:val="24"/>
          <w:szCs w:val="24"/>
        </w:rPr>
        <w:footnoteReference w:id="2"/>
      </w:r>
      <w:r w:rsidR="00733B89">
        <w:rPr>
          <w:rFonts w:ascii="Arial" w:hAnsi="Arial" w:cs="Arial"/>
          <w:sz w:val="24"/>
          <w:szCs w:val="24"/>
        </w:rPr>
        <w:t xml:space="preserve">, excludes </w:t>
      </w:r>
      <w:r>
        <w:rPr>
          <w:rFonts w:ascii="Arial" w:hAnsi="Arial" w:cs="Arial"/>
          <w:sz w:val="24"/>
          <w:szCs w:val="24"/>
        </w:rPr>
        <w:t>discriminat</w:t>
      </w:r>
      <w:r w:rsidR="00733B89">
        <w:rPr>
          <w:rFonts w:ascii="Arial" w:hAnsi="Arial" w:cs="Arial"/>
          <w:sz w:val="24"/>
          <w:szCs w:val="24"/>
        </w:rPr>
        <w:t>ory acts from protection to ensure combat effectiveness.</w:t>
      </w:r>
      <w:r>
        <w:rPr>
          <w:rFonts w:ascii="Arial" w:hAnsi="Arial" w:cs="Arial"/>
          <w:sz w:val="24"/>
          <w:szCs w:val="24"/>
        </w:rPr>
        <w:t xml:space="preserve"> </w:t>
      </w:r>
      <w:r w:rsidR="003C0103">
        <w:rPr>
          <w:rFonts w:ascii="Arial" w:hAnsi="Arial" w:cs="Arial"/>
          <w:sz w:val="24"/>
          <w:szCs w:val="24"/>
        </w:rPr>
        <w:t>Th</w:t>
      </w:r>
      <w:r w:rsidR="00733B89">
        <w:rPr>
          <w:rFonts w:ascii="Arial" w:hAnsi="Arial" w:cs="Arial"/>
          <w:sz w:val="24"/>
          <w:szCs w:val="24"/>
        </w:rPr>
        <w:t xml:space="preserve">is </w:t>
      </w:r>
      <w:r w:rsidR="003C0103">
        <w:rPr>
          <w:rFonts w:ascii="Arial" w:hAnsi="Arial" w:cs="Arial"/>
          <w:sz w:val="24"/>
          <w:szCs w:val="24"/>
        </w:rPr>
        <w:t xml:space="preserve">must </w:t>
      </w:r>
      <w:r w:rsidR="002B0805">
        <w:rPr>
          <w:rFonts w:ascii="Arial" w:hAnsi="Arial" w:cs="Arial"/>
          <w:sz w:val="24"/>
          <w:szCs w:val="24"/>
        </w:rPr>
        <w:t>comply</w:t>
      </w:r>
      <w:r w:rsidR="003C0103">
        <w:rPr>
          <w:rFonts w:ascii="Arial" w:hAnsi="Arial" w:cs="Arial"/>
          <w:sz w:val="24"/>
          <w:szCs w:val="24"/>
        </w:rPr>
        <w:t xml:space="preserve"> with relevant </w:t>
      </w:r>
      <w:r w:rsidR="002B0805">
        <w:rPr>
          <w:rFonts w:ascii="Arial" w:hAnsi="Arial" w:cs="Arial"/>
          <w:sz w:val="24"/>
          <w:szCs w:val="24"/>
        </w:rPr>
        <w:t>EU</w:t>
      </w:r>
      <w:r w:rsidR="003C0103">
        <w:rPr>
          <w:rFonts w:ascii="Arial" w:hAnsi="Arial" w:cs="Arial"/>
          <w:sz w:val="24"/>
          <w:szCs w:val="24"/>
        </w:rPr>
        <w:t xml:space="preserve"> legislation</w:t>
      </w:r>
      <w:r w:rsidR="006A45F5">
        <w:rPr>
          <w:rStyle w:val="FootnoteReference"/>
          <w:rFonts w:ascii="Arial" w:hAnsi="Arial" w:cs="Arial"/>
          <w:sz w:val="24"/>
          <w:szCs w:val="24"/>
        </w:rPr>
        <w:footnoteReference w:id="3"/>
      </w:r>
      <w:r w:rsidR="003C0103">
        <w:rPr>
          <w:rFonts w:ascii="Arial" w:hAnsi="Arial" w:cs="Arial"/>
          <w:sz w:val="24"/>
          <w:szCs w:val="24"/>
        </w:rPr>
        <w:t xml:space="preserve"> that do</w:t>
      </w:r>
      <w:r w:rsidR="00733B89">
        <w:rPr>
          <w:rFonts w:ascii="Arial" w:hAnsi="Arial" w:cs="Arial"/>
          <w:sz w:val="24"/>
          <w:szCs w:val="24"/>
        </w:rPr>
        <w:t>es</w:t>
      </w:r>
      <w:r w:rsidR="003C0103">
        <w:rPr>
          <w:rFonts w:ascii="Arial" w:hAnsi="Arial" w:cs="Arial"/>
          <w:sz w:val="24"/>
          <w:szCs w:val="24"/>
        </w:rPr>
        <w:t xml:space="preserve"> not contain a </w:t>
      </w:r>
      <w:r w:rsidR="001D7834">
        <w:rPr>
          <w:rFonts w:ascii="Arial" w:hAnsi="Arial" w:cs="Arial"/>
          <w:sz w:val="24"/>
          <w:szCs w:val="24"/>
        </w:rPr>
        <w:t xml:space="preserve">provision allowing </w:t>
      </w:r>
      <w:proofErr w:type="gramStart"/>
      <w:r w:rsidR="001D7834">
        <w:rPr>
          <w:rFonts w:ascii="Arial" w:hAnsi="Arial" w:cs="Arial"/>
          <w:sz w:val="24"/>
          <w:szCs w:val="24"/>
        </w:rPr>
        <w:t xml:space="preserve">an </w:t>
      </w:r>
      <w:r w:rsidR="006A45F5">
        <w:rPr>
          <w:rFonts w:ascii="Arial" w:hAnsi="Arial" w:cs="Arial"/>
          <w:sz w:val="24"/>
          <w:szCs w:val="24"/>
        </w:rPr>
        <w:t>exclusion</w:t>
      </w:r>
      <w:proofErr w:type="gramEnd"/>
      <w:r w:rsidR="006A45F5">
        <w:rPr>
          <w:rFonts w:ascii="Arial" w:hAnsi="Arial" w:cs="Arial"/>
          <w:sz w:val="24"/>
          <w:szCs w:val="24"/>
        </w:rPr>
        <w:t xml:space="preserve"> for combat effectiveness although </w:t>
      </w:r>
      <w:r>
        <w:rPr>
          <w:rFonts w:ascii="Arial" w:hAnsi="Arial" w:cs="Arial"/>
          <w:sz w:val="24"/>
          <w:szCs w:val="24"/>
        </w:rPr>
        <w:t xml:space="preserve">the ECJ has held that the Member States </w:t>
      </w:r>
      <w:r w:rsidR="009A271B">
        <w:rPr>
          <w:rFonts w:ascii="Arial" w:hAnsi="Arial" w:cs="Arial"/>
          <w:sz w:val="24"/>
          <w:szCs w:val="24"/>
        </w:rPr>
        <w:t>may</w:t>
      </w:r>
      <w:r>
        <w:rPr>
          <w:rFonts w:ascii="Arial" w:hAnsi="Arial" w:cs="Arial"/>
          <w:sz w:val="24"/>
          <w:szCs w:val="24"/>
        </w:rPr>
        <w:t xml:space="preserve"> take decisions on the organisation of their armed forces to ensure their security</w:t>
      </w:r>
      <w:r>
        <w:rPr>
          <w:rStyle w:val="FootnoteReference"/>
          <w:rFonts w:ascii="Arial" w:hAnsi="Arial" w:cs="Arial"/>
          <w:sz w:val="24"/>
          <w:szCs w:val="24"/>
        </w:rPr>
        <w:footnoteReference w:id="4"/>
      </w:r>
      <w:r>
        <w:rPr>
          <w:rFonts w:ascii="Arial" w:hAnsi="Arial" w:cs="Arial"/>
          <w:sz w:val="24"/>
          <w:szCs w:val="24"/>
        </w:rPr>
        <w:t>. However, this has to be exercised with the genuine aim of guaranteeing public security whilst being appropriate and necessary to achieve this aim</w:t>
      </w:r>
      <w:r>
        <w:rPr>
          <w:rStyle w:val="FootnoteReference"/>
          <w:rFonts w:ascii="Arial" w:hAnsi="Arial" w:cs="Arial"/>
          <w:sz w:val="24"/>
          <w:szCs w:val="24"/>
        </w:rPr>
        <w:footnoteReference w:id="5"/>
      </w:r>
      <w:r w:rsidR="002B0805">
        <w:rPr>
          <w:rFonts w:ascii="Arial" w:hAnsi="Arial" w:cs="Arial"/>
          <w:sz w:val="24"/>
          <w:szCs w:val="24"/>
        </w:rPr>
        <w:t xml:space="preserve"> with</w:t>
      </w:r>
      <w:r>
        <w:rPr>
          <w:rFonts w:ascii="Arial" w:hAnsi="Arial" w:cs="Arial"/>
          <w:sz w:val="24"/>
          <w:szCs w:val="24"/>
        </w:rPr>
        <w:t xml:space="preserve"> a ban on women serving in the Royal Marines justified as it would be confined to a small force and applied to the</w:t>
      </w:r>
      <w:r w:rsidR="009A271B">
        <w:rPr>
          <w:rFonts w:ascii="Arial" w:hAnsi="Arial" w:cs="Arial"/>
          <w:sz w:val="24"/>
          <w:szCs w:val="24"/>
        </w:rPr>
        <w:t xml:space="preserve"> principle of inter-operability</w:t>
      </w:r>
      <w:r>
        <w:rPr>
          <w:rFonts w:ascii="Arial" w:hAnsi="Arial" w:cs="Arial"/>
          <w:sz w:val="24"/>
          <w:szCs w:val="24"/>
        </w:rPr>
        <w:t>. This combat effectiveness exclusion limit</w:t>
      </w:r>
      <w:r w:rsidR="002B0805">
        <w:rPr>
          <w:rFonts w:ascii="Arial" w:hAnsi="Arial" w:cs="Arial"/>
          <w:sz w:val="24"/>
          <w:szCs w:val="24"/>
        </w:rPr>
        <w:t>s</w:t>
      </w:r>
      <w:r>
        <w:rPr>
          <w:rFonts w:ascii="Arial" w:hAnsi="Arial" w:cs="Arial"/>
          <w:sz w:val="24"/>
          <w:szCs w:val="24"/>
        </w:rPr>
        <w:t xml:space="preserve"> full integration of women in the military ensuring that women cannot serve in front line army units, the RAF Regiment, the Royal Marines and submarines</w:t>
      </w:r>
      <w:r>
        <w:rPr>
          <w:rStyle w:val="FootnoteReference"/>
          <w:rFonts w:ascii="Arial" w:hAnsi="Arial" w:cs="Arial"/>
          <w:sz w:val="24"/>
          <w:szCs w:val="24"/>
        </w:rPr>
        <w:footnoteReference w:id="6"/>
      </w:r>
      <w:r>
        <w:rPr>
          <w:rFonts w:ascii="Arial" w:hAnsi="Arial" w:cs="Arial"/>
          <w:sz w:val="24"/>
          <w:szCs w:val="24"/>
        </w:rPr>
        <w:t>.</w:t>
      </w:r>
      <w:r w:rsidR="00C42B21">
        <w:rPr>
          <w:rFonts w:ascii="Arial" w:hAnsi="Arial" w:cs="Arial"/>
          <w:sz w:val="24"/>
          <w:szCs w:val="24"/>
        </w:rPr>
        <w:t xml:space="preserve"> In a new</w:t>
      </w:r>
      <w:r>
        <w:rPr>
          <w:rFonts w:ascii="Arial" w:hAnsi="Arial" w:cs="Arial"/>
          <w:sz w:val="24"/>
          <w:szCs w:val="24"/>
        </w:rPr>
        <w:t xml:space="preserve"> report </w:t>
      </w:r>
      <w:r w:rsidR="00C42B21">
        <w:rPr>
          <w:rFonts w:ascii="Arial" w:hAnsi="Arial" w:cs="Arial"/>
          <w:sz w:val="24"/>
          <w:szCs w:val="24"/>
        </w:rPr>
        <w:t xml:space="preserve">in November 2010 </w:t>
      </w:r>
      <w:r>
        <w:rPr>
          <w:rFonts w:ascii="Arial" w:hAnsi="Arial" w:cs="Arial"/>
          <w:sz w:val="24"/>
          <w:szCs w:val="24"/>
        </w:rPr>
        <w:t>exclusion of women</w:t>
      </w:r>
      <w:r w:rsidR="00C42B21">
        <w:rPr>
          <w:rFonts w:ascii="Arial" w:hAnsi="Arial" w:cs="Arial"/>
          <w:sz w:val="24"/>
          <w:szCs w:val="24"/>
        </w:rPr>
        <w:t xml:space="preserve"> from ground </w:t>
      </w:r>
      <w:r w:rsidR="00C42B21">
        <w:rPr>
          <w:rFonts w:ascii="Arial" w:hAnsi="Arial" w:cs="Arial"/>
          <w:sz w:val="24"/>
          <w:szCs w:val="24"/>
        </w:rPr>
        <w:lastRenderedPageBreak/>
        <w:t>close-combat roles</w:t>
      </w:r>
      <w:r>
        <w:rPr>
          <w:rFonts w:ascii="Arial" w:hAnsi="Arial" w:cs="Arial"/>
          <w:sz w:val="24"/>
          <w:szCs w:val="24"/>
        </w:rPr>
        <w:t xml:space="preserve"> </w:t>
      </w:r>
      <w:r w:rsidR="00C42B21">
        <w:rPr>
          <w:rFonts w:ascii="Arial" w:hAnsi="Arial" w:cs="Arial"/>
          <w:sz w:val="24"/>
          <w:szCs w:val="24"/>
        </w:rPr>
        <w:t>was retained</w:t>
      </w:r>
      <w:r>
        <w:rPr>
          <w:rStyle w:val="FootnoteReference"/>
          <w:rFonts w:ascii="Arial" w:hAnsi="Arial" w:cs="Arial"/>
          <w:sz w:val="24"/>
          <w:szCs w:val="24"/>
        </w:rPr>
        <w:footnoteReference w:id="7"/>
      </w:r>
      <w:r>
        <w:rPr>
          <w:rFonts w:ascii="Arial" w:hAnsi="Arial" w:cs="Arial"/>
          <w:sz w:val="24"/>
          <w:szCs w:val="24"/>
        </w:rPr>
        <w:t xml:space="preserve"> and wholly attributed to unit cohesion. </w:t>
      </w:r>
      <w:r w:rsidR="00C42B21">
        <w:rPr>
          <w:rFonts w:ascii="Arial" w:hAnsi="Arial" w:cs="Arial"/>
          <w:sz w:val="24"/>
          <w:szCs w:val="24"/>
        </w:rPr>
        <w:t>I</w:t>
      </w:r>
      <w:r>
        <w:rPr>
          <w:rFonts w:ascii="Arial" w:hAnsi="Arial" w:cs="Arial"/>
          <w:sz w:val="24"/>
          <w:szCs w:val="24"/>
        </w:rPr>
        <w:t xml:space="preserve">n December 2011, </w:t>
      </w:r>
      <w:r w:rsidR="00C42B21">
        <w:rPr>
          <w:rFonts w:ascii="Arial" w:hAnsi="Arial" w:cs="Arial"/>
          <w:sz w:val="24"/>
          <w:szCs w:val="24"/>
        </w:rPr>
        <w:t>it was</w:t>
      </w:r>
      <w:r>
        <w:rPr>
          <w:rFonts w:ascii="Arial" w:hAnsi="Arial" w:cs="Arial"/>
          <w:sz w:val="24"/>
          <w:szCs w:val="24"/>
        </w:rPr>
        <w:t xml:space="preserve"> announced that the submarine service would be </w:t>
      </w:r>
      <w:r w:rsidR="00C42B21">
        <w:rPr>
          <w:rFonts w:ascii="Arial" w:hAnsi="Arial" w:cs="Arial"/>
          <w:sz w:val="24"/>
          <w:szCs w:val="24"/>
        </w:rPr>
        <w:t xml:space="preserve">fully </w:t>
      </w:r>
      <w:r>
        <w:rPr>
          <w:rFonts w:ascii="Arial" w:hAnsi="Arial" w:cs="Arial"/>
          <w:sz w:val="24"/>
          <w:szCs w:val="24"/>
        </w:rPr>
        <w:t xml:space="preserve">opened to women </w:t>
      </w:r>
      <w:r w:rsidR="00C42B21">
        <w:rPr>
          <w:rFonts w:ascii="Arial" w:hAnsi="Arial" w:cs="Arial"/>
          <w:sz w:val="24"/>
          <w:szCs w:val="24"/>
        </w:rPr>
        <w:t>by</w:t>
      </w:r>
      <w:r>
        <w:rPr>
          <w:rFonts w:ascii="Arial" w:hAnsi="Arial" w:cs="Arial"/>
          <w:sz w:val="24"/>
          <w:szCs w:val="24"/>
        </w:rPr>
        <w:t xml:space="preserve"> 2016.</w:t>
      </w:r>
    </w:p>
    <w:p w:rsidR="006A45F5" w:rsidRDefault="006A45F5" w:rsidP="003160BA">
      <w:pPr>
        <w:spacing w:line="360" w:lineRule="auto"/>
        <w:jc w:val="both"/>
        <w:rPr>
          <w:rFonts w:ascii="Arial" w:hAnsi="Arial" w:cs="Arial"/>
          <w:sz w:val="24"/>
          <w:szCs w:val="24"/>
        </w:rPr>
      </w:pPr>
    </w:p>
    <w:p w:rsidR="006A45F5" w:rsidRDefault="006A45F5" w:rsidP="003160BA">
      <w:pPr>
        <w:spacing w:line="360" w:lineRule="auto"/>
        <w:jc w:val="both"/>
        <w:rPr>
          <w:rFonts w:ascii="Arial" w:hAnsi="Arial" w:cs="Arial"/>
          <w:sz w:val="24"/>
          <w:szCs w:val="24"/>
        </w:rPr>
      </w:pPr>
      <w:r>
        <w:rPr>
          <w:rFonts w:ascii="Arial" w:hAnsi="Arial" w:cs="Arial"/>
          <w:sz w:val="24"/>
          <w:szCs w:val="24"/>
        </w:rPr>
        <w:t xml:space="preserve">This paper will </w:t>
      </w:r>
      <w:r w:rsidR="00C42B21">
        <w:rPr>
          <w:rFonts w:ascii="Arial" w:hAnsi="Arial" w:cs="Arial"/>
          <w:sz w:val="24"/>
          <w:szCs w:val="24"/>
        </w:rPr>
        <w:t xml:space="preserve">consider the retention of the combat effectiveness exclusion and </w:t>
      </w:r>
      <w:r>
        <w:rPr>
          <w:rFonts w:ascii="Arial" w:hAnsi="Arial" w:cs="Arial"/>
          <w:sz w:val="24"/>
          <w:szCs w:val="24"/>
        </w:rPr>
        <w:t xml:space="preserve">analyse </w:t>
      </w:r>
      <w:r w:rsidR="00C42B21">
        <w:rPr>
          <w:rFonts w:ascii="Arial" w:hAnsi="Arial" w:cs="Arial"/>
          <w:sz w:val="24"/>
          <w:szCs w:val="24"/>
        </w:rPr>
        <w:t>its</w:t>
      </w:r>
      <w:r>
        <w:rPr>
          <w:rFonts w:ascii="Arial" w:hAnsi="Arial" w:cs="Arial"/>
          <w:sz w:val="24"/>
          <w:szCs w:val="24"/>
        </w:rPr>
        <w:t xml:space="preserve"> legality </w:t>
      </w:r>
      <w:r w:rsidR="00C42B21">
        <w:rPr>
          <w:rFonts w:ascii="Arial" w:hAnsi="Arial" w:cs="Arial"/>
          <w:sz w:val="24"/>
          <w:szCs w:val="24"/>
        </w:rPr>
        <w:t>especially</w:t>
      </w:r>
      <w:r>
        <w:rPr>
          <w:rFonts w:ascii="Arial" w:hAnsi="Arial" w:cs="Arial"/>
          <w:sz w:val="24"/>
          <w:szCs w:val="24"/>
        </w:rPr>
        <w:t xml:space="preserve"> with reference to EU </w:t>
      </w:r>
      <w:r w:rsidR="001D6183">
        <w:rPr>
          <w:rFonts w:ascii="Arial" w:hAnsi="Arial" w:cs="Arial"/>
          <w:sz w:val="24"/>
          <w:szCs w:val="24"/>
        </w:rPr>
        <w:t xml:space="preserve">and UK </w:t>
      </w:r>
      <w:r>
        <w:rPr>
          <w:rFonts w:ascii="Arial" w:hAnsi="Arial" w:cs="Arial"/>
          <w:sz w:val="24"/>
          <w:szCs w:val="24"/>
        </w:rPr>
        <w:t>law</w:t>
      </w:r>
      <w:r w:rsidR="00C42B21">
        <w:rPr>
          <w:rFonts w:ascii="Arial" w:hAnsi="Arial" w:cs="Arial"/>
          <w:sz w:val="24"/>
          <w:szCs w:val="24"/>
        </w:rPr>
        <w:t>.</w:t>
      </w:r>
    </w:p>
    <w:p w:rsidR="00DE30BC" w:rsidRDefault="00DE30BC" w:rsidP="003160BA">
      <w:pPr>
        <w:spacing w:line="360" w:lineRule="auto"/>
        <w:jc w:val="both"/>
        <w:rPr>
          <w:rFonts w:ascii="Arial" w:hAnsi="Arial" w:cs="Arial"/>
          <w:sz w:val="24"/>
          <w:szCs w:val="24"/>
        </w:rPr>
      </w:pPr>
    </w:p>
    <w:p w:rsidR="0073406F" w:rsidRDefault="008D3A17" w:rsidP="003160BA">
      <w:pPr>
        <w:spacing w:line="360" w:lineRule="auto"/>
        <w:jc w:val="both"/>
        <w:rPr>
          <w:rFonts w:ascii="Arial" w:hAnsi="Arial" w:cs="Arial"/>
          <w:sz w:val="24"/>
          <w:szCs w:val="24"/>
        </w:rPr>
      </w:pPr>
      <w:r>
        <w:rPr>
          <w:rFonts w:ascii="Arial" w:hAnsi="Arial" w:cs="Arial"/>
          <w:b/>
          <w:sz w:val="24"/>
          <w:szCs w:val="24"/>
          <w:u w:val="single"/>
        </w:rPr>
        <w:t>THE ORIGINAL POSITION</w:t>
      </w:r>
    </w:p>
    <w:p w:rsidR="00E800BE" w:rsidRDefault="00EC1EBC" w:rsidP="00EC1EBC">
      <w:pPr>
        <w:spacing w:line="360" w:lineRule="auto"/>
        <w:jc w:val="both"/>
        <w:rPr>
          <w:rFonts w:ascii="Arial" w:hAnsi="Arial" w:cs="Arial"/>
          <w:sz w:val="24"/>
          <w:szCs w:val="24"/>
        </w:rPr>
      </w:pPr>
      <w:r>
        <w:rPr>
          <w:rFonts w:ascii="Arial" w:hAnsi="Arial" w:cs="Arial"/>
          <w:sz w:val="24"/>
          <w:szCs w:val="24"/>
        </w:rPr>
        <w:t xml:space="preserve">Sex discrimination was initially regulated </w:t>
      </w:r>
      <w:r w:rsidR="00431DCE">
        <w:rPr>
          <w:rFonts w:ascii="Arial" w:hAnsi="Arial" w:cs="Arial"/>
          <w:sz w:val="24"/>
          <w:szCs w:val="24"/>
        </w:rPr>
        <w:t xml:space="preserve">in the </w:t>
      </w:r>
      <w:r>
        <w:rPr>
          <w:rFonts w:ascii="Arial" w:hAnsi="Arial" w:cs="Arial"/>
          <w:sz w:val="24"/>
          <w:szCs w:val="24"/>
        </w:rPr>
        <w:t>UK with the adoption of the Sex Discrimination Act 1975 (SDA75)</w:t>
      </w:r>
      <w:r w:rsidR="00D51FA0">
        <w:rPr>
          <w:rFonts w:ascii="Arial" w:hAnsi="Arial" w:cs="Arial"/>
          <w:sz w:val="24"/>
          <w:szCs w:val="24"/>
        </w:rPr>
        <w:t>, in advance of the adoption of the European Union’s Equal Treatment Directive</w:t>
      </w:r>
      <w:r w:rsidR="00D51FA0">
        <w:rPr>
          <w:rStyle w:val="FootnoteReference"/>
          <w:rFonts w:ascii="Arial" w:hAnsi="Arial" w:cs="Arial"/>
          <w:sz w:val="24"/>
          <w:szCs w:val="24"/>
        </w:rPr>
        <w:footnoteReference w:id="8"/>
      </w:r>
      <w:r w:rsidR="00D51FA0">
        <w:rPr>
          <w:rFonts w:ascii="Arial" w:hAnsi="Arial" w:cs="Arial"/>
          <w:sz w:val="24"/>
          <w:szCs w:val="24"/>
        </w:rPr>
        <w:t xml:space="preserve"> (ETD)</w:t>
      </w:r>
      <w:r>
        <w:rPr>
          <w:rFonts w:ascii="Arial" w:hAnsi="Arial" w:cs="Arial"/>
          <w:sz w:val="24"/>
          <w:szCs w:val="24"/>
        </w:rPr>
        <w:t xml:space="preserve">. </w:t>
      </w:r>
      <w:r w:rsidR="00E70839">
        <w:rPr>
          <w:rFonts w:ascii="Arial" w:hAnsi="Arial" w:cs="Arial"/>
          <w:sz w:val="24"/>
          <w:szCs w:val="24"/>
        </w:rPr>
        <w:t xml:space="preserve">The ETD prohibited sex discrimination in unequivocal terms </w:t>
      </w:r>
      <w:r w:rsidR="000862A6">
        <w:rPr>
          <w:rFonts w:ascii="Arial" w:hAnsi="Arial" w:cs="Arial"/>
          <w:sz w:val="24"/>
          <w:szCs w:val="24"/>
        </w:rPr>
        <w:t>in Article 2(1</w:t>
      </w:r>
      <w:proofErr w:type="gramStart"/>
      <w:r w:rsidR="000862A6">
        <w:rPr>
          <w:rFonts w:ascii="Arial" w:hAnsi="Arial" w:cs="Arial"/>
          <w:sz w:val="24"/>
          <w:szCs w:val="24"/>
        </w:rPr>
        <w:t>),</w:t>
      </w:r>
      <w:proofErr w:type="gramEnd"/>
      <w:r w:rsidR="000862A6">
        <w:rPr>
          <w:rFonts w:ascii="Arial" w:hAnsi="Arial" w:cs="Arial"/>
          <w:sz w:val="24"/>
          <w:szCs w:val="24"/>
        </w:rPr>
        <w:t xml:space="preserve"> be that dir</w:t>
      </w:r>
      <w:r w:rsidR="00E619FF">
        <w:rPr>
          <w:rFonts w:ascii="Arial" w:hAnsi="Arial" w:cs="Arial"/>
          <w:sz w:val="24"/>
          <w:szCs w:val="24"/>
        </w:rPr>
        <w:t>ect or indirect discrimination, with exclusion</w:t>
      </w:r>
      <w:r w:rsidR="002E18BB">
        <w:rPr>
          <w:rFonts w:ascii="Arial" w:hAnsi="Arial" w:cs="Arial"/>
          <w:sz w:val="24"/>
          <w:szCs w:val="24"/>
        </w:rPr>
        <w:t>s</w:t>
      </w:r>
      <w:r w:rsidR="00E619FF">
        <w:rPr>
          <w:rFonts w:ascii="Arial" w:hAnsi="Arial" w:cs="Arial"/>
          <w:sz w:val="24"/>
          <w:szCs w:val="24"/>
        </w:rPr>
        <w:t xml:space="preserve"> set out in Article</w:t>
      </w:r>
      <w:r w:rsidR="002E18BB">
        <w:rPr>
          <w:rFonts w:ascii="Arial" w:hAnsi="Arial" w:cs="Arial"/>
          <w:sz w:val="24"/>
          <w:szCs w:val="24"/>
        </w:rPr>
        <w:t>s</w:t>
      </w:r>
      <w:r w:rsidR="00E619FF">
        <w:rPr>
          <w:rFonts w:ascii="Arial" w:hAnsi="Arial" w:cs="Arial"/>
          <w:sz w:val="24"/>
          <w:szCs w:val="24"/>
        </w:rPr>
        <w:t xml:space="preserve"> 2(2)</w:t>
      </w:r>
      <w:r w:rsidR="002E18BB">
        <w:rPr>
          <w:rFonts w:ascii="Arial" w:hAnsi="Arial" w:cs="Arial"/>
          <w:sz w:val="24"/>
          <w:szCs w:val="24"/>
        </w:rPr>
        <w:t xml:space="preserve"> to 2(4)</w:t>
      </w:r>
      <w:r w:rsidR="00E619FF">
        <w:rPr>
          <w:rFonts w:ascii="Arial" w:hAnsi="Arial" w:cs="Arial"/>
          <w:sz w:val="24"/>
          <w:szCs w:val="24"/>
        </w:rPr>
        <w:t xml:space="preserve">. </w:t>
      </w:r>
      <w:r w:rsidR="002E18BB">
        <w:rPr>
          <w:rFonts w:ascii="Arial" w:hAnsi="Arial" w:cs="Arial"/>
          <w:sz w:val="24"/>
          <w:szCs w:val="24"/>
        </w:rPr>
        <w:t>Article 2(2)</w:t>
      </w:r>
      <w:r w:rsidR="00E619FF">
        <w:rPr>
          <w:rFonts w:ascii="Arial" w:hAnsi="Arial" w:cs="Arial"/>
          <w:sz w:val="24"/>
          <w:szCs w:val="24"/>
        </w:rPr>
        <w:t xml:space="preserve"> allowed Member States to exclude occupational activities and the training leading to those activities from the scope of the Directive “for which, by reason of their nature or the context in which they are carried out, the sex of the worker constitutes a determining factor”.</w:t>
      </w:r>
      <w:r w:rsidR="0022007F">
        <w:rPr>
          <w:rFonts w:ascii="Arial" w:hAnsi="Arial" w:cs="Arial"/>
          <w:sz w:val="24"/>
          <w:szCs w:val="24"/>
        </w:rPr>
        <w:t xml:space="preserve"> </w:t>
      </w:r>
      <w:r w:rsidR="002E18BB">
        <w:rPr>
          <w:rFonts w:ascii="Arial" w:hAnsi="Arial" w:cs="Arial"/>
          <w:sz w:val="24"/>
          <w:szCs w:val="24"/>
        </w:rPr>
        <w:t xml:space="preserve">Article 2(3) excluded “provisions concerning the protection of women, particularly as regards pregnancy and maternity”, and Article 2(4) excluded provisions designed to “promote equal opportunity for men and women”. </w:t>
      </w:r>
      <w:r w:rsidR="002A2AE4">
        <w:rPr>
          <w:rFonts w:ascii="Arial" w:hAnsi="Arial" w:cs="Arial"/>
          <w:sz w:val="24"/>
          <w:szCs w:val="24"/>
        </w:rPr>
        <w:t xml:space="preserve">The application of the principle of equal treatment prohibiting discrimination on grounds of sex was set out for three specific conditions: access to all jobs or posts, including selection criteria, whatever the sector or branch of activity (Article 3(1)); access to all types of vocational training and retraining (Article 4(1)); and, </w:t>
      </w:r>
      <w:r w:rsidR="0022007F">
        <w:rPr>
          <w:rFonts w:ascii="Arial" w:hAnsi="Arial" w:cs="Arial"/>
          <w:sz w:val="24"/>
          <w:szCs w:val="24"/>
        </w:rPr>
        <w:t xml:space="preserve">working conditions and the conditions governing dismissal </w:t>
      </w:r>
      <w:r w:rsidR="002A2AE4">
        <w:rPr>
          <w:rFonts w:ascii="Arial" w:hAnsi="Arial" w:cs="Arial"/>
          <w:sz w:val="24"/>
          <w:szCs w:val="24"/>
        </w:rPr>
        <w:t xml:space="preserve">(Article 5(1)). </w:t>
      </w:r>
      <w:r w:rsidR="0022007F">
        <w:rPr>
          <w:rFonts w:ascii="Arial" w:hAnsi="Arial" w:cs="Arial"/>
          <w:sz w:val="24"/>
          <w:szCs w:val="24"/>
        </w:rPr>
        <w:t>Article 6</w:t>
      </w:r>
      <w:r w:rsidR="00E619FF">
        <w:rPr>
          <w:rFonts w:ascii="Arial" w:hAnsi="Arial" w:cs="Arial"/>
          <w:sz w:val="24"/>
          <w:szCs w:val="24"/>
        </w:rPr>
        <w:t xml:space="preserve"> </w:t>
      </w:r>
      <w:r w:rsidR="00BC2CCE">
        <w:rPr>
          <w:rFonts w:ascii="Arial" w:hAnsi="Arial" w:cs="Arial"/>
          <w:sz w:val="24"/>
          <w:szCs w:val="24"/>
        </w:rPr>
        <w:t>required Memb</w:t>
      </w:r>
      <w:r w:rsidR="00075097">
        <w:rPr>
          <w:rFonts w:ascii="Arial" w:hAnsi="Arial" w:cs="Arial"/>
          <w:sz w:val="24"/>
          <w:szCs w:val="24"/>
        </w:rPr>
        <w:t>er States to provide methods for individuals suffering from sex discrimination to obtain redress through processes that could culminate in the courts.</w:t>
      </w:r>
    </w:p>
    <w:p w:rsidR="00E800BE" w:rsidRDefault="00E800BE" w:rsidP="00EC1EBC">
      <w:pPr>
        <w:spacing w:line="360" w:lineRule="auto"/>
        <w:jc w:val="both"/>
        <w:rPr>
          <w:rFonts w:ascii="Arial" w:hAnsi="Arial" w:cs="Arial"/>
          <w:sz w:val="24"/>
          <w:szCs w:val="24"/>
        </w:rPr>
      </w:pPr>
    </w:p>
    <w:p w:rsidR="00843565" w:rsidRDefault="00075097" w:rsidP="00EC1EBC">
      <w:pPr>
        <w:spacing w:line="360" w:lineRule="auto"/>
        <w:jc w:val="both"/>
        <w:rPr>
          <w:rFonts w:ascii="Arial" w:hAnsi="Arial" w:cs="Arial"/>
          <w:sz w:val="24"/>
          <w:szCs w:val="24"/>
        </w:rPr>
      </w:pPr>
      <w:r>
        <w:rPr>
          <w:rFonts w:ascii="Arial" w:hAnsi="Arial" w:cs="Arial"/>
          <w:sz w:val="24"/>
          <w:szCs w:val="24"/>
        </w:rPr>
        <w:t xml:space="preserve">The prevailing view at the time was that the </w:t>
      </w:r>
      <w:r w:rsidR="00C27E47">
        <w:rPr>
          <w:rFonts w:ascii="Arial" w:hAnsi="Arial" w:cs="Arial"/>
          <w:sz w:val="24"/>
          <w:szCs w:val="24"/>
        </w:rPr>
        <w:t>Member States retained exclusive competence over all matters concerning their armed forces and thus the ETD had no purchase over the military. R</w:t>
      </w:r>
      <w:r>
        <w:rPr>
          <w:rFonts w:ascii="Arial" w:hAnsi="Arial" w:cs="Arial"/>
          <w:sz w:val="24"/>
          <w:szCs w:val="24"/>
        </w:rPr>
        <w:t>eflecting this opinion t</w:t>
      </w:r>
      <w:r w:rsidR="00EC1EBC">
        <w:rPr>
          <w:rFonts w:ascii="Arial" w:hAnsi="Arial" w:cs="Arial"/>
          <w:sz w:val="24"/>
          <w:szCs w:val="24"/>
        </w:rPr>
        <w:t>he SDA75 contained a provision, s 85(4), which excluded from the scope of the Act “service in...</w:t>
      </w:r>
      <w:proofErr w:type="gramStart"/>
      <w:r w:rsidR="00EC1EBC">
        <w:rPr>
          <w:rFonts w:ascii="Arial" w:hAnsi="Arial" w:cs="Arial"/>
          <w:sz w:val="24"/>
          <w:szCs w:val="24"/>
        </w:rPr>
        <w:t>the</w:t>
      </w:r>
      <w:proofErr w:type="gramEnd"/>
      <w:r w:rsidR="00EC1EBC">
        <w:rPr>
          <w:rFonts w:ascii="Arial" w:hAnsi="Arial" w:cs="Arial"/>
          <w:sz w:val="24"/>
          <w:szCs w:val="24"/>
        </w:rPr>
        <w:t xml:space="preserve"> naval, military and air forces of the Crown”</w:t>
      </w:r>
      <w:r w:rsidR="00C27E47">
        <w:rPr>
          <w:rFonts w:ascii="Arial" w:hAnsi="Arial" w:cs="Arial"/>
          <w:sz w:val="24"/>
          <w:szCs w:val="24"/>
        </w:rPr>
        <w:t xml:space="preserve"> and the military duly acted by dismissing </w:t>
      </w:r>
      <w:r w:rsidR="00F82650">
        <w:rPr>
          <w:rFonts w:ascii="Arial" w:hAnsi="Arial" w:cs="Arial"/>
          <w:sz w:val="24"/>
          <w:szCs w:val="24"/>
        </w:rPr>
        <w:t xml:space="preserve">without compensation </w:t>
      </w:r>
      <w:r w:rsidR="00C27E47">
        <w:rPr>
          <w:rFonts w:ascii="Arial" w:hAnsi="Arial" w:cs="Arial"/>
          <w:sz w:val="24"/>
          <w:szCs w:val="24"/>
        </w:rPr>
        <w:t>women from</w:t>
      </w:r>
      <w:r w:rsidR="00F82650">
        <w:rPr>
          <w:rFonts w:ascii="Arial" w:hAnsi="Arial" w:cs="Arial"/>
          <w:sz w:val="24"/>
          <w:szCs w:val="24"/>
        </w:rPr>
        <w:t xml:space="preserve"> the services who fell pregnant</w:t>
      </w:r>
      <w:r w:rsidR="00EC1EBC">
        <w:rPr>
          <w:rFonts w:ascii="Arial" w:hAnsi="Arial" w:cs="Arial"/>
          <w:sz w:val="24"/>
          <w:szCs w:val="24"/>
        </w:rPr>
        <w:t>.</w:t>
      </w:r>
      <w:r w:rsidR="00F82650">
        <w:rPr>
          <w:rFonts w:ascii="Arial" w:hAnsi="Arial" w:cs="Arial"/>
          <w:sz w:val="24"/>
          <w:szCs w:val="24"/>
        </w:rPr>
        <w:t xml:space="preserve"> In a series of cases, the ECJ found Article 5(1) to be directly effective</w:t>
      </w:r>
      <w:r w:rsidR="00F82650" w:rsidRPr="009F7D38">
        <w:rPr>
          <w:rStyle w:val="FootnoteReference"/>
          <w:rFonts w:ascii="Arial" w:hAnsi="Arial" w:cs="Arial"/>
          <w:sz w:val="24"/>
          <w:szCs w:val="24"/>
        </w:rPr>
        <w:footnoteReference w:id="9"/>
      </w:r>
      <w:r w:rsidR="007F252A">
        <w:rPr>
          <w:rFonts w:ascii="Arial" w:hAnsi="Arial" w:cs="Arial"/>
          <w:sz w:val="24"/>
          <w:szCs w:val="24"/>
        </w:rPr>
        <w:t xml:space="preserve"> (as was subsequently Articles 2(1), 3(1) and 4(1)</w:t>
      </w:r>
      <w:r w:rsidR="007F252A">
        <w:rPr>
          <w:rStyle w:val="FootnoteReference"/>
          <w:rFonts w:ascii="Arial" w:hAnsi="Arial" w:cs="Arial"/>
          <w:sz w:val="24"/>
          <w:szCs w:val="24"/>
        </w:rPr>
        <w:footnoteReference w:id="10"/>
      </w:r>
      <w:r w:rsidR="007F252A">
        <w:rPr>
          <w:rFonts w:ascii="Arial" w:hAnsi="Arial" w:cs="Arial"/>
          <w:sz w:val="24"/>
          <w:szCs w:val="24"/>
        </w:rPr>
        <w:t>)</w:t>
      </w:r>
      <w:r w:rsidR="00F82650">
        <w:rPr>
          <w:rFonts w:ascii="Arial" w:hAnsi="Arial" w:cs="Arial"/>
          <w:sz w:val="24"/>
          <w:szCs w:val="24"/>
        </w:rPr>
        <w:t>, so an individual could bring domestic legal action to claim their EU rights, that dismissal of a pregnant woman on the basis of her pregnancy amounted to direct sex discrimination</w:t>
      </w:r>
      <w:r w:rsidR="00F82650" w:rsidRPr="00CB6E0A">
        <w:rPr>
          <w:rStyle w:val="FootnoteReference"/>
          <w:rFonts w:ascii="Arial" w:hAnsi="Arial" w:cs="Arial"/>
          <w:sz w:val="24"/>
          <w:szCs w:val="24"/>
        </w:rPr>
        <w:footnoteReference w:id="11"/>
      </w:r>
      <w:r w:rsidR="00F82650">
        <w:rPr>
          <w:rFonts w:ascii="Arial" w:hAnsi="Arial" w:cs="Arial"/>
          <w:sz w:val="24"/>
          <w:szCs w:val="24"/>
        </w:rPr>
        <w:t>, that Article 6 had to be interpreted so that no upper limit could be set for compensation for dismissal</w:t>
      </w:r>
      <w:r w:rsidR="00F82650" w:rsidRPr="00950A47">
        <w:rPr>
          <w:rStyle w:val="FootnoteReference"/>
          <w:rFonts w:ascii="Arial" w:hAnsi="Arial" w:cs="Arial"/>
          <w:sz w:val="24"/>
          <w:szCs w:val="24"/>
        </w:rPr>
        <w:footnoteReference w:id="12"/>
      </w:r>
      <w:r w:rsidR="00F82650">
        <w:rPr>
          <w:rFonts w:ascii="Arial" w:hAnsi="Arial" w:cs="Arial"/>
          <w:sz w:val="24"/>
          <w:szCs w:val="24"/>
        </w:rPr>
        <w:t xml:space="preserve">  and any time limit for compensation only started to run once the Directive had been correctly transposed</w:t>
      </w:r>
      <w:r w:rsidR="00F82650" w:rsidRPr="009442B8">
        <w:rPr>
          <w:rStyle w:val="FootnoteReference"/>
          <w:rFonts w:ascii="Arial" w:hAnsi="Arial" w:cs="Arial"/>
          <w:sz w:val="24"/>
          <w:szCs w:val="24"/>
        </w:rPr>
        <w:footnoteReference w:id="13"/>
      </w:r>
      <w:r w:rsidR="00F82650">
        <w:rPr>
          <w:rFonts w:ascii="Arial" w:hAnsi="Arial" w:cs="Arial"/>
          <w:sz w:val="24"/>
          <w:szCs w:val="24"/>
        </w:rPr>
        <w:t>.</w:t>
      </w:r>
      <w:r w:rsidR="00EC1EBC">
        <w:rPr>
          <w:rFonts w:ascii="Arial" w:hAnsi="Arial" w:cs="Arial"/>
          <w:sz w:val="24"/>
          <w:szCs w:val="24"/>
        </w:rPr>
        <w:t xml:space="preserve"> </w:t>
      </w:r>
      <w:r w:rsidR="007179C4">
        <w:rPr>
          <w:rFonts w:ascii="Arial" w:hAnsi="Arial" w:cs="Arial"/>
          <w:sz w:val="24"/>
          <w:szCs w:val="24"/>
        </w:rPr>
        <w:t xml:space="preserve">The result was an appreciation that </w:t>
      </w:r>
      <w:r w:rsidR="006E1BFA">
        <w:rPr>
          <w:rFonts w:ascii="Arial" w:hAnsi="Arial" w:cs="Arial"/>
          <w:sz w:val="24"/>
          <w:szCs w:val="24"/>
        </w:rPr>
        <w:t>the policy of dismissing pregnant service women was illegal leading to a considerable number of legal challenges</w:t>
      </w:r>
      <w:r w:rsidR="006E1BFA">
        <w:rPr>
          <w:rStyle w:val="FootnoteReference"/>
          <w:rFonts w:ascii="Arial" w:hAnsi="Arial" w:cs="Arial"/>
          <w:sz w:val="24"/>
          <w:szCs w:val="24"/>
        </w:rPr>
        <w:footnoteReference w:id="14"/>
      </w:r>
      <w:r w:rsidR="006E1BFA">
        <w:rPr>
          <w:rFonts w:ascii="Arial" w:hAnsi="Arial" w:cs="Arial"/>
          <w:sz w:val="24"/>
          <w:szCs w:val="24"/>
        </w:rPr>
        <w:t xml:space="preserve"> and eventual compensation</w:t>
      </w:r>
      <w:r w:rsidR="006E1BFA" w:rsidRPr="00024002">
        <w:rPr>
          <w:rStyle w:val="FootnoteReference"/>
          <w:rFonts w:ascii="Arial" w:hAnsi="Arial" w:cs="Arial"/>
          <w:sz w:val="24"/>
          <w:szCs w:val="24"/>
        </w:rPr>
        <w:footnoteReference w:id="15"/>
      </w:r>
      <w:r w:rsidR="006E1BFA">
        <w:rPr>
          <w:rFonts w:ascii="Arial" w:hAnsi="Arial" w:cs="Arial"/>
          <w:sz w:val="24"/>
          <w:szCs w:val="24"/>
        </w:rPr>
        <w:t xml:space="preserve"> until maternity leave for pregnant service women was introduced in 1990, that </w:t>
      </w:r>
      <w:r w:rsidR="007179C4">
        <w:rPr>
          <w:rFonts w:ascii="Arial" w:hAnsi="Arial" w:cs="Arial"/>
          <w:sz w:val="24"/>
          <w:szCs w:val="24"/>
        </w:rPr>
        <w:t xml:space="preserve">SDA75 s 85(4) was irreconcilable with the ETD </w:t>
      </w:r>
      <w:r w:rsidR="006E1BFA">
        <w:rPr>
          <w:rFonts w:ascii="Arial" w:hAnsi="Arial" w:cs="Arial"/>
          <w:sz w:val="24"/>
          <w:szCs w:val="24"/>
        </w:rPr>
        <w:t xml:space="preserve">and finally that the EU had some undefined competence over military policy. </w:t>
      </w:r>
    </w:p>
    <w:p w:rsidR="00843565" w:rsidRDefault="00843565" w:rsidP="00EC1EBC">
      <w:pPr>
        <w:spacing w:line="360" w:lineRule="auto"/>
        <w:jc w:val="both"/>
        <w:rPr>
          <w:rFonts w:ascii="Arial" w:hAnsi="Arial" w:cs="Arial"/>
          <w:sz w:val="24"/>
          <w:szCs w:val="24"/>
        </w:rPr>
      </w:pPr>
    </w:p>
    <w:p w:rsidR="0084518B" w:rsidRDefault="00843565" w:rsidP="00EC1EBC">
      <w:pPr>
        <w:spacing w:line="360" w:lineRule="auto"/>
        <w:jc w:val="both"/>
        <w:rPr>
          <w:rFonts w:ascii="Arial" w:hAnsi="Arial" w:cs="Arial"/>
          <w:sz w:val="24"/>
          <w:szCs w:val="24"/>
        </w:rPr>
      </w:pPr>
      <w:r>
        <w:rPr>
          <w:rFonts w:ascii="Arial" w:hAnsi="Arial" w:cs="Arial"/>
          <w:sz w:val="24"/>
          <w:szCs w:val="24"/>
        </w:rPr>
        <w:t>S</w:t>
      </w:r>
      <w:r w:rsidR="00EC1EBC">
        <w:rPr>
          <w:rFonts w:ascii="Arial" w:hAnsi="Arial" w:cs="Arial"/>
          <w:sz w:val="24"/>
          <w:szCs w:val="24"/>
        </w:rPr>
        <w:t xml:space="preserve"> 85(4) of the SDA75</w:t>
      </w:r>
      <w:r>
        <w:rPr>
          <w:rFonts w:ascii="Arial" w:hAnsi="Arial" w:cs="Arial"/>
          <w:sz w:val="24"/>
          <w:szCs w:val="24"/>
        </w:rPr>
        <w:t xml:space="preserve"> was amended</w:t>
      </w:r>
      <w:r w:rsidR="00EC1EBC">
        <w:rPr>
          <w:rFonts w:ascii="Arial" w:hAnsi="Arial" w:cs="Arial"/>
          <w:sz w:val="24"/>
          <w:szCs w:val="24"/>
        </w:rPr>
        <w:t>, through the Sex Discrimination Act 1975 (after amendment by the Sex Discrimination Act 1975 (Application to Armed Forces etc.) Regulations 1994</w:t>
      </w:r>
      <w:r w:rsidR="00EC1EBC">
        <w:rPr>
          <w:rStyle w:val="FootnoteReference"/>
          <w:rFonts w:ascii="Arial" w:hAnsi="Arial" w:cs="Arial"/>
          <w:sz w:val="24"/>
          <w:szCs w:val="24"/>
        </w:rPr>
        <w:footnoteReference w:id="16"/>
      </w:r>
      <w:r w:rsidR="00EC1EBC">
        <w:rPr>
          <w:rFonts w:ascii="Arial" w:hAnsi="Arial" w:cs="Arial"/>
          <w:sz w:val="24"/>
          <w:szCs w:val="24"/>
        </w:rPr>
        <w:t>, to read that “[n]</w:t>
      </w:r>
      <w:proofErr w:type="spellStart"/>
      <w:r w:rsidR="00EC1EBC">
        <w:rPr>
          <w:rFonts w:ascii="Arial" w:hAnsi="Arial" w:cs="Arial"/>
          <w:sz w:val="24"/>
          <w:szCs w:val="24"/>
        </w:rPr>
        <w:t>othing</w:t>
      </w:r>
      <w:proofErr w:type="spellEnd"/>
      <w:r w:rsidR="00EC1EBC">
        <w:rPr>
          <w:rFonts w:ascii="Arial" w:hAnsi="Arial" w:cs="Arial"/>
          <w:sz w:val="24"/>
          <w:szCs w:val="24"/>
        </w:rPr>
        <w:t xml:space="preserve"> in this Act shall render unlawful an act </w:t>
      </w:r>
      <w:r w:rsidR="00EC1EBC">
        <w:rPr>
          <w:rFonts w:ascii="Arial" w:hAnsi="Arial" w:cs="Arial"/>
          <w:sz w:val="24"/>
          <w:szCs w:val="24"/>
        </w:rPr>
        <w:lastRenderedPageBreak/>
        <w:t>done for the purpose of ensuring the combat effectiveness of the naval, mili</w:t>
      </w:r>
      <w:r>
        <w:rPr>
          <w:rFonts w:ascii="Arial" w:hAnsi="Arial" w:cs="Arial"/>
          <w:sz w:val="24"/>
          <w:szCs w:val="24"/>
        </w:rPr>
        <w:t>tary or air forces of the Crown</w:t>
      </w:r>
      <w:r w:rsidR="00EC1EBC">
        <w:rPr>
          <w:rFonts w:ascii="Arial" w:hAnsi="Arial" w:cs="Arial"/>
          <w:sz w:val="24"/>
          <w:szCs w:val="24"/>
        </w:rPr>
        <w:t xml:space="preserve">” </w:t>
      </w:r>
      <w:r>
        <w:rPr>
          <w:rFonts w:ascii="Arial" w:hAnsi="Arial" w:cs="Arial"/>
          <w:sz w:val="24"/>
          <w:szCs w:val="24"/>
        </w:rPr>
        <w:t>but the reach of EU law as it applied to the armed forces was determined</w:t>
      </w:r>
      <w:r w:rsidR="002E18BB">
        <w:rPr>
          <w:rFonts w:ascii="Arial" w:hAnsi="Arial" w:cs="Arial"/>
          <w:sz w:val="24"/>
          <w:szCs w:val="24"/>
        </w:rPr>
        <w:t xml:space="preserve"> by further case law of the ECJ, particularly over the interpretation of the derogations to the prohibition of sex discrimination in Articles 2(2) and (3).</w:t>
      </w:r>
      <w:r>
        <w:rPr>
          <w:rFonts w:ascii="Arial" w:hAnsi="Arial" w:cs="Arial"/>
          <w:sz w:val="24"/>
          <w:szCs w:val="24"/>
        </w:rPr>
        <w:t xml:space="preserve"> </w:t>
      </w:r>
      <w:r w:rsidR="002E18BB">
        <w:rPr>
          <w:rFonts w:ascii="Arial" w:hAnsi="Arial" w:cs="Arial"/>
          <w:sz w:val="24"/>
          <w:szCs w:val="24"/>
        </w:rPr>
        <w:t xml:space="preserve">In </w:t>
      </w:r>
      <w:r w:rsidR="002E18BB" w:rsidRPr="002E18BB">
        <w:rPr>
          <w:rFonts w:ascii="Arial" w:hAnsi="Arial" w:cs="Arial"/>
          <w:sz w:val="24"/>
          <w:szCs w:val="24"/>
          <w:u w:val="single"/>
        </w:rPr>
        <w:t>Johnston</w:t>
      </w:r>
      <w:r w:rsidR="002E18BB">
        <w:rPr>
          <w:rStyle w:val="FootnoteReference"/>
          <w:rFonts w:ascii="Arial" w:hAnsi="Arial" w:cs="Arial"/>
          <w:sz w:val="24"/>
          <w:szCs w:val="24"/>
        </w:rPr>
        <w:footnoteReference w:id="17"/>
      </w:r>
      <w:r w:rsidR="002E18BB">
        <w:rPr>
          <w:rFonts w:ascii="Arial" w:hAnsi="Arial" w:cs="Arial"/>
          <w:sz w:val="24"/>
          <w:szCs w:val="24"/>
        </w:rPr>
        <w:t xml:space="preserve">, a case </w:t>
      </w:r>
      <w:r w:rsidR="00380954">
        <w:rPr>
          <w:rFonts w:ascii="Arial" w:hAnsi="Arial" w:cs="Arial"/>
          <w:sz w:val="24"/>
          <w:szCs w:val="24"/>
        </w:rPr>
        <w:t>involving the arming of women in the Northern Irish reserve police force, the Court found that Articles 2(2) and (3), being derogations from an individual right set out in the Directive,</w:t>
      </w:r>
      <w:r w:rsidR="00633EC3">
        <w:rPr>
          <w:rFonts w:ascii="Arial" w:hAnsi="Arial" w:cs="Arial"/>
          <w:sz w:val="24"/>
          <w:szCs w:val="24"/>
        </w:rPr>
        <w:t xml:space="preserve"> had to be interpreted strictly and</w:t>
      </w:r>
      <w:r w:rsidR="00380954">
        <w:rPr>
          <w:rFonts w:ascii="Arial" w:hAnsi="Arial" w:cs="Arial"/>
          <w:sz w:val="24"/>
          <w:szCs w:val="24"/>
        </w:rPr>
        <w:t xml:space="preserve"> </w:t>
      </w:r>
      <w:r w:rsidR="00E6576C">
        <w:rPr>
          <w:rFonts w:ascii="Arial" w:hAnsi="Arial" w:cs="Arial"/>
          <w:sz w:val="24"/>
          <w:szCs w:val="24"/>
        </w:rPr>
        <w:t>the principle of proportionality had to be observed for all derogations such that derogations had to “remain within the limits of what is appropriate and necessary for achieving the aim in view”</w:t>
      </w:r>
      <w:r w:rsidR="00E6576C">
        <w:rPr>
          <w:rStyle w:val="FootnoteReference"/>
          <w:rFonts w:ascii="Arial" w:hAnsi="Arial" w:cs="Arial"/>
          <w:sz w:val="24"/>
          <w:szCs w:val="24"/>
        </w:rPr>
        <w:footnoteReference w:id="18"/>
      </w:r>
      <w:r w:rsidR="00E6576C">
        <w:rPr>
          <w:rFonts w:ascii="Arial" w:hAnsi="Arial" w:cs="Arial"/>
          <w:sz w:val="24"/>
          <w:szCs w:val="24"/>
        </w:rPr>
        <w:t xml:space="preserve">.  </w:t>
      </w:r>
      <w:r w:rsidR="00633EC3">
        <w:rPr>
          <w:rFonts w:ascii="Arial" w:hAnsi="Arial" w:cs="Arial"/>
          <w:sz w:val="24"/>
          <w:szCs w:val="24"/>
        </w:rPr>
        <w:t>Furthermore, Article 2(3) did not allow women to be excluded form a certain type of employment because public opinion demanded that women be given greater protection than men against risks which affected men and women in the same way and which were distinct from women’s specific needs of protection</w:t>
      </w:r>
      <w:r w:rsidR="00633EC3">
        <w:rPr>
          <w:rStyle w:val="FootnoteReference"/>
          <w:rFonts w:ascii="Arial" w:hAnsi="Arial" w:cs="Arial"/>
          <w:sz w:val="24"/>
          <w:szCs w:val="24"/>
        </w:rPr>
        <w:footnoteReference w:id="19"/>
      </w:r>
      <w:r w:rsidR="00633EC3">
        <w:rPr>
          <w:rFonts w:ascii="Arial" w:hAnsi="Arial" w:cs="Arial"/>
          <w:sz w:val="24"/>
          <w:szCs w:val="24"/>
        </w:rPr>
        <w:t xml:space="preserve">. </w:t>
      </w:r>
      <w:r w:rsidR="00EC1EBC">
        <w:rPr>
          <w:rFonts w:ascii="Arial" w:hAnsi="Arial" w:cs="Arial"/>
          <w:sz w:val="24"/>
          <w:szCs w:val="24"/>
        </w:rPr>
        <w:t>In</w:t>
      </w:r>
      <w:r w:rsidR="00E6576C">
        <w:rPr>
          <w:rFonts w:ascii="Arial" w:hAnsi="Arial" w:cs="Arial"/>
          <w:sz w:val="24"/>
          <w:szCs w:val="24"/>
        </w:rPr>
        <w:t xml:space="preserve"> </w:t>
      </w:r>
      <w:r w:rsidR="00E6576C" w:rsidRPr="00E6576C">
        <w:rPr>
          <w:rFonts w:ascii="Arial" w:hAnsi="Arial" w:cs="Arial"/>
          <w:sz w:val="24"/>
          <w:szCs w:val="24"/>
          <w:u w:val="single"/>
        </w:rPr>
        <w:t>Sirdar</w:t>
      </w:r>
      <w:r w:rsidR="00E6576C">
        <w:rPr>
          <w:rStyle w:val="FootnoteReference"/>
          <w:rFonts w:ascii="Arial" w:hAnsi="Arial" w:cs="Arial"/>
          <w:sz w:val="24"/>
          <w:szCs w:val="24"/>
        </w:rPr>
        <w:footnoteReference w:id="20"/>
      </w:r>
      <w:r w:rsidR="00EC1EBC">
        <w:rPr>
          <w:rFonts w:ascii="Arial" w:hAnsi="Arial" w:cs="Arial"/>
          <w:sz w:val="24"/>
          <w:szCs w:val="24"/>
        </w:rPr>
        <w:t xml:space="preserve"> </w:t>
      </w:r>
      <w:r w:rsidR="00E6576C">
        <w:rPr>
          <w:rFonts w:ascii="Arial" w:hAnsi="Arial" w:cs="Arial"/>
          <w:sz w:val="24"/>
          <w:szCs w:val="24"/>
        </w:rPr>
        <w:t>Mrs Sirdar was a chef serving with a commando regiment of the Royal Artillery when, after a review of the number of chefs in the Army, she was issued with a redundancy notice but invited to transfer to the Royal Marines who were short of chefs</w:t>
      </w:r>
      <w:r w:rsidR="009774C3">
        <w:rPr>
          <w:rFonts w:ascii="Arial" w:hAnsi="Arial" w:cs="Arial"/>
          <w:sz w:val="24"/>
          <w:szCs w:val="24"/>
        </w:rPr>
        <w:t xml:space="preserve"> after passing an initial selection board and a commando training course. Once the Royal Marine authorities discovered that Mrs Sirdar was a woman the invite was rescinded</w:t>
      </w:r>
      <w:r w:rsidR="00B73BDC">
        <w:rPr>
          <w:rFonts w:ascii="Arial" w:hAnsi="Arial" w:cs="Arial"/>
          <w:sz w:val="24"/>
          <w:szCs w:val="24"/>
        </w:rPr>
        <w:t>,</w:t>
      </w:r>
      <w:r w:rsidR="009774C3">
        <w:rPr>
          <w:rFonts w:ascii="Arial" w:hAnsi="Arial" w:cs="Arial"/>
          <w:sz w:val="24"/>
          <w:szCs w:val="24"/>
        </w:rPr>
        <w:t xml:space="preserve"> her redundancy </w:t>
      </w:r>
      <w:r w:rsidR="00B73BDC">
        <w:rPr>
          <w:rFonts w:ascii="Arial" w:hAnsi="Arial" w:cs="Arial"/>
          <w:sz w:val="24"/>
          <w:szCs w:val="24"/>
        </w:rPr>
        <w:t xml:space="preserve">executed and she launched an action for sex discrimination, which was referred to the ECJ for a preliminary reference. </w:t>
      </w:r>
      <w:r w:rsidR="009774C3">
        <w:rPr>
          <w:rFonts w:ascii="Arial" w:hAnsi="Arial" w:cs="Arial"/>
          <w:sz w:val="24"/>
          <w:szCs w:val="24"/>
        </w:rPr>
        <w:t xml:space="preserve"> </w:t>
      </w:r>
      <w:r w:rsidR="00B73BDC">
        <w:rPr>
          <w:rFonts w:ascii="Arial" w:hAnsi="Arial" w:cs="Arial"/>
          <w:sz w:val="24"/>
          <w:szCs w:val="24"/>
        </w:rPr>
        <w:t>T</w:t>
      </w:r>
      <w:r w:rsidR="00EC1EBC">
        <w:rPr>
          <w:rFonts w:ascii="Arial" w:hAnsi="Arial" w:cs="Arial"/>
          <w:sz w:val="24"/>
          <w:szCs w:val="24"/>
        </w:rPr>
        <w:t xml:space="preserve">he ECJ held that the Member States have competence to take decisions on the organisation of their armed forces in order to ensure their </w:t>
      </w:r>
      <w:r w:rsidR="00486D00">
        <w:rPr>
          <w:rFonts w:ascii="Arial" w:hAnsi="Arial" w:cs="Arial"/>
          <w:sz w:val="24"/>
          <w:szCs w:val="24"/>
        </w:rPr>
        <w:t xml:space="preserve">internal and external </w:t>
      </w:r>
      <w:r w:rsidR="00EC1EBC">
        <w:rPr>
          <w:rFonts w:ascii="Arial" w:hAnsi="Arial" w:cs="Arial"/>
          <w:sz w:val="24"/>
          <w:szCs w:val="24"/>
        </w:rPr>
        <w:t>security</w:t>
      </w:r>
      <w:r w:rsidR="00486D00">
        <w:rPr>
          <w:rFonts w:ascii="Arial" w:hAnsi="Arial" w:cs="Arial"/>
          <w:sz w:val="24"/>
          <w:szCs w:val="24"/>
        </w:rPr>
        <w:t>, but this did not mean that such decisions fell entirely outside the scope of Union law</w:t>
      </w:r>
      <w:r w:rsidR="00EC1EBC">
        <w:rPr>
          <w:rStyle w:val="FootnoteReference"/>
          <w:rFonts w:ascii="Arial" w:hAnsi="Arial" w:cs="Arial"/>
          <w:sz w:val="24"/>
          <w:szCs w:val="24"/>
        </w:rPr>
        <w:footnoteReference w:id="21"/>
      </w:r>
      <w:r w:rsidR="00EC1EBC">
        <w:rPr>
          <w:rFonts w:ascii="Arial" w:hAnsi="Arial" w:cs="Arial"/>
          <w:sz w:val="24"/>
          <w:szCs w:val="24"/>
        </w:rPr>
        <w:t xml:space="preserve">. </w:t>
      </w:r>
      <w:r w:rsidR="00FF3E8D">
        <w:rPr>
          <w:rFonts w:ascii="Arial" w:hAnsi="Arial" w:cs="Arial"/>
          <w:sz w:val="24"/>
          <w:szCs w:val="24"/>
        </w:rPr>
        <w:t>Indeed the Court stated categorically that there was no general reservation to the application of the principle of equal treatment for men and women, except for the possible application of the wholly exceptional situation envisaged in Article 224EC (now Article 347TFEU)</w:t>
      </w:r>
      <w:r w:rsidR="00FF3E8D">
        <w:rPr>
          <w:rStyle w:val="FootnoteReference"/>
          <w:rFonts w:ascii="Arial" w:hAnsi="Arial" w:cs="Arial"/>
          <w:sz w:val="24"/>
          <w:szCs w:val="24"/>
        </w:rPr>
        <w:footnoteReference w:id="22"/>
      </w:r>
      <w:r w:rsidR="00FF3E8D">
        <w:rPr>
          <w:rFonts w:ascii="Arial" w:hAnsi="Arial" w:cs="Arial"/>
          <w:sz w:val="24"/>
          <w:szCs w:val="24"/>
        </w:rPr>
        <w:t xml:space="preserve">. </w:t>
      </w:r>
      <w:r w:rsidR="0015577C">
        <w:rPr>
          <w:rFonts w:ascii="Arial" w:hAnsi="Arial" w:cs="Arial"/>
          <w:sz w:val="24"/>
          <w:szCs w:val="24"/>
        </w:rPr>
        <w:t xml:space="preserve">Nevertheless, depending on the circumstances, which the </w:t>
      </w:r>
      <w:r w:rsidR="0015577C">
        <w:rPr>
          <w:rFonts w:ascii="Arial" w:hAnsi="Arial" w:cs="Arial"/>
          <w:sz w:val="24"/>
          <w:szCs w:val="24"/>
        </w:rPr>
        <w:lastRenderedPageBreak/>
        <w:t>Court did</w:t>
      </w:r>
      <w:r w:rsidR="00581489">
        <w:rPr>
          <w:rFonts w:ascii="Arial" w:hAnsi="Arial" w:cs="Arial"/>
          <w:sz w:val="24"/>
          <w:szCs w:val="24"/>
        </w:rPr>
        <w:t xml:space="preserve"> not set out, Member States had</w:t>
      </w:r>
      <w:r w:rsidR="0015577C">
        <w:rPr>
          <w:rFonts w:ascii="Arial" w:hAnsi="Arial" w:cs="Arial"/>
          <w:sz w:val="24"/>
          <w:szCs w:val="24"/>
        </w:rPr>
        <w:t xml:space="preserve"> a margin of discretion when adopting measures to guarantee public security</w:t>
      </w:r>
      <w:r w:rsidR="0015577C">
        <w:rPr>
          <w:rStyle w:val="FootnoteReference"/>
          <w:rFonts w:ascii="Arial" w:hAnsi="Arial" w:cs="Arial"/>
          <w:sz w:val="24"/>
          <w:szCs w:val="24"/>
        </w:rPr>
        <w:footnoteReference w:id="23"/>
      </w:r>
      <w:r w:rsidR="0015577C">
        <w:rPr>
          <w:rFonts w:ascii="Arial" w:hAnsi="Arial" w:cs="Arial"/>
          <w:sz w:val="24"/>
          <w:szCs w:val="24"/>
        </w:rPr>
        <w:t>, so lon</w:t>
      </w:r>
      <w:r w:rsidR="00581489">
        <w:rPr>
          <w:rFonts w:ascii="Arial" w:hAnsi="Arial" w:cs="Arial"/>
          <w:sz w:val="24"/>
          <w:szCs w:val="24"/>
        </w:rPr>
        <w:t>g as those measures had</w:t>
      </w:r>
      <w:r w:rsidR="0015577C">
        <w:rPr>
          <w:rFonts w:ascii="Arial" w:hAnsi="Arial" w:cs="Arial"/>
          <w:sz w:val="24"/>
          <w:szCs w:val="24"/>
        </w:rPr>
        <w:t xml:space="preserve"> the </w:t>
      </w:r>
      <w:r w:rsidR="00EC1EBC">
        <w:rPr>
          <w:rFonts w:ascii="Arial" w:hAnsi="Arial" w:cs="Arial"/>
          <w:sz w:val="24"/>
          <w:szCs w:val="24"/>
        </w:rPr>
        <w:t xml:space="preserve">genuine aim of guaranteeing public security whilst being appropriate and necessary to achieve </w:t>
      </w:r>
      <w:r w:rsidR="0015577C">
        <w:rPr>
          <w:rFonts w:ascii="Arial" w:hAnsi="Arial" w:cs="Arial"/>
          <w:sz w:val="24"/>
          <w:szCs w:val="24"/>
        </w:rPr>
        <w:t>that</w:t>
      </w:r>
      <w:r w:rsidR="00EC1EBC">
        <w:rPr>
          <w:rFonts w:ascii="Arial" w:hAnsi="Arial" w:cs="Arial"/>
          <w:sz w:val="24"/>
          <w:szCs w:val="24"/>
        </w:rPr>
        <w:t xml:space="preserve"> aim</w:t>
      </w:r>
      <w:r w:rsidR="00EC1EBC">
        <w:rPr>
          <w:rStyle w:val="FootnoteReference"/>
          <w:rFonts w:ascii="Arial" w:hAnsi="Arial" w:cs="Arial"/>
          <w:sz w:val="24"/>
          <w:szCs w:val="24"/>
        </w:rPr>
        <w:footnoteReference w:id="24"/>
      </w:r>
      <w:r w:rsidR="00EC1EBC">
        <w:rPr>
          <w:rFonts w:ascii="Arial" w:hAnsi="Arial" w:cs="Arial"/>
          <w:sz w:val="24"/>
          <w:szCs w:val="24"/>
        </w:rPr>
        <w:t xml:space="preserve">. </w:t>
      </w:r>
      <w:r w:rsidR="0015577C">
        <w:rPr>
          <w:rFonts w:ascii="Arial" w:hAnsi="Arial" w:cs="Arial"/>
          <w:sz w:val="24"/>
          <w:szCs w:val="24"/>
        </w:rPr>
        <w:t xml:space="preserve">The maintenance of the all-male Royal Marines was justified </w:t>
      </w:r>
      <w:r w:rsidR="00581489">
        <w:rPr>
          <w:rFonts w:ascii="Arial" w:hAnsi="Arial" w:cs="Arial"/>
          <w:sz w:val="24"/>
          <w:szCs w:val="24"/>
        </w:rPr>
        <w:t xml:space="preserve">first </w:t>
      </w:r>
      <w:r w:rsidR="0015577C">
        <w:rPr>
          <w:rFonts w:ascii="Arial" w:hAnsi="Arial" w:cs="Arial"/>
          <w:sz w:val="24"/>
          <w:szCs w:val="24"/>
        </w:rPr>
        <w:t>on the basis of the specific conditions for deployment of the assault units</w:t>
      </w:r>
      <w:r w:rsidR="00581489">
        <w:rPr>
          <w:rFonts w:ascii="Arial" w:hAnsi="Arial" w:cs="Arial"/>
          <w:sz w:val="24"/>
          <w:szCs w:val="24"/>
        </w:rPr>
        <w:t xml:space="preserve"> that the Royal Marines were organised into, as they were a small force, intended to be the first line of attack or point of the arrow head, and second, and in particular, on the basis of the principle of interoperability, where all personnel within the corps were required to serve as front-line commandos</w:t>
      </w:r>
      <w:r w:rsidR="00581489">
        <w:rPr>
          <w:rStyle w:val="FootnoteReference"/>
          <w:rFonts w:ascii="Arial" w:hAnsi="Arial" w:cs="Arial"/>
          <w:sz w:val="24"/>
          <w:szCs w:val="24"/>
        </w:rPr>
        <w:footnoteReference w:id="25"/>
      </w:r>
      <w:r w:rsidR="00581489">
        <w:rPr>
          <w:rFonts w:ascii="Arial" w:hAnsi="Arial" w:cs="Arial"/>
          <w:sz w:val="24"/>
          <w:szCs w:val="24"/>
        </w:rPr>
        <w:t>. In comparison to the case of Si</w:t>
      </w:r>
      <w:r w:rsidR="00057F6F">
        <w:rPr>
          <w:rFonts w:ascii="Arial" w:hAnsi="Arial" w:cs="Arial"/>
          <w:sz w:val="24"/>
          <w:szCs w:val="24"/>
        </w:rPr>
        <w:t>rdar, Kreil</w:t>
      </w:r>
      <w:r w:rsidR="00E0436E">
        <w:rPr>
          <w:rStyle w:val="FootnoteReference"/>
          <w:rFonts w:ascii="Arial" w:hAnsi="Arial" w:cs="Arial"/>
          <w:sz w:val="24"/>
          <w:szCs w:val="24"/>
        </w:rPr>
        <w:footnoteReference w:id="26"/>
      </w:r>
      <w:r w:rsidR="00057F6F">
        <w:rPr>
          <w:rFonts w:ascii="Arial" w:hAnsi="Arial" w:cs="Arial"/>
          <w:sz w:val="24"/>
          <w:szCs w:val="24"/>
        </w:rPr>
        <w:t xml:space="preserve"> involved Article </w:t>
      </w:r>
      <w:proofErr w:type="gramStart"/>
      <w:r w:rsidR="00057F6F">
        <w:rPr>
          <w:rFonts w:ascii="Arial" w:hAnsi="Arial" w:cs="Arial"/>
          <w:sz w:val="24"/>
          <w:szCs w:val="24"/>
        </w:rPr>
        <w:t>12a(</w:t>
      </w:r>
      <w:proofErr w:type="gramEnd"/>
      <w:r w:rsidR="00057F6F">
        <w:rPr>
          <w:rFonts w:ascii="Arial" w:hAnsi="Arial" w:cs="Arial"/>
          <w:sz w:val="24"/>
          <w:szCs w:val="24"/>
        </w:rPr>
        <w:t xml:space="preserve">4) of the German Basic Law’s absolute ban on women bearing arms in the German Army. </w:t>
      </w:r>
      <w:r w:rsidR="00E0436E">
        <w:rPr>
          <w:rFonts w:ascii="Arial" w:hAnsi="Arial" w:cs="Arial"/>
          <w:sz w:val="24"/>
          <w:szCs w:val="24"/>
        </w:rPr>
        <w:t xml:space="preserve">Again Germany argued that this ban derogated from the absolute prohibition of discrimination on the basis of sex in Article 2(1) ETD through Articles 2(2) and (3). The Court </w:t>
      </w:r>
      <w:r w:rsidR="00C34E07">
        <w:rPr>
          <w:rFonts w:ascii="Arial" w:hAnsi="Arial" w:cs="Arial"/>
          <w:sz w:val="24"/>
          <w:szCs w:val="24"/>
        </w:rPr>
        <w:t>did</w:t>
      </w:r>
      <w:r w:rsidR="00E0436E">
        <w:rPr>
          <w:rFonts w:ascii="Arial" w:hAnsi="Arial" w:cs="Arial"/>
          <w:sz w:val="24"/>
          <w:szCs w:val="24"/>
        </w:rPr>
        <w:t xml:space="preserve"> not actually set out the justification that was claimed for the derogation in Article 2(2)</w:t>
      </w:r>
      <w:r w:rsidR="00E0436E">
        <w:rPr>
          <w:rStyle w:val="FootnoteReference"/>
          <w:rFonts w:ascii="Arial" w:hAnsi="Arial" w:cs="Arial"/>
          <w:sz w:val="24"/>
          <w:szCs w:val="24"/>
        </w:rPr>
        <w:footnoteReference w:id="27"/>
      </w:r>
      <w:r w:rsidR="00E0436E">
        <w:rPr>
          <w:rFonts w:ascii="Arial" w:hAnsi="Arial" w:cs="Arial"/>
          <w:sz w:val="24"/>
          <w:szCs w:val="24"/>
        </w:rPr>
        <w:t>, although from Advocate General La Pergola’s Opinion this was a moral c</w:t>
      </w:r>
      <w:r w:rsidR="00C34E07">
        <w:rPr>
          <w:rFonts w:ascii="Arial" w:hAnsi="Arial" w:cs="Arial"/>
          <w:sz w:val="24"/>
          <w:szCs w:val="24"/>
        </w:rPr>
        <w:t>oncern that women should be protected from any activities that could be perceived as acting as</w:t>
      </w:r>
      <w:r w:rsidR="00E0436E">
        <w:rPr>
          <w:rFonts w:ascii="Arial" w:hAnsi="Arial" w:cs="Arial"/>
          <w:sz w:val="24"/>
          <w:szCs w:val="24"/>
        </w:rPr>
        <w:t xml:space="preserve"> </w:t>
      </w:r>
      <w:r w:rsidR="00C34E07">
        <w:rPr>
          <w:rFonts w:ascii="Arial" w:hAnsi="Arial" w:cs="Arial"/>
          <w:sz w:val="24"/>
          <w:szCs w:val="24"/>
        </w:rPr>
        <w:t>a combatant within the meaning of international humanitarian law</w:t>
      </w:r>
      <w:r w:rsidR="00C34E07">
        <w:rPr>
          <w:rStyle w:val="FootnoteReference"/>
          <w:rFonts w:ascii="Arial" w:hAnsi="Arial" w:cs="Arial"/>
          <w:sz w:val="24"/>
          <w:szCs w:val="24"/>
        </w:rPr>
        <w:footnoteReference w:id="28"/>
      </w:r>
      <w:r w:rsidR="00C34E07">
        <w:rPr>
          <w:rFonts w:ascii="Arial" w:hAnsi="Arial" w:cs="Arial"/>
          <w:sz w:val="24"/>
          <w:szCs w:val="24"/>
        </w:rPr>
        <w:t>, which was also deployed as the justification under Article 2(3)</w:t>
      </w:r>
      <w:r w:rsidR="00C34E07">
        <w:rPr>
          <w:rStyle w:val="FootnoteReference"/>
          <w:rFonts w:ascii="Arial" w:hAnsi="Arial" w:cs="Arial"/>
          <w:sz w:val="24"/>
          <w:szCs w:val="24"/>
        </w:rPr>
        <w:footnoteReference w:id="29"/>
      </w:r>
      <w:r w:rsidR="00C34E07">
        <w:rPr>
          <w:rFonts w:ascii="Arial" w:hAnsi="Arial" w:cs="Arial"/>
          <w:sz w:val="24"/>
          <w:szCs w:val="24"/>
        </w:rPr>
        <w:t>. Both justifications were rejected by the Court, under the principle of proportionality for Artic</w:t>
      </w:r>
      <w:r w:rsidR="007D1247">
        <w:rPr>
          <w:rFonts w:ascii="Arial" w:hAnsi="Arial" w:cs="Arial"/>
          <w:sz w:val="24"/>
          <w:szCs w:val="24"/>
        </w:rPr>
        <w:t>le 2(2)</w:t>
      </w:r>
      <w:r w:rsidR="007D1247">
        <w:rPr>
          <w:rStyle w:val="FootnoteReference"/>
          <w:rFonts w:ascii="Arial" w:hAnsi="Arial" w:cs="Arial"/>
          <w:sz w:val="24"/>
          <w:szCs w:val="24"/>
        </w:rPr>
        <w:footnoteReference w:id="30"/>
      </w:r>
      <w:r w:rsidR="007D1247">
        <w:rPr>
          <w:rFonts w:ascii="Arial" w:hAnsi="Arial" w:cs="Arial"/>
          <w:sz w:val="24"/>
          <w:szCs w:val="24"/>
        </w:rPr>
        <w:t xml:space="preserve"> and as a blanket exclusion of women from military posts bearing arms was not one of the differences of treatment allowed by Article 2(3) out of concern to protect women</w:t>
      </w:r>
      <w:r w:rsidR="007D1247">
        <w:rPr>
          <w:rStyle w:val="FootnoteReference"/>
          <w:rFonts w:ascii="Arial" w:hAnsi="Arial" w:cs="Arial"/>
          <w:sz w:val="24"/>
          <w:szCs w:val="24"/>
        </w:rPr>
        <w:footnoteReference w:id="31"/>
      </w:r>
      <w:r w:rsidR="007D1247">
        <w:rPr>
          <w:rFonts w:ascii="Arial" w:hAnsi="Arial" w:cs="Arial"/>
          <w:sz w:val="24"/>
          <w:szCs w:val="24"/>
        </w:rPr>
        <w:t xml:space="preserve">. </w:t>
      </w:r>
      <w:r w:rsidR="0084518B">
        <w:rPr>
          <w:rFonts w:ascii="Arial" w:hAnsi="Arial" w:cs="Arial"/>
          <w:sz w:val="24"/>
          <w:szCs w:val="24"/>
        </w:rPr>
        <w:t xml:space="preserve">Finally in </w:t>
      </w:r>
      <w:r w:rsidR="0084518B" w:rsidRPr="0084518B">
        <w:rPr>
          <w:rFonts w:ascii="Arial" w:hAnsi="Arial" w:cs="Arial"/>
          <w:sz w:val="24"/>
          <w:szCs w:val="24"/>
          <w:u w:val="single"/>
        </w:rPr>
        <w:t>Dory</w:t>
      </w:r>
      <w:r w:rsidR="0084518B">
        <w:rPr>
          <w:rStyle w:val="FootnoteReference"/>
          <w:rFonts w:ascii="Arial" w:hAnsi="Arial" w:cs="Arial"/>
          <w:sz w:val="24"/>
          <w:szCs w:val="24"/>
        </w:rPr>
        <w:footnoteReference w:id="32"/>
      </w:r>
      <w:r w:rsidR="0084518B">
        <w:rPr>
          <w:rFonts w:ascii="Arial" w:hAnsi="Arial" w:cs="Arial"/>
          <w:sz w:val="24"/>
          <w:szCs w:val="24"/>
        </w:rPr>
        <w:t xml:space="preserve"> the German rules that only men could perform compulsory military service was challenged by Mr Dory. The Court held that this measure was the expression of a Member State’s legitimate </w:t>
      </w:r>
      <w:r w:rsidR="0084518B">
        <w:rPr>
          <w:rFonts w:ascii="Arial" w:hAnsi="Arial" w:cs="Arial"/>
          <w:sz w:val="24"/>
          <w:szCs w:val="24"/>
        </w:rPr>
        <w:lastRenderedPageBreak/>
        <w:t>choice as to how to organise their armed forces and as such Union law was not applicable</w:t>
      </w:r>
      <w:r w:rsidR="0084518B">
        <w:rPr>
          <w:rStyle w:val="FootnoteReference"/>
          <w:rFonts w:ascii="Arial" w:hAnsi="Arial" w:cs="Arial"/>
          <w:sz w:val="24"/>
          <w:szCs w:val="24"/>
        </w:rPr>
        <w:footnoteReference w:id="33"/>
      </w:r>
      <w:r w:rsidR="0084518B">
        <w:rPr>
          <w:rFonts w:ascii="Arial" w:hAnsi="Arial" w:cs="Arial"/>
          <w:sz w:val="24"/>
          <w:szCs w:val="24"/>
        </w:rPr>
        <w:t>.</w:t>
      </w:r>
    </w:p>
    <w:p w:rsidR="0084518B" w:rsidRDefault="0084518B" w:rsidP="00EC1EBC">
      <w:pPr>
        <w:spacing w:line="360" w:lineRule="auto"/>
        <w:jc w:val="both"/>
        <w:rPr>
          <w:rFonts w:ascii="Arial" w:hAnsi="Arial" w:cs="Arial"/>
          <w:sz w:val="24"/>
          <w:szCs w:val="24"/>
        </w:rPr>
      </w:pPr>
    </w:p>
    <w:p w:rsidR="00EF2F5F" w:rsidRDefault="001D3E47" w:rsidP="00AC5841">
      <w:pPr>
        <w:spacing w:line="360" w:lineRule="auto"/>
        <w:jc w:val="both"/>
        <w:rPr>
          <w:rFonts w:ascii="Arial" w:hAnsi="Arial" w:cs="Arial"/>
          <w:sz w:val="24"/>
          <w:szCs w:val="24"/>
        </w:rPr>
      </w:pPr>
      <w:r>
        <w:rPr>
          <w:rFonts w:ascii="Arial" w:hAnsi="Arial" w:cs="Arial"/>
          <w:sz w:val="24"/>
          <w:szCs w:val="24"/>
        </w:rPr>
        <w:t xml:space="preserve">The derogation identified in </w:t>
      </w:r>
      <w:r w:rsidRPr="00E464F5">
        <w:rPr>
          <w:rFonts w:ascii="Arial" w:hAnsi="Arial" w:cs="Arial"/>
          <w:sz w:val="24"/>
          <w:szCs w:val="24"/>
          <w:u w:val="single"/>
        </w:rPr>
        <w:t>Sirdar</w:t>
      </w:r>
      <w:r>
        <w:rPr>
          <w:rFonts w:ascii="Arial" w:hAnsi="Arial" w:cs="Arial"/>
          <w:sz w:val="24"/>
          <w:szCs w:val="24"/>
        </w:rPr>
        <w:t xml:space="preserve"> and the amendment to the SDA 75 s 85(4) has become known as the combat effectiveness </w:t>
      </w:r>
      <w:r w:rsidR="00763CC8">
        <w:rPr>
          <w:rFonts w:ascii="Arial" w:hAnsi="Arial" w:cs="Arial"/>
          <w:sz w:val="24"/>
          <w:szCs w:val="24"/>
        </w:rPr>
        <w:t xml:space="preserve">exclusion </w:t>
      </w:r>
      <w:r>
        <w:rPr>
          <w:rFonts w:ascii="Arial" w:hAnsi="Arial" w:cs="Arial"/>
          <w:sz w:val="24"/>
          <w:szCs w:val="24"/>
        </w:rPr>
        <w:t>or unit cohesion rule</w:t>
      </w:r>
      <w:r>
        <w:rPr>
          <w:rStyle w:val="FootnoteReference"/>
          <w:rFonts w:ascii="Arial" w:hAnsi="Arial" w:cs="Arial"/>
          <w:sz w:val="24"/>
          <w:szCs w:val="24"/>
        </w:rPr>
        <w:footnoteReference w:id="34"/>
      </w:r>
      <w:r>
        <w:rPr>
          <w:rFonts w:ascii="Arial" w:hAnsi="Arial" w:cs="Arial"/>
          <w:sz w:val="24"/>
          <w:szCs w:val="24"/>
        </w:rPr>
        <w:t xml:space="preserve">. </w:t>
      </w:r>
      <w:r w:rsidR="00E464F5">
        <w:rPr>
          <w:rFonts w:ascii="Arial" w:hAnsi="Arial" w:cs="Arial"/>
          <w:sz w:val="24"/>
          <w:szCs w:val="24"/>
        </w:rPr>
        <w:t>The term ‘combat effectiveness’</w:t>
      </w:r>
      <w:r w:rsidR="00C33A7E">
        <w:rPr>
          <w:rFonts w:ascii="Arial" w:hAnsi="Arial" w:cs="Arial"/>
          <w:sz w:val="24"/>
          <w:szCs w:val="24"/>
        </w:rPr>
        <w:t xml:space="preserve"> wa</w:t>
      </w:r>
      <w:r w:rsidR="00E464F5">
        <w:rPr>
          <w:rFonts w:ascii="Arial" w:hAnsi="Arial" w:cs="Arial"/>
          <w:sz w:val="24"/>
          <w:szCs w:val="24"/>
        </w:rPr>
        <w:t xml:space="preserve">s mentioned </w:t>
      </w:r>
      <w:r w:rsidR="00C33A7E">
        <w:rPr>
          <w:rFonts w:ascii="Arial" w:hAnsi="Arial" w:cs="Arial"/>
          <w:sz w:val="24"/>
          <w:szCs w:val="24"/>
        </w:rPr>
        <w:t xml:space="preserve">just </w:t>
      </w:r>
      <w:r w:rsidR="00E464F5">
        <w:rPr>
          <w:rFonts w:ascii="Arial" w:hAnsi="Arial" w:cs="Arial"/>
          <w:sz w:val="24"/>
          <w:szCs w:val="24"/>
        </w:rPr>
        <w:t xml:space="preserve">once by the ECJ in </w:t>
      </w:r>
      <w:r w:rsidR="00C33A7E">
        <w:rPr>
          <w:rFonts w:ascii="Arial" w:hAnsi="Arial" w:cs="Arial"/>
          <w:sz w:val="24"/>
          <w:szCs w:val="24"/>
        </w:rPr>
        <w:t>Sirdar</w:t>
      </w:r>
      <w:r w:rsidR="00D30604">
        <w:rPr>
          <w:rFonts w:ascii="Arial" w:hAnsi="Arial" w:cs="Arial"/>
          <w:sz w:val="24"/>
          <w:szCs w:val="24"/>
        </w:rPr>
        <w:t xml:space="preserve"> when stating the justification advanced by the UK for exclusion of women from the Royal Marines</w:t>
      </w:r>
      <w:r w:rsidR="00D30604">
        <w:rPr>
          <w:rStyle w:val="FootnoteReference"/>
          <w:rFonts w:ascii="Arial" w:hAnsi="Arial" w:cs="Arial"/>
          <w:sz w:val="24"/>
          <w:szCs w:val="24"/>
        </w:rPr>
        <w:footnoteReference w:id="35"/>
      </w:r>
      <w:r w:rsidR="00924B4B">
        <w:rPr>
          <w:rFonts w:ascii="Arial" w:hAnsi="Arial" w:cs="Arial"/>
          <w:sz w:val="24"/>
          <w:szCs w:val="24"/>
        </w:rPr>
        <w:t>,</w:t>
      </w:r>
      <w:r w:rsidR="00E464F5">
        <w:rPr>
          <w:rFonts w:ascii="Arial" w:hAnsi="Arial" w:cs="Arial"/>
          <w:sz w:val="24"/>
          <w:szCs w:val="24"/>
        </w:rPr>
        <w:t xml:space="preserve"> </w:t>
      </w:r>
      <w:r w:rsidR="00C33A7E">
        <w:rPr>
          <w:rFonts w:ascii="Arial" w:hAnsi="Arial" w:cs="Arial"/>
          <w:sz w:val="24"/>
          <w:szCs w:val="24"/>
        </w:rPr>
        <w:t xml:space="preserve">and ‘unit cohesion’ was not mentioned in any of the three judgments. </w:t>
      </w:r>
      <w:r w:rsidR="00D30604">
        <w:rPr>
          <w:rFonts w:ascii="Arial" w:hAnsi="Arial" w:cs="Arial"/>
          <w:sz w:val="24"/>
          <w:szCs w:val="24"/>
        </w:rPr>
        <w:t xml:space="preserve">However, in both Sirdar and Kreil Advocate General La Pergola </w:t>
      </w:r>
      <w:r w:rsidR="00AF4B14">
        <w:rPr>
          <w:rFonts w:ascii="Arial" w:hAnsi="Arial" w:cs="Arial"/>
          <w:sz w:val="24"/>
          <w:szCs w:val="24"/>
        </w:rPr>
        <w:t>discussed the concept of combat effectiveness</w:t>
      </w:r>
      <w:r w:rsidR="00AF4B14">
        <w:rPr>
          <w:rStyle w:val="FootnoteReference"/>
          <w:rFonts w:ascii="Arial" w:hAnsi="Arial" w:cs="Arial"/>
          <w:sz w:val="24"/>
          <w:szCs w:val="24"/>
        </w:rPr>
        <w:footnoteReference w:id="36"/>
      </w:r>
      <w:r w:rsidR="00AF4B14">
        <w:rPr>
          <w:rFonts w:ascii="Arial" w:hAnsi="Arial" w:cs="Arial"/>
          <w:sz w:val="24"/>
          <w:szCs w:val="24"/>
        </w:rPr>
        <w:t xml:space="preserve">, and based his Opinions on it. Interestingly he suggested that the requirement in Article 9(2) of the ETD to review derogations from the principle of equality between men and women regularly </w:t>
      </w:r>
      <w:r w:rsidR="00250517">
        <w:rPr>
          <w:rFonts w:ascii="Arial" w:hAnsi="Arial" w:cs="Arial"/>
          <w:sz w:val="24"/>
          <w:szCs w:val="24"/>
        </w:rPr>
        <w:t xml:space="preserve">“in the light of social developments” </w:t>
      </w:r>
      <w:r w:rsidR="00AF4B14">
        <w:rPr>
          <w:rFonts w:ascii="Arial" w:hAnsi="Arial" w:cs="Arial"/>
          <w:sz w:val="24"/>
          <w:szCs w:val="24"/>
        </w:rPr>
        <w:t>could allow the military to incrementally open posts up to women</w:t>
      </w:r>
      <w:r w:rsidR="00250517">
        <w:rPr>
          <w:rStyle w:val="FootnoteReference"/>
          <w:rFonts w:ascii="Arial" w:hAnsi="Arial" w:cs="Arial"/>
          <w:sz w:val="24"/>
          <w:szCs w:val="24"/>
        </w:rPr>
        <w:footnoteReference w:id="37"/>
      </w:r>
      <w:r w:rsidR="00AF4B14">
        <w:rPr>
          <w:rFonts w:ascii="Arial" w:hAnsi="Arial" w:cs="Arial"/>
          <w:sz w:val="24"/>
          <w:szCs w:val="24"/>
        </w:rPr>
        <w:t xml:space="preserve">. </w:t>
      </w:r>
      <w:r w:rsidR="00250517">
        <w:rPr>
          <w:rFonts w:ascii="Arial" w:hAnsi="Arial" w:cs="Arial"/>
          <w:sz w:val="24"/>
          <w:szCs w:val="24"/>
        </w:rPr>
        <w:t>He interpreted “social developments” narrowly and it is submitted incorrectly to mean military society rather than society in general</w:t>
      </w:r>
      <w:r w:rsidR="00250517">
        <w:rPr>
          <w:rStyle w:val="FootnoteReference"/>
          <w:rFonts w:ascii="Arial" w:hAnsi="Arial" w:cs="Arial"/>
          <w:sz w:val="24"/>
          <w:szCs w:val="24"/>
        </w:rPr>
        <w:footnoteReference w:id="38"/>
      </w:r>
      <w:r w:rsidR="00250517">
        <w:rPr>
          <w:rFonts w:ascii="Arial" w:hAnsi="Arial" w:cs="Arial"/>
          <w:sz w:val="24"/>
          <w:szCs w:val="24"/>
        </w:rPr>
        <w:t xml:space="preserve">. </w:t>
      </w:r>
      <w:r w:rsidR="00763CC8">
        <w:rPr>
          <w:rFonts w:ascii="Arial" w:hAnsi="Arial" w:cs="Arial"/>
          <w:sz w:val="24"/>
          <w:szCs w:val="24"/>
        </w:rPr>
        <w:t>In 2002 the Ministry of Defence conducted a review of the combat effectiveness exclusion</w:t>
      </w:r>
      <w:r w:rsidR="00006E5B">
        <w:rPr>
          <w:rFonts w:ascii="Arial" w:hAnsi="Arial" w:cs="Arial"/>
          <w:sz w:val="24"/>
          <w:szCs w:val="24"/>
        </w:rPr>
        <w:t xml:space="preserve"> publishing a full report</w:t>
      </w:r>
      <w:r w:rsidR="00006E5B">
        <w:rPr>
          <w:rStyle w:val="FootnoteReference"/>
          <w:rFonts w:ascii="Arial" w:hAnsi="Arial" w:cs="Arial"/>
          <w:sz w:val="24"/>
          <w:szCs w:val="24"/>
        </w:rPr>
        <w:footnoteReference w:id="39"/>
      </w:r>
      <w:r w:rsidR="00006E5B">
        <w:rPr>
          <w:rFonts w:ascii="Arial" w:hAnsi="Arial" w:cs="Arial"/>
          <w:sz w:val="24"/>
          <w:szCs w:val="24"/>
        </w:rPr>
        <w:t xml:space="preserve"> and a summary</w:t>
      </w:r>
      <w:r w:rsidR="00006E5B">
        <w:rPr>
          <w:rStyle w:val="FootnoteReference"/>
          <w:rFonts w:ascii="Arial" w:hAnsi="Arial" w:cs="Arial"/>
          <w:sz w:val="24"/>
          <w:szCs w:val="24"/>
        </w:rPr>
        <w:footnoteReference w:id="40"/>
      </w:r>
      <w:r w:rsidR="00006E5B">
        <w:rPr>
          <w:rFonts w:ascii="Arial" w:hAnsi="Arial" w:cs="Arial"/>
          <w:sz w:val="24"/>
          <w:szCs w:val="24"/>
        </w:rPr>
        <w:t xml:space="preserve"> that provided a conclusion </w:t>
      </w:r>
      <w:r w:rsidR="00924B4B">
        <w:rPr>
          <w:rFonts w:ascii="Arial" w:hAnsi="Arial" w:cs="Arial"/>
          <w:sz w:val="24"/>
          <w:szCs w:val="24"/>
        </w:rPr>
        <w:t>that</w:t>
      </w:r>
      <w:r w:rsidR="00006E5B">
        <w:rPr>
          <w:rFonts w:ascii="Arial" w:hAnsi="Arial" w:cs="Arial"/>
          <w:sz w:val="24"/>
          <w:szCs w:val="24"/>
        </w:rPr>
        <w:t xml:space="preserve"> maintain</w:t>
      </w:r>
      <w:r w:rsidR="00924B4B">
        <w:rPr>
          <w:rFonts w:ascii="Arial" w:hAnsi="Arial" w:cs="Arial"/>
          <w:sz w:val="24"/>
          <w:szCs w:val="24"/>
        </w:rPr>
        <w:t>ed</w:t>
      </w:r>
      <w:r w:rsidR="00006E5B">
        <w:rPr>
          <w:rFonts w:ascii="Arial" w:hAnsi="Arial" w:cs="Arial"/>
          <w:sz w:val="24"/>
          <w:szCs w:val="24"/>
        </w:rPr>
        <w:t xml:space="preserve"> the exclusion</w:t>
      </w:r>
      <w:r w:rsidR="00006E5B">
        <w:rPr>
          <w:rStyle w:val="FootnoteReference"/>
          <w:rFonts w:ascii="Arial" w:hAnsi="Arial" w:cs="Arial"/>
          <w:sz w:val="24"/>
          <w:szCs w:val="24"/>
        </w:rPr>
        <w:footnoteReference w:id="41"/>
      </w:r>
      <w:r w:rsidR="00006E5B">
        <w:rPr>
          <w:rFonts w:ascii="Arial" w:hAnsi="Arial" w:cs="Arial"/>
          <w:sz w:val="24"/>
          <w:szCs w:val="24"/>
        </w:rPr>
        <w:t>.</w:t>
      </w:r>
      <w:r w:rsidR="00763CC8">
        <w:rPr>
          <w:rFonts w:ascii="Arial" w:hAnsi="Arial" w:cs="Arial"/>
          <w:sz w:val="24"/>
          <w:szCs w:val="24"/>
        </w:rPr>
        <w:t xml:space="preserve"> </w:t>
      </w:r>
      <w:r w:rsidR="00924B4B">
        <w:rPr>
          <w:rFonts w:ascii="Arial" w:hAnsi="Arial" w:cs="Arial"/>
          <w:sz w:val="24"/>
          <w:szCs w:val="24"/>
        </w:rPr>
        <w:t>Little in the way of evidence was provided as there were no close combat operations being undertaken at the time of the report</w:t>
      </w:r>
      <w:r w:rsidR="00924B4B">
        <w:rPr>
          <w:rStyle w:val="FootnoteReference"/>
          <w:rFonts w:ascii="Arial" w:hAnsi="Arial" w:cs="Arial"/>
          <w:sz w:val="24"/>
          <w:szCs w:val="24"/>
        </w:rPr>
        <w:footnoteReference w:id="42"/>
      </w:r>
      <w:r w:rsidR="00924B4B">
        <w:rPr>
          <w:rFonts w:ascii="Arial" w:hAnsi="Arial" w:cs="Arial"/>
          <w:sz w:val="24"/>
          <w:szCs w:val="24"/>
        </w:rPr>
        <w:t>. The summary report suggests that four factors were considered when making the assessment on the exclusion</w:t>
      </w:r>
      <w:r w:rsidR="00EC65D6">
        <w:rPr>
          <w:rFonts w:ascii="Arial" w:hAnsi="Arial" w:cs="Arial"/>
          <w:sz w:val="24"/>
          <w:szCs w:val="24"/>
        </w:rPr>
        <w:t xml:space="preserve"> (physiological </w:t>
      </w:r>
      <w:r w:rsidR="00EC65D6">
        <w:rPr>
          <w:rFonts w:ascii="Arial" w:hAnsi="Arial" w:cs="Arial"/>
          <w:sz w:val="24"/>
          <w:szCs w:val="24"/>
        </w:rPr>
        <w:lastRenderedPageBreak/>
        <w:t>factors, psychological factors, combat effectiveness and legal position</w:t>
      </w:r>
      <w:r w:rsidR="00EC65D6">
        <w:rPr>
          <w:rStyle w:val="FootnoteReference"/>
          <w:rFonts w:ascii="Arial" w:hAnsi="Arial" w:cs="Arial"/>
          <w:sz w:val="24"/>
          <w:szCs w:val="24"/>
        </w:rPr>
        <w:footnoteReference w:id="43"/>
      </w:r>
      <w:r w:rsidR="00EC65D6">
        <w:rPr>
          <w:rFonts w:ascii="Arial" w:hAnsi="Arial" w:cs="Arial"/>
          <w:sz w:val="24"/>
          <w:szCs w:val="24"/>
        </w:rPr>
        <w:t>)</w:t>
      </w:r>
      <w:r w:rsidR="00924B4B">
        <w:rPr>
          <w:rFonts w:ascii="Arial" w:hAnsi="Arial" w:cs="Arial"/>
          <w:sz w:val="24"/>
          <w:szCs w:val="24"/>
        </w:rPr>
        <w:t>, although the actual report</w:t>
      </w:r>
      <w:r w:rsidR="00EC65D6">
        <w:rPr>
          <w:rFonts w:ascii="Arial" w:hAnsi="Arial" w:cs="Arial"/>
          <w:sz w:val="24"/>
          <w:szCs w:val="24"/>
        </w:rPr>
        <w:t xml:space="preserve"> also considered attitudes of serving personnel</w:t>
      </w:r>
      <w:r w:rsidR="00EC65D6">
        <w:rPr>
          <w:rStyle w:val="FootnoteReference"/>
          <w:rFonts w:ascii="Arial" w:hAnsi="Arial" w:cs="Arial"/>
          <w:sz w:val="24"/>
          <w:szCs w:val="24"/>
        </w:rPr>
        <w:footnoteReference w:id="44"/>
      </w:r>
      <w:r w:rsidR="00EC65D6">
        <w:rPr>
          <w:rFonts w:ascii="Arial" w:hAnsi="Arial" w:cs="Arial"/>
          <w:sz w:val="24"/>
          <w:szCs w:val="24"/>
        </w:rPr>
        <w:t>. Of the four factors it was not surprising to find that men were stronger than women, although the tests did not take into consideration such factors as women starting from a lower base or women using their initiative to find alternative ways to achieve set tasks apart from brute strength. Psychological factors were not considered to be a concern</w:t>
      </w:r>
      <w:r w:rsidR="00EC65D6">
        <w:rPr>
          <w:rStyle w:val="FootnoteReference"/>
          <w:rFonts w:ascii="Arial" w:hAnsi="Arial" w:cs="Arial"/>
          <w:sz w:val="24"/>
          <w:szCs w:val="24"/>
        </w:rPr>
        <w:footnoteReference w:id="45"/>
      </w:r>
      <w:r w:rsidR="00EC65D6">
        <w:rPr>
          <w:rFonts w:ascii="Arial" w:hAnsi="Arial" w:cs="Arial"/>
          <w:sz w:val="24"/>
          <w:szCs w:val="24"/>
        </w:rPr>
        <w:t xml:space="preserve"> but on the subject of combat effectiveness the summary report found that it could be easier to achieve and maintain unit cohesion in a single sex team</w:t>
      </w:r>
      <w:r w:rsidR="00EC65D6">
        <w:rPr>
          <w:rStyle w:val="FootnoteReference"/>
          <w:rFonts w:ascii="Arial" w:hAnsi="Arial" w:cs="Arial"/>
          <w:sz w:val="24"/>
          <w:szCs w:val="24"/>
        </w:rPr>
        <w:footnoteReference w:id="46"/>
      </w:r>
      <w:r w:rsidR="00EC65D6">
        <w:rPr>
          <w:rFonts w:ascii="Arial" w:hAnsi="Arial" w:cs="Arial"/>
          <w:sz w:val="24"/>
          <w:szCs w:val="24"/>
        </w:rPr>
        <w:t>, which appeared to be at odds to the finding of the actual report that leadership was more important to unit cohesion than gender mix</w:t>
      </w:r>
      <w:r w:rsidR="00EC65D6">
        <w:rPr>
          <w:rStyle w:val="FootnoteReference"/>
          <w:rFonts w:ascii="Arial" w:hAnsi="Arial" w:cs="Arial"/>
          <w:sz w:val="24"/>
          <w:szCs w:val="24"/>
        </w:rPr>
        <w:footnoteReference w:id="47"/>
      </w:r>
      <w:r w:rsidR="00EC65D6">
        <w:rPr>
          <w:rFonts w:ascii="Arial" w:hAnsi="Arial" w:cs="Arial"/>
          <w:sz w:val="24"/>
          <w:szCs w:val="24"/>
        </w:rPr>
        <w:t xml:space="preserve">. </w:t>
      </w:r>
      <w:r w:rsidR="00AC5841">
        <w:rPr>
          <w:rFonts w:ascii="Arial" w:hAnsi="Arial" w:cs="Arial"/>
          <w:sz w:val="24"/>
          <w:szCs w:val="24"/>
        </w:rPr>
        <w:t>Finally after a statement of the legal position</w:t>
      </w:r>
      <w:r w:rsidR="00EF2F5F">
        <w:rPr>
          <w:rFonts w:ascii="Arial" w:hAnsi="Arial" w:cs="Arial"/>
          <w:sz w:val="24"/>
          <w:szCs w:val="24"/>
        </w:rPr>
        <w:t xml:space="preserve"> that misinterprets the ECJ’s findings in </w:t>
      </w:r>
      <w:r w:rsidR="00EF2F5F" w:rsidRPr="00EF2F5F">
        <w:rPr>
          <w:rFonts w:ascii="Arial" w:hAnsi="Arial" w:cs="Arial"/>
          <w:sz w:val="24"/>
          <w:szCs w:val="24"/>
          <w:u w:val="single"/>
        </w:rPr>
        <w:t>Sirdar</w:t>
      </w:r>
      <w:r w:rsidR="00AC5841">
        <w:rPr>
          <w:rStyle w:val="FootnoteReference"/>
          <w:rFonts w:ascii="Arial" w:hAnsi="Arial" w:cs="Arial"/>
          <w:sz w:val="24"/>
          <w:szCs w:val="24"/>
        </w:rPr>
        <w:footnoteReference w:id="48"/>
      </w:r>
      <w:r w:rsidR="00AC5841">
        <w:rPr>
          <w:rFonts w:ascii="Arial" w:hAnsi="Arial" w:cs="Arial"/>
          <w:sz w:val="24"/>
          <w:szCs w:val="24"/>
        </w:rPr>
        <w:t xml:space="preserve"> the summary report found that due to the lack of empirical evidence from field and other States’ experience, military judgment had to form the basis of any decision</w:t>
      </w:r>
      <w:r w:rsidR="00AC5841">
        <w:rPr>
          <w:rStyle w:val="FootnoteReference"/>
          <w:rFonts w:ascii="Arial" w:hAnsi="Arial" w:cs="Arial"/>
          <w:sz w:val="24"/>
          <w:szCs w:val="24"/>
        </w:rPr>
        <w:footnoteReference w:id="49"/>
      </w:r>
      <w:r w:rsidR="00621F35">
        <w:rPr>
          <w:rFonts w:ascii="Arial" w:hAnsi="Arial" w:cs="Arial"/>
          <w:sz w:val="24"/>
          <w:szCs w:val="24"/>
        </w:rPr>
        <w:t>, which as Trybus notes</w:t>
      </w:r>
      <w:r w:rsidR="00621F35">
        <w:rPr>
          <w:rStyle w:val="FootnoteReference"/>
          <w:rFonts w:ascii="Arial" w:hAnsi="Arial" w:cs="Arial"/>
          <w:sz w:val="24"/>
          <w:szCs w:val="24"/>
        </w:rPr>
        <w:footnoteReference w:id="50"/>
      </w:r>
      <w:r w:rsidR="00621F35">
        <w:rPr>
          <w:rFonts w:ascii="Arial" w:hAnsi="Arial" w:cs="Arial"/>
          <w:sz w:val="24"/>
          <w:szCs w:val="24"/>
        </w:rPr>
        <w:t xml:space="preserve"> appears to assume a margin of discretion that provides a safe harbour from judicial consideration</w:t>
      </w:r>
      <w:r w:rsidR="00AC5841">
        <w:rPr>
          <w:rFonts w:ascii="Arial" w:hAnsi="Arial" w:cs="Arial"/>
          <w:sz w:val="24"/>
          <w:szCs w:val="24"/>
        </w:rPr>
        <w:t>. That military judgment was that “</w:t>
      </w:r>
      <w:r w:rsidR="00AC5841" w:rsidRPr="00AC5841">
        <w:rPr>
          <w:rFonts w:ascii="Arial" w:hAnsi="Arial" w:cs="Arial"/>
          <w:sz w:val="24"/>
          <w:szCs w:val="24"/>
        </w:rPr>
        <w:t>under the conditions of a high intensity close-quarter battle, group cohesion becomes</w:t>
      </w:r>
      <w:r w:rsidR="00AC5841">
        <w:rPr>
          <w:rFonts w:ascii="Arial" w:hAnsi="Arial" w:cs="Arial"/>
          <w:sz w:val="24"/>
          <w:szCs w:val="24"/>
        </w:rPr>
        <w:t xml:space="preserve"> </w:t>
      </w:r>
      <w:r w:rsidR="00AC5841" w:rsidRPr="00AC5841">
        <w:rPr>
          <w:rFonts w:ascii="Arial" w:hAnsi="Arial" w:cs="Arial"/>
          <w:sz w:val="24"/>
          <w:szCs w:val="24"/>
        </w:rPr>
        <w:t>of much greater significance to team performance and, in such an environment, the</w:t>
      </w:r>
      <w:r w:rsidR="00AC5841">
        <w:rPr>
          <w:rFonts w:ascii="Arial" w:hAnsi="Arial" w:cs="Arial"/>
          <w:sz w:val="24"/>
          <w:szCs w:val="24"/>
        </w:rPr>
        <w:t xml:space="preserve"> </w:t>
      </w:r>
      <w:r w:rsidR="00AC5841" w:rsidRPr="00AC5841">
        <w:rPr>
          <w:rFonts w:ascii="Arial" w:hAnsi="Arial" w:cs="Arial"/>
          <w:sz w:val="24"/>
          <w:szCs w:val="24"/>
        </w:rPr>
        <w:t>consequences of failure can have far-reaching and grave consequences. To admit</w:t>
      </w:r>
      <w:r w:rsidR="00AC5841">
        <w:rPr>
          <w:rFonts w:ascii="Arial" w:hAnsi="Arial" w:cs="Arial"/>
          <w:sz w:val="24"/>
          <w:szCs w:val="24"/>
        </w:rPr>
        <w:t xml:space="preserve"> </w:t>
      </w:r>
      <w:r w:rsidR="00AC5841" w:rsidRPr="00AC5841">
        <w:rPr>
          <w:rFonts w:ascii="Arial" w:hAnsi="Arial" w:cs="Arial"/>
          <w:sz w:val="24"/>
          <w:szCs w:val="24"/>
        </w:rPr>
        <w:t>women would, therefore, involve a risk with no gains in terms of combat</w:t>
      </w:r>
      <w:r w:rsidR="00AC5841">
        <w:rPr>
          <w:rFonts w:ascii="Arial" w:hAnsi="Arial" w:cs="Arial"/>
          <w:sz w:val="24"/>
          <w:szCs w:val="24"/>
        </w:rPr>
        <w:t xml:space="preserve"> </w:t>
      </w:r>
      <w:r w:rsidR="00AC5841" w:rsidRPr="00AC5841">
        <w:rPr>
          <w:rFonts w:ascii="Arial" w:hAnsi="Arial" w:cs="Arial"/>
          <w:sz w:val="24"/>
          <w:szCs w:val="24"/>
        </w:rPr>
        <w:t>effectiveness to offset it.</w:t>
      </w:r>
      <w:r w:rsidR="00AC5841">
        <w:rPr>
          <w:rFonts w:ascii="Arial" w:hAnsi="Arial" w:cs="Arial"/>
          <w:sz w:val="24"/>
          <w:szCs w:val="24"/>
        </w:rPr>
        <w:t>”</w:t>
      </w:r>
      <w:r w:rsidR="00AC5841">
        <w:rPr>
          <w:rStyle w:val="FootnoteReference"/>
          <w:rFonts w:ascii="Arial" w:hAnsi="Arial" w:cs="Arial"/>
          <w:sz w:val="24"/>
          <w:szCs w:val="24"/>
        </w:rPr>
        <w:footnoteReference w:id="51"/>
      </w:r>
      <w:r w:rsidR="00AC5841">
        <w:rPr>
          <w:rFonts w:ascii="Arial" w:hAnsi="Arial" w:cs="Arial"/>
          <w:sz w:val="24"/>
          <w:szCs w:val="24"/>
        </w:rPr>
        <w:t xml:space="preserve"> </w:t>
      </w:r>
    </w:p>
    <w:p w:rsidR="00EF2F5F" w:rsidRDefault="00EF2F5F" w:rsidP="00AC5841">
      <w:pPr>
        <w:spacing w:line="360" w:lineRule="auto"/>
        <w:jc w:val="both"/>
        <w:rPr>
          <w:rFonts w:ascii="Arial" w:hAnsi="Arial" w:cs="Arial"/>
          <w:sz w:val="24"/>
          <w:szCs w:val="24"/>
        </w:rPr>
      </w:pPr>
    </w:p>
    <w:p w:rsidR="00EC1EBC" w:rsidRDefault="00EC1EBC" w:rsidP="00EC1EBC">
      <w:pPr>
        <w:spacing w:line="360" w:lineRule="auto"/>
        <w:jc w:val="both"/>
        <w:rPr>
          <w:rFonts w:ascii="Arial" w:hAnsi="Arial" w:cs="Arial"/>
          <w:sz w:val="24"/>
          <w:szCs w:val="24"/>
        </w:rPr>
      </w:pPr>
      <w:r>
        <w:rPr>
          <w:rFonts w:ascii="Arial" w:hAnsi="Arial" w:cs="Arial"/>
          <w:sz w:val="24"/>
          <w:szCs w:val="24"/>
        </w:rPr>
        <w:t xml:space="preserve">This combat effectiveness exclusion has been utilised by the armed forces to continue to limit full integration of women in the military ensuring that women cannot serve in front line army units, the RAF Regiment, the Royal Marines and submarines. </w:t>
      </w:r>
      <w:r w:rsidR="00EF2F5F">
        <w:rPr>
          <w:rFonts w:ascii="Arial" w:hAnsi="Arial" w:cs="Arial"/>
          <w:sz w:val="24"/>
          <w:szCs w:val="24"/>
        </w:rPr>
        <w:lastRenderedPageBreak/>
        <w:t>Shuibhne</w:t>
      </w:r>
      <w:r w:rsidR="008C48CF">
        <w:rPr>
          <w:rStyle w:val="FootnoteReference"/>
          <w:rFonts w:ascii="Arial" w:hAnsi="Arial" w:cs="Arial"/>
          <w:sz w:val="24"/>
          <w:szCs w:val="24"/>
        </w:rPr>
        <w:footnoteReference w:id="52"/>
      </w:r>
      <w:r w:rsidR="00EF2F5F">
        <w:rPr>
          <w:rFonts w:ascii="Arial" w:hAnsi="Arial" w:cs="Arial"/>
          <w:sz w:val="24"/>
          <w:szCs w:val="24"/>
        </w:rPr>
        <w:t xml:space="preserve"> has recently described </w:t>
      </w:r>
      <w:r w:rsidR="008C48CF">
        <w:rPr>
          <w:rFonts w:ascii="Arial" w:hAnsi="Arial" w:cs="Arial"/>
          <w:sz w:val="24"/>
          <w:szCs w:val="24"/>
        </w:rPr>
        <w:t>the ECJ’s case law in this area as a “balancing act” and indeed at the time it was</w:t>
      </w:r>
      <w:r w:rsidR="00AD7940">
        <w:rPr>
          <w:rFonts w:ascii="Arial" w:hAnsi="Arial" w:cs="Arial"/>
          <w:sz w:val="24"/>
          <w:szCs w:val="24"/>
        </w:rPr>
        <w:t>. However, a</w:t>
      </w:r>
      <w:r>
        <w:rPr>
          <w:rFonts w:ascii="Arial" w:hAnsi="Arial" w:cs="Arial"/>
          <w:sz w:val="24"/>
          <w:szCs w:val="24"/>
        </w:rPr>
        <w:t>s Arnull</w:t>
      </w:r>
      <w:r>
        <w:rPr>
          <w:rStyle w:val="FootnoteReference"/>
          <w:rFonts w:ascii="Arial" w:hAnsi="Arial" w:cs="Arial"/>
          <w:sz w:val="24"/>
          <w:szCs w:val="24"/>
        </w:rPr>
        <w:footnoteReference w:id="53"/>
      </w:r>
      <w:r>
        <w:rPr>
          <w:rFonts w:ascii="Arial" w:hAnsi="Arial" w:cs="Arial"/>
          <w:sz w:val="24"/>
          <w:szCs w:val="24"/>
        </w:rPr>
        <w:t xml:space="preserve"> points out this combat effectiveness re</w:t>
      </w:r>
      <w:r w:rsidR="00A91ADD">
        <w:rPr>
          <w:rFonts w:ascii="Arial" w:hAnsi="Arial" w:cs="Arial"/>
          <w:sz w:val="24"/>
          <w:szCs w:val="24"/>
        </w:rPr>
        <w:t>striction wa</w:t>
      </w:r>
      <w:r>
        <w:rPr>
          <w:rFonts w:ascii="Arial" w:hAnsi="Arial" w:cs="Arial"/>
          <w:sz w:val="24"/>
          <w:szCs w:val="24"/>
        </w:rPr>
        <w:t xml:space="preserve">s not included in Article 2(2) of the </w:t>
      </w:r>
      <w:r w:rsidR="00A91ADD">
        <w:rPr>
          <w:rFonts w:ascii="Arial" w:hAnsi="Arial" w:cs="Arial"/>
          <w:sz w:val="24"/>
          <w:szCs w:val="24"/>
        </w:rPr>
        <w:t>ETD that excluded</w:t>
      </w:r>
      <w:r>
        <w:rPr>
          <w:rFonts w:ascii="Arial" w:hAnsi="Arial" w:cs="Arial"/>
          <w:sz w:val="24"/>
          <w:szCs w:val="24"/>
        </w:rPr>
        <w:t xml:space="preserve"> from the scope </w:t>
      </w:r>
      <w:r w:rsidR="00A91ADD">
        <w:rPr>
          <w:rFonts w:ascii="Arial" w:hAnsi="Arial" w:cs="Arial"/>
          <w:sz w:val="24"/>
          <w:szCs w:val="24"/>
        </w:rPr>
        <w:t xml:space="preserve">of the Directive occupational activities </w:t>
      </w:r>
      <w:r>
        <w:rPr>
          <w:rFonts w:ascii="Arial" w:hAnsi="Arial" w:cs="Arial"/>
          <w:sz w:val="24"/>
          <w:szCs w:val="24"/>
        </w:rPr>
        <w:t>where</w:t>
      </w:r>
      <w:r w:rsidR="00A91ADD">
        <w:rPr>
          <w:rFonts w:ascii="Arial" w:hAnsi="Arial" w:cs="Arial"/>
          <w:sz w:val="24"/>
          <w:szCs w:val="24"/>
        </w:rPr>
        <w:t>,</w:t>
      </w:r>
      <w:r>
        <w:rPr>
          <w:rFonts w:ascii="Arial" w:hAnsi="Arial" w:cs="Arial"/>
          <w:sz w:val="24"/>
          <w:szCs w:val="24"/>
        </w:rPr>
        <w:t xml:space="preserve"> </w:t>
      </w:r>
      <w:r w:rsidR="00A91ADD">
        <w:rPr>
          <w:rFonts w:ascii="Arial" w:hAnsi="Arial" w:cs="Arial"/>
          <w:sz w:val="24"/>
          <w:szCs w:val="24"/>
        </w:rPr>
        <w:t xml:space="preserve">because of the nature of those activities or the context in which they were carried out, </w:t>
      </w:r>
      <w:r>
        <w:rPr>
          <w:rFonts w:ascii="Arial" w:hAnsi="Arial" w:cs="Arial"/>
          <w:sz w:val="24"/>
          <w:szCs w:val="24"/>
        </w:rPr>
        <w:t>t</w:t>
      </w:r>
      <w:r w:rsidR="00A91ADD">
        <w:rPr>
          <w:rFonts w:ascii="Arial" w:hAnsi="Arial" w:cs="Arial"/>
          <w:sz w:val="24"/>
          <w:szCs w:val="24"/>
        </w:rPr>
        <w:t>he sex of the worker constituted a determining factor. This was</w:t>
      </w:r>
      <w:r>
        <w:rPr>
          <w:rFonts w:ascii="Arial" w:hAnsi="Arial" w:cs="Arial"/>
          <w:sz w:val="24"/>
          <w:szCs w:val="24"/>
        </w:rPr>
        <w:t xml:space="preserve"> transposed into </w:t>
      </w:r>
      <w:r w:rsidR="00A91ADD">
        <w:rPr>
          <w:rFonts w:ascii="Arial" w:hAnsi="Arial" w:cs="Arial"/>
          <w:sz w:val="24"/>
          <w:szCs w:val="24"/>
        </w:rPr>
        <w:t>UK domestic</w:t>
      </w:r>
      <w:r>
        <w:rPr>
          <w:rFonts w:ascii="Arial" w:hAnsi="Arial" w:cs="Arial"/>
          <w:sz w:val="24"/>
          <w:szCs w:val="24"/>
        </w:rPr>
        <w:t xml:space="preserve"> law by the catalogue of situations in </w:t>
      </w:r>
      <w:r w:rsidR="00A91ADD">
        <w:rPr>
          <w:rFonts w:ascii="Arial" w:hAnsi="Arial" w:cs="Arial"/>
          <w:sz w:val="24"/>
          <w:szCs w:val="24"/>
        </w:rPr>
        <w:t xml:space="preserve">the </w:t>
      </w:r>
      <w:r>
        <w:rPr>
          <w:rFonts w:ascii="Arial" w:hAnsi="Arial" w:cs="Arial"/>
          <w:sz w:val="24"/>
          <w:szCs w:val="24"/>
        </w:rPr>
        <w:t>SDA75 s 7</w:t>
      </w:r>
      <w:r w:rsidR="00A91ADD">
        <w:rPr>
          <w:rFonts w:ascii="Arial" w:hAnsi="Arial" w:cs="Arial"/>
          <w:sz w:val="24"/>
          <w:szCs w:val="24"/>
        </w:rPr>
        <w:t>,</w:t>
      </w:r>
      <w:r>
        <w:rPr>
          <w:rFonts w:ascii="Arial" w:hAnsi="Arial" w:cs="Arial"/>
          <w:sz w:val="24"/>
          <w:szCs w:val="24"/>
        </w:rPr>
        <w:t xml:space="preserve"> which</w:t>
      </w:r>
      <w:r w:rsidR="00A91ADD">
        <w:rPr>
          <w:rFonts w:ascii="Arial" w:hAnsi="Arial" w:cs="Arial"/>
          <w:sz w:val="24"/>
          <w:szCs w:val="24"/>
        </w:rPr>
        <w:t>, through the amendment to s 85(4),</w:t>
      </w:r>
      <w:r>
        <w:rPr>
          <w:rFonts w:ascii="Arial" w:hAnsi="Arial" w:cs="Arial"/>
          <w:sz w:val="24"/>
          <w:szCs w:val="24"/>
        </w:rPr>
        <w:t xml:space="preserve"> </w:t>
      </w:r>
      <w:r w:rsidR="00A91ADD">
        <w:rPr>
          <w:rFonts w:ascii="Arial" w:hAnsi="Arial" w:cs="Arial"/>
          <w:sz w:val="24"/>
          <w:szCs w:val="24"/>
        </w:rPr>
        <w:t>wa</w:t>
      </w:r>
      <w:r>
        <w:rPr>
          <w:rFonts w:ascii="Arial" w:hAnsi="Arial" w:cs="Arial"/>
          <w:sz w:val="24"/>
          <w:szCs w:val="24"/>
        </w:rPr>
        <w:t>s now applicable to the armed forces</w:t>
      </w:r>
      <w:r w:rsidR="00151E85">
        <w:rPr>
          <w:rFonts w:ascii="Arial" w:hAnsi="Arial" w:cs="Arial"/>
          <w:sz w:val="24"/>
          <w:szCs w:val="24"/>
        </w:rPr>
        <w:t xml:space="preserve"> and which enabled sex discrimination to be lawful where sex was a “genuine occupational qualification for the job”</w:t>
      </w:r>
      <w:r>
        <w:rPr>
          <w:rFonts w:ascii="Arial" w:hAnsi="Arial" w:cs="Arial"/>
          <w:sz w:val="24"/>
          <w:szCs w:val="24"/>
        </w:rPr>
        <w:t>.</w:t>
      </w:r>
      <w:r w:rsidR="00151E85">
        <w:rPr>
          <w:rFonts w:ascii="Arial" w:hAnsi="Arial" w:cs="Arial"/>
          <w:sz w:val="24"/>
          <w:szCs w:val="24"/>
        </w:rPr>
        <w:t xml:space="preserve"> It could be argued that several of those situations could have applied to the military but they were not considered in </w:t>
      </w:r>
      <w:r w:rsidR="00151E85" w:rsidRPr="00151E85">
        <w:rPr>
          <w:rFonts w:ascii="Arial" w:hAnsi="Arial" w:cs="Arial"/>
          <w:sz w:val="24"/>
          <w:szCs w:val="24"/>
          <w:u w:val="single"/>
        </w:rPr>
        <w:t>Sirdar</w:t>
      </w:r>
      <w:r w:rsidR="00151E85">
        <w:rPr>
          <w:rFonts w:ascii="Arial" w:hAnsi="Arial" w:cs="Arial"/>
          <w:sz w:val="24"/>
          <w:szCs w:val="24"/>
        </w:rPr>
        <w:t>, or the Women in the Armed Forces report</w:t>
      </w:r>
      <w:r>
        <w:rPr>
          <w:rFonts w:ascii="Arial" w:hAnsi="Arial" w:cs="Arial"/>
          <w:sz w:val="24"/>
          <w:szCs w:val="24"/>
        </w:rPr>
        <w:t xml:space="preserve"> </w:t>
      </w:r>
      <w:r w:rsidR="00151E85">
        <w:rPr>
          <w:rFonts w:ascii="Arial" w:hAnsi="Arial" w:cs="Arial"/>
          <w:sz w:val="24"/>
          <w:szCs w:val="24"/>
        </w:rPr>
        <w:t xml:space="preserve">and the effect of </w:t>
      </w:r>
      <w:r>
        <w:rPr>
          <w:rFonts w:ascii="Arial" w:hAnsi="Arial" w:cs="Arial"/>
          <w:sz w:val="24"/>
          <w:szCs w:val="24"/>
        </w:rPr>
        <w:t xml:space="preserve">the new s 85(4) was to create an exclusion </w:t>
      </w:r>
      <w:r w:rsidR="00151E85">
        <w:rPr>
          <w:rFonts w:ascii="Arial" w:hAnsi="Arial" w:cs="Arial"/>
          <w:sz w:val="24"/>
          <w:szCs w:val="24"/>
        </w:rPr>
        <w:t>for</w:t>
      </w:r>
      <w:r>
        <w:rPr>
          <w:rFonts w:ascii="Arial" w:hAnsi="Arial" w:cs="Arial"/>
          <w:sz w:val="24"/>
          <w:szCs w:val="24"/>
        </w:rPr>
        <w:t xml:space="preserve"> the armed forces on the basis of combat effectivene</w:t>
      </w:r>
      <w:r w:rsidR="00151E85">
        <w:rPr>
          <w:rFonts w:ascii="Arial" w:hAnsi="Arial" w:cs="Arial"/>
          <w:sz w:val="24"/>
          <w:szCs w:val="24"/>
        </w:rPr>
        <w:t>ss where the sex of the worker wa</w:t>
      </w:r>
      <w:r>
        <w:rPr>
          <w:rFonts w:ascii="Arial" w:hAnsi="Arial" w:cs="Arial"/>
          <w:sz w:val="24"/>
          <w:szCs w:val="24"/>
        </w:rPr>
        <w:t>s not a genuine occupational qualification for the job</w:t>
      </w:r>
      <w:r w:rsidR="00621F35">
        <w:rPr>
          <w:rStyle w:val="FootnoteReference"/>
          <w:rFonts w:ascii="Arial" w:hAnsi="Arial" w:cs="Arial"/>
          <w:sz w:val="24"/>
          <w:szCs w:val="24"/>
        </w:rPr>
        <w:footnoteReference w:id="54"/>
      </w:r>
      <w:r>
        <w:rPr>
          <w:rFonts w:ascii="Arial" w:hAnsi="Arial" w:cs="Arial"/>
          <w:sz w:val="24"/>
          <w:szCs w:val="24"/>
        </w:rPr>
        <w:t>.</w:t>
      </w:r>
      <w:r w:rsidR="00151E85">
        <w:rPr>
          <w:rFonts w:ascii="Arial" w:hAnsi="Arial" w:cs="Arial"/>
          <w:sz w:val="24"/>
          <w:szCs w:val="24"/>
        </w:rPr>
        <w:t xml:space="preserve"> Thus not only did s 85(4) not comply with the ETD, it was also contrary to the domestic provisions of the SDA75, namely s 7.</w:t>
      </w:r>
      <w:r w:rsidR="00621F35">
        <w:rPr>
          <w:rFonts w:ascii="Arial" w:hAnsi="Arial" w:cs="Arial"/>
          <w:sz w:val="24"/>
          <w:szCs w:val="24"/>
        </w:rPr>
        <w:t xml:space="preserve"> Trybus also questions the retention of the combat effectiveness exclusion on the basis that the Women in the Armed Forces report fails to identify any additional risks creating a negative effect on interoperability</w:t>
      </w:r>
      <w:r w:rsidR="00621F35">
        <w:rPr>
          <w:rStyle w:val="FootnoteReference"/>
          <w:rFonts w:ascii="Arial" w:hAnsi="Arial" w:cs="Arial"/>
          <w:sz w:val="24"/>
          <w:szCs w:val="24"/>
        </w:rPr>
        <w:footnoteReference w:id="55"/>
      </w:r>
      <w:r w:rsidR="00621F35">
        <w:rPr>
          <w:rFonts w:ascii="Arial" w:hAnsi="Arial" w:cs="Arial"/>
          <w:sz w:val="24"/>
          <w:szCs w:val="24"/>
        </w:rPr>
        <w:t>.</w:t>
      </w:r>
    </w:p>
    <w:p w:rsidR="00621F35" w:rsidRDefault="00621F35" w:rsidP="00EC1EBC">
      <w:pPr>
        <w:spacing w:line="360" w:lineRule="auto"/>
        <w:jc w:val="both"/>
        <w:rPr>
          <w:rFonts w:ascii="Arial" w:hAnsi="Arial" w:cs="Arial"/>
          <w:sz w:val="24"/>
          <w:szCs w:val="24"/>
        </w:rPr>
      </w:pPr>
    </w:p>
    <w:p w:rsidR="00621F35" w:rsidRPr="00EC1EBC" w:rsidRDefault="00621F35" w:rsidP="00EC1EBC">
      <w:pPr>
        <w:spacing w:line="360" w:lineRule="auto"/>
        <w:jc w:val="both"/>
        <w:rPr>
          <w:rFonts w:ascii="Arial" w:hAnsi="Arial" w:cs="Arial"/>
          <w:sz w:val="24"/>
          <w:szCs w:val="24"/>
        </w:rPr>
      </w:pPr>
      <w:r>
        <w:rPr>
          <w:rFonts w:ascii="Arial" w:hAnsi="Arial" w:cs="Arial"/>
          <w:sz w:val="24"/>
          <w:szCs w:val="24"/>
        </w:rPr>
        <w:t>In 2002 the ETD was revised by an amending Directive</w:t>
      </w:r>
      <w:r>
        <w:rPr>
          <w:rStyle w:val="FootnoteReference"/>
          <w:rFonts w:ascii="Arial" w:hAnsi="Arial" w:cs="Arial"/>
          <w:sz w:val="24"/>
          <w:szCs w:val="24"/>
        </w:rPr>
        <w:footnoteReference w:id="56"/>
      </w:r>
      <w:r w:rsidR="007E390F">
        <w:rPr>
          <w:rFonts w:ascii="Arial" w:hAnsi="Arial" w:cs="Arial"/>
          <w:sz w:val="24"/>
          <w:szCs w:val="24"/>
        </w:rPr>
        <w:t xml:space="preserve"> to introduce definitions for different types of sex discrimination in Article 2(2). The derogation from the general principle in former Article 2(2) was renumbered </w:t>
      </w:r>
      <w:r w:rsidR="0019665E">
        <w:rPr>
          <w:rFonts w:ascii="Arial" w:hAnsi="Arial" w:cs="Arial"/>
          <w:sz w:val="24"/>
          <w:szCs w:val="24"/>
        </w:rPr>
        <w:t xml:space="preserve">as Article 2(6) </w:t>
      </w:r>
      <w:r w:rsidR="007E390F">
        <w:rPr>
          <w:rFonts w:ascii="Arial" w:hAnsi="Arial" w:cs="Arial"/>
          <w:sz w:val="24"/>
          <w:szCs w:val="24"/>
        </w:rPr>
        <w:t xml:space="preserve">and reworded. Now Member States could provide, as regards access to employment and the attendant training, that a difference of treatment, based on a characteristic related to sex, would not constitute discrimination if, because of the of the nature of the particular </w:t>
      </w:r>
      <w:r w:rsidR="007E390F">
        <w:rPr>
          <w:rFonts w:ascii="Arial" w:hAnsi="Arial" w:cs="Arial"/>
          <w:sz w:val="24"/>
          <w:szCs w:val="24"/>
        </w:rPr>
        <w:lastRenderedPageBreak/>
        <w:t xml:space="preserve">occupational activities concerned or of the context in which they were carried out, </w:t>
      </w:r>
      <w:r w:rsidR="00FB3572">
        <w:rPr>
          <w:rFonts w:ascii="Arial" w:hAnsi="Arial" w:cs="Arial"/>
          <w:sz w:val="24"/>
          <w:szCs w:val="24"/>
        </w:rPr>
        <w:t xml:space="preserve">such a characteristic constituted a genuine and determining occupational requirement. This was provided that the objective was legitimate and the requirement was proportionate. </w:t>
      </w:r>
      <w:r w:rsidR="0019665E">
        <w:rPr>
          <w:rFonts w:ascii="Arial" w:hAnsi="Arial" w:cs="Arial"/>
          <w:sz w:val="24"/>
          <w:szCs w:val="24"/>
        </w:rPr>
        <w:t xml:space="preserve">The effect of this was merely to codify the case law of the ECJ. </w:t>
      </w:r>
      <w:r w:rsidR="00FB3572">
        <w:rPr>
          <w:rFonts w:ascii="Arial" w:hAnsi="Arial" w:cs="Arial"/>
          <w:sz w:val="24"/>
          <w:szCs w:val="24"/>
        </w:rPr>
        <w:t xml:space="preserve">Former Article 2(3) became Article 2(7) and was expanded by paragraphs on maternity leave, pregnancy and </w:t>
      </w:r>
      <w:proofErr w:type="gramStart"/>
      <w:r w:rsidR="00FB3572">
        <w:rPr>
          <w:rFonts w:ascii="Arial" w:hAnsi="Arial" w:cs="Arial"/>
          <w:sz w:val="24"/>
          <w:szCs w:val="24"/>
        </w:rPr>
        <w:t>breastfeeding, that required the Pregnancy Directive</w:t>
      </w:r>
      <w:r w:rsidR="00FB3572">
        <w:rPr>
          <w:rStyle w:val="FootnoteReference"/>
          <w:rFonts w:ascii="Arial" w:hAnsi="Arial" w:cs="Arial"/>
          <w:sz w:val="24"/>
          <w:szCs w:val="24"/>
        </w:rPr>
        <w:footnoteReference w:id="57"/>
      </w:r>
      <w:r w:rsidR="00FB3572">
        <w:rPr>
          <w:rFonts w:ascii="Arial" w:hAnsi="Arial" w:cs="Arial"/>
          <w:sz w:val="24"/>
          <w:szCs w:val="24"/>
        </w:rPr>
        <w:t xml:space="preserve"> and Parental Leave Directive</w:t>
      </w:r>
      <w:r w:rsidR="00FB3572">
        <w:rPr>
          <w:rStyle w:val="FootnoteReference"/>
          <w:rFonts w:ascii="Arial" w:hAnsi="Arial" w:cs="Arial"/>
          <w:sz w:val="24"/>
          <w:szCs w:val="24"/>
        </w:rPr>
        <w:footnoteReference w:id="58"/>
      </w:r>
      <w:proofErr w:type="gramEnd"/>
      <w:r w:rsidR="00FB3572">
        <w:rPr>
          <w:rFonts w:ascii="Arial" w:hAnsi="Arial" w:cs="Arial"/>
          <w:sz w:val="24"/>
          <w:szCs w:val="24"/>
        </w:rPr>
        <w:t xml:space="preserve"> to be taken into consideration. </w:t>
      </w:r>
      <w:r w:rsidR="0019665E">
        <w:rPr>
          <w:rFonts w:ascii="Arial" w:hAnsi="Arial" w:cs="Arial"/>
          <w:sz w:val="24"/>
          <w:szCs w:val="24"/>
        </w:rPr>
        <w:t>The requirement to periodically assess exclusions from the general principle remained the same.</w:t>
      </w:r>
      <w:r w:rsidR="002A18EC">
        <w:rPr>
          <w:rFonts w:ascii="Arial" w:hAnsi="Arial" w:cs="Arial"/>
          <w:sz w:val="24"/>
          <w:szCs w:val="24"/>
        </w:rPr>
        <w:t xml:space="preserve"> However, a new Article 1a was included which introduced a mandatory requirement for Member States to mainstream the objective of equality between men and women.</w:t>
      </w:r>
    </w:p>
    <w:p w:rsidR="0073406F" w:rsidRDefault="0073406F" w:rsidP="003160BA">
      <w:pPr>
        <w:spacing w:line="360" w:lineRule="auto"/>
        <w:jc w:val="both"/>
        <w:rPr>
          <w:rFonts w:ascii="Arial" w:hAnsi="Arial" w:cs="Arial"/>
          <w:sz w:val="24"/>
          <w:szCs w:val="24"/>
        </w:rPr>
      </w:pPr>
    </w:p>
    <w:p w:rsidR="002E2BE1" w:rsidRDefault="008D3A17" w:rsidP="003160BA">
      <w:pPr>
        <w:spacing w:line="360" w:lineRule="auto"/>
        <w:jc w:val="both"/>
        <w:rPr>
          <w:rFonts w:ascii="Arial" w:hAnsi="Arial" w:cs="Arial"/>
          <w:sz w:val="24"/>
          <w:szCs w:val="24"/>
        </w:rPr>
      </w:pPr>
      <w:r>
        <w:rPr>
          <w:rFonts w:ascii="Arial" w:hAnsi="Arial" w:cs="Arial"/>
          <w:b/>
          <w:sz w:val="24"/>
          <w:szCs w:val="24"/>
          <w:u w:val="single"/>
        </w:rPr>
        <w:t>DEVELOPMENTS AT THE EU LEVEL</w:t>
      </w:r>
    </w:p>
    <w:p w:rsidR="002E2BE1" w:rsidRDefault="008D3A17" w:rsidP="003160BA">
      <w:pPr>
        <w:spacing w:line="360" w:lineRule="auto"/>
        <w:jc w:val="both"/>
        <w:rPr>
          <w:rFonts w:ascii="Arial" w:hAnsi="Arial" w:cs="Arial"/>
          <w:sz w:val="24"/>
          <w:szCs w:val="24"/>
        </w:rPr>
      </w:pPr>
      <w:r>
        <w:rPr>
          <w:rFonts w:ascii="Arial" w:hAnsi="Arial" w:cs="Arial"/>
          <w:sz w:val="24"/>
          <w:szCs w:val="24"/>
        </w:rPr>
        <w:t>Since the 2002 amendment to the ETD four significant changes have occurred at the EU level: the introduction of the Equality Directive; the Lisbon Treaty; the Charter of Fundamental Rights; and, ECJ judgments.</w:t>
      </w:r>
    </w:p>
    <w:p w:rsidR="008D3A17" w:rsidRDefault="008D3A17" w:rsidP="008D3A17">
      <w:pPr>
        <w:pStyle w:val="ListParagraph"/>
        <w:numPr>
          <w:ilvl w:val="0"/>
          <w:numId w:val="1"/>
        </w:numPr>
        <w:spacing w:line="360" w:lineRule="auto"/>
        <w:jc w:val="both"/>
        <w:rPr>
          <w:rFonts w:ascii="Arial" w:hAnsi="Arial" w:cs="Arial"/>
          <w:sz w:val="24"/>
          <w:szCs w:val="24"/>
        </w:rPr>
      </w:pPr>
      <w:r>
        <w:rPr>
          <w:rFonts w:ascii="Arial" w:hAnsi="Arial" w:cs="Arial"/>
          <w:sz w:val="24"/>
          <w:szCs w:val="24"/>
        </w:rPr>
        <w:t>The Equality Directive</w:t>
      </w:r>
      <w:r>
        <w:rPr>
          <w:rStyle w:val="FootnoteReference"/>
          <w:rFonts w:ascii="Arial" w:hAnsi="Arial" w:cs="Arial"/>
          <w:sz w:val="24"/>
          <w:szCs w:val="24"/>
        </w:rPr>
        <w:footnoteReference w:id="59"/>
      </w:r>
    </w:p>
    <w:p w:rsidR="008D3A17" w:rsidRDefault="00AA51ED" w:rsidP="00AC4BB1">
      <w:pPr>
        <w:spacing w:line="360" w:lineRule="auto"/>
        <w:jc w:val="both"/>
        <w:rPr>
          <w:rFonts w:ascii="Arial" w:hAnsi="Arial" w:cs="Arial"/>
          <w:sz w:val="24"/>
          <w:szCs w:val="24"/>
        </w:rPr>
      </w:pPr>
      <w:r>
        <w:rPr>
          <w:rFonts w:ascii="Arial" w:hAnsi="Arial" w:cs="Arial"/>
          <w:sz w:val="24"/>
          <w:szCs w:val="24"/>
        </w:rPr>
        <w:t>The adoption of the Equality Directive replaced the ETD and other EU legislation on equal treatment between men and women, utilising a new legal basis of Article 141(3</w:t>
      </w:r>
      <w:proofErr w:type="gramStart"/>
      <w:r>
        <w:rPr>
          <w:rFonts w:ascii="Arial" w:hAnsi="Arial" w:cs="Arial"/>
          <w:sz w:val="24"/>
          <w:szCs w:val="24"/>
        </w:rPr>
        <w:t>)EC</w:t>
      </w:r>
      <w:proofErr w:type="gramEnd"/>
      <w:r>
        <w:rPr>
          <w:rFonts w:ascii="Arial" w:hAnsi="Arial" w:cs="Arial"/>
          <w:sz w:val="24"/>
          <w:szCs w:val="24"/>
        </w:rPr>
        <w:t xml:space="preserve"> (now Article 157(3)TFEU)</w:t>
      </w:r>
      <w:r>
        <w:rPr>
          <w:rStyle w:val="FootnoteReference"/>
          <w:rFonts w:ascii="Arial" w:hAnsi="Arial" w:cs="Arial"/>
          <w:sz w:val="24"/>
          <w:szCs w:val="24"/>
        </w:rPr>
        <w:footnoteReference w:id="60"/>
      </w:r>
      <w:r w:rsidR="003954B4">
        <w:rPr>
          <w:rFonts w:ascii="Arial" w:hAnsi="Arial" w:cs="Arial"/>
          <w:sz w:val="24"/>
          <w:szCs w:val="24"/>
        </w:rPr>
        <w:t>, referring to Articles 21 and 23 of the Charter of Fundamental Rights</w:t>
      </w:r>
      <w:r w:rsidR="003954B4">
        <w:rPr>
          <w:rStyle w:val="FootnoteReference"/>
          <w:rFonts w:ascii="Arial" w:hAnsi="Arial" w:cs="Arial"/>
          <w:sz w:val="24"/>
          <w:szCs w:val="24"/>
        </w:rPr>
        <w:footnoteReference w:id="61"/>
      </w:r>
      <w:r w:rsidR="003954B4">
        <w:rPr>
          <w:rFonts w:ascii="Arial" w:hAnsi="Arial" w:cs="Arial"/>
          <w:sz w:val="24"/>
          <w:szCs w:val="24"/>
        </w:rPr>
        <w:t>,</w:t>
      </w:r>
      <w:r>
        <w:rPr>
          <w:rFonts w:ascii="Arial" w:hAnsi="Arial" w:cs="Arial"/>
          <w:sz w:val="24"/>
          <w:szCs w:val="24"/>
        </w:rPr>
        <w:t xml:space="preserve"> and with the purpose </w:t>
      </w:r>
      <w:r w:rsidR="003954B4">
        <w:rPr>
          <w:rFonts w:ascii="Arial" w:hAnsi="Arial" w:cs="Arial"/>
          <w:sz w:val="24"/>
          <w:szCs w:val="24"/>
        </w:rPr>
        <w:t xml:space="preserve">in Article 1 </w:t>
      </w:r>
      <w:r>
        <w:rPr>
          <w:rFonts w:ascii="Arial" w:hAnsi="Arial" w:cs="Arial"/>
          <w:sz w:val="24"/>
          <w:szCs w:val="24"/>
        </w:rPr>
        <w:t xml:space="preserve">of ensuring the implementation of the principle of equal opportunities and treatment of men and women in matters of employment and occupation. Article 1 goes on to make clear that the Directive provides provisions on appropriate procedures for the effective </w:t>
      </w:r>
      <w:r>
        <w:rPr>
          <w:rFonts w:ascii="Arial" w:hAnsi="Arial" w:cs="Arial"/>
          <w:sz w:val="24"/>
          <w:szCs w:val="24"/>
        </w:rPr>
        <w:lastRenderedPageBreak/>
        <w:t xml:space="preserve">implementation of the substantive provisions in relation to: access to employment, including promotion, and to vocational training; working conditions, including pay; and, occupational social security schemes. Article 2 sets out the definitions for direct and indirect discrimination, harassment and sexual harassment, pay and occupational social security schemes. </w:t>
      </w:r>
      <w:r w:rsidR="009F5E4C">
        <w:rPr>
          <w:rFonts w:ascii="Arial" w:hAnsi="Arial" w:cs="Arial"/>
          <w:sz w:val="24"/>
          <w:szCs w:val="24"/>
        </w:rPr>
        <w:t>Article 14(1) sets out the right to non-discrimination on the basis of sex that is more comprehensive than Article 2(1) of the ETD but Article 14(2) repeats Article 2(6) of the amended ETD. Interestingly the derogation that was previously contained in Article 2(3) of the ETD (paragraph 1 of Article 2(7) of the amended ETD) for the “provisions concerning the protection of women, particularly as regards pregnancy and maternity”</w:t>
      </w:r>
      <w:r w:rsidR="001C7316">
        <w:rPr>
          <w:rFonts w:ascii="Arial" w:hAnsi="Arial" w:cs="Arial"/>
          <w:sz w:val="24"/>
          <w:szCs w:val="24"/>
        </w:rPr>
        <w:t xml:space="preserve"> has been moved to Article 28(1) </w:t>
      </w:r>
      <w:r w:rsidR="00387460">
        <w:rPr>
          <w:rFonts w:ascii="Arial" w:hAnsi="Arial" w:cs="Arial"/>
          <w:sz w:val="24"/>
          <w:szCs w:val="24"/>
        </w:rPr>
        <w:t xml:space="preserve">in the chapter on General Horizontal Provisions </w:t>
      </w:r>
      <w:r w:rsidR="001C7316">
        <w:rPr>
          <w:rFonts w:ascii="Arial" w:hAnsi="Arial" w:cs="Arial"/>
          <w:sz w:val="24"/>
          <w:szCs w:val="24"/>
        </w:rPr>
        <w:t xml:space="preserve">and “any less favourable treatment of a woman related to pregnancy or maternity leave within the meaning of Directive 92/85/EEC” is now treated as discrimination according to Article 2(2)(c). </w:t>
      </w:r>
      <w:r w:rsidR="002A18EC">
        <w:rPr>
          <w:rFonts w:ascii="Arial" w:hAnsi="Arial" w:cs="Arial"/>
          <w:sz w:val="24"/>
          <w:szCs w:val="24"/>
        </w:rPr>
        <w:t>Article 29</w:t>
      </w:r>
      <w:r w:rsidR="00AC4BB1">
        <w:rPr>
          <w:rFonts w:ascii="Arial" w:hAnsi="Arial" w:cs="Arial"/>
          <w:sz w:val="24"/>
          <w:szCs w:val="24"/>
        </w:rPr>
        <w:t xml:space="preserve"> </w:t>
      </w:r>
      <w:r w:rsidR="002A18EC">
        <w:rPr>
          <w:rFonts w:ascii="Arial" w:hAnsi="Arial" w:cs="Arial"/>
          <w:sz w:val="24"/>
          <w:szCs w:val="24"/>
        </w:rPr>
        <w:t>on gender mainstreaming requiring</w:t>
      </w:r>
      <w:r w:rsidR="00AC4BB1">
        <w:rPr>
          <w:rFonts w:ascii="Arial" w:hAnsi="Arial" w:cs="Arial"/>
          <w:sz w:val="24"/>
          <w:szCs w:val="24"/>
        </w:rPr>
        <w:t xml:space="preserve"> Member States to “</w:t>
      </w:r>
      <w:r w:rsidR="00AC4BB1" w:rsidRPr="00AC4BB1">
        <w:rPr>
          <w:rFonts w:ascii="Arial" w:hAnsi="Arial" w:cs="Arial"/>
          <w:sz w:val="24"/>
          <w:szCs w:val="24"/>
        </w:rPr>
        <w:t>actively take into account the objective of</w:t>
      </w:r>
      <w:r w:rsidR="00AC4BB1">
        <w:rPr>
          <w:rFonts w:ascii="Arial" w:hAnsi="Arial" w:cs="Arial"/>
          <w:sz w:val="24"/>
          <w:szCs w:val="24"/>
        </w:rPr>
        <w:t xml:space="preserve"> </w:t>
      </w:r>
      <w:r w:rsidR="00AC4BB1" w:rsidRPr="00AC4BB1">
        <w:rPr>
          <w:rFonts w:ascii="Arial" w:hAnsi="Arial" w:cs="Arial"/>
          <w:sz w:val="24"/>
          <w:szCs w:val="24"/>
        </w:rPr>
        <w:t>equality between men and women when formulating and</w:t>
      </w:r>
      <w:r w:rsidR="00AC4BB1">
        <w:rPr>
          <w:rFonts w:ascii="Arial" w:hAnsi="Arial" w:cs="Arial"/>
          <w:sz w:val="24"/>
          <w:szCs w:val="24"/>
        </w:rPr>
        <w:t xml:space="preserve"> </w:t>
      </w:r>
      <w:r w:rsidR="00AC4BB1" w:rsidRPr="00AC4BB1">
        <w:rPr>
          <w:rFonts w:ascii="Arial" w:hAnsi="Arial" w:cs="Arial"/>
          <w:sz w:val="24"/>
          <w:szCs w:val="24"/>
        </w:rPr>
        <w:t>implementing laws, regulations, administrative provisions, policies</w:t>
      </w:r>
      <w:r w:rsidR="00AC4BB1">
        <w:rPr>
          <w:rFonts w:ascii="Arial" w:hAnsi="Arial" w:cs="Arial"/>
          <w:sz w:val="24"/>
          <w:szCs w:val="24"/>
        </w:rPr>
        <w:t xml:space="preserve"> </w:t>
      </w:r>
      <w:r w:rsidR="00AC4BB1" w:rsidRPr="00AC4BB1">
        <w:rPr>
          <w:rFonts w:ascii="Arial" w:hAnsi="Arial" w:cs="Arial"/>
          <w:sz w:val="24"/>
          <w:szCs w:val="24"/>
        </w:rPr>
        <w:t>and activities in the area</w:t>
      </w:r>
      <w:r w:rsidR="002A18EC">
        <w:rPr>
          <w:rFonts w:ascii="Arial" w:hAnsi="Arial" w:cs="Arial"/>
          <w:sz w:val="24"/>
          <w:szCs w:val="24"/>
        </w:rPr>
        <w:t>s referred to in this Directive</w:t>
      </w:r>
      <w:r w:rsidR="00AC4BB1">
        <w:rPr>
          <w:rFonts w:ascii="Arial" w:hAnsi="Arial" w:cs="Arial"/>
          <w:sz w:val="24"/>
          <w:szCs w:val="24"/>
        </w:rPr>
        <w:t>”</w:t>
      </w:r>
      <w:r w:rsidR="00387460">
        <w:rPr>
          <w:rFonts w:ascii="Arial" w:hAnsi="Arial" w:cs="Arial"/>
          <w:sz w:val="24"/>
          <w:szCs w:val="24"/>
        </w:rPr>
        <w:t xml:space="preserve"> is also included in the General Horizontal Provisions chapter</w:t>
      </w:r>
      <w:r w:rsidR="00AC4BB1">
        <w:rPr>
          <w:rFonts w:ascii="Arial" w:hAnsi="Arial" w:cs="Arial"/>
          <w:sz w:val="24"/>
          <w:szCs w:val="24"/>
        </w:rPr>
        <w:t>.</w:t>
      </w:r>
      <w:r w:rsidR="003954B4">
        <w:rPr>
          <w:rFonts w:ascii="Arial" w:hAnsi="Arial" w:cs="Arial"/>
          <w:sz w:val="24"/>
          <w:szCs w:val="24"/>
        </w:rPr>
        <w:t xml:space="preserve"> Finally Article 31(3) required the periodic review of derogations to now be carried out at least every eight years.</w:t>
      </w:r>
    </w:p>
    <w:p w:rsidR="00CF3039" w:rsidRDefault="00CF3039" w:rsidP="00AC4BB1">
      <w:pPr>
        <w:spacing w:line="360" w:lineRule="auto"/>
        <w:jc w:val="both"/>
        <w:rPr>
          <w:rFonts w:ascii="Arial" w:hAnsi="Arial" w:cs="Arial"/>
          <w:sz w:val="24"/>
          <w:szCs w:val="24"/>
        </w:rPr>
      </w:pPr>
    </w:p>
    <w:p w:rsidR="00CF3039" w:rsidRDefault="00CF3039" w:rsidP="00CF3039">
      <w:pPr>
        <w:pStyle w:val="ListParagraph"/>
        <w:numPr>
          <w:ilvl w:val="0"/>
          <w:numId w:val="1"/>
        </w:numPr>
        <w:spacing w:line="360" w:lineRule="auto"/>
        <w:jc w:val="both"/>
        <w:rPr>
          <w:rFonts w:ascii="Arial" w:hAnsi="Arial" w:cs="Arial"/>
          <w:sz w:val="24"/>
          <w:szCs w:val="24"/>
        </w:rPr>
      </w:pPr>
      <w:r>
        <w:rPr>
          <w:rFonts w:ascii="Arial" w:hAnsi="Arial" w:cs="Arial"/>
          <w:sz w:val="24"/>
          <w:szCs w:val="24"/>
        </w:rPr>
        <w:t>The Lisbon Treaty</w:t>
      </w:r>
      <w:r w:rsidR="00176340">
        <w:rPr>
          <w:rStyle w:val="FootnoteReference"/>
          <w:rFonts w:ascii="Arial" w:hAnsi="Arial" w:cs="Arial"/>
          <w:sz w:val="24"/>
          <w:szCs w:val="24"/>
        </w:rPr>
        <w:footnoteReference w:id="62"/>
      </w:r>
    </w:p>
    <w:p w:rsidR="00CF3039" w:rsidRDefault="00CF3039" w:rsidP="00CF3039">
      <w:pPr>
        <w:spacing w:line="360" w:lineRule="auto"/>
        <w:jc w:val="both"/>
        <w:rPr>
          <w:rFonts w:ascii="Arial" w:hAnsi="Arial" w:cs="Arial"/>
          <w:sz w:val="24"/>
          <w:szCs w:val="24"/>
        </w:rPr>
      </w:pPr>
      <w:r>
        <w:rPr>
          <w:rFonts w:ascii="Arial" w:hAnsi="Arial" w:cs="Arial"/>
          <w:sz w:val="24"/>
          <w:szCs w:val="24"/>
        </w:rPr>
        <w:t xml:space="preserve">The Lisbon Treaty came into force on 1 December 2009 and reformed the Treaty on the European Union (TEU and reformed and replaced the EC Treaty with the Treaty on the Functioning of the European Union (TFEU). Article 2(TEU) provides an exhaustive list of the founding values of the Union that includes equality and the respect for human rights and that are common to the Member States “in a society in which…non-discrimination…and equality between women and men prevail.” </w:t>
      </w:r>
      <w:r w:rsidR="0070237C">
        <w:rPr>
          <w:rFonts w:ascii="Arial" w:hAnsi="Arial" w:cs="Arial"/>
          <w:sz w:val="24"/>
          <w:szCs w:val="24"/>
        </w:rPr>
        <w:t xml:space="preserve">The objectives and tasks of the Union are set out in Article 3TEU and include the duty to “combat social exclusion and discrimination” and “promote social justice and protection” and “equality between women and men”. </w:t>
      </w:r>
      <w:r w:rsidR="003E61F9">
        <w:rPr>
          <w:rFonts w:ascii="Arial" w:hAnsi="Arial" w:cs="Arial"/>
          <w:sz w:val="24"/>
          <w:szCs w:val="24"/>
        </w:rPr>
        <w:t>Article 6TEU is a particularly important development with Article 6(1</w:t>
      </w:r>
      <w:proofErr w:type="gramStart"/>
      <w:r w:rsidR="003E61F9">
        <w:rPr>
          <w:rFonts w:ascii="Arial" w:hAnsi="Arial" w:cs="Arial"/>
          <w:sz w:val="24"/>
          <w:szCs w:val="24"/>
        </w:rPr>
        <w:t>)TEU</w:t>
      </w:r>
      <w:proofErr w:type="gramEnd"/>
      <w:r w:rsidR="003E61F9">
        <w:rPr>
          <w:rFonts w:ascii="Arial" w:hAnsi="Arial" w:cs="Arial"/>
          <w:sz w:val="24"/>
          <w:szCs w:val="24"/>
        </w:rPr>
        <w:t xml:space="preserve"> granting the Charter of Fundamental </w:t>
      </w:r>
      <w:r w:rsidR="003E61F9">
        <w:rPr>
          <w:rFonts w:ascii="Arial" w:hAnsi="Arial" w:cs="Arial"/>
          <w:sz w:val="24"/>
          <w:szCs w:val="24"/>
        </w:rPr>
        <w:lastRenderedPageBreak/>
        <w:t>Rights the same legal value as the Treaties, Article 6(2)TEU mandating the Union to accede to the European Convention of Human Rights (ECHR) and Article 6(3)TEU continuing to recognise fundamental rights as general principles of the Union’s law. Article 9TEU requires the EU to observe the principle of the equality of its citizens, in all its activities.</w:t>
      </w:r>
    </w:p>
    <w:p w:rsidR="003E61F9" w:rsidRDefault="003E61F9" w:rsidP="00CF3039">
      <w:pPr>
        <w:spacing w:line="360" w:lineRule="auto"/>
        <w:jc w:val="both"/>
        <w:rPr>
          <w:rFonts w:ascii="Arial" w:hAnsi="Arial" w:cs="Arial"/>
          <w:sz w:val="24"/>
          <w:szCs w:val="24"/>
        </w:rPr>
      </w:pPr>
    </w:p>
    <w:p w:rsidR="003E61F9" w:rsidRDefault="003E61F9" w:rsidP="00CF3039">
      <w:pPr>
        <w:spacing w:line="360" w:lineRule="auto"/>
        <w:jc w:val="both"/>
        <w:rPr>
          <w:rFonts w:ascii="Arial" w:hAnsi="Arial" w:cs="Arial"/>
          <w:sz w:val="24"/>
          <w:szCs w:val="24"/>
        </w:rPr>
      </w:pPr>
      <w:r>
        <w:rPr>
          <w:rFonts w:ascii="Arial" w:hAnsi="Arial" w:cs="Arial"/>
          <w:sz w:val="24"/>
          <w:szCs w:val="24"/>
        </w:rPr>
        <w:t>The framework statements in the TEU are given greater effect by the provisions of the TFEU</w:t>
      </w:r>
      <w:r w:rsidR="00940790">
        <w:rPr>
          <w:rFonts w:ascii="Arial" w:hAnsi="Arial" w:cs="Arial"/>
          <w:sz w:val="24"/>
          <w:szCs w:val="24"/>
        </w:rPr>
        <w:t>. Although the catalogue of allocation of competences in Articles 2-6TEFEU does not include equality or non-discrimination, Article 8TFEU states “[</w:t>
      </w:r>
      <w:proofErr w:type="spellStart"/>
      <w:r w:rsidR="00940790">
        <w:rPr>
          <w:rFonts w:ascii="Arial" w:hAnsi="Arial" w:cs="Arial"/>
          <w:sz w:val="24"/>
          <w:szCs w:val="24"/>
        </w:rPr>
        <w:t>i</w:t>
      </w:r>
      <w:proofErr w:type="spellEnd"/>
      <w:r w:rsidR="00940790">
        <w:rPr>
          <w:rFonts w:ascii="Arial" w:hAnsi="Arial" w:cs="Arial"/>
          <w:sz w:val="24"/>
          <w:szCs w:val="24"/>
        </w:rPr>
        <w:t>]n all its activities, the Union shall aim to eliminate inequalities, and to promote equality, between men and women.” Article 19(1</w:t>
      </w:r>
      <w:proofErr w:type="gramStart"/>
      <w:r w:rsidR="00940790">
        <w:rPr>
          <w:rFonts w:ascii="Arial" w:hAnsi="Arial" w:cs="Arial"/>
          <w:sz w:val="24"/>
          <w:szCs w:val="24"/>
        </w:rPr>
        <w:t>)TFEU</w:t>
      </w:r>
      <w:proofErr w:type="gramEnd"/>
      <w:r w:rsidR="00940790">
        <w:rPr>
          <w:rFonts w:ascii="Arial" w:hAnsi="Arial" w:cs="Arial"/>
          <w:sz w:val="24"/>
          <w:szCs w:val="24"/>
        </w:rPr>
        <w:t xml:space="preserve"> authorises the Council acting unanimously and with the consent of the European Parliament to take appropriate action to combat discrimination based on </w:t>
      </w:r>
      <w:r w:rsidR="00940790">
        <w:rPr>
          <w:rFonts w:ascii="Arial" w:hAnsi="Arial" w:cs="Arial"/>
          <w:i/>
          <w:sz w:val="24"/>
          <w:szCs w:val="24"/>
        </w:rPr>
        <w:t>inter alia</w:t>
      </w:r>
      <w:r w:rsidR="00940790">
        <w:rPr>
          <w:rFonts w:ascii="Arial" w:hAnsi="Arial" w:cs="Arial"/>
          <w:sz w:val="24"/>
          <w:szCs w:val="24"/>
        </w:rPr>
        <w:t xml:space="preserve"> sex and sexual orientation. It should be noted that this provision is not directly effective</w:t>
      </w:r>
      <w:r w:rsidR="00C710BE">
        <w:rPr>
          <w:rStyle w:val="FootnoteReference"/>
          <w:rFonts w:ascii="Arial" w:hAnsi="Arial" w:cs="Arial"/>
          <w:sz w:val="24"/>
          <w:szCs w:val="24"/>
        </w:rPr>
        <w:footnoteReference w:id="63"/>
      </w:r>
      <w:r w:rsidR="00C710BE">
        <w:rPr>
          <w:rFonts w:ascii="Arial" w:hAnsi="Arial" w:cs="Arial"/>
          <w:sz w:val="24"/>
          <w:szCs w:val="24"/>
        </w:rPr>
        <w:t>, although it may inform the general principle of equality</w:t>
      </w:r>
      <w:r w:rsidR="00C710BE">
        <w:rPr>
          <w:rStyle w:val="FootnoteReference"/>
          <w:rFonts w:ascii="Arial" w:hAnsi="Arial" w:cs="Arial"/>
          <w:sz w:val="24"/>
          <w:szCs w:val="24"/>
        </w:rPr>
        <w:footnoteReference w:id="64"/>
      </w:r>
      <w:r w:rsidR="00C710BE">
        <w:rPr>
          <w:rFonts w:ascii="Arial" w:hAnsi="Arial" w:cs="Arial"/>
          <w:sz w:val="24"/>
          <w:szCs w:val="24"/>
        </w:rPr>
        <w:t>,</w:t>
      </w:r>
      <w:r w:rsidR="00940790">
        <w:rPr>
          <w:rFonts w:ascii="Arial" w:hAnsi="Arial" w:cs="Arial"/>
          <w:sz w:val="24"/>
          <w:szCs w:val="24"/>
        </w:rPr>
        <w:t xml:space="preserve"> and so implementing legislation is required to give it effect and “without prejudice to the other provisions of the Treaties”.</w:t>
      </w:r>
      <w:r w:rsidR="00C710BE">
        <w:rPr>
          <w:rFonts w:ascii="Arial" w:hAnsi="Arial" w:cs="Arial"/>
          <w:sz w:val="24"/>
          <w:szCs w:val="24"/>
        </w:rPr>
        <w:t xml:space="preserve"> Article 157TFEU </w:t>
      </w:r>
      <w:r w:rsidR="00176340">
        <w:rPr>
          <w:rFonts w:ascii="Arial" w:hAnsi="Arial" w:cs="Arial"/>
          <w:sz w:val="24"/>
          <w:szCs w:val="24"/>
        </w:rPr>
        <w:t>provides fuller provisions on equality between men and women with Article 157(1) and (2)TFEU directed at equal pay, Article 157(4)TFEU enabling positive discrimination and Article 157(3)TFEU replacing 141(3)EC to provide the authority for legislative action over equal treatment and equal opportunities.</w:t>
      </w:r>
    </w:p>
    <w:p w:rsidR="00176340" w:rsidRDefault="00176340" w:rsidP="00CF3039">
      <w:pPr>
        <w:spacing w:line="360" w:lineRule="auto"/>
        <w:jc w:val="both"/>
        <w:rPr>
          <w:rFonts w:ascii="Arial" w:hAnsi="Arial" w:cs="Arial"/>
          <w:sz w:val="24"/>
          <w:szCs w:val="24"/>
        </w:rPr>
      </w:pPr>
    </w:p>
    <w:p w:rsidR="00176340" w:rsidRDefault="00176340" w:rsidP="00176340">
      <w:pPr>
        <w:pStyle w:val="ListParagraph"/>
        <w:numPr>
          <w:ilvl w:val="0"/>
          <w:numId w:val="1"/>
        </w:numPr>
        <w:spacing w:line="360" w:lineRule="auto"/>
        <w:jc w:val="both"/>
        <w:rPr>
          <w:rFonts w:ascii="Arial" w:hAnsi="Arial" w:cs="Arial"/>
          <w:sz w:val="24"/>
          <w:szCs w:val="24"/>
        </w:rPr>
      </w:pPr>
      <w:r>
        <w:rPr>
          <w:rFonts w:ascii="Arial" w:hAnsi="Arial" w:cs="Arial"/>
          <w:sz w:val="24"/>
          <w:szCs w:val="24"/>
        </w:rPr>
        <w:t>The Charter of Fundamental Rights</w:t>
      </w:r>
      <w:r>
        <w:rPr>
          <w:rStyle w:val="FootnoteReference"/>
          <w:rFonts w:ascii="Arial" w:hAnsi="Arial" w:cs="Arial"/>
          <w:sz w:val="24"/>
          <w:szCs w:val="24"/>
        </w:rPr>
        <w:footnoteReference w:id="65"/>
      </w:r>
    </w:p>
    <w:p w:rsidR="00D81D23" w:rsidRDefault="00D81D23" w:rsidP="00D81D23">
      <w:pPr>
        <w:spacing w:line="360" w:lineRule="auto"/>
        <w:jc w:val="both"/>
        <w:rPr>
          <w:rFonts w:ascii="Arial" w:hAnsi="Arial" w:cs="Arial"/>
          <w:sz w:val="24"/>
          <w:szCs w:val="24"/>
        </w:rPr>
      </w:pPr>
      <w:r>
        <w:rPr>
          <w:rFonts w:ascii="Arial" w:hAnsi="Arial" w:cs="Arial"/>
          <w:sz w:val="24"/>
          <w:szCs w:val="24"/>
        </w:rPr>
        <w:t>The Charter of Fundamental Rights as outlined above can now be utilised by the European Courts as precedent and the basis for legal judgments</w:t>
      </w:r>
      <w:r>
        <w:rPr>
          <w:rStyle w:val="FootnoteReference"/>
          <w:rFonts w:ascii="Arial" w:hAnsi="Arial" w:cs="Arial"/>
          <w:sz w:val="24"/>
          <w:szCs w:val="24"/>
        </w:rPr>
        <w:footnoteReference w:id="66"/>
      </w:r>
      <w:r>
        <w:rPr>
          <w:rFonts w:ascii="Arial" w:hAnsi="Arial" w:cs="Arial"/>
          <w:sz w:val="24"/>
          <w:szCs w:val="24"/>
        </w:rPr>
        <w:t xml:space="preserve"> whereas before the Lisbon Treaty the Charter was merely solemnly declared by the institutions of the Union and thus only persuasive. Article 1 proclaims that “[h]</w:t>
      </w:r>
      <w:proofErr w:type="spellStart"/>
      <w:r>
        <w:rPr>
          <w:rFonts w:ascii="Arial" w:hAnsi="Arial" w:cs="Arial"/>
          <w:sz w:val="24"/>
          <w:szCs w:val="24"/>
        </w:rPr>
        <w:t>uman</w:t>
      </w:r>
      <w:proofErr w:type="spellEnd"/>
      <w:r>
        <w:rPr>
          <w:rFonts w:ascii="Arial" w:hAnsi="Arial" w:cs="Arial"/>
          <w:sz w:val="24"/>
          <w:szCs w:val="24"/>
        </w:rPr>
        <w:t xml:space="preserve"> dignity is inviolable. It must be respected and protected.”</w:t>
      </w:r>
      <w:r w:rsidR="005E0AE9">
        <w:rPr>
          <w:rFonts w:ascii="Arial" w:hAnsi="Arial" w:cs="Arial"/>
          <w:sz w:val="24"/>
          <w:szCs w:val="24"/>
        </w:rPr>
        <w:t xml:space="preserve"> By placing human dignity in the first provision it is suggested that this principle, although not constituted in the language </w:t>
      </w:r>
      <w:r w:rsidR="005E0AE9">
        <w:rPr>
          <w:rFonts w:ascii="Arial" w:hAnsi="Arial" w:cs="Arial"/>
          <w:sz w:val="24"/>
          <w:szCs w:val="24"/>
        </w:rPr>
        <w:lastRenderedPageBreak/>
        <w:t xml:space="preserve">of a right, is designed to be the underlying concept that pervades the other provisions of the Charter. The general prohibition of discrimination based on any ground, which then provides a non-exhaustive list of grounds including </w:t>
      </w:r>
      <w:r w:rsidR="005E0AE9">
        <w:rPr>
          <w:rFonts w:ascii="Arial" w:hAnsi="Arial" w:cs="Arial"/>
          <w:i/>
          <w:sz w:val="24"/>
          <w:szCs w:val="24"/>
        </w:rPr>
        <w:t>inter alia</w:t>
      </w:r>
      <w:r w:rsidR="005E0AE9">
        <w:rPr>
          <w:rFonts w:ascii="Arial" w:hAnsi="Arial" w:cs="Arial"/>
          <w:sz w:val="24"/>
          <w:szCs w:val="24"/>
        </w:rPr>
        <w:t xml:space="preserve"> sex and sexual discrimination, in Article 21 appears to be clear, precise and unconditional enough to be direct effective, although how this provision will sit with the more restrictive Article 19(1</w:t>
      </w:r>
      <w:proofErr w:type="gramStart"/>
      <w:r w:rsidR="005E0AE9">
        <w:rPr>
          <w:rFonts w:ascii="Arial" w:hAnsi="Arial" w:cs="Arial"/>
          <w:sz w:val="24"/>
          <w:szCs w:val="24"/>
        </w:rPr>
        <w:t>)TFEU</w:t>
      </w:r>
      <w:proofErr w:type="gramEnd"/>
      <w:r w:rsidR="005E0AE9">
        <w:rPr>
          <w:rFonts w:ascii="Arial" w:hAnsi="Arial" w:cs="Arial"/>
          <w:sz w:val="24"/>
          <w:szCs w:val="24"/>
        </w:rPr>
        <w:t xml:space="preserve"> will have to wait for judicial interpretation</w:t>
      </w:r>
      <w:r w:rsidR="005246E9">
        <w:rPr>
          <w:rStyle w:val="FootnoteReference"/>
          <w:rFonts w:ascii="Arial" w:hAnsi="Arial" w:cs="Arial"/>
          <w:sz w:val="24"/>
          <w:szCs w:val="24"/>
        </w:rPr>
        <w:footnoteReference w:id="67"/>
      </w:r>
      <w:r w:rsidR="005E0AE9">
        <w:rPr>
          <w:rFonts w:ascii="Arial" w:hAnsi="Arial" w:cs="Arial"/>
          <w:sz w:val="24"/>
          <w:szCs w:val="24"/>
        </w:rPr>
        <w:t>. Article 23 is also very precise requiring equality between men and women to be ensured in all areas, including employment, work and pay.</w:t>
      </w:r>
    </w:p>
    <w:p w:rsidR="005E0AE9" w:rsidRDefault="005E0AE9" w:rsidP="00D81D23">
      <w:pPr>
        <w:spacing w:line="360" w:lineRule="auto"/>
        <w:jc w:val="both"/>
        <w:rPr>
          <w:rFonts w:ascii="Arial" w:hAnsi="Arial" w:cs="Arial"/>
          <w:sz w:val="24"/>
          <w:szCs w:val="24"/>
        </w:rPr>
      </w:pPr>
    </w:p>
    <w:p w:rsidR="005E0AE9" w:rsidRDefault="005E0AE9" w:rsidP="005E0AE9">
      <w:pPr>
        <w:pStyle w:val="ListParagraph"/>
        <w:numPr>
          <w:ilvl w:val="0"/>
          <w:numId w:val="1"/>
        </w:numPr>
        <w:spacing w:line="360" w:lineRule="auto"/>
        <w:jc w:val="both"/>
        <w:rPr>
          <w:rFonts w:ascii="Arial" w:hAnsi="Arial" w:cs="Arial"/>
          <w:sz w:val="24"/>
          <w:szCs w:val="24"/>
        </w:rPr>
      </w:pPr>
      <w:r>
        <w:rPr>
          <w:rFonts w:ascii="Arial" w:hAnsi="Arial" w:cs="Arial"/>
          <w:sz w:val="24"/>
          <w:szCs w:val="24"/>
        </w:rPr>
        <w:t>Judgments</w:t>
      </w:r>
      <w:r w:rsidR="00603569">
        <w:rPr>
          <w:rFonts w:ascii="Arial" w:hAnsi="Arial" w:cs="Arial"/>
          <w:sz w:val="24"/>
          <w:szCs w:val="24"/>
        </w:rPr>
        <w:t xml:space="preserve"> of the European Courts</w:t>
      </w:r>
    </w:p>
    <w:p w:rsidR="005E0AE9" w:rsidRDefault="00603569" w:rsidP="00242FA8">
      <w:pPr>
        <w:spacing w:line="360" w:lineRule="auto"/>
        <w:jc w:val="both"/>
        <w:rPr>
          <w:rFonts w:ascii="Arial" w:hAnsi="Arial" w:cs="Arial"/>
          <w:sz w:val="24"/>
          <w:szCs w:val="24"/>
        </w:rPr>
      </w:pPr>
      <w:r>
        <w:rPr>
          <w:rFonts w:ascii="Arial" w:hAnsi="Arial" w:cs="Arial"/>
          <w:sz w:val="24"/>
          <w:szCs w:val="24"/>
        </w:rPr>
        <w:t xml:space="preserve">Since Dory there have been no judgments of either the ECJ or the General Court concerning the combat effectiveness exclusion or the relationship between the Union and Member State competence over the organisation of national militaries. However, there have been two </w:t>
      </w:r>
      <w:r w:rsidR="00242FA8">
        <w:rPr>
          <w:rFonts w:ascii="Arial" w:hAnsi="Arial" w:cs="Arial"/>
          <w:sz w:val="24"/>
          <w:szCs w:val="24"/>
        </w:rPr>
        <w:t>recent cases</w:t>
      </w:r>
      <w:r>
        <w:rPr>
          <w:rFonts w:ascii="Arial" w:hAnsi="Arial" w:cs="Arial"/>
          <w:sz w:val="24"/>
          <w:szCs w:val="24"/>
        </w:rPr>
        <w:t xml:space="preserve"> in the </w:t>
      </w:r>
      <w:r w:rsidR="00D62EAA">
        <w:rPr>
          <w:rFonts w:ascii="Arial" w:hAnsi="Arial" w:cs="Arial"/>
          <w:sz w:val="24"/>
          <w:szCs w:val="24"/>
        </w:rPr>
        <w:t xml:space="preserve">field of age discrimination that could have significant effect. </w:t>
      </w:r>
      <w:r w:rsidR="00463734">
        <w:rPr>
          <w:rFonts w:ascii="Arial" w:hAnsi="Arial" w:cs="Arial"/>
          <w:sz w:val="24"/>
          <w:szCs w:val="24"/>
        </w:rPr>
        <w:t xml:space="preserve">The ECJ has for many years recognised that </w:t>
      </w:r>
      <w:r w:rsidR="00242FA8">
        <w:rPr>
          <w:rFonts w:ascii="Arial" w:hAnsi="Arial" w:cs="Arial"/>
          <w:sz w:val="24"/>
          <w:szCs w:val="24"/>
        </w:rPr>
        <w:t>provisions of the Treaties and secondary legislation are merely specific enunciation</w:t>
      </w:r>
      <w:r w:rsidR="00463734">
        <w:rPr>
          <w:rFonts w:ascii="Arial" w:hAnsi="Arial" w:cs="Arial"/>
          <w:sz w:val="24"/>
          <w:szCs w:val="24"/>
        </w:rPr>
        <w:t>s</w:t>
      </w:r>
      <w:r w:rsidR="00242FA8">
        <w:rPr>
          <w:rFonts w:ascii="Arial" w:hAnsi="Arial" w:cs="Arial"/>
          <w:sz w:val="24"/>
          <w:szCs w:val="24"/>
        </w:rPr>
        <w:t xml:space="preserve"> </w:t>
      </w:r>
      <w:r w:rsidR="00463734">
        <w:rPr>
          <w:rFonts w:ascii="Arial" w:hAnsi="Arial" w:cs="Arial"/>
          <w:sz w:val="24"/>
          <w:szCs w:val="24"/>
        </w:rPr>
        <w:t xml:space="preserve">of </w:t>
      </w:r>
      <w:r w:rsidR="00242FA8" w:rsidRPr="00242FA8">
        <w:rPr>
          <w:rFonts w:ascii="Arial" w:hAnsi="Arial" w:cs="Arial"/>
          <w:sz w:val="24"/>
          <w:szCs w:val="24"/>
        </w:rPr>
        <w:t>the general</w:t>
      </w:r>
      <w:r w:rsidR="00242FA8">
        <w:rPr>
          <w:rFonts w:ascii="Arial" w:hAnsi="Arial" w:cs="Arial"/>
          <w:sz w:val="24"/>
          <w:szCs w:val="24"/>
        </w:rPr>
        <w:t xml:space="preserve"> </w:t>
      </w:r>
      <w:r w:rsidR="00242FA8" w:rsidRPr="00242FA8">
        <w:rPr>
          <w:rFonts w:ascii="Arial" w:hAnsi="Arial" w:cs="Arial"/>
          <w:sz w:val="24"/>
          <w:szCs w:val="24"/>
        </w:rPr>
        <w:t>principle of equality which is one of the fundamental principles of</w:t>
      </w:r>
      <w:r w:rsidR="00242FA8">
        <w:rPr>
          <w:rFonts w:ascii="Arial" w:hAnsi="Arial" w:cs="Arial"/>
          <w:sz w:val="24"/>
          <w:szCs w:val="24"/>
        </w:rPr>
        <w:t xml:space="preserve"> Union law</w:t>
      </w:r>
      <w:r w:rsidR="00242FA8">
        <w:rPr>
          <w:rStyle w:val="FootnoteReference"/>
          <w:rFonts w:ascii="Arial" w:hAnsi="Arial" w:cs="Arial"/>
          <w:sz w:val="24"/>
          <w:szCs w:val="24"/>
        </w:rPr>
        <w:footnoteReference w:id="68"/>
      </w:r>
      <w:r w:rsidR="00B451B1">
        <w:rPr>
          <w:rFonts w:ascii="Arial" w:hAnsi="Arial" w:cs="Arial"/>
          <w:sz w:val="24"/>
          <w:szCs w:val="24"/>
        </w:rPr>
        <w:t>, and that the elimination of discrimination on the basis of sex forms part of those fundamental principles</w:t>
      </w:r>
      <w:r w:rsidR="00B451B1">
        <w:rPr>
          <w:rStyle w:val="FootnoteReference"/>
          <w:rFonts w:ascii="Arial" w:hAnsi="Arial" w:cs="Arial"/>
          <w:sz w:val="24"/>
          <w:szCs w:val="24"/>
        </w:rPr>
        <w:footnoteReference w:id="69"/>
      </w:r>
      <w:r w:rsidR="00242FA8">
        <w:rPr>
          <w:rFonts w:ascii="Arial" w:hAnsi="Arial" w:cs="Arial"/>
          <w:sz w:val="24"/>
          <w:szCs w:val="24"/>
        </w:rPr>
        <w:t>.</w:t>
      </w:r>
      <w:r w:rsidR="00D975E6">
        <w:rPr>
          <w:rFonts w:ascii="Arial" w:hAnsi="Arial" w:cs="Arial"/>
          <w:sz w:val="24"/>
          <w:szCs w:val="24"/>
        </w:rPr>
        <w:t xml:space="preserve"> Furthermore the requirements imposed by the fundamental principle of equal treatment are in no way limited by Article 157TFEU or Union Directives adopted in this field</w:t>
      </w:r>
      <w:r w:rsidR="00D975E6">
        <w:rPr>
          <w:rStyle w:val="FootnoteReference"/>
          <w:rFonts w:ascii="Arial" w:hAnsi="Arial" w:cs="Arial"/>
          <w:sz w:val="24"/>
          <w:szCs w:val="24"/>
        </w:rPr>
        <w:footnoteReference w:id="70"/>
      </w:r>
      <w:r w:rsidR="00D975E6">
        <w:rPr>
          <w:rFonts w:ascii="Arial" w:hAnsi="Arial" w:cs="Arial"/>
          <w:sz w:val="24"/>
          <w:szCs w:val="24"/>
        </w:rPr>
        <w:t xml:space="preserve">. </w:t>
      </w:r>
      <w:r w:rsidR="00242FA8">
        <w:rPr>
          <w:rFonts w:ascii="Arial" w:hAnsi="Arial" w:cs="Arial"/>
          <w:sz w:val="24"/>
          <w:szCs w:val="24"/>
        </w:rPr>
        <w:t>In</w:t>
      </w:r>
      <w:r w:rsidR="00D62EAA">
        <w:rPr>
          <w:rFonts w:ascii="Arial" w:hAnsi="Arial" w:cs="Arial"/>
          <w:sz w:val="24"/>
          <w:szCs w:val="24"/>
        </w:rPr>
        <w:t xml:space="preserve"> </w:t>
      </w:r>
      <w:r w:rsidR="00D62EAA" w:rsidRPr="00242FA8">
        <w:rPr>
          <w:rFonts w:ascii="Arial" w:hAnsi="Arial" w:cs="Arial"/>
          <w:sz w:val="24"/>
          <w:szCs w:val="24"/>
          <w:u w:val="single"/>
        </w:rPr>
        <w:t>Mangold</w:t>
      </w:r>
      <w:r w:rsidR="00D62EAA">
        <w:rPr>
          <w:rStyle w:val="FootnoteReference"/>
          <w:rFonts w:ascii="Arial" w:hAnsi="Arial" w:cs="Arial"/>
          <w:sz w:val="24"/>
          <w:szCs w:val="24"/>
        </w:rPr>
        <w:footnoteReference w:id="71"/>
      </w:r>
      <w:r w:rsidR="00D62EAA">
        <w:rPr>
          <w:rFonts w:ascii="Arial" w:hAnsi="Arial" w:cs="Arial"/>
          <w:sz w:val="24"/>
          <w:szCs w:val="24"/>
        </w:rPr>
        <w:t xml:space="preserve"> the Court found that age discrimination </w:t>
      </w:r>
      <w:r w:rsidR="00242FA8">
        <w:rPr>
          <w:rFonts w:ascii="Arial" w:hAnsi="Arial" w:cs="Arial"/>
          <w:sz w:val="24"/>
          <w:szCs w:val="24"/>
        </w:rPr>
        <w:t>was</w:t>
      </w:r>
      <w:r w:rsidR="00D975E6">
        <w:rPr>
          <w:rFonts w:ascii="Arial" w:hAnsi="Arial" w:cs="Arial"/>
          <w:sz w:val="24"/>
          <w:szCs w:val="24"/>
        </w:rPr>
        <w:t xml:space="preserve"> a general principle of EU law independent from the relevant Directive</w:t>
      </w:r>
      <w:r w:rsidR="000D3F08">
        <w:rPr>
          <w:rStyle w:val="FootnoteReference"/>
          <w:rFonts w:ascii="Arial" w:hAnsi="Arial" w:cs="Arial"/>
          <w:sz w:val="24"/>
          <w:szCs w:val="24"/>
        </w:rPr>
        <w:footnoteReference w:id="72"/>
      </w:r>
      <w:r w:rsidR="000D3F08">
        <w:rPr>
          <w:rFonts w:ascii="Arial" w:hAnsi="Arial" w:cs="Arial"/>
          <w:sz w:val="24"/>
          <w:szCs w:val="24"/>
        </w:rPr>
        <w:t xml:space="preserve"> that required the domestic court to provide “the legal protection which </w:t>
      </w:r>
      <w:r w:rsidR="000D3F08">
        <w:rPr>
          <w:rFonts w:ascii="Arial" w:hAnsi="Arial" w:cs="Arial"/>
          <w:sz w:val="24"/>
          <w:szCs w:val="24"/>
        </w:rPr>
        <w:lastRenderedPageBreak/>
        <w:t>individuals derive from the rules of [union] law and to ensure that those rules are fully effective, setting aside any provision of national law which may conflict with that law”</w:t>
      </w:r>
      <w:r w:rsidR="000D3F08">
        <w:rPr>
          <w:rStyle w:val="FootnoteReference"/>
          <w:rFonts w:ascii="Arial" w:hAnsi="Arial" w:cs="Arial"/>
          <w:sz w:val="24"/>
          <w:szCs w:val="24"/>
        </w:rPr>
        <w:footnoteReference w:id="73"/>
      </w:r>
      <w:r w:rsidR="000D3F08">
        <w:rPr>
          <w:rFonts w:ascii="Arial" w:hAnsi="Arial" w:cs="Arial"/>
          <w:sz w:val="24"/>
          <w:szCs w:val="24"/>
        </w:rPr>
        <w:t xml:space="preserve">. This was repeated in </w:t>
      </w:r>
      <w:r w:rsidR="000D3F08" w:rsidRPr="00D81D23">
        <w:rPr>
          <w:rFonts w:ascii="Arial" w:hAnsi="Arial" w:cs="Arial"/>
          <w:sz w:val="24"/>
          <w:szCs w:val="24"/>
          <w:u w:val="single"/>
        </w:rPr>
        <w:t>Kücükdeveci</w:t>
      </w:r>
      <w:r w:rsidR="000D3F08" w:rsidRPr="000D3F08">
        <w:rPr>
          <w:rStyle w:val="FootnoteReference"/>
          <w:rFonts w:ascii="Arial" w:hAnsi="Arial" w:cs="Arial"/>
          <w:sz w:val="24"/>
          <w:szCs w:val="24"/>
        </w:rPr>
        <w:footnoteReference w:id="74"/>
      </w:r>
      <w:r w:rsidR="000D3F08">
        <w:rPr>
          <w:rFonts w:ascii="Arial" w:hAnsi="Arial" w:cs="Arial"/>
          <w:sz w:val="24"/>
          <w:szCs w:val="24"/>
        </w:rPr>
        <w:t xml:space="preserve"> but this time the ECJ employed Article 21 of the Charter</w:t>
      </w:r>
      <w:r w:rsidR="007D155F">
        <w:rPr>
          <w:rStyle w:val="FootnoteReference"/>
          <w:rFonts w:ascii="Arial" w:hAnsi="Arial" w:cs="Arial"/>
          <w:sz w:val="24"/>
          <w:szCs w:val="24"/>
        </w:rPr>
        <w:footnoteReference w:id="75"/>
      </w:r>
      <w:r w:rsidR="000D3F08">
        <w:rPr>
          <w:rFonts w:ascii="Arial" w:hAnsi="Arial" w:cs="Arial"/>
          <w:sz w:val="24"/>
          <w:szCs w:val="24"/>
        </w:rPr>
        <w:t xml:space="preserve"> to base and support </w:t>
      </w:r>
      <w:r w:rsidR="007D155F">
        <w:rPr>
          <w:rFonts w:ascii="Arial" w:hAnsi="Arial" w:cs="Arial"/>
          <w:sz w:val="24"/>
          <w:szCs w:val="24"/>
        </w:rPr>
        <w:t>its findings and held that a domestic court must set aside a national provision in conflict with the Union rules without needing to make a preliminary reference to the Court</w:t>
      </w:r>
      <w:r w:rsidR="007D155F">
        <w:rPr>
          <w:rStyle w:val="FootnoteReference"/>
          <w:rFonts w:ascii="Arial" w:hAnsi="Arial" w:cs="Arial"/>
          <w:sz w:val="24"/>
          <w:szCs w:val="24"/>
        </w:rPr>
        <w:footnoteReference w:id="76"/>
      </w:r>
      <w:r w:rsidR="005246E9">
        <w:rPr>
          <w:rFonts w:ascii="Arial" w:hAnsi="Arial" w:cs="Arial"/>
          <w:sz w:val="24"/>
          <w:szCs w:val="24"/>
        </w:rPr>
        <w:t>.</w:t>
      </w:r>
    </w:p>
    <w:p w:rsidR="005246E9" w:rsidRPr="000D3F08" w:rsidRDefault="005246E9" w:rsidP="00242FA8">
      <w:pPr>
        <w:spacing w:line="360" w:lineRule="auto"/>
        <w:jc w:val="both"/>
        <w:rPr>
          <w:rFonts w:ascii="Arial" w:hAnsi="Arial" w:cs="Arial"/>
          <w:sz w:val="24"/>
          <w:szCs w:val="24"/>
        </w:rPr>
      </w:pPr>
    </w:p>
    <w:p w:rsidR="002E2BE1" w:rsidRDefault="008D3A17" w:rsidP="003160BA">
      <w:pPr>
        <w:spacing w:line="360" w:lineRule="auto"/>
        <w:jc w:val="both"/>
        <w:rPr>
          <w:rFonts w:ascii="Arial" w:hAnsi="Arial" w:cs="Arial"/>
          <w:sz w:val="24"/>
          <w:szCs w:val="24"/>
        </w:rPr>
      </w:pPr>
      <w:r>
        <w:rPr>
          <w:rFonts w:ascii="Arial" w:hAnsi="Arial" w:cs="Arial"/>
          <w:b/>
          <w:sz w:val="24"/>
          <w:szCs w:val="24"/>
          <w:u w:val="single"/>
        </w:rPr>
        <w:t>DEVELOPMENTS AT THE UK LEVEL</w:t>
      </w:r>
    </w:p>
    <w:p w:rsidR="00E526B7" w:rsidRDefault="00E526B7" w:rsidP="00E526B7">
      <w:pPr>
        <w:spacing w:line="360" w:lineRule="auto"/>
        <w:jc w:val="both"/>
        <w:rPr>
          <w:rFonts w:ascii="Arial" w:hAnsi="Arial" w:cs="Arial"/>
          <w:sz w:val="24"/>
          <w:szCs w:val="24"/>
        </w:rPr>
      </w:pPr>
      <w:r>
        <w:rPr>
          <w:rFonts w:ascii="Arial" w:hAnsi="Arial" w:cs="Arial"/>
          <w:sz w:val="24"/>
          <w:szCs w:val="24"/>
        </w:rPr>
        <w:t xml:space="preserve">The biggest shake up of UK anti-discrimination law </w:t>
      </w:r>
      <w:r w:rsidR="005201F0">
        <w:rPr>
          <w:rFonts w:ascii="Arial" w:hAnsi="Arial" w:cs="Arial"/>
          <w:sz w:val="24"/>
          <w:szCs w:val="24"/>
        </w:rPr>
        <w:t>w</w:t>
      </w:r>
      <w:r>
        <w:rPr>
          <w:rFonts w:ascii="Arial" w:hAnsi="Arial" w:cs="Arial"/>
          <w:sz w:val="24"/>
          <w:szCs w:val="24"/>
        </w:rPr>
        <w:t xml:space="preserve">as </w:t>
      </w:r>
      <w:r w:rsidR="005201F0">
        <w:rPr>
          <w:rFonts w:ascii="Arial" w:hAnsi="Arial" w:cs="Arial"/>
          <w:sz w:val="24"/>
          <w:szCs w:val="24"/>
        </w:rPr>
        <w:t>delivered</w:t>
      </w:r>
      <w:r>
        <w:rPr>
          <w:rFonts w:ascii="Arial" w:hAnsi="Arial" w:cs="Arial"/>
          <w:sz w:val="24"/>
          <w:szCs w:val="24"/>
        </w:rPr>
        <w:t xml:space="preserve"> with the introduction of the Equality Act 2010 (EA10) in the dying stages of the previous Labour government. As Hepple</w:t>
      </w:r>
      <w:r>
        <w:rPr>
          <w:rStyle w:val="FootnoteReference"/>
          <w:rFonts w:ascii="Arial" w:hAnsi="Arial" w:cs="Arial"/>
          <w:sz w:val="24"/>
          <w:szCs w:val="24"/>
        </w:rPr>
        <w:footnoteReference w:id="77"/>
      </w:r>
      <w:r>
        <w:rPr>
          <w:rFonts w:ascii="Arial" w:hAnsi="Arial" w:cs="Arial"/>
          <w:sz w:val="24"/>
          <w:szCs w:val="24"/>
        </w:rPr>
        <w:t xml:space="preserve"> notes the EA10 has three distinctive features. First, it is comprehensive, creating a unitary conception of equality and a single enforcement body, the Equality and Human Rights Commission. Second, it ‘harmonises, clarifies and extends the concepts of discrimination</w:t>
      </w:r>
      <w:r>
        <w:rPr>
          <w:rStyle w:val="FootnoteReference"/>
          <w:rFonts w:ascii="Arial" w:hAnsi="Arial" w:cs="Arial"/>
          <w:sz w:val="24"/>
          <w:szCs w:val="24"/>
        </w:rPr>
        <w:footnoteReference w:id="78"/>
      </w:r>
      <w:r>
        <w:rPr>
          <w:rFonts w:ascii="Arial" w:hAnsi="Arial" w:cs="Arial"/>
          <w:sz w:val="24"/>
          <w:szCs w:val="24"/>
        </w:rPr>
        <w:t>, harassment</w:t>
      </w:r>
      <w:r>
        <w:rPr>
          <w:rStyle w:val="FootnoteReference"/>
          <w:rFonts w:ascii="Arial" w:hAnsi="Arial" w:cs="Arial"/>
          <w:sz w:val="24"/>
          <w:szCs w:val="24"/>
        </w:rPr>
        <w:footnoteReference w:id="79"/>
      </w:r>
      <w:r>
        <w:rPr>
          <w:rFonts w:ascii="Arial" w:hAnsi="Arial" w:cs="Arial"/>
          <w:sz w:val="24"/>
          <w:szCs w:val="24"/>
        </w:rPr>
        <w:t xml:space="preserve"> and victimisation</w:t>
      </w:r>
      <w:r>
        <w:rPr>
          <w:rStyle w:val="FootnoteReference"/>
          <w:rFonts w:ascii="Arial" w:hAnsi="Arial" w:cs="Arial"/>
          <w:sz w:val="24"/>
          <w:szCs w:val="24"/>
        </w:rPr>
        <w:footnoteReference w:id="80"/>
      </w:r>
      <w:r>
        <w:rPr>
          <w:rFonts w:ascii="Arial" w:hAnsi="Arial" w:cs="Arial"/>
          <w:sz w:val="24"/>
          <w:szCs w:val="24"/>
        </w:rPr>
        <w:t xml:space="preserve"> and applies them across nine protected characteristics’</w:t>
      </w:r>
      <w:r>
        <w:rPr>
          <w:rStyle w:val="FootnoteReference"/>
          <w:rFonts w:ascii="Arial" w:hAnsi="Arial" w:cs="Arial"/>
          <w:sz w:val="24"/>
          <w:szCs w:val="24"/>
        </w:rPr>
        <w:footnoteReference w:id="81"/>
      </w:r>
      <w:r>
        <w:rPr>
          <w:rFonts w:ascii="Arial" w:hAnsi="Arial" w:cs="Arial"/>
          <w:sz w:val="24"/>
          <w:szCs w:val="24"/>
        </w:rPr>
        <w:t>, specifically, age, disability, gender reassignment, marriage and civil partnership, pregnancy and maternity, race, religion or belief, sex, and sexual orientation</w:t>
      </w:r>
      <w:r>
        <w:rPr>
          <w:rStyle w:val="FootnoteReference"/>
          <w:rFonts w:ascii="Arial" w:hAnsi="Arial" w:cs="Arial"/>
          <w:sz w:val="24"/>
          <w:szCs w:val="24"/>
        </w:rPr>
        <w:footnoteReference w:id="82"/>
      </w:r>
      <w:r>
        <w:rPr>
          <w:rFonts w:ascii="Arial" w:hAnsi="Arial" w:cs="Arial"/>
          <w:sz w:val="24"/>
          <w:szCs w:val="24"/>
        </w:rPr>
        <w:t xml:space="preserve">. Third, it transforms anti-discrimination protection into equality law although </w:t>
      </w:r>
      <w:r w:rsidRPr="005A7289">
        <w:rPr>
          <w:rFonts w:ascii="Arial" w:hAnsi="Arial" w:cs="Arial"/>
          <w:sz w:val="24"/>
          <w:szCs w:val="24"/>
        </w:rPr>
        <w:t>does not go as far as establishing a constitutional right to equality</w:t>
      </w:r>
      <w:r w:rsidRPr="005A7289">
        <w:rPr>
          <w:rFonts w:ascii="Arial" w:hAnsi="Arial" w:cs="Arial"/>
          <w:sz w:val="24"/>
          <w:szCs w:val="24"/>
          <w:vertAlign w:val="superscript"/>
        </w:rPr>
        <w:footnoteReference w:id="83"/>
      </w:r>
      <w:r>
        <w:rPr>
          <w:rFonts w:ascii="Arial" w:hAnsi="Arial" w:cs="Arial"/>
          <w:sz w:val="24"/>
          <w:szCs w:val="24"/>
        </w:rPr>
        <w:t xml:space="preserve">. This means that, unlike </w:t>
      </w:r>
      <w:r>
        <w:rPr>
          <w:rFonts w:ascii="Arial" w:hAnsi="Arial" w:cs="Arial"/>
          <w:sz w:val="24"/>
          <w:szCs w:val="24"/>
        </w:rPr>
        <w:lastRenderedPageBreak/>
        <w:t>Germany</w:t>
      </w:r>
      <w:r>
        <w:rPr>
          <w:rStyle w:val="FootnoteReference"/>
          <w:rFonts w:ascii="Arial" w:hAnsi="Arial" w:cs="Arial"/>
          <w:sz w:val="24"/>
          <w:szCs w:val="24"/>
        </w:rPr>
        <w:footnoteReference w:id="84"/>
      </w:r>
      <w:r>
        <w:rPr>
          <w:rFonts w:ascii="Arial" w:hAnsi="Arial" w:cs="Arial"/>
          <w:sz w:val="24"/>
          <w:szCs w:val="24"/>
        </w:rPr>
        <w:t xml:space="preserve"> or South Africa</w:t>
      </w:r>
      <w:r>
        <w:rPr>
          <w:rStyle w:val="FootnoteReference"/>
          <w:rFonts w:ascii="Arial" w:hAnsi="Arial" w:cs="Arial"/>
          <w:sz w:val="24"/>
          <w:szCs w:val="24"/>
        </w:rPr>
        <w:footnoteReference w:id="85"/>
      </w:r>
      <w:r>
        <w:rPr>
          <w:rFonts w:ascii="Arial" w:hAnsi="Arial" w:cs="Arial"/>
          <w:sz w:val="24"/>
          <w:szCs w:val="24"/>
        </w:rPr>
        <w:t xml:space="preserve"> that utilise human dignity</w:t>
      </w:r>
      <w:r>
        <w:rPr>
          <w:rStyle w:val="FootnoteReference"/>
          <w:rFonts w:ascii="Arial" w:hAnsi="Arial" w:cs="Arial"/>
          <w:sz w:val="24"/>
          <w:szCs w:val="24"/>
        </w:rPr>
        <w:footnoteReference w:id="86"/>
      </w:r>
      <w:r>
        <w:rPr>
          <w:rFonts w:ascii="Arial" w:hAnsi="Arial" w:cs="Arial"/>
          <w:sz w:val="24"/>
          <w:szCs w:val="24"/>
        </w:rPr>
        <w:t xml:space="preserve"> as the moral value that underpins equality law</w:t>
      </w:r>
      <w:r>
        <w:rPr>
          <w:rStyle w:val="FootnoteReference"/>
          <w:rFonts w:ascii="Arial" w:hAnsi="Arial" w:cs="Arial"/>
          <w:sz w:val="24"/>
          <w:szCs w:val="24"/>
        </w:rPr>
        <w:footnoteReference w:id="87"/>
      </w:r>
      <w:r>
        <w:rPr>
          <w:rFonts w:ascii="Arial" w:hAnsi="Arial" w:cs="Arial"/>
          <w:sz w:val="24"/>
          <w:szCs w:val="24"/>
        </w:rPr>
        <w:t>, no one moral value supports the equality edifice and indeed Hepple identifies seven meanings for equality</w:t>
      </w:r>
      <w:r>
        <w:rPr>
          <w:rStyle w:val="FootnoteReference"/>
          <w:rFonts w:ascii="Arial" w:hAnsi="Arial" w:cs="Arial"/>
          <w:sz w:val="24"/>
          <w:szCs w:val="24"/>
        </w:rPr>
        <w:footnoteReference w:id="88"/>
      </w:r>
      <w:r>
        <w:rPr>
          <w:rFonts w:ascii="Arial" w:hAnsi="Arial" w:cs="Arial"/>
          <w:sz w:val="24"/>
          <w:szCs w:val="24"/>
        </w:rPr>
        <w:t>.</w:t>
      </w:r>
    </w:p>
    <w:p w:rsidR="00E526B7" w:rsidRDefault="00E526B7" w:rsidP="00E526B7">
      <w:pPr>
        <w:spacing w:line="360" w:lineRule="auto"/>
        <w:jc w:val="both"/>
        <w:rPr>
          <w:rFonts w:ascii="Arial" w:hAnsi="Arial" w:cs="Arial"/>
          <w:sz w:val="24"/>
          <w:szCs w:val="24"/>
        </w:rPr>
      </w:pPr>
    </w:p>
    <w:p w:rsidR="00E526B7" w:rsidRDefault="00E526B7" w:rsidP="00E526B7">
      <w:pPr>
        <w:spacing w:line="360" w:lineRule="auto"/>
        <w:jc w:val="both"/>
        <w:rPr>
          <w:rFonts w:ascii="Arial" w:hAnsi="Arial" w:cs="Arial"/>
          <w:sz w:val="24"/>
          <w:szCs w:val="24"/>
        </w:rPr>
      </w:pPr>
      <w:r>
        <w:rPr>
          <w:rFonts w:ascii="Arial" w:hAnsi="Arial" w:cs="Arial"/>
          <w:sz w:val="24"/>
          <w:szCs w:val="24"/>
        </w:rPr>
        <w:t>The EA10 contains some innovative developments in general and for the armed f</w:t>
      </w:r>
      <w:r w:rsidR="005201F0">
        <w:rPr>
          <w:rFonts w:ascii="Arial" w:hAnsi="Arial" w:cs="Arial"/>
          <w:sz w:val="24"/>
          <w:szCs w:val="24"/>
        </w:rPr>
        <w:t>orces in particular. The first wa</w:t>
      </w:r>
      <w:r>
        <w:rPr>
          <w:rFonts w:ascii="Arial" w:hAnsi="Arial" w:cs="Arial"/>
          <w:sz w:val="24"/>
          <w:szCs w:val="24"/>
        </w:rPr>
        <w:t xml:space="preserve">s the </w:t>
      </w:r>
      <w:r w:rsidRPr="005A7289">
        <w:rPr>
          <w:rFonts w:ascii="Arial" w:hAnsi="Arial" w:cs="Arial"/>
          <w:sz w:val="24"/>
          <w:szCs w:val="24"/>
        </w:rPr>
        <w:t>duty on public sector authorities to mainstream equality of outcomes as a result of socio-economic disadvantage when making strategic decisions on the exercising of functions</w:t>
      </w:r>
      <w:r>
        <w:rPr>
          <w:rStyle w:val="FootnoteReference"/>
          <w:rFonts w:ascii="Arial" w:hAnsi="Arial" w:cs="Arial"/>
          <w:sz w:val="24"/>
          <w:szCs w:val="24"/>
        </w:rPr>
        <w:footnoteReference w:id="89"/>
      </w:r>
      <w:r w:rsidRPr="005A7289">
        <w:rPr>
          <w:rFonts w:ascii="Arial" w:hAnsi="Arial" w:cs="Arial"/>
          <w:sz w:val="24"/>
          <w:szCs w:val="24"/>
        </w:rPr>
        <w:t>. In the context of the military these authorities include</w:t>
      </w:r>
      <w:r w:rsidR="005201F0">
        <w:rPr>
          <w:rFonts w:ascii="Arial" w:hAnsi="Arial" w:cs="Arial"/>
          <w:sz w:val="24"/>
          <w:szCs w:val="24"/>
        </w:rPr>
        <w:t>d</w:t>
      </w:r>
      <w:r w:rsidRPr="005A7289">
        <w:rPr>
          <w:rFonts w:ascii="Arial" w:hAnsi="Arial" w:cs="Arial"/>
          <w:sz w:val="24"/>
          <w:szCs w:val="24"/>
        </w:rPr>
        <w:t xml:space="preserve"> Ministers of the Crown and government departments</w:t>
      </w:r>
      <w:r>
        <w:rPr>
          <w:rStyle w:val="FootnoteReference"/>
          <w:rFonts w:ascii="Arial" w:hAnsi="Arial" w:cs="Arial"/>
          <w:sz w:val="24"/>
          <w:szCs w:val="24"/>
        </w:rPr>
        <w:footnoteReference w:id="90"/>
      </w:r>
      <w:r w:rsidRPr="005A7289">
        <w:rPr>
          <w:rFonts w:ascii="Arial" w:hAnsi="Arial" w:cs="Arial"/>
          <w:sz w:val="24"/>
          <w:szCs w:val="24"/>
        </w:rPr>
        <w:t>. Fredman</w:t>
      </w:r>
      <w:r w:rsidRPr="005A7289">
        <w:rPr>
          <w:rFonts w:ascii="Arial" w:hAnsi="Arial" w:cs="Arial"/>
          <w:sz w:val="24"/>
          <w:szCs w:val="24"/>
          <w:vertAlign w:val="superscript"/>
        </w:rPr>
        <w:footnoteReference w:id="91"/>
      </w:r>
      <w:r>
        <w:rPr>
          <w:rFonts w:ascii="Arial" w:hAnsi="Arial" w:cs="Arial"/>
          <w:sz w:val="24"/>
          <w:szCs w:val="24"/>
        </w:rPr>
        <w:t xml:space="preserve"> suggested</w:t>
      </w:r>
      <w:r w:rsidRPr="005A7289">
        <w:rPr>
          <w:rFonts w:ascii="Arial" w:hAnsi="Arial" w:cs="Arial"/>
          <w:sz w:val="24"/>
          <w:szCs w:val="24"/>
        </w:rPr>
        <w:t xml:space="preserve"> that this </w:t>
      </w:r>
      <w:r>
        <w:rPr>
          <w:rFonts w:ascii="Arial" w:hAnsi="Arial" w:cs="Arial"/>
          <w:sz w:val="24"/>
          <w:szCs w:val="24"/>
        </w:rPr>
        <w:t>duty did</w:t>
      </w:r>
      <w:r w:rsidRPr="005A7289">
        <w:rPr>
          <w:rFonts w:ascii="Arial" w:hAnsi="Arial" w:cs="Arial"/>
          <w:sz w:val="24"/>
          <w:szCs w:val="24"/>
        </w:rPr>
        <w:t xml:space="preserve"> </w:t>
      </w:r>
      <w:r>
        <w:rPr>
          <w:rFonts w:ascii="Arial" w:hAnsi="Arial" w:cs="Arial"/>
          <w:sz w:val="24"/>
          <w:szCs w:val="24"/>
        </w:rPr>
        <w:t>not apply to the armed forces and on the face of the Act she wa</w:t>
      </w:r>
      <w:r w:rsidRPr="005A7289">
        <w:rPr>
          <w:rFonts w:ascii="Arial" w:hAnsi="Arial" w:cs="Arial"/>
          <w:sz w:val="24"/>
          <w:szCs w:val="24"/>
        </w:rPr>
        <w:t xml:space="preserve">s correct but it </w:t>
      </w:r>
      <w:r>
        <w:rPr>
          <w:rFonts w:ascii="Arial" w:hAnsi="Arial" w:cs="Arial"/>
          <w:sz w:val="24"/>
          <w:szCs w:val="24"/>
        </w:rPr>
        <w:t>would</w:t>
      </w:r>
      <w:r w:rsidRPr="005A7289">
        <w:rPr>
          <w:rFonts w:ascii="Arial" w:hAnsi="Arial" w:cs="Arial"/>
          <w:sz w:val="24"/>
          <w:szCs w:val="24"/>
        </w:rPr>
        <w:t xml:space="preserve"> </w:t>
      </w:r>
      <w:r>
        <w:rPr>
          <w:rFonts w:ascii="Arial" w:hAnsi="Arial" w:cs="Arial"/>
          <w:sz w:val="24"/>
          <w:szCs w:val="24"/>
        </w:rPr>
        <w:t>have applied to the Ministry of Defence (Mo</w:t>
      </w:r>
      <w:r w:rsidRPr="005A7289">
        <w:rPr>
          <w:rFonts w:ascii="Arial" w:hAnsi="Arial" w:cs="Arial"/>
          <w:sz w:val="24"/>
          <w:szCs w:val="24"/>
        </w:rPr>
        <w:t>D</w:t>
      </w:r>
      <w:r>
        <w:rPr>
          <w:rFonts w:ascii="Arial" w:hAnsi="Arial" w:cs="Arial"/>
          <w:sz w:val="24"/>
          <w:szCs w:val="24"/>
        </w:rPr>
        <w:t>)</w:t>
      </w:r>
      <w:r w:rsidRPr="005A7289">
        <w:rPr>
          <w:rFonts w:ascii="Arial" w:hAnsi="Arial" w:cs="Arial"/>
          <w:sz w:val="24"/>
          <w:szCs w:val="24"/>
        </w:rPr>
        <w:t xml:space="preserve"> and Secretary of State for Defence whe</w:t>
      </w:r>
      <w:r>
        <w:rPr>
          <w:rFonts w:ascii="Arial" w:hAnsi="Arial" w:cs="Arial"/>
          <w:sz w:val="24"/>
          <w:szCs w:val="24"/>
        </w:rPr>
        <w:t>n making strategic decisions, e.</w:t>
      </w:r>
      <w:r w:rsidRPr="005A7289">
        <w:rPr>
          <w:rFonts w:ascii="Arial" w:hAnsi="Arial" w:cs="Arial"/>
          <w:sz w:val="24"/>
          <w:szCs w:val="24"/>
        </w:rPr>
        <w:t>g</w:t>
      </w:r>
      <w:r>
        <w:rPr>
          <w:rFonts w:ascii="Arial" w:hAnsi="Arial" w:cs="Arial"/>
          <w:sz w:val="24"/>
          <w:szCs w:val="24"/>
        </w:rPr>
        <w:t>.</w:t>
      </w:r>
      <w:r w:rsidRPr="005A7289">
        <w:rPr>
          <w:rFonts w:ascii="Arial" w:hAnsi="Arial" w:cs="Arial"/>
          <w:sz w:val="24"/>
          <w:szCs w:val="24"/>
        </w:rPr>
        <w:t xml:space="preserve"> the </w:t>
      </w:r>
      <w:r>
        <w:rPr>
          <w:rFonts w:ascii="Arial" w:hAnsi="Arial" w:cs="Arial"/>
          <w:sz w:val="24"/>
          <w:szCs w:val="24"/>
        </w:rPr>
        <w:t xml:space="preserve">Strategic Defence and Security </w:t>
      </w:r>
      <w:r w:rsidRPr="005A7289">
        <w:rPr>
          <w:rFonts w:ascii="Arial" w:hAnsi="Arial" w:cs="Arial"/>
          <w:sz w:val="24"/>
          <w:szCs w:val="24"/>
        </w:rPr>
        <w:t>R</w:t>
      </w:r>
      <w:r>
        <w:rPr>
          <w:rFonts w:ascii="Arial" w:hAnsi="Arial" w:cs="Arial"/>
          <w:sz w:val="24"/>
          <w:szCs w:val="24"/>
        </w:rPr>
        <w:t>eview 2011</w:t>
      </w:r>
      <w:r>
        <w:rPr>
          <w:rStyle w:val="FootnoteReference"/>
          <w:rFonts w:ascii="Arial" w:hAnsi="Arial" w:cs="Arial"/>
          <w:sz w:val="24"/>
          <w:szCs w:val="24"/>
        </w:rPr>
        <w:footnoteReference w:id="92"/>
      </w:r>
      <w:r w:rsidRPr="005A7289">
        <w:rPr>
          <w:rFonts w:ascii="Arial" w:hAnsi="Arial" w:cs="Arial"/>
          <w:sz w:val="24"/>
          <w:szCs w:val="24"/>
        </w:rPr>
        <w:t>.</w:t>
      </w:r>
      <w:r>
        <w:rPr>
          <w:rFonts w:ascii="Arial" w:hAnsi="Arial" w:cs="Arial"/>
          <w:sz w:val="24"/>
          <w:szCs w:val="24"/>
        </w:rPr>
        <w:t xml:space="preserve"> As it was the Coalition government decided against bringing this duty into force although the aspirational nature of the obligation would have created difficulties for enforcement</w:t>
      </w:r>
      <w:r>
        <w:rPr>
          <w:rStyle w:val="FootnoteReference"/>
          <w:rFonts w:ascii="Arial" w:hAnsi="Arial" w:cs="Arial"/>
          <w:sz w:val="24"/>
          <w:szCs w:val="24"/>
        </w:rPr>
        <w:footnoteReference w:id="93"/>
      </w:r>
      <w:r>
        <w:rPr>
          <w:rFonts w:ascii="Arial" w:hAnsi="Arial" w:cs="Arial"/>
          <w:sz w:val="24"/>
          <w:szCs w:val="24"/>
        </w:rPr>
        <w:t>.</w:t>
      </w:r>
    </w:p>
    <w:p w:rsidR="00E526B7" w:rsidRDefault="00E526B7" w:rsidP="00E526B7">
      <w:pPr>
        <w:spacing w:line="360" w:lineRule="auto"/>
        <w:jc w:val="both"/>
        <w:rPr>
          <w:rFonts w:ascii="Arial" w:hAnsi="Arial" w:cs="Arial"/>
          <w:sz w:val="24"/>
          <w:szCs w:val="24"/>
        </w:rPr>
      </w:pPr>
    </w:p>
    <w:p w:rsidR="00E526B7" w:rsidRDefault="00E526B7" w:rsidP="00E526B7">
      <w:pPr>
        <w:spacing w:line="360" w:lineRule="auto"/>
        <w:jc w:val="both"/>
        <w:rPr>
          <w:rFonts w:ascii="Arial" w:hAnsi="Arial" w:cs="Arial"/>
          <w:sz w:val="24"/>
          <w:szCs w:val="24"/>
        </w:rPr>
      </w:pPr>
      <w:r>
        <w:rPr>
          <w:rFonts w:ascii="Arial" w:hAnsi="Arial" w:cs="Arial"/>
          <w:sz w:val="24"/>
          <w:szCs w:val="24"/>
        </w:rPr>
        <w:lastRenderedPageBreak/>
        <w:t>The armed forces are classified as a public authority</w:t>
      </w:r>
      <w:r>
        <w:rPr>
          <w:rStyle w:val="FootnoteReference"/>
          <w:rFonts w:ascii="Arial" w:hAnsi="Arial" w:cs="Arial"/>
          <w:sz w:val="24"/>
          <w:szCs w:val="24"/>
        </w:rPr>
        <w:footnoteReference w:id="94"/>
      </w:r>
      <w:r>
        <w:rPr>
          <w:rFonts w:ascii="Arial" w:hAnsi="Arial" w:cs="Arial"/>
          <w:sz w:val="24"/>
          <w:szCs w:val="24"/>
        </w:rPr>
        <w:t xml:space="preserve"> and the new public sector duty set out in section 149(1)</w:t>
      </w:r>
      <w:r>
        <w:rPr>
          <w:rStyle w:val="FootnoteReference"/>
          <w:rFonts w:ascii="Arial" w:hAnsi="Arial" w:cs="Arial"/>
          <w:sz w:val="24"/>
          <w:szCs w:val="24"/>
        </w:rPr>
        <w:footnoteReference w:id="95"/>
      </w:r>
      <w:r>
        <w:rPr>
          <w:rFonts w:ascii="Arial" w:hAnsi="Arial" w:cs="Arial"/>
          <w:sz w:val="24"/>
          <w:szCs w:val="24"/>
        </w:rPr>
        <w:t xml:space="preserve"> applies to the military and is extended to persons performing a public function who are not public authorities</w:t>
      </w:r>
      <w:r>
        <w:rPr>
          <w:rStyle w:val="FootnoteReference"/>
          <w:rFonts w:ascii="Arial" w:hAnsi="Arial" w:cs="Arial"/>
          <w:sz w:val="24"/>
          <w:szCs w:val="24"/>
        </w:rPr>
        <w:footnoteReference w:id="96"/>
      </w:r>
      <w:r>
        <w:rPr>
          <w:rFonts w:ascii="Arial" w:hAnsi="Arial" w:cs="Arial"/>
          <w:sz w:val="24"/>
          <w:szCs w:val="24"/>
        </w:rPr>
        <w:t>. To demonstrate compliance with this duty, public authorities must publish annual equality information</w:t>
      </w:r>
      <w:r>
        <w:rPr>
          <w:rStyle w:val="FootnoteReference"/>
          <w:rFonts w:ascii="Arial" w:hAnsi="Arial" w:cs="Arial"/>
          <w:sz w:val="24"/>
          <w:szCs w:val="24"/>
        </w:rPr>
        <w:footnoteReference w:id="97"/>
      </w:r>
      <w:r>
        <w:rPr>
          <w:rFonts w:ascii="Arial" w:hAnsi="Arial" w:cs="Arial"/>
          <w:sz w:val="24"/>
          <w:szCs w:val="24"/>
        </w:rPr>
        <w:t xml:space="preserve"> covering all protected characteristics</w:t>
      </w:r>
      <w:r>
        <w:rPr>
          <w:rStyle w:val="FootnoteReference"/>
          <w:rFonts w:ascii="Arial" w:hAnsi="Arial" w:cs="Arial"/>
          <w:sz w:val="24"/>
          <w:szCs w:val="24"/>
        </w:rPr>
        <w:footnoteReference w:id="98"/>
      </w:r>
      <w:r>
        <w:rPr>
          <w:rFonts w:ascii="Arial" w:hAnsi="Arial" w:cs="Arial"/>
          <w:sz w:val="24"/>
          <w:szCs w:val="24"/>
        </w:rPr>
        <w:t xml:space="preserve">. Furthermore, according to section 29(6) of the EA10 ‘[a] </w:t>
      </w:r>
      <w:r w:rsidRPr="00800F9E">
        <w:rPr>
          <w:rFonts w:ascii="Arial" w:hAnsi="Arial" w:cs="Arial"/>
          <w:sz w:val="24"/>
          <w:szCs w:val="24"/>
        </w:rPr>
        <w:t>person must not, in the exercise of a public function that is not the provision</w:t>
      </w:r>
      <w:r>
        <w:rPr>
          <w:rFonts w:ascii="Arial" w:hAnsi="Arial" w:cs="Arial"/>
          <w:sz w:val="24"/>
          <w:szCs w:val="24"/>
        </w:rPr>
        <w:t xml:space="preserve"> </w:t>
      </w:r>
      <w:r w:rsidRPr="00800F9E">
        <w:rPr>
          <w:rFonts w:ascii="Arial" w:hAnsi="Arial" w:cs="Arial"/>
          <w:sz w:val="24"/>
          <w:szCs w:val="24"/>
        </w:rPr>
        <w:t>of a service to the public or a section of the public, do anything that constitutes</w:t>
      </w:r>
      <w:r>
        <w:rPr>
          <w:rFonts w:ascii="Arial" w:hAnsi="Arial" w:cs="Arial"/>
          <w:sz w:val="24"/>
          <w:szCs w:val="24"/>
        </w:rPr>
        <w:t xml:space="preserve"> </w:t>
      </w:r>
      <w:r w:rsidRPr="00800F9E">
        <w:rPr>
          <w:rFonts w:ascii="Arial" w:hAnsi="Arial" w:cs="Arial"/>
          <w:sz w:val="24"/>
          <w:szCs w:val="24"/>
        </w:rPr>
        <w:t>discrimination, harassment or victimisation.</w:t>
      </w:r>
      <w:r>
        <w:rPr>
          <w:rFonts w:ascii="Arial" w:hAnsi="Arial" w:cs="Arial"/>
          <w:sz w:val="24"/>
          <w:szCs w:val="24"/>
        </w:rPr>
        <w:t>’ However, this is disapplied when relating to relevant discrimination ‘for the purpose of ensuring the combat effectiveness of the armed forces’</w:t>
      </w:r>
      <w:r>
        <w:rPr>
          <w:rStyle w:val="FootnoteReference"/>
          <w:rFonts w:ascii="Arial" w:hAnsi="Arial" w:cs="Arial"/>
          <w:sz w:val="24"/>
          <w:szCs w:val="24"/>
        </w:rPr>
        <w:footnoteReference w:id="99"/>
      </w:r>
      <w:r>
        <w:rPr>
          <w:rFonts w:ascii="Arial" w:hAnsi="Arial" w:cs="Arial"/>
          <w:sz w:val="24"/>
          <w:szCs w:val="24"/>
        </w:rPr>
        <w:t xml:space="preserve"> with ‘relevant discrimination’ made up of four of the protected characteristics, age, disability, gender reassignment and sex but does not include race and sexual orientation. </w:t>
      </w:r>
    </w:p>
    <w:p w:rsidR="00E526B7" w:rsidRDefault="00E526B7" w:rsidP="00E526B7">
      <w:pPr>
        <w:spacing w:line="360" w:lineRule="auto"/>
        <w:jc w:val="both"/>
        <w:rPr>
          <w:rFonts w:ascii="Arial" w:hAnsi="Arial" w:cs="Arial"/>
          <w:sz w:val="24"/>
          <w:szCs w:val="24"/>
        </w:rPr>
      </w:pPr>
    </w:p>
    <w:p w:rsidR="00E526B7" w:rsidRDefault="00E526B7" w:rsidP="00E526B7">
      <w:pPr>
        <w:spacing w:line="360" w:lineRule="auto"/>
        <w:jc w:val="both"/>
        <w:rPr>
          <w:rFonts w:ascii="Arial" w:hAnsi="Arial" w:cs="Arial"/>
          <w:sz w:val="24"/>
          <w:szCs w:val="24"/>
        </w:rPr>
      </w:pPr>
      <w:r>
        <w:rPr>
          <w:rFonts w:ascii="Arial" w:hAnsi="Arial" w:cs="Arial"/>
          <w:sz w:val="24"/>
          <w:szCs w:val="24"/>
        </w:rPr>
        <w:t>As a general employer the armed forces are prohibited by section 39(1) from discriminating when deciding who to or not to employ and the terms of employment and in section 39(2) from discriminating against an employee over terms of employment, opportunities for promotion, transfer or training, dismissal or any other detriment. However, there is another exception provided for the military when deciding who to or not to employ and opportunities for employees for promotion, transfer or training ‘by applying...</w:t>
      </w:r>
      <w:r w:rsidRPr="008748A4">
        <w:rPr>
          <w:rFonts w:ascii="Arial" w:hAnsi="Arial" w:cs="Arial"/>
          <w:sz w:val="24"/>
          <w:szCs w:val="24"/>
        </w:rPr>
        <w:t>a relevant requirement if the person</w:t>
      </w:r>
      <w:r>
        <w:rPr>
          <w:rFonts w:ascii="Arial" w:hAnsi="Arial" w:cs="Arial"/>
          <w:sz w:val="24"/>
          <w:szCs w:val="24"/>
        </w:rPr>
        <w:t xml:space="preserve"> </w:t>
      </w:r>
      <w:r w:rsidRPr="008748A4">
        <w:rPr>
          <w:rFonts w:ascii="Arial" w:hAnsi="Arial" w:cs="Arial"/>
          <w:sz w:val="24"/>
          <w:szCs w:val="24"/>
        </w:rPr>
        <w:t>shows that the application is a proportionate means of ensuring the combat</w:t>
      </w:r>
      <w:r>
        <w:rPr>
          <w:rFonts w:ascii="Arial" w:hAnsi="Arial" w:cs="Arial"/>
          <w:sz w:val="24"/>
          <w:szCs w:val="24"/>
        </w:rPr>
        <w:t xml:space="preserve"> </w:t>
      </w:r>
      <w:r w:rsidRPr="008748A4">
        <w:rPr>
          <w:rFonts w:ascii="Arial" w:hAnsi="Arial" w:cs="Arial"/>
          <w:sz w:val="24"/>
          <w:szCs w:val="24"/>
        </w:rPr>
        <w:t>ef</w:t>
      </w:r>
      <w:r>
        <w:rPr>
          <w:rFonts w:ascii="Arial" w:hAnsi="Arial" w:cs="Arial"/>
          <w:sz w:val="24"/>
          <w:szCs w:val="24"/>
        </w:rPr>
        <w:t>fectiveness of the armed forces’</w:t>
      </w:r>
      <w:r>
        <w:rPr>
          <w:rStyle w:val="FootnoteReference"/>
          <w:rFonts w:ascii="Arial" w:hAnsi="Arial" w:cs="Arial"/>
          <w:sz w:val="24"/>
          <w:szCs w:val="24"/>
        </w:rPr>
        <w:footnoteReference w:id="100"/>
      </w:r>
      <w:r>
        <w:rPr>
          <w:rFonts w:ascii="Arial" w:hAnsi="Arial" w:cs="Arial"/>
          <w:sz w:val="24"/>
          <w:szCs w:val="24"/>
        </w:rPr>
        <w:t xml:space="preserve">, where a ‘relevant requirement’ is either to be a man or not to be a </w:t>
      </w:r>
      <w:r>
        <w:rPr>
          <w:rFonts w:ascii="Arial" w:hAnsi="Arial" w:cs="Arial"/>
          <w:sz w:val="24"/>
          <w:szCs w:val="24"/>
        </w:rPr>
        <w:lastRenderedPageBreak/>
        <w:t>transsexual person</w:t>
      </w:r>
      <w:r>
        <w:rPr>
          <w:rStyle w:val="FootnoteReference"/>
          <w:rFonts w:ascii="Arial" w:hAnsi="Arial" w:cs="Arial"/>
          <w:sz w:val="24"/>
          <w:szCs w:val="24"/>
        </w:rPr>
        <w:footnoteReference w:id="101"/>
      </w:r>
      <w:r>
        <w:rPr>
          <w:rFonts w:ascii="Arial" w:hAnsi="Arial" w:cs="Arial"/>
          <w:sz w:val="24"/>
          <w:szCs w:val="24"/>
        </w:rPr>
        <w:t>. Furthermore, Part 5 on Work, which contains section 39, does not apply to service in the armed forces as far as relating to age or disability</w:t>
      </w:r>
      <w:r>
        <w:rPr>
          <w:rStyle w:val="FootnoteReference"/>
          <w:rFonts w:ascii="Arial" w:hAnsi="Arial" w:cs="Arial"/>
          <w:sz w:val="24"/>
          <w:szCs w:val="24"/>
        </w:rPr>
        <w:footnoteReference w:id="102"/>
      </w:r>
      <w:r>
        <w:rPr>
          <w:rFonts w:ascii="Arial" w:hAnsi="Arial" w:cs="Arial"/>
          <w:sz w:val="24"/>
          <w:szCs w:val="24"/>
        </w:rPr>
        <w:t>.</w:t>
      </w:r>
    </w:p>
    <w:p w:rsidR="00E526B7" w:rsidRDefault="00E526B7" w:rsidP="00E526B7">
      <w:pPr>
        <w:spacing w:line="360" w:lineRule="auto"/>
        <w:jc w:val="both"/>
        <w:rPr>
          <w:rFonts w:ascii="Arial" w:hAnsi="Arial" w:cs="Arial"/>
          <w:sz w:val="24"/>
          <w:szCs w:val="24"/>
        </w:rPr>
      </w:pPr>
    </w:p>
    <w:p w:rsidR="00E526B7" w:rsidRDefault="00E526B7" w:rsidP="00E526B7">
      <w:pPr>
        <w:spacing w:line="360" w:lineRule="auto"/>
        <w:jc w:val="both"/>
        <w:rPr>
          <w:rFonts w:ascii="Arial" w:hAnsi="Arial" w:cs="Arial"/>
          <w:sz w:val="24"/>
          <w:szCs w:val="24"/>
        </w:rPr>
      </w:pPr>
      <w:r>
        <w:rPr>
          <w:rFonts w:ascii="Arial" w:hAnsi="Arial" w:cs="Arial"/>
          <w:sz w:val="24"/>
          <w:szCs w:val="24"/>
        </w:rPr>
        <w:t>Finally there is a general exception for national security but only to the extent that</w:t>
      </w:r>
      <w:r w:rsidRPr="00CD4DB5">
        <w:rPr>
          <w:rFonts w:ascii="Arial" w:hAnsi="Arial" w:cs="Arial"/>
          <w:sz w:val="24"/>
          <w:szCs w:val="24"/>
        </w:rPr>
        <w:t xml:space="preserve"> it is proportionate to do </w:t>
      </w:r>
      <w:r>
        <w:rPr>
          <w:rFonts w:ascii="Arial" w:hAnsi="Arial" w:cs="Arial"/>
          <w:sz w:val="24"/>
          <w:szCs w:val="24"/>
        </w:rPr>
        <w:t>so</w:t>
      </w:r>
      <w:r>
        <w:rPr>
          <w:rStyle w:val="FootnoteReference"/>
          <w:rFonts w:ascii="Arial" w:hAnsi="Arial" w:cs="Arial"/>
          <w:sz w:val="24"/>
          <w:szCs w:val="24"/>
        </w:rPr>
        <w:footnoteReference w:id="103"/>
      </w:r>
      <w:r>
        <w:rPr>
          <w:rFonts w:ascii="Arial" w:hAnsi="Arial" w:cs="Arial"/>
          <w:sz w:val="24"/>
          <w:szCs w:val="24"/>
        </w:rPr>
        <w:t>. However, there is no definition of national security and so the exception is uncertain.</w:t>
      </w:r>
    </w:p>
    <w:p w:rsidR="003954B4" w:rsidRDefault="003954B4" w:rsidP="00E526B7">
      <w:pPr>
        <w:spacing w:line="360" w:lineRule="auto"/>
        <w:jc w:val="both"/>
        <w:rPr>
          <w:rFonts w:ascii="Arial" w:hAnsi="Arial" w:cs="Arial"/>
          <w:sz w:val="24"/>
          <w:szCs w:val="24"/>
        </w:rPr>
      </w:pPr>
    </w:p>
    <w:p w:rsidR="003954B4" w:rsidRDefault="003954B4" w:rsidP="003954B4">
      <w:pPr>
        <w:spacing w:line="360" w:lineRule="auto"/>
        <w:jc w:val="both"/>
        <w:rPr>
          <w:rFonts w:ascii="Arial" w:hAnsi="Arial" w:cs="Arial"/>
          <w:sz w:val="24"/>
          <w:szCs w:val="24"/>
        </w:rPr>
      </w:pPr>
      <w:r>
        <w:rPr>
          <w:rFonts w:ascii="Arial" w:hAnsi="Arial" w:cs="Arial"/>
          <w:sz w:val="24"/>
          <w:szCs w:val="24"/>
        </w:rPr>
        <w:t>The EA10 has replaced the SDA75 but the combat effectiveness exclusion remains in place. At the start of 2010 there was much media speculation that the submarine service of the Royal Navy would be opened up to women</w:t>
      </w:r>
      <w:r>
        <w:rPr>
          <w:rStyle w:val="FootnoteReference"/>
          <w:rFonts w:ascii="Arial" w:hAnsi="Arial" w:cs="Arial"/>
          <w:sz w:val="24"/>
          <w:szCs w:val="24"/>
        </w:rPr>
        <w:footnoteReference w:id="104"/>
      </w:r>
      <w:r>
        <w:rPr>
          <w:rFonts w:ascii="Arial" w:hAnsi="Arial" w:cs="Arial"/>
          <w:sz w:val="24"/>
          <w:szCs w:val="24"/>
        </w:rPr>
        <w:t>, especially with a new report on the combat exclusion exemption due</w:t>
      </w:r>
      <w:r>
        <w:rPr>
          <w:rStyle w:val="FootnoteReference"/>
          <w:rFonts w:ascii="Arial" w:hAnsi="Arial" w:cs="Arial"/>
          <w:sz w:val="24"/>
          <w:szCs w:val="24"/>
        </w:rPr>
        <w:footnoteReference w:id="105"/>
      </w:r>
      <w:r>
        <w:rPr>
          <w:rFonts w:ascii="Arial" w:hAnsi="Arial" w:cs="Arial"/>
          <w:sz w:val="24"/>
          <w:szCs w:val="24"/>
        </w:rPr>
        <w:t>. As it turned out the report only considered the exclusion of women from ground close-combat roles, which it decided to keep in place</w:t>
      </w:r>
      <w:r>
        <w:rPr>
          <w:rStyle w:val="FootnoteReference"/>
          <w:rFonts w:ascii="Arial" w:hAnsi="Arial" w:cs="Arial"/>
          <w:sz w:val="24"/>
          <w:szCs w:val="24"/>
        </w:rPr>
        <w:footnoteReference w:id="106"/>
      </w:r>
      <w:r>
        <w:rPr>
          <w:rFonts w:ascii="Arial" w:hAnsi="Arial" w:cs="Arial"/>
          <w:sz w:val="24"/>
          <w:szCs w:val="24"/>
        </w:rPr>
        <w:t>, and did not review the exclusion of women from service in submarines</w:t>
      </w:r>
      <w:r>
        <w:rPr>
          <w:rStyle w:val="FootnoteReference"/>
          <w:rFonts w:ascii="Arial" w:hAnsi="Arial" w:cs="Arial"/>
          <w:sz w:val="24"/>
          <w:szCs w:val="24"/>
        </w:rPr>
        <w:footnoteReference w:id="107"/>
      </w:r>
      <w:r>
        <w:rPr>
          <w:rFonts w:ascii="Arial" w:hAnsi="Arial" w:cs="Arial"/>
          <w:sz w:val="24"/>
          <w:szCs w:val="24"/>
        </w:rPr>
        <w:t>. Indeed compared to the 2002 report, the 2010 report was perfunctory with the basis of the exclusion’s maintenance wholly attributed to unit cohesion</w:t>
      </w:r>
      <w:r>
        <w:rPr>
          <w:rStyle w:val="FootnoteReference"/>
          <w:rFonts w:ascii="Arial" w:hAnsi="Arial" w:cs="Arial"/>
          <w:sz w:val="24"/>
          <w:szCs w:val="24"/>
        </w:rPr>
        <w:footnoteReference w:id="108"/>
      </w:r>
      <w:r>
        <w:rPr>
          <w:rFonts w:ascii="Arial" w:hAnsi="Arial" w:cs="Arial"/>
          <w:sz w:val="24"/>
          <w:szCs w:val="24"/>
        </w:rPr>
        <w:t xml:space="preserve">. However, in a speech to the Royal United Services Institute on 8 </w:t>
      </w:r>
      <w:r>
        <w:rPr>
          <w:rFonts w:ascii="Arial" w:hAnsi="Arial" w:cs="Arial"/>
          <w:sz w:val="24"/>
          <w:szCs w:val="24"/>
        </w:rPr>
        <w:lastRenderedPageBreak/>
        <w:t>December 2011</w:t>
      </w:r>
      <w:r>
        <w:rPr>
          <w:rStyle w:val="FootnoteReference"/>
          <w:rFonts w:ascii="Arial" w:hAnsi="Arial" w:cs="Arial"/>
          <w:sz w:val="24"/>
          <w:szCs w:val="24"/>
        </w:rPr>
        <w:footnoteReference w:id="109"/>
      </w:r>
      <w:r>
        <w:rPr>
          <w:rFonts w:ascii="Arial" w:hAnsi="Arial" w:cs="Arial"/>
          <w:sz w:val="24"/>
          <w:szCs w:val="24"/>
        </w:rPr>
        <w:t>, the new Secretary of State for Defence announced that the submarine service would be opened up to women with officers serving in the Valiant class from 2013, ratings from 2015 and all ranks in the Astute class from 2016.</w:t>
      </w:r>
    </w:p>
    <w:p w:rsidR="00B1025E" w:rsidRDefault="00B1025E" w:rsidP="003954B4">
      <w:pPr>
        <w:spacing w:line="360" w:lineRule="auto"/>
        <w:jc w:val="both"/>
        <w:rPr>
          <w:rFonts w:ascii="Arial" w:hAnsi="Arial" w:cs="Arial"/>
          <w:sz w:val="24"/>
          <w:szCs w:val="24"/>
        </w:rPr>
      </w:pPr>
    </w:p>
    <w:p w:rsidR="00B1025E" w:rsidRDefault="00B1025E" w:rsidP="003954B4">
      <w:pPr>
        <w:spacing w:line="360" w:lineRule="auto"/>
        <w:jc w:val="both"/>
        <w:rPr>
          <w:rFonts w:ascii="Arial" w:hAnsi="Arial" w:cs="Arial"/>
          <w:sz w:val="24"/>
          <w:szCs w:val="24"/>
        </w:rPr>
      </w:pPr>
      <w:r>
        <w:rPr>
          <w:rFonts w:ascii="Arial" w:hAnsi="Arial" w:cs="Arial"/>
          <w:sz w:val="24"/>
          <w:szCs w:val="24"/>
        </w:rPr>
        <w:t>The qualitative and quantitative studies conducted for the 2010 review threw up some interesting and unexpected results. These studies were unique as they had the opportunity to send out questionnaires, interview and study individuals and small groups of UK service personnel, both men and women, who had engaged in close ground combat. T</w:t>
      </w:r>
      <w:r>
        <w:rPr>
          <w:rFonts w:ascii="Arial" w:hAnsi="Arial" w:cs="Arial"/>
          <w:sz w:val="24"/>
          <w:szCs w:val="24"/>
        </w:rPr>
        <w:t>he qualitative study of women in combat by BCL found the following principle concerns over having women in close ground combat roles</w:t>
      </w:r>
      <w:r>
        <w:rPr>
          <w:rStyle w:val="FootnoteReference"/>
          <w:rFonts w:ascii="Arial" w:hAnsi="Arial" w:cs="Arial"/>
          <w:sz w:val="24"/>
          <w:szCs w:val="24"/>
        </w:rPr>
        <w:footnoteReference w:id="110"/>
      </w:r>
      <w:r>
        <w:rPr>
          <w:rFonts w:ascii="Arial" w:hAnsi="Arial" w:cs="Arial"/>
          <w:sz w:val="24"/>
          <w:szCs w:val="24"/>
        </w:rPr>
        <w:t xml:space="preserve">: lack of women’s physical capability/robustness; women being </w:t>
      </w:r>
      <w:proofErr w:type="gramStart"/>
      <w:r>
        <w:rPr>
          <w:rFonts w:ascii="Arial" w:hAnsi="Arial" w:cs="Arial"/>
          <w:sz w:val="24"/>
          <w:szCs w:val="24"/>
        </w:rPr>
        <w:t>a distraction</w:t>
      </w:r>
      <w:proofErr w:type="gramEnd"/>
      <w:r>
        <w:rPr>
          <w:rFonts w:ascii="Arial" w:hAnsi="Arial" w:cs="Arial"/>
          <w:sz w:val="24"/>
          <w:szCs w:val="24"/>
        </w:rPr>
        <w:t>/problems with relationships between men and women; and, men want to protect women/react differently if hurt/harder to deal with female casualties. It is interesting that these are similar reasons expressed before women went to sea in the Royal Navy that were swiftly negated after a short period of time</w:t>
      </w:r>
      <w:r>
        <w:rPr>
          <w:rStyle w:val="FootnoteReference"/>
          <w:rFonts w:ascii="Arial" w:hAnsi="Arial" w:cs="Arial"/>
          <w:sz w:val="24"/>
          <w:szCs w:val="24"/>
        </w:rPr>
        <w:footnoteReference w:id="111"/>
      </w:r>
      <w:r>
        <w:rPr>
          <w:rFonts w:ascii="Arial" w:hAnsi="Arial" w:cs="Arial"/>
          <w:sz w:val="24"/>
          <w:szCs w:val="24"/>
        </w:rPr>
        <w:t>. In fact unit cohesion, the reason given in the final report</w:t>
      </w:r>
      <w:r>
        <w:rPr>
          <w:rStyle w:val="FootnoteReference"/>
          <w:rFonts w:ascii="Arial" w:hAnsi="Arial" w:cs="Arial"/>
          <w:sz w:val="24"/>
          <w:szCs w:val="24"/>
        </w:rPr>
        <w:footnoteReference w:id="112"/>
      </w:r>
      <w:r>
        <w:rPr>
          <w:rFonts w:ascii="Arial" w:hAnsi="Arial" w:cs="Arial"/>
          <w:sz w:val="24"/>
          <w:szCs w:val="24"/>
        </w:rPr>
        <w:t xml:space="preserve"> maintaining the combat exclusion policy, was only a minor concern in the BCL qualitative study</w:t>
      </w:r>
      <w:r>
        <w:rPr>
          <w:rStyle w:val="FootnoteReference"/>
          <w:rFonts w:ascii="Arial" w:hAnsi="Arial" w:cs="Arial"/>
          <w:sz w:val="24"/>
          <w:szCs w:val="24"/>
        </w:rPr>
        <w:footnoteReference w:id="113"/>
      </w:r>
      <w:r>
        <w:rPr>
          <w:rFonts w:ascii="Arial" w:hAnsi="Arial" w:cs="Arial"/>
          <w:sz w:val="24"/>
          <w:szCs w:val="24"/>
        </w:rPr>
        <w:t xml:space="preserve"> whilst in the quantitative study, just on the basis of answers provided to the questionnaire used, it was concluded that men did </w:t>
      </w:r>
      <w:r>
        <w:rPr>
          <w:rFonts w:ascii="Arial" w:hAnsi="Arial" w:cs="Arial"/>
          <w:sz w:val="24"/>
          <w:szCs w:val="24"/>
        </w:rPr>
        <w:lastRenderedPageBreak/>
        <w:t>not perceive the presence of women to reduce cohesion</w:t>
      </w:r>
      <w:r>
        <w:rPr>
          <w:rStyle w:val="FootnoteReference"/>
          <w:rFonts w:ascii="Arial" w:hAnsi="Arial" w:cs="Arial"/>
          <w:sz w:val="24"/>
          <w:szCs w:val="24"/>
        </w:rPr>
        <w:footnoteReference w:id="114"/>
      </w:r>
      <w:r>
        <w:rPr>
          <w:rFonts w:ascii="Arial" w:hAnsi="Arial" w:cs="Arial"/>
          <w:sz w:val="24"/>
          <w:szCs w:val="24"/>
        </w:rPr>
        <w:t>. Interestingly women appeared to be harder on themselves than men as they considered cohesion to be lower if women were present in small team combat situations</w:t>
      </w:r>
      <w:r>
        <w:rPr>
          <w:rStyle w:val="FootnoteReference"/>
          <w:rFonts w:ascii="Arial" w:hAnsi="Arial" w:cs="Arial"/>
          <w:sz w:val="24"/>
          <w:szCs w:val="24"/>
        </w:rPr>
        <w:footnoteReference w:id="115"/>
      </w:r>
      <w:r>
        <w:rPr>
          <w:rFonts w:ascii="Arial" w:hAnsi="Arial" w:cs="Arial"/>
          <w:sz w:val="24"/>
          <w:szCs w:val="24"/>
        </w:rPr>
        <w:t>. When interviews were conducted to test this finding it was found that in fact both men and women found unit cohesion to be high in mixed gender small team combat situations</w:t>
      </w:r>
      <w:r>
        <w:rPr>
          <w:rStyle w:val="FootnoteReference"/>
          <w:rFonts w:ascii="Arial" w:hAnsi="Arial" w:cs="Arial"/>
          <w:sz w:val="24"/>
          <w:szCs w:val="24"/>
        </w:rPr>
        <w:footnoteReference w:id="116"/>
      </w:r>
      <w:r>
        <w:rPr>
          <w:rFonts w:ascii="Arial" w:hAnsi="Arial" w:cs="Arial"/>
          <w:sz w:val="24"/>
          <w:szCs w:val="24"/>
        </w:rPr>
        <w:t>.</w:t>
      </w:r>
    </w:p>
    <w:p w:rsidR="002E2BE1" w:rsidRDefault="002E2BE1" w:rsidP="003160BA">
      <w:pPr>
        <w:spacing w:line="360" w:lineRule="auto"/>
        <w:jc w:val="both"/>
        <w:rPr>
          <w:rFonts w:ascii="Arial" w:hAnsi="Arial" w:cs="Arial"/>
          <w:sz w:val="24"/>
          <w:szCs w:val="24"/>
        </w:rPr>
      </w:pPr>
    </w:p>
    <w:p w:rsidR="002E2BE1" w:rsidRDefault="002E2BE1" w:rsidP="003160BA">
      <w:pPr>
        <w:spacing w:line="360" w:lineRule="auto"/>
        <w:jc w:val="both"/>
        <w:rPr>
          <w:rFonts w:ascii="Arial" w:hAnsi="Arial" w:cs="Arial"/>
          <w:sz w:val="24"/>
          <w:szCs w:val="24"/>
        </w:rPr>
      </w:pPr>
      <w:r>
        <w:rPr>
          <w:rFonts w:ascii="Arial" w:hAnsi="Arial" w:cs="Arial"/>
          <w:b/>
          <w:sz w:val="24"/>
          <w:szCs w:val="24"/>
          <w:u w:val="single"/>
        </w:rPr>
        <w:t>CRITICAL ANALYSIS</w:t>
      </w:r>
    </w:p>
    <w:p w:rsidR="001A758F" w:rsidRDefault="00B1025E" w:rsidP="003160BA">
      <w:pPr>
        <w:spacing w:line="360" w:lineRule="auto"/>
        <w:jc w:val="both"/>
        <w:rPr>
          <w:rFonts w:ascii="Arial" w:hAnsi="Arial" w:cs="Arial"/>
          <w:sz w:val="24"/>
          <w:szCs w:val="24"/>
        </w:rPr>
      </w:pPr>
      <w:r>
        <w:rPr>
          <w:rFonts w:ascii="Arial" w:hAnsi="Arial" w:cs="Arial"/>
          <w:sz w:val="24"/>
          <w:szCs w:val="24"/>
        </w:rPr>
        <w:t xml:space="preserve">Since the case of Dory there have been no challenges over the combat effectiveness exclusion before the UK courts or other Member State domestic courts that have referred questions to the ECJ. </w:t>
      </w:r>
      <w:r w:rsidR="00296EF1">
        <w:rPr>
          <w:rFonts w:ascii="Arial" w:hAnsi="Arial" w:cs="Arial"/>
          <w:sz w:val="24"/>
          <w:szCs w:val="24"/>
        </w:rPr>
        <w:t xml:space="preserve">However, there has been a noticeable shift in emphasis of policy at the EU level with the introduction of </w:t>
      </w:r>
      <w:r w:rsidR="0062566F">
        <w:rPr>
          <w:rFonts w:ascii="Arial" w:hAnsi="Arial" w:cs="Arial"/>
          <w:sz w:val="24"/>
          <w:szCs w:val="24"/>
        </w:rPr>
        <w:t xml:space="preserve">the Member State’s duty to mainstream </w:t>
      </w:r>
      <w:r w:rsidR="00296EF1">
        <w:rPr>
          <w:rFonts w:ascii="Arial" w:hAnsi="Arial" w:cs="Arial"/>
          <w:sz w:val="24"/>
          <w:szCs w:val="24"/>
        </w:rPr>
        <w:t xml:space="preserve">gender by the 2002 amendment to the ETD, carried over into </w:t>
      </w:r>
      <w:r w:rsidR="0062566F">
        <w:rPr>
          <w:rFonts w:ascii="Arial" w:hAnsi="Arial" w:cs="Arial"/>
          <w:sz w:val="24"/>
          <w:szCs w:val="24"/>
        </w:rPr>
        <w:t>Article 29 of the</w:t>
      </w:r>
      <w:r w:rsidR="00296EF1">
        <w:rPr>
          <w:rFonts w:ascii="Arial" w:hAnsi="Arial" w:cs="Arial"/>
          <w:sz w:val="24"/>
          <w:szCs w:val="24"/>
        </w:rPr>
        <w:t xml:space="preserve"> Equality Directive and given </w:t>
      </w:r>
      <w:r w:rsidR="0062566F">
        <w:rPr>
          <w:rFonts w:ascii="Arial" w:hAnsi="Arial" w:cs="Arial"/>
          <w:sz w:val="24"/>
          <w:szCs w:val="24"/>
        </w:rPr>
        <w:t xml:space="preserve">fresh impetus for the EU’s institutions in Article 8TFEU. </w:t>
      </w:r>
      <w:r w:rsidR="00573730">
        <w:rPr>
          <w:rFonts w:ascii="Arial" w:hAnsi="Arial" w:cs="Arial"/>
          <w:sz w:val="24"/>
          <w:szCs w:val="24"/>
        </w:rPr>
        <w:t>T analysis of t</w:t>
      </w:r>
      <w:r w:rsidR="003954B4">
        <w:rPr>
          <w:rFonts w:ascii="Arial" w:hAnsi="Arial" w:cs="Arial"/>
          <w:sz w:val="24"/>
          <w:szCs w:val="24"/>
        </w:rPr>
        <w:t xml:space="preserve">he Equality Directive </w:t>
      </w:r>
      <w:r w:rsidR="00573730">
        <w:rPr>
          <w:rFonts w:ascii="Arial" w:hAnsi="Arial" w:cs="Arial"/>
          <w:sz w:val="24"/>
          <w:szCs w:val="24"/>
        </w:rPr>
        <w:t>above suggests</w:t>
      </w:r>
      <w:r w:rsidR="003954B4">
        <w:rPr>
          <w:rFonts w:ascii="Arial" w:hAnsi="Arial" w:cs="Arial"/>
          <w:sz w:val="24"/>
          <w:szCs w:val="24"/>
        </w:rPr>
        <w:t xml:space="preserve"> that little has changed vis-à-vis the combat effectiveness exclusion. However, the reorganisation of the provisions, including a new legal base, reference to the Charter of Fundamental Rights’ provisions on equality and the mandatory gender mainstreaming duty on the Member States refocuses </w:t>
      </w:r>
      <w:r w:rsidR="00573730">
        <w:rPr>
          <w:rFonts w:ascii="Arial" w:hAnsi="Arial" w:cs="Arial"/>
          <w:sz w:val="24"/>
          <w:szCs w:val="24"/>
        </w:rPr>
        <w:t>equal treatment between men and women</w:t>
      </w:r>
      <w:r w:rsidR="003954B4">
        <w:rPr>
          <w:rFonts w:ascii="Arial" w:hAnsi="Arial" w:cs="Arial"/>
          <w:sz w:val="24"/>
          <w:szCs w:val="24"/>
        </w:rPr>
        <w:t>.</w:t>
      </w:r>
      <w:r w:rsidR="00573730">
        <w:rPr>
          <w:rFonts w:ascii="Arial" w:hAnsi="Arial" w:cs="Arial"/>
          <w:sz w:val="24"/>
          <w:szCs w:val="24"/>
        </w:rPr>
        <w:t xml:space="preserve"> This is taken further by the Lisbon Treaty with the increased importance attached to gender equality clearly demonstrated in the TEU’s provisions on the values, objectives and tasks of the Union. However, </w:t>
      </w:r>
      <w:r w:rsidR="001042A2">
        <w:rPr>
          <w:rFonts w:ascii="Arial" w:hAnsi="Arial" w:cs="Arial"/>
          <w:sz w:val="24"/>
          <w:szCs w:val="24"/>
        </w:rPr>
        <w:t xml:space="preserve">the recent cases of </w:t>
      </w:r>
      <w:r w:rsidR="001042A2" w:rsidRPr="001042A2">
        <w:rPr>
          <w:rFonts w:ascii="Arial" w:hAnsi="Arial" w:cs="Arial"/>
          <w:sz w:val="24"/>
          <w:szCs w:val="24"/>
          <w:u w:val="single"/>
        </w:rPr>
        <w:t>Mangold</w:t>
      </w:r>
      <w:r w:rsidR="001042A2">
        <w:rPr>
          <w:rFonts w:ascii="Arial" w:hAnsi="Arial" w:cs="Arial"/>
          <w:sz w:val="24"/>
          <w:szCs w:val="24"/>
        </w:rPr>
        <w:t xml:space="preserve"> and </w:t>
      </w:r>
      <w:r w:rsidR="001042A2" w:rsidRPr="001042A2">
        <w:rPr>
          <w:rFonts w:ascii="Arial" w:hAnsi="Arial" w:cs="Arial"/>
          <w:sz w:val="24"/>
          <w:szCs w:val="24"/>
          <w:u w:val="single"/>
        </w:rPr>
        <w:t>Kücükdeveci</w:t>
      </w:r>
      <w:r w:rsidR="001042A2">
        <w:rPr>
          <w:rFonts w:ascii="Arial" w:hAnsi="Arial" w:cs="Arial"/>
          <w:sz w:val="24"/>
          <w:szCs w:val="24"/>
        </w:rPr>
        <w:t xml:space="preserve">, along with the new legal standing of the Charter suggest that the ECJ has understood the new prominence that the Lisbon Treaty and Equality Directive have given to the principle of equality and non-discrimination. Furthermore, although the EA10 continues to include the combat effectiveness exclusion, </w:t>
      </w:r>
      <w:proofErr w:type="spellStart"/>
      <w:r w:rsidR="001042A2">
        <w:rPr>
          <w:rFonts w:ascii="Arial" w:hAnsi="Arial" w:cs="Arial"/>
          <w:sz w:val="24"/>
          <w:szCs w:val="24"/>
        </w:rPr>
        <w:t>Arnull’s</w:t>
      </w:r>
      <w:proofErr w:type="spellEnd"/>
      <w:r w:rsidR="001042A2">
        <w:rPr>
          <w:rFonts w:ascii="Arial" w:hAnsi="Arial" w:cs="Arial"/>
          <w:sz w:val="24"/>
          <w:szCs w:val="24"/>
        </w:rPr>
        <w:t xml:space="preserve"> original criticism</w:t>
      </w:r>
      <w:r w:rsidR="00355AF0">
        <w:rPr>
          <w:rStyle w:val="FootnoteReference"/>
          <w:rFonts w:ascii="Arial" w:hAnsi="Arial" w:cs="Arial"/>
          <w:sz w:val="24"/>
          <w:szCs w:val="24"/>
        </w:rPr>
        <w:footnoteReference w:id="117"/>
      </w:r>
      <w:r w:rsidR="001042A2">
        <w:rPr>
          <w:rFonts w:ascii="Arial" w:hAnsi="Arial" w:cs="Arial"/>
          <w:sz w:val="24"/>
          <w:szCs w:val="24"/>
        </w:rPr>
        <w:t xml:space="preserve"> remains relevant and forceful and is now augmented by the 2010 review with its attendant evidence. As the evidence does not appear to support the finding that the combat effectiveness exclusion can be maintained on the basis of unit cohesion, the </w:t>
      </w:r>
      <w:r w:rsidR="001042A2">
        <w:rPr>
          <w:rFonts w:ascii="Arial" w:hAnsi="Arial" w:cs="Arial"/>
          <w:sz w:val="24"/>
          <w:szCs w:val="24"/>
        </w:rPr>
        <w:lastRenderedPageBreak/>
        <w:t>Ministry of Defence may have unwittingly opened the door to a possible legal challenge.</w:t>
      </w:r>
    </w:p>
    <w:p w:rsidR="00355AF0" w:rsidRDefault="00355AF0" w:rsidP="003160BA">
      <w:pPr>
        <w:spacing w:line="360" w:lineRule="auto"/>
        <w:jc w:val="both"/>
        <w:rPr>
          <w:rFonts w:ascii="Arial" w:hAnsi="Arial" w:cs="Arial"/>
          <w:sz w:val="24"/>
          <w:szCs w:val="24"/>
        </w:rPr>
      </w:pPr>
    </w:p>
    <w:p w:rsidR="00355AF0" w:rsidRPr="001A758F" w:rsidRDefault="00355AF0" w:rsidP="003160BA">
      <w:pPr>
        <w:spacing w:line="360" w:lineRule="auto"/>
        <w:jc w:val="both"/>
        <w:rPr>
          <w:rFonts w:ascii="Arial" w:hAnsi="Arial" w:cs="Arial"/>
          <w:sz w:val="24"/>
          <w:szCs w:val="24"/>
        </w:rPr>
      </w:pPr>
      <w:r>
        <w:rPr>
          <w:rFonts w:ascii="Arial" w:hAnsi="Arial" w:cs="Arial"/>
          <w:sz w:val="24"/>
          <w:szCs w:val="24"/>
        </w:rPr>
        <w:t xml:space="preserve">There are some signs though that the lot of women serving in the UK military is improving, albeit slowly and often </w:t>
      </w:r>
      <w:r w:rsidR="00BD1948">
        <w:rPr>
          <w:rFonts w:ascii="Arial" w:hAnsi="Arial" w:cs="Arial"/>
          <w:sz w:val="24"/>
          <w:szCs w:val="24"/>
        </w:rPr>
        <w:t>after having</w:t>
      </w:r>
      <w:r>
        <w:rPr>
          <w:rFonts w:ascii="Arial" w:hAnsi="Arial" w:cs="Arial"/>
          <w:sz w:val="24"/>
          <w:szCs w:val="24"/>
        </w:rPr>
        <w:t xml:space="preserve"> overcome </w:t>
      </w:r>
      <w:r w:rsidR="00BD1948">
        <w:rPr>
          <w:rFonts w:ascii="Arial" w:hAnsi="Arial" w:cs="Arial"/>
          <w:sz w:val="24"/>
          <w:szCs w:val="24"/>
        </w:rPr>
        <w:t>entrenched</w:t>
      </w:r>
      <w:r>
        <w:rPr>
          <w:rFonts w:ascii="Arial" w:hAnsi="Arial" w:cs="Arial"/>
          <w:sz w:val="24"/>
          <w:szCs w:val="24"/>
        </w:rPr>
        <w:t xml:space="preserve"> male attitudes.</w:t>
      </w:r>
      <w:r w:rsidR="00BD1948">
        <w:rPr>
          <w:rFonts w:ascii="Arial" w:hAnsi="Arial" w:cs="Arial"/>
          <w:sz w:val="24"/>
          <w:szCs w:val="24"/>
        </w:rPr>
        <w:t xml:space="preserve"> The numbers for women serving in the forces have increased over time, though with the figures for 2009 of 9.5%, 2010 9.6% and 2011 9.6%, it could be argued that those figures have now plateaued. The breakdown for each of the forces (Navy 9.4%, Army 8%, RAF 13.8%) appears to suggest a clear correlation between the number serving and the ability of women to serve in a wide range of jobs (</w:t>
      </w:r>
      <w:r w:rsidR="00816323">
        <w:rPr>
          <w:rFonts w:ascii="Arial" w:hAnsi="Arial" w:cs="Arial"/>
          <w:sz w:val="24"/>
          <w:szCs w:val="24"/>
        </w:rPr>
        <w:t>73% of jobs are open to women in the Navy, 70% in the Army and 96% in the RAF</w:t>
      </w:r>
      <w:r w:rsidR="00816323">
        <w:rPr>
          <w:rFonts w:ascii="Arial" w:hAnsi="Arial" w:cs="Arial"/>
          <w:sz w:val="24"/>
          <w:szCs w:val="24"/>
        </w:rPr>
        <w:t>). Establishing career patterns to the highest ranks</w:t>
      </w:r>
      <w:r w:rsidR="00816323">
        <w:rPr>
          <w:rStyle w:val="FootnoteReference"/>
          <w:rFonts w:ascii="Arial" w:hAnsi="Arial" w:cs="Arial"/>
          <w:sz w:val="24"/>
          <w:szCs w:val="24"/>
        </w:rPr>
        <w:footnoteReference w:id="118"/>
      </w:r>
      <w:r w:rsidR="00816323">
        <w:rPr>
          <w:rFonts w:ascii="Arial" w:hAnsi="Arial" w:cs="Arial"/>
          <w:sz w:val="24"/>
          <w:szCs w:val="24"/>
        </w:rPr>
        <w:t xml:space="preserve"> w</w:t>
      </w:r>
      <w:r w:rsidR="00470CAE">
        <w:rPr>
          <w:rFonts w:ascii="Arial" w:hAnsi="Arial" w:cs="Arial"/>
          <w:sz w:val="24"/>
          <w:szCs w:val="24"/>
        </w:rPr>
        <w:t>ill, it is suggested, increase</w:t>
      </w:r>
      <w:bookmarkStart w:id="0" w:name="_GoBack"/>
      <w:bookmarkEnd w:id="0"/>
      <w:r w:rsidR="00816323">
        <w:rPr>
          <w:rFonts w:ascii="Arial" w:hAnsi="Arial" w:cs="Arial"/>
          <w:sz w:val="24"/>
          <w:szCs w:val="24"/>
        </w:rPr>
        <w:t xml:space="preserve"> the attractiveness of a military career to young women, and I expect an increased number of women serving in the Navy as the submarine service opens its doors.</w:t>
      </w:r>
    </w:p>
    <w:sectPr w:rsidR="00355AF0" w:rsidRPr="001A758F" w:rsidSect="00AE08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865" w:rsidRDefault="002A7865" w:rsidP="005753ED">
      <w:pPr>
        <w:spacing w:after="0" w:line="240" w:lineRule="auto"/>
      </w:pPr>
      <w:r>
        <w:separator/>
      </w:r>
    </w:p>
  </w:endnote>
  <w:endnote w:type="continuationSeparator" w:id="0">
    <w:p w:rsidR="002A7865" w:rsidRDefault="002A7865" w:rsidP="00575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865" w:rsidRDefault="002A7865" w:rsidP="005753ED">
      <w:pPr>
        <w:spacing w:after="0" w:line="240" w:lineRule="auto"/>
      </w:pPr>
      <w:r>
        <w:separator/>
      </w:r>
    </w:p>
  </w:footnote>
  <w:footnote w:type="continuationSeparator" w:id="0">
    <w:p w:rsidR="002A7865" w:rsidRDefault="002A7865" w:rsidP="005753ED">
      <w:pPr>
        <w:spacing w:after="0" w:line="240" w:lineRule="auto"/>
      </w:pPr>
      <w:r>
        <w:continuationSeparator/>
      </w:r>
    </w:p>
  </w:footnote>
  <w:footnote w:id="1">
    <w:p w:rsidR="00E526B7" w:rsidRPr="00733B89" w:rsidRDefault="00E526B7" w:rsidP="00733B89">
      <w:pPr>
        <w:pStyle w:val="FootnoteText"/>
        <w:jc w:val="both"/>
        <w:rPr>
          <w:rFonts w:ascii="Arial" w:hAnsi="Arial" w:cs="Arial"/>
          <w:sz w:val="24"/>
          <w:szCs w:val="24"/>
        </w:rPr>
      </w:pPr>
      <w:r w:rsidRPr="00733B89">
        <w:rPr>
          <w:rStyle w:val="FootnoteReference"/>
          <w:rFonts w:ascii="Arial" w:hAnsi="Arial" w:cs="Arial"/>
          <w:sz w:val="24"/>
          <w:szCs w:val="24"/>
        </w:rPr>
        <w:footnoteRef/>
      </w:r>
      <w:r w:rsidRPr="00733B89">
        <w:rPr>
          <w:rFonts w:ascii="Arial" w:hAnsi="Arial" w:cs="Arial"/>
          <w:sz w:val="24"/>
          <w:szCs w:val="24"/>
        </w:rPr>
        <w:t xml:space="preserve"> SDA75 s 85(4)</w:t>
      </w:r>
    </w:p>
  </w:footnote>
  <w:footnote w:id="2">
    <w:p w:rsidR="00E526B7" w:rsidRPr="003C0103" w:rsidRDefault="00E526B7" w:rsidP="00733B89">
      <w:pPr>
        <w:pStyle w:val="FootnoteText"/>
        <w:jc w:val="both"/>
        <w:rPr>
          <w:rFonts w:ascii="Arial" w:hAnsi="Arial" w:cs="Arial"/>
          <w:sz w:val="24"/>
          <w:szCs w:val="24"/>
        </w:rPr>
      </w:pPr>
      <w:r w:rsidRPr="003C0103">
        <w:rPr>
          <w:rStyle w:val="FootnoteReference"/>
          <w:rFonts w:ascii="Arial" w:hAnsi="Arial" w:cs="Arial"/>
          <w:sz w:val="24"/>
          <w:szCs w:val="24"/>
        </w:rPr>
        <w:footnoteRef/>
      </w:r>
      <w:r w:rsidRPr="003C0103">
        <w:rPr>
          <w:rFonts w:ascii="Arial" w:hAnsi="Arial" w:cs="Arial"/>
          <w:sz w:val="24"/>
          <w:szCs w:val="24"/>
        </w:rPr>
        <w:t xml:space="preserve"> EA10 s 29(6) </w:t>
      </w:r>
      <w:r>
        <w:rPr>
          <w:rFonts w:ascii="Arial" w:hAnsi="Arial" w:cs="Arial"/>
          <w:sz w:val="24"/>
          <w:szCs w:val="24"/>
        </w:rPr>
        <w:t>with</w:t>
      </w:r>
      <w:r w:rsidRPr="003C0103">
        <w:rPr>
          <w:rFonts w:ascii="Arial" w:hAnsi="Arial" w:cs="Arial"/>
          <w:sz w:val="24"/>
          <w:szCs w:val="24"/>
        </w:rPr>
        <w:t xml:space="preserve"> Schedule 3, s 4(1) and s 39(1)&amp;(2) </w:t>
      </w:r>
      <w:r>
        <w:rPr>
          <w:rFonts w:ascii="Arial" w:hAnsi="Arial" w:cs="Arial"/>
          <w:sz w:val="24"/>
          <w:szCs w:val="24"/>
        </w:rPr>
        <w:t>with</w:t>
      </w:r>
      <w:r w:rsidRPr="003C0103">
        <w:rPr>
          <w:rFonts w:ascii="Arial" w:hAnsi="Arial" w:cs="Arial"/>
          <w:sz w:val="24"/>
          <w:szCs w:val="24"/>
        </w:rPr>
        <w:t xml:space="preserve"> Schedule 9, s 4(1)</w:t>
      </w:r>
    </w:p>
  </w:footnote>
  <w:footnote w:id="3">
    <w:p w:rsidR="00E526B7" w:rsidRPr="006A45F5" w:rsidRDefault="00E526B7" w:rsidP="006A45F5">
      <w:pPr>
        <w:pStyle w:val="FootnoteText"/>
        <w:jc w:val="both"/>
        <w:rPr>
          <w:rFonts w:ascii="Arial" w:hAnsi="Arial" w:cs="Arial"/>
          <w:sz w:val="24"/>
          <w:szCs w:val="24"/>
        </w:rPr>
      </w:pPr>
      <w:r w:rsidRPr="006A45F5">
        <w:rPr>
          <w:rStyle w:val="FootnoteReference"/>
          <w:rFonts w:ascii="Arial" w:hAnsi="Arial" w:cs="Arial"/>
          <w:sz w:val="24"/>
          <w:szCs w:val="24"/>
        </w:rPr>
        <w:footnoteRef/>
      </w:r>
      <w:r>
        <w:rPr>
          <w:rFonts w:ascii="Arial" w:hAnsi="Arial" w:cs="Arial"/>
          <w:sz w:val="24"/>
          <w:szCs w:val="24"/>
        </w:rPr>
        <w:t xml:space="preserve"> Directive 2006/54</w:t>
      </w:r>
    </w:p>
  </w:footnote>
  <w:footnote w:id="4">
    <w:p w:rsidR="00E526B7" w:rsidRPr="00611F8D" w:rsidRDefault="00E526B7" w:rsidP="005753ED">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Case C-273/97 Case C-273/97 </w:t>
      </w:r>
      <w:r w:rsidRPr="00611F8D">
        <w:rPr>
          <w:rFonts w:ascii="Arial" w:hAnsi="Arial" w:cs="Arial"/>
          <w:sz w:val="24"/>
          <w:szCs w:val="24"/>
          <w:u w:val="single"/>
        </w:rPr>
        <w:t>Sirdar v The Army Board &amp; The Secretary of State for Defence</w:t>
      </w:r>
      <w:r>
        <w:rPr>
          <w:rFonts w:ascii="Arial" w:hAnsi="Arial" w:cs="Arial"/>
          <w:sz w:val="24"/>
          <w:szCs w:val="24"/>
        </w:rPr>
        <w:t xml:space="preserve"> [1999] ECR I-7403 (ECJ) para 15, noted: P Koutrakos, ‘Community Law and Equal Treatment in the Armed Forces’ (2000) 25 ELR 433; and, J Langer, ‘Case Comment’ (2000) 37 CMLRev 1433</w:t>
      </w:r>
    </w:p>
  </w:footnote>
  <w:footnote w:id="5">
    <w:p w:rsidR="00E526B7" w:rsidRPr="00611F8D" w:rsidRDefault="00E526B7" w:rsidP="005753ED">
      <w:pPr>
        <w:pStyle w:val="FootnoteText"/>
        <w:jc w:val="both"/>
        <w:rPr>
          <w:rFonts w:ascii="Arial" w:hAnsi="Arial" w:cs="Arial"/>
          <w:sz w:val="24"/>
          <w:szCs w:val="24"/>
        </w:rPr>
      </w:pPr>
      <w:r w:rsidRPr="00611F8D">
        <w:rPr>
          <w:rStyle w:val="FootnoteReference"/>
          <w:rFonts w:ascii="Arial" w:hAnsi="Arial" w:cs="Arial"/>
          <w:sz w:val="24"/>
          <w:szCs w:val="24"/>
        </w:rPr>
        <w:footnoteRef/>
      </w:r>
      <w:r>
        <w:rPr>
          <w:rFonts w:ascii="Arial" w:hAnsi="Arial" w:cs="Arial"/>
          <w:sz w:val="24"/>
          <w:szCs w:val="24"/>
        </w:rPr>
        <w:t xml:space="preserve"> Ibid</w:t>
      </w:r>
      <w:r w:rsidRPr="00611F8D">
        <w:rPr>
          <w:rFonts w:ascii="Arial" w:hAnsi="Arial" w:cs="Arial"/>
          <w:sz w:val="24"/>
          <w:szCs w:val="24"/>
        </w:rPr>
        <w:t xml:space="preserve"> para 28</w:t>
      </w:r>
    </w:p>
  </w:footnote>
  <w:footnote w:id="6">
    <w:p w:rsidR="00E526B7" w:rsidRPr="00611F8D" w:rsidRDefault="00E526B7" w:rsidP="005753ED">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Ministry of Defence, ‘Women in the Armed Forces’, report by the Employment of Women in the Armed Forces Steering Group, May 2002, accessed at </w:t>
      </w:r>
      <w:hyperlink r:id="rId1" w:history="1">
        <w:r w:rsidRPr="00611F8D">
          <w:rPr>
            <w:rStyle w:val="Hyperlink"/>
            <w:rFonts w:ascii="Arial" w:hAnsi="Arial" w:cs="Arial"/>
            <w:sz w:val="24"/>
            <w:szCs w:val="24"/>
          </w:rPr>
          <w:t>http://www.mod.uk/NR/rdonlyres/A9925990-82C2-420F-AB04-7003768CEC02/0/womenaf_fullreport.pdf</w:t>
        </w:r>
      </w:hyperlink>
    </w:p>
  </w:footnote>
  <w:footnote w:id="7">
    <w:p w:rsidR="00E526B7" w:rsidRPr="00611F8D" w:rsidRDefault="00E526B7" w:rsidP="00F37D45">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Ministry of Defence, ‘Report on the Review of the Exclusion of Women from</w:t>
      </w:r>
      <w:r>
        <w:rPr>
          <w:rFonts w:ascii="Arial" w:hAnsi="Arial" w:cs="Arial"/>
          <w:sz w:val="24"/>
          <w:szCs w:val="24"/>
        </w:rPr>
        <w:t xml:space="preserve"> </w:t>
      </w:r>
      <w:r w:rsidRPr="00611F8D">
        <w:rPr>
          <w:rFonts w:ascii="Arial" w:hAnsi="Arial" w:cs="Arial"/>
          <w:sz w:val="24"/>
          <w:szCs w:val="24"/>
        </w:rPr>
        <w:t xml:space="preserve">Ground Close-Combat Roles’, November 2010, accessed at </w:t>
      </w:r>
      <w:hyperlink r:id="rId2" w:history="1">
        <w:r w:rsidRPr="00611F8D">
          <w:rPr>
            <w:rStyle w:val="Hyperlink"/>
            <w:rFonts w:ascii="Arial" w:hAnsi="Arial" w:cs="Arial"/>
            <w:sz w:val="24"/>
            <w:szCs w:val="24"/>
          </w:rPr>
          <w:t>http://www.mod.uk/NR/rdonlyres/B358460B-4B2A-4AB5-9A63-15B6196B5364/0/Report_review_excl_woman_combat.pdf</w:t>
        </w:r>
      </w:hyperlink>
      <w:r w:rsidRPr="00611F8D">
        <w:rPr>
          <w:rFonts w:ascii="Arial" w:hAnsi="Arial" w:cs="Arial"/>
          <w:sz w:val="24"/>
          <w:szCs w:val="24"/>
        </w:rPr>
        <w:t>, para 13</w:t>
      </w:r>
    </w:p>
  </w:footnote>
  <w:footnote w:id="8">
    <w:p w:rsidR="00E526B7" w:rsidRPr="00611F8D" w:rsidRDefault="00E526B7" w:rsidP="00D51FA0">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w:t>
      </w:r>
      <w:r>
        <w:rPr>
          <w:rFonts w:ascii="Arial" w:hAnsi="Arial" w:cs="Arial"/>
          <w:sz w:val="24"/>
          <w:szCs w:val="24"/>
        </w:rPr>
        <w:t xml:space="preserve">Council </w:t>
      </w:r>
      <w:r w:rsidRPr="00611F8D">
        <w:rPr>
          <w:rFonts w:ascii="Arial" w:hAnsi="Arial" w:cs="Arial"/>
          <w:sz w:val="24"/>
          <w:szCs w:val="24"/>
        </w:rPr>
        <w:t>Directive 76/207/EEC on the implementation of the principle of equal treatment for men and women as regards access to employment, vocational training and promotion, and working conditions, OJ</w:t>
      </w:r>
      <w:r>
        <w:rPr>
          <w:rFonts w:ascii="Arial" w:hAnsi="Arial" w:cs="Arial"/>
          <w:sz w:val="24"/>
          <w:szCs w:val="24"/>
        </w:rPr>
        <w:t xml:space="preserve"> 1976 L39/40</w:t>
      </w:r>
    </w:p>
  </w:footnote>
  <w:footnote w:id="9">
    <w:p w:rsidR="00E526B7" w:rsidRPr="00611F8D" w:rsidRDefault="00E526B7" w:rsidP="00F82650">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Case 152/84 </w:t>
      </w:r>
      <w:r w:rsidRPr="00611F8D">
        <w:rPr>
          <w:rFonts w:ascii="Arial" w:hAnsi="Arial" w:cs="Arial"/>
          <w:sz w:val="24"/>
          <w:szCs w:val="24"/>
          <w:u w:val="single"/>
        </w:rPr>
        <w:t>Marshall v Southampton and South-West Hampshire AHA</w:t>
      </w:r>
      <w:r w:rsidRPr="00611F8D">
        <w:rPr>
          <w:rFonts w:ascii="Arial" w:hAnsi="Arial" w:cs="Arial"/>
          <w:sz w:val="24"/>
          <w:szCs w:val="24"/>
        </w:rPr>
        <w:t xml:space="preserve"> [1986] ECR 723 (ECJ)</w:t>
      </w:r>
    </w:p>
  </w:footnote>
  <w:footnote w:id="10">
    <w:p w:rsidR="00E526B7" w:rsidRPr="009D5FB6" w:rsidRDefault="00E526B7" w:rsidP="00490D49">
      <w:pPr>
        <w:pStyle w:val="FootnoteText"/>
        <w:jc w:val="both"/>
        <w:rPr>
          <w:rFonts w:ascii="Arial" w:hAnsi="Arial" w:cs="Arial"/>
          <w:sz w:val="24"/>
          <w:szCs w:val="24"/>
        </w:rPr>
      </w:pPr>
      <w:r w:rsidRPr="009D5FB6">
        <w:rPr>
          <w:rStyle w:val="FootnoteReference"/>
          <w:rFonts w:ascii="Arial" w:hAnsi="Arial" w:cs="Arial"/>
          <w:sz w:val="24"/>
          <w:szCs w:val="24"/>
        </w:rPr>
        <w:footnoteRef/>
      </w:r>
      <w:r w:rsidRPr="009D5FB6">
        <w:rPr>
          <w:rFonts w:ascii="Arial" w:hAnsi="Arial" w:cs="Arial"/>
          <w:sz w:val="24"/>
          <w:szCs w:val="24"/>
        </w:rPr>
        <w:t xml:space="preserve"> Case 222/84 </w:t>
      </w:r>
      <w:r w:rsidRPr="009D5FB6">
        <w:rPr>
          <w:rFonts w:ascii="Arial" w:hAnsi="Arial" w:cs="Arial"/>
          <w:sz w:val="24"/>
          <w:szCs w:val="24"/>
          <w:u w:val="single"/>
        </w:rPr>
        <w:t>Johnston v Chief Constable of the Royal Ulster Constabulary</w:t>
      </w:r>
      <w:r w:rsidRPr="009D5FB6">
        <w:rPr>
          <w:rFonts w:ascii="Arial" w:hAnsi="Arial" w:cs="Arial"/>
          <w:sz w:val="24"/>
          <w:szCs w:val="24"/>
        </w:rPr>
        <w:t xml:space="preserve"> [1986] ECR 1651 (ECJ) para 55</w:t>
      </w:r>
    </w:p>
  </w:footnote>
  <w:footnote w:id="11">
    <w:p w:rsidR="00E526B7" w:rsidRPr="00611F8D" w:rsidRDefault="00E526B7" w:rsidP="00F82650">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Case C-179/88 </w:t>
      </w:r>
      <w:proofErr w:type="spellStart"/>
      <w:r w:rsidRPr="00611F8D">
        <w:rPr>
          <w:rFonts w:ascii="Arial" w:hAnsi="Arial" w:cs="Arial"/>
          <w:sz w:val="24"/>
          <w:szCs w:val="24"/>
          <w:u w:val="single"/>
        </w:rPr>
        <w:t>Handels-og</w:t>
      </w:r>
      <w:proofErr w:type="spellEnd"/>
      <w:r w:rsidRPr="00611F8D">
        <w:rPr>
          <w:rFonts w:ascii="Arial" w:hAnsi="Arial" w:cs="Arial"/>
          <w:sz w:val="24"/>
          <w:szCs w:val="24"/>
          <w:u w:val="single"/>
        </w:rPr>
        <w:t xml:space="preserve"> </w:t>
      </w:r>
      <w:proofErr w:type="spellStart"/>
      <w:r w:rsidRPr="00611F8D">
        <w:rPr>
          <w:rFonts w:ascii="Arial" w:hAnsi="Arial" w:cs="Arial"/>
          <w:sz w:val="24"/>
          <w:szCs w:val="24"/>
          <w:u w:val="single"/>
        </w:rPr>
        <w:t>Kontorfunktionoerernes</w:t>
      </w:r>
      <w:proofErr w:type="spellEnd"/>
      <w:r w:rsidRPr="00611F8D">
        <w:rPr>
          <w:rFonts w:ascii="Arial" w:hAnsi="Arial" w:cs="Arial"/>
          <w:sz w:val="24"/>
          <w:szCs w:val="24"/>
          <w:u w:val="single"/>
        </w:rPr>
        <w:t xml:space="preserve"> </w:t>
      </w:r>
      <w:proofErr w:type="spellStart"/>
      <w:r w:rsidRPr="00611F8D">
        <w:rPr>
          <w:rFonts w:ascii="Arial" w:hAnsi="Arial" w:cs="Arial"/>
          <w:sz w:val="24"/>
          <w:szCs w:val="24"/>
          <w:u w:val="single"/>
        </w:rPr>
        <w:t>Forbund</w:t>
      </w:r>
      <w:proofErr w:type="spellEnd"/>
      <w:r w:rsidRPr="00611F8D">
        <w:rPr>
          <w:rFonts w:ascii="Arial" w:hAnsi="Arial" w:cs="Arial"/>
          <w:sz w:val="24"/>
          <w:szCs w:val="24"/>
        </w:rPr>
        <w:t xml:space="preserve"> [1990] ECR I-3979 (ECJ) para 13</w:t>
      </w:r>
    </w:p>
  </w:footnote>
  <w:footnote w:id="12">
    <w:p w:rsidR="00E526B7" w:rsidRPr="00611F8D" w:rsidRDefault="00E526B7" w:rsidP="00F82650">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Case C-271/91 </w:t>
      </w:r>
      <w:r w:rsidRPr="00611F8D">
        <w:rPr>
          <w:rFonts w:ascii="Arial" w:hAnsi="Arial" w:cs="Arial"/>
          <w:sz w:val="24"/>
          <w:szCs w:val="24"/>
          <w:u w:val="single"/>
        </w:rPr>
        <w:t>Marshall v Southampton and South-West Hampshire AHA</w:t>
      </w:r>
      <w:r w:rsidRPr="00611F8D">
        <w:rPr>
          <w:rFonts w:ascii="Arial" w:hAnsi="Arial" w:cs="Arial"/>
          <w:sz w:val="24"/>
          <w:szCs w:val="24"/>
        </w:rPr>
        <w:t xml:space="preserve"> [1993] ECR I-4367 (ECJ) para 24</w:t>
      </w:r>
    </w:p>
  </w:footnote>
  <w:footnote w:id="13">
    <w:p w:rsidR="00E526B7" w:rsidRPr="00611F8D" w:rsidRDefault="00E526B7" w:rsidP="00F82650">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Case C-208/90 </w:t>
      </w:r>
      <w:r w:rsidRPr="00611F8D">
        <w:rPr>
          <w:rFonts w:ascii="Arial" w:hAnsi="Arial" w:cs="Arial"/>
          <w:sz w:val="24"/>
          <w:szCs w:val="24"/>
          <w:u w:val="single"/>
        </w:rPr>
        <w:t>Emmott</w:t>
      </w:r>
      <w:r w:rsidRPr="00611F8D">
        <w:rPr>
          <w:rFonts w:ascii="Arial" w:hAnsi="Arial" w:cs="Arial"/>
          <w:sz w:val="24"/>
          <w:szCs w:val="24"/>
        </w:rPr>
        <w:t xml:space="preserve"> [1991] ECR I-4269 (ECJ)</w:t>
      </w:r>
    </w:p>
  </w:footnote>
  <w:footnote w:id="14">
    <w:p w:rsidR="00E526B7" w:rsidRPr="00611F8D" w:rsidRDefault="00E526B7" w:rsidP="006E1BFA">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w:t>
      </w:r>
      <w:r w:rsidRPr="00611F8D">
        <w:rPr>
          <w:rFonts w:ascii="Arial" w:hAnsi="Arial" w:cs="Arial"/>
          <w:sz w:val="24"/>
          <w:szCs w:val="24"/>
          <w:u w:val="single"/>
        </w:rPr>
        <w:t xml:space="preserve">R v Secretary of State for Defence, </w:t>
      </w:r>
      <w:r w:rsidRPr="00611F8D">
        <w:rPr>
          <w:rFonts w:ascii="Arial" w:hAnsi="Arial" w:cs="Arial"/>
          <w:i/>
          <w:sz w:val="24"/>
          <w:szCs w:val="24"/>
          <w:u w:val="single"/>
        </w:rPr>
        <w:t>ex parte</w:t>
      </w:r>
      <w:r w:rsidRPr="00611F8D">
        <w:rPr>
          <w:rFonts w:ascii="Arial" w:hAnsi="Arial" w:cs="Arial"/>
          <w:sz w:val="24"/>
          <w:szCs w:val="24"/>
          <w:u w:val="single"/>
        </w:rPr>
        <w:t xml:space="preserve"> </w:t>
      </w:r>
      <w:proofErr w:type="spellStart"/>
      <w:r w:rsidRPr="00611F8D">
        <w:rPr>
          <w:rFonts w:ascii="Arial" w:hAnsi="Arial" w:cs="Arial"/>
          <w:sz w:val="24"/>
          <w:szCs w:val="24"/>
          <w:u w:val="single"/>
        </w:rPr>
        <w:t>Leale</w:t>
      </w:r>
      <w:proofErr w:type="spellEnd"/>
      <w:r w:rsidRPr="00611F8D">
        <w:rPr>
          <w:rFonts w:ascii="Arial" w:hAnsi="Arial" w:cs="Arial"/>
          <w:sz w:val="24"/>
          <w:szCs w:val="24"/>
          <w:u w:val="single"/>
        </w:rPr>
        <w:t>, Lane and EOC</w:t>
      </w:r>
      <w:r w:rsidRPr="00611F8D">
        <w:rPr>
          <w:rFonts w:ascii="Arial" w:hAnsi="Arial" w:cs="Arial"/>
          <w:sz w:val="24"/>
          <w:szCs w:val="24"/>
        </w:rPr>
        <w:t>, unreported (HC)</w:t>
      </w:r>
    </w:p>
  </w:footnote>
  <w:footnote w:id="15">
    <w:p w:rsidR="00E526B7" w:rsidRPr="00611F8D" w:rsidRDefault="00E526B7" w:rsidP="006E1BFA">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w:t>
      </w:r>
      <w:r w:rsidRPr="00611F8D">
        <w:rPr>
          <w:rFonts w:ascii="Arial" w:hAnsi="Arial" w:cs="Arial"/>
          <w:sz w:val="24"/>
          <w:szCs w:val="24"/>
          <w:u w:val="single"/>
        </w:rPr>
        <w:t>Ministry of Defence v Cannock and others</w:t>
      </w:r>
      <w:r w:rsidRPr="00611F8D">
        <w:rPr>
          <w:rFonts w:ascii="Arial" w:hAnsi="Arial" w:cs="Arial"/>
          <w:sz w:val="24"/>
          <w:szCs w:val="24"/>
        </w:rPr>
        <w:t xml:space="preserve"> [1994] IRLR 509 (EAT)</w:t>
      </w:r>
    </w:p>
  </w:footnote>
  <w:footnote w:id="16">
    <w:p w:rsidR="00E526B7" w:rsidRPr="00611F8D" w:rsidRDefault="00E526B7" w:rsidP="00EC1EBC">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SI 1994/3276, </w:t>
      </w:r>
      <w:proofErr w:type="gramStart"/>
      <w:r w:rsidRPr="00611F8D">
        <w:rPr>
          <w:rFonts w:ascii="Arial" w:hAnsi="Arial" w:cs="Arial"/>
          <w:sz w:val="24"/>
          <w:szCs w:val="24"/>
        </w:rPr>
        <w:t>The</w:t>
      </w:r>
      <w:proofErr w:type="gramEnd"/>
      <w:r w:rsidRPr="00611F8D">
        <w:rPr>
          <w:rFonts w:ascii="Arial" w:hAnsi="Arial" w:cs="Arial"/>
          <w:sz w:val="24"/>
          <w:szCs w:val="24"/>
        </w:rPr>
        <w:t xml:space="preserve"> Sex Discrimination Act 1975 (Application to Armed Forces etc.) Regulations 1994</w:t>
      </w:r>
    </w:p>
  </w:footnote>
  <w:footnote w:id="17">
    <w:p w:rsidR="00E526B7" w:rsidRPr="00380954" w:rsidRDefault="00E526B7" w:rsidP="00490D49">
      <w:pPr>
        <w:pStyle w:val="FootnoteText"/>
        <w:jc w:val="both"/>
        <w:rPr>
          <w:rFonts w:ascii="Arial" w:hAnsi="Arial" w:cs="Arial"/>
          <w:sz w:val="24"/>
          <w:szCs w:val="24"/>
        </w:rPr>
      </w:pPr>
      <w:r w:rsidRPr="00380954">
        <w:rPr>
          <w:rStyle w:val="FootnoteReference"/>
          <w:rFonts w:ascii="Arial" w:hAnsi="Arial" w:cs="Arial"/>
          <w:sz w:val="24"/>
          <w:szCs w:val="24"/>
        </w:rPr>
        <w:footnoteRef/>
      </w:r>
      <w:r w:rsidRPr="00380954">
        <w:rPr>
          <w:rFonts w:ascii="Arial" w:hAnsi="Arial" w:cs="Arial"/>
          <w:sz w:val="24"/>
          <w:szCs w:val="24"/>
        </w:rPr>
        <w:t xml:space="preserve"> Op. Cit. n.10</w:t>
      </w:r>
      <w:r>
        <w:rPr>
          <w:rFonts w:ascii="Arial" w:hAnsi="Arial" w:cs="Arial"/>
          <w:sz w:val="24"/>
          <w:szCs w:val="24"/>
        </w:rPr>
        <w:t xml:space="preserve"> paras 36 and 44</w:t>
      </w:r>
    </w:p>
  </w:footnote>
  <w:footnote w:id="18">
    <w:p w:rsidR="00E526B7" w:rsidRPr="00E6576C" w:rsidRDefault="00E526B7">
      <w:pPr>
        <w:pStyle w:val="FootnoteText"/>
        <w:rPr>
          <w:rFonts w:ascii="Arial" w:hAnsi="Arial" w:cs="Arial"/>
          <w:sz w:val="24"/>
          <w:szCs w:val="24"/>
        </w:rPr>
      </w:pPr>
      <w:r w:rsidRPr="00E6576C">
        <w:rPr>
          <w:rStyle w:val="FootnoteReference"/>
          <w:rFonts w:ascii="Arial" w:hAnsi="Arial" w:cs="Arial"/>
          <w:sz w:val="24"/>
          <w:szCs w:val="24"/>
        </w:rPr>
        <w:footnoteRef/>
      </w:r>
      <w:r w:rsidRPr="00E6576C">
        <w:rPr>
          <w:rFonts w:ascii="Arial" w:hAnsi="Arial" w:cs="Arial"/>
          <w:sz w:val="24"/>
          <w:szCs w:val="24"/>
        </w:rPr>
        <w:t xml:space="preserve"> Ibid. para 38</w:t>
      </w:r>
    </w:p>
  </w:footnote>
  <w:footnote w:id="19">
    <w:p w:rsidR="00E526B7" w:rsidRPr="00633EC3" w:rsidRDefault="00E526B7" w:rsidP="00633EC3">
      <w:pPr>
        <w:pStyle w:val="FootnoteText"/>
        <w:jc w:val="both"/>
        <w:rPr>
          <w:rFonts w:ascii="Arial" w:hAnsi="Arial" w:cs="Arial"/>
          <w:sz w:val="24"/>
          <w:szCs w:val="24"/>
        </w:rPr>
      </w:pPr>
      <w:r w:rsidRPr="00633EC3">
        <w:rPr>
          <w:rStyle w:val="FootnoteReference"/>
          <w:rFonts w:ascii="Arial" w:hAnsi="Arial" w:cs="Arial"/>
          <w:sz w:val="24"/>
          <w:szCs w:val="24"/>
        </w:rPr>
        <w:footnoteRef/>
      </w:r>
      <w:r w:rsidRPr="00633EC3">
        <w:rPr>
          <w:rFonts w:ascii="Arial" w:hAnsi="Arial" w:cs="Arial"/>
          <w:sz w:val="24"/>
          <w:szCs w:val="24"/>
        </w:rPr>
        <w:t xml:space="preserve"> Ibid. para 44</w:t>
      </w:r>
    </w:p>
  </w:footnote>
  <w:footnote w:id="20">
    <w:p w:rsidR="00E526B7" w:rsidRPr="00611F8D" w:rsidRDefault="00E526B7" w:rsidP="00E6576C">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w:t>
      </w:r>
      <w:r>
        <w:rPr>
          <w:rFonts w:ascii="Arial" w:hAnsi="Arial" w:cs="Arial"/>
          <w:sz w:val="24"/>
          <w:szCs w:val="24"/>
        </w:rPr>
        <w:t>Op. Cit. n.4</w:t>
      </w:r>
    </w:p>
  </w:footnote>
  <w:footnote w:id="21">
    <w:p w:rsidR="00E526B7" w:rsidRPr="00490D49" w:rsidRDefault="00E526B7" w:rsidP="00490D49">
      <w:pPr>
        <w:pStyle w:val="FootnoteText"/>
        <w:jc w:val="both"/>
        <w:rPr>
          <w:rFonts w:ascii="Arial" w:hAnsi="Arial" w:cs="Arial"/>
          <w:sz w:val="24"/>
          <w:szCs w:val="24"/>
        </w:rPr>
      </w:pPr>
      <w:r w:rsidRPr="00490D49">
        <w:rPr>
          <w:rStyle w:val="FootnoteReference"/>
          <w:rFonts w:ascii="Arial" w:hAnsi="Arial" w:cs="Arial"/>
          <w:sz w:val="24"/>
          <w:szCs w:val="24"/>
        </w:rPr>
        <w:footnoteRef/>
      </w:r>
      <w:r w:rsidRPr="00490D49">
        <w:rPr>
          <w:rFonts w:ascii="Arial" w:hAnsi="Arial" w:cs="Arial"/>
          <w:sz w:val="24"/>
          <w:szCs w:val="24"/>
        </w:rPr>
        <w:t xml:space="preserve"> Ibid. para 15</w:t>
      </w:r>
    </w:p>
  </w:footnote>
  <w:footnote w:id="22">
    <w:p w:rsidR="00E526B7" w:rsidRDefault="00E526B7" w:rsidP="00490D49">
      <w:pPr>
        <w:pStyle w:val="FootnoteText"/>
        <w:jc w:val="both"/>
      </w:pPr>
      <w:r w:rsidRPr="00490D49">
        <w:rPr>
          <w:rStyle w:val="FootnoteReference"/>
          <w:rFonts w:ascii="Arial" w:hAnsi="Arial" w:cs="Arial"/>
          <w:sz w:val="24"/>
          <w:szCs w:val="24"/>
        </w:rPr>
        <w:footnoteRef/>
      </w:r>
      <w:r w:rsidRPr="00490D49">
        <w:rPr>
          <w:rFonts w:ascii="Arial" w:hAnsi="Arial" w:cs="Arial"/>
          <w:sz w:val="24"/>
          <w:szCs w:val="24"/>
        </w:rPr>
        <w:t xml:space="preserve"> </w:t>
      </w:r>
      <w:proofErr w:type="gramStart"/>
      <w:r w:rsidRPr="00490D49">
        <w:rPr>
          <w:rFonts w:ascii="Arial" w:hAnsi="Arial" w:cs="Arial"/>
          <w:sz w:val="24"/>
          <w:szCs w:val="24"/>
        </w:rPr>
        <w:t>Ibid. para 19.</w:t>
      </w:r>
      <w:proofErr w:type="gramEnd"/>
      <w:r w:rsidRPr="00490D49">
        <w:rPr>
          <w:rFonts w:ascii="Arial" w:hAnsi="Arial" w:cs="Arial"/>
          <w:sz w:val="24"/>
          <w:szCs w:val="24"/>
        </w:rPr>
        <w:t xml:space="preserve"> Article 347TFEU requires Member states to consult with one another to maintain the internal market in times of extreme emergency constituting serious internal disturbances affecting the maintenance of law and order, war, the threat of war or the conduct of peace and international security operations</w:t>
      </w:r>
    </w:p>
  </w:footnote>
  <w:footnote w:id="23">
    <w:p w:rsidR="00E526B7" w:rsidRPr="0015577C" w:rsidRDefault="00E526B7" w:rsidP="0015577C">
      <w:pPr>
        <w:pStyle w:val="FootnoteText"/>
        <w:jc w:val="both"/>
        <w:rPr>
          <w:rFonts w:ascii="Arial" w:hAnsi="Arial" w:cs="Arial"/>
          <w:sz w:val="24"/>
          <w:szCs w:val="24"/>
        </w:rPr>
      </w:pPr>
      <w:r w:rsidRPr="0015577C">
        <w:rPr>
          <w:rStyle w:val="FootnoteReference"/>
          <w:rFonts w:ascii="Arial" w:hAnsi="Arial" w:cs="Arial"/>
          <w:sz w:val="24"/>
          <w:szCs w:val="24"/>
        </w:rPr>
        <w:footnoteRef/>
      </w:r>
      <w:r w:rsidRPr="0015577C">
        <w:rPr>
          <w:rFonts w:ascii="Arial" w:hAnsi="Arial" w:cs="Arial"/>
          <w:sz w:val="24"/>
          <w:szCs w:val="24"/>
        </w:rPr>
        <w:t xml:space="preserve"> Ibid. para 27</w:t>
      </w:r>
    </w:p>
  </w:footnote>
  <w:footnote w:id="24">
    <w:p w:rsidR="00E526B7" w:rsidRPr="00611F8D" w:rsidRDefault="00E526B7" w:rsidP="00EC1EBC">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Ibid. para 28</w:t>
      </w:r>
    </w:p>
  </w:footnote>
  <w:footnote w:id="25">
    <w:p w:rsidR="00E526B7" w:rsidRPr="00581489" w:rsidRDefault="00E526B7" w:rsidP="00581489">
      <w:pPr>
        <w:pStyle w:val="FootnoteText"/>
        <w:jc w:val="both"/>
        <w:rPr>
          <w:rFonts w:ascii="Arial" w:hAnsi="Arial" w:cs="Arial"/>
          <w:sz w:val="24"/>
          <w:szCs w:val="24"/>
        </w:rPr>
      </w:pPr>
      <w:r w:rsidRPr="00581489">
        <w:rPr>
          <w:rStyle w:val="FootnoteReference"/>
          <w:rFonts w:ascii="Arial" w:hAnsi="Arial" w:cs="Arial"/>
          <w:sz w:val="24"/>
          <w:szCs w:val="24"/>
        </w:rPr>
        <w:footnoteRef/>
      </w:r>
      <w:r w:rsidRPr="00581489">
        <w:rPr>
          <w:rFonts w:ascii="Arial" w:hAnsi="Arial" w:cs="Arial"/>
          <w:sz w:val="24"/>
          <w:szCs w:val="24"/>
        </w:rPr>
        <w:t xml:space="preserve"> Ibid. paras 30-31</w:t>
      </w:r>
    </w:p>
  </w:footnote>
  <w:footnote w:id="26">
    <w:p w:rsidR="00E526B7" w:rsidRPr="00611F8D" w:rsidRDefault="00E526B7" w:rsidP="00E0436E">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Case C-285/98 </w:t>
      </w:r>
      <w:r w:rsidRPr="00611F8D">
        <w:rPr>
          <w:rFonts w:ascii="Arial" w:hAnsi="Arial" w:cs="Arial"/>
          <w:sz w:val="24"/>
          <w:szCs w:val="24"/>
          <w:u w:val="single"/>
        </w:rPr>
        <w:t>Kreil v Bundersrepublik Deutschland</w:t>
      </w:r>
      <w:r w:rsidRPr="00611F8D">
        <w:rPr>
          <w:rFonts w:ascii="Arial" w:hAnsi="Arial" w:cs="Arial"/>
          <w:sz w:val="24"/>
          <w:szCs w:val="24"/>
        </w:rPr>
        <w:t xml:space="preserve"> [2000] ECR I-69 (ECJ)</w:t>
      </w:r>
    </w:p>
  </w:footnote>
  <w:footnote w:id="27">
    <w:p w:rsidR="00E526B7" w:rsidRPr="00E0436E" w:rsidRDefault="00E526B7" w:rsidP="00E0436E">
      <w:pPr>
        <w:pStyle w:val="FootnoteText"/>
        <w:jc w:val="both"/>
        <w:rPr>
          <w:rFonts w:ascii="Arial" w:hAnsi="Arial" w:cs="Arial"/>
          <w:sz w:val="24"/>
          <w:szCs w:val="24"/>
        </w:rPr>
      </w:pPr>
      <w:r w:rsidRPr="00E0436E">
        <w:rPr>
          <w:rStyle w:val="FootnoteReference"/>
          <w:rFonts w:ascii="Arial" w:hAnsi="Arial" w:cs="Arial"/>
          <w:sz w:val="24"/>
          <w:szCs w:val="24"/>
        </w:rPr>
        <w:footnoteRef/>
      </w:r>
      <w:r w:rsidRPr="00E0436E">
        <w:rPr>
          <w:rFonts w:ascii="Arial" w:hAnsi="Arial" w:cs="Arial"/>
          <w:sz w:val="24"/>
          <w:szCs w:val="24"/>
        </w:rPr>
        <w:t xml:space="preserve"> Ibid. paras 26-29</w:t>
      </w:r>
    </w:p>
  </w:footnote>
  <w:footnote w:id="28">
    <w:p w:rsidR="00E526B7" w:rsidRPr="00C34E07" w:rsidRDefault="00E526B7" w:rsidP="00C34E07">
      <w:pPr>
        <w:pStyle w:val="FootnoteText"/>
        <w:jc w:val="both"/>
        <w:rPr>
          <w:rFonts w:ascii="Arial" w:hAnsi="Arial" w:cs="Arial"/>
          <w:sz w:val="24"/>
          <w:szCs w:val="24"/>
        </w:rPr>
      </w:pPr>
      <w:r w:rsidRPr="00C34E07">
        <w:rPr>
          <w:rStyle w:val="FootnoteReference"/>
          <w:rFonts w:ascii="Arial" w:hAnsi="Arial" w:cs="Arial"/>
          <w:sz w:val="24"/>
          <w:szCs w:val="24"/>
        </w:rPr>
        <w:footnoteRef/>
      </w:r>
      <w:r w:rsidRPr="00C34E07">
        <w:rPr>
          <w:rFonts w:ascii="Arial" w:hAnsi="Arial" w:cs="Arial"/>
          <w:sz w:val="24"/>
          <w:szCs w:val="24"/>
        </w:rPr>
        <w:t xml:space="preserve"> Ibid. para 14</w:t>
      </w:r>
    </w:p>
  </w:footnote>
  <w:footnote w:id="29">
    <w:p w:rsidR="00E526B7" w:rsidRPr="00C34E07" w:rsidRDefault="00E526B7" w:rsidP="00C34E07">
      <w:pPr>
        <w:pStyle w:val="FootnoteText"/>
        <w:jc w:val="both"/>
        <w:rPr>
          <w:rFonts w:ascii="Arial" w:hAnsi="Arial" w:cs="Arial"/>
          <w:sz w:val="24"/>
          <w:szCs w:val="24"/>
        </w:rPr>
      </w:pPr>
      <w:r w:rsidRPr="00C34E07">
        <w:rPr>
          <w:rStyle w:val="FootnoteReference"/>
          <w:rFonts w:ascii="Arial" w:hAnsi="Arial" w:cs="Arial"/>
          <w:sz w:val="24"/>
          <w:szCs w:val="24"/>
        </w:rPr>
        <w:footnoteRef/>
      </w:r>
      <w:r w:rsidRPr="00C34E07">
        <w:rPr>
          <w:rFonts w:ascii="Arial" w:hAnsi="Arial" w:cs="Arial"/>
          <w:sz w:val="24"/>
          <w:szCs w:val="24"/>
        </w:rPr>
        <w:t xml:space="preserve"> Ibid. para 30</w:t>
      </w:r>
    </w:p>
  </w:footnote>
  <w:footnote w:id="30">
    <w:p w:rsidR="00E526B7" w:rsidRPr="007D1247" w:rsidRDefault="00E526B7" w:rsidP="007D1247">
      <w:pPr>
        <w:pStyle w:val="FootnoteText"/>
        <w:jc w:val="both"/>
        <w:rPr>
          <w:rFonts w:ascii="Arial" w:hAnsi="Arial" w:cs="Arial"/>
          <w:sz w:val="24"/>
          <w:szCs w:val="24"/>
        </w:rPr>
      </w:pPr>
      <w:r w:rsidRPr="007D1247">
        <w:rPr>
          <w:rStyle w:val="FootnoteReference"/>
          <w:rFonts w:ascii="Arial" w:hAnsi="Arial" w:cs="Arial"/>
          <w:sz w:val="24"/>
          <w:szCs w:val="24"/>
        </w:rPr>
        <w:footnoteRef/>
      </w:r>
      <w:r w:rsidRPr="007D1247">
        <w:rPr>
          <w:rFonts w:ascii="Arial" w:hAnsi="Arial" w:cs="Arial"/>
          <w:sz w:val="24"/>
          <w:szCs w:val="24"/>
        </w:rPr>
        <w:t xml:space="preserve"> Ibid. para 29</w:t>
      </w:r>
    </w:p>
  </w:footnote>
  <w:footnote w:id="31">
    <w:p w:rsidR="00E526B7" w:rsidRDefault="00E526B7" w:rsidP="007D1247">
      <w:pPr>
        <w:pStyle w:val="FootnoteText"/>
        <w:jc w:val="both"/>
      </w:pPr>
      <w:r w:rsidRPr="007D1247">
        <w:rPr>
          <w:rStyle w:val="FootnoteReference"/>
          <w:rFonts w:ascii="Arial" w:hAnsi="Arial" w:cs="Arial"/>
          <w:sz w:val="24"/>
          <w:szCs w:val="24"/>
        </w:rPr>
        <w:footnoteRef/>
      </w:r>
      <w:r w:rsidRPr="007D1247">
        <w:rPr>
          <w:rFonts w:ascii="Arial" w:hAnsi="Arial" w:cs="Arial"/>
          <w:sz w:val="24"/>
          <w:szCs w:val="24"/>
        </w:rPr>
        <w:t xml:space="preserve"> Ibid. para 31</w:t>
      </w:r>
    </w:p>
  </w:footnote>
  <w:footnote w:id="32">
    <w:p w:rsidR="00E526B7" w:rsidRPr="0084518B" w:rsidRDefault="00E526B7" w:rsidP="0084518B">
      <w:pPr>
        <w:pStyle w:val="FootnoteText"/>
        <w:jc w:val="both"/>
        <w:rPr>
          <w:rFonts w:ascii="Arial" w:hAnsi="Arial" w:cs="Arial"/>
          <w:sz w:val="24"/>
          <w:szCs w:val="24"/>
        </w:rPr>
      </w:pPr>
      <w:r w:rsidRPr="0084518B">
        <w:rPr>
          <w:rStyle w:val="FootnoteReference"/>
          <w:rFonts w:ascii="Arial" w:hAnsi="Arial" w:cs="Arial"/>
          <w:sz w:val="24"/>
          <w:szCs w:val="24"/>
        </w:rPr>
        <w:footnoteRef/>
      </w:r>
      <w:r w:rsidRPr="0084518B">
        <w:rPr>
          <w:rFonts w:ascii="Arial" w:hAnsi="Arial" w:cs="Arial"/>
          <w:sz w:val="24"/>
          <w:szCs w:val="24"/>
        </w:rPr>
        <w:t xml:space="preserve"> Case C-186/01 </w:t>
      </w:r>
      <w:r w:rsidRPr="0084518B">
        <w:rPr>
          <w:rFonts w:ascii="Arial" w:hAnsi="Arial" w:cs="Arial"/>
          <w:sz w:val="24"/>
          <w:szCs w:val="24"/>
          <w:u w:val="single"/>
        </w:rPr>
        <w:t>Dory v Germany</w:t>
      </w:r>
      <w:r w:rsidRPr="0084518B">
        <w:rPr>
          <w:rFonts w:ascii="Arial" w:hAnsi="Arial" w:cs="Arial"/>
          <w:sz w:val="24"/>
          <w:szCs w:val="24"/>
        </w:rPr>
        <w:t xml:space="preserve"> [2003] ECR I-2479</w:t>
      </w:r>
      <w:r>
        <w:rPr>
          <w:rFonts w:ascii="Arial" w:hAnsi="Arial" w:cs="Arial"/>
          <w:sz w:val="24"/>
          <w:szCs w:val="24"/>
        </w:rPr>
        <w:t xml:space="preserve"> (ECJ), noted: G Anagnostaras, ‘Sex Equality and Compulsory Military Service: The Limits of National Sovereignty </w:t>
      </w:r>
      <w:proofErr w:type="gramStart"/>
      <w:r>
        <w:rPr>
          <w:rFonts w:ascii="Arial" w:hAnsi="Arial" w:cs="Arial"/>
          <w:sz w:val="24"/>
          <w:szCs w:val="24"/>
        </w:rPr>
        <w:t>Over</w:t>
      </w:r>
      <w:proofErr w:type="gramEnd"/>
      <w:r>
        <w:rPr>
          <w:rFonts w:ascii="Arial" w:hAnsi="Arial" w:cs="Arial"/>
          <w:sz w:val="24"/>
          <w:szCs w:val="24"/>
        </w:rPr>
        <w:t xml:space="preserve"> Matters of Army Organisation’ (2003) 28 ELR 713; P Koutrakos, ‘How Far is Far Enough? EC Law and the Organisation of the Armed Forces after Dory’ (2003) 66 MLR 759; M Trybus, ‘Case Comment’ (2003) 40 CMLRev 1269; and, B Rudolf, ‘Case Comment’ (2005) 3 </w:t>
      </w:r>
      <w:proofErr w:type="spellStart"/>
      <w:r>
        <w:rPr>
          <w:rFonts w:ascii="Arial" w:hAnsi="Arial" w:cs="Arial"/>
          <w:sz w:val="24"/>
          <w:szCs w:val="24"/>
        </w:rPr>
        <w:t>iCon</w:t>
      </w:r>
      <w:proofErr w:type="spellEnd"/>
      <w:r>
        <w:rPr>
          <w:rFonts w:ascii="Arial" w:hAnsi="Arial" w:cs="Arial"/>
          <w:sz w:val="24"/>
          <w:szCs w:val="24"/>
        </w:rPr>
        <w:t xml:space="preserve"> 673</w:t>
      </w:r>
    </w:p>
  </w:footnote>
  <w:footnote w:id="33">
    <w:p w:rsidR="00E526B7" w:rsidRDefault="00E526B7" w:rsidP="0084518B">
      <w:pPr>
        <w:pStyle w:val="FootnoteText"/>
        <w:jc w:val="both"/>
      </w:pPr>
      <w:r w:rsidRPr="0084518B">
        <w:rPr>
          <w:rStyle w:val="FootnoteReference"/>
          <w:rFonts w:ascii="Arial" w:hAnsi="Arial" w:cs="Arial"/>
          <w:sz w:val="24"/>
          <w:szCs w:val="24"/>
        </w:rPr>
        <w:footnoteRef/>
      </w:r>
      <w:r w:rsidRPr="0084518B">
        <w:rPr>
          <w:rFonts w:ascii="Arial" w:hAnsi="Arial" w:cs="Arial"/>
          <w:sz w:val="24"/>
          <w:szCs w:val="24"/>
        </w:rPr>
        <w:t xml:space="preserve"> Ibid. para 39</w:t>
      </w:r>
    </w:p>
  </w:footnote>
  <w:footnote w:id="34">
    <w:p w:rsidR="00E526B7" w:rsidRPr="00611F8D" w:rsidRDefault="00E526B7" w:rsidP="001D3E47">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M Trybus, ‘Sisters in Arms: European Community Law and Sex Equality in the Armed Forces’ (2003) 9 ELJ 631</w:t>
      </w:r>
      <w:r>
        <w:rPr>
          <w:rFonts w:ascii="Arial" w:hAnsi="Arial" w:cs="Arial"/>
          <w:sz w:val="24"/>
          <w:szCs w:val="24"/>
        </w:rPr>
        <w:t xml:space="preserve"> at 647</w:t>
      </w:r>
    </w:p>
  </w:footnote>
  <w:footnote w:id="35">
    <w:p w:rsidR="00E526B7" w:rsidRPr="00D30604" w:rsidRDefault="00E526B7" w:rsidP="00D30604">
      <w:pPr>
        <w:pStyle w:val="FootnoteText"/>
        <w:jc w:val="both"/>
        <w:rPr>
          <w:rFonts w:ascii="Arial" w:hAnsi="Arial" w:cs="Arial"/>
          <w:sz w:val="24"/>
          <w:szCs w:val="24"/>
        </w:rPr>
      </w:pPr>
      <w:r w:rsidRPr="00D30604">
        <w:rPr>
          <w:rStyle w:val="FootnoteReference"/>
          <w:rFonts w:ascii="Arial" w:hAnsi="Arial" w:cs="Arial"/>
          <w:sz w:val="24"/>
          <w:szCs w:val="24"/>
        </w:rPr>
        <w:footnoteRef/>
      </w:r>
      <w:r w:rsidRPr="00D30604">
        <w:rPr>
          <w:rFonts w:ascii="Arial" w:hAnsi="Arial" w:cs="Arial"/>
          <w:sz w:val="24"/>
          <w:szCs w:val="24"/>
        </w:rPr>
        <w:t xml:space="preserve"> Op. Cit. n.</w:t>
      </w:r>
      <w:r>
        <w:rPr>
          <w:rFonts w:ascii="Arial" w:hAnsi="Arial" w:cs="Arial"/>
          <w:sz w:val="24"/>
          <w:szCs w:val="24"/>
        </w:rPr>
        <w:t>4</w:t>
      </w:r>
      <w:r w:rsidRPr="00D30604">
        <w:rPr>
          <w:rFonts w:ascii="Arial" w:hAnsi="Arial" w:cs="Arial"/>
          <w:sz w:val="24"/>
          <w:szCs w:val="24"/>
        </w:rPr>
        <w:t xml:space="preserve"> para 29: “As pointed out in paragraph 7 of this judgment, the reason given for refusing to employ the applicant in the main proceedings as a chef with the Royal Marines is the total exclusion of women from that unit by reason of the 'interoperability' rule established for the purpose of ensuring combat effectiveness.”</w:t>
      </w:r>
    </w:p>
  </w:footnote>
  <w:footnote w:id="36">
    <w:p w:rsidR="00E526B7" w:rsidRPr="00250517" w:rsidRDefault="00E526B7" w:rsidP="00250517">
      <w:pPr>
        <w:pStyle w:val="FootnoteText"/>
        <w:jc w:val="both"/>
        <w:rPr>
          <w:rFonts w:ascii="Arial" w:hAnsi="Arial" w:cs="Arial"/>
          <w:sz w:val="24"/>
          <w:szCs w:val="24"/>
        </w:rPr>
      </w:pPr>
      <w:r w:rsidRPr="00250517">
        <w:rPr>
          <w:rStyle w:val="FootnoteReference"/>
          <w:rFonts w:ascii="Arial" w:hAnsi="Arial" w:cs="Arial"/>
          <w:sz w:val="24"/>
          <w:szCs w:val="24"/>
        </w:rPr>
        <w:footnoteRef/>
      </w:r>
      <w:r>
        <w:rPr>
          <w:rFonts w:ascii="Arial" w:hAnsi="Arial" w:cs="Arial"/>
          <w:sz w:val="24"/>
          <w:szCs w:val="24"/>
        </w:rPr>
        <w:t xml:space="preserve"> Ibid. para 33 and Op. Cit. n.26</w:t>
      </w:r>
      <w:r w:rsidRPr="00250517">
        <w:rPr>
          <w:rFonts w:ascii="Arial" w:hAnsi="Arial" w:cs="Arial"/>
          <w:sz w:val="24"/>
          <w:szCs w:val="24"/>
        </w:rPr>
        <w:t xml:space="preserve"> para 18</w:t>
      </w:r>
    </w:p>
  </w:footnote>
  <w:footnote w:id="37">
    <w:p w:rsidR="00E526B7" w:rsidRPr="00250517" w:rsidRDefault="00E526B7" w:rsidP="00250517">
      <w:pPr>
        <w:pStyle w:val="FootnoteText"/>
        <w:jc w:val="both"/>
        <w:rPr>
          <w:rFonts w:ascii="Arial" w:hAnsi="Arial" w:cs="Arial"/>
          <w:sz w:val="24"/>
          <w:szCs w:val="24"/>
        </w:rPr>
      </w:pPr>
      <w:r w:rsidRPr="00250517">
        <w:rPr>
          <w:rStyle w:val="FootnoteReference"/>
          <w:rFonts w:ascii="Arial" w:hAnsi="Arial" w:cs="Arial"/>
          <w:sz w:val="24"/>
          <w:szCs w:val="24"/>
        </w:rPr>
        <w:footnoteRef/>
      </w:r>
      <w:r w:rsidRPr="00250517">
        <w:rPr>
          <w:rFonts w:ascii="Arial" w:hAnsi="Arial" w:cs="Arial"/>
          <w:sz w:val="24"/>
          <w:szCs w:val="24"/>
        </w:rPr>
        <w:t xml:space="preserve"> Ibid. Sirdar para 45 and Kreil paras 20-24</w:t>
      </w:r>
    </w:p>
  </w:footnote>
  <w:footnote w:id="38">
    <w:p w:rsidR="00E526B7" w:rsidRDefault="00E526B7" w:rsidP="00250517">
      <w:pPr>
        <w:pStyle w:val="FootnoteText"/>
        <w:jc w:val="both"/>
      </w:pPr>
      <w:r w:rsidRPr="00250517">
        <w:rPr>
          <w:rStyle w:val="FootnoteReference"/>
          <w:rFonts w:ascii="Arial" w:hAnsi="Arial" w:cs="Arial"/>
          <w:sz w:val="24"/>
          <w:szCs w:val="24"/>
        </w:rPr>
        <w:footnoteRef/>
      </w:r>
      <w:r w:rsidRPr="00250517">
        <w:rPr>
          <w:rFonts w:ascii="Arial" w:hAnsi="Arial" w:cs="Arial"/>
          <w:sz w:val="24"/>
          <w:szCs w:val="24"/>
        </w:rPr>
        <w:t xml:space="preserve"> Ibid. Sirdar para 44</w:t>
      </w:r>
    </w:p>
  </w:footnote>
  <w:footnote w:id="39">
    <w:p w:rsidR="00E526B7" w:rsidRPr="00611F8D" w:rsidRDefault="00E526B7" w:rsidP="00006E5B">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w:t>
      </w:r>
      <w:r>
        <w:rPr>
          <w:rFonts w:ascii="Arial" w:hAnsi="Arial" w:cs="Arial"/>
          <w:sz w:val="24"/>
          <w:szCs w:val="24"/>
        </w:rPr>
        <w:t>Op. Cit. n.6</w:t>
      </w:r>
      <w:r w:rsidRPr="00611F8D">
        <w:rPr>
          <w:rFonts w:ascii="Arial" w:hAnsi="Arial" w:cs="Arial"/>
          <w:sz w:val="24"/>
          <w:szCs w:val="24"/>
        </w:rPr>
        <w:t xml:space="preserve"> </w:t>
      </w:r>
    </w:p>
  </w:footnote>
  <w:footnote w:id="40">
    <w:p w:rsidR="00E526B7" w:rsidRPr="00611F8D" w:rsidRDefault="00E526B7" w:rsidP="00006E5B">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Ministry of Defence, ‘Women in the Armed Forces’, </w:t>
      </w:r>
      <w:r>
        <w:rPr>
          <w:rFonts w:ascii="Arial" w:hAnsi="Arial" w:cs="Arial"/>
          <w:sz w:val="24"/>
          <w:szCs w:val="24"/>
        </w:rPr>
        <w:t xml:space="preserve">summary </w:t>
      </w:r>
      <w:r w:rsidRPr="00611F8D">
        <w:rPr>
          <w:rFonts w:ascii="Arial" w:hAnsi="Arial" w:cs="Arial"/>
          <w:sz w:val="24"/>
          <w:szCs w:val="24"/>
        </w:rPr>
        <w:t xml:space="preserve">report by the </w:t>
      </w:r>
      <w:r>
        <w:rPr>
          <w:rFonts w:ascii="Arial" w:hAnsi="Arial" w:cs="Arial"/>
          <w:sz w:val="24"/>
          <w:szCs w:val="24"/>
        </w:rPr>
        <w:t>Director of Service Personnel Policy Service Conditions</w:t>
      </w:r>
      <w:r w:rsidRPr="00611F8D">
        <w:rPr>
          <w:rFonts w:ascii="Arial" w:hAnsi="Arial" w:cs="Arial"/>
          <w:sz w:val="24"/>
          <w:szCs w:val="24"/>
        </w:rPr>
        <w:t xml:space="preserve">, May 2002, accessed at </w:t>
      </w:r>
      <w:hyperlink r:id="rId3" w:history="1">
        <w:r w:rsidRPr="00006E5B">
          <w:rPr>
            <w:rFonts w:ascii="Arial" w:hAnsi="Arial" w:cs="Arial"/>
            <w:color w:val="0000FF"/>
            <w:sz w:val="24"/>
            <w:szCs w:val="24"/>
            <w:u w:val="single"/>
          </w:rPr>
          <w:t>http://www.mod.uk/NR/rdonlyres/10B34976-75F9-47E0-B376-AED4B09FB3B3/0/women_af_summary.pdf</w:t>
        </w:r>
      </w:hyperlink>
      <w:r w:rsidRPr="00611F8D">
        <w:rPr>
          <w:rFonts w:ascii="Arial" w:hAnsi="Arial" w:cs="Arial"/>
          <w:sz w:val="24"/>
          <w:szCs w:val="24"/>
        </w:rPr>
        <w:t xml:space="preserve"> </w:t>
      </w:r>
    </w:p>
  </w:footnote>
  <w:footnote w:id="41">
    <w:p w:rsidR="00E526B7" w:rsidRPr="00006E5B" w:rsidRDefault="00E526B7" w:rsidP="00006E5B">
      <w:pPr>
        <w:pStyle w:val="FootnoteText"/>
        <w:jc w:val="both"/>
        <w:rPr>
          <w:rFonts w:ascii="Arial" w:hAnsi="Arial" w:cs="Arial"/>
          <w:sz w:val="24"/>
          <w:szCs w:val="24"/>
        </w:rPr>
      </w:pPr>
      <w:r w:rsidRPr="00006E5B">
        <w:rPr>
          <w:rStyle w:val="FootnoteReference"/>
          <w:rFonts w:ascii="Arial" w:hAnsi="Arial" w:cs="Arial"/>
          <w:sz w:val="24"/>
          <w:szCs w:val="24"/>
        </w:rPr>
        <w:footnoteRef/>
      </w:r>
      <w:r w:rsidRPr="00006E5B">
        <w:rPr>
          <w:rFonts w:ascii="Arial" w:hAnsi="Arial" w:cs="Arial"/>
          <w:sz w:val="24"/>
          <w:szCs w:val="24"/>
        </w:rPr>
        <w:t xml:space="preserve"> Ibid. para 19</w:t>
      </w:r>
    </w:p>
  </w:footnote>
  <w:footnote w:id="42">
    <w:p w:rsidR="00E526B7" w:rsidRPr="00AC5841" w:rsidRDefault="00E526B7" w:rsidP="00AC5841">
      <w:pPr>
        <w:pStyle w:val="FootnoteText"/>
        <w:jc w:val="both"/>
        <w:rPr>
          <w:rFonts w:ascii="Arial" w:hAnsi="Arial" w:cs="Arial"/>
          <w:sz w:val="24"/>
          <w:szCs w:val="24"/>
        </w:rPr>
      </w:pPr>
      <w:r w:rsidRPr="00AC5841">
        <w:rPr>
          <w:rStyle w:val="FootnoteReference"/>
          <w:rFonts w:ascii="Arial" w:hAnsi="Arial" w:cs="Arial"/>
          <w:sz w:val="24"/>
          <w:szCs w:val="24"/>
        </w:rPr>
        <w:footnoteRef/>
      </w:r>
      <w:r w:rsidRPr="00AC5841">
        <w:rPr>
          <w:rFonts w:ascii="Arial" w:hAnsi="Arial" w:cs="Arial"/>
          <w:sz w:val="24"/>
          <w:szCs w:val="24"/>
        </w:rPr>
        <w:t xml:space="preserve"> Ibid. paras 14 and 17</w:t>
      </w:r>
    </w:p>
  </w:footnote>
  <w:footnote w:id="43">
    <w:p w:rsidR="00E526B7" w:rsidRPr="00AC5841" w:rsidRDefault="00E526B7" w:rsidP="00AC5841">
      <w:pPr>
        <w:pStyle w:val="FootnoteText"/>
        <w:jc w:val="both"/>
        <w:rPr>
          <w:rFonts w:ascii="Arial" w:hAnsi="Arial" w:cs="Arial"/>
          <w:sz w:val="24"/>
          <w:szCs w:val="24"/>
        </w:rPr>
      </w:pPr>
      <w:r w:rsidRPr="00AC5841">
        <w:rPr>
          <w:rStyle w:val="FootnoteReference"/>
          <w:rFonts w:ascii="Arial" w:hAnsi="Arial" w:cs="Arial"/>
          <w:sz w:val="24"/>
          <w:szCs w:val="24"/>
        </w:rPr>
        <w:footnoteRef/>
      </w:r>
      <w:r w:rsidRPr="00AC5841">
        <w:rPr>
          <w:rFonts w:ascii="Arial" w:hAnsi="Arial" w:cs="Arial"/>
          <w:sz w:val="24"/>
          <w:szCs w:val="24"/>
        </w:rPr>
        <w:t xml:space="preserve"> Ibid. paras 9-15</w:t>
      </w:r>
    </w:p>
  </w:footnote>
  <w:footnote w:id="44">
    <w:p w:rsidR="00E526B7" w:rsidRPr="00AC5841" w:rsidRDefault="00E526B7" w:rsidP="00AC5841">
      <w:pPr>
        <w:pStyle w:val="FootnoteText"/>
        <w:jc w:val="both"/>
        <w:rPr>
          <w:rFonts w:ascii="Arial" w:hAnsi="Arial" w:cs="Arial"/>
          <w:sz w:val="24"/>
          <w:szCs w:val="24"/>
        </w:rPr>
      </w:pPr>
      <w:r w:rsidRPr="00AC5841">
        <w:rPr>
          <w:rStyle w:val="FootnoteReference"/>
          <w:rFonts w:ascii="Arial" w:hAnsi="Arial" w:cs="Arial"/>
          <w:sz w:val="24"/>
          <w:szCs w:val="24"/>
        </w:rPr>
        <w:footnoteRef/>
      </w:r>
      <w:r>
        <w:rPr>
          <w:rFonts w:ascii="Arial" w:hAnsi="Arial" w:cs="Arial"/>
          <w:sz w:val="24"/>
          <w:szCs w:val="24"/>
        </w:rPr>
        <w:t xml:space="preserve"> Op. Cit. n.6</w:t>
      </w:r>
      <w:r w:rsidRPr="00AC5841">
        <w:rPr>
          <w:rFonts w:ascii="Arial" w:hAnsi="Arial" w:cs="Arial"/>
          <w:sz w:val="24"/>
          <w:szCs w:val="24"/>
        </w:rPr>
        <w:t xml:space="preserve"> paras 40-42 and Annex D</w:t>
      </w:r>
    </w:p>
  </w:footnote>
  <w:footnote w:id="45">
    <w:p w:rsidR="00E526B7" w:rsidRPr="00AC5841" w:rsidRDefault="00E526B7" w:rsidP="00AC5841">
      <w:pPr>
        <w:pStyle w:val="FootnoteText"/>
        <w:jc w:val="both"/>
        <w:rPr>
          <w:rFonts w:ascii="Arial" w:hAnsi="Arial" w:cs="Arial"/>
          <w:sz w:val="24"/>
          <w:szCs w:val="24"/>
        </w:rPr>
      </w:pPr>
      <w:r w:rsidRPr="00AC5841">
        <w:rPr>
          <w:rStyle w:val="FootnoteReference"/>
          <w:rFonts w:ascii="Arial" w:hAnsi="Arial" w:cs="Arial"/>
          <w:sz w:val="24"/>
          <w:szCs w:val="24"/>
        </w:rPr>
        <w:footnoteRef/>
      </w:r>
      <w:r w:rsidRPr="00AC5841">
        <w:rPr>
          <w:rFonts w:ascii="Arial" w:hAnsi="Arial" w:cs="Arial"/>
          <w:sz w:val="24"/>
          <w:szCs w:val="24"/>
        </w:rPr>
        <w:t xml:space="preserve"> Op. Cit. n.40 para 12</w:t>
      </w:r>
    </w:p>
  </w:footnote>
  <w:footnote w:id="46">
    <w:p w:rsidR="00E526B7" w:rsidRPr="00AC5841" w:rsidRDefault="00E526B7" w:rsidP="00AC5841">
      <w:pPr>
        <w:pStyle w:val="FootnoteText"/>
        <w:jc w:val="both"/>
        <w:rPr>
          <w:rFonts w:ascii="Arial" w:hAnsi="Arial" w:cs="Arial"/>
          <w:sz w:val="24"/>
          <w:szCs w:val="24"/>
        </w:rPr>
      </w:pPr>
      <w:r w:rsidRPr="00AC5841">
        <w:rPr>
          <w:rStyle w:val="FootnoteReference"/>
          <w:rFonts w:ascii="Arial" w:hAnsi="Arial" w:cs="Arial"/>
          <w:sz w:val="24"/>
          <w:szCs w:val="24"/>
        </w:rPr>
        <w:footnoteRef/>
      </w:r>
      <w:r w:rsidRPr="00AC5841">
        <w:rPr>
          <w:rFonts w:ascii="Arial" w:hAnsi="Arial" w:cs="Arial"/>
          <w:sz w:val="24"/>
          <w:szCs w:val="24"/>
        </w:rPr>
        <w:t xml:space="preserve"> Ibid. para 13</w:t>
      </w:r>
    </w:p>
  </w:footnote>
  <w:footnote w:id="47">
    <w:p w:rsidR="00E526B7" w:rsidRDefault="00E526B7" w:rsidP="00AC5841">
      <w:pPr>
        <w:pStyle w:val="FootnoteText"/>
        <w:jc w:val="both"/>
      </w:pPr>
      <w:r w:rsidRPr="00AC5841">
        <w:rPr>
          <w:rStyle w:val="FootnoteReference"/>
          <w:rFonts w:ascii="Arial" w:hAnsi="Arial" w:cs="Arial"/>
          <w:sz w:val="24"/>
          <w:szCs w:val="24"/>
        </w:rPr>
        <w:footnoteRef/>
      </w:r>
      <w:r w:rsidRPr="00AC5841">
        <w:rPr>
          <w:rFonts w:ascii="Arial" w:hAnsi="Arial" w:cs="Arial"/>
          <w:sz w:val="24"/>
          <w:szCs w:val="24"/>
        </w:rPr>
        <w:t xml:space="preserve"> </w:t>
      </w:r>
      <w:r>
        <w:rPr>
          <w:rFonts w:ascii="Arial" w:hAnsi="Arial" w:cs="Arial"/>
          <w:sz w:val="24"/>
          <w:szCs w:val="24"/>
        </w:rPr>
        <w:t>Op. Cit. n.6</w:t>
      </w:r>
      <w:r w:rsidRPr="00AC5841">
        <w:rPr>
          <w:rFonts w:ascii="Arial" w:hAnsi="Arial" w:cs="Arial"/>
          <w:sz w:val="24"/>
          <w:szCs w:val="24"/>
        </w:rPr>
        <w:t xml:space="preserve"> para 47 and Annex E</w:t>
      </w:r>
    </w:p>
  </w:footnote>
  <w:footnote w:id="48">
    <w:p w:rsidR="00E526B7" w:rsidRPr="00AC5841" w:rsidRDefault="00E526B7" w:rsidP="00AC5841">
      <w:pPr>
        <w:pStyle w:val="FootnoteText"/>
        <w:jc w:val="both"/>
        <w:rPr>
          <w:rFonts w:ascii="Arial" w:hAnsi="Arial" w:cs="Arial"/>
          <w:sz w:val="24"/>
          <w:szCs w:val="24"/>
        </w:rPr>
      </w:pPr>
      <w:r w:rsidRPr="00AC5841">
        <w:rPr>
          <w:rStyle w:val="FootnoteReference"/>
          <w:rFonts w:ascii="Arial" w:hAnsi="Arial" w:cs="Arial"/>
          <w:sz w:val="24"/>
          <w:szCs w:val="24"/>
        </w:rPr>
        <w:footnoteRef/>
      </w:r>
      <w:r w:rsidRPr="00AC5841">
        <w:rPr>
          <w:rFonts w:ascii="Arial" w:hAnsi="Arial" w:cs="Arial"/>
          <w:sz w:val="24"/>
          <w:szCs w:val="24"/>
        </w:rPr>
        <w:t xml:space="preserve"> </w:t>
      </w:r>
      <w:r>
        <w:rPr>
          <w:rFonts w:ascii="Arial" w:hAnsi="Arial" w:cs="Arial"/>
          <w:sz w:val="24"/>
          <w:szCs w:val="24"/>
        </w:rPr>
        <w:t>Op. Cit. n.6</w:t>
      </w:r>
      <w:r w:rsidRPr="00AC5841">
        <w:rPr>
          <w:rFonts w:ascii="Arial" w:hAnsi="Arial" w:cs="Arial"/>
          <w:sz w:val="24"/>
          <w:szCs w:val="24"/>
        </w:rPr>
        <w:t xml:space="preserve"> para 15</w:t>
      </w:r>
      <w:r>
        <w:rPr>
          <w:rFonts w:ascii="Arial" w:hAnsi="Arial" w:cs="Arial"/>
          <w:sz w:val="24"/>
          <w:szCs w:val="24"/>
        </w:rPr>
        <w:t xml:space="preserve"> – the ECJ had found that in accordance with the principle of proportionality the exclusion of women serving in the Royal Marines had to be necessary and appropriate to ensure interoperability, not operational effectiveness as stated in the report</w:t>
      </w:r>
    </w:p>
  </w:footnote>
  <w:footnote w:id="49">
    <w:p w:rsidR="00E526B7" w:rsidRPr="00AC5841" w:rsidRDefault="00E526B7" w:rsidP="00AC5841">
      <w:pPr>
        <w:pStyle w:val="FootnoteText"/>
        <w:jc w:val="both"/>
        <w:rPr>
          <w:rFonts w:ascii="Arial" w:hAnsi="Arial" w:cs="Arial"/>
          <w:sz w:val="24"/>
          <w:szCs w:val="24"/>
        </w:rPr>
      </w:pPr>
      <w:r w:rsidRPr="00AC5841">
        <w:rPr>
          <w:rStyle w:val="FootnoteReference"/>
          <w:rFonts w:ascii="Arial" w:hAnsi="Arial" w:cs="Arial"/>
          <w:sz w:val="24"/>
          <w:szCs w:val="24"/>
        </w:rPr>
        <w:footnoteRef/>
      </w:r>
      <w:r w:rsidRPr="00AC5841">
        <w:rPr>
          <w:rFonts w:ascii="Arial" w:hAnsi="Arial" w:cs="Arial"/>
          <w:sz w:val="24"/>
          <w:szCs w:val="24"/>
        </w:rPr>
        <w:t xml:space="preserve"> Ibid. para 17</w:t>
      </w:r>
    </w:p>
  </w:footnote>
  <w:footnote w:id="50">
    <w:p w:rsidR="00E526B7" w:rsidRPr="00621F35" w:rsidRDefault="00E526B7" w:rsidP="00621F35">
      <w:pPr>
        <w:pStyle w:val="FootnoteText"/>
        <w:jc w:val="both"/>
        <w:rPr>
          <w:rFonts w:ascii="Arial" w:hAnsi="Arial" w:cs="Arial"/>
          <w:sz w:val="24"/>
          <w:szCs w:val="24"/>
        </w:rPr>
      </w:pPr>
      <w:r w:rsidRPr="00621F35">
        <w:rPr>
          <w:rStyle w:val="FootnoteReference"/>
          <w:rFonts w:ascii="Arial" w:hAnsi="Arial" w:cs="Arial"/>
          <w:sz w:val="24"/>
          <w:szCs w:val="24"/>
        </w:rPr>
        <w:footnoteRef/>
      </w:r>
      <w:r w:rsidRPr="00621F35">
        <w:rPr>
          <w:rFonts w:ascii="Arial" w:hAnsi="Arial" w:cs="Arial"/>
          <w:sz w:val="24"/>
          <w:szCs w:val="24"/>
        </w:rPr>
        <w:t xml:space="preserve"> Op. Cit. n.34 at 647</w:t>
      </w:r>
    </w:p>
  </w:footnote>
  <w:footnote w:id="51">
    <w:p w:rsidR="00E526B7" w:rsidRDefault="00E526B7" w:rsidP="00AC5841">
      <w:pPr>
        <w:pStyle w:val="FootnoteText"/>
        <w:jc w:val="both"/>
      </w:pPr>
      <w:r w:rsidRPr="00AC5841">
        <w:rPr>
          <w:rStyle w:val="FootnoteReference"/>
          <w:rFonts w:ascii="Arial" w:hAnsi="Arial" w:cs="Arial"/>
          <w:sz w:val="24"/>
          <w:szCs w:val="24"/>
        </w:rPr>
        <w:footnoteRef/>
      </w:r>
      <w:r w:rsidRPr="00AC5841">
        <w:rPr>
          <w:rFonts w:ascii="Arial" w:hAnsi="Arial" w:cs="Arial"/>
          <w:sz w:val="24"/>
          <w:szCs w:val="24"/>
        </w:rPr>
        <w:t xml:space="preserve"> Ibid.</w:t>
      </w:r>
    </w:p>
  </w:footnote>
  <w:footnote w:id="52">
    <w:p w:rsidR="00E526B7" w:rsidRPr="00AD7940" w:rsidRDefault="00E526B7" w:rsidP="00AD7940">
      <w:pPr>
        <w:pStyle w:val="FootnoteText"/>
        <w:jc w:val="both"/>
        <w:rPr>
          <w:rFonts w:ascii="Arial" w:hAnsi="Arial" w:cs="Arial"/>
          <w:sz w:val="24"/>
          <w:szCs w:val="24"/>
        </w:rPr>
      </w:pPr>
      <w:r w:rsidRPr="00AD7940">
        <w:rPr>
          <w:rStyle w:val="FootnoteReference"/>
          <w:rFonts w:ascii="Arial" w:hAnsi="Arial" w:cs="Arial"/>
          <w:sz w:val="24"/>
          <w:szCs w:val="24"/>
        </w:rPr>
        <w:footnoteRef/>
      </w:r>
      <w:r w:rsidRPr="00AD7940">
        <w:rPr>
          <w:rFonts w:ascii="Arial" w:hAnsi="Arial" w:cs="Arial"/>
          <w:sz w:val="24"/>
          <w:szCs w:val="24"/>
        </w:rPr>
        <w:t xml:space="preserve"> NN Shuibhne, ‘And Those Who Look Only to the Past or the Present are Certain to Miss the Future’ (2012) 37 ELR 115 at 116</w:t>
      </w:r>
    </w:p>
  </w:footnote>
  <w:footnote w:id="53">
    <w:p w:rsidR="00E526B7" w:rsidRPr="00611F8D" w:rsidRDefault="00E526B7" w:rsidP="00EC1EBC">
      <w:pPr>
        <w:pStyle w:val="FootnoteText"/>
        <w:jc w:val="both"/>
        <w:rPr>
          <w:rFonts w:ascii="Arial" w:hAnsi="Arial" w:cs="Arial"/>
          <w:sz w:val="24"/>
          <w:szCs w:val="24"/>
        </w:rPr>
      </w:pPr>
      <w:r w:rsidRPr="00611F8D">
        <w:rPr>
          <w:rStyle w:val="FootnoteReference"/>
          <w:rFonts w:ascii="Arial" w:hAnsi="Arial" w:cs="Arial"/>
          <w:sz w:val="24"/>
          <w:szCs w:val="24"/>
        </w:rPr>
        <w:footnoteRef/>
      </w:r>
      <w:r>
        <w:rPr>
          <w:rFonts w:ascii="Arial" w:hAnsi="Arial" w:cs="Arial"/>
          <w:sz w:val="24"/>
          <w:szCs w:val="24"/>
        </w:rPr>
        <w:t xml:space="preserve"> A Arnull, ‘EC Law and the Dismissal of Pregnant Servicewomen’ (1995) 24 ILJ 215</w:t>
      </w:r>
      <w:r w:rsidRPr="00611F8D">
        <w:rPr>
          <w:rFonts w:ascii="Arial" w:hAnsi="Arial" w:cs="Arial"/>
          <w:sz w:val="24"/>
          <w:szCs w:val="24"/>
        </w:rPr>
        <w:t xml:space="preserve"> at 233</w:t>
      </w:r>
    </w:p>
  </w:footnote>
  <w:footnote w:id="54">
    <w:p w:rsidR="00E526B7" w:rsidRPr="00621F35" w:rsidRDefault="00E526B7" w:rsidP="00621F35">
      <w:pPr>
        <w:pStyle w:val="FootnoteText"/>
        <w:jc w:val="both"/>
        <w:rPr>
          <w:rFonts w:ascii="Arial" w:hAnsi="Arial" w:cs="Arial"/>
          <w:sz w:val="24"/>
          <w:szCs w:val="24"/>
        </w:rPr>
      </w:pPr>
      <w:r w:rsidRPr="00621F35">
        <w:rPr>
          <w:rStyle w:val="FootnoteReference"/>
          <w:rFonts w:ascii="Arial" w:hAnsi="Arial" w:cs="Arial"/>
          <w:sz w:val="24"/>
          <w:szCs w:val="24"/>
        </w:rPr>
        <w:footnoteRef/>
      </w:r>
      <w:r w:rsidRPr="00621F35">
        <w:rPr>
          <w:rFonts w:ascii="Arial" w:hAnsi="Arial" w:cs="Arial"/>
          <w:sz w:val="24"/>
          <w:szCs w:val="24"/>
        </w:rPr>
        <w:t xml:space="preserve"> Ibid.</w:t>
      </w:r>
    </w:p>
  </w:footnote>
  <w:footnote w:id="55">
    <w:p w:rsidR="00E526B7" w:rsidRPr="00F37D45" w:rsidRDefault="00E526B7" w:rsidP="00F37D45">
      <w:pPr>
        <w:pStyle w:val="FootnoteText"/>
        <w:jc w:val="both"/>
        <w:rPr>
          <w:rFonts w:ascii="Arial" w:hAnsi="Arial" w:cs="Arial"/>
          <w:sz w:val="24"/>
          <w:szCs w:val="24"/>
        </w:rPr>
      </w:pPr>
      <w:r w:rsidRPr="00F37D45">
        <w:rPr>
          <w:rStyle w:val="FootnoteReference"/>
          <w:rFonts w:ascii="Arial" w:hAnsi="Arial" w:cs="Arial"/>
          <w:sz w:val="24"/>
          <w:szCs w:val="24"/>
        </w:rPr>
        <w:footnoteRef/>
      </w:r>
      <w:r w:rsidRPr="00F37D45">
        <w:rPr>
          <w:rFonts w:ascii="Arial" w:hAnsi="Arial" w:cs="Arial"/>
          <w:sz w:val="24"/>
          <w:szCs w:val="24"/>
        </w:rPr>
        <w:t xml:space="preserve"> Op. Cit. n.34 at 647</w:t>
      </w:r>
    </w:p>
  </w:footnote>
  <w:footnote w:id="56">
    <w:p w:rsidR="00E526B7" w:rsidRDefault="00E526B7" w:rsidP="00F37D45">
      <w:pPr>
        <w:pStyle w:val="FootnoteText"/>
        <w:jc w:val="both"/>
      </w:pPr>
      <w:r w:rsidRPr="00F37D45">
        <w:rPr>
          <w:rStyle w:val="FootnoteReference"/>
          <w:rFonts w:ascii="Arial" w:hAnsi="Arial" w:cs="Arial"/>
          <w:sz w:val="24"/>
          <w:szCs w:val="24"/>
        </w:rPr>
        <w:footnoteRef/>
      </w:r>
      <w:r w:rsidRPr="00F37D45">
        <w:rPr>
          <w:rFonts w:ascii="Arial" w:hAnsi="Arial" w:cs="Arial"/>
          <w:sz w:val="24"/>
          <w:szCs w:val="24"/>
        </w:rPr>
        <w:t xml:space="preserve"> European Parliament and Council Directive 2002/73/EC amending Council Directive 76/207/EEC on the implementation of the principle of equal treatment for men and women as regards access to employment, vocational training and promotion, and working conditions [2002] OJ L269/15</w:t>
      </w:r>
    </w:p>
  </w:footnote>
  <w:footnote w:id="57">
    <w:p w:rsidR="00E526B7" w:rsidRPr="00FB3572" w:rsidRDefault="00E526B7" w:rsidP="00FB3572">
      <w:pPr>
        <w:pStyle w:val="FootnoteText"/>
        <w:jc w:val="both"/>
        <w:rPr>
          <w:rFonts w:ascii="Arial" w:hAnsi="Arial" w:cs="Arial"/>
          <w:sz w:val="24"/>
          <w:szCs w:val="24"/>
        </w:rPr>
      </w:pPr>
      <w:r w:rsidRPr="00FB3572">
        <w:rPr>
          <w:rStyle w:val="FootnoteReference"/>
          <w:rFonts w:ascii="Arial" w:hAnsi="Arial" w:cs="Arial"/>
          <w:sz w:val="24"/>
          <w:szCs w:val="24"/>
        </w:rPr>
        <w:footnoteRef/>
      </w:r>
      <w:r w:rsidRPr="00FB3572">
        <w:rPr>
          <w:rFonts w:ascii="Arial" w:hAnsi="Arial" w:cs="Arial"/>
          <w:sz w:val="24"/>
          <w:szCs w:val="24"/>
        </w:rPr>
        <w:t xml:space="preserve"> Council Directive 92/85/EEC on the introduction of measures to encourage improvements in the safety and health at work of pregnant workers and workers who have recently given birth or are breastfeeding [1992] OJ L348/1</w:t>
      </w:r>
    </w:p>
  </w:footnote>
  <w:footnote w:id="58">
    <w:p w:rsidR="00E526B7" w:rsidRDefault="00E526B7" w:rsidP="00FB3572">
      <w:pPr>
        <w:pStyle w:val="FootnoteText"/>
        <w:jc w:val="both"/>
      </w:pPr>
      <w:r w:rsidRPr="00FB3572">
        <w:rPr>
          <w:rStyle w:val="FootnoteReference"/>
          <w:rFonts w:ascii="Arial" w:hAnsi="Arial" w:cs="Arial"/>
          <w:sz w:val="24"/>
          <w:szCs w:val="24"/>
        </w:rPr>
        <w:footnoteRef/>
      </w:r>
      <w:r w:rsidRPr="00FB3572">
        <w:rPr>
          <w:rFonts w:ascii="Arial" w:hAnsi="Arial" w:cs="Arial"/>
          <w:sz w:val="24"/>
          <w:szCs w:val="24"/>
        </w:rPr>
        <w:t xml:space="preserve"> Council Directive 96/34/EC on the framework agreement on parental leave concluded by UNICE, CEEP and the ETUC [1996] OJ L145/4</w:t>
      </w:r>
    </w:p>
  </w:footnote>
  <w:footnote w:id="59">
    <w:p w:rsidR="00E526B7" w:rsidRDefault="00E526B7" w:rsidP="008D3A17">
      <w:pPr>
        <w:pStyle w:val="FootnoteText"/>
        <w:jc w:val="both"/>
      </w:pPr>
      <w:r w:rsidRPr="008D3A17">
        <w:rPr>
          <w:rStyle w:val="FootnoteReference"/>
          <w:rFonts w:ascii="Arial" w:hAnsi="Arial" w:cs="Arial"/>
          <w:sz w:val="24"/>
          <w:szCs w:val="24"/>
        </w:rPr>
        <w:footnoteRef/>
      </w:r>
      <w:r w:rsidRPr="008D3A17">
        <w:rPr>
          <w:rFonts w:ascii="Arial" w:hAnsi="Arial" w:cs="Arial"/>
          <w:sz w:val="24"/>
          <w:szCs w:val="24"/>
        </w:rPr>
        <w:t xml:space="preserve"> </w:t>
      </w:r>
      <w:r>
        <w:rPr>
          <w:rFonts w:ascii="Arial" w:hAnsi="Arial" w:cs="Arial"/>
          <w:sz w:val="24"/>
          <w:szCs w:val="24"/>
        </w:rPr>
        <w:t xml:space="preserve">Parliament and Council </w:t>
      </w:r>
      <w:r w:rsidRPr="00611F8D">
        <w:rPr>
          <w:rFonts w:ascii="Arial" w:hAnsi="Arial" w:cs="Arial"/>
          <w:sz w:val="24"/>
          <w:szCs w:val="24"/>
        </w:rPr>
        <w:t>Directive 2006/54 on the implementation of the principle of equal opportunities and equal treatment of men and women in matters of employment and occupation (Recast) OJ 2006 L204/23</w:t>
      </w:r>
    </w:p>
  </w:footnote>
  <w:footnote w:id="60">
    <w:p w:rsidR="00E526B7" w:rsidRPr="003954B4" w:rsidRDefault="00E526B7" w:rsidP="003954B4">
      <w:pPr>
        <w:pStyle w:val="FootnoteText"/>
        <w:jc w:val="both"/>
        <w:rPr>
          <w:rFonts w:ascii="Arial" w:hAnsi="Arial" w:cs="Arial"/>
          <w:sz w:val="24"/>
          <w:szCs w:val="24"/>
        </w:rPr>
      </w:pPr>
      <w:r w:rsidRPr="003954B4">
        <w:rPr>
          <w:rStyle w:val="FootnoteReference"/>
          <w:rFonts w:ascii="Arial" w:hAnsi="Arial" w:cs="Arial"/>
          <w:sz w:val="24"/>
          <w:szCs w:val="24"/>
        </w:rPr>
        <w:footnoteRef/>
      </w:r>
      <w:r w:rsidRPr="003954B4">
        <w:rPr>
          <w:rFonts w:ascii="Arial" w:hAnsi="Arial" w:cs="Arial"/>
          <w:sz w:val="24"/>
          <w:szCs w:val="24"/>
        </w:rPr>
        <w:t xml:space="preserve"> Recital 4</w:t>
      </w:r>
    </w:p>
  </w:footnote>
  <w:footnote w:id="61">
    <w:p w:rsidR="003954B4" w:rsidRDefault="003954B4" w:rsidP="003954B4">
      <w:pPr>
        <w:pStyle w:val="FootnoteText"/>
        <w:jc w:val="both"/>
      </w:pPr>
      <w:r w:rsidRPr="003954B4">
        <w:rPr>
          <w:rStyle w:val="FootnoteReference"/>
          <w:rFonts w:ascii="Arial" w:hAnsi="Arial" w:cs="Arial"/>
          <w:sz w:val="24"/>
          <w:szCs w:val="24"/>
        </w:rPr>
        <w:footnoteRef/>
      </w:r>
      <w:r w:rsidRPr="003954B4">
        <w:rPr>
          <w:rFonts w:ascii="Arial" w:hAnsi="Arial" w:cs="Arial"/>
          <w:sz w:val="24"/>
          <w:szCs w:val="24"/>
        </w:rPr>
        <w:t xml:space="preserve"> Recital 5</w:t>
      </w:r>
    </w:p>
  </w:footnote>
  <w:footnote w:id="62">
    <w:p w:rsidR="00E526B7" w:rsidRPr="00D81D23" w:rsidRDefault="00E526B7" w:rsidP="00D81D23">
      <w:pPr>
        <w:pStyle w:val="FootnoteText"/>
        <w:jc w:val="both"/>
        <w:rPr>
          <w:rFonts w:ascii="Arial" w:hAnsi="Arial" w:cs="Arial"/>
          <w:sz w:val="24"/>
          <w:szCs w:val="24"/>
        </w:rPr>
      </w:pPr>
      <w:r w:rsidRPr="00D81D23">
        <w:rPr>
          <w:rStyle w:val="FootnoteReference"/>
          <w:rFonts w:ascii="Arial" w:hAnsi="Arial" w:cs="Arial"/>
          <w:sz w:val="24"/>
          <w:szCs w:val="24"/>
        </w:rPr>
        <w:footnoteRef/>
      </w:r>
      <w:r w:rsidRPr="00D81D23">
        <w:rPr>
          <w:rFonts w:ascii="Arial" w:hAnsi="Arial" w:cs="Arial"/>
          <w:sz w:val="24"/>
          <w:szCs w:val="24"/>
        </w:rPr>
        <w:t xml:space="preserve"> [2010] OJ C83/1</w:t>
      </w:r>
    </w:p>
  </w:footnote>
  <w:footnote w:id="63">
    <w:p w:rsidR="00E526B7" w:rsidRPr="00C710BE" w:rsidRDefault="00E526B7" w:rsidP="00C710BE">
      <w:pPr>
        <w:pStyle w:val="FootnoteText"/>
        <w:jc w:val="both"/>
        <w:rPr>
          <w:rFonts w:ascii="Arial" w:hAnsi="Arial" w:cs="Arial"/>
          <w:sz w:val="24"/>
          <w:szCs w:val="24"/>
        </w:rPr>
      </w:pPr>
      <w:r w:rsidRPr="00C710BE">
        <w:rPr>
          <w:rStyle w:val="FootnoteReference"/>
          <w:rFonts w:ascii="Arial" w:hAnsi="Arial" w:cs="Arial"/>
          <w:sz w:val="24"/>
          <w:szCs w:val="24"/>
        </w:rPr>
        <w:footnoteRef/>
      </w:r>
      <w:r w:rsidRPr="00C710BE">
        <w:rPr>
          <w:rFonts w:ascii="Arial" w:hAnsi="Arial" w:cs="Arial"/>
          <w:sz w:val="24"/>
          <w:szCs w:val="24"/>
        </w:rPr>
        <w:t xml:space="preserve"> S </w:t>
      </w:r>
      <w:proofErr w:type="spellStart"/>
      <w:r w:rsidRPr="00C710BE">
        <w:rPr>
          <w:rFonts w:ascii="Arial" w:hAnsi="Arial" w:cs="Arial"/>
          <w:sz w:val="24"/>
          <w:szCs w:val="24"/>
        </w:rPr>
        <w:t>Langrish</w:t>
      </w:r>
      <w:proofErr w:type="spellEnd"/>
      <w:r w:rsidRPr="00C710BE">
        <w:rPr>
          <w:rFonts w:ascii="Arial" w:hAnsi="Arial" w:cs="Arial"/>
          <w:sz w:val="24"/>
          <w:szCs w:val="24"/>
        </w:rPr>
        <w:t>, ‘The Treaty of Amsterdam: Selected Highlights’ (1998) 23 ELR 3 at 15</w:t>
      </w:r>
    </w:p>
  </w:footnote>
  <w:footnote w:id="64">
    <w:p w:rsidR="00E526B7" w:rsidRDefault="00E526B7" w:rsidP="00C710BE">
      <w:pPr>
        <w:pStyle w:val="FootnoteText"/>
        <w:jc w:val="both"/>
      </w:pPr>
      <w:r w:rsidRPr="00C710BE">
        <w:rPr>
          <w:rStyle w:val="FootnoteReference"/>
          <w:rFonts w:ascii="Arial" w:hAnsi="Arial" w:cs="Arial"/>
          <w:sz w:val="24"/>
          <w:szCs w:val="24"/>
        </w:rPr>
        <w:footnoteRef/>
      </w:r>
      <w:r w:rsidRPr="00C710BE">
        <w:rPr>
          <w:rFonts w:ascii="Arial" w:hAnsi="Arial" w:cs="Arial"/>
          <w:sz w:val="24"/>
          <w:szCs w:val="24"/>
        </w:rPr>
        <w:t xml:space="preserve"> Case C-144/04 </w:t>
      </w:r>
      <w:r w:rsidRPr="00C710BE">
        <w:rPr>
          <w:rFonts w:ascii="Arial" w:hAnsi="Arial" w:cs="Arial"/>
          <w:sz w:val="24"/>
          <w:szCs w:val="24"/>
          <w:u w:val="single"/>
        </w:rPr>
        <w:t>Mangold v Helm</w:t>
      </w:r>
      <w:r w:rsidRPr="00C710BE">
        <w:rPr>
          <w:rFonts w:ascii="Arial" w:hAnsi="Arial" w:cs="Arial"/>
          <w:sz w:val="24"/>
          <w:szCs w:val="24"/>
        </w:rPr>
        <w:t xml:space="preserve"> [2005] ECR I-9981</w:t>
      </w:r>
    </w:p>
  </w:footnote>
  <w:footnote w:id="65">
    <w:p w:rsidR="00E526B7" w:rsidRPr="00D81D23" w:rsidRDefault="00E526B7" w:rsidP="00D81D23">
      <w:pPr>
        <w:pStyle w:val="FootnoteText"/>
        <w:jc w:val="both"/>
        <w:rPr>
          <w:rFonts w:ascii="Arial" w:hAnsi="Arial" w:cs="Arial"/>
          <w:sz w:val="24"/>
          <w:szCs w:val="24"/>
        </w:rPr>
      </w:pPr>
      <w:r w:rsidRPr="00D81D23">
        <w:rPr>
          <w:rStyle w:val="FootnoteReference"/>
          <w:rFonts w:ascii="Arial" w:hAnsi="Arial" w:cs="Arial"/>
          <w:sz w:val="24"/>
          <w:szCs w:val="24"/>
        </w:rPr>
        <w:footnoteRef/>
      </w:r>
      <w:r w:rsidRPr="00D81D23">
        <w:rPr>
          <w:rFonts w:ascii="Arial" w:hAnsi="Arial" w:cs="Arial"/>
          <w:sz w:val="24"/>
          <w:szCs w:val="24"/>
        </w:rPr>
        <w:t xml:space="preserve"> [2010] OJ C83/389</w:t>
      </w:r>
    </w:p>
  </w:footnote>
  <w:footnote w:id="66">
    <w:p w:rsidR="00E526B7" w:rsidRPr="00D81D23" w:rsidRDefault="00E526B7" w:rsidP="00D81D23">
      <w:pPr>
        <w:pStyle w:val="FootnoteText"/>
        <w:jc w:val="both"/>
        <w:rPr>
          <w:rFonts w:ascii="Arial" w:hAnsi="Arial" w:cs="Arial"/>
          <w:sz w:val="24"/>
          <w:szCs w:val="24"/>
        </w:rPr>
      </w:pPr>
      <w:r w:rsidRPr="00D81D23">
        <w:rPr>
          <w:rStyle w:val="FootnoteReference"/>
          <w:rFonts w:ascii="Arial" w:hAnsi="Arial" w:cs="Arial"/>
          <w:sz w:val="24"/>
          <w:szCs w:val="24"/>
        </w:rPr>
        <w:footnoteRef/>
      </w:r>
      <w:r w:rsidRPr="00D81D23">
        <w:rPr>
          <w:rFonts w:ascii="Arial" w:hAnsi="Arial" w:cs="Arial"/>
          <w:sz w:val="24"/>
          <w:szCs w:val="24"/>
        </w:rPr>
        <w:t xml:space="preserve"> Case C-555/07 </w:t>
      </w:r>
      <w:r w:rsidRPr="00D81D23">
        <w:rPr>
          <w:rFonts w:ascii="Arial" w:hAnsi="Arial" w:cs="Arial"/>
          <w:sz w:val="24"/>
          <w:szCs w:val="24"/>
          <w:u w:val="single"/>
        </w:rPr>
        <w:t>Kücükdeveci v Swedex</w:t>
      </w:r>
      <w:r w:rsidRPr="00D81D23">
        <w:rPr>
          <w:rFonts w:ascii="Arial" w:hAnsi="Arial" w:cs="Arial"/>
          <w:sz w:val="24"/>
          <w:szCs w:val="24"/>
        </w:rPr>
        <w:t xml:space="preserve"> [2010] ECR I-365 (ECJ)</w:t>
      </w:r>
    </w:p>
  </w:footnote>
  <w:footnote w:id="67">
    <w:p w:rsidR="00E526B7" w:rsidRPr="005246E9" w:rsidRDefault="00E526B7" w:rsidP="005246E9">
      <w:pPr>
        <w:pStyle w:val="FootnoteText"/>
        <w:jc w:val="both"/>
        <w:rPr>
          <w:rFonts w:ascii="Arial" w:hAnsi="Arial" w:cs="Arial"/>
          <w:sz w:val="24"/>
          <w:szCs w:val="24"/>
        </w:rPr>
      </w:pPr>
      <w:r w:rsidRPr="005246E9">
        <w:rPr>
          <w:rStyle w:val="FootnoteReference"/>
          <w:rFonts w:ascii="Arial" w:hAnsi="Arial" w:cs="Arial"/>
          <w:sz w:val="24"/>
          <w:szCs w:val="24"/>
        </w:rPr>
        <w:footnoteRef/>
      </w:r>
      <w:r w:rsidRPr="005246E9">
        <w:rPr>
          <w:rFonts w:ascii="Arial" w:hAnsi="Arial" w:cs="Arial"/>
          <w:sz w:val="24"/>
          <w:szCs w:val="24"/>
        </w:rPr>
        <w:t xml:space="preserve"> S </w:t>
      </w:r>
      <w:proofErr w:type="spellStart"/>
      <w:r w:rsidRPr="005246E9">
        <w:rPr>
          <w:rFonts w:ascii="Arial" w:hAnsi="Arial" w:cs="Arial"/>
          <w:sz w:val="24"/>
          <w:szCs w:val="24"/>
        </w:rPr>
        <w:t>Koukouris-Spiliotopoulos</w:t>
      </w:r>
      <w:proofErr w:type="spellEnd"/>
      <w:r w:rsidRPr="005246E9">
        <w:rPr>
          <w:rFonts w:ascii="Arial" w:hAnsi="Arial" w:cs="Arial"/>
          <w:sz w:val="24"/>
          <w:szCs w:val="24"/>
        </w:rPr>
        <w:t xml:space="preserve">, ‘The Lisbon Treaty and the Charter of Fundamental Rights: Maintaining and Developing the </w:t>
      </w:r>
      <w:proofErr w:type="spellStart"/>
      <w:r w:rsidRPr="005246E9">
        <w:rPr>
          <w:rFonts w:ascii="Arial" w:hAnsi="Arial" w:cs="Arial"/>
          <w:i/>
          <w:sz w:val="24"/>
          <w:szCs w:val="24"/>
        </w:rPr>
        <w:t>Acquis</w:t>
      </w:r>
      <w:proofErr w:type="spellEnd"/>
      <w:r w:rsidRPr="005246E9">
        <w:rPr>
          <w:rFonts w:ascii="Arial" w:hAnsi="Arial" w:cs="Arial"/>
          <w:sz w:val="24"/>
          <w:szCs w:val="24"/>
        </w:rPr>
        <w:t xml:space="preserve"> in Gender Equality’ (2008) 1 European Gender Equality Law Review 15 at 18</w:t>
      </w:r>
    </w:p>
  </w:footnote>
  <w:footnote w:id="68">
    <w:p w:rsidR="00E526B7" w:rsidRPr="00242FA8" w:rsidRDefault="00E526B7" w:rsidP="00242FA8">
      <w:pPr>
        <w:pStyle w:val="FootnoteText"/>
        <w:jc w:val="both"/>
        <w:rPr>
          <w:rFonts w:ascii="Arial" w:hAnsi="Arial" w:cs="Arial"/>
          <w:sz w:val="24"/>
          <w:szCs w:val="24"/>
        </w:rPr>
      </w:pPr>
      <w:r w:rsidRPr="00242FA8">
        <w:rPr>
          <w:rStyle w:val="FootnoteReference"/>
          <w:rFonts w:ascii="Arial" w:hAnsi="Arial" w:cs="Arial"/>
          <w:sz w:val="24"/>
          <w:szCs w:val="24"/>
        </w:rPr>
        <w:footnoteRef/>
      </w:r>
      <w:r w:rsidRPr="00242FA8">
        <w:rPr>
          <w:rFonts w:ascii="Arial" w:hAnsi="Arial" w:cs="Arial"/>
          <w:sz w:val="24"/>
          <w:szCs w:val="24"/>
        </w:rPr>
        <w:t xml:space="preserve"> See Joined Cases 117/76 </w:t>
      </w:r>
      <w:r>
        <w:rPr>
          <w:rFonts w:ascii="Arial" w:hAnsi="Arial" w:cs="Arial"/>
          <w:sz w:val="24"/>
          <w:szCs w:val="24"/>
        </w:rPr>
        <w:t>&amp;</w:t>
      </w:r>
      <w:r w:rsidRPr="00242FA8">
        <w:rPr>
          <w:rFonts w:ascii="Arial" w:hAnsi="Arial" w:cs="Arial"/>
          <w:sz w:val="24"/>
          <w:szCs w:val="24"/>
        </w:rPr>
        <w:t xml:space="preserve"> 16/77 </w:t>
      </w:r>
      <w:proofErr w:type="spellStart"/>
      <w:r w:rsidRPr="00242FA8">
        <w:rPr>
          <w:rFonts w:ascii="Arial" w:hAnsi="Arial" w:cs="Arial"/>
          <w:sz w:val="24"/>
          <w:szCs w:val="24"/>
          <w:u w:val="single"/>
        </w:rPr>
        <w:t>Ruckdescbel</w:t>
      </w:r>
      <w:proofErr w:type="spellEnd"/>
      <w:r w:rsidRPr="00242FA8">
        <w:rPr>
          <w:rFonts w:ascii="Arial" w:hAnsi="Arial" w:cs="Arial"/>
          <w:sz w:val="24"/>
          <w:szCs w:val="24"/>
          <w:u w:val="single"/>
        </w:rPr>
        <w:t xml:space="preserve"> &amp; </w:t>
      </w:r>
      <w:proofErr w:type="spellStart"/>
      <w:r w:rsidRPr="00242FA8">
        <w:rPr>
          <w:rFonts w:ascii="Arial" w:hAnsi="Arial" w:cs="Arial"/>
          <w:sz w:val="24"/>
          <w:szCs w:val="24"/>
          <w:u w:val="single"/>
        </w:rPr>
        <w:t>Hanse</w:t>
      </w:r>
      <w:proofErr w:type="spellEnd"/>
      <w:r w:rsidRPr="00242FA8">
        <w:rPr>
          <w:rFonts w:ascii="Arial" w:hAnsi="Arial" w:cs="Arial"/>
          <w:sz w:val="24"/>
          <w:szCs w:val="24"/>
          <w:u w:val="single"/>
        </w:rPr>
        <w:t xml:space="preserve"> </w:t>
      </w:r>
      <w:proofErr w:type="spellStart"/>
      <w:r w:rsidRPr="00242FA8">
        <w:rPr>
          <w:rFonts w:ascii="Arial" w:hAnsi="Arial" w:cs="Arial"/>
          <w:sz w:val="24"/>
          <w:szCs w:val="24"/>
          <w:u w:val="single"/>
        </w:rPr>
        <w:t>Lagerhaus</w:t>
      </w:r>
      <w:proofErr w:type="spellEnd"/>
      <w:r w:rsidRPr="00242FA8">
        <w:rPr>
          <w:rFonts w:ascii="Arial" w:hAnsi="Arial" w:cs="Arial"/>
          <w:sz w:val="24"/>
          <w:szCs w:val="24"/>
          <w:u w:val="single"/>
        </w:rPr>
        <w:t xml:space="preserve"> Stroh v </w:t>
      </w:r>
      <w:proofErr w:type="spellStart"/>
      <w:r w:rsidRPr="00242FA8">
        <w:rPr>
          <w:rFonts w:ascii="Arial" w:hAnsi="Arial" w:cs="Arial"/>
          <w:sz w:val="24"/>
          <w:szCs w:val="24"/>
          <w:u w:val="single"/>
        </w:rPr>
        <w:t>Hauptzollamt</w:t>
      </w:r>
      <w:proofErr w:type="spellEnd"/>
      <w:r w:rsidRPr="00242FA8">
        <w:rPr>
          <w:rFonts w:ascii="Arial" w:hAnsi="Arial" w:cs="Arial"/>
          <w:sz w:val="24"/>
          <w:szCs w:val="24"/>
          <w:u w:val="single"/>
        </w:rPr>
        <w:t xml:space="preserve"> Hamburg-St. </w:t>
      </w:r>
      <w:proofErr w:type="spellStart"/>
      <w:r w:rsidRPr="00242FA8">
        <w:rPr>
          <w:rFonts w:ascii="Arial" w:hAnsi="Arial" w:cs="Arial"/>
          <w:sz w:val="24"/>
          <w:szCs w:val="24"/>
          <w:u w:val="single"/>
        </w:rPr>
        <w:t>Annen</w:t>
      </w:r>
      <w:proofErr w:type="spellEnd"/>
      <w:r w:rsidRPr="00242FA8">
        <w:rPr>
          <w:rFonts w:ascii="Arial" w:hAnsi="Arial" w:cs="Arial"/>
          <w:sz w:val="24"/>
          <w:szCs w:val="24"/>
        </w:rPr>
        <w:t xml:space="preserve"> [1977] ECR 1753 para 7 and Joined Cases 124/76 </w:t>
      </w:r>
      <w:r>
        <w:rPr>
          <w:rFonts w:ascii="Arial" w:hAnsi="Arial" w:cs="Arial"/>
          <w:sz w:val="24"/>
          <w:szCs w:val="24"/>
        </w:rPr>
        <w:t>&amp;</w:t>
      </w:r>
      <w:r w:rsidRPr="00242FA8">
        <w:rPr>
          <w:rFonts w:ascii="Arial" w:hAnsi="Arial" w:cs="Arial"/>
          <w:sz w:val="24"/>
          <w:szCs w:val="24"/>
        </w:rPr>
        <w:t xml:space="preserve"> 20/77 </w:t>
      </w:r>
      <w:r w:rsidRPr="00242FA8">
        <w:rPr>
          <w:rFonts w:ascii="Arial" w:hAnsi="Arial" w:cs="Arial"/>
          <w:sz w:val="24"/>
          <w:szCs w:val="24"/>
          <w:u w:val="single"/>
        </w:rPr>
        <w:t xml:space="preserve">SA </w:t>
      </w:r>
      <w:proofErr w:type="spellStart"/>
      <w:r w:rsidRPr="00242FA8">
        <w:rPr>
          <w:rFonts w:ascii="Arial" w:hAnsi="Arial" w:cs="Arial"/>
          <w:sz w:val="24"/>
          <w:szCs w:val="24"/>
          <w:u w:val="single"/>
        </w:rPr>
        <w:t>Moulins</w:t>
      </w:r>
      <w:proofErr w:type="spellEnd"/>
      <w:r w:rsidRPr="00242FA8">
        <w:rPr>
          <w:rFonts w:ascii="Arial" w:hAnsi="Arial" w:cs="Arial"/>
          <w:sz w:val="24"/>
          <w:szCs w:val="24"/>
          <w:u w:val="single"/>
        </w:rPr>
        <w:t xml:space="preserve"> et </w:t>
      </w:r>
      <w:proofErr w:type="spellStart"/>
      <w:r w:rsidRPr="00242FA8">
        <w:rPr>
          <w:rFonts w:ascii="Arial" w:hAnsi="Arial" w:cs="Arial"/>
          <w:sz w:val="24"/>
          <w:szCs w:val="24"/>
          <w:u w:val="single"/>
        </w:rPr>
        <w:t>Huileries</w:t>
      </w:r>
      <w:proofErr w:type="spellEnd"/>
      <w:r w:rsidRPr="00242FA8">
        <w:rPr>
          <w:rFonts w:ascii="Arial" w:hAnsi="Arial" w:cs="Arial"/>
          <w:sz w:val="24"/>
          <w:szCs w:val="24"/>
          <w:u w:val="single"/>
        </w:rPr>
        <w:t xml:space="preserve"> de Pont-à-</w:t>
      </w:r>
      <w:proofErr w:type="spellStart"/>
      <w:r w:rsidRPr="00242FA8">
        <w:rPr>
          <w:rFonts w:ascii="Arial" w:hAnsi="Arial" w:cs="Arial"/>
          <w:sz w:val="24"/>
          <w:szCs w:val="24"/>
          <w:u w:val="single"/>
        </w:rPr>
        <w:t>Mousson</w:t>
      </w:r>
      <w:proofErr w:type="spellEnd"/>
      <w:r w:rsidRPr="00242FA8">
        <w:rPr>
          <w:rFonts w:ascii="Arial" w:hAnsi="Arial" w:cs="Arial"/>
          <w:sz w:val="24"/>
          <w:szCs w:val="24"/>
          <w:u w:val="single"/>
        </w:rPr>
        <w:t xml:space="preserve"> v ONÏC</w:t>
      </w:r>
      <w:r w:rsidRPr="00242FA8">
        <w:rPr>
          <w:rFonts w:ascii="Arial" w:hAnsi="Arial" w:cs="Arial"/>
          <w:sz w:val="24"/>
          <w:szCs w:val="24"/>
        </w:rPr>
        <w:t xml:space="preserve"> [1977] ECR 1795 para 16</w:t>
      </w:r>
    </w:p>
  </w:footnote>
  <w:footnote w:id="69">
    <w:p w:rsidR="00E526B7" w:rsidRPr="005246E9" w:rsidRDefault="00E526B7" w:rsidP="005246E9">
      <w:pPr>
        <w:pStyle w:val="FootnoteText"/>
        <w:jc w:val="both"/>
        <w:rPr>
          <w:rFonts w:ascii="Arial" w:hAnsi="Arial" w:cs="Arial"/>
          <w:sz w:val="24"/>
          <w:szCs w:val="24"/>
        </w:rPr>
      </w:pPr>
      <w:r w:rsidRPr="005246E9">
        <w:rPr>
          <w:rStyle w:val="FootnoteReference"/>
          <w:rFonts w:ascii="Arial" w:hAnsi="Arial" w:cs="Arial"/>
          <w:sz w:val="24"/>
          <w:szCs w:val="24"/>
        </w:rPr>
        <w:footnoteRef/>
      </w:r>
      <w:r w:rsidRPr="005246E9">
        <w:rPr>
          <w:rFonts w:ascii="Arial" w:hAnsi="Arial" w:cs="Arial"/>
          <w:sz w:val="24"/>
          <w:szCs w:val="24"/>
        </w:rPr>
        <w:t xml:space="preserve"> Case 149/77 </w:t>
      </w:r>
      <w:proofErr w:type="spellStart"/>
      <w:r w:rsidRPr="005246E9">
        <w:rPr>
          <w:rFonts w:ascii="Arial" w:hAnsi="Arial" w:cs="Arial"/>
          <w:sz w:val="24"/>
          <w:szCs w:val="24"/>
          <w:u w:val="single"/>
        </w:rPr>
        <w:t>Defrenne</w:t>
      </w:r>
      <w:proofErr w:type="spellEnd"/>
      <w:r w:rsidRPr="005246E9">
        <w:rPr>
          <w:rFonts w:ascii="Arial" w:hAnsi="Arial" w:cs="Arial"/>
          <w:sz w:val="24"/>
          <w:szCs w:val="24"/>
          <w:u w:val="single"/>
        </w:rPr>
        <w:t xml:space="preserve"> v Sabena</w:t>
      </w:r>
      <w:r w:rsidRPr="005246E9">
        <w:rPr>
          <w:rFonts w:ascii="Arial" w:hAnsi="Arial" w:cs="Arial"/>
          <w:sz w:val="24"/>
          <w:szCs w:val="24"/>
        </w:rPr>
        <w:t xml:space="preserve"> [1978] ECR 1365 para 27</w:t>
      </w:r>
    </w:p>
  </w:footnote>
  <w:footnote w:id="70">
    <w:p w:rsidR="00E526B7" w:rsidRPr="00D975E6" w:rsidRDefault="00E526B7" w:rsidP="00D975E6">
      <w:pPr>
        <w:pStyle w:val="FootnoteText"/>
        <w:jc w:val="both"/>
        <w:rPr>
          <w:rFonts w:ascii="Arial" w:hAnsi="Arial" w:cs="Arial"/>
          <w:sz w:val="24"/>
          <w:szCs w:val="24"/>
        </w:rPr>
      </w:pPr>
      <w:r w:rsidRPr="00D975E6">
        <w:rPr>
          <w:rStyle w:val="FootnoteReference"/>
          <w:rFonts w:ascii="Arial" w:hAnsi="Arial" w:cs="Arial"/>
          <w:sz w:val="24"/>
          <w:szCs w:val="24"/>
        </w:rPr>
        <w:footnoteRef/>
      </w:r>
      <w:r w:rsidRPr="00D975E6">
        <w:rPr>
          <w:rFonts w:ascii="Arial" w:hAnsi="Arial" w:cs="Arial"/>
          <w:sz w:val="24"/>
          <w:szCs w:val="24"/>
        </w:rPr>
        <w:t xml:space="preserve"> Joined Cases 75 &amp; 112/82 </w:t>
      </w:r>
      <w:proofErr w:type="spellStart"/>
      <w:r w:rsidRPr="00D975E6">
        <w:rPr>
          <w:rFonts w:ascii="Arial" w:hAnsi="Arial" w:cs="Arial"/>
          <w:sz w:val="24"/>
          <w:szCs w:val="24"/>
          <w:u w:val="single"/>
        </w:rPr>
        <w:t>Razzouk</w:t>
      </w:r>
      <w:proofErr w:type="spellEnd"/>
      <w:r w:rsidRPr="00D975E6">
        <w:rPr>
          <w:rFonts w:ascii="Arial" w:hAnsi="Arial" w:cs="Arial"/>
          <w:sz w:val="24"/>
          <w:szCs w:val="24"/>
          <w:u w:val="single"/>
        </w:rPr>
        <w:t xml:space="preserve"> &amp; </w:t>
      </w:r>
      <w:proofErr w:type="spellStart"/>
      <w:r w:rsidRPr="00D975E6">
        <w:rPr>
          <w:rFonts w:ascii="Arial" w:hAnsi="Arial" w:cs="Arial"/>
          <w:sz w:val="24"/>
          <w:szCs w:val="24"/>
          <w:u w:val="single"/>
        </w:rPr>
        <w:t>Beydoun</w:t>
      </w:r>
      <w:proofErr w:type="spellEnd"/>
      <w:r w:rsidRPr="00D975E6">
        <w:rPr>
          <w:rFonts w:ascii="Arial" w:hAnsi="Arial" w:cs="Arial"/>
          <w:sz w:val="24"/>
          <w:szCs w:val="24"/>
          <w:u w:val="single"/>
        </w:rPr>
        <w:t xml:space="preserve"> v Commission</w:t>
      </w:r>
      <w:r w:rsidRPr="00D975E6">
        <w:rPr>
          <w:rFonts w:ascii="Arial" w:hAnsi="Arial" w:cs="Arial"/>
          <w:sz w:val="24"/>
          <w:szCs w:val="24"/>
        </w:rPr>
        <w:t xml:space="preserve"> [1984] ECR 1509 para 17</w:t>
      </w:r>
    </w:p>
  </w:footnote>
  <w:footnote w:id="71">
    <w:p w:rsidR="00E526B7" w:rsidRDefault="00E526B7" w:rsidP="00242FA8">
      <w:pPr>
        <w:pStyle w:val="FootnoteText"/>
        <w:jc w:val="both"/>
      </w:pPr>
      <w:r w:rsidRPr="00242FA8">
        <w:rPr>
          <w:rStyle w:val="FootnoteReference"/>
          <w:rFonts w:ascii="Arial" w:hAnsi="Arial" w:cs="Arial"/>
          <w:sz w:val="24"/>
          <w:szCs w:val="24"/>
        </w:rPr>
        <w:footnoteRef/>
      </w:r>
      <w:r w:rsidRPr="00242FA8">
        <w:rPr>
          <w:rFonts w:ascii="Arial" w:hAnsi="Arial" w:cs="Arial"/>
          <w:sz w:val="24"/>
          <w:szCs w:val="24"/>
        </w:rPr>
        <w:t xml:space="preserve"> </w:t>
      </w:r>
      <w:r w:rsidR="00A6349D">
        <w:rPr>
          <w:rFonts w:ascii="Arial" w:hAnsi="Arial" w:cs="Arial"/>
          <w:sz w:val="24"/>
          <w:szCs w:val="24"/>
        </w:rPr>
        <w:t>Op. Cit. n.64</w:t>
      </w:r>
    </w:p>
  </w:footnote>
  <w:footnote w:id="72">
    <w:p w:rsidR="00E526B7" w:rsidRPr="007D155F" w:rsidRDefault="00E526B7" w:rsidP="007D155F">
      <w:pPr>
        <w:pStyle w:val="FootnoteText"/>
        <w:jc w:val="both"/>
        <w:rPr>
          <w:rFonts w:ascii="Arial" w:hAnsi="Arial" w:cs="Arial"/>
          <w:sz w:val="24"/>
          <w:szCs w:val="24"/>
        </w:rPr>
      </w:pPr>
      <w:r w:rsidRPr="007D155F">
        <w:rPr>
          <w:rStyle w:val="FootnoteReference"/>
          <w:rFonts w:ascii="Arial" w:hAnsi="Arial" w:cs="Arial"/>
          <w:sz w:val="24"/>
          <w:szCs w:val="24"/>
        </w:rPr>
        <w:footnoteRef/>
      </w:r>
      <w:r w:rsidRPr="007D155F">
        <w:rPr>
          <w:rFonts w:ascii="Arial" w:hAnsi="Arial" w:cs="Arial"/>
          <w:sz w:val="24"/>
          <w:szCs w:val="24"/>
        </w:rPr>
        <w:t xml:space="preserve"> Ibid. paras 74-75</w:t>
      </w:r>
    </w:p>
  </w:footnote>
  <w:footnote w:id="73">
    <w:p w:rsidR="00E526B7" w:rsidRPr="007D155F" w:rsidRDefault="00E526B7" w:rsidP="007D155F">
      <w:pPr>
        <w:pStyle w:val="FootnoteText"/>
        <w:jc w:val="both"/>
        <w:rPr>
          <w:rFonts w:ascii="Arial" w:hAnsi="Arial" w:cs="Arial"/>
          <w:sz w:val="24"/>
          <w:szCs w:val="24"/>
        </w:rPr>
      </w:pPr>
      <w:r w:rsidRPr="007D155F">
        <w:rPr>
          <w:rStyle w:val="FootnoteReference"/>
          <w:rFonts w:ascii="Arial" w:hAnsi="Arial" w:cs="Arial"/>
          <w:sz w:val="24"/>
          <w:szCs w:val="24"/>
        </w:rPr>
        <w:footnoteRef/>
      </w:r>
      <w:r w:rsidRPr="007D155F">
        <w:rPr>
          <w:rFonts w:ascii="Arial" w:hAnsi="Arial" w:cs="Arial"/>
          <w:sz w:val="24"/>
          <w:szCs w:val="24"/>
        </w:rPr>
        <w:t xml:space="preserve"> Ibid. para 77</w:t>
      </w:r>
    </w:p>
  </w:footnote>
  <w:footnote w:id="74">
    <w:p w:rsidR="00E526B7" w:rsidRPr="007D155F" w:rsidRDefault="00E526B7" w:rsidP="007D155F">
      <w:pPr>
        <w:pStyle w:val="FootnoteText"/>
        <w:jc w:val="both"/>
        <w:rPr>
          <w:rFonts w:ascii="Arial" w:hAnsi="Arial" w:cs="Arial"/>
          <w:sz w:val="24"/>
          <w:szCs w:val="24"/>
        </w:rPr>
      </w:pPr>
      <w:r w:rsidRPr="007D155F">
        <w:rPr>
          <w:rStyle w:val="FootnoteReference"/>
          <w:rFonts w:ascii="Arial" w:hAnsi="Arial" w:cs="Arial"/>
          <w:sz w:val="24"/>
          <w:szCs w:val="24"/>
        </w:rPr>
        <w:footnoteRef/>
      </w:r>
      <w:r w:rsidRPr="007D155F">
        <w:rPr>
          <w:rFonts w:ascii="Arial" w:hAnsi="Arial" w:cs="Arial"/>
          <w:sz w:val="24"/>
          <w:szCs w:val="24"/>
        </w:rPr>
        <w:t xml:space="preserve"> </w:t>
      </w:r>
      <w:r w:rsidR="00A6349D">
        <w:rPr>
          <w:rFonts w:ascii="Arial" w:hAnsi="Arial" w:cs="Arial"/>
          <w:sz w:val="24"/>
          <w:szCs w:val="24"/>
        </w:rPr>
        <w:t>Op. Cit. n.66</w:t>
      </w:r>
      <w:r w:rsidRPr="007D155F">
        <w:rPr>
          <w:rFonts w:ascii="Arial" w:hAnsi="Arial" w:cs="Arial"/>
          <w:sz w:val="24"/>
          <w:szCs w:val="24"/>
        </w:rPr>
        <w:t xml:space="preserve"> paras 50-51</w:t>
      </w:r>
    </w:p>
  </w:footnote>
  <w:footnote w:id="75">
    <w:p w:rsidR="00E526B7" w:rsidRPr="007D155F" w:rsidRDefault="00E526B7" w:rsidP="007D155F">
      <w:pPr>
        <w:pStyle w:val="FootnoteText"/>
        <w:jc w:val="both"/>
        <w:rPr>
          <w:rFonts w:ascii="Arial" w:hAnsi="Arial" w:cs="Arial"/>
          <w:sz w:val="24"/>
          <w:szCs w:val="24"/>
        </w:rPr>
      </w:pPr>
      <w:r w:rsidRPr="007D155F">
        <w:rPr>
          <w:rStyle w:val="FootnoteReference"/>
          <w:rFonts w:ascii="Arial" w:hAnsi="Arial" w:cs="Arial"/>
          <w:sz w:val="24"/>
          <w:szCs w:val="24"/>
        </w:rPr>
        <w:footnoteRef/>
      </w:r>
      <w:r w:rsidRPr="007D155F">
        <w:rPr>
          <w:rFonts w:ascii="Arial" w:hAnsi="Arial" w:cs="Arial"/>
          <w:sz w:val="24"/>
          <w:szCs w:val="24"/>
        </w:rPr>
        <w:t xml:space="preserve"> Ibid. para 22</w:t>
      </w:r>
    </w:p>
  </w:footnote>
  <w:footnote w:id="76">
    <w:p w:rsidR="00E526B7" w:rsidRDefault="00E526B7" w:rsidP="007D155F">
      <w:pPr>
        <w:pStyle w:val="FootnoteText"/>
        <w:jc w:val="both"/>
      </w:pPr>
      <w:r w:rsidRPr="007D155F">
        <w:rPr>
          <w:rStyle w:val="FootnoteReference"/>
          <w:rFonts w:ascii="Arial" w:hAnsi="Arial" w:cs="Arial"/>
          <w:sz w:val="24"/>
          <w:szCs w:val="24"/>
        </w:rPr>
        <w:footnoteRef/>
      </w:r>
      <w:r w:rsidRPr="007D155F">
        <w:rPr>
          <w:rFonts w:ascii="Arial" w:hAnsi="Arial" w:cs="Arial"/>
          <w:sz w:val="24"/>
          <w:szCs w:val="24"/>
        </w:rPr>
        <w:t xml:space="preserve"> Ibid. para 53</w:t>
      </w:r>
    </w:p>
  </w:footnote>
  <w:footnote w:id="77">
    <w:p w:rsidR="00E526B7" w:rsidRPr="005A7289" w:rsidRDefault="00E526B7" w:rsidP="00E526B7">
      <w:pPr>
        <w:pStyle w:val="FootnoteText"/>
        <w:jc w:val="both"/>
        <w:rPr>
          <w:rFonts w:ascii="Arial" w:hAnsi="Arial" w:cs="Arial"/>
          <w:sz w:val="24"/>
          <w:szCs w:val="24"/>
        </w:rPr>
      </w:pPr>
      <w:r w:rsidRPr="005A7289">
        <w:rPr>
          <w:rStyle w:val="FootnoteReference"/>
          <w:rFonts w:ascii="Arial" w:hAnsi="Arial" w:cs="Arial"/>
          <w:sz w:val="24"/>
          <w:szCs w:val="24"/>
        </w:rPr>
        <w:footnoteRef/>
      </w:r>
      <w:r w:rsidRPr="005A7289">
        <w:rPr>
          <w:rFonts w:ascii="Arial" w:hAnsi="Arial" w:cs="Arial"/>
          <w:sz w:val="24"/>
          <w:szCs w:val="24"/>
        </w:rPr>
        <w:t xml:space="preserve"> B</w:t>
      </w:r>
      <w:r>
        <w:rPr>
          <w:rFonts w:ascii="Arial" w:hAnsi="Arial" w:cs="Arial"/>
          <w:sz w:val="24"/>
          <w:szCs w:val="24"/>
        </w:rPr>
        <w:t>.</w:t>
      </w:r>
      <w:r w:rsidRPr="005A7289">
        <w:rPr>
          <w:rFonts w:ascii="Arial" w:hAnsi="Arial" w:cs="Arial"/>
          <w:sz w:val="24"/>
          <w:szCs w:val="24"/>
        </w:rPr>
        <w:t xml:space="preserve"> Hepple, </w:t>
      </w:r>
      <w:r w:rsidRPr="005A7289">
        <w:rPr>
          <w:rFonts w:ascii="Arial" w:hAnsi="Arial" w:cs="Arial"/>
          <w:i/>
          <w:sz w:val="24"/>
          <w:szCs w:val="24"/>
        </w:rPr>
        <w:t>Equality: The New Legal Framework</w:t>
      </w:r>
      <w:r w:rsidRPr="005A7289">
        <w:rPr>
          <w:rFonts w:ascii="Arial" w:hAnsi="Arial" w:cs="Arial"/>
          <w:sz w:val="24"/>
          <w:szCs w:val="24"/>
        </w:rPr>
        <w:t xml:space="preserve"> (Oxford</w:t>
      </w:r>
      <w:r>
        <w:rPr>
          <w:rFonts w:ascii="Arial" w:hAnsi="Arial" w:cs="Arial"/>
          <w:sz w:val="24"/>
          <w:szCs w:val="24"/>
        </w:rPr>
        <w:t>:</w:t>
      </w:r>
      <w:r w:rsidRPr="005A7289">
        <w:rPr>
          <w:rFonts w:ascii="Arial" w:hAnsi="Arial" w:cs="Arial"/>
          <w:sz w:val="24"/>
          <w:szCs w:val="24"/>
        </w:rPr>
        <w:t xml:space="preserve"> Hart Publishing, 2011) 1</w:t>
      </w:r>
    </w:p>
  </w:footnote>
  <w:footnote w:id="78">
    <w:p w:rsidR="00E526B7" w:rsidRPr="005A7289" w:rsidRDefault="00E526B7" w:rsidP="00E526B7">
      <w:pPr>
        <w:pStyle w:val="FootnoteText"/>
        <w:jc w:val="both"/>
        <w:rPr>
          <w:rFonts w:ascii="Arial" w:hAnsi="Arial" w:cs="Arial"/>
          <w:sz w:val="24"/>
          <w:szCs w:val="24"/>
        </w:rPr>
      </w:pPr>
      <w:r w:rsidRPr="005A7289">
        <w:rPr>
          <w:rStyle w:val="FootnoteReference"/>
          <w:rFonts w:ascii="Arial" w:hAnsi="Arial" w:cs="Arial"/>
          <w:sz w:val="24"/>
          <w:szCs w:val="24"/>
        </w:rPr>
        <w:footnoteRef/>
      </w:r>
      <w:r w:rsidRPr="005A7289">
        <w:rPr>
          <w:rFonts w:ascii="Arial" w:hAnsi="Arial" w:cs="Arial"/>
          <w:sz w:val="24"/>
          <w:szCs w:val="24"/>
        </w:rPr>
        <w:t xml:space="preserve"> Direct discrimination is defined in EA10 s 13, indirect discrimination, applicable to all protected characteristics, is defined in EA10</w:t>
      </w:r>
      <w:r>
        <w:rPr>
          <w:rFonts w:ascii="Arial" w:hAnsi="Arial" w:cs="Arial"/>
          <w:sz w:val="24"/>
          <w:szCs w:val="24"/>
        </w:rPr>
        <w:t>,</w:t>
      </w:r>
      <w:r w:rsidRPr="005A7289">
        <w:rPr>
          <w:rFonts w:ascii="Arial" w:hAnsi="Arial" w:cs="Arial"/>
          <w:sz w:val="24"/>
          <w:szCs w:val="24"/>
        </w:rPr>
        <w:t xml:space="preserve"> s 19 and no real comparator is required to assess discrimination (EA10</w:t>
      </w:r>
      <w:r>
        <w:rPr>
          <w:rFonts w:ascii="Arial" w:hAnsi="Arial" w:cs="Arial"/>
          <w:sz w:val="24"/>
          <w:szCs w:val="24"/>
        </w:rPr>
        <w:t>,</w:t>
      </w:r>
      <w:r w:rsidRPr="005A7289">
        <w:rPr>
          <w:rFonts w:ascii="Arial" w:hAnsi="Arial" w:cs="Arial"/>
          <w:sz w:val="24"/>
          <w:szCs w:val="24"/>
        </w:rPr>
        <w:t xml:space="preserve"> ss 23 and 24)</w:t>
      </w:r>
      <w:r>
        <w:rPr>
          <w:rFonts w:ascii="Arial" w:hAnsi="Arial" w:cs="Arial"/>
          <w:sz w:val="24"/>
          <w:szCs w:val="24"/>
        </w:rPr>
        <w:t>. Furthermore EA10, s 14 contains a new provision on multiple discrimination</w:t>
      </w:r>
    </w:p>
  </w:footnote>
  <w:footnote w:id="79">
    <w:p w:rsidR="00E526B7" w:rsidRPr="005A7289" w:rsidRDefault="00E526B7" w:rsidP="00E526B7">
      <w:pPr>
        <w:pStyle w:val="FootnoteText"/>
        <w:jc w:val="both"/>
        <w:rPr>
          <w:rFonts w:ascii="Arial" w:hAnsi="Arial" w:cs="Arial"/>
          <w:sz w:val="24"/>
          <w:szCs w:val="24"/>
        </w:rPr>
      </w:pPr>
      <w:r w:rsidRPr="005A7289">
        <w:rPr>
          <w:rStyle w:val="FootnoteReference"/>
          <w:rFonts w:ascii="Arial" w:hAnsi="Arial" w:cs="Arial"/>
          <w:sz w:val="24"/>
          <w:szCs w:val="24"/>
        </w:rPr>
        <w:footnoteRef/>
      </w:r>
      <w:r w:rsidRPr="005A7289">
        <w:rPr>
          <w:rFonts w:ascii="Arial" w:hAnsi="Arial" w:cs="Arial"/>
          <w:sz w:val="24"/>
          <w:szCs w:val="24"/>
        </w:rPr>
        <w:t xml:space="preserve"> EA10</w:t>
      </w:r>
      <w:r>
        <w:rPr>
          <w:rFonts w:ascii="Arial" w:hAnsi="Arial" w:cs="Arial"/>
          <w:sz w:val="24"/>
          <w:szCs w:val="24"/>
        </w:rPr>
        <w:t>,</w:t>
      </w:r>
      <w:r w:rsidRPr="005A7289">
        <w:rPr>
          <w:rFonts w:ascii="Arial" w:hAnsi="Arial" w:cs="Arial"/>
          <w:sz w:val="24"/>
          <w:szCs w:val="24"/>
        </w:rPr>
        <w:t xml:space="preserve"> s 26</w:t>
      </w:r>
    </w:p>
  </w:footnote>
  <w:footnote w:id="80">
    <w:p w:rsidR="00E526B7" w:rsidRPr="005A7289" w:rsidRDefault="00E526B7" w:rsidP="00E526B7">
      <w:pPr>
        <w:pStyle w:val="FootnoteText"/>
        <w:jc w:val="both"/>
        <w:rPr>
          <w:rFonts w:ascii="Arial" w:hAnsi="Arial" w:cs="Arial"/>
          <w:sz w:val="24"/>
          <w:szCs w:val="24"/>
        </w:rPr>
      </w:pPr>
      <w:r w:rsidRPr="005A7289">
        <w:rPr>
          <w:rStyle w:val="FootnoteReference"/>
          <w:rFonts w:ascii="Arial" w:hAnsi="Arial" w:cs="Arial"/>
          <w:sz w:val="24"/>
          <w:szCs w:val="24"/>
        </w:rPr>
        <w:footnoteRef/>
      </w:r>
      <w:r w:rsidRPr="005A7289">
        <w:rPr>
          <w:rFonts w:ascii="Arial" w:hAnsi="Arial" w:cs="Arial"/>
          <w:sz w:val="24"/>
          <w:szCs w:val="24"/>
        </w:rPr>
        <w:t xml:space="preserve"> EA10</w:t>
      </w:r>
      <w:r>
        <w:rPr>
          <w:rFonts w:ascii="Arial" w:hAnsi="Arial" w:cs="Arial"/>
          <w:sz w:val="24"/>
          <w:szCs w:val="24"/>
        </w:rPr>
        <w:t>,</w:t>
      </w:r>
      <w:r w:rsidRPr="005A7289">
        <w:rPr>
          <w:rFonts w:ascii="Arial" w:hAnsi="Arial" w:cs="Arial"/>
          <w:sz w:val="24"/>
          <w:szCs w:val="24"/>
        </w:rPr>
        <w:t xml:space="preserve"> s 27</w:t>
      </w:r>
    </w:p>
  </w:footnote>
  <w:footnote w:id="81">
    <w:p w:rsidR="00E526B7" w:rsidRPr="005A7289" w:rsidRDefault="00E526B7" w:rsidP="00E526B7">
      <w:pPr>
        <w:pStyle w:val="FootnoteText"/>
        <w:jc w:val="both"/>
        <w:rPr>
          <w:rFonts w:ascii="Arial" w:hAnsi="Arial" w:cs="Arial"/>
          <w:sz w:val="24"/>
          <w:szCs w:val="24"/>
        </w:rPr>
      </w:pPr>
      <w:r w:rsidRPr="005A7289">
        <w:rPr>
          <w:rStyle w:val="FootnoteReference"/>
          <w:rFonts w:ascii="Arial" w:hAnsi="Arial" w:cs="Arial"/>
          <w:sz w:val="24"/>
          <w:szCs w:val="24"/>
        </w:rPr>
        <w:footnoteRef/>
      </w:r>
      <w:r>
        <w:rPr>
          <w:rFonts w:ascii="Arial" w:hAnsi="Arial" w:cs="Arial"/>
          <w:sz w:val="24"/>
          <w:szCs w:val="24"/>
        </w:rPr>
        <w:t xml:space="preserve"> Ibid.</w:t>
      </w:r>
    </w:p>
  </w:footnote>
  <w:footnote w:id="82">
    <w:p w:rsidR="00E526B7" w:rsidRPr="005A7289" w:rsidRDefault="00E526B7" w:rsidP="00E526B7">
      <w:pPr>
        <w:pStyle w:val="FootnoteText"/>
        <w:jc w:val="both"/>
        <w:rPr>
          <w:rFonts w:ascii="Arial" w:hAnsi="Arial" w:cs="Arial"/>
          <w:sz w:val="24"/>
          <w:szCs w:val="24"/>
        </w:rPr>
      </w:pPr>
      <w:r w:rsidRPr="005A7289">
        <w:rPr>
          <w:rStyle w:val="FootnoteReference"/>
          <w:rFonts w:ascii="Arial" w:hAnsi="Arial" w:cs="Arial"/>
          <w:sz w:val="24"/>
          <w:szCs w:val="24"/>
        </w:rPr>
        <w:footnoteRef/>
      </w:r>
      <w:r w:rsidRPr="005A7289">
        <w:rPr>
          <w:rFonts w:ascii="Arial" w:hAnsi="Arial" w:cs="Arial"/>
          <w:sz w:val="24"/>
          <w:szCs w:val="24"/>
        </w:rPr>
        <w:t xml:space="preserve"> EA10</w:t>
      </w:r>
      <w:r>
        <w:rPr>
          <w:rFonts w:ascii="Arial" w:hAnsi="Arial" w:cs="Arial"/>
          <w:sz w:val="24"/>
          <w:szCs w:val="24"/>
        </w:rPr>
        <w:t>,</w:t>
      </w:r>
      <w:r w:rsidRPr="005A7289">
        <w:rPr>
          <w:rFonts w:ascii="Arial" w:hAnsi="Arial" w:cs="Arial"/>
          <w:sz w:val="24"/>
          <w:szCs w:val="24"/>
        </w:rPr>
        <w:t xml:space="preserve"> s 4, with definitions of each characteristic provided in ss 5-12</w:t>
      </w:r>
    </w:p>
  </w:footnote>
  <w:footnote w:id="83">
    <w:p w:rsidR="00E526B7" w:rsidRPr="005A7289" w:rsidRDefault="00E526B7" w:rsidP="00E526B7">
      <w:pPr>
        <w:pStyle w:val="FootnoteText"/>
        <w:jc w:val="both"/>
        <w:rPr>
          <w:rFonts w:ascii="Arial" w:hAnsi="Arial" w:cs="Arial"/>
          <w:sz w:val="24"/>
          <w:szCs w:val="24"/>
        </w:rPr>
      </w:pPr>
      <w:r w:rsidRPr="005A7289">
        <w:rPr>
          <w:rStyle w:val="FootnoteReference"/>
          <w:rFonts w:ascii="Arial" w:hAnsi="Arial" w:cs="Arial"/>
          <w:sz w:val="24"/>
          <w:szCs w:val="24"/>
        </w:rPr>
        <w:footnoteRef/>
      </w:r>
      <w:r w:rsidRPr="005A7289">
        <w:rPr>
          <w:rFonts w:ascii="Arial" w:hAnsi="Arial" w:cs="Arial"/>
          <w:sz w:val="24"/>
          <w:szCs w:val="24"/>
        </w:rPr>
        <w:t xml:space="preserve"> J</w:t>
      </w:r>
      <w:r>
        <w:rPr>
          <w:rFonts w:ascii="Arial" w:hAnsi="Arial" w:cs="Arial"/>
          <w:sz w:val="24"/>
          <w:szCs w:val="24"/>
        </w:rPr>
        <w:t>.</w:t>
      </w:r>
      <w:r w:rsidRPr="005A7289">
        <w:rPr>
          <w:rFonts w:ascii="Arial" w:hAnsi="Arial" w:cs="Arial"/>
          <w:sz w:val="24"/>
          <w:szCs w:val="24"/>
        </w:rPr>
        <w:t xml:space="preserve"> Jowell, ‘Is Equality a Constitutional Principle?’ </w:t>
      </w:r>
      <w:proofErr w:type="gramStart"/>
      <w:r w:rsidRPr="005A7289">
        <w:rPr>
          <w:rFonts w:ascii="Arial" w:hAnsi="Arial" w:cs="Arial"/>
          <w:sz w:val="24"/>
          <w:szCs w:val="24"/>
        </w:rPr>
        <w:t xml:space="preserve">(1994) 47 </w:t>
      </w:r>
      <w:r w:rsidRPr="00805FA5">
        <w:rPr>
          <w:rFonts w:ascii="Arial" w:hAnsi="Arial" w:cs="Arial"/>
          <w:i/>
          <w:sz w:val="24"/>
          <w:szCs w:val="24"/>
        </w:rPr>
        <w:t>Current Legal Problems</w:t>
      </w:r>
      <w:r w:rsidRPr="005A7289">
        <w:rPr>
          <w:rFonts w:ascii="Arial" w:hAnsi="Arial" w:cs="Arial"/>
          <w:sz w:val="24"/>
          <w:szCs w:val="24"/>
        </w:rPr>
        <w:t xml:space="preserve"> 1.</w:t>
      </w:r>
      <w:proofErr w:type="gramEnd"/>
      <w:r w:rsidRPr="005A7289">
        <w:rPr>
          <w:rFonts w:ascii="Arial" w:hAnsi="Arial" w:cs="Arial"/>
          <w:sz w:val="24"/>
          <w:szCs w:val="24"/>
        </w:rPr>
        <w:t xml:space="preserve"> See also J</w:t>
      </w:r>
      <w:r>
        <w:rPr>
          <w:rFonts w:ascii="Arial" w:hAnsi="Arial" w:cs="Arial"/>
          <w:sz w:val="24"/>
          <w:szCs w:val="24"/>
        </w:rPr>
        <w:t>.</w:t>
      </w:r>
      <w:r w:rsidRPr="005A7289">
        <w:rPr>
          <w:rFonts w:ascii="Arial" w:hAnsi="Arial" w:cs="Arial"/>
          <w:sz w:val="24"/>
          <w:szCs w:val="24"/>
        </w:rPr>
        <w:t xml:space="preserve"> Stanton-Ife, ‘Should Equality Be a Constitutional Principle?’ (2000) 11 KCLJ 133 opposing Jowell’s argument</w:t>
      </w:r>
    </w:p>
  </w:footnote>
  <w:footnote w:id="84">
    <w:p w:rsidR="00E526B7" w:rsidRPr="005A7289" w:rsidRDefault="00E526B7" w:rsidP="00E526B7">
      <w:pPr>
        <w:pStyle w:val="FootnoteText"/>
        <w:jc w:val="both"/>
        <w:rPr>
          <w:rFonts w:ascii="Arial" w:hAnsi="Arial" w:cs="Arial"/>
          <w:sz w:val="24"/>
          <w:szCs w:val="24"/>
        </w:rPr>
      </w:pPr>
      <w:r w:rsidRPr="005A7289">
        <w:rPr>
          <w:rStyle w:val="FootnoteReference"/>
          <w:rFonts w:ascii="Arial" w:hAnsi="Arial" w:cs="Arial"/>
          <w:sz w:val="24"/>
          <w:szCs w:val="24"/>
        </w:rPr>
        <w:footnoteRef/>
      </w:r>
      <w:r w:rsidRPr="005A7289">
        <w:rPr>
          <w:rFonts w:ascii="Arial" w:hAnsi="Arial" w:cs="Arial"/>
          <w:sz w:val="24"/>
          <w:szCs w:val="24"/>
        </w:rPr>
        <w:t xml:space="preserve"> See J</w:t>
      </w:r>
      <w:r>
        <w:rPr>
          <w:rFonts w:ascii="Arial" w:hAnsi="Arial" w:cs="Arial"/>
          <w:sz w:val="24"/>
          <w:szCs w:val="24"/>
        </w:rPr>
        <w:t>.</w:t>
      </w:r>
      <w:r w:rsidRPr="005A7289">
        <w:rPr>
          <w:rFonts w:ascii="Arial" w:hAnsi="Arial" w:cs="Arial"/>
          <w:sz w:val="24"/>
          <w:szCs w:val="24"/>
        </w:rPr>
        <w:t xml:space="preserve"> Jones, ‘"Common Constitutional Traditions": Can the Meaning of Human Dignity under German Law Guide the European Court of Justice?’ [2004] PL 167</w:t>
      </w:r>
    </w:p>
  </w:footnote>
  <w:footnote w:id="85">
    <w:p w:rsidR="00E526B7" w:rsidRPr="005A7289" w:rsidRDefault="00E526B7" w:rsidP="00E526B7">
      <w:pPr>
        <w:pStyle w:val="FootnoteText"/>
        <w:jc w:val="both"/>
        <w:rPr>
          <w:rFonts w:ascii="Arial" w:hAnsi="Arial" w:cs="Arial"/>
          <w:sz w:val="24"/>
          <w:szCs w:val="24"/>
        </w:rPr>
      </w:pPr>
      <w:r w:rsidRPr="005A7289">
        <w:rPr>
          <w:rStyle w:val="FootnoteReference"/>
          <w:rFonts w:ascii="Arial" w:hAnsi="Arial" w:cs="Arial"/>
          <w:sz w:val="24"/>
          <w:szCs w:val="24"/>
        </w:rPr>
        <w:footnoteRef/>
      </w:r>
      <w:r w:rsidRPr="005A7289">
        <w:rPr>
          <w:rFonts w:ascii="Arial" w:hAnsi="Arial" w:cs="Arial"/>
          <w:sz w:val="24"/>
          <w:szCs w:val="24"/>
        </w:rPr>
        <w:t xml:space="preserve"> See E</w:t>
      </w:r>
      <w:r>
        <w:rPr>
          <w:rFonts w:ascii="Arial" w:hAnsi="Arial" w:cs="Arial"/>
          <w:sz w:val="24"/>
          <w:szCs w:val="24"/>
        </w:rPr>
        <w:t>.</w:t>
      </w:r>
      <w:r w:rsidRPr="005A7289">
        <w:rPr>
          <w:rFonts w:ascii="Arial" w:hAnsi="Arial" w:cs="Arial"/>
          <w:sz w:val="24"/>
          <w:szCs w:val="24"/>
        </w:rPr>
        <w:t xml:space="preserve"> Grant, ‘Dignity and Equality’ (2007) 7 </w:t>
      </w:r>
      <w:r w:rsidRPr="00805FA5">
        <w:rPr>
          <w:rFonts w:ascii="Arial" w:hAnsi="Arial" w:cs="Arial"/>
          <w:i/>
          <w:sz w:val="24"/>
          <w:szCs w:val="24"/>
        </w:rPr>
        <w:t>Human Rights Law Review</w:t>
      </w:r>
      <w:r w:rsidRPr="005A7289">
        <w:rPr>
          <w:rFonts w:ascii="Arial" w:hAnsi="Arial" w:cs="Arial"/>
          <w:sz w:val="24"/>
          <w:szCs w:val="24"/>
        </w:rPr>
        <w:t xml:space="preserve"> 299</w:t>
      </w:r>
    </w:p>
  </w:footnote>
  <w:footnote w:id="86">
    <w:p w:rsidR="00E526B7" w:rsidRPr="005A7289" w:rsidRDefault="00E526B7" w:rsidP="00E526B7">
      <w:pPr>
        <w:pStyle w:val="FootnoteText"/>
        <w:jc w:val="both"/>
        <w:rPr>
          <w:rFonts w:ascii="Arial" w:hAnsi="Arial" w:cs="Arial"/>
          <w:sz w:val="24"/>
          <w:szCs w:val="24"/>
        </w:rPr>
      </w:pPr>
      <w:r w:rsidRPr="005A7289">
        <w:rPr>
          <w:rStyle w:val="FootnoteReference"/>
          <w:rFonts w:ascii="Arial" w:hAnsi="Arial" w:cs="Arial"/>
          <w:sz w:val="24"/>
          <w:szCs w:val="24"/>
        </w:rPr>
        <w:footnoteRef/>
      </w:r>
      <w:r w:rsidRPr="005A7289">
        <w:rPr>
          <w:rFonts w:ascii="Arial" w:hAnsi="Arial" w:cs="Arial"/>
          <w:sz w:val="24"/>
          <w:szCs w:val="24"/>
        </w:rPr>
        <w:t xml:space="preserve"> This is a highly contested concept – see for example D</w:t>
      </w:r>
      <w:r>
        <w:rPr>
          <w:rFonts w:ascii="Arial" w:hAnsi="Arial" w:cs="Arial"/>
          <w:sz w:val="24"/>
          <w:szCs w:val="24"/>
        </w:rPr>
        <w:t>.</w:t>
      </w:r>
      <w:r w:rsidRPr="005A7289">
        <w:rPr>
          <w:rFonts w:ascii="Arial" w:hAnsi="Arial" w:cs="Arial"/>
          <w:sz w:val="24"/>
          <w:szCs w:val="24"/>
        </w:rPr>
        <w:t xml:space="preserve"> Beyleveld, R</w:t>
      </w:r>
      <w:r>
        <w:rPr>
          <w:rFonts w:ascii="Arial" w:hAnsi="Arial" w:cs="Arial"/>
          <w:sz w:val="24"/>
          <w:szCs w:val="24"/>
        </w:rPr>
        <w:t>.</w:t>
      </w:r>
      <w:r w:rsidRPr="005A7289">
        <w:rPr>
          <w:rFonts w:ascii="Arial" w:hAnsi="Arial" w:cs="Arial"/>
          <w:sz w:val="24"/>
          <w:szCs w:val="24"/>
        </w:rPr>
        <w:t xml:space="preserve"> Brownsword, ‘Human Dignity, Human Rights, and Human Genetics’ (1998) 61 MLR 661</w:t>
      </w:r>
      <w:r>
        <w:rPr>
          <w:rFonts w:ascii="Arial" w:hAnsi="Arial" w:cs="Arial"/>
          <w:sz w:val="24"/>
          <w:szCs w:val="24"/>
        </w:rPr>
        <w:t xml:space="preserve">, </w:t>
      </w:r>
      <w:r w:rsidRPr="005A7289">
        <w:rPr>
          <w:rFonts w:ascii="Arial" w:hAnsi="Arial" w:cs="Arial"/>
          <w:sz w:val="24"/>
          <w:szCs w:val="24"/>
        </w:rPr>
        <w:t>D</w:t>
      </w:r>
      <w:r>
        <w:rPr>
          <w:rFonts w:ascii="Arial" w:hAnsi="Arial" w:cs="Arial"/>
          <w:sz w:val="24"/>
          <w:szCs w:val="24"/>
        </w:rPr>
        <w:t>.</w:t>
      </w:r>
      <w:r w:rsidRPr="005A7289">
        <w:rPr>
          <w:rFonts w:ascii="Arial" w:hAnsi="Arial" w:cs="Arial"/>
          <w:sz w:val="24"/>
          <w:szCs w:val="24"/>
        </w:rPr>
        <w:t xml:space="preserve"> Feldman, ‘Human Dignity as a Legal Value’ [1999] PL 682 and [2000] PL 61 and </w:t>
      </w:r>
      <w:r>
        <w:rPr>
          <w:rFonts w:ascii="Arial" w:hAnsi="Arial" w:cs="Arial"/>
          <w:sz w:val="24"/>
          <w:szCs w:val="24"/>
        </w:rPr>
        <w:t>C. McCrudden, ‘Human Dignity and Judicial Interpretation of Human Rights’ (2008) 19 EJIL 655</w:t>
      </w:r>
    </w:p>
  </w:footnote>
  <w:footnote w:id="87">
    <w:p w:rsidR="00E526B7" w:rsidRPr="005A7289" w:rsidRDefault="00E526B7" w:rsidP="00E526B7">
      <w:pPr>
        <w:pStyle w:val="FootnoteText"/>
        <w:jc w:val="both"/>
        <w:rPr>
          <w:rFonts w:ascii="Arial" w:hAnsi="Arial" w:cs="Arial"/>
          <w:sz w:val="24"/>
          <w:szCs w:val="24"/>
        </w:rPr>
      </w:pPr>
      <w:r w:rsidRPr="005A7289">
        <w:rPr>
          <w:rStyle w:val="FootnoteReference"/>
          <w:rFonts w:ascii="Arial" w:hAnsi="Arial" w:cs="Arial"/>
          <w:sz w:val="24"/>
          <w:szCs w:val="24"/>
        </w:rPr>
        <w:footnoteRef/>
      </w:r>
      <w:r w:rsidRPr="005A7289">
        <w:rPr>
          <w:rFonts w:ascii="Arial" w:hAnsi="Arial" w:cs="Arial"/>
          <w:sz w:val="24"/>
          <w:szCs w:val="24"/>
        </w:rPr>
        <w:t xml:space="preserve"> See G</w:t>
      </w:r>
      <w:r>
        <w:rPr>
          <w:rFonts w:ascii="Arial" w:hAnsi="Arial" w:cs="Arial"/>
          <w:sz w:val="24"/>
          <w:szCs w:val="24"/>
        </w:rPr>
        <w:t>.</w:t>
      </w:r>
      <w:r w:rsidRPr="005A7289">
        <w:rPr>
          <w:rFonts w:ascii="Arial" w:hAnsi="Arial" w:cs="Arial"/>
          <w:sz w:val="24"/>
          <w:szCs w:val="24"/>
        </w:rPr>
        <w:t xml:space="preserve"> Moon, R</w:t>
      </w:r>
      <w:r>
        <w:rPr>
          <w:rFonts w:ascii="Arial" w:hAnsi="Arial" w:cs="Arial"/>
          <w:sz w:val="24"/>
          <w:szCs w:val="24"/>
        </w:rPr>
        <w:t>.</w:t>
      </w:r>
      <w:r w:rsidRPr="005A7289">
        <w:rPr>
          <w:rFonts w:ascii="Arial" w:hAnsi="Arial" w:cs="Arial"/>
          <w:sz w:val="24"/>
          <w:szCs w:val="24"/>
        </w:rPr>
        <w:t xml:space="preserve"> Allen, ‘Dignity Discourse in Discrimination Law: A Better Route to Equality?’ [2006] EHRLR 610 who suggest a structured approach to the use of dignity as the basis for equality law</w:t>
      </w:r>
    </w:p>
  </w:footnote>
  <w:footnote w:id="88">
    <w:p w:rsidR="00E526B7" w:rsidRPr="005A7289" w:rsidRDefault="00E526B7" w:rsidP="00E526B7">
      <w:pPr>
        <w:pStyle w:val="FootnoteText"/>
        <w:jc w:val="both"/>
        <w:rPr>
          <w:rFonts w:ascii="Arial" w:hAnsi="Arial" w:cs="Arial"/>
          <w:sz w:val="24"/>
          <w:szCs w:val="24"/>
        </w:rPr>
      </w:pPr>
      <w:r w:rsidRPr="005A7289">
        <w:rPr>
          <w:rStyle w:val="FootnoteReference"/>
          <w:rFonts w:ascii="Arial" w:hAnsi="Arial" w:cs="Arial"/>
          <w:sz w:val="24"/>
          <w:szCs w:val="24"/>
        </w:rPr>
        <w:footnoteRef/>
      </w:r>
      <w:r w:rsidR="00A6349D">
        <w:rPr>
          <w:rFonts w:ascii="Arial" w:hAnsi="Arial" w:cs="Arial"/>
          <w:sz w:val="24"/>
          <w:szCs w:val="24"/>
        </w:rPr>
        <w:t xml:space="preserve"> Op. Cit. n.77</w:t>
      </w:r>
      <w:r>
        <w:rPr>
          <w:rFonts w:ascii="Arial" w:hAnsi="Arial" w:cs="Arial"/>
          <w:sz w:val="24"/>
          <w:szCs w:val="24"/>
        </w:rPr>
        <w:t xml:space="preserve"> above</w:t>
      </w:r>
      <w:r w:rsidRPr="005A7289">
        <w:rPr>
          <w:rFonts w:ascii="Arial" w:hAnsi="Arial" w:cs="Arial"/>
          <w:sz w:val="24"/>
          <w:szCs w:val="24"/>
        </w:rPr>
        <w:t xml:space="preserve"> at 12 and B</w:t>
      </w:r>
      <w:r>
        <w:rPr>
          <w:rFonts w:ascii="Arial" w:hAnsi="Arial" w:cs="Arial"/>
          <w:sz w:val="24"/>
          <w:szCs w:val="24"/>
        </w:rPr>
        <w:t>.</w:t>
      </w:r>
      <w:r w:rsidRPr="005A7289">
        <w:rPr>
          <w:rFonts w:ascii="Arial" w:hAnsi="Arial" w:cs="Arial"/>
          <w:sz w:val="24"/>
          <w:szCs w:val="24"/>
        </w:rPr>
        <w:t xml:space="preserve"> Hepple, ‘The Aims of </w:t>
      </w:r>
      <w:r>
        <w:rPr>
          <w:rFonts w:ascii="Arial" w:hAnsi="Arial" w:cs="Arial"/>
          <w:sz w:val="24"/>
          <w:szCs w:val="24"/>
        </w:rPr>
        <w:t>Equality Law’ (2008) 61 CLP 1,</w:t>
      </w:r>
      <w:r w:rsidRPr="005A7289">
        <w:rPr>
          <w:rFonts w:ascii="Arial" w:hAnsi="Arial" w:cs="Arial"/>
          <w:sz w:val="24"/>
          <w:szCs w:val="24"/>
        </w:rPr>
        <w:t xml:space="preserve"> 3</w:t>
      </w:r>
    </w:p>
  </w:footnote>
  <w:footnote w:id="89">
    <w:p w:rsidR="00E526B7" w:rsidRPr="00354F86" w:rsidRDefault="00E526B7" w:rsidP="00E526B7">
      <w:pPr>
        <w:pStyle w:val="FootnoteText"/>
        <w:jc w:val="both"/>
        <w:rPr>
          <w:rFonts w:ascii="Arial" w:hAnsi="Arial" w:cs="Arial"/>
          <w:sz w:val="24"/>
          <w:szCs w:val="24"/>
        </w:rPr>
      </w:pPr>
      <w:r w:rsidRPr="00354F86">
        <w:rPr>
          <w:rStyle w:val="FootnoteReference"/>
          <w:rFonts w:ascii="Arial" w:hAnsi="Arial" w:cs="Arial"/>
          <w:sz w:val="24"/>
          <w:szCs w:val="24"/>
        </w:rPr>
        <w:footnoteRef/>
      </w:r>
      <w:r w:rsidRPr="00354F86">
        <w:rPr>
          <w:rFonts w:ascii="Arial" w:hAnsi="Arial" w:cs="Arial"/>
          <w:sz w:val="24"/>
          <w:szCs w:val="24"/>
        </w:rPr>
        <w:t xml:space="preserve"> EA10</w:t>
      </w:r>
      <w:r>
        <w:rPr>
          <w:rFonts w:ascii="Arial" w:hAnsi="Arial" w:cs="Arial"/>
          <w:sz w:val="24"/>
          <w:szCs w:val="24"/>
        </w:rPr>
        <w:t>,</w:t>
      </w:r>
      <w:r w:rsidRPr="00354F86">
        <w:rPr>
          <w:rFonts w:ascii="Arial" w:hAnsi="Arial" w:cs="Arial"/>
          <w:sz w:val="24"/>
          <w:szCs w:val="24"/>
        </w:rPr>
        <w:t xml:space="preserve"> s 1(1)</w:t>
      </w:r>
    </w:p>
  </w:footnote>
  <w:footnote w:id="90">
    <w:p w:rsidR="00E526B7" w:rsidRDefault="00E526B7" w:rsidP="00E526B7">
      <w:pPr>
        <w:pStyle w:val="FootnoteText"/>
        <w:jc w:val="both"/>
      </w:pPr>
      <w:r w:rsidRPr="00354F86">
        <w:rPr>
          <w:rStyle w:val="FootnoteReference"/>
          <w:rFonts w:ascii="Arial" w:hAnsi="Arial" w:cs="Arial"/>
          <w:sz w:val="24"/>
          <w:szCs w:val="24"/>
        </w:rPr>
        <w:footnoteRef/>
      </w:r>
      <w:r w:rsidRPr="00354F86">
        <w:rPr>
          <w:rFonts w:ascii="Arial" w:hAnsi="Arial" w:cs="Arial"/>
          <w:sz w:val="24"/>
          <w:szCs w:val="24"/>
        </w:rPr>
        <w:t xml:space="preserve"> EA10</w:t>
      </w:r>
      <w:r>
        <w:rPr>
          <w:rFonts w:ascii="Arial" w:hAnsi="Arial" w:cs="Arial"/>
          <w:sz w:val="24"/>
          <w:szCs w:val="24"/>
        </w:rPr>
        <w:t>,</w:t>
      </w:r>
      <w:r w:rsidRPr="00354F86">
        <w:rPr>
          <w:rFonts w:ascii="Arial" w:hAnsi="Arial" w:cs="Arial"/>
          <w:sz w:val="24"/>
          <w:szCs w:val="24"/>
        </w:rPr>
        <w:t xml:space="preserve"> s 1(3)(a) and (b)</w:t>
      </w:r>
    </w:p>
  </w:footnote>
  <w:footnote w:id="91">
    <w:p w:rsidR="00E526B7" w:rsidRPr="00EA4326" w:rsidRDefault="00E526B7" w:rsidP="00E526B7">
      <w:pPr>
        <w:pStyle w:val="FootnoteText"/>
        <w:jc w:val="both"/>
        <w:rPr>
          <w:sz w:val="24"/>
          <w:szCs w:val="24"/>
        </w:rPr>
      </w:pPr>
      <w:r w:rsidRPr="00EA4326">
        <w:rPr>
          <w:rStyle w:val="FootnoteReference"/>
          <w:rFonts w:ascii="Arial" w:hAnsi="Arial" w:cs="Arial"/>
          <w:sz w:val="24"/>
          <w:szCs w:val="24"/>
        </w:rPr>
        <w:footnoteRef/>
      </w:r>
      <w:r w:rsidRPr="00EA4326">
        <w:rPr>
          <w:rFonts w:ascii="Arial" w:hAnsi="Arial" w:cs="Arial"/>
          <w:sz w:val="24"/>
          <w:szCs w:val="24"/>
        </w:rPr>
        <w:t xml:space="preserve"> S</w:t>
      </w:r>
      <w:r>
        <w:rPr>
          <w:rFonts w:ascii="Arial" w:hAnsi="Arial" w:cs="Arial"/>
          <w:sz w:val="24"/>
          <w:szCs w:val="24"/>
        </w:rPr>
        <w:t>.</w:t>
      </w:r>
      <w:r w:rsidRPr="00EA4326">
        <w:rPr>
          <w:rFonts w:ascii="Arial" w:hAnsi="Arial" w:cs="Arial"/>
          <w:sz w:val="24"/>
          <w:szCs w:val="24"/>
        </w:rPr>
        <w:t xml:space="preserve"> Fredman, ‘Positive Duties and Socio-Economic Disadvantage: Bringing Disadvantage Onto the Equa</w:t>
      </w:r>
      <w:r>
        <w:rPr>
          <w:rFonts w:ascii="Arial" w:hAnsi="Arial" w:cs="Arial"/>
          <w:sz w:val="24"/>
          <w:szCs w:val="24"/>
        </w:rPr>
        <w:t>lity Agenda’ [2010] EHRLR 290,</w:t>
      </w:r>
      <w:r w:rsidRPr="00EA4326">
        <w:rPr>
          <w:rFonts w:ascii="Arial" w:hAnsi="Arial" w:cs="Arial"/>
          <w:sz w:val="24"/>
          <w:szCs w:val="24"/>
        </w:rPr>
        <w:t xml:space="preserve"> 297</w:t>
      </w:r>
    </w:p>
  </w:footnote>
  <w:footnote w:id="92">
    <w:p w:rsidR="00E526B7" w:rsidRPr="00CD78DB" w:rsidRDefault="00E526B7" w:rsidP="00E526B7">
      <w:pPr>
        <w:pStyle w:val="FootnoteText"/>
        <w:jc w:val="both"/>
        <w:rPr>
          <w:rFonts w:ascii="Arial" w:hAnsi="Arial" w:cs="Arial"/>
          <w:sz w:val="24"/>
          <w:szCs w:val="24"/>
        </w:rPr>
      </w:pPr>
      <w:r w:rsidRPr="00CD78DB">
        <w:rPr>
          <w:rStyle w:val="FootnoteReference"/>
          <w:rFonts w:ascii="Arial" w:hAnsi="Arial" w:cs="Arial"/>
          <w:sz w:val="24"/>
          <w:szCs w:val="24"/>
        </w:rPr>
        <w:footnoteRef/>
      </w:r>
      <w:r w:rsidRPr="00CD78DB">
        <w:rPr>
          <w:rFonts w:ascii="Arial" w:hAnsi="Arial" w:cs="Arial"/>
          <w:sz w:val="24"/>
          <w:szCs w:val="24"/>
        </w:rPr>
        <w:t xml:space="preserve"> Ministry of Defence, </w:t>
      </w:r>
      <w:r w:rsidRPr="00CD78DB">
        <w:rPr>
          <w:rFonts w:ascii="Arial" w:hAnsi="Arial" w:cs="Arial"/>
          <w:i/>
          <w:sz w:val="24"/>
          <w:szCs w:val="24"/>
        </w:rPr>
        <w:t>Securing Britain in an Age of Insecurity: The Strategic and Security Review</w:t>
      </w:r>
      <w:r w:rsidRPr="00CD78DB">
        <w:rPr>
          <w:rFonts w:ascii="Arial" w:hAnsi="Arial" w:cs="Arial"/>
          <w:sz w:val="24"/>
          <w:szCs w:val="24"/>
        </w:rPr>
        <w:t>, Cm 7948 (London: HMSO, 2011)</w:t>
      </w:r>
    </w:p>
  </w:footnote>
  <w:footnote w:id="93">
    <w:p w:rsidR="00E526B7" w:rsidRPr="00775833" w:rsidRDefault="00E526B7" w:rsidP="00E526B7">
      <w:pPr>
        <w:pStyle w:val="FootnoteText"/>
        <w:jc w:val="both"/>
        <w:rPr>
          <w:rFonts w:ascii="Arial" w:hAnsi="Arial" w:cs="Arial"/>
          <w:sz w:val="24"/>
          <w:szCs w:val="24"/>
        </w:rPr>
      </w:pPr>
      <w:r w:rsidRPr="00775833">
        <w:rPr>
          <w:rStyle w:val="FootnoteReference"/>
          <w:rFonts w:ascii="Arial" w:hAnsi="Arial" w:cs="Arial"/>
          <w:sz w:val="24"/>
          <w:szCs w:val="24"/>
        </w:rPr>
        <w:footnoteRef/>
      </w:r>
      <w:r w:rsidR="00A6349D">
        <w:rPr>
          <w:rFonts w:ascii="Arial" w:hAnsi="Arial" w:cs="Arial"/>
          <w:sz w:val="24"/>
          <w:szCs w:val="24"/>
        </w:rPr>
        <w:t xml:space="preserve"> Op. Cit. n.77</w:t>
      </w:r>
      <w:r w:rsidRPr="00775833">
        <w:rPr>
          <w:rFonts w:ascii="Arial" w:hAnsi="Arial" w:cs="Arial"/>
          <w:sz w:val="24"/>
          <w:szCs w:val="24"/>
        </w:rPr>
        <w:t xml:space="preserve"> at 142</w:t>
      </w:r>
    </w:p>
  </w:footnote>
  <w:footnote w:id="94">
    <w:p w:rsidR="00E526B7" w:rsidRPr="00775833" w:rsidRDefault="00E526B7" w:rsidP="00E526B7">
      <w:pPr>
        <w:pStyle w:val="FootnoteText"/>
        <w:jc w:val="both"/>
        <w:rPr>
          <w:rFonts w:ascii="Arial" w:hAnsi="Arial" w:cs="Arial"/>
          <w:sz w:val="24"/>
          <w:szCs w:val="24"/>
        </w:rPr>
      </w:pPr>
      <w:r w:rsidRPr="00775833">
        <w:rPr>
          <w:rStyle w:val="FootnoteReference"/>
          <w:rFonts w:ascii="Arial" w:hAnsi="Arial" w:cs="Arial"/>
          <w:sz w:val="24"/>
          <w:szCs w:val="24"/>
        </w:rPr>
        <w:footnoteRef/>
      </w:r>
      <w:r w:rsidRPr="00775833">
        <w:rPr>
          <w:rFonts w:ascii="Arial" w:hAnsi="Arial" w:cs="Arial"/>
          <w:sz w:val="24"/>
          <w:szCs w:val="24"/>
        </w:rPr>
        <w:t xml:space="preserve"> </w:t>
      </w:r>
      <w:r>
        <w:rPr>
          <w:rFonts w:ascii="Arial" w:hAnsi="Arial" w:cs="Arial"/>
          <w:sz w:val="24"/>
          <w:szCs w:val="24"/>
        </w:rPr>
        <w:t>Schedule 19, s 150(1)</w:t>
      </w:r>
    </w:p>
  </w:footnote>
  <w:footnote w:id="95">
    <w:p w:rsidR="00E526B7" w:rsidRDefault="00E526B7" w:rsidP="00E526B7">
      <w:pPr>
        <w:pStyle w:val="FootnoteText"/>
        <w:jc w:val="both"/>
      </w:pPr>
      <w:r w:rsidRPr="00775833">
        <w:rPr>
          <w:rStyle w:val="FootnoteReference"/>
          <w:rFonts w:ascii="Arial" w:hAnsi="Arial" w:cs="Arial"/>
          <w:sz w:val="24"/>
          <w:szCs w:val="24"/>
        </w:rPr>
        <w:footnoteRef/>
      </w:r>
      <w:r w:rsidRPr="00775833">
        <w:rPr>
          <w:rFonts w:ascii="Arial" w:hAnsi="Arial" w:cs="Arial"/>
          <w:sz w:val="24"/>
          <w:szCs w:val="24"/>
        </w:rPr>
        <w:t xml:space="preserve"> A public authority must </w:t>
      </w:r>
      <w:r>
        <w:rPr>
          <w:rFonts w:ascii="Arial" w:hAnsi="Arial" w:cs="Arial"/>
          <w:sz w:val="24"/>
          <w:szCs w:val="24"/>
        </w:rPr>
        <w:t>‘</w:t>
      </w:r>
      <w:r w:rsidRPr="00775833">
        <w:rPr>
          <w:rFonts w:ascii="Arial" w:hAnsi="Arial" w:cs="Arial"/>
          <w:sz w:val="24"/>
          <w:szCs w:val="24"/>
        </w:rPr>
        <w:t>in the course of its functions, have due regard to the need to: (a) eliminate discrimination, harassment, victimisation and any other conduct that is prohibited by or under this Act; (b) advance equality of opportunity between persons who share a relevant protected characteristic and persons who do not share it; (c) foster good relations between persons who share a relevant protected characteristic a</w:t>
      </w:r>
      <w:r>
        <w:rPr>
          <w:rFonts w:ascii="Arial" w:hAnsi="Arial" w:cs="Arial"/>
          <w:sz w:val="24"/>
          <w:szCs w:val="24"/>
        </w:rPr>
        <w:t>nd persons who do not share it.’</w:t>
      </w:r>
    </w:p>
  </w:footnote>
  <w:footnote w:id="96">
    <w:p w:rsidR="00E526B7" w:rsidRPr="002D6656" w:rsidRDefault="00E526B7" w:rsidP="00E526B7">
      <w:pPr>
        <w:pStyle w:val="FootnoteText"/>
        <w:jc w:val="both"/>
        <w:rPr>
          <w:rFonts w:ascii="Arial" w:hAnsi="Arial" w:cs="Arial"/>
          <w:sz w:val="24"/>
          <w:szCs w:val="24"/>
        </w:rPr>
      </w:pPr>
      <w:r w:rsidRPr="002D6656">
        <w:rPr>
          <w:rStyle w:val="FootnoteReference"/>
          <w:rFonts w:ascii="Arial" w:hAnsi="Arial" w:cs="Arial"/>
          <w:sz w:val="24"/>
          <w:szCs w:val="24"/>
        </w:rPr>
        <w:footnoteRef/>
      </w:r>
      <w:r w:rsidRPr="002D6656">
        <w:rPr>
          <w:rFonts w:ascii="Arial" w:hAnsi="Arial" w:cs="Arial"/>
          <w:sz w:val="24"/>
          <w:szCs w:val="24"/>
        </w:rPr>
        <w:t xml:space="preserve"> </w:t>
      </w:r>
      <w:proofErr w:type="gramStart"/>
      <w:r w:rsidRPr="002D6656">
        <w:rPr>
          <w:rFonts w:ascii="Arial" w:hAnsi="Arial" w:cs="Arial"/>
          <w:sz w:val="24"/>
          <w:szCs w:val="24"/>
        </w:rPr>
        <w:t>EA10</w:t>
      </w:r>
      <w:r>
        <w:rPr>
          <w:rFonts w:ascii="Arial" w:hAnsi="Arial" w:cs="Arial"/>
          <w:sz w:val="24"/>
          <w:szCs w:val="24"/>
        </w:rPr>
        <w:t>,</w:t>
      </w:r>
      <w:r w:rsidRPr="002D6656">
        <w:rPr>
          <w:rFonts w:ascii="Arial" w:hAnsi="Arial" w:cs="Arial"/>
          <w:sz w:val="24"/>
          <w:szCs w:val="24"/>
        </w:rPr>
        <w:t xml:space="preserve"> s 149(2)</w:t>
      </w:r>
      <w:r>
        <w:rPr>
          <w:rFonts w:ascii="Arial" w:hAnsi="Arial" w:cs="Arial"/>
          <w:sz w:val="24"/>
          <w:szCs w:val="24"/>
        </w:rPr>
        <w:t>.</w:t>
      </w:r>
      <w:proofErr w:type="gramEnd"/>
      <w:r>
        <w:rPr>
          <w:rFonts w:ascii="Arial" w:hAnsi="Arial" w:cs="Arial"/>
          <w:sz w:val="24"/>
          <w:szCs w:val="24"/>
        </w:rPr>
        <w:t xml:space="preserve"> See S Fredman, ‘The Public Sector Equality Duty’ (2011) 40 ILJ 405</w:t>
      </w:r>
    </w:p>
  </w:footnote>
  <w:footnote w:id="97">
    <w:p w:rsidR="00E526B7" w:rsidRPr="00810C8F" w:rsidRDefault="00E526B7" w:rsidP="00E526B7">
      <w:pPr>
        <w:pStyle w:val="FootnoteText"/>
        <w:jc w:val="both"/>
        <w:rPr>
          <w:rFonts w:ascii="Arial" w:hAnsi="Arial" w:cs="Arial"/>
          <w:sz w:val="24"/>
          <w:szCs w:val="24"/>
        </w:rPr>
      </w:pPr>
      <w:r w:rsidRPr="00810C8F">
        <w:rPr>
          <w:rStyle w:val="FootnoteReference"/>
          <w:rFonts w:ascii="Arial" w:hAnsi="Arial" w:cs="Arial"/>
          <w:sz w:val="24"/>
          <w:szCs w:val="24"/>
        </w:rPr>
        <w:footnoteRef/>
      </w:r>
      <w:r w:rsidRPr="00810C8F">
        <w:rPr>
          <w:rFonts w:ascii="Arial" w:hAnsi="Arial" w:cs="Arial"/>
          <w:sz w:val="24"/>
          <w:szCs w:val="24"/>
        </w:rPr>
        <w:t xml:space="preserve"> SI 2260/2011, The Equality Act 2010 (Specific Duties) Regulations 2011</w:t>
      </w:r>
      <w:r>
        <w:rPr>
          <w:rFonts w:ascii="Arial" w:hAnsi="Arial" w:cs="Arial"/>
          <w:sz w:val="24"/>
          <w:szCs w:val="24"/>
        </w:rPr>
        <w:t xml:space="preserve"> Article 2(1)</w:t>
      </w:r>
    </w:p>
  </w:footnote>
  <w:footnote w:id="98">
    <w:p w:rsidR="00E526B7" w:rsidRPr="00810C8F" w:rsidRDefault="00E526B7" w:rsidP="00E526B7">
      <w:pPr>
        <w:pStyle w:val="FootnoteText"/>
        <w:jc w:val="both"/>
        <w:rPr>
          <w:rFonts w:ascii="Arial" w:hAnsi="Arial" w:cs="Arial"/>
          <w:sz w:val="24"/>
          <w:szCs w:val="24"/>
        </w:rPr>
      </w:pPr>
      <w:r w:rsidRPr="00810C8F">
        <w:rPr>
          <w:rStyle w:val="FootnoteReference"/>
          <w:rFonts w:ascii="Arial" w:hAnsi="Arial" w:cs="Arial"/>
          <w:sz w:val="24"/>
          <w:szCs w:val="24"/>
        </w:rPr>
        <w:footnoteRef/>
      </w:r>
      <w:r w:rsidRPr="00810C8F">
        <w:rPr>
          <w:rFonts w:ascii="Arial" w:hAnsi="Arial" w:cs="Arial"/>
          <w:sz w:val="24"/>
          <w:szCs w:val="24"/>
        </w:rPr>
        <w:t xml:space="preserve"> </w:t>
      </w:r>
      <w:r>
        <w:rPr>
          <w:rFonts w:ascii="Arial" w:hAnsi="Arial" w:cs="Arial"/>
          <w:sz w:val="24"/>
          <w:szCs w:val="24"/>
        </w:rPr>
        <w:t>Ibid Article 2(4)</w:t>
      </w:r>
    </w:p>
  </w:footnote>
  <w:footnote w:id="99">
    <w:p w:rsidR="00E526B7" w:rsidRPr="002D6656" w:rsidRDefault="00E526B7" w:rsidP="00E526B7">
      <w:pPr>
        <w:pStyle w:val="FootnoteText"/>
        <w:jc w:val="both"/>
        <w:rPr>
          <w:rFonts w:ascii="Arial" w:hAnsi="Arial" w:cs="Arial"/>
          <w:sz w:val="24"/>
          <w:szCs w:val="24"/>
        </w:rPr>
      </w:pPr>
      <w:r w:rsidRPr="002D6656">
        <w:rPr>
          <w:rStyle w:val="FootnoteReference"/>
          <w:rFonts w:ascii="Arial" w:hAnsi="Arial" w:cs="Arial"/>
          <w:sz w:val="24"/>
          <w:szCs w:val="24"/>
        </w:rPr>
        <w:footnoteRef/>
      </w:r>
      <w:r w:rsidRPr="002D6656">
        <w:rPr>
          <w:rFonts w:ascii="Arial" w:hAnsi="Arial" w:cs="Arial"/>
          <w:sz w:val="24"/>
          <w:szCs w:val="24"/>
        </w:rPr>
        <w:t xml:space="preserve"> Schedule 3</w:t>
      </w:r>
      <w:r>
        <w:rPr>
          <w:rFonts w:ascii="Arial" w:hAnsi="Arial" w:cs="Arial"/>
          <w:sz w:val="24"/>
          <w:szCs w:val="24"/>
        </w:rPr>
        <w:t>,</w:t>
      </w:r>
      <w:r w:rsidRPr="002D6656">
        <w:rPr>
          <w:rFonts w:ascii="Arial" w:hAnsi="Arial" w:cs="Arial"/>
          <w:sz w:val="24"/>
          <w:szCs w:val="24"/>
        </w:rPr>
        <w:t xml:space="preserve"> s 4(1)</w:t>
      </w:r>
    </w:p>
  </w:footnote>
  <w:footnote w:id="100">
    <w:p w:rsidR="00E526B7" w:rsidRPr="002D6656" w:rsidRDefault="00E526B7" w:rsidP="00E526B7">
      <w:pPr>
        <w:pStyle w:val="FootnoteText"/>
        <w:jc w:val="both"/>
        <w:rPr>
          <w:rFonts w:ascii="Arial" w:hAnsi="Arial" w:cs="Arial"/>
          <w:sz w:val="24"/>
          <w:szCs w:val="24"/>
        </w:rPr>
      </w:pPr>
      <w:r w:rsidRPr="002D6656">
        <w:rPr>
          <w:rStyle w:val="FootnoteReference"/>
          <w:rFonts w:ascii="Arial" w:hAnsi="Arial" w:cs="Arial"/>
          <w:sz w:val="24"/>
          <w:szCs w:val="24"/>
        </w:rPr>
        <w:footnoteRef/>
      </w:r>
      <w:r w:rsidRPr="002D6656">
        <w:rPr>
          <w:rFonts w:ascii="Arial" w:hAnsi="Arial" w:cs="Arial"/>
          <w:sz w:val="24"/>
          <w:szCs w:val="24"/>
        </w:rPr>
        <w:t xml:space="preserve"> Schedule 9</w:t>
      </w:r>
      <w:r>
        <w:rPr>
          <w:rFonts w:ascii="Arial" w:hAnsi="Arial" w:cs="Arial"/>
          <w:sz w:val="24"/>
          <w:szCs w:val="24"/>
        </w:rPr>
        <w:t>,</w:t>
      </w:r>
      <w:r w:rsidRPr="002D6656">
        <w:rPr>
          <w:rFonts w:ascii="Arial" w:hAnsi="Arial" w:cs="Arial"/>
          <w:sz w:val="24"/>
          <w:szCs w:val="24"/>
        </w:rPr>
        <w:t xml:space="preserve"> s 4</w:t>
      </w:r>
      <w:r>
        <w:rPr>
          <w:rFonts w:ascii="Arial" w:hAnsi="Arial" w:cs="Arial"/>
          <w:sz w:val="24"/>
          <w:szCs w:val="24"/>
        </w:rPr>
        <w:t>(1)</w:t>
      </w:r>
    </w:p>
  </w:footnote>
  <w:footnote w:id="101">
    <w:p w:rsidR="00E526B7" w:rsidRPr="00B35E03" w:rsidRDefault="00E526B7" w:rsidP="00E526B7">
      <w:pPr>
        <w:pStyle w:val="FootnoteText"/>
        <w:jc w:val="both"/>
        <w:rPr>
          <w:rFonts w:ascii="Arial" w:hAnsi="Arial" w:cs="Arial"/>
          <w:sz w:val="24"/>
          <w:szCs w:val="24"/>
        </w:rPr>
      </w:pPr>
      <w:r w:rsidRPr="00B35E03">
        <w:rPr>
          <w:rStyle w:val="FootnoteReference"/>
          <w:rFonts w:ascii="Arial" w:hAnsi="Arial" w:cs="Arial"/>
          <w:sz w:val="24"/>
          <w:szCs w:val="24"/>
        </w:rPr>
        <w:footnoteRef/>
      </w:r>
      <w:r w:rsidRPr="00B35E03">
        <w:rPr>
          <w:rFonts w:ascii="Arial" w:hAnsi="Arial" w:cs="Arial"/>
          <w:sz w:val="24"/>
          <w:szCs w:val="24"/>
        </w:rPr>
        <w:t xml:space="preserve"> Schedule 9</w:t>
      </w:r>
      <w:r>
        <w:rPr>
          <w:rFonts w:ascii="Arial" w:hAnsi="Arial" w:cs="Arial"/>
          <w:sz w:val="24"/>
          <w:szCs w:val="24"/>
        </w:rPr>
        <w:t>,</w:t>
      </w:r>
      <w:r w:rsidRPr="00B35E03">
        <w:rPr>
          <w:rFonts w:ascii="Arial" w:hAnsi="Arial" w:cs="Arial"/>
          <w:sz w:val="24"/>
          <w:szCs w:val="24"/>
        </w:rPr>
        <w:t xml:space="preserve"> s 4(2)</w:t>
      </w:r>
    </w:p>
  </w:footnote>
  <w:footnote w:id="102">
    <w:p w:rsidR="00E526B7" w:rsidRPr="002D6656" w:rsidRDefault="00E526B7" w:rsidP="00E526B7">
      <w:pPr>
        <w:pStyle w:val="FootnoteText"/>
        <w:jc w:val="both"/>
        <w:rPr>
          <w:rFonts w:ascii="Arial" w:hAnsi="Arial" w:cs="Arial"/>
          <w:sz w:val="24"/>
          <w:szCs w:val="24"/>
        </w:rPr>
      </w:pPr>
      <w:r w:rsidRPr="002D6656">
        <w:rPr>
          <w:rStyle w:val="FootnoteReference"/>
          <w:rFonts w:ascii="Arial" w:hAnsi="Arial" w:cs="Arial"/>
          <w:sz w:val="24"/>
          <w:szCs w:val="24"/>
        </w:rPr>
        <w:footnoteRef/>
      </w:r>
      <w:r w:rsidRPr="002D6656">
        <w:rPr>
          <w:rFonts w:ascii="Arial" w:hAnsi="Arial" w:cs="Arial"/>
          <w:sz w:val="24"/>
          <w:szCs w:val="24"/>
        </w:rPr>
        <w:t xml:space="preserve"> Schedule 9</w:t>
      </w:r>
      <w:r>
        <w:rPr>
          <w:rFonts w:ascii="Arial" w:hAnsi="Arial" w:cs="Arial"/>
          <w:sz w:val="24"/>
          <w:szCs w:val="24"/>
        </w:rPr>
        <w:t>,</w:t>
      </w:r>
      <w:r w:rsidRPr="002D6656">
        <w:rPr>
          <w:rFonts w:ascii="Arial" w:hAnsi="Arial" w:cs="Arial"/>
          <w:sz w:val="24"/>
          <w:szCs w:val="24"/>
        </w:rPr>
        <w:t xml:space="preserve"> s 4(3)</w:t>
      </w:r>
    </w:p>
  </w:footnote>
  <w:footnote w:id="103">
    <w:p w:rsidR="00E526B7" w:rsidRPr="00B35E03" w:rsidRDefault="00E526B7" w:rsidP="00E526B7">
      <w:pPr>
        <w:pStyle w:val="FootnoteText"/>
        <w:jc w:val="both"/>
        <w:rPr>
          <w:rFonts w:ascii="Arial" w:hAnsi="Arial" w:cs="Arial"/>
          <w:sz w:val="24"/>
          <w:szCs w:val="24"/>
        </w:rPr>
      </w:pPr>
      <w:r w:rsidRPr="00B35E03">
        <w:rPr>
          <w:rStyle w:val="FootnoteReference"/>
          <w:rFonts w:ascii="Arial" w:hAnsi="Arial" w:cs="Arial"/>
          <w:sz w:val="24"/>
          <w:szCs w:val="24"/>
        </w:rPr>
        <w:footnoteRef/>
      </w:r>
      <w:r w:rsidRPr="00B35E03">
        <w:rPr>
          <w:rFonts w:ascii="Arial" w:hAnsi="Arial" w:cs="Arial"/>
          <w:sz w:val="24"/>
          <w:szCs w:val="24"/>
        </w:rPr>
        <w:t xml:space="preserve"> EA10</w:t>
      </w:r>
      <w:r>
        <w:rPr>
          <w:rFonts w:ascii="Arial" w:hAnsi="Arial" w:cs="Arial"/>
          <w:sz w:val="24"/>
          <w:szCs w:val="24"/>
        </w:rPr>
        <w:t>,</w:t>
      </w:r>
      <w:r w:rsidRPr="00B35E03">
        <w:rPr>
          <w:rFonts w:ascii="Arial" w:hAnsi="Arial" w:cs="Arial"/>
          <w:sz w:val="24"/>
          <w:szCs w:val="24"/>
        </w:rPr>
        <w:t xml:space="preserve"> s 192</w:t>
      </w:r>
    </w:p>
  </w:footnote>
  <w:footnote w:id="104">
    <w:p w:rsidR="003954B4" w:rsidRDefault="003954B4" w:rsidP="003954B4">
      <w:pPr>
        <w:pStyle w:val="FootnoteText"/>
        <w:jc w:val="both"/>
        <w:rPr>
          <w:rFonts w:ascii="Arial" w:hAnsi="Arial" w:cs="Arial"/>
          <w:sz w:val="24"/>
          <w:szCs w:val="24"/>
        </w:rPr>
      </w:pPr>
      <w:r w:rsidRPr="009607F9">
        <w:rPr>
          <w:rStyle w:val="FootnoteReference"/>
          <w:rFonts w:ascii="Arial" w:hAnsi="Arial" w:cs="Arial"/>
          <w:sz w:val="24"/>
          <w:szCs w:val="24"/>
        </w:rPr>
        <w:footnoteRef/>
      </w:r>
      <w:r>
        <w:rPr>
          <w:rFonts w:ascii="Arial" w:hAnsi="Arial" w:cs="Arial"/>
          <w:sz w:val="24"/>
          <w:szCs w:val="24"/>
        </w:rPr>
        <w:t xml:space="preserve"> See I. Drury, ‘Women Set to Serve in Submarines as Britain Follows US Navy Ruling’ published 24 February 2010 at </w:t>
      </w:r>
    </w:p>
    <w:p w:rsidR="003954B4" w:rsidRDefault="002A7865" w:rsidP="003954B4">
      <w:pPr>
        <w:pStyle w:val="FootnoteText"/>
        <w:jc w:val="both"/>
        <w:rPr>
          <w:rFonts w:ascii="Arial" w:hAnsi="Arial" w:cs="Arial"/>
          <w:sz w:val="24"/>
          <w:szCs w:val="24"/>
        </w:rPr>
      </w:pPr>
      <w:hyperlink r:id="rId4" w:history="1">
        <w:r w:rsidR="003954B4" w:rsidRPr="001153BF">
          <w:rPr>
            <w:rFonts w:ascii="Arial" w:hAnsi="Arial" w:cs="Arial"/>
            <w:color w:val="0000FF"/>
            <w:sz w:val="24"/>
            <w:szCs w:val="24"/>
            <w:u w:val="single"/>
          </w:rPr>
          <w:t>http://www.dailymail.co.uk/news/article-1253546/Women-set-serve-submarines-Britain-follows-U-S-Navy-ruling.html</w:t>
        </w:r>
      </w:hyperlink>
      <w:r w:rsidR="003954B4">
        <w:rPr>
          <w:rFonts w:ascii="Arial" w:hAnsi="Arial" w:cs="Arial"/>
          <w:sz w:val="24"/>
          <w:szCs w:val="24"/>
        </w:rPr>
        <w:t xml:space="preserve"> </w:t>
      </w:r>
      <w:r w:rsidR="003954B4" w:rsidRPr="001153BF">
        <w:rPr>
          <w:rFonts w:ascii="Arial" w:hAnsi="Arial" w:cs="Arial"/>
          <w:sz w:val="24"/>
          <w:szCs w:val="24"/>
        </w:rPr>
        <w:t>and l</w:t>
      </w:r>
      <w:r w:rsidR="003954B4" w:rsidRPr="009607F9">
        <w:rPr>
          <w:rFonts w:ascii="Arial" w:hAnsi="Arial" w:cs="Arial"/>
          <w:sz w:val="24"/>
          <w:szCs w:val="24"/>
        </w:rPr>
        <w:t>isten to the BBC’s Woman’</w:t>
      </w:r>
      <w:r w:rsidR="003954B4">
        <w:rPr>
          <w:rFonts w:ascii="Arial" w:hAnsi="Arial" w:cs="Arial"/>
          <w:sz w:val="24"/>
          <w:szCs w:val="24"/>
        </w:rPr>
        <w:t>s Hour</w:t>
      </w:r>
      <w:r w:rsidR="003954B4" w:rsidRPr="009607F9">
        <w:rPr>
          <w:rFonts w:ascii="Arial" w:hAnsi="Arial" w:cs="Arial"/>
          <w:sz w:val="24"/>
          <w:szCs w:val="24"/>
        </w:rPr>
        <w:t xml:space="preserve">, ‘Should Women Serve on Royal Naval Submarines?’ </w:t>
      </w:r>
      <w:r w:rsidR="003954B4">
        <w:rPr>
          <w:rFonts w:ascii="Arial" w:hAnsi="Arial" w:cs="Arial"/>
          <w:sz w:val="24"/>
          <w:szCs w:val="24"/>
        </w:rPr>
        <w:t xml:space="preserve">broadcast 8 December 2010 </w:t>
      </w:r>
      <w:r w:rsidR="003954B4" w:rsidRPr="009607F9">
        <w:rPr>
          <w:rFonts w:ascii="Arial" w:hAnsi="Arial" w:cs="Arial"/>
          <w:sz w:val="24"/>
          <w:szCs w:val="24"/>
        </w:rPr>
        <w:t xml:space="preserve">at </w:t>
      </w:r>
    </w:p>
    <w:p w:rsidR="003954B4" w:rsidRPr="009607F9" w:rsidRDefault="002A7865" w:rsidP="003954B4">
      <w:pPr>
        <w:pStyle w:val="FootnoteText"/>
        <w:jc w:val="both"/>
        <w:rPr>
          <w:rFonts w:ascii="Arial" w:hAnsi="Arial" w:cs="Arial"/>
          <w:sz w:val="24"/>
          <w:szCs w:val="24"/>
        </w:rPr>
      </w:pPr>
      <w:hyperlink r:id="rId5" w:anchor="p00clxdx" w:history="1">
        <w:r w:rsidR="003954B4" w:rsidRPr="009607F9">
          <w:rPr>
            <w:rFonts w:ascii="Arial" w:hAnsi="Arial" w:cs="Arial"/>
            <w:color w:val="0000FF"/>
            <w:sz w:val="24"/>
            <w:szCs w:val="24"/>
            <w:u w:val="single"/>
          </w:rPr>
          <w:t>http://www.bbc.co.uk/programmes/b00wdhd5#p00clxdx</w:t>
        </w:r>
      </w:hyperlink>
    </w:p>
  </w:footnote>
  <w:footnote w:id="105">
    <w:p w:rsidR="003954B4" w:rsidRPr="00335A73" w:rsidRDefault="003954B4" w:rsidP="003954B4">
      <w:pPr>
        <w:pStyle w:val="FootnoteText"/>
        <w:jc w:val="both"/>
        <w:rPr>
          <w:rFonts w:ascii="Arial" w:hAnsi="Arial" w:cs="Arial"/>
          <w:sz w:val="24"/>
          <w:szCs w:val="24"/>
        </w:rPr>
      </w:pPr>
      <w:r w:rsidRPr="00335A73">
        <w:rPr>
          <w:rStyle w:val="FootnoteReference"/>
          <w:rFonts w:ascii="Arial" w:hAnsi="Arial" w:cs="Arial"/>
          <w:sz w:val="24"/>
          <w:szCs w:val="24"/>
        </w:rPr>
        <w:footnoteRef/>
      </w:r>
      <w:r w:rsidRPr="00335A73">
        <w:rPr>
          <w:rFonts w:ascii="Arial" w:hAnsi="Arial" w:cs="Arial"/>
          <w:sz w:val="24"/>
          <w:szCs w:val="24"/>
        </w:rPr>
        <w:t xml:space="preserve"> </w:t>
      </w:r>
      <w:r w:rsidR="005201F0">
        <w:rPr>
          <w:rFonts w:ascii="Arial" w:hAnsi="Arial" w:cs="Arial"/>
          <w:sz w:val="24"/>
          <w:szCs w:val="24"/>
        </w:rPr>
        <w:t>As required by Article 31(3) of the</w:t>
      </w:r>
      <w:r w:rsidRPr="00335A73">
        <w:rPr>
          <w:rFonts w:ascii="Arial" w:hAnsi="Arial" w:cs="Arial"/>
          <w:sz w:val="24"/>
          <w:szCs w:val="24"/>
        </w:rPr>
        <w:t xml:space="preserve"> Equality Directive</w:t>
      </w:r>
    </w:p>
  </w:footnote>
  <w:footnote w:id="106">
    <w:p w:rsidR="003954B4" w:rsidRDefault="003954B4" w:rsidP="003954B4">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Ministry of Defence, ‘Report on the Review</w:t>
      </w:r>
      <w:r>
        <w:rPr>
          <w:rFonts w:ascii="Arial" w:hAnsi="Arial" w:cs="Arial"/>
          <w:sz w:val="24"/>
          <w:szCs w:val="24"/>
        </w:rPr>
        <w:t xml:space="preserve"> of the Exclusion of Women from </w:t>
      </w:r>
      <w:r w:rsidRPr="00611F8D">
        <w:rPr>
          <w:rFonts w:ascii="Arial" w:hAnsi="Arial" w:cs="Arial"/>
          <w:sz w:val="24"/>
          <w:szCs w:val="24"/>
        </w:rPr>
        <w:t xml:space="preserve">Ground Close-Combat Roles’, November 2010, </w:t>
      </w:r>
      <w:r>
        <w:rPr>
          <w:rFonts w:ascii="Arial" w:hAnsi="Arial" w:cs="Arial"/>
          <w:sz w:val="24"/>
          <w:szCs w:val="24"/>
        </w:rPr>
        <w:t xml:space="preserve">para 13 </w:t>
      </w:r>
      <w:r w:rsidRPr="00611F8D">
        <w:rPr>
          <w:rFonts w:ascii="Arial" w:hAnsi="Arial" w:cs="Arial"/>
          <w:sz w:val="24"/>
          <w:szCs w:val="24"/>
        </w:rPr>
        <w:t xml:space="preserve">at </w:t>
      </w:r>
    </w:p>
    <w:p w:rsidR="003954B4" w:rsidRPr="00611F8D" w:rsidRDefault="002A7865" w:rsidP="003954B4">
      <w:pPr>
        <w:pStyle w:val="FootnoteText"/>
        <w:jc w:val="both"/>
        <w:rPr>
          <w:rFonts w:ascii="Arial" w:hAnsi="Arial" w:cs="Arial"/>
          <w:sz w:val="24"/>
          <w:szCs w:val="24"/>
        </w:rPr>
      </w:pPr>
      <w:hyperlink r:id="rId6" w:history="1">
        <w:r w:rsidR="003954B4" w:rsidRPr="00611F8D">
          <w:rPr>
            <w:rStyle w:val="Hyperlink"/>
            <w:rFonts w:ascii="Arial" w:hAnsi="Arial" w:cs="Arial"/>
            <w:sz w:val="24"/>
            <w:szCs w:val="24"/>
          </w:rPr>
          <w:t>http://www.mod.uk/NR/rdonlyres/B358460B-4B2A-4AB5-9A63-15B6196B5364/0/Report_review_excl_woman_combat.pdf</w:t>
        </w:r>
      </w:hyperlink>
    </w:p>
  </w:footnote>
  <w:footnote w:id="107">
    <w:p w:rsidR="003954B4" w:rsidRPr="00611F8D" w:rsidRDefault="003954B4" w:rsidP="003954B4">
      <w:pPr>
        <w:pStyle w:val="FootnoteText"/>
        <w:jc w:val="both"/>
        <w:rPr>
          <w:rFonts w:ascii="Arial" w:hAnsi="Arial" w:cs="Arial"/>
          <w:sz w:val="24"/>
          <w:szCs w:val="24"/>
        </w:rPr>
      </w:pPr>
      <w:r w:rsidRPr="00611F8D">
        <w:rPr>
          <w:rStyle w:val="FootnoteReference"/>
          <w:rFonts w:ascii="Arial" w:hAnsi="Arial" w:cs="Arial"/>
          <w:sz w:val="24"/>
          <w:szCs w:val="24"/>
        </w:rPr>
        <w:footnoteRef/>
      </w:r>
      <w:r>
        <w:rPr>
          <w:rFonts w:ascii="Arial" w:hAnsi="Arial" w:cs="Arial"/>
          <w:sz w:val="24"/>
          <w:szCs w:val="24"/>
        </w:rPr>
        <w:t xml:space="preserve"> I</w:t>
      </w:r>
      <w:r w:rsidRPr="00611F8D">
        <w:rPr>
          <w:rFonts w:ascii="Arial" w:hAnsi="Arial" w:cs="Arial"/>
          <w:sz w:val="24"/>
          <w:szCs w:val="24"/>
        </w:rPr>
        <w:t>b</w:t>
      </w:r>
      <w:r>
        <w:rPr>
          <w:rFonts w:ascii="Arial" w:hAnsi="Arial" w:cs="Arial"/>
          <w:sz w:val="24"/>
          <w:szCs w:val="24"/>
        </w:rPr>
        <w:t>id</w:t>
      </w:r>
      <w:r w:rsidRPr="00611F8D">
        <w:rPr>
          <w:rFonts w:ascii="Arial" w:hAnsi="Arial" w:cs="Arial"/>
          <w:sz w:val="24"/>
          <w:szCs w:val="24"/>
        </w:rPr>
        <w:t xml:space="preserve"> at Annex A</w:t>
      </w:r>
    </w:p>
  </w:footnote>
  <w:footnote w:id="108">
    <w:p w:rsidR="003954B4" w:rsidRDefault="003954B4" w:rsidP="003954B4">
      <w:pPr>
        <w:pStyle w:val="FootnoteText"/>
        <w:jc w:val="both"/>
        <w:rPr>
          <w:rFonts w:ascii="Arial" w:hAnsi="Arial" w:cs="Arial"/>
          <w:sz w:val="24"/>
          <w:szCs w:val="24"/>
        </w:rPr>
      </w:pPr>
      <w:r w:rsidRPr="00611F8D">
        <w:rPr>
          <w:rStyle w:val="FootnoteReference"/>
          <w:rFonts w:ascii="Arial" w:hAnsi="Arial" w:cs="Arial"/>
          <w:sz w:val="24"/>
          <w:szCs w:val="24"/>
        </w:rPr>
        <w:footnoteRef/>
      </w:r>
      <w:r>
        <w:rPr>
          <w:rFonts w:ascii="Arial" w:hAnsi="Arial" w:cs="Arial"/>
          <w:sz w:val="24"/>
          <w:szCs w:val="24"/>
        </w:rPr>
        <w:t xml:space="preserve"> </w:t>
      </w:r>
      <w:proofErr w:type="gramStart"/>
      <w:r>
        <w:rPr>
          <w:rFonts w:ascii="Arial" w:hAnsi="Arial" w:cs="Arial"/>
          <w:sz w:val="24"/>
          <w:szCs w:val="24"/>
        </w:rPr>
        <w:t>Ibid</w:t>
      </w:r>
      <w:r w:rsidRPr="00611F8D">
        <w:rPr>
          <w:rFonts w:ascii="Arial" w:hAnsi="Arial" w:cs="Arial"/>
          <w:sz w:val="24"/>
          <w:szCs w:val="24"/>
        </w:rPr>
        <w:t xml:space="preserve"> at para 13</w:t>
      </w:r>
      <w:r>
        <w:rPr>
          <w:rFonts w:ascii="Arial" w:hAnsi="Arial" w:cs="Arial"/>
          <w:sz w:val="24"/>
          <w:szCs w:val="24"/>
        </w:rPr>
        <w:t>.</w:t>
      </w:r>
      <w:proofErr w:type="gramEnd"/>
      <w:r>
        <w:rPr>
          <w:rFonts w:ascii="Arial" w:hAnsi="Arial" w:cs="Arial"/>
          <w:sz w:val="24"/>
          <w:szCs w:val="24"/>
        </w:rPr>
        <w:t xml:space="preserve"> However, it should be noted that this review was based on considerably more evidence obtained through the commissioning of Berkshire Consultancy Ltd. (BCL) to conduct two studies on women’s roles in recent operations (BCL, ‘Qualitative Report for the Study of Women in Combat’ at </w:t>
      </w:r>
      <w:hyperlink r:id="rId7" w:history="1">
        <w:r w:rsidRPr="00D2396C">
          <w:rPr>
            <w:rFonts w:ascii="Arial" w:hAnsi="Arial" w:cs="Arial"/>
            <w:color w:val="0000FF"/>
            <w:sz w:val="24"/>
            <w:szCs w:val="24"/>
            <w:u w:val="single"/>
          </w:rPr>
          <w:t>http://www.mod.uk/NR/rdonlyres/49C587F5-5815-453C-BEB5-B409BD39F464/0/study_woman_combat_quali_data.pdf</w:t>
        </w:r>
      </w:hyperlink>
      <w:r>
        <w:rPr>
          <w:rFonts w:ascii="Arial" w:hAnsi="Arial" w:cs="Arial"/>
          <w:sz w:val="24"/>
          <w:szCs w:val="24"/>
        </w:rPr>
        <w:t xml:space="preserve"> and BCL, ‘Study of Women in Combat – Investigation of Quantitative Data’ at </w:t>
      </w:r>
    </w:p>
    <w:p w:rsidR="003954B4" w:rsidRDefault="002A7865" w:rsidP="003954B4">
      <w:pPr>
        <w:pStyle w:val="FootnoteText"/>
        <w:jc w:val="both"/>
        <w:rPr>
          <w:rFonts w:ascii="Arial" w:hAnsi="Arial" w:cs="Arial"/>
          <w:sz w:val="24"/>
          <w:szCs w:val="24"/>
        </w:rPr>
      </w:pPr>
      <w:hyperlink r:id="rId8" w:history="1">
        <w:r w:rsidR="003954B4" w:rsidRPr="00D2396C">
          <w:rPr>
            <w:rFonts w:ascii="Arial" w:hAnsi="Arial" w:cs="Arial"/>
            <w:color w:val="0000FF"/>
            <w:sz w:val="24"/>
            <w:szCs w:val="24"/>
            <w:u w:val="single"/>
          </w:rPr>
          <w:t>http://www.mod.uk/NR/rdonlyres/9BFD1F54-2AB5-4CBA-9E82-9B413AAFBADC/0/study_woman_combat_quant_data.pdf</w:t>
        </w:r>
      </w:hyperlink>
      <w:r w:rsidR="003954B4">
        <w:rPr>
          <w:rFonts w:ascii="Arial" w:hAnsi="Arial" w:cs="Arial"/>
          <w:sz w:val="24"/>
          <w:szCs w:val="24"/>
        </w:rPr>
        <w:t>) and the Defence Science and Technology Laboratory UK (Dstl) to analyse the experience of other nations and conduct a literature review (Dstl, ‘</w:t>
      </w:r>
      <w:r w:rsidR="003954B4" w:rsidRPr="0017559C">
        <w:rPr>
          <w:rFonts w:ascii="Arial" w:hAnsi="Arial" w:cs="Arial"/>
          <w:sz w:val="24"/>
          <w:szCs w:val="24"/>
        </w:rPr>
        <w:t>Women in Ground Close Combat Roles: The Experiences of other Nations and a Review of the Academic Literature</w:t>
      </w:r>
      <w:r w:rsidR="003954B4">
        <w:rPr>
          <w:rFonts w:ascii="Arial" w:hAnsi="Arial" w:cs="Arial"/>
          <w:sz w:val="24"/>
          <w:szCs w:val="24"/>
        </w:rPr>
        <w:t xml:space="preserve">’ at </w:t>
      </w:r>
    </w:p>
    <w:p w:rsidR="003954B4" w:rsidRDefault="002A7865" w:rsidP="003954B4">
      <w:pPr>
        <w:pStyle w:val="FootnoteText"/>
        <w:jc w:val="both"/>
      </w:pPr>
      <w:hyperlink r:id="rId9" w:history="1">
        <w:r w:rsidR="003954B4" w:rsidRPr="0017559C">
          <w:rPr>
            <w:rFonts w:ascii="Arial" w:hAnsi="Arial" w:cs="Arial"/>
            <w:color w:val="0000FF"/>
            <w:sz w:val="24"/>
            <w:szCs w:val="24"/>
            <w:u w:val="single"/>
          </w:rPr>
          <w:t>http://www.mod.uk/NR/rdonlyres/7A18C2A3-C25B-4FA1-B8CB-49204A109105/0/women_combat_experiences_literature.pdf</w:t>
        </w:r>
      </w:hyperlink>
    </w:p>
  </w:footnote>
  <w:footnote w:id="109">
    <w:p w:rsidR="003954B4" w:rsidRDefault="003954B4" w:rsidP="003954B4">
      <w:pPr>
        <w:pStyle w:val="FootnoteText"/>
        <w:jc w:val="both"/>
        <w:rPr>
          <w:rFonts w:ascii="Arial" w:hAnsi="Arial" w:cs="Arial"/>
          <w:sz w:val="24"/>
          <w:szCs w:val="24"/>
        </w:rPr>
      </w:pPr>
      <w:r w:rsidRPr="009607F9">
        <w:rPr>
          <w:rStyle w:val="FootnoteReference"/>
          <w:rFonts w:ascii="Arial" w:hAnsi="Arial" w:cs="Arial"/>
          <w:sz w:val="24"/>
          <w:szCs w:val="24"/>
        </w:rPr>
        <w:footnoteRef/>
      </w:r>
      <w:r w:rsidRPr="009607F9">
        <w:rPr>
          <w:rFonts w:ascii="Arial" w:hAnsi="Arial" w:cs="Arial"/>
          <w:sz w:val="24"/>
          <w:szCs w:val="24"/>
        </w:rPr>
        <w:t xml:space="preserve"> P Hammond, ‘Delivering on the Frontline: Operational Success and Sustainable Armed Forces’, speech at the Royal United Services Institute on 8 Decemb</w:t>
      </w:r>
      <w:r>
        <w:rPr>
          <w:rFonts w:ascii="Arial" w:hAnsi="Arial" w:cs="Arial"/>
          <w:sz w:val="24"/>
          <w:szCs w:val="24"/>
        </w:rPr>
        <w:t>er 2011</w:t>
      </w:r>
      <w:r w:rsidRPr="009607F9">
        <w:rPr>
          <w:rFonts w:ascii="Arial" w:hAnsi="Arial" w:cs="Arial"/>
          <w:sz w:val="24"/>
          <w:szCs w:val="24"/>
        </w:rPr>
        <w:t xml:space="preserve"> at </w:t>
      </w:r>
    </w:p>
    <w:p w:rsidR="003954B4" w:rsidRPr="009607F9" w:rsidRDefault="002A7865" w:rsidP="003954B4">
      <w:pPr>
        <w:pStyle w:val="FootnoteText"/>
        <w:jc w:val="both"/>
        <w:rPr>
          <w:rFonts w:ascii="Arial" w:hAnsi="Arial" w:cs="Arial"/>
          <w:sz w:val="24"/>
          <w:szCs w:val="24"/>
        </w:rPr>
      </w:pPr>
      <w:hyperlink r:id="rId10" w:history="1">
        <w:r w:rsidR="003954B4" w:rsidRPr="009607F9">
          <w:rPr>
            <w:rFonts w:ascii="Arial" w:hAnsi="Arial" w:cs="Arial"/>
            <w:color w:val="0000FF"/>
            <w:sz w:val="24"/>
            <w:szCs w:val="24"/>
            <w:u w:val="single"/>
          </w:rPr>
          <w:t>http://www.mod.uk/DefenceInternet/AboutDefence/People/Speeches/SofS/20111208DeliveringOnTheFrontlineOperationalSuccessAndSustainableArmedForces.htm</w:t>
        </w:r>
      </w:hyperlink>
      <w:hyperlink r:id="rId11" w:history="1">
        <w:r w:rsidR="003954B4" w:rsidRPr="009607F9">
          <w:rPr>
            <w:rFonts w:ascii="Arial" w:hAnsi="Arial" w:cs="Arial"/>
            <w:color w:val="0000FF"/>
            <w:sz w:val="24"/>
            <w:szCs w:val="24"/>
            <w:u w:val="single"/>
          </w:rPr>
          <w:t>http://www.mod.uk/DefenceInternet/AboutDefence/People/Speeches/SofS/20111208DeliveringOnTheFrontlineOperationalSuccessAndSustainableArmedForces.htm</w:t>
        </w:r>
      </w:hyperlink>
    </w:p>
  </w:footnote>
  <w:footnote w:id="110">
    <w:p w:rsidR="00B1025E" w:rsidRPr="000C60C1" w:rsidRDefault="00B1025E" w:rsidP="00B1025E">
      <w:pPr>
        <w:pStyle w:val="FootnoteText"/>
        <w:jc w:val="both"/>
        <w:rPr>
          <w:rFonts w:ascii="Arial" w:hAnsi="Arial" w:cs="Arial"/>
          <w:sz w:val="24"/>
          <w:szCs w:val="24"/>
        </w:rPr>
      </w:pPr>
      <w:r w:rsidRPr="000C60C1">
        <w:rPr>
          <w:rStyle w:val="FootnoteReference"/>
          <w:rFonts w:ascii="Arial" w:hAnsi="Arial" w:cs="Arial"/>
          <w:sz w:val="24"/>
          <w:szCs w:val="24"/>
        </w:rPr>
        <w:footnoteRef/>
      </w:r>
      <w:r>
        <w:rPr>
          <w:rFonts w:ascii="Arial" w:hAnsi="Arial" w:cs="Arial"/>
          <w:sz w:val="24"/>
          <w:szCs w:val="24"/>
        </w:rPr>
        <w:t xml:space="preserve"> </w:t>
      </w:r>
      <w:r>
        <w:rPr>
          <w:rFonts w:ascii="Arial" w:hAnsi="Arial" w:cs="Arial"/>
          <w:sz w:val="24"/>
          <w:szCs w:val="24"/>
        </w:rPr>
        <w:t xml:space="preserve">Op. Cit. </w:t>
      </w:r>
      <w:r>
        <w:rPr>
          <w:rFonts w:ascii="Arial" w:hAnsi="Arial" w:cs="Arial"/>
          <w:sz w:val="24"/>
          <w:szCs w:val="24"/>
        </w:rPr>
        <w:t>n</w:t>
      </w:r>
      <w:r>
        <w:rPr>
          <w:rFonts w:ascii="Arial" w:hAnsi="Arial" w:cs="Arial"/>
          <w:sz w:val="24"/>
          <w:szCs w:val="24"/>
        </w:rPr>
        <w:t>.</w:t>
      </w:r>
      <w:r>
        <w:rPr>
          <w:rFonts w:ascii="Arial" w:hAnsi="Arial" w:cs="Arial"/>
          <w:sz w:val="24"/>
          <w:szCs w:val="24"/>
        </w:rPr>
        <w:t>10</w:t>
      </w:r>
      <w:r>
        <w:rPr>
          <w:rFonts w:ascii="Arial" w:hAnsi="Arial" w:cs="Arial"/>
          <w:sz w:val="24"/>
          <w:szCs w:val="24"/>
        </w:rPr>
        <w:t>8</w:t>
      </w:r>
      <w:r>
        <w:rPr>
          <w:rFonts w:ascii="Arial" w:hAnsi="Arial" w:cs="Arial"/>
          <w:sz w:val="24"/>
          <w:szCs w:val="24"/>
        </w:rPr>
        <w:t xml:space="preserve"> above</w:t>
      </w:r>
      <w:r w:rsidRPr="000C60C1">
        <w:rPr>
          <w:rFonts w:ascii="Arial" w:hAnsi="Arial" w:cs="Arial"/>
          <w:sz w:val="24"/>
          <w:szCs w:val="24"/>
        </w:rPr>
        <w:t xml:space="preserve"> Qualitative Report at 34</w:t>
      </w:r>
    </w:p>
  </w:footnote>
  <w:footnote w:id="111">
    <w:p w:rsidR="00B1025E" w:rsidRDefault="00B1025E" w:rsidP="00B1025E">
      <w:pPr>
        <w:pStyle w:val="FootnoteText"/>
        <w:jc w:val="both"/>
      </w:pPr>
      <w:r w:rsidRPr="000C60C1">
        <w:rPr>
          <w:rStyle w:val="FootnoteReference"/>
          <w:rFonts w:ascii="Arial" w:hAnsi="Arial" w:cs="Arial"/>
          <w:sz w:val="24"/>
          <w:szCs w:val="24"/>
        </w:rPr>
        <w:footnoteRef/>
      </w:r>
      <w:r w:rsidRPr="000C60C1">
        <w:rPr>
          <w:rFonts w:ascii="Arial" w:hAnsi="Arial" w:cs="Arial"/>
          <w:sz w:val="24"/>
          <w:szCs w:val="24"/>
        </w:rPr>
        <w:t xml:space="preserve"> The author served in HMS Invincible in 1990, the first ship on which women served at sea, and heard many arguments similar to these</w:t>
      </w:r>
      <w:r>
        <w:rPr>
          <w:rFonts w:ascii="Arial" w:hAnsi="Arial" w:cs="Arial"/>
          <w:sz w:val="24"/>
          <w:szCs w:val="24"/>
        </w:rPr>
        <w:t xml:space="preserve"> before they joined</w:t>
      </w:r>
      <w:r w:rsidRPr="000C60C1">
        <w:rPr>
          <w:rFonts w:ascii="Arial" w:hAnsi="Arial" w:cs="Arial"/>
          <w:sz w:val="24"/>
          <w:szCs w:val="24"/>
        </w:rPr>
        <w:t xml:space="preserve">. Interestingly when the author returned to sea in HMS Cardiff </w:t>
      </w:r>
      <w:r>
        <w:rPr>
          <w:rFonts w:ascii="Arial" w:hAnsi="Arial" w:cs="Arial"/>
          <w:sz w:val="24"/>
          <w:szCs w:val="24"/>
        </w:rPr>
        <w:t xml:space="preserve"> in 1993 </w:t>
      </w:r>
      <w:r w:rsidRPr="000C60C1">
        <w:rPr>
          <w:rFonts w:ascii="Arial" w:hAnsi="Arial" w:cs="Arial"/>
          <w:sz w:val="24"/>
          <w:szCs w:val="24"/>
        </w:rPr>
        <w:t>following flying training, women were totally integrated and accepted as members of the crew</w:t>
      </w:r>
    </w:p>
  </w:footnote>
  <w:footnote w:id="112">
    <w:p w:rsidR="00B1025E" w:rsidRPr="00AF71C4" w:rsidRDefault="00B1025E" w:rsidP="00B1025E">
      <w:pPr>
        <w:pStyle w:val="FootnoteText"/>
        <w:jc w:val="both"/>
        <w:rPr>
          <w:rFonts w:ascii="Arial" w:hAnsi="Arial" w:cs="Arial"/>
          <w:sz w:val="24"/>
          <w:szCs w:val="24"/>
        </w:rPr>
      </w:pPr>
      <w:r w:rsidRPr="00AF71C4">
        <w:rPr>
          <w:rStyle w:val="FootnoteReference"/>
          <w:rFonts w:ascii="Arial" w:hAnsi="Arial" w:cs="Arial"/>
          <w:sz w:val="24"/>
          <w:szCs w:val="24"/>
        </w:rPr>
        <w:footnoteRef/>
      </w:r>
      <w:r>
        <w:rPr>
          <w:rFonts w:ascii="Arial" w:hAnsi="Arial" w:cs="Arial"/>
          <w:sz w:val="24"/>
          <w:szCs w:val="24"/>
        </w:rPr>
        <w:t xml:space="preserve"> </w:t>
      </w:r>
      <w:r>
        <w:rPr>
          <w:rFonts w:ascii="Arial" w:hAnsi="Arial" w:cs="Arial"/>
          <w:sz w:val="24"/>
          <w:szCs w:val="24"/>
        </w:rPr>
        <w:t>Ibid.</w:t>
      </w:r>
    </w:p>
  </w:footnote>
  <w:footnote w:id="113">
    <w:p w:rsidR="00B1025E" w:rsidRPr="00AF71C4" w:rsidRDefault="00B1025E" w:rsidP="00B1025E">
      <w:pPr>
        <w:pStyle w:val="FootnoteText"/>
        <w:jc w:val="both"/>
        <w:rPr>
          <w:rFonts w:ascii="Arial" w:hAnsi="Arial" w:cs="Arial"/>
          <w:sz w:val="24"/>
          <w:szCs w:val="24"/>
        </w:rPr>
      </w:pPr>
      <w:r w:rsidRPr="00AF71C4">
        <w:rPr>
          <w:rStyle w:val="FootnoteReference"/>
          <w:rFonts w:ascii="Arial" w:hAnsi="Arial" w:cs="Arial"/>
          <w:sz w:val="24"/>
          <w:szCs w:val="24"/>
        </w:rPr>
        <w:footnoteRef/>
      </w:r>
      <w:r>
        <w:rPr>
          <w:rFonts w:ascii="Arial" w:hAnsi="Arial" w:cs="Arial"/>
          <w:sz w:val="24"/>
          <w:szCs w:val="24"/>
        </w:rPr>
        <w:t xml:space="preserve"> </w:t>
      </w:r>
      <w:r>
        <w:rPr>
          <w:rFonts w:ascii="Arial" w:hAnsi="Arial" w:cs="Arial"/>
          <w:sz w:val="24"/>
          <w:szCs w:val="24"/>
        </w:rPr>
        <w:t>Ibid.</w:t>
      </w:r>
      <w:r w:rsidRPr="00AF71C4">
        <w:rPr>
          <w:rFonts w:ascii="Arial" w:hAnsi="Arial" w:cs="Arial"/>
          <w:sz w:val="24"/>
          <w:szCs w:val="24"/>
        </w:rPr>
        <w:t xml:space="preserve"> Qualitative Report at 35</w:t>
      </w:r>
    </w:p>
  </w:footnote>
  <w:footnote w:id="114">
    <w:p w:rsidR="00B1025E" w:rsidRPr="00AF71C4" w:rsidRDefault="00B1025E" w:rsidP="00B1025E">
      <w:pPr>
        <w:pStyle w:val="FootnoteText"/>
        <w:jc w:val="both"/>
        <w:rPr>
          <w:rFonts w:ascii="Arial" w:hAnsi="Arial" w:cs="Arial"/>
          <w:sz w:val="24"/>
          <w:szCs w:val="24"/>
        </w:rPr>
      </w:pPr>
      <w:r w:rsidRPr="00AF71C4">
        <w:rPr>
          <w:rStyle w:val="FootnoteReference"/>
          <w:rFonts w:ascii="Arial" w:hAnsi="Arial" w:cs="Arial"/>
          <w:sz w:val="24"/>
          <w:szCs w:val="24"/>
        </w:rPr>
        <w:footnoteRef/>
      </w:r>
      <w:r>
        <w:rPr>
          <w:rFonts w:ascii="Arial" w:hAnsi="Arial" w:cs="Arial"/>
          <w:sz w:val="24"/>
          <w:szCs w:val="24"/>
        </w:rPr>
        <w:t xml:space="preserve"> </w:t>
      </w:r>
      <w:r>
        <w:rPr>
          <w:rFonts w:ascii="Arial" w:hAnsi="Arial" w:cs="Arial"/>
          <w:sz w:val="24"/>
          <w:szCs w:val="24"/>
        </w:rPr>
        <w:t>Ibid.</w:t>
      </w:r>
      <w:r w:rsidRPr="00AF71C4">
        <w:rPr>
          <w:rFonts w:ascii="Arial" w:hAnsi="Arial" w:cs="Arial"/>
          <w:sz w:val="24"/>
          <w:szCs w:val="24"/>
        </w:rPr>
        <w:t xml:space="preserve"> Quantitative Report at 40</w:t>
      </w:r>
    </w:p>
  </w:footnote>
  <w:footnote w:id="115">
    <w:p w:rsidR="00B1025E" w:rsidRPr="00AF71C4" w:rsidRDefault="00B1025E" w:rsidP="00B1025E">
      <w:pPr>
        <w:pStyle w:val="FootnoteText"/>
        <w:jc w:val="both"/>
        <w:rPr>
          <w:rFonts w:ascii="Arial" w:hAnsi="Arial" w:cs="Arial"/>
          <w:sz w:val="24"/>
          <w:szCs w:val="24"/>
        </w:rPr>
      </w:pPr>
      <w:r w:rsidRPr="00AF71C4">
        <w:rPr>
          <w:rStyle w:val="FootnoteReference"/>
          <w:rFonts w:ascii="Arial" w:hAnsi="Arial" w:cs="Arial"/>
          <w:sz w:val="24"/>
          <w:szCs w:val="24"/>
        </w:rPr>
        <w:footnoteRef/>
      </w:r>
      <w:r>
        <w:rPr>
          <w:rFonts w:ascii="Arial" w:hAnsi="Arial" w:cs="Arial"/>
          <w:sz w:val="24"/>
          <w:szCs w:val="24"/>
        </w:rPr>
        <w:t xml:space="preserve"> I</w:t>
      </w:r>
      <w:r>
        <w:rPr>
          <w:rFonts w:ascii="Arial" w:hAnsi="Arial" w:cs="Arial"/>
          <w:sz w:val="24"/>
          <w:szCs w:val="24"/>
        </w:rPr>
        <w:t>bid</w:t>
      </w:r>
      <w:r>
        <w:rPr>
          <w:rFonts w:ascii="Arial" w:hAnsi="Arial" w:cs="Arial"/>
          <w:sz w:val="24"/>
          <w:szCs w:val="24"/>
        </w:rPr>
        <w:t>.</w:t>
      </w:r>
    </w:p>
  </w:footnote>
  <w:footnote w:id="116">
    <w:p w:rsidR="00B1025E" w:rsidRDefault="00B1025E" w:rsidP="00B1025E">
      <w:pPr>
        <w:pStyle w:val="FootnoteText"/>
        <w:jc w:val="both"/>
      </w:pPr>
      <w:r w:rsidRPr="00AF71C4">
        <w:rPr>
          <w:rStyle w:val="FootnoteReference"/>
          <w:rFonts w:ascii="Arial" w:hAnsi="Arial" w:cs="Arial"/>
          <w:sz w:val="24"/>
          <w:szCs w:val="24"/>
        </w:rPr>
        <w:footnoteRef/>
      </w:r>
      <w:r>
        <w:rPr>
          <w:rFonts w:ascii="Arial" w:hAnsi="Arial" w:cs="Arial"/>
          <w:sz w:val="24"/>
          <w:szCs w:val="24"/>
        </w:rPr>
        <w:t xml:space="preserve"> I</w:t>
      </w:r>
      <w:r>
        <w:rPr>
          <w:rFonts w:ascii="Arial" w:hAnsi="Arial" w:cs="Arial"/>
          <w:sz w:val="24"/>
          <w:szCs w:val="24"/>
        </w:rPr>
        <w:t>bid</w:t>
      </w:r>
      <w:r>
        <w:rPr>
          <w:rFonts w:ascii="Arial" w:hAnsi="Arial" w:cs="Arial"/>
          <w:sz w:val="24"/>
          <w:szCs w:val="24"/>
        </w:rPr>
        <w:t>.</w:t>
      </w:r>
      <w:r w:rsidRPr="00AF71C4">
        <w:rPr>
          <w:rFonts w:ascii="Arial" w:hAnsi="Arial" w:cs="Arial"/>
          <w:sz w:val="24"/>
          <w:szCs w:val="24"/>
        </w:rPr>
        <w:t xml:space="preserve"> at 43</w:t>
      </w:r>
    </w:p>
  </w:footnote>
  <w:footnote w:id="117">
    <w:p w:rsidR="00355AF0" w:rsidRPr="00355AF0" w:rsidRDefault="00355AF0" w:rsidP="00355AF0">
      <w:pPr>
        <w:pStyle w:val="FootnoteText"/>
        <w:jc w:val="both"/>
        <w:rPr>
          <w:rFonts w:ascii="Arial" w:hAnsi="Arial" w:cs="Arial"/>
          <w:sz w:val="24"/>
          <w:szCs w:val="24"/>
        </w:rPr>
      </w:pPr>
      <w:r w:rsidRPr="00355AF0">
        <w:rPr>
          <w:rStyle w:val="FootnoteReference"/>
          <w:rFonts w:ascii="Arial" w:hAnsi="Arial" w:cs="Arial"/>
          <w:sz w:val="24"/>
          <w:szCs w:val="24"/>
        </w:rPr>
        <w:footnoteRef/>
      </w:r>
      <w:r w:rsidRPr="00355AF0">
        <w:rPr>
          <w:rFonts w:ascii="Arial" w:hAnsi="Arial" w:cs="Arial"/>
          <w:sz w:val="24"/>
          <w:szCs w:val="24"/>
        </w:rPr>
        <w:t xml:space="preserve"> Op. Cit. n.53</w:t>
      </w:r>
    </w:p>
  </w:footnote>
  <w:footnote w:id="118">
    <w:p w:rsidR="00816323" w:rsidRPr="00470CAE" w:rsidRDefault="00816323" w:rsidP="00470CAE">
      <w:pPr>
        <w:pStyle w:val="FootnoteText"/>
        <w:jc w:val="both"/>
        <w:rPr>
          <w:rFonts w:ascii="Arial" w:hAnsi="Arial" w:cs="Arial"/>
          <w:sz w:val="24"/>
          <w:szCs w:val="24"/>
        </w:rPr>
      </w:pPr>
      <w:r w:rsidRPr="00470CAE">
        <w:rPr>
          <w:rStyle w:val="FootnoteReference"/>
          <w:rFonts w:ascii="Arial" w:hAnsi="Arial" w:cs="Arial"/>
          <w:sz w:val="24"/>
          <w:szCs w:val="24"/>
        </w:rPr>
        <w:footnoteRef/>
      </w:r>
      <w:r w:rsidRPr="00470CAE">
        <w:rPr>
          <w:rFonts w:ascii="Arial" w:hAnsi="Arial" w:cs="Arial"/>
          <w:sz w:val="24"/>
          <w:szCs w:val="24"/>
        </w:rPr>
        <w:t xml:space="preserve"> In May 2012 Commander Sarah West became the first woman to command </w:t>
      </w:r>
      <w:r w:rsidR="00470CAE" w:rsidRPr="00470CAE">
        <w:rPr>
          <w:rFonts w:ascii="Arial" w:hAnsi="Arial" w:cs="Arial"/>
          <w:sz w:val="24"/>
          <w:szCs w:val="24"/>
        </w:rPr>
        <w:t xml:space="preserve">a major Royal Naval warship at </w:t>
      </w:r>
      <w:hyperlink r:id="rId12" w:history="1">
        <w:r w:rsidR="00470CAE" w:rsidRPr="00470CAE">
          <w:rPr>
            <w:rFonts w:ascii="Arial" w:hAnsi="Arial" w:cs="Arial"/>
            <w:color w:val="0000FF"/>
            <w:sz w:val="24"/>
            <w:szCs w:val="24"/>
            <w:u w:val="single"/>
          </w:rPr>
          <w:t>http://www.bbc.co.uk/news/uk-scotland-edinburgh-east-fife-18158980</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2554E"/>
    <w:multiLevelType w:val="hybridMultilevel"/>
    <w:tmpl w:val="072C7D0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0BA"/>
    <w:rsid w:val="00006E5B"/>
    <w:rsid w:val="00041378"/>
    <w:rsid w:val="00051D33"/>
    <w:rsid w:val="00057F6F"/>
    <w:rsid w:val="00075097"/>
    <w:rsid w:val="000862A6"/>
    <w:rsid w:val="000D3F08"/>
    <w:rsid w:val="001042A2"/>
    <w:rsid w:val="00151E85"/>
    <w:rsid w:val="0015577C"/>
    <w:rsid w:val="00176340"/>
    <w:rsid w:val="0019665E"/>
    <w:rsid w:val="001A758F"/>
    <w:rsid w:val="001A78CA"/>
    <w:rsid w:val="001C7316"/>
    <w:rsid w:val="001D3E47"/>
    <w:rsid w:val="001D6183"/>
    <w:rsid w:val="001D7834"/>
    <w:rsid w:val="0022007F"/>
    <w:rsid w:val="00227ABE"/>
    <w:rsid w:val="00242FA8"/>
    <w:rsid w:val="00250517"/>
    <w:rsid w:val="00296EF1"/>
    <w:rsid w:val="002A18EC"/>
    <w:rsid w:val="002A2AE4"/>
    <w:rsid w:val="002A7865"/>
    <w:rsid w:val="002B0805"/>
    <w:rsid w:val="002E18BB"/>
    <w:rsid w:val="002E2BE1"/>
    <w:rsid w:val="00313018"/>
    <w:rsid w:val="003160BA"/>
    <w:rsid w:val="00355AF0"/>
    <w:rsid w:val="00380954"/>
    <w:rsid w:val="00383560"/>
    <w:rsid w:val="00387460"/>
    <w:rsid w:val="003954B4"/>
    <w:rsid w:val="003B0481"/>
    <w:rsid w:val="003C0103"/>
    <w:rsid w:val="003E61F9"/>
    <w:rsid w:val="00431DCE"/>
    <w:rsid w:val="00445B60"/>
    <w:rsid w:val="00456640"/>
    <w:rsid w:val="00463734"/>
    <w:rsid w:val="00470CAE"/>
    <w:rsid w:val="00486D00"/>
    <w:rsid w:val="00490D49"/>
    <w:rsid w:val="005201F0"/>
    <w:rsid w:val="005246E9"/>
    <w:rsid w:val="00573730"/>
    <w:rsid w:val="005753ED"/>
    <w:rsid w:val="00581489"/>
    <w:rsid w:val="00592FF8"/>
    <w:rsid w:val="005E0AE9"/>
    <w:rsid w:val="005F0746"/>
    <w:rsid w:val="00603569"/>
    <w:rsid w:val="00621F35"/>
    <w:rsid w:val="0062566F"/>
    <w:rsid w:val="00633EC3"/>
    <w:rsid w:val="006A45F5"/>
    <w:rsid w:val="006E1BFA"/>
    <w:rsid w:val="0070237C"/>
    <w:rsid w:val="0071125E"/>
    <w:rsid w:val="007179C4"/>
    <w:rsid w:val="00733B89"/>
    <w:rsid w:val="0073406F"/>
    <w:rsid w:val="00763CC8"/>
    <w:rsid w:val="007B26C2"/>
    <w:rsid w:val="007D1247"/>
    <w:rsid w:val="007D155F"/>
    <w:rsid w:val="007E390F"/>
    <w:rsid w:val="007F252A"/>
    <w:rsid w:val="00816323"/>
    <w:rsid w:val="00817CFD"/>
    <w:rsid w:val="00843565"/>
    <w:rsid w:val="0084518B"/>
    <w:rsid w:val="008C48CF"/>
    <w:rsid w:val="008D3A17"/>
    <w:rsid w:val="00924B4B"/>
    <w:rsid w:val="00940790"/>
    <w:rsid w:val="009774C3"/>
    <w:rsid w:val="009A271B"/>
    <w:rsid w:val="009D5FB6"/>
    <w:rsid w:val="009F5E4C"/>
    <w:rsid w:val="00A57D79"/>
    <w:rsid w:val="00A6349D"/>
    <w:rsid w:val="00A91ADD"/>
    <w:rsid w:val="00AA51ED"/>
    <w:rsid w:val="00AA6CB4"/>
    <w:rsid w:val="00AC4BB1"/>
    <w:rsid w:val="00AC5841"/>
    <w:rsid w:val="00AD7940"/>
    <w:rsid w:val="00AE0800"/>
    <w:rsid w:val="00AF4B14"/>
    <w:rsid w:val="00B1025E"/>
    <w:rsid w:val="00B451B1"/>
    <w:rsid w:val="00B73BDC"/>
    <w:rsid w:val="00BC2CCE"/>
    <w:rsid w:val="00BD1948"/>
    <w:rsid w:val="00C27E47"/>
    <w:rsid w:val="00C33A7E"/>
    <w:rsid w:val="00C34E07"/>
    <w:rsid w:val="00C42B21"/>
    <w:rsid w:val="00C62B16"/>
    <w:rsid w:val="00C710BE"/>
    <w:rsid w:val="00CF3039"/>
    <w:rsid w:val="00D30604"/>
    <w:rsid w:val="00D51FA0"/>
    <w:rsid w:val="00D62EAA"/>
    <w:rsid w:val="00D81D23"/>
    <w:rsid w:val="00D975E6"/>
    <w:rsid w:val="00DA5563"/>
    <w:rsid w:val="00DE30BC"/>
    <w:rsid w:val="00E0436E"/>
    <w:rsid w:val="00E13133"/>
    <w:rsid w:val="00E464F5"/>
    <w:rsid w:val="00E526B7"/>
    <w:rsid w:val="00E619FF"/>
    <w:rsid w:val="00E6576C"/>
    <w:rsid w:val="00E70839"/>
    <w:rsid w:val="00E800BE"/>
    <w:rsid w:val="00EC1EBC"/>
    <w:rsid w:val="00EC65D6"/>
    <w:rsid w:val="00EF2F5F"/>
    <w:rsid w:val="00F131DD"/>
    <w:rsid w:val="00F37D45"/>
    <w:rsid w:val="00F53832"/>
    <w:rsid w:val="00F61EDF"/>
    <w:rsid w:val="00F82650"/>
    <w:rsid w:val="00FB3572"/>
    <w:rsid w:val="00FF3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80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753ED"/>
    <w:pPr>
      <w:spacing w:after="0" w:line="240" w:lineRule="auto"/>
    </w:pPr>
    <w:rPr>
      <w:sz w:val="20"/>
      <w:szCs w:val="20"/>
    </w:rPr>
  </w:style>
  <w:style w:type="character" w:customStyle="1" w:styleId="FootnoteTextChar">
    <w:name w:val="Footnote Text Char"/>
    <w:basedOn w:val="DefaultParagraphFont"/>
    <w:link w:val="FootnoteText"/>
    <w:uiPriority w:val="99"/>
    <w:rsid w:val="005753ED"/>
    <w:rPr>
      <w:lang w:eastAsia="en-US"/>
    </w:rPr>
  </w:style>
  <w:style w:type="character" w:styleId="FootnoteReference">
    <w:name w:val="footnote reference"/>
    <w:basedOn w:val="DefaultParagraphFont"/>
    <w:semiHidden/>
    <w:unhideWhenUsed/>
    <w:rsid w:val="005753ED"/>
    <w:rPr>
      <w:vertAlign w:val="superscript"/>
    </w:rPr>
  </w:style>
  <w:style w:type="character" w:styleId="Hyperlink">
    <w:name w:val="Hyperlink"/>
    <w:basedOn w:val="DefaultParagraphFont"/>
    <w:uiPriority w:val="99"/>
    <w:unhideWhenUsed/>
    <w:rsid w:val="005753ED"/>
    <w:rPr>
      <w:color w:val="0000FF" w:themeColor="hyperlink"/>
      <w:u w:val="single"/>
    </w:rPr>
  </w:style>
  <w:style w:type="paragraph" w:styleId="ListParagraph">
    <w:name w:val="List Paragraph"/>
    <w:basedOn w:val="Normal"/>
    <w:uiPriority w:val="34"/>
    <w:qFormat/>
    <w:rsid w:val="008D3A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80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753ED"/>
    <w:pPr>
      <w:spacing w:after="0" w:line="240" w:lineRule="auto"/>
    </w:pPr>
    <w:rPr>
      <w:sz w:val="20"/>
      <w:szCs w:val="20"/>
    </w:rPr>
  </w:style>
  <w:style w:type="character" w:customStyle="1" w:styleId="FootnoteTextChar">
    <w:name w:val="Footnote Text Char"/>
    <w:basedOn w:val="DefaultParagraphFont"/>
    <w:link w:val="FootnoteText"/>
    <w:uiPriority w:val="99"/>
    <w:rsid w:val="005753ED"/>
    <w:rPr>
      <w:lang w:eastAsia="en-US"/>
    </w:rPr>
  </w:style>
  <w:style w:type="character" w:styleId="FootnoteReference">
    <w:name w:val="footnote reference"/>
    <w:basedOn w:val="DefaultParagraphFont"/>
    <w:semiHidden/>
    <w:unhideWhenUsed/>
    <w:rsid w:val="005753ED"/>
    <w:rPr>
      <w:vertAlign w:val="superscript"/>
    </w:rPr>
  </w:style>
  <w:style w:type="character" w:styleId="Hyperlink">
    <w:name w:val="Hyperlink"/>
    <w:basedOn w:val="DefaultParagraphFont"/>
    <w:uiPriority w:val="99"/>
    <w:unhideWhenUsed/>
    <w:rsid w:val="005753ED"/>
    <w:rPr>
      <w:color w:val="0000FF" w:themeColor="hyperlink"/>
      <w:u w:val="single"/>
    </w:rPr>
  </w:style>
  <w:style w:type="paragraph" w:styleId="ListParagraph">
    <w:name w:val="List Paragraph"/>
    <w:basedOn w:val="Normal"/>
    <w:uiPriority w:val="34"/>
    <w:qFormat/>
    <w:rsid w:val="008D3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mod.uk/NR/rdonlyres/9BFD1F54-2AB5-4CBA-9E82-9B413AAFBADC/0/study_woman_combat_quant_data.pdf" TargetMode="External"/><Relationship Id="rId3" Type="http://schemas.openxmlformats.org/officeDocument/2006/relationships/hyperlink" Target="http://www.mod.uk/NR/rdonlyres/10B34976-75F9-47E0-B376-AED4B09FB3B3/0/women_af_summary.pdf" TargetMode="External"/><Relationship Id="rId7" Type="http://schemas.openxmlformats.org/officeDocument/2006/relationships/hyperlink" Target="http://www.mod.uk/NR/rdonlyres/49C587F5-5815-453C-BEB5-B409BD39F464/0/study_woman_combat_quali_data.pdf" TargetMode="External"/><Relationship Id="rId12" Type="http://schemas.openxmlformats.org/officeDocument/2006/relationships/hyperlink" Target="http://www.bbc.co.uk/news/uk-scotland-edinburgh-east-fife-18158980" TargetMode="External"/><Relationship Id="rId2" Type="http://schemas.openxmlformats.org/officeDocument/2006/relationships/hyperlink" Target="http://www.mod.uk/NR/rdonlyres/B358460B-4B2A-4AB5-9A63-15B6196B5364/0/Report_review_excl_woman_combat.pdf" TargetMode="External"/><Relationship Id="rId1" Type="http://schemas.openxmlformats.org/officeDocument/2006/relationships/hyperlink" Target="http://www.mod.uk/NR/rdonlyres/A9925990-82C2-420F-AB04-7003768CEC02/0/womenaf_fullreport.pdf" TargetMode="External"/><Relationship Id="rId6" Type="http://schemas.openxmlformats.org/officeDocument/2006/relationships/hyperlink" Target="http://www.mod.uk/NR/rdonlyres/B358460B-4B2A-4AB5-9A63-15B6196B5364/0/Report_review_excl_woman_combat.pdf" TargetMode="External"/><Relationship Id="rId11" Type="http://schemas.openxmlformats.org/officeDocument/2006/relationships/hyperlink" Target="http://www.mod.uk/DefenceInternet/AboutDefence/People/Speeches/SofS/20111208DeliveringOnTheFrontlineOperationalSuccessAndSustainableArmedForces.htm" TargetMode="External"/><Relationship Id="rId5" Type="http://schemas.openxmlformats.org/officeDocument/2006/relationships/hyperlink" Target="http://www.bbc.co.uk/programmes/b00wdhd5" TargetMode="External"/><Relationship Id="rId10" Type="http://schemas.openxmlformats.org/officeDocument/2006/relationships/hyperlink" Target="http://www.mod.uk/DefenceInternet/AboutDefence/People/Speeches/SofS/20111208DeliveringOnTheFrontlineOperationalSuccessAndSustainableArmedForces.htm" TargetMode="External"/><Relationship Id="rId4" Type="http://schemas.openxmlformats.org/officeDocument/2006/relationships/hyperlink" Target="http://www.dailymail.co.uk/news/article-1253546/Women-set-serve-submarines-Britain-follows-U-S-Navy-ruling.html" TargetMode="External"/><Relationship Id="rId9" Type="http://schemas.openxmlformats.org/officeDocument/2006/relationships/hyperlink" Target="http://www.mod.uk/NR/rdonlyres/7A18C2A3-C25B-4FA1-B8CB-49204A109105/0/women_combat_experiences_literat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6E772-3AA5-45AA-AA9D-03BB088BA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1779</TotalTime>
  <Pages>19</Pages>
  <Words>4691</Words>
  <Characters>26745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Rick</cp:lastModifiedBy>
  <cp:revision>8</cp:revision>
  <dcterms:created xsi:type="dcterms:W3CDTF">2012-10-09T09:58:00Z</dcterms:created>
  <dcterms:modified xsi:type="dcterms:W3CDTF">2012-10-15T06:50:00Z</dcterms:modified>
</cp:coreProperties>
</file>