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03" w:rsidRDefault="00B95D03" w:rsidP="00B95D03">
      <w:pPr>
        <w:pStyle w:val="Normaali1"/>
        <w:rPr>
          <w:rFonts w:ascii="Times New Roman" w:hAnsi="Times New Roman"/>
          <w:b/>
        </w:rPr>
      </w:pPr>
      <w:r>
        <w:rPr>
          <w:rFonts w:ascii="Times New Roman" w:hAnsi="Times New Roman"/>
          <w:b/>
        </w:rPr>
        <w:t xml:space="preserve">                                                                                                                                                                                                                                                                                                                                                                                                                                                                                                                                                                                                                                                                                                                                                                                                                                                                                                                                                                                                                                                                                                                                                                                                                                                                                                                                                                                                                                                                                                                                                                                                                                                                                                                                                                                                                                                                                                                                                                                                                                                                                                                                                                                                                                                                                                                                                                                                                                                                                                                                                                                                                                                                                                                                                                                                                                                                                                                     </w:t>
      </w:r>
    </w:p>
    <w:p w:rsidR="00B95D03" w:rsidRDefault="00B95D03" w:rsidP="00B95D03">
      <w:pPr>
        <w:pStyle w:val="Normaali1"/>
        <w:jc w:val="center"/>
        <w:rPr>
          <w:rFonts w:ascii="Times New Roman" w:hAnsi="Times New Roman"/>
          <w:b/>
          <w:sz w:val="28"/>
          <w:szCs w:val="28"/>
          <w:lang w:val="en-GB"/>
        </w:rPr>
      </w:pPr>
      <w:r>
        <w:rPr>
          <w:rFonts w:ascii="Times New Roman" w:hAnsi="Times New Roman"/>
          <w:b/>
          <w:sz w:val="28"/>
          <w:szCs w:val="28"/>
          <w:lang w:val="en-GB"/>
        </w:rPr>
        <w:t>Regional Input</w:t>
      </w:r>
      <w:r>
        <w:rPr>
          <w:rFonts w:ascii="Times New Roman" w:hAnsi="Times New Roman"/>
          <w:b/>
          <w:sz w:val="28"/>
          <w:szCs w:val="28"/>
          <w:lang w:val="en-GB"/>
        </w:rPr>
        <w:sym w:font="Symbol" w:char="F02D"/>
      </w:r>
      <w:r>
        <w:rPr>
          <w:rFonts w:ascii="Times New Roman" w:hAnsi="Times New Roman"/>
          <w:b/>
          <w:sz w:val="28"/>
          <w:szCs w:val="28"/>
          <w:lang w:val="en-GB"/>
        </w:rPr>
        <w:t>Output Tables and the FLQ Formula:</w:t>
      </w:r>
    </w:p>
    <w:p w:rsidR="00B95D03" w:rsidRDefault="00B95D03" w:rsidP="00B95D03">
      <w:pPr>
        <w:pStyle w:val="Normaali1"/>
        <w:jc w:val="center"/>
        <w:rPr>
          <w:rFonts w:ascii="Times New Roman" w:hAnsi="Times New Roman"/>
          <w:b/>
          <w:sz w:val="28"/>
          <w:szCs w:val="28"/>
          <w:lang w:val="en-GB"/>
        </w:rPr>
      </w:pPr>
      <w:r>
        <w:rPr>
          <w:rFonts w:ascii="Times New Roman" w:hAnsi="Times New Roman"/>
          <w:b/>
          <w:sz w:val="28"/>
          <w:szCs w:val="28"/>
          <w:lang w:val="en-GB"/>
        </w:rPr>
        <w:t>A Case Study of Finland</w:t>
      </w:r>
    </w:p>
    <w:p w:rsidR="00A44A84" w:rsidRDefault="00A44A84" w:rsidP="00B95D03">
      <w:pPr>
        <w:pStyle w:val="Normaali1"/>
        <w:jc w:val="center"/>
        <w:rPr>
          <w:rFonts w:ascii="Times New Roman" w:hAnsi="Times New Roman"/>
          <w:b/>
          <w:sz w:val="28"/>
          <w:szCs w:val="28"/>
          <w:lang w:val="en-GB"/>
        </w:rPr>
      </w:pPr>
    </w:p>
    <w:p w:rsidR="00AA5DA6" w:rsidRDefault="00AA5DA6" w:rsidP="00AA5DA6">
      <w:pPr>
        <w:jc w:val="center"/>
      </w:pPr>
      <w:r>
        <w:t>A.T. Flegg* &amp; T. Tohmo**</w:t>
      </w:r>
    </w:p>
    <w:p w:rsidR="00AA5DA6" w:rsidRDefault="00AA5DA6" w:rsidP="00AA5DA6">
      <w:pPr>
        <w:jc w:val="center"/>
      </w:pPr>
    </w:p>
    <w:p w:rsidR="00AA5DA6" w:rsidRDefault="00AA5DA6" w:rsidP="00AA5DA6">
      <w:pPr>
        <w:jc w:val="center"/>
      </w:pPr>
    </w:p>
    <w:p w:rsidR="00AA5DA6" w:rsidRDefault="00AA5DA6" w:rsidP="00AA5DA6">
      <w:pPr>
        <w:jc w:val="center"/>
      </w:pPr>
      <w:r>
        <w:t>* Department of Accounting, Economics and Finance, University of the West of England</w:t>
      </w:r>
    </w:p>
    <w:p w:rsidR="00AA5DA6" w:rsidRDefault="00DF7C33" w:rsidP="00AA5DA6">
      <w:pPr>
        <w:jc w:val="center"/>
      </w:pPr>
      <w:hyperlink r:id="rId8" w:history="1">
        <w:r w:rsidR="00AA5DA6" w:rsidRPr="004015F4">
          <w:rPr>
            <w:rStyle w:val="Hyperlink"/>
          </w:rPr>
          <w:t>tony.flegg@uwe.ac.uk</w:t>
        </w:r>
      </w:hyperlink>
    </w:p>
    <w:p w:rsidR="00AA5DA6" w:rsidRDefault="00AA5DA6" w:rsidP="00AA5DA6"/>
    <w:p w:rsidR="00AA5DA6" w:rsidRDefault="00AA5DA6" w:rsidP="00AA5DA6">
      <w:pPr>
        <w:jc w:val="center"/>
      </w:pPr>
      <w:r>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and Economics, </w:t>
      </w:r>
      <w:smartTag w:uri="urn:schemas-microsoft-com:office:smarttags" w:element="place">
        <w:smartTag w:uri="urn:schemas-microsoft-com:office:smarttags" w:element="City">
          <w:r>
            <w:t>University of Jyväskylä</w:t>
          </w:r>
        </w:smartTag>
        <w:r>
          <w:t xml:space="preserve">, </w:t>
        </w:r>
        <w:smartTag w:uri="urn:schemas-microsoft-com:office:smarttags" w:element="country-region">
          <w:r>
            <w:t>Finland</w:t>
          </w:r>
        </w:smartTag>
      </w:smartTag>
    </w:p>
    <w:p w:rsidR="00A44A84" w:rsidRPr="00E14E57" w:rsidRDefault="00DF7C33" w:rsidP="00AA5DA6">
      <w:pPr>
        <w:pStyle w:val="Normaali1"/>
        <w:jc w:val="center"/>
        <w:rPr>
          <w:rFonts w:ascii="Times New Roman" w:hAnsi="Times New Roman"/>
          <w:b/>
          <w:sz w:val="28"/>
          <w:szCs w:val="28"/>
          <w:lang w:val="en-GB"/>
        </w:rPr>
      </w:pPr>
      <w:hyperlink r:id="rId9" w:history="1">
        <w:r w:rsidR="00AA5DA6" w:rsidRPr="00CA7867">
          <w:rPr>
            <w:rStyle w:val="Hyperlink"/>
          </w:rPr>
          <w:t>timo.j.tohmo@econ.jyu.fi</w:t>
        </w:r>
      </w:hyperlink>
    </w:p>
    <w:p w:rsidR="00B95D03" w:rsidRPr="002A3504" w:rsidRDefault="00B95D03" w:rsidP="00B95D03">
      <w:pPr>
        <w:pStyle w:val="Normaali1"/>
        <w:rPr>
          <w:rFonts w:ascii="Times New Roman" w:hAnsi="Times New Roman"/>
          <w:lang w:val="en-GB"/>
        </w:rPr>
      </w:pPr>
    </w:p>
    <w:p w:rsidR="00B95D03" w:rsidRDefault="00B95D03" w:rsidP="00B95D03">
      <w:pPr>
        <w:spacing w:line="480" w:lineRule="auto"/>
      </w:pPr>
      <w:r w:rsidRPr="00F9349E">
        <w:rPr>
          <w:b/>
        </w:rPr>
        <w:t>Abstract</w:t>
      </w:r>
    </w:p>
    <w:p w:rsidR="00B95D03" w:rsidRPr="00521C24" w:rsidRDefault="00B95D03" w:rsidP="00B95D03">
      <w:pPr>
        <w:spacing w:after="120" w:line="480" w:lineRule="auto"/>
        <w:rPr>
          <w:b/>
        </w:rPr>
      </w:pPr>
      <w:r>
        <w:t xml:space="preserve">This paper examines the use of </w:t>
      </w:r>
      <w:r w:rsidRPr="009C71C2">
        <w:t>location quotients</w:t>
      </w:r>
      <w:r w:rsidRPr="00F7201E">
        <w:t xml:space="preserve"> (LQ</w:t>
      </w:r>
      <w:r>
        <w:t>s</w:t>
      </w:r>
      <w:r w:rsidRPr="00F7201E">
        <w:t>)</w:t>
      </w:r>
      <w:r>
        <w:t xml:space="preserve"> in</w:t>
      </w:r>
      <w:r w:rsidRPr="00F7201E">
        <w:t xml:space="preserve"> construct</w:t>
      </w:r>
      <w:r>
        <w:t>ing regional</w:t>
      </w:r>
      <w:r w:rsidRPr="00F7201E">
        <w:t xml:space="preserve"> input</w:t>
      </w:r>
      <w:r w:rsidRPr="00F7201E">
        <w:sym w:font="Symbol" w:char="F02D"/>
      </w:r>
      <w:r w:rsidRPr="00F7201E">
        <w:t xml:space="preserve">output </w:t>
      </w:r>
      <w:r>
        <w:t>tab</w:t>
      </w:r>
      <w:r w:rsidRPr="00F7201E">
        <w:t>l</w:t>
      </w:r>
      <w:r>
        <w:t>e</w:t>
      </w:r>
      <w:r w:rsidRPr="00F7201E">
        <w:t>s</w:t>
      </w:r>
      <w:r>
        <w:t xml:space="preserve">.  Its focus is on the modified FLQ formula proposed by </w:t>
      </w:r>
      <w:r>
        <w:rPr>
          <w:color w:val="000000"/>
        </w:rPr>
        <w:t>Flegg and Webber (1997).  Using</w:t>
      </w:r>
      <w:r>
        <w:t xml:space="preserve"> data for 20 Finnish regions, ranging in size from very small to very large, we determine appropriate values for the unknown parameter </w:t>
      </w:r>
      <w:r w:rsidRPr="00DE71C0">
        <w:rPr>
          <w:color w:val="000000"/>
        </w:rPr>
        <w:t>δ</w:t>
      </w:r>
      <w:r>
        <w:rPr>
          <w:color w:val="000000"/>
        </w:rPr>
        <w:t xml:space="preserve"> in this formula.  </w:t>
      </w:r>
      <w:r w:rsidR="00600E82">
        <w:t xml:space="preserve">We also develop a regression model that can be used to </w:t>
      </w:r>
      <w:r w:rsidR="00E23681">
        <w:t xml:space="preserve">help </w:t>
      </w:r>
      <w:r w:rsidR="00600E82">
        <w:t xml:space="preserve">select an appropriate value for </w:t>
      </w:r>
      <w:r w:rsidR="00600E82" w:rsidRPr="00DE71C0">
        <w:rPr>
          <w:color w:val="000000"/>
        </w:rPr>
        <w:t>δ</w:t>
      </w:r>
      <w:r w:rsidR="00600E82">
        <w:rPr>
          <w:color w:val="000000"/>
        </w:rPr>
        <w:t xml:space="preserve">.  </w:t>
      </w:r>
      <w:r>
        <w:rPr>
          <w:color w:val="000000"/>
        </w:rPr>
        <w:t xml:space="preserve">We </w:t>
      </w:r>
      <w:r>
        <w:t>find that the FLQ yields results far superior to those from standard LQ-based formulae.</w:t>
      </w:r>
      <w:r w:rsidR="00F05186">
        <w:t xml:space="preserve">  </w:t>
      </w:r>
      <w:r>
        <w:t>Our findings should be very helpful to any regional analyst who is contemplating making use of the FLQ formula to generate an initial set of regional</w:t>
      </w:r>
      <w:r w:rsidRPr="00F7201E">
        <w:t xml:space="preserve"> input</w:t>
      </w:r>
      <w:r w:rsidRPr="00F7201E">
        <w:sym w:font="Symbol" w:char="F02D"/>
      </w:r>
      <w:r w:rsidRPr="00F7201E">
        <w:t xml:space="preserve">output </w:t>
      </w:r>
      <w:r>
        <w:t>coefficient</w:t>
      </w:r>
      <w:r w:rsidRPr="00F7201E">
        <w:t>s</w:t>
      </w:r>
      <w:r>
        <w:t>.  These coefficients could be used either as part of the RAS procedure or as the non-survey foundations of a hybrid model.</w:t>
      </w:r>
      <w:r w:rsidRPr="00AD2FD6">
        <w:t xml:space="preserve"> </w:t>
      </w:r>
      <w:r>
        <w:t xml:space="preserve"> </w:t>
      </w:r>
      <w:r w:rsidR="00524054">
        <w:t>W</w:t>
      </w:r>
      <w:r>
        <w:t>e consider possible improvements to the FLQ formula</w:t>
      </w:r>
      <w:r w:rsidR="00524054">
        <w:t xml:space="preserve"> but</w:t>
      </w:r>
      <w:r>
        <w:t xml:space="preserve"> find that inclu</w:t>
      </w:r>
      <w:r w:rsidR="00600E82">
        <w:t>ding</w:t>
      </w:r>
      <w:r>
        <w:t xml:space="preserve"> a </w:t>
      </w:r>
      <w:r>
        <w:rPr>
          <w:color w:val="000000"/>
        </w:rPr>
        <w:t xml:space="preserve">regional specialization term in this formula </w:t>
      </w:r>
      <w:r w:rsidR="00F05186">
        <w:rPr>
          <w:color w:val="000000"/>
        </w:rPr>
        <w:t xml:space="preserve">only marginally enhances </w:t>
      </w:r>
      <w:r>
        <w:rPr>
          <w:color w:val="000000"/>
        </w:rPr>
        <w:t>i</w:t>
      </w:r>
      <w:r w:rsidR="00F05186">
        <w:rPr>
          <w:color w:val="000000"/>
        </w:rPr>
        <w:t>t</w:t>
      </w:r>
      <w:r>
        <w:rPr>
          <w:color w:val="000000"/>
        </w:rPr>
        <w:t xml:space="preserve">s </w:t>
      </w:r>
      <w:r w:rsidR="00F05186">
        <w:rPr>
          <w:color w:val="000000"/>
        </w:rPr>
        <w:t>performance</w:t>
      </w:r>
      <w:r>
        <w:rPr>
          <w:color w:val="000000"/>
        </w:rPr>
        <w:t>.</w:t>
      </w:r>
      <w:r w:rsidR="00756589">
        <w:rPr>
          <w:color w:val="000000"/>
        </w:rPr>
        <w:t xml:space="preserve">  On balance, we would recommend using the original FLQ formula.</w:t>
      </w:r>
    </w:p>
    <w:p w:rsidR="00B95D03" w:rsidRDefault="00B95D03" w:rsidP="00B95D03">
      <w:r>
        <w:t xml:space="preserve">Key words: Regional </w:t>
      </w:r>
      <w:r w:rsidRPr="00F7201E">
        <w:t>input</w:t>
      </w:r>
      <w:r w:rsidRPr="00F7201E">
        <w:sym w:font="Symbol" w:char="F02D"/>
      </w:r>
      <w:r w:rsidRPr="00F7201E">
        <w:t xml:space="preserve">output </w:t>
      </w:r>
      <w:r>
        <w:t>tab</w:t>
      </w:r>
      <w:r w:rsidRPr="00F7201E">
        <w:t>l</w:t>
      </w:r>
      <w:r>
        <w:t>e</w:t>
      </w:r>
      <w:r w:rsidRPr="00F7201E">
        <w:t>s</w:t>
      </w:r>
      <w:r>
        <w:t xml:space="preserve">  Finland  FLQ formula  Location quotients  Input coefficients  Multipliers  Hybrid models</w:t>
      </w:r>
    </w:p>
    <w:p w:rsidR="00B95D03" w:rsidRDefault="00B95D03" w:rsidP="00B95D03"/>
    <w:p w:rsidR="001D6F1C" w:rsidRDefault="00B95D03" w:rsidP="001D6F1C">
      <w:pPr>
        <w:spacing w:after="120" w:line="360" w:lineRule="auto"/>
      </w:pPr>
      <w:r w:rsidRPr="00CD0B91">
        <w:rPr>
          <w:i/>
        </w:rPr>
        <w:t>JEL</w:t>
      </w:r>
      <w:r>
        <w:t xml:space="preserve"> classifications: C67; O18; R15</w:t>
      </w:r>
    </w:p>
    <w:p w:rsidR="001D6F1C" w:rsidRDefault="001D6F1C" w:rsidP="001D6F1C">
      <w:pPr>
        <w:spacing w:after="120" w:line="360" w:lineRule="auto"/>
        <w:rPr>
          <w:b/>
        </w:rPr>
      </w:pPr>
      <w:r>
        <w:rPr>
          <w:b/>
        </w:rPr>
        <w:t>Revised: 18</w:t>
      </w:r>
      <w:r w:rsidRPr="001D6F1C">
        <w:rPr>
          <w:b/>
          <w:vertAlign w:val="superscript"/>
        </w:rPr>
        <w:t>th</w:t>
      </w:r>
      <w:r>
        <w:rPr>
          <w:b/>
        </w:rPr>
        <w:t xml:space="preserve"> December 2010</w:t>
      </w:r>
    </w:p>
    <w:p w:rsidR="00B95D03" w:rsidRPr="00C91029" w:rsidRDefault="00B95D03" w:rsidP="00B95D03">
      <w:pPr>
        <w:spacing w:after="120" w:line="360" w:lineRule="auto"/>
        <w:jc w:val="center"/>
        <w:rPr>
          <w:b/>
        </w:rPr>
      </w:pPr>
      <w:r w:rsidRPr="00F9349E">
        <w:rPr>
          <w:b/>
        </w:rPr>
        <w:br w:type="page"/>
      </w:r>
      <w:r>
        <w:rPr>
          <w:b/>
        </w:rPr>
        <w:lastRenderedPageBreak/>
        <w:t>INTRODUCTION</w:t>
      </w:r>
    </w:p>
    <w:p w:rsidR="00B95D03" w:rsidRDefault="00B95D03" w:rsidP="00B95D03">
      <w:pPr>
        <w:spacing w:line="480" w:lineRule="auto"/>
      </w:pPr>
      <w:r>
        <w:t>Regional economies differ from national economies in several respects, most notably in terms of trading relationships.  For instance, intermediate inputs purchased from other regions within a given country represent a leakage from the regional economy but are classified as domestic production at the national level.  For the regional input</w:t>
      </w:r>
      <w:r w:rsidRPr="00F7201E">
        <w:sym w:font="Symbol" w:char="F02D"/>
      </w:r>
      <w:r w:rsidRPr="00F7201E">
        <w:t>output</w:t>
      </w:r>
      <w:r>
        <w:t xml:space="preserve"> analyst, the estimation of interregional trade flows presents an awkward problem, which is compounded by the fact that a very limited amount of regional data is normally available.</w:t>
      </w:r>
    </w:p>
    <w:p w:rsidR="00B95D03" w:rsidRDefault="00B95D03" w:rsidP="00B95D03">
      <w:pPr>
        <w:tabs>
          <w:tab w:val="left" w:pos="426"/>
        </w:tabs>
        <w:spacing w:line="480" w:lineRule="auto"/>
      </w:pPr>
      <w:r>
        <w:tab/>
        <w:t xml:space="preserve">In principle, the best way of obtaining the data required to </w:t>
      </w:r>
      <w:r w:rsidRPr="00F7201E">
        <w:t>construct</w:t>
      </w:r>
      <w:r>
        <w:t xml:space="preserve"> a</w:t>
      </w:r>
      <w:r w:rsidRPr="00F7201E">
        <w:t xml:space="preserve"> </w:t>
      </w:r>
      <w:r>
        <w:t>regional</w:t>
      </w:r>
      <w:r w:rsidRPr="00F7201E">
        <w:t xml:space="preserve"> input</w:t>
      </w:r>
      <w:r w:rsidRPr="00F7201E">
        <w:sym w:font="Symbol" w:char="F02D"/>
      </w:r>
      <w:r w:rsidRPr="00F7201E">
        <w:t xml:space="preserve">output </w:t>
      </w:r>
      <w:r>
        <w:t>table</w:t>
      </w:r>
      <w:r w:rsidRPr="00F7201E">
        <w:t xml:space="preserve"> </w:t>
      </w:r>
      <w:r>
        <w:t xml:space="preserve">would be via a well-designed survey, yet that would be prohibitively expensive, as well as time consuming, in most cases.  Consequently, </w:t>
      </w:r>
      <w:r w:rsidRPr="00F7201E">
        <w:t xml:space="preserve">analysts </w:t>
      </w:r>
      <w:r>
        <w:t>are forced to resort to indirect methods of estimation.  A common approach is to attempt to ‘regionalize’</w:t>
      </w:r>
      <w:r w:rsidRPr="001D371C">
        <w:t xml:space="preserve"> </w:t>
      </w:r>
      <w:r>
        <w:t>the national</w:t>
      </w:r>
      <w:r w:rsidRPr="00F7201E">
        <w:t xml:space="preserve"> input</w:t>
      </w:r>
      <w:r w:rsidRPr="00F7201E">
        <w:sym w:font="Symbol" w:char="F02D"/>
      </w:r>
      <w:r w:rsidRPr="00F7201E">
        <w:t xml:space="preserve">output </w:t>
      </w:r>
      <w:r>
        <w:t>table</w:t>
      </w:r>
      <w:r w:rsidRPr="00F7201E">
        <w:t xml:space="preserve">, so that </w:t>
      </w:r>
      <w:r>
        <w:t>it</w:t>
      </w:r>
      <w:r w:rsidRPr="00F7201E">
        <w:t xml:space="preserve"> correspond</w:t>
      </w:r>
      <w:r>
        <w:t>s</w:t>
      </w:r>
      <w:r w:rsidRPr="00F7201E">
        <w:t xml:space="preserve"> </w:t>
      </w:r>
      <w:r>
        <w:t xml:space="preserve">as far as possible </w:t>
      </w:r>
      <w:r w:rsidRPr="00F7201E">
        <w:t xml:space="preserve">to </w:t>
      </w:r>
      <w:r>
        <w:t xml:space="preserve">the </w:t>
      </w:r>
      <w:r w:rsidRPr="00F7201E">
        <w:t>industrial structure</w:t>
      </w:r>
      <w:r>
        <w:t xml:space="preserve"> of the </w:t>
      </w:r>
      <w:r w:rsidRPr="00F7201E">
        <w:t>region</w:t>
      </w:r>
      <w:r>
        <w:t xml:space="preserve"> under consideration</w:t>
      </w:r>
      <w:r w:rsidRPr="00F7201E">
        <w:t>.</w:t>
      </w:r>
      <w:r>
        <w:t xml:space="preserve">  Of particular importance is the need to make an adequate allowance for interregional trade, as failure to do so is likely to lead to seriously overstated sectoral multipliers.</w:t>
      </w:r>
    </w:p>
    <w:p w:rsidR="00B95D03" w:rsidRDefault="00B95D03" w:rsidP="00B95D03">
      <w:pPr>
        <w:widowControl w:val="0"/>
        <w:tabs>
          <w:tab w:val="left" w:pos="426"/>
        </w:tabs>
        <w:spacing w:line="480" w:lineRule="auto"/>
      </w:pPr>
      <w:r>
        <w:tab/>
        <w:t xml:space="preserve">A straightforward and inexpensive way </w:t>
      </w:r>
      <w:r>
        <w:tab/>
        <w:t>of regionalizing</w:t>
      </w:r>
      <w:r w:rsidRPr="001D371C">
        <w:t xml:space="preserve"> </w:t>
      </w:r>
      <w:r>
        <w:t>a national</w:t>
      </w:r>
      <w:r w:rsidRPr="00F7201E">
        <w:t xml:space="preserve"> input</w:t>
      </w:r>
      <w:r w:rsidRPr="00F7201E">
        <w:sym w:font="Symbol" w:char="F02D"/>
      </w:r>
      <w:r w:rsidRPr="00F7201E">
        <w:t xml:space="preserve">output </w:t>
      </w:r>
      <w:r>
        <w:t>table</w:t>
      </w:r>
      <w:r w:rsidRPr="0048472F">
        <w:t xml:space="preserve"> </w:t>
      </w:r>
      <w:r>
        <w:t>is to apply a set of employment-based</w:t>
      </w:r>
      <w:r>
        <w:rPr>
          <w:i/>
        </w:rPr>
        <w:t xml:space="preserve"> </w:t>
      </w:r>
      <w:r w:rsidRPr="00B07CA8">
        <w:rPr>
          <w:i/>
        </w:rPr>
        <w:t>location quotients</w:t>
      </w:r>
      <w:r w:rsidRPr="00F7201E">
        <w:t xml:space="preserve"> (LQ</w:t>
      </w:r>
      <w:r>
        <w:t>s</w:t>
      </w:r>
      <w:r w:rsidRPr="00F7201E">
        <w:t>)</w:t>
      </w:r>
      <w:r>
        <w:t xml:space="preserve">.  For instance, where </w:t>
      </w:r>
      <w:r w:rsidRPr="00002668">
        <w:rPr>
          <w:i/>
        </w:rPr>
        <w:t>simple</w:t>
      </w:r>
      <w:r>
        <w:t xml:space="preserve"> LQs (SLQs) are used, the proportion of regional employment in each supplying sector is divided by the corresponding proportion of national employment in that sector.  An SLQ &lt; 1 indicates that a supplying sector is underrepresented in the regional economy and so is held to be unable to meet all of the needs of regional purchasing sectors for that input.  In such cases, the national</w:t>
      </w:r>
      <w:r w:rsidRPr="00704F02">
        <w:t xml:space="preserve"> </w:t>
      </w:r>
      <w:r w:rsidRPr="00F7201E">
        <w:t>input</w:t>
      </w:r>
      <w:r>
        <w:t xml:space="preserve"> coefficients for all purchasing sectors are scaled downwards by multiplying them by the SLQ.  At the same time, a corresponding allowance for ‘imports’ from other regions is created.  Conversely,</w:t>
      </w:r>
      <w:r w:rsidRPr="00DC3383">
        <w:t xml:space="preserve"> </w:t>
      </w:r>
      <w:r>
        <w:t>where the SLQ ≥ 1, the supplying sector is judged to be able to fulfil all requirements of regional purchasing sectors, so that no adjustment to the national</w:t>
      </w:r>
      <w:r w:rsidRPr="00704F02">
        <w:t xml:space="preserve"> </w:t>
      </w:r>
      <w:r w:rsidRPr="00F7201E">
        <w:lastRenderedPageBreak/>
        <w:t>input</w:t>
      </w:r>
      <w:r>
        <w:t xml:space="preserve"> coefficients is needed.  The</w:t>
      </w:r>
      <w:r w:rsidRPr="00351A86">
        <w:t xml:space="preserve"> </w:t>
      </w:r>
      <w:r>
        <w:t xml:space="preserve">estimated regional </w:t>
      </w:r>
      <w:r w:rsidRPr="00F7201E">
        <w:t>input</w:t>
      </w:r>
      <w:r>
        <w:t xml:space="preserve"> coefficients derived via this process can subsequently be refined on the basis of any extra information available.</w:t>
      </w:r>
    </w:p>
    <w:p w:rsidR="00B95D03" w:rsidRDefault="00B95D03" w:rsidP="00B95D03">
      <w:pPr>
        <w:tabs>
          <w:tab w:val="left" w:pos="426"/>
        </w:tabs>
        <w:spacing w:line="480" w:lineRule="auto"/>
      </w:pPr>
      <w:r>
        <w:tab/>
        <w:t xml:space="preserve">Unfortunately, the conventional LQs available </w:t>
      </w:r>
      <w:r>
        <w:sym w:font="Symbol" w:char="F02D"/>
      </w:r>
      <w:r>
        <w:t xml:space="preserve"> most notably, the SLQ and the </w:t>
      </w:r>
      <w:r>
        <w:rPr>
          <w:i/>
        </w:rPr>
        <w:t>cross-industry</w:t>
      </w:r>
      <w:r>
        <w:t xml:space="preserve"> LQ (CILQ) </w:t>
      </w:r>
      <w:r>
        <w:sym w:font="Symbol" w:char="F02D"/>
      </w:r>
      <w:r>
        <w:t xml:space="preserve"> are known to yield greatly overstated regional sectoral multipliers.  This occurs because these adjustment formulae tend to take insufficient account of interregional trade and hence are apt to understate regional propensities to import.  In an effort to address this problem, Flegg </w:t>
      </w:r>
      <w:r>
        <w:rPr>
          <w:i/>
        </w:rPr>
        <w:t>et al.</w:t>
      </w:r>
      <w:r>
        <w:t xml:space="preserve"> (1995) proposed </w:t>
      </w:r>
      <w:r w:rsidRPr="00F7201E">
        <w:t>a</w:t>
      </w:r>
      <w:r>
        <w:t xml:space="preserve"> new</w:t>
      </w:r>
      <w:r w:rsidRPr="00F7201E">
        <w:t xml:space="preserve"> employment-based location quotient</w:t>
      </w:r>
      <w:r>
        <w:t>,</w:t>
      </w:r>
      <w:r w:rsidRPr="00F7201E">
        <w:t xml:space="preserve"> the FLQ formula</w:t>
      </w:r>
      <w:r>
        <w:t xml:space="preserve">, which took regional size explicitly into account.  They posited an inverse relationship between regional size and the propensity to import from other regions.  This FLQ formula was subsequently refined by </w:t>
      </w:r>
      <w:r>
        <w:rPr>
          <w:color w:val="000000"/>
        </w:rPr>
        <w:t>Flegg and Webber (1997).</w:t>
      </w:r>
      <w:r>
        <w:t xml:space="preserve">  A further refinement was proposed by </w:t>
      </w:r>
      <w:r>
        <w:rPr>
          <w:color w:val="000000"/>
        </w:rPr>
        <w:t xml:space="preserve">Flegg and Webber (2000); this aimed to </w:t>
      </w:r>
      <w:r>
        <w:t xml:space="preserve">capture the effect of regional specialization on the magnitude of regional </w:t>
      </w:r>
      <w:r w:rsidRPr="00F7201E">
        <w:t>input</w:t>
      </w:r>
      <w:r>
        <w:t xml:space="preserve"> coefficients.</w:t>
      </w:r>
    </w:p>
    <w:p w:rsidR="00B95D03" w:rsidRDefault="00B95D03" w:rsidP="00B95D03">
      <w:pPr>
        <w:widowControl w:val="0"/>
        <w:tabs>
          <w:tab w:val="left" w:pos="426"/>
        </w:tabs>
        <w:spacing w:line="480" w:lineRule="auto"/>
      </w:pPr>
      <w:r>
        <w:tab/>
        <w:t>It is worth noting that the potential uses of the FLQ formula go well beyond the mechanical production of a set of regional input coefficients.  In particular, we believe that the FLQ is well suited for use as a key part of the hybrid modelling approach.  Hybrid models were developed because of dissatisfaction with the inaccuracy of traditional LQ-based adjustments, along with the costs and delays associated with survey-based models.</w:t>
      </w:r>
    </w:p>
    <w:p w:rsidR="00B95D03" w:rsidRDefault="00B95D03" w:rsidP="00B95D03">
      <w:pPr>
        <w:widowControl w:val="0"/>
        <w:tabs>
          <w:tab w:val="left" w:pos="426"/>
        </w:tabs>
        <w:spacing w:line="480" w:lineRule="auto"/>
      </w:pPr>
      <w:r>
        <w:tab/>
        <w:t xml:space="preserve">According to Lahr (1993, p. 277), hybrid models ‘combine non-survey techniques for estimating regional [input coefficients] with superior data, which are obtained from experts, surveys and other reliable sources (primary or secondary)’.  Lahr goes on to emphasize the importance of using the best possible non-survey methods, so that ‘the sectors and/or cells in the resulting [hybrid] model that do not receive superior data are as accurate as possible given the resources available’ (1993, p. 278).  Moreover, he remarks that ‘the accuracy of the non-survey model is even more critical for many advanced hybrid techniques since researchers are likely to use information from the non-survey model to identify the superior data that </w:t>
      </w:r>
      <w:r>
        <w:lastRenderedPageBreak/>
        <w:t>[need] to be obtained’ (</w:t>
      </w:r>
      <w:r>
        <w:rPr>
          <w:i/>
        </w:rPr>
        <w:t>ibid</w:t>
      </w:r>
      <w:r>
        <w:t xml:space="preserve">.).  In response to these points, we would argue that the FLQ offers </w:t>
      </w:r>
      <w:r>
        <w:rPr>
          <w:color w:val="000000"/>
        </w:rPr>
        <w:t xml:space="preserve">a cost-effective way of building the </w:t>
      </w:r>
      <w:r>
        <w:t>non-survey foundations of a hybrid model.</w:t>
      </w:r>
      <w:r>
        <w:rPr>
          <w:b/>
          <w:vertAlign w:val="superscript"/>
        </w:rPr>
        <w:t>1</w:t>
      </w:r>
    </w:p>
    <w:p w:rsidR="00B95D03" w:rsidRPr="00521C7B" w:rsidRDefault="00B95D03" w:rsidP="00B95D03">
      <w:pPr>
        <w:pStyle w:val="Normaali1"/>
        <w:tabs>
          <w:tab w:val="left" w:pos="426"/>
        </w:tabs>
        <w:spacing w:line="480" w:lineRule="auto"/>
        <w:rPr>
          <w:b/>
          <w:vertAlign w:val="superscript"/>
        </w:rPr>
      </w:pPr>
      <w:r>
        <w:tab/>
        <w:t>In addition, where the necessary data are available, FLQ-generated coefficients can be used as the initial values in the application of the RAS iterative procedure.  This would be preferable, in our opinion, to using unadjusted national coefficients or coefficients generated by the SLQ or CILQ.  Our reasoning here is that RAS employs a proportional scaling of the initial set of input coefficients and seeks to minimize differences between these initial coefficients and the final adjusted coefficients.</w:t>
      </w:r>
      <w:r>
        <w:rPr>
          <w:b/>
          <w:vertAlign w:val="superscript"/>
        </w:rPr>
        <w:t>2</w:t>
      </w:r>
      <w:r>
        <w:t xml:space="preserve">  This argument suggests that enhanced results could be obtained by making use of a more realistic set of initial coefficients.</w:t>
      </w:r>
    </w:p>
    <w:p w:rsidR="00B95D03" w:rsidRPr="00B07CA8" w:rsidRDefault="00B95D03" w:rsidP="00B95D03">
      <w:pPr>
        <w:widowControl w:val="0"/>
        <w:tabs>
          <w:tab w:val="left" w:pos="426"/>
        </w:tabs>
        <w:spacing w:line="480" w:lineRule="auto"/>
        <w:rPr>
          <w:color w:val="000000"/>
        </w:rPr>
      </w:pPr>
      <w:r>
        <w:rPr>
          <w:color w:val="000000"/>
        </w:rPr>
        <w:tab/>
        <w:t>As discussed later, almost all of the evidence published so far has been strongly supportive of the FLQ formula.  Even so, for this formula to be a useful addition to the regional analyst’s toolbox, it is crucial that more guidance, based upon an examination of a wider range of regions, is made available with regard to the appropriate</w:t>
      </w:r>
      <w:r w:rsidRPr="00A9779B">
        <w:t xml:space="preserve"> </w:t>
      </w:r>
      <w:r>
        <w:t xml:space="preserve">value(s) of an unknown parameter </w:t>
      </w:r>
      <w:r w:rsidRPr="00DE71C0">
        <w:rPr>
          <w:color w:val="000000"/>
        </w:rPr>
        <w:t>δ</w:t>
      </w:r>
      <w:r>
        <w:t>.  This parameter and</w:t>
      </w:r>
      <w:r>
        <w:rPr>
          <w:color w:val="000000"/>
        </w:rPr>
        <w:t xml:space="preserve"> regional size jointly determine the size of the adjustment for interregional trade in the FLQ formula.  The primary aim of our study is to offer some guidance on what value of </w:t>
      </w:r>
      <w:r w:rsidRPr="00DE71C0">
        <w:rPr>
          <w:color w:val="000000"/>
        </w:rPr>
        <w:t>δ</w:t>
      </w:r>
      <w:r>
        <w:rPr>
          <w:color w:val="000000"/>
        </w:rPr>
        <w:t xml:space="preserve"> to use.  We also aim to shed some further light on the possible merits and demerits of the FLQ approach</w:t>
      </w:r>
      <w:r>
        <w:t>.</w:t>
      </w:r>
    </w:p>
    <w:p w:rsidR="00B95D03" w:rsidRDefault="00B95D03" w:rsidP="00B95D03">
      <w:pPr>
        <w:pStyle w:val="Normaali1"/>
        <w:tabs>
          <w:tab w:val="left" w:pos="426"/>
        </w:tabs>
        <w:spacing w:line="480" w:lineRule="auto"/>
        <w:rPr>
          <w:rFonts w:ascii="Times New Roman" w:hAnsi="Times New Roman"/>
          <w:lang w:val="en-GB"/>
        </w:rPr>
      </w:pPr>
      <w:r>
        <w:tab/>
        <w:t>Our study makes</w:t>
      </w:r>
      <w:r>
        <w:rPr>
          <w:rFonts w:ascii="Times New Roman" w:hAnsi="Times New Roman"/>
          <w:lang w:val="en-GB"/>
        </w:rPr>
        <w:t xml:space="preserve"> use of the Finnish survey-based national and regional input</w:t>
      </w:r>
      <w:r>
        <w:rPr>
          <w:rFonts w:ascii="Times New Roman" w:hAnsi="Times New Roman"/>
          <w:lang w:val="en-GB"/>
        </w:rPr>
        <w:sym w:font="Symbol" w:char="F02D"/>
      </w:r>
      <w:r>
        <w:rPr>
          <w:rFonts w:ascii="Times New Roman" w:hAnsi="Times New Roman"/>
          <w:lang w:val="en-GB"/>
        </w:rPr>
        <w:t>output tables for 1995, published by Statistics Finland (2000).  These tables identify 37 separate sectors.  We examine data for 20 regions of different size, in order to assess the relative performance of various LQ-based adjustment formulae and to determine</w:t>
      </w:r>
      <w:r w:rsidRPr="00A831B4">
        <w:rPr>
          <w:color w:val="000000"/>
        </w:rPr>
        <w:t xml:space="preserve"> </w:t>
      </w:r>
      <w:r>
        <w:rPr>
          <w:color w:val="000000"/>
        </w:rPr>
        <w:t>appropriate</w:t>
      </w:r>
      <w:r w:rsidRPr="00A9779B">
        <w:t xml:space="preserve"> </w:t>
      </w:r>
      <w:r>
        <w:t xml:space="preserve">value(s) for the parameter </w:t>
      </w:r>
      <w:r w:rsidRPr="00DE71C0">
        <w:rPr>
          <w:color w:val="000000"/>
        </w:rPr>
        <w:t>δ</w:t>
      </w:r>
      <w:r>
        <w:t xml:space="preserve">. </w:t>
      </w:r>
      <w:r>
        <w:rPr>
          <w:rFonts w:ascii="Times New Roman" w:hAnsi="Times New Roman"/>
          <w:lang w:val="en-GB"/>
        </w:rPr>
        <w:t xml:space="preserve"> These regions range in size from very small (0.5% of national output) to very large (29.7% of national output).</w:t>
      </w:r>
    </w:p>
    <w:p w:rsidR="00B95D03" w:rsidRPr="00E87473" w:rsidRDefault="00B95D03" w:rsidP="00B95D03">
      <w:pPr>
        <w:pStyle w:val="Normaali1"/>
        <w:tabs>
          <w:tab w:val="left" w:pos="426"/>
        </w:tabs>
        <w:spacing w:line="480" w:lineRule="auto"/>
        <w:rPr>
          <w:rFonts w:ascii="Times New Roman" w:hAnsi="Times New Roman"/>
          <w:lang w:val="en-GB"/>
        </w:rPr>
      </w:pPr>
      <w:r>
        <w:rPr>
          <w:rFonts w:ascii="Times New Roman" w:hAnsi="Times New Roman"/>
          <w:lang w:val="en-GB"/>
        </w:rPr>
        <w:tab/>
        <w:t xml:space="preserve">The rest of the paper is structured as follows.  The first section is concerned with </w:t>
      </w:r>
      <w:r w:rsidRPr="002A3504">
        <w:rPr>
          <w:rFonts w:ascii="Times New Roman" w:hAnsi="Times New Roman"/>
          <w:lang w:val="en-GB"/>
        </w:rPr>
        <w:t xml:space="preserve">the </w:t>
      </w:r>
      <w:r>
        <w:rPr>
          <w:rFonts w:ascii="Times New Roman" w:hAnsi="Times New Roman"/>
          <w:lang w:val="en-GB"/>
        </w:rPr>
        <w:t xml:space="preserve">role of LQs in a regional </w:t>
      </w:r>
      <w:r w:rsidRPr="002A3504">
        <w:rPr>
          <w:rFonts w:ascii="Times New Roman" w:hAnsi="Times New Roman"/>
          <w:lang w:val="en-GB"/>
        </w:rPr>
        <w:t>input</w:t>
      </w:r>
      <w:r>
        <w:rPr>
          <w:rFonts w:ascii="Times New Roman" w:hAnsi="Times New Roman"/>
          <w:lang w:val="en-GB"/>
        </w:rPr>
        <w:sym w:font="Symbol" w:char="F02D"/>
      </w:r>
      <w:r w:rsidRPr="002A3504">
        <w:rPr>
          <w:rFonts w:ascii="Times New Roman" w:hAnsi="Times New Roman"/>
          <w:lang w:val="en-GB"/>
        </w:rPr>
        <w:t>output model</w:t>
      </w:r>
      <w:r>
        <w:rPr>
          <w:rFonts w:ascii="Times New Roman" w:hAnsi="Times New Roman"/>
          <w:lang w:val="en-GB"/>
        </w:rPr>
        <w:t xml:space="preserve">.  The second section examines the properties of the </w:t>
      </w:r>
      <w:r>
        <w:rPr>
          <w:rFonts w:ascii="Times New Roman" w:hAnsi="Times New Roman"/>
          <w:lang w:val="en-GB"/>
        </w:rPr>
        <w:lastRenderedPageBreak/>
        <w:t>FLQ and how it differs from other LQs.  This is followed by a review of empirical evidence on the performance of the FLQ.  We then outline some key characteristics of Finnish regions.  In the next three sections, we present our analysis of sectoral output multipliers and input coefficients for these Finnish regions.  The fundamental assumption</w:t>
      </w:r>
      <w:r w:rsidR="0010178C">
        <w:rPr>
          <w:rFonts w:ascii="Times New Roman" w:hAnsi="Times New Roman"/>
          <w:lang w:val="en-GB"/>
        </w:rPr>
        <w:t xml:space="preserve"> that regions use the same proportion of intermediate inputs as the nation is </w:t>
      </w:r>
      <w:r>
        <w:rPr>
          <w:rFonts w:ascii="Times New Roman" w:hAnsi="Times New Roman"/>
          <w:lang w:val="en-GB"/>
        </w:rPr>
        <w:t>examined in the penultimate section.  The final section contains our conclusions.</w:t>
      </w:r>
    </w:p>
    <w:p w:rsidR="00B95D03" w:rsidRDefault="00B95D03" w:rsidP="00B95D03">
      <w:pPr>
        <w:jc w:val="left"/>
      </w:pPr>
    </w:p>
    <w:p w:rsidR="00B95D03" w:rsidRPr="00E73309" w:rsidRDefault="00B95D03" w:rsidP="00B95D03">
      <w:pPr>
        <w:pStyle w:val="Normaali1"/>
        <w:spacing w:line="480" w:lineRule="auto"/>
        <w:jc w:val="center"/>
        <w:rPr>
          <w:rFonts w:ascii="Times New Roman" w:hAnsi="Times New Roman"/>
          <w:b/>
          <w:lang w:val="en-GB"/>
        </w:rPr>
      </w:pPr>
      <w:r w:rsidRPr="00E73309">
        <w:rPr>
          <w:rFonts w:ascii="Times New Roman" w:hAnsi="Times New Roman"/>
          <w:b/>
          <w:lang w:val="en-GB"/>
        </w:rPr>
        <w:t xml:space="preserve">THE </w:t>
      </w:r>
      <w:r>
        <w:rPr>
          <w:rFonts w:ascii="Times New Roman" w:hAnsi="Times New Roman"/>
          <w:b/>
          <w:lang w:val="en-GB"/>
        </w:rPr>
        <w:t>REGIONAL INPUT</w:t>
      </w:r>
      <w:r>
        <w:rPr>
          <w:rFonts w:ascii="Times New Roman" w:hAnsi="Times New Roman"/>
          <w:b/>
          <w:lang w:val="en-GB"/>
        </w:rPr>
        <w:sym w:font="Symbol" w:char="F02D"/>
      </w:r>
      <w:r w:rsidRPr="00E73309">
        <w:rPr>
          <w:rFonts w:ascii="Times New Roman" w:hAnsi="Times New Roman"/>
          <w:b/>
          <w:lang w:val="en-GB"/>
        </w:rPr>
        <w:t>O</w:t>
      </w:r>
      <w:r>
        <w:rPr>
          <w:rFonts w:ascii="Times New Roman" w:hAnsi="Times New Roman"/>
          <w:b/>
          <w:lang w:val="en-GB"/>
        </w:rPr>
        <w:t>UTPUT</w:t>
      </w:r>
      <w:r w:rsidRPr="00E73309">
        <w:rPr>
          <w:rFonts w:ascii="Times New Roman" w:hAnsi="Times New Roman"/>
          <w:b/>
          <w:lang w:val="en-GB"/>
        </w:rPr>
        <w:t xml:space="preserve"> MODEL</w:t>
      </w:r>
    </w:p>
    <w:p w:rsidR="00B95D03" w:rsidRPr="002A3504" w:rsidRDefault="00B95D03" w:rsidP="00B95D03">
      <w:pPr>
        <w:pStyle w:val="Normaali1"/>
        <w:tabs>
          <w:tab w:val="left" w:pos="1560"/>
        </w:tabs>
        <w:spacing w:line="480" w:lineRule="auto"/>
        <w:ind w:left="1555" w:hanging="1555"/>
        <w:rPr>
          <w:rFonts w:ascii="Times New Roman" w:hAnsi="Times New Roman"/>
          <w:lang w:val="en-GB"/>
        </w:rPr>
      </w:pPr>
      <w:r>
        <w:rPr>
          <w:rFonts w:ascii="Times New Roman" w:hAnsi="Times New Roman"/>
          <w:lang w:val="en-GB"/>
        </w:rPr>
        <w:t>At the national level, w</w:t>
      </w:r>
      <w:r w:rsidRPr="002A3504">
        <w:rPr>
          <w:rFonts w:ascii="Times New Roman" w:hAnsi="Times New Roman"/>
          <w:lang w:val="en-GB"/>
        </w:rPr>
        <w:t xml:space="preserve">e </w:t>
      </w:r>
      <w:r>
        <w:rPr>
          <w:rFonts w:ascii="Times New Roman" w:hAnsi="Times New Roman"/>
          <w:lang w:val="en-GB"/>
        </w:rPr>
        <w:t>can define:</w:t>
      </w:r>
    </w:p>
    <w:p w:rsidR="00B95D03" w:rsidRPr="002A3504" w:rsidRDefault="00B95D03" w:rsidP="00B95D03">
      <w:pPr>
        <w:pStyle w:val="Normaali1"/>
        <w:tabs>
          <w:tab w:val="left" w:pos="1560"/>
        </w:tabs>
        <w:spacing w:line="480" w:lineRule="auto"/>
        <w:ind w:left="2864" w:hanging="2504"/>
        <w:rPr>
          <w:rFonts w:ascii="Times New Roman" w:hAnsi="Times New Roman"/>
          <w:lang w:val="en-GB"/>
        </w:rPr>
      </w:pPr>
      <w:r w:rsidRPr="00681D89">
        <w:rPr>
          <w:rFonts w:ascii="Times New Roman" w:hAnsi="Times New Roman"/>
          <w:b/>
          <w:lang w:val="en-GB"/>
        </w:rPr>
        <w:t>A</w:t>
      </w:r>
      <w:r>
        <w:rPr>
          <w:rFonts w:ascii="Times New Roman" w:hAnsi="Times New Roman"/>
          <w:lang w:val="en-GB"/>
        </w:rPr>
        <w:t xml:space="preserve"> </w:t>
      </w:r>
      <w:r w:rsidRPr="002A3504">
        <w:rPr>
          <w:rFonts w:ascii="Times New Roman" w:hAnsi="Times New Roman"/>
          <w:lang w:val="en-GB"/>
        </w:rPr>
        <w:t>to be a</w:t>
      </w:r>
      <w:r>
        <w:rPr>
          <w:rFonts w:ascii="Times New Roman" w:hAnsi="Times New Roman"/>
          <w:lang w:val="en-GB"/>
        </w:rPr>
        <w:t>n n × n</w:t>
      </w:r>
      <w:r w:rsidRPr="002A3504">
        <w:rPr>
          <w:rFonts w:ascii="Times New Roman" w:hAnsi="Times New Roman"/>
          <w:lang w:val="en-GB"/>
        </w:rPr>
        <w:t xml:space="preserve"> matrix of interindustry technical coefficients</w:t>
      </w:r>
      <w:r>
        <w:rPr>
          <w:rFonts w:ascii="Times New Roman" w:hAnsi="Times New Roman"/>
          <w:lang w:val="en-GB"/>
        </w:rPr>
        <w:t>,</w:t>
      </w:r>
    </w:p>
    <w:p w:rsidR="00B95D03" w:rsidRPr="002A3504" w:rsidRDefault="00B95D03" w:rsidP="00B95D03">
      <w:pPr>
        <w:pStyle w:val="Normaali1"/>
        <w:tabs>
          <w:tab w:val="left" w:pos="360"/>
        </w:tabs>
        <w:spacing w:line="480" w:lineRule="auto"/>
        <w:rPr>
          <w:rFonts w:ascii="Times New Roman" w:hAnsi="Times New Roman"/>
          <w:lang w:val="en-GB"/>
        </w:rPr>
      </w:pPr>
      <w:r>
        <w:rPr>
          <w:rFonts w:ascii="Times New Roman" w:hAnsi="Times New Roman"/>
          <w:lang w:val="en-GB"/>
        </w:rPr>
        <w:tab/>
      </w:r>
      <w:r>
        <w:rPr>
          <w:rFonts w:ascii="Times New Roman" w:hAnsi="Times New Roman"/>
          <w:b/>
          <w:lang w:val="en-GB"/>
        </w:rPr>
        <w:t>f</w:t>
      </w:r>
      <w:r w:rsidRPr="002A3504">
        <w:rPr>
          <w:rFonts w:ascii="Times New Roman" w:hAnsi="Times New Roman"/>
          <w:lang w:val="en-GB"/>
        </w:rPr>
        <w:t xml:space="preserve"> to be a</w:t>
      </w:r>
      <w:r>
        <w:rPr>
          <w:rFonts w:ascii="Times New Roman" w:hAnsi="Times New Roman"/>
          <w:lang w:val="en-GB"/>
        </w:rPr>
        <w:t>n n × 1</w:t>
      </w:r>
      <w:r w:rsidRPr="002A3504">
        <w:rPr>
          <w:rFonts w:ascii="Times New Roman" w:hAnsi="Times New Roman"/>
          <w:lang w:val="en-GB"/>
        </w:rPr>
        <w:t xml:space="preserve"> vector of final demands</w:t>
      </w:r>
      <w:r>
        <w:rPr>
          <w:rFonts w:ascii="Times New Roman" w:hAnsi="Times New Roman"/>
          <w:lang w:val="en-GB"/>
        </w:rPr>
        <w:t>,</w:t>
      </w:r>
    </w:p>
    <w:p w:rsidR="00B95D03" w:rsidRPr="002A3504" w:rsidRDefault="00B95D03" w:rsidP="00B95D03">
      <w:pPr>
        <w:pStyle w:val="Normaali1"/>
        <w:tabs>
          <w:tab w:val="left" w:pos="360"/>
        </w:tabs>
        <w:spacing w:line="480" w:lineRule="auto"/>
        <w:rPr>
          <w:rFonts w:ascii="Times New Roman" w:hAnsi="Times New Roman"/>
          <w:lang w:val="en-GB"/>
        </w:rPr>
      </w:pPr>
      <w:r>
        <w:rPr>
          <w:rFonts w:ascii="Times New Roman" w:hAnsi="Times New Roman"/>
          <w:lang w:val="en-GB"/>
        </w:rPr>
        <w:tab/>
      </w:r>
      <w:r w:rsidRPr="00681D89">
        <w:rPr>
          <w:rFonts w:ascii="Times New Roman" w:hAnsi="Times New Roman"/>
          <w:b/>
          <w:lang w:val="en-GB"/>
        </w:rPr>
        <w:t>x</w:t>
      </w:r>
      <w:r w:rsidRPr="002A3504">
        <w:rPr>
          <w:rFonts w:ascii="Times New Roman" w:hAnsi="Times New Roman"/>
          <w:lang w:val="en-GB"/>
        </w:rPr>
        <w:t xml:space="preserve"> to be a</w:t>
      </w:r>
      <w:r>
        <w:rPr>
          <w:rFonts w:ascii="Times New Roman" w:hAnsi="Times New Roman"/>
          <w:lang w:val="en-GB"/>
        </w:rPr>
        <w:t xml:space="preserve">n n × 1 </w:t>
      </w:r>
      <w:r w:rsidRPr="002A3504">
        <w:rPr>
          <w:rFonts w:ascii="Times New Roman" w:hAnsi="Times New Roman"/>
          <w:lang w:val="en-GB"/>
        </w:rPr>
        <w:t>vector of gross outputs</w:t>
      </w:r>
      <w:r>
        <w:rPr>
          <w:rFonts w:ascii="Times New Roman" w:hAnsi="Times New Roman"/>
          <w:lang w:val="en-GB"/>
        </w:rPr>
        <w:t>,</w:t>
      </w:r>
    </w:p>
    <w:p w:rsidR="00B95D03" w:rsidRDefault="00B95D03" w:rsidP="00B95D03">
      <w:pPr>
        <w:pStyle w:val="Normaali1"/>
        <w:tabs>
          <w:tab w:val="left" w:pos="360"/>
        </w:tabs>
        <w:spacing w:line="480" w:lineRule="auto"/>
        <w:rPr>
          <w:rFonts w:ascii="Times New Roman" w:hAnsi="Times New Roman"/>
          <w:lang w:val="en-GB"/>
        </w:rPr>
      </w:pPr>
      <w:r>
        <w:rPr>
          <w:rFonts w:ascii="Times New Roman" w:hAnsi="Times New Roman"/>
          <w:lang w:val="en-GB"/>
        </w:rPr>
        <w:tab/>
      </w:r>
      <w:r w:rsidRPr="00681D89">
        <w:rPr>
          <w:rFonts w:ascii="Times New Roman" w:hAnsi="Times New Roman"/>
          <w:b/>
          <w:lang w:val="en-GB"/>
        </w:rPr>
        <w:t>I</w:t>
      </w:r>
      <w:r>
        <w:rPr>
          <w:rFonts w:ascii="Times New Roman" w:hAnsi="Times New Roman"/>
          <w:lang w:val="en-GB"/>
        </w:rPr>
        <w:t xml:space="preserve"> </w:t>
      </w:r>
      <w:r w:rsidRPr="002A3504">
        <w:rPr>
          <w:rFonts w:ascii="Times New Roman" w:hAnsi="Times New Roman"/>
          <w:lang w:val="en-GB"/>
        </w:rPr>
        <w:t xml:space="preserve">to be an </w:t>
      </w:r>
      <w:r>
        <w:rPr>
          <w:rFonts w:ascii="Times New Roman" w:hAnsi="Times New Roman"/>
          <w:lang w:val="en-GB"/>
        </w:rPr>
        <w:t xml:space="preserve">n × n </w:t>
      </w:r>
      <w:r w:rsidRPr="002A3504">
        <w:rPr>
          <w:rFonts w:ascii="Times New Roman" w:hAnsi="Times New Roman"/>
          <w:lang w:val="en-GB"/>
        </w:rPr>
        <w:t>identity matrix</w:t>
      </w:r>
      <w:r>
        <w:rPr>
          <w:rFonts w:ascii="Times New Roman" w:hAnsi="Times New Roman"/>
          <w:lang w:val="en-GB"/>
        </w:rPr>
        <w:t>,</w:t>
      </w:r>
    </w:p>
    <w:p w:rsidR="00B95D03" w:rsidRPr="002A3504" w:rsidRDefault="00B95D03" w:rsidP="00B95D03">
      <w:pPr>
        <w:pStyle w:val="Normaali1"/>
        <w:tabs>
          <w:tab w:val="left" w:pos="1560"/>
        </w:tabs>
        <w:spacing w:line="480" w:lineRule="auto"/>
        <w:ind w:left="1555" w:hanging="1555"/>
        <w:rPr>
          <w:rFonts w:ascii="Times New Roman" w:hAnsi="Times New Roman"/>
          <w:lang w:val="en-GB"/>
        </w:rPr>
      </w:pPr>
      <w:r>
        <w:rPr>
          <w:rFonts w:ascii="Times New Roman" w:hAnsi="Times New Roman"/>
          <w:lang w:val="en-GB"/>
        </w:rPr>
        <w:t xml:space="preserve">where </w:t>
      </w:r>
      <w:r w:rsidRPr="00681D89">
        <w:rPr>
          <w:rFonts w:ascii="Times New Roman" w:hAnsi="Times New Roman"/>
          <w:b/>
          <w:lang w:val="en-GB"/>
        </w:rPr>
        <w:t>A</w:t>
      </w:r>
      <w:r>
        <w:rPr>
          <w:rFonts w:ascii="Times New Roman" w:hAnsi="Times New Roman"/>
          <w:lang w:val="en-GB"/>
        </w:rPr>
        <w:t xml:space="preserve"> = [</w:t>
      </w:r>
      <w:proofErr w:type="spellStart"/>
      <w:r>
        <w:rPr>
          <w:rFonts w:ascii="Times New Roman" w:hAnsi="Times New Roman"/>
          <w:lang w:val="en-GB"/>
        </w:rPr>
        <w:t>a</w:t>
      </w:r>
      <w:r w:rsidRPr="00242233">
        <w:rPr>
          <w:rFonts w:ascii="Times New Roman" w:hAnsi="Times New Roman"/>
          <w:szCs w:val="24"/>
          <w:vertAlign w:val="subscript"/>
          <w:lang w:val="en-GB"/>
        </w:rPr>
        <w:t>ij</w:t>
      </w:r>
      <w:proofErr w:type="spellEnd"/>
      <w:r>
        <w:rPr>
          <w:rFonts w:ascii="Times New Roman" w:hAnsi="Times New Roman"/>
          <w:lang w:val="en-GB"/>
        </w:rPr>
        <w:t xml:space="preserve">].  </w:t>
      </w:r>
      <w:r w:rsidRPr="002A3504">
        <w:rPr>
          <w:rFonts w:ascii="Times New Roman" w:hAnsi="Times New Roman"/>
          <w:lang w:val="en-GB"/>
        </w:rPr>
        <w:t>The</w:t>
      </w:r>
      <w:r>
        <w:rPr>
          <w:rFonts w:ascii="Times New Roman" w:hAnsi="Times New Roman"/>
          <w:lang w:val="en-GB"/>
        </w:rPr>
        <w:t xml:space="preserve"> </w:t>
      </w:r>
      <w:r w:rsidRPr="002A3504">
        <w:rPr>
          <w:rFonts w:ascii="Times New Roman" w:hAnsi="Times New Roman"/>
          <w:lang w:val="en-GB"/>
        </w:rPr>
        <w:t>simplest version of the input</w:t>
      </w:r>
      <w:r>
        <w:rPr>
          <w:rFonts w:ascii="Times New Roman" w:hAnsi="Times New Roman"/>
          <w:lang w:val="en-GB"/>
        </w:rPr>
        <w:sym w:font="Symbol" w:char="F02D"/>
      </w:r>
      <w:r w:rsidRPr="002A3504">
        <w:rPr>
          <w:rFonts w:ascii="Times New Roman" w:hAnsi="Times New Roman"/>
          <w:lang w:val="en-GB"/>
        </w:rPr>
        <w:t>output model is</w:t>
      </w:r>
      <w:r>
        <w:rPr>
          <w:rFonts w:ascii="Times New Roman" w:hAnsi="Times New Roman"/>
          <w:lang w:val="en-GB"/>
        </w:rPr>
        <w:t>:</w:t>
      </w:r>
    </w:p>
    <w:p w:rsidR="00B95D03" w:rsidRPr="002A3504" w:rsidRDefault="00B95D03" w:rsidP="00B95D03">
      <w:pPr>
        <w:pStyle w:val="Normaali1"/>
        <w:tabs>
          <w:tab w:val="center" w:pos="4440"/>
          <w:tab w:val="right" w:pos="9000"/>
        </w:tabs>
        <w:spacing w:line="480" w:lineRule="auto"/>
        <w:jc w:val="center"/>
        <w:rPr>
          <w:rFonts w:ascii="Times New Roman" w:hAnsi="Times New Roman"/>
          <w:lang w:val="en-GB"/>
        </w:rPr>
      </w:pPr>
      <w:r>
        <w:rPr>
          <w:rFonts w:ascii="Times New Roman" w:hAnsi="Times New Roman"/>
          <w:lang w:val="en-GB"/>
        </w:rPr>
        <w:tab/>
      </w:r>
      <w:r w:rsidRPr="00681D89">
        <w:rPr>
          <w:rFonts w:ascii="Times New Roman" w:hAnsi="Times New Roman"/>
          <w:b/>
          <w:lang w:val="en-GB"/>
        </w:rPr>
        <w:t>x</w:t>
      </w:r>
      <w:r>
        <w:rPr>
          <w:rFonts w:ascii="Times New Roman" w:hAnsi="Times New Roman"/>
          <w:b/>
          <w:lang w:val="en-GB"/>
        </w:rPr>
        <w:t xml:space="preserve"> </w:t>
      </w:r>
      <w:r w:rsidRPr="002A3504">
        <w:rPr>
          <w:rFonts w:ascii="Times New Roman" w:hAnsi="Times New Roman"/>
          <w:lang w:val="en-GB"/>
        </w:rPr>
        <w:t xml:space="preserve">= </w:t>
      </w:r>
      <w:proofErr w:type="spellStart"/>
      <w:r w:rsidRPr="00681D89">
        <w:rPr>
          <w:rFonts w:ascii="Times New Roman" w:hAnsi="Times New Roman"/>
          <w:b/>
          <w:lang w:val="en-GB"/>
        </w:rPr>
        <w:t>Ax</w:t>
      </w:r>
      <w:proofErr w:type="spellEnd"/>
      <w:r>
        <w:rPr>
          <w:rFonts w:ascii="Times New Roman" w:hAnsi="Times New Roman"/>
          <w:lang w:val="en-GB"/>
        </w:rPr>
        <w:t xml:space="preserve"> + </w:t>
      </w:r>
      <w:r>
        <w:rPr>
          <w:rFonts w:ascii="Times New Roman" w:hAnsi="Times New Roman"/>
          <w:b/>
          <w:lang w:val="en-GB"/>
        </w:rPr>
        <w:t xml:space="preserve">f </w:t>
      </w:r>
      <w:r>
        <w:rPr>
          <w:rFonts w:ascii="Times New Roman" w:hAnsi="Times New Roman"/>
          <w:lang w:val="en-GB"/>
        </w:rPr>
        <w:t xml:space="preserve">= </w:t>
      </w:r>
      <w:r w:rsidRPr="002A3504">
        <w:rPr>
          <w:rFonts w:ascii="Times New Roman" w:hAnsi="Times New Roman"/>
          <w:lang w:val="en-GB"/>
        </w:rPr>
        <w:t>(</w:t>
      </w:r>
      <w:r w:rsidRPr="00681D89">
        <w:rPr>
          <w:rFonts w:ascii="Times New Roman" w:hAnsi="Times New Roman"/>
          <w:b/>
          <w:lang w:val="en-GB"/>
        </w:rPr>
        <w:t>I</w:t>
      </w:r>
      <w:r>
        <w:rPr>
          <w:rFonts w:ascii="Times New Roman" w:hAnsi="Times New Roman"/>
          <w:lang w:val="en-GB"/>
        </w:rPr>
        <w:t xml:space="preserve"> </w:t>
      </w:r>
      <w:r>
        <w:rPr>
          <w:rFonts w:ascii="Times New Roman" w:hAnsi="Times New Roman"/>
          <w:lang w:val="en-GB"/>
        </w:rPr>
        <w:sym w:font="Symbol" w:char="F02D"/>
      </w:r>
      <w:r>
        <w:rPr>
          <w:rFonts w:ascii="Times New Roman" w:hAnsi="Times New Roman"/>
          <w:lang w:val="en-GB"/>
        </w:rPr>
        <w:t xml:space="preserve"> </w:t>
      </w:r>
      <w:r w:rsidRPr="00681D89">
        <w:rPr>
          <w:rFonts w:ascii="Times New Roman" w:hAnsi="Times New Roman"/>
          <w:b/>
          <w:lang w:val="en-GB"/>
        </w:rPr>
        <w:t>A</w:t>
      </w:r>
      <w:r w:rsidRPr="002A3504">
        <w:rPr>
          <w:rFonts w:ascii="Times New Roman" w:hAnsi="Times New Roman"/>
          <w:lang w:val="en-GB"/>
        </w:rPr>
        <w:t>)</w:t>
      </w:r>
      <w:r>
        <w:rPr>
          <w:rFonts w:ascii="Times New Roman" w:hAnsi="Times New Roman"/>
          <w:vertAlign w:val="superscript"/>
          <w:lang w:val="en-GB"/>
        </w:rPr>
        <w:sym w:font="Symbol" w:char="F02D"/>
      </w:r>
      <w:r w:rsidRPr="002A3504">
        <w:rPr>
          <w:rFonts w:ascii="Times New Roman" w:hAnsi="Times New Roman"/>
          <w:vertAlign w:val="superscript"/>
          <w:lang w:val="en-GB"/>
        </w:rPr>
        <w:t>1</w:t>
      </w:r>
      <w:r>
        <w:rPr>
          <w:rFonts w:ascii="Times New Roman" w:hAnsi="Times New Roman"/>
          <w:b/>
          <w:lang w:val="en-GB"/>
        </w:rPr>
        <w:t>f</w:t>
      </w:r>
      <w:r>
        <w:rPr>
          <w:rFonts w:ascii="Times New Roman" w:hAnsi="Times New Roman"/>
          <w:lang w:val="en-GB"/>
        </w:rPr>
        <w:tab/>
        <w:t>(1)</w:t>
      </w:r>
    </w:p>
    <w:p w:rsidR="00B95D03" w:rsidRDefault="00B95D03" w:rsidP="00B95D03">
      <w:pPr>
        <w:pStyle w:val="Normaali1"/>
        <w:spacing w:line="480" w:lineRule="auto"/>
        <w:rPr>
          <w:rFonts w:ascii="Times New Roman" w:hAnsi="Times New Roman"/>
          <w:color w:val="000000"/>
          <w:lang w:val="en-GB"/>
        </w:rPr>
      </w:pPr>
      <w:r>
        <w:rPr>
          <w:rFonts w:ascii="Times New Roman" w:hAnsi="Times New Roman"/>
          <w:color w:val="000000"/>
          <w:lang w:val="en-GB"/>
        </w:rPr>
        <w:t xml:space="preserve">where </w:t>
      </w:r>
      <w:r w:rsidRPr="0045458D">
        <w:rPr>
          <w:rFonts w:ascii="Times New Roman" w:hAnsi="Times New Roman"/>
          <w:color w:val="000000"/>
          <w:lang w:val="en-GB"/>
        </w:rPr>
        <w:t>(</w:t>
      </w:r>
      <w:r w:rsidRPr="00681D89">
        <w:rPr>
          <w:rFonts w:ascii="Times New Roman" w:hAnsi="Times New Roman"/>
          <w:b/>
          <w:color w:val="000000"/>
          <w:lang w:val="en-GB"/>
        </w:rPr>
        <w:t>I</w:t>
      </w:r>
      <w:r>
        <w:rPr>
          <w:rFonts w:ascii="Times New Roman" w:hAnsi="Times New Roman"/>
          <w:color w:val="000000"/>
          <w:lang w:val="en-GB"/>
        </w:rPr>
        <w:t xml:space="preserve"> </w:t>
      </w:r>
      <w:r w:rsidRPr="000C1AFF">
        <w:rPr>
          <w:rFonts w:ascii="Times New Roman" w:hAnsi="Times New Roman"/>
          <w:b/>
          <w:color w:val="000000"/>
          <w:lang w:val="en-GB"/>
        </w:rPr>
        <w:sym w:font="Symbol" w:char="F02D"/>
      </w:r>
      <w:r>
        <w:rPr>
          <w:rFonts w:ascii="Times New Roman" w:hAnsi="Times New Roman"/>
          <w:color w:val="000000"/>
          <w:lang w:val="en-GB"/>
        </w:rPr>
        <w:t xml:space="preserve"> </w:t>
      </w:r>
      <w:r w:rsidRPr="00681D89">
        <w:rPr>
          <w:rFonts w:ascii="Times New Roman" w:hAnsi="Times New Roman"/>
          <w:b/>
          <w:color w:val="000000"/>
          <w:lang w:val="en-GB"/>
        </w:rPr>
        <w:t>A</w:t>
      </w:r>
      <w:r w:rsidRPr="0045458D">
        <w:rPr>
          <w:rFonts w:ascii="Times New Roman" w:hAnsi="Times New Roman"/>
          <w:color w:val="000000"/>
          <w:lang w:val="en-GB"/>
        </w:rPr>
        <w:t>)</w:t>
      </w:r>
      <w:r>
        <w:rPr>
          <w:rFonts w:ascii="Times New Roman" w:hAnsi="Times New Roman"/>
          <w:color w:val="000000"/>
          <w:vertAlign w:val="superscript"/>
          <w:lang w:val="en-GB"/>
        </w:rPr>
        <w:sym w:font="Symbol" w:char="F02D"/>
      </w:r>
      <w:r>
        <w:rPr>
          <w:rFonts w:ascii="Times New Roman" w:hAnsi="Times New Roman"/>
          <w:color w:val="000000"/>
          <w:vertAlign w:val="superscript"/>
          <w:lang w:val="en-GB"/>
        </w:rPr>
        <w:t>1</w:t>
      </w:r>
      <w:r>
        <w:rPr>
          <w:rFonts w:ascii="Times New Roman" w:hAnsi="Times New Roman"/>
          <w:color w:val="000000"/>
          <w:lang w:val="en-GB"/>
        </w:rPr>
        <w:t xml:space="preserve"> </w:t>
      </w:r>
      <w:r>
        <w:rPr>
          <w:rFonts w:ascii="Times New Roman" w:hAnsi="Times New Roman"/>
          <w:lang w:val="en-GB"/>
        </w:rPr>
        <w:t>= [</w:t>
      </w:r>
      <w:proofErr w:type="spellStart"/>
      <w:r>
        <w:rPr>
          <w:rFonts w:ascii="Times New Roman" w:hAnsi="Times New Roman"/>
          <w:lang w:val="en-GB"/>
        </w:rPr>
        <w:t>b</w:t>
      </w:r>
      <w:r w:rsidRPr="00242233">
        <w:rPr>
          <w:rFonts w:ascii="Times New Roman" w:hAnsi="Times New Roman"/>
          <w:szCs w:val="24"/>
          <w:vertAlign w:val="subscript"/>
          <w:lang w:val="en-GB"/>
        </w:rPr>
        <w:t>ij</w:t>
      </w:r>
      <w:proofErr w:type="spellEnd"/>
      <w:r>
        <w:rPr>
          <w:rFonts w:ascii="Times New Roman" w:hAnsi="Times New Roman"/>
          <w:lang w:val="en-GB"/>
        </w:rPr>
        <w:t xml:space="preserve">] </w:t>
      </w:r>
      <w:r w:rsidRPr="0045458D">
        <w:rPr>
          <w:rFonts w:ascii="Times New Roman" w:hAnsi="Times New Roman"/>
          <w:color w:val="000000"/>
          <w:lang w:val="en-GB"/>
        </w:rPr>
        <w:t>is the Leontief inverse matrix.</w:t>
      </w:r>
      <w:r>
        <w:rPr>
          <w:rFonts w:ascii="Times New Roman" w:hAnsi="Times New Roman"/>
          <w:b/>
          <w:color w:val="000000"/>
          <w:vertAlign w:val="superscript"/>
          <w:lang w:val="en-GB"/>
        </w:rPr>
        <w:t>3</w:t>
      </w:r>
      <w:r>
        <w:rPr>
          <w:rFonts w:ascii="Times New Roman" w:hAnsi="Times New Roman"/>
          <w:color w:val="000000"/>
          <w:lang w:val="en-GB"/>
        </w:rPr>
        <w:t xml:space="preserve">  The sum of each column of this matrix represents the type I output multiplier for that sector.  The problem facing the regional analyst is how to transform the national coefficient matrix, </w:t>
      </w:r>
      <w:r w:rsidRPr="00681D89">
        <w:rPr>
          <w:rFonts w:ascii="Times New Roman" w:hAnsi="Times New Roman"/>
          <w:b/>
          <w:lang w:val="en-GB"/>
        </w:rPr>
        <w:t>A</w:t>
      </w:r>
      <w:r>
        <w:rPr>
          <w:rFonts w:ascii="Times New Roman" w:hAnsi="Times New Roman"/>
          <w:lang w:val="en-GB"/>
        </w:rPr>
        <w:t xml:space="preserve"> = [</w:t>
      </w:r>
      <w:proofErr w:type="spellStart"/>
      <w:r>
        <w:rPr>
          <w:rFonts w:ascii="Times New Roman" w:hAnsi="Times New Roman"/>
          <w:lang w:val="en-GB"/>
        </w:rPr>
        <w:t>a</w:t>
      </w:r>
      <w:r w:rsidRPr="00242233">
        <w:rPr>
          <w:rFonts w:ascii="Times New Roman" w:hAnsi="Times New Roman"/>
          <w:szCs w:val="24"/>
          <w:vertAlign w:val="subscript"/>
          <w:lang w:val="en-GB"/>
        </w:rPr>
        <w:t>ij</w:t>
      </w:r>
      <w:proofErr w:type="spellEnd"/>
      <w:r>
        <w:rPr>
          <w:rFonts w:ascii="Times New Roman" w:hAnsi="Times New Roman"/>
          <w:lang w:val="en-GB"/>
        </w:rPr>
        <w:t xml:space="preserve">], into a suitable regional </w:t>
      </w:r>
      <w:r>
        <w:rPr>
          <w:rFonts w:ascii="Times New Roman" w:hAnsi="Times New Roman"/>
          <w:color w:val="000000"/>
          <w:lang w:val="en-GB"/>
        </w:rPr>
        <w:t xml:space="preserve">coefficient matrix, </w:t>
      </w:r>
      <w:r>
        <w:rPr>
          <w:rFonts w:ascii="Times New Roman" w:hAnsi="Times New Roman"/>
          <w:b/>
          <w:lang w:val="en-GB"/>
        </w:rPr>
        <w:t>R</w:t>
      </w:r>
      <w:r>
        <w:rPr>
          <w:rFonts w:ascii="Times New Roman" w:hAnsi="Times New Roman"/>
          <w:lang w:val="en-GB"/>
        </w:rPr>
        <w:t xml:space="preserve"> = [r</w:t>
      </w:r>
      <w:r w:rsidRPr="00242233">
        <w:rPr>
          <w:rFonts w:ascii="Times New Roman" w:hAnsi="Times New Roman"/>
          <w:szCs w:val="24"/>
          <w:vertAlign w:val="subscript"/>
          <w:lang w:val="en-GB"/>
        </w:rPr>
        <w:t>ij</w:t>
      </w:r>
      <w:r>
        <w:rPr>
          <w:rFonts w:ascii="Times New Roman" w:hAnsi="Times New Roman"/>
          <w:lang w:val="en-GB"/>
        </w:rPr>
        <w:t>]</w:t>
      </w:r>
      <w:r>
        <w:rPr>
          <w:rFonts w:ascii="Times New Roman" w:hAnsi="Times New Roman"/>
          <w:color w:val="000000"/>
          <w:lang w:val="en-GB"/>
        </w:rPr>
        <w:t>.  Herein lies the role of the LQs.</w:t>
      </w:r>
    </w:p>
    <w:p w:rsidR="00B95D03" w:rsidRDefault="00B95D03" w:rsidP="00B95D03">
      <w:pPr>
        <w:pStyle w:val="Normaali1"/>
        <w:tabs>
          <w:tab w:val="left" w:pos="360"/>
        </w:tabs>
        <w:spacing w:line="480" w:lineRule="auto"/>
        <w:rPr>
          <w:rFonts w:ascii="Times New Roman" w:hAnsi="Times New Roman"/>
          <w:color w:val="000000"/>
          <w:lang w:val="en-GB"/>
        </w:rPr>
      </w:pPr>
      <w:r>
        <w:rPr>
          <w:rFonts w:ascii="Times New Roman" w:hAnsi="Times New Roman"/>
          <w:color w:val="000000"/>
          <w:lang w:val="en-GB"/>
        </w:rPr>
        <w:tab/>
        <w:t xml:space="preserve">Now consider </w:t>
      </w:r>
      <w:r w:rsidRPr="00227F4F">
        <w:rPr>
          <w:rFonts w:ascii="Times New Roman" w:hAnsi="Times New Roman"/>
          <w:color w:val="000000"/>
          <w:lang w:val="en-GB"/>
        </w:rPr>
        <w:t>the formula</w:t>
      </w:r>
      <w:r>
        <w:rPr>
          <w:rFonts w:ascii="Times New Roman" w:hAnsi="Times New Roman"/>
          <w:color w:val="000000"/>
          <w:lang w:val="en-GB"/>
        </w:rPr>
        <w:t>:</w:t>
      </w:r>
    </w:p>
    <w:p w:rsidR="00B95D03" w:rsidRPr="002A3504" w:rsidRDefault="00B95D03" w:rsidP="00B95D03">
      <w:pPr>
        <w:pStyle w:val="Normaali1"/>
        <w:tabs>
          <w:tab w:val="center" w:pos="4440"/>
          <w:tab w:val="right" w:pos="9000"/>
        </w:tabs>
        <w:spacing w:line="480" w:lineRule="auto"/>
        <w:rPr>
          <w:rFonts w:ascii="Times New Roman" w:hAnsi="Times New Roman"/>
          <w:lang w:val="en-GB"/>
        </w:rPr>
      </w:pPr>
      <w:r>
        <w:rPr>
          <w:rFonts w:ascii="Times New Roman" w:hAnsi="Times New Roman"/>
          <w:lang w:val="en-GB"/>
        </w:rPr>
        <w:tab/>
        <w:t>r</w:t>
      </w:r>
      <w:r w:rsidRPr="00BE2A91">
        <w:rPr>
          <w:rFonts w:ascii="Times New Roman" w:hAnsi="Times New Roman"/>
          <w:szCs w:val="24"/>
          <w:vertAlign w:val="subscript"/>
          <w:lang w:val="en-GB"/>
        </w:rPr>
        <w:t>ij</w:t>
      </w:r>
      <w:r>
        <w:rPr>
          <w:rFonts w:ascii="Times New Roman" w:hAnsi="Times New Roman"/>
          <w:szCs w:val="24"/>
          <w:lang w:val="en-GB"/>
        </w:rPr>
        <w:t xml:space="preserve"> </w:t>
      </w:r>
      <w:r>
        <w:rPr>
          <w:rFonts w:ascii="Times New Roman" w:hAnsi="Times New Roman"/>
          <w:lang w:val="en-GB"/>
        </w:rPr>
        <w:t xml:space="preserve">= </w:t>
      </w:r>
      <w:proofErr w:type="spellStart"/>
      <w:r>
        <w:rPr>
          <w:rFonts w:ascii="Times New Roman" w:hAnsi="Times New Roman"/>
          <w:lang w:val="en-GB"/>
        </w:rPr>
        <w:t>t</w:t>
      </w:r>
      <w:r w:rsidRPr="00BE2A91">
        <w:rPr>
          <w:rFonts w:ascii="Times New Roman" w:hAnsi="Times New Roman"/>
          <w:szCs w:val="24"/>
          <w:vertAlign w:val="subscript"/>
          <w:lang w:val="en-GB"/>
        </w:rPr>
        <w:t>ij</w:t>
      </w:r>
      <w:proofErr w:type="spellEnd"/>
      <w:r>
        <w:rPr>
          <w:rFonts w:ascii="Times New Roman" w:hAnsi="Times New Roman"/>
          <w:lang w:val="en-GB"/>
        </w:rPr>
        <w:t xml:space="preserve"> ×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lang w:val="en-GB"/>
        </w:rPr>
        <w:tab/>
        <w:t>(2)</w:t>
      </w:r>
    </w:p>
    <w:p w:rsidR="00B95D03" w:rsidRPr="00C53068" w:rsidRDefault="00B95D03" w:rsidP="00B95D03">
      <w:pPr>
        <w:pStyle w:val="Normaali1"/>
        <w:spacing w:line="480" w:lineRule="auto"/>
        <w:rPr>
          <w:rFonts w:ascii="Times New Roman" w:hAnsi="Times New Roman"/>
          <w:color w:val="000000"/>
          <w:lang w:val="en-GB"/>
        </w:rPr>
      </w:pPr>
      <w:r w:rsidRPr="00227F4F">
        <w:rPr>
          <w:rFonts w:ascii="Times New Roman" w:hAnsi="Times New Roman"/>
          <w:color w:val="000000"/>
          <w:lang w:val="en-GB"/>
        </w:rPr>
        <w:t>where r</w:t>
      </w:r>
      <w:r w:rsidRPr="00227F4F">
        <w:rPr>
          <w:rFonts w:ascii="Times New Roman" w:hAnsi="Times New Roman"/>
          <w:color w:val="000000"/>
          <w:szCs w:val="24"/>
          <w:vertAlign w:val="subscript"/>
          <w:lang w:val="en-GB"/>
        </w:rPr>
        <w:t>ij</w:t>
      </w:r>
      <w:r w:rsidRPr="00227F4F">
        <w:rPr>
          <w:rFonts w:ascii="Times New Roman" w:hAnsi="Times New Roman"/>
          <w:color w:val="000000"/>
          <w:lang w:val="en-GB"/>
        </w:rPr>
        <w:t xml:space="preserve"> is the regional </w:t>
      </w:r>
      <w:r>
        <w:rPr>
          <w:rFonts w:ascii="Times New Roman" w:hAnsi="Times New Roman"/>
          <w:color w:val="000000"/>
          <w:lang w:val="en-GB"/>
        </w:rPr>
        <w:t xml:space="preserve">input </w:t>
      </w:r>
      <w:r w:rsidRPr="00227F4F">
        <w:rPr>
          <w:rFonts w:ascii="Times New Roman" w:hAnsi="Times New Roman"/>
          <w:color w:val="000000"/>
          <w:lang w:val="en-GB"/>
        </w:rPr>
        <w:t>coefficient</w:t>
      </w:r>
      <w:r>
        <w:rPr>
          <w:rFonts w:ascii="Times New Roman" w:hAnsi="Times New Roman"/>
          <w:color w:val="000000"/>
          <w:lang w:val="en-GB"/>
        </w:rPr>
        <w:t xml:space="preserve">, </w:t>
      </w:r>
      <w:proofErr w:type="spellStart"/>
      <w:r w:rsidRPr="00227F4F">
        <w:rPr>
          <w:rFonts w:ascii="Times New Roman" w:hAnsi="Times New Roman"/>
          <w:color w:val="000000"/>
          <w:lang w:val="en-GB"/>
        </w:rPr>
        <w:t>t</w:t>
      </w:r>
      <w:r w:rsidRPr="00227F4F">
        <w:rPr>
          <w:rFonts w:ascii="Times New Roman" w:hAnsi="Times New Roman"/>
          <w:color w:val="000000"/>
          <w:szCs w:val="24"/>
          <w:vertAlign w:val="subscript"/>
          <w:lang w:val="en-GB"/>
        </w:rPr>
        <w:t>ij</w:t>
      </w:r>
      <w:proofErr w:type="spellEnd"/>
      <w:r w:rsidRPr="00227F4F">
        <w:rPr>
          <w:rFonts w:ascii="Times New Roman" w:hAnsi="Times New Roman"/>
          <w:color w:val="000000"/>
          <w:lang w:val="en-GB"/>
        </w:rPr>
        <w:t xml:space="preserve"> is the</w:t>
      </w:r>
      <w:r>
        <w:rPr>
          <w:rFonts w:ascii="Times New Roman" w:hAnsi="Times New Roman"/>
          <w:color w:val="000000"/>
          <w:lang w:val="en-GB"/>
        </w:rPr>
        <w:t xml:space="preserve"> regional</w:t>
      </w:r>
      <w:r w:rsidRPr="00227F4F">
        <w:rPr>
          <w:rFonts w:ascii="Times New Roman" w:hAnsi="Times New Roman"/>
          <w:color w:val="000000"/>
          <w:lang w:val="en-GB"/>
        </w:rPr>
        <w:t xml:space="preserve"> </w:t>
      </w:r>
      <w:r w:rsidRPr="00C4797F">
        <w:rPr>
          <w:rFonts w:ascii="Times New Roman" w:hAnsi="Times New Roman"/>
          <w:i/>
          <w:color w:val="000000"/>
          <w:lang w:val="en-GB"/>
        </w:rPr>
        <w:t>trading coefficient</w:t>
      </w:r>
      <w:r>
        <w:rPr>
          <w:rFonts w:ascii="Times New Roman" w:hAnsi="Times New Roman"/>
          <w:color w:val="000000"/>
          <w:lang w:val="en-GB"/>
        </w:rPr>
        <w:t xml:space="preserve"> and </w:t>
      </w:r>
      <w:proofErr w:type="spellStart"/>
      <w:r w:rsidRPr="00227F4F">
        <w:rPr>
          <w:rFonts w:ascii="Times New Roman" w:hAnsi="Times New Roman"/>
          <w:color w:val="000000"/>
          <w:lang w:val="en-GB"/>
        </w:rPr>
        <w:t>a</w:t>
      </w:r>
      <w:r w:rsidRPr="00227F4F">
        <w:rPr>
          <w:rFonts w:ascii="Times New Roman" w:hAnsi="Times New Roman"/>
          <w:color w:val="000000"/>
          <w:szCs w:val="24"/>
          <w:vertAlign w:val="subscript"/>
          <w:lang w:val="en-GB"/>
        </w:rPr>
        <w:t>ij</w:t>
      </w:r>
      <w:proofErr w:type="spellEnd"/>
      <w:r w:rsidRPr="00227F4F">
        <w:rPr>
          <w:rFonts w:ascii="Times New Roman" w:hAnsi="Times New Roman"/>
          <w:color w:val="000000"/>
          <w:lang w:val="en-GB"/>
        </w:rPr>
        <w:t xml:space="preserve"> is the</w:t>
      </w:r>
      <w:r>
        <w:rPr>
          <w:rFonts w:ascii="Times New Roman" w:hAnsi="Times New Roman"/>
          <w:color w:val="000000"/>
          <w:lang w:val="en-GB"/>
        </w:rPr>
        <w:t xml:space="preserve"> </w:t>
      </w:r>
      <w:r w:rsidRPr="00227F4F">
        <w:rPr>
          <w:rFonts w:ascii="Times New Roman" w:hAnsi="Times New Roman"/>
          <w:color w:val="000000"/>
          <w:lang w:val="en-GB"/>
        </w:rPr>
        <w:t xml:space="preserve">national </w:t>
      </w:r>
      <w:r>
        <w:rPr>
          <w:rFonts w:ascii="Times New Roman" w:hAnsi="Times New Roman"/>
          <w:color w:val="000000"/>
          <w:lang w:val="en-GB"/>
        </w:rPr>
        <w:t xml:space="preserve">input </w:t>
      </w:r>
      <w:r w:rsidRPr="00227F4F">
        <w:rPr>
          <w:rFonts w:ascii="Times New Roman" w:hAnsi="Times New Roman"/>
          <w:color w:val="000000"/>
          <w:lang w:val="en-GB"/>
        </w:rPr>
        <w:t>coefficient.</w:t>
      </w:r>
      <w:r>
        <w:rPr>
          <w:rFonts w:ascii="Times New Roman" w:hAnsi="Times New Roman"/>
          <w:b/>
          <w:color w:val="000000"/>
          <w:vertAlign w:val="superscript"/>
          <w:lang w:val="en-GB"/>
        </w:rPr>
        <w:t>4</w:t>
      </w:r>
      <w:r>
        <w:rPr>
          <w:rFonts w:ascii="Times New Roman" w:hAnsi="Times New Roman"/>
          <w:color w:val="000000"/>
          <w:lang w:val="en-GB"/>
        </w:rPr>
        <w:t xml:space="preserve">  </w:t>
      </w:r>
      <w:r w:rsidRPr="00227F4F">
        <w:rPr>
          <w:rFonts w:ascii="Times New Roman" w:hAnsi="Times New Roman"/>
          <w:color w:val="000000"/>
          <w:lang w:val="en-GB"/>
        </w:rPr>
        <w:t>r</w:t>
      </w:r>
      <w:r w:rsidRPr="00227F4F">
        <w:rPr>
          <w:rFonts w:ascii="Times New Roman" w:hAnsi="Times New Roman"/>
          <w:color w:val="000000"/>
          <w:szCs w:val="24"/>
          <w:vertAlign w:val="subscript"/>
          <w:lang w:val="en-GB"/>
        </w:rPr>
        <w:t>ij</w:t>
      </w:r>
      <w:r>
        <w:rPr>
          <w:rFonts w:ascii="Times New Roman" w:hAnsi="Times New Roman"/>
          <w:color w:val="000000"/>
          <w:lang w:val="en-GB"/>
        </w:rPr>
        <w:t xml:space="preserve"> measures the amount of regional input </w:t>
      </w:r>
      <w:r w:rsidRPr="00C31425">
        <w:rPr>
          <w:rFonts w:ascii="Times New Roman" w:hAnsi="Times New Roman"/>
          <w:i/>
          <w:color w:val="000000"/>
          <w:lang w:val="en-GB"/>
        </w:rPr>
        <w:t>i</w:t>
      </w:r>
      <w:r>
        <w:rPr>
          <w:rFonts w:ascii="Times New Roman" w:hAnsi="Times New Roman"/>
          <w:color w:val="000000"/>
          <w:lang w:val="en-GB"/>
        </w:rPr>
        <w:t xml:space="preserve"> needed to produce one unit of regional gross output </w:t>
      </w:r>
      <w:r w:rsidRPr="00C31425">
        <w:rPr>
          <w:rFonts w:ascii="Times New Roman" w:hAnsi="Times New Roman"/>
          <w:i/>
          <w:color w:val="000000"/>
          <w:lang w:val="en-GB"/>
        </w:rPr>
        <w:t>j</w:t>
      </w:r>
      <w:r>
        <w:rPr>
          <w:rFonts w:ascii="Times New Roman" w:hAnsi="Times New Roman"/>
          <w:color w:val="000000"/>
          <w:lang w:val="en-GB"/>
        </w:rPr>
        <w:t xml:space="preserve">; it thus excludes any supplies of </w:t>
      </w:r>
      <w:r w:rsidRPr="00C31425">
        <w:rPr>
          <w:rFonts w:ascii="Times New Roman" w:hAnsi="Times New Roman"/>
          <w:i/>
          <w:color w:val="000000"/>
          <w:lang w:val="en-GB"/>
        </w:rPr>
        <w:t>i</w:t>
      </w:r>
      <w:r>
        <w:rPr>
          <w:rFonts w:ascii="Times New Roman" w:hAnsi="Times New Roman"/>
          <w:color w:val="000000"/>
          <w:lang w:val="en-GB"/>
        </w:rPr>
        <w:t xml:space="preserve"> ‘imported’ from other regions or obtained from abroad.  </w:t>
      </w:r>
      <w:proofErr w:type="spellStart"/>
      <w:r w:rsidRPr="00227F4F">
        <w:rPr>
          <w:rFonts w:ascii="Times New Roman" w:hAnsi="Times New Roman"/>
          <w:color w:val="000000"/>
          <w:lang w:val="en-GB"/>
        </w:rPr>
        <w:t>t</w:t>
      </w:r>
      <w:r w:rsidRPr="00227F4F">
        <w:rPr>
          <w:rFonts w:ascii="Times New Roman" w:hAnsi="Times New Roman"/>
          <w:color w:val="000000"/>
          <w:szCs w:val="24"/>
          <w:vertAlign w:val="subscript"/>
          <w:lang w:val="en-GB"/>
        </w:rPr>
        <w:t>ij</w:t>
      </w:r>
      <w:proofErr w:type="spellEnd"/>
      <w:r>
        <w:rPr>
          <w:rFonts w:ascii="Times New Roman" w:hAnsi="Times New Roman"/>
          <w:color w:val="000000"/>
          <w:lang w:val="en-GB"/>
        </w:rPr>
        <w:t xml:space="preserve"> measures the proportion of regional requirements of input </w:t>
      </w:r>
      <w:r w:rsidRPr="00C31425">
        <w:rPr>
          <w:rFonts w:ascii="Times New Roman" w:hAnsi="Times New Roman"/>
          <w:i/>
          <w:color w:val="000000"/>
          <w:lang w:val="en-GB"/>
        </w:rPr>
        <w:t>i</w:t>
      </w:r>
      <w:r>
        <w:rPr>
          <w:rFonts w:ascii="Times New Roman" w:hAnsi="Times New Roman"/>
          <w:color w:val="000000"/>
          <w:lang w:val="en-GB"/>
        </w:rPr>
        <w:t xml:space="preserve"> that can be satisfied by firms located within the region; hence, by definition, 0 ≤ </w:t>
      </w:r>
      <w:proofErr w:type="spellStart"/>
      <w:r w:rsidRPr="00227F4F">
        <w:rPr>
          <w:rFonts w:ascii="Times New Roman" w:hAnsi="Times New Roman"/>
          <w:color w:val="000000"/>
          <w:lang w:val="en-GB"/>
        </w:rPr>
        <w:t>t</w:t>
      </w:r>
      <w:r w:rsidRPr="00227F4F">
        <w:rPr>
          <w:rFonts w:ascii="Times New Roman" w:hAnsi="Times New Roman"/>
          <w:color w:val="000000"/>
          <w:szCs w:val="24"/>
          <w:vertAlign w:val="subscript"/>
          <w:lang w:val="en-GB"/>
        </w:rPr>
        <w:t>ij</w:t>
      </w:r>
      <w:proofErr w:type="spellEnd"/>
      <w:r>
        <w:rPr>
          <w:rFonts w:ascii="Times New Roman" w:hAnsi="Times New Roman"/>
          <w:color w:val="000000"/>
          <w:szCs w:val="24"/>
          <w:lang w:val="en-GB"/>
        </w:rPr>
        <w:t xml:space="preserve"> </w:t>
      </w:r>
      <w:r>
        <w:rPr>
          <w:rFonts w:ascii="Times New Roman" w:hAnsi="Times New Roman"/>
          <w:color w:val="000000"/>
          <w:lang w:val="en-GB"/>
        </w:rPr>
        <w:t>≤ 1.</w:t>
      </w:r>
    </w:p>
    <w:p w:rsidR="00B95D03" w:rsidRDefault="00B95D03" w:rsidP="00B95D03">
      <w:pPr>
        <w:pStyle w:val="Normaali1"/>
        <w:tabs>
          <w:tab w:val="left" w:pos="360"/>
        </w:tabs>
        <w:spacing w:line="480" w:lineRule="auto"/>
        <w:rPr>
          <w:rFonts w:ascii="Times New Roman" w:hAnsi="Times New Roman"/>
          <w:color w:val="000000"/>
          <w:lang w:val="en-GB"/>
        </w:rPr>
      </w:pPr>
      <w:r>
        <w:rPr>
          <w:rFonts w:ascii="Times New Roman" w:hAnsi="Times New Roman"/>
          <w:color w:val="000000"/>
          <w:lang w:val="en-GB"/>
        </w:rPr>
        <w:lastRenderedPageBreak/>
        <w:tab/>
        <w:t xml:space="preserve">Using LQs, one can estimate </w:t>
      </w:r>
      <w:r w:rsidRPr="00227F4F">
        <w:rPr>
          <w:rFonts w:ascii="Times New Roman" w:hAnsi="Times New Roman"/>
          <w:color w:val="000000"/>
          <w:lang w:val="en-GB"/>
        </w:rPr>
        <w:t>the regional input coefficients</w:t>
      </w:r>
      <w:r>
        <w:rPr>
          <w:rFonts w:ascii="Times New Roman" w:hAnsi="Times New Roman"/>
          <w:color w:val="000000"/>
          <w:lang w:val="en-GB"/>
        </w:rPr>
        <w:t xml:space="preserve"> via </w:t>
      </w:r>
      <w:r w:rsidRPr="00227F4F">
        <w:rPr>
          <w:rFonts w:ascii="Times New Roman" w:hAnsi="Times New Roman"/>
          <w:color w:val="000000"/>
          <w:lang w:val="en-GB"/>
        </w:rPr>
        <w:t>the formula</w:t>
      </w:r>
      <w:r>
        <w:rPr>
          <w:rFonts w:ascii="Times New Roman" w:hAnsi="Times New Roman"/>
          <w:color w:val="000000"/>
          <w:lang w:val="en-GB"/>
        </w:rPr>
        <w:t>:</w:t>
      </w:r>
    </w:p>
    <w:p w:rsidR="00B95D03" w:rsidRPr="002A3504" w:rsidRDefault="00B95D03" w:rsidP="00B95D03">
      <w:pPr>
        <w:pStyle w:val="Normaali1"/>
        <w:tabs>
          <w:tab w:val="center" w:pos="4440"/>
          <w:tab w:val="right" w:pos="9000"/>
        </w:tabs>
        <w:spacing w:line="480" w:lineRule="auto"/>
        <w:rPr>
          <w:rFonts w:ascii="Times New Roman" w:hAnsi="Times New Roman"/>
          <w:lang w:val="en-GB"/>
        </w:rPr>
      </w:pPr>
      <w:r>
        <w:rPr>
          <w:rFonts w:ascii="Times New Roman" w:hAnsi="Times New Roman"/>
          <w:lang w:val="en-GB"/>
        </w:rPr>
        <w:tab/>
      </w:r>
      <w:r w:rsidRPr="009A6E5B">
        <w:rPr>
          <w:position w:val="-14"/>
        </w:rPr>
        <w:object w:dxaOrig="2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10" o:title=""/>
          </v:shape>
          <o:OLEObject Type="Embed" ProgID="Equation.3" ShapeID="_x0000_i1025" DrawAspect="Content" ObjectID="_1354515135" r:id="rId11"/>
        </w:object>
      </w:r>
      <w:r>
        <w:rPr>
          <w:rFonts w:ascii="Times New Roman" w:hAnsi="Times New Roman"/>
          <w:lang w:val="en-GB"/>
        </w:rPr>
        <w:t xml:space="preserve">= </w:t>
      </w:r>
      <w:proofErr w:type="spellStart"/>
      <w:r>
        <w:rPr>
          <w:rFonts w:ascii="Times New Roman" w:hAnsi="Times New Roman"/>
          <w:lang w:val="en-GB"/>
        </w:rPr>
        <w:t>LQ</w:t>
      </w:r>
      <w:r w:rsidRPr="00BE2A91">
        <w:rPr>
          <w:rFonts w:ascii="Times New Roman" w:hAnsi="Times New Roman"/>
          <w:szCs w:val="24"/>
          <w:vertAlign w:val="subscript"/>
          <w:lang w:val="en-GB"/>
        </w:rPr>
        <w:t>ij</w:t>
      </w:r>
      <w:proofErr w:type="spellEnd"/>
      <w:r>
        <w:rPr>
          <w:rFonts w:ascii="Times New Roman" w:hAnsi="Times New Roman"/>
          <w:lang w:val="en-GB"/>
        </w:rPr>
        <w:t xml:space="preserve"> × </w:t>
      </w:r>
      <w:proofErr w:type="spellStart"/>
      <w:r>
        <w:rPr>
          <w:rFonts w:ascii="Times New Roman" w:hAnsi="Times New Roman"/>
          <w:lang w:val="en-GB"/>
        </w:rPr>
        <w:t>a</w:t>
      </w:r>
      <w:r w:rsidRPr="00BE2A91">
        <w:rPr>
          <w:rFonts w:ascii="Times New Roman" w:hAnsi="Times New Roman"/>
          <w:szCs w:val="24"/>
          <w:vertAlign w:val="subscript"/>
          <w:lang w:val="en-GB"/>
        </w:rPr>
        <w:t>ij</w:t>
      </w:r>
      <w:proofErr w:type="spellEnd"/>
      <w:r>
        <w:rPr>
          <w:rFonts w:ascii="Times New Roman" w:hAnsi="Times New Roman"/>
          <w:lang w:val="en-GB"/>
        </w:rPr>
        <w:tab/>
        <w:t>(3)</w:t>
      </w:r>
    </w:p>
    <w:p w:rsidR="00B95D03" w:rsidRDefault="00B95D03" w:rsidP="00B95D03">
      <w:pPr>
        <w:pStyle w:val="Normaali1"/>
        <w:tabs>
          <w:tab w:val="left" w:pos="360"/>
        </w:tabs>
        <w:spacing w:line="480" w:lineRule="auto"/>
        <w:rPr>
          <w:rFonts w:ascii="Times New Roman" w:hAnsi="Times New Roman"/>
          <w:color w:val="000000"/>
          <w:lang w:val="en-GB"/>
        </w:rPr>
      </w:pPr>
      <w:r w:rsidRPr="00227F4F">
        <w:rPr>
          <w:rFonts w:ascii="Times New Roman" w:hAnsi="Times New Roman"/>
          <w:color w:val="000000"/>
          <w:lang w:val="en-GB"/>
        </w:rPr>
        <w:t xml:space="preserve">where </w:t>
      </w:r>
      <w:proofErr w:type="spellStart"/>
      <w:r>
        <w:rPr>
          <w:rFonts w:ascii="Times New Roman" w:hAnsi="Times New Roman"/>
          <w:color w:val="000000"/>
          <w:lang w:val="en-GB"/>
        </w:rPr>
        <w:t>LQ</w:t>
      </w:r>
      <w:r w:rsidRPr="00227F4F">
        <w:rPr>
          <w:rFonts w:ascii="Times New Roman" w:hAnsi="Times New Roman"/>
          <w:color w:val="000000"/>
          <w:szCs w:val="24"/>
          <w:vertAlign w:val="subscript"/>
          <w:lang w:val="en-GB"/>
        </w:rPr>
        <w:t>ij</w:t>
      </w:r>
      <w:proofErr w:type="spellEnd"/>
      <w:r w:rsidRPr="00227F4F">
        <w:rPr>
          <w:rFonts w:ascii="Times New Roman" w:hAnsi="Times New Roman"/>
          <w:color w:val="000000"/>
          <w:lang w:val="en-GB"/>
        </w:rPr>
        <w:t xml:space="preserve"> </w:t>
      </w:r>
      <w:r>
        <w:rPr>
          <w:rFonts w:ascii="Times New Roman" w:hAnsi="Times New Roman"/>
          <w:color w:val="000000"/>
          <w:lang w:val="en-GB"/>
        </w:rPr>
        <w:t xml:space="preserve">is the analyst’s preferred location quotient.  However, this adjustment is only made in cases where </w:t>
      </w:r>
      <w:proofErr w:type="spellStart"/>
      <w:r>
        <w:rPr>
          <w:rFonts w:ascii="Times New Roman" w:hAnsi="Times New Roman"/>
          <w:color w:val="000000"/>
          <w:lang w:val="en-GB"/>
        </w:rPr>
        <w:t>LQ</w:t>
      </w:r>
      <w:r w:rsidRPr="00227F4F">
        <w:rPr>
          <w:rFonts w:ascii="Times New Roman" w:hAnsi="Times New Roman"/>
          <w:color w:val="000000"/>
          <w:szCs w:val="24"/>
          <w:vertAlign w:val="subscript"/>
          <w:lang w:val="en-GB"/>
        </w:rPr>
        <w:t>ij</w:t>
      </w:r>
      <w:proofErr w:type="spellEnd"/>
      <w:r w:rsidRPr="00227F4F">
        <w:rPr>
          <w:rFonts w:ascii="Times New Roman" w:hAnsi="Times New Roman"/>
          <w:color w:val="000000"/>
          <w:lang w:val="en-GB"/>
        </w:rPr>
        <w:t xml:space="preserve"> </w:t>
      </w:r>
      <w:r>
        <w:rPr>
          <w:rFonts w:ascii="Times New Roman" w:hAnsi="Times New Roman"/>
          <w:color w:val="000000"/>
          <w:lang w:val="en-GB"/>
        </w:rPr>
        <w:t>&lt; 1.</w:t>
      </w:r>
    </w:p>
    <w:p w:rsidR="00B95D03" w:rsidRPr="002A3504" w:rsidRDefault="00B95D03" w:rsidP="00B95D03">
      <w:pPr>
        <w:pStyle w:val="Normaali1"/>
        <w:spacing w:line="480" w:lineRule="auto"/>
        <w:rPr>
          <w:rFonts w:ascii="Times New Roman" w:hAnsi="Times New Roman"/>
          <w:lang w:val="en-GB"/>
        </w:rPr>
      </w:pPr>
    </w:p>
    <w:p w:rsidR="00B95D03" w:rsidRDefault="00B95D03" w:rsidP="00B95D03">
      <w:pPr>
        <w:pStyle w:val="Normaali1"/>
        <w:tabs>
          <w:tab w:val="left" w:pos="360"/>
        </w:tabs>
        <w:spacing w:line="480" w:lineRule="auto"/>
        <w:jc w:val="center"/>
        <w:rPr>
          <w:b/>
        </w:rPr>
      </w:pPr>
      <w:r>
        <w:rPr>
          <w:b/>
        </w:rPr>
        <w:t>CHOOSING AN LQ</w:t>
      </w:r>
    </w:p>
    <w:p w:rsidR="00B95D03" w:rsidRDefault="00B95D03" w:rsidP="00B95D03">
      <w:pPr>
        <w:pStyle w:val="Normaali1"/>
        <w:tabs>
          <w:tab w:val="left" w:pos="360"/>
        </w:tabs>
        <w:spacing w:line="480" w:lineRule="auto"/>
      </w:pPr>
      <w:r>
        <w:t>The two most widely used LQs are the SLQ and the CILQ, defined as:</w:t>
      </w:r>
    </w:p>
    <w:p w:rsidR="00B95D03" w:rsidRDefault="00B95D03" w:rsidP="00B95D03">
      <w:pPr>
        <w:tabs>
          <w:tab w:val="left" w:pos="720"/>
          <w:tab w:val="center" w:pos="4440"/>
          <w:tab w:val="right" w:pos="9000"/>
        </w:tabs>
        <w:spacing w:line="480" w:lineRule="auto"/>
      </w:pPr>
      <w:r>
        <w:tab/>
      </w:r>
      <w:r>
        <w:tab/>
        <w:t>SLQ</w:t>
      </w:r>
      <w:r>
        <w:rPr>
          <w:vertAlign w:val="subscript"/>
        </w:rPr>
        <w:t xml:space="preserve">i </w:t>
      </w:r>
      <w:r w:rsidRPr="00ED5784">
        <w:rPr>
          <w:position w:val="-30"/>
        </w:rPr>
        <w:object w:dxaOrig="2700" w:dyaOrig="700">
          <v:shape id="_x0000_i1026" type="#_x0000_t75" style="width:135pt;height:35.25pt" o:ole="" fillcolor="window">
            <v:imagedata r:id="rId12" o:title=""/>
          </v:shape>
          <o:OLEObject Type="Embed" ProgID="Equation.3" ShapeID="_x0000_i1026" DrawAspect="Content" ObjectID="_1354515136" r:id="rId13"/>
        </w:object>
      </w:r>
      <w:r>
        <w:tab/>
        <w:t>(4)</w:t>
      </w:r>
    </w:p>
    <w:p w:rsidR="00B95D03" w:rsidRDefault="00B95D03" w:rsidP="00B95D03">
      <w:pPr>
        <w:tabs>
          <w:tab w:val="left" w:pos="720"/>
          <w:tab w:val="center" w:pos="4440"/>
          <w:tab w:val="right" w:pos="9000"/>
        </w:tabs>
        <w:spacing w:line="480" w:lineRule="auto"/>
        <w:jc w:val="left"/>
      </w:pPr>
      <w:r>
        <w:tab/>
      </w:r>
      <w:r>
        <w:tab/>
      </w:r>
      <w:proofErr w:type="spellStart"/>
      <w:r>
        <w:t>CILQ</w:t>
      </w:r>
      <w:r>
        <w:rPr>
          <w:vertAlign w:val="subscript"/>
        </w:rPr>
        <w:t>ij</w:t>
      </w:r>
      <w:proofErr w:type="spellEnd"/>
      <w:r>
        <w:rPr>
          <w:vertAlign w:val="subscript"/>
        </w:rPr>
        <w:t xml:space="preserve"> </w:t>
      </w:r>
      <w:r w:rsidRPr="00ED5784">
        <w:rPr>
          <w:position w:val="-34"/>
        </w:rPr>
        <w:object w:dxaOrig="2060" w:dyaOrig="740">
          <v:shape id="_x0000_i1027" type="#_x0000_t75" style="width:102.75pt;height:36.75pt" o:ole="" fillcolor="window">
            <v:imagedata r:id="rId14" o:title=""/>
          </v:shape>
          <o:OLEObject Type="Embed" ProgID="Equation.3" ShapeID="_x0000_i1027" DrawAspect="Content" ObjectID="_1354515137" r:id="rId15"/>
        </w:object>
      </w:r>
      <w:r>
        <w:tab/>
        <w:t>(5)</w:t>
      </w:r>
    </w:p>
    <w:p w:rsidR="00B95D03" w:rsidRDefault="00B95D03" w:rsidP="00B95D03">
      <w:pPr>
        <w:spacing w:line="480" w:lineRule="auto"/>
      </w:pPr>
      <w:r>
        <w:t xml:space="preserve">where </w:t>
      </w:r>
      <w:proofErr w:type="spellStart"/>
      <w:r w:rsidRPr="005D4476">
        <w:rPr>
          <w:color w:val="000000"/>
        </w:rPr>
        <w:t>RE</w:t>
      </w:r>
      <w:r w:rsidRPr="005D4476">
        <w:rPr>
          <w:color w:val="000000"/>
          <w:vertAlign w:val="subscript"/>
        </w:rPr>
        <w:t>i</w:t>
      </w:r>
      <w:proofErr w:type="spellEnd"/>
      <w:r w:rsidRPr="005D4476">
        <w:rPr>
          <w:color w:val="000000"/>
        </w:rPr>
        <w:t xml:space="preserve"> denotes regional employment (or output) in </w:t>
      </w:r>
      <w:r>
        <w:rPr>
          <w:color w:val="000000"/>
        </w:rPr>
        <w:t xml:space="preserve">supplying </w:t>
      </w:r>
      <w:r w:rsidRPr="005D4476">
        <w:rPr>
          <w:color w:val="000000"/>
        </w:rPr>
        <w:t xml:space="preserve">sector </w:t>
      </w:r>
      <w:r w:rsidRPr="00C31425">
        <w:rPr>
          <w:i/>
          <w:color w:val="000000"/>
        </w:rPr>
        <w:t>i</w:t>
      </w:r>
      <w:r w:rsidRPr="005D4476">
        <w:rPr>
          <w:color w:val="000000"/>
        </w:rPr>
        <w:t xml:space="preserve"> and </w:t>
      </w:r>
      <w:proofErr w:type="spellStart"/>
      <w:r w:rsidRPr="005D4476">
        <w:rPr>
          <w:color w:val="000000"/>
        </w:rPr>
        <w:t>NE</w:t>
      </w:r>
      <w:r w:rsidRPr="005D4476">
        <w:rPr>
          <w:color w:val="000000"/>
          <w:vertAlign w:val="subscript"/>
        </w:rPr>
        <w:t>i</w:t>
      </w:r>
      <w:proofErr w:type="spellEnd"/>
      <w:r w:rsidRPr="005D4476">
        <w:rPr>
          <w:color w:val="000000"/>
        </w:rPr>
        <w:t xml:space="preserve"> denotes the corresponding national </w:t>
      </w:r>
      <w:r>
        <w:rPr>
          <w:color w:val="000000"/>
        </w:rPr>
        <w:t>figure</w:t>
      </w:r>
      <w:r w:rsidRPr="005D4476">
        <w:rPr>
          <w:color w:val="000000"/>
        </w:rPr>
        <w:t xml:space="preserve">. </w:t>
      </w:r>
      <w:r>
        <w:rPr>
          <w:color w:val="000000"/>
        </w:rPr>
        <w:t xml:space="preserve"> </w:t>
      </w:r>
      <w:proofErr w:type="spellStart"/>
      <w:r w:rsidRPr="005D4476">
        <w:rPr>
          <w:color w:val="000000"/>
        </w:rPr>
        <w:t>RE</w:t>
      </w:r>
      <w:r>
        <w:rPr>
          <w:color w:val="000000"/>
          <w:vertAlign w:val="subscript"/>
        </w:rPr>
        <w:t>j</w:t>
      </w:r>
      <w:proofErr w:type="spellEnd"/>
      <w:r w:rsidRPr="005D4476">
        <w:rPr>
          <w:color w:val="000000"/>
        </w:rPr>
        <w:t xml:space="preserve"> </w:t>
      </w:r>
      <w:r>
        <w:rPr>
          <w:color w:val="000000"/>
        </w:rPr>
        <w:t xml:space="preserve">and </w:t>
      </w:r>
      <w:proofErr w:type="spellStart"/>
      <w:r>
        <w:rPr>
          <w:color w:val="000000"/>
        </w:rPr>
        <w:t>N</w:t>
      </w:r>
      <w:r w:rsidRPr="005D4476">
        <w:rPr>
          <w:color w:val="000000"/>
        </w:rPr>
        <w:t>E</w:t>
      </w:r>
      <w:r>
        <w:rPr>
          <w:color w:val="000000"/>
          <w:vertAlign w:val="subscript"/>
        </w:rPr>
        <w:t>j</w:t>
      </w:r>
      <w:proofErr w:type="spellEnd"/>
      <w:r w:rsidRPr="005D4476">
        <w:rPr>
          <w:color w:val="000000"/>
        </w:rPr>
        <w:t xml:space="preserve"> </w:t>
      </w:r>
      <w:r>
        <w:rPr>
          <w:color w:val="000000"/>
        </w:rPr>
        <w:t xml:space="preserve">are defined analogously for purchasing sector </w:t>
      </w:r>
      <w:r w:rsidRPr="00C31425">
        <w:rPr>
          <w:i/>
          <w:color w:val="000000"/>
        </w:rPr>
        <w:t>j</w:t>
      </w:r>
      <w:r>
        <w:rPr>
          <w:color w:val="000000"/>
        </w:rPr>
        <w:t xml:space="preserve">.  </w:t>
      </w:r>
      <w:r w:rsidRPr="005D4476">
        <w:rPr>
          <w:color w:val="000000"/>
        </w:rPr>
        <w:t>TRE and TNE are the respective regional and national totals</w:t>
      </w:r>
      <w:r>
        <w:rPr>
          <w:color w:val="000000"/>
        </w:rPr>
        <w:t>.  In addition, Round’s semi-logarithmic LQ (Round, 1978) is sometimes used.  This is defined as:</w:t>
      </w:r>
    </w:p>
    <w:p w:rsidR="00B95D03" w:rsidRDefault="00B95D03" w:rsidP="00B95D03">
      <w:pPr>
        <w:tabs>
          <w:tab w:val="left" w:pos="720"/>
          <w:tab w:val="center" w:pos="4440"/>
          <w:tab w:val="right" w:pos="9000"/>
        </w:tabs>
        <w:spacing w:line="480" w:lineRule="auto"/>
        <w:jc w:val="left"/>
      </w:pPr>
      <w:r>
        <w:tab/>
      </w:r>
      <w:r>
        <w:tab/>
      </w:r>
      <w:proofErr w:type="spellStart"/>
      <w:r>
        <w:t>RLQ</w:t>
      </w:r>
      <w:r>
        <w:rPr>
          <w:vertAlign w:val="subscript"/>
        </w:rPr>
        <w:t>ij</w:t>
      </w:r>
      <w:proofErr w:type="spellEnd"/>
      <w:r>
        <w:rPr>
          <w:vertAlign w:val="subscript"/>
        </w:rPr>
        <w:t xml:space="preserve"> </w:t>
      </w:r>
      <w:r w:rsidRPr="00F7021C">
        <w:rPr>
          <w:position w:val="-14"/>
        </w:rPr>
        <w:object w:dxaOrig="2480" w:dyaOrig="380">
          <v:shape id="_x0000_i1028" type="#_x0000_t75" style="width:123.75pt;height:19.5pt" o:ole="" fillcolor="window">
            <v:imagedata r:id="rId16" o:title=""/>
          </v:shape>
          <o:OLEObject Type="Embed" ProgID="Equation.3" ShapeID="_x0000_i1028" DrawAspect="Content" ObjectID="_1354515138" r:id="rId17"/>
        </w:object>
      </w:r>
      <w:r>
        <w:tab/>
        <w:t>(6)</w:t>
      </w:r>
    </w:p>
    <w:p w:rsidR="00B95D03" w:rsidRDefault="00B95D03" w:rsidP="00B95D03">
      <w:pPr>
        <w:tabs>
          <w:tab w:val="left" w:pos="360"/>
          <w:tab w:val="left" w:pos="720"/>
          <w:tab w:val="center" w:pos="4440"/>
          <w:tab w:val="right" w:pos="9000"/>
        </w:tabs>
        <w:spacing w:line="480" w:lineRule="auto"/>
      </w:pPr>
      <w:r>
        <w:tab/>
        <w:t xml:space="preserve">In evaluating these alternative formulae, it is helpful to refer to the criteria proposed by </w:t>
      </w:r>
      <w:r>
        <w:rPr>
          <w:color w:val="000000"/>
        </w:rPr>
        <w:t>Round (1978).  He</w:t>
      </w:r>
      <w:r w:rsidRPr="00E9088B">
        <w:rPr>
          <w:color w:val="000000"/>
        </w:rPr>
        <w:t xml:space="preserve"> suggested that any trading coefficient is </w:t>
      </w:r>
      <w:r>
        <w:rPr>
          <w:color w:val="000000"/>
        </w:rPr>
        <w:t xml:space="preserve">likely to be </w:t>
      </w:r>
      <w:r w:rsidRPr="00E9088B">
        <w:rPr>
          <w:color w:val="000000"/>
        </w:rPr>
        <w:t>a function of three variables</w:t>
      </w:r>
      <w:r>
        <w:rPr>
          <w:color w:val="000000"/>
        </w:rPr>
        <w:t xml:space="preserve"> in particular</w:t>
      </w:r>
      <w:r w:rsidRPr="00E9088B">
        <w:rPr>
          <w:color w:val="000000"/>
        </w:rPr>
        <w:t xml:space="preserve">: </w:t>
      </w:r>
      <w:r>
        <w:rPr>
          <w:color w:val="000000"/>
        </w:rPr>
        <w:t>(</w:t>
      </w:r>
      <w:r w:rsidRPr="00E9088B">
        <w:rPr>
          <w:color w:val="000000"/>
        </w:rPr>
        <w:t>1) the relative</w:t>
      </w:r>
      <w:r>
        <w:rPr>
          <w:color w:val="000000"/>
        </w:rPr>
        <w:t xml:space="preserve"> size of the supplying sector </w:t>
      </w:r>
      <w:r w:rsidRPr="00C31425">
        <w:rPr>
          <w:i/>
          <w:color w:val="000000"/>
        </w:rPr>
        <w:t>i</w:t>
      </w:r>
      <w:r>
        <w:rPr>
          <w:color w:val="000000"/>
        </w:rPr>
        <w:t>;</w:t>
      </w:r>
      <w:r w:rsidRPr="00E9088B">
        <w:rPr>
          <w:color w:val="000000"/>
        </w:rPr>
        <w:t xml:space="preserve"> </w:t>
      </w:r>
      <w:r>
        <w:rPr>
          <w:color w:val="000000"/>
        </w:rPr>
        <w:t>(</w:t>
      </w:r>
      <w:r w:rsidRPr="00E9088B">
        <w:rPr>
          <w:color w:val="000000"/>
        </w:rPr>
        <w:t xml:space="preserve">2) the relative size of the purchasing sector </w:t>
      </w:r>
      <w:r w:rsidRPr="00C31425">
        <w:rPr>
          <w:i/>
          <w:color w:val="000000"/>
        </w:rPr>
        <w:t>j</w:t>
      </w:r>
      <w:r>
        <w:rPr>
          <w:color w:val="000000"/>
        </w:rPr>
        <w:t xml:space="preserve">; </w:t>
      </w:r>
      <w:r w:rsidRPr="00E9088B">
        <w:rPr>
          <w:color w:val="000000"/>
        </w:rPr>
        <w:t xml:space="preserve">and </w:t>
      </w:r>
      <w:r>
        <w:rPr>
          <w:color w:val="000000"/>
        </w:rPr>
        <w:t>(</w:t>
      </w:r>
      <w:r w:rsidRPr="00E9088B">
        <w:rPr>
          <w:color w:val="000000"/>
        </w:rPr>
        <w:t>3) the relative size of the region.</w:t>
      </w:r>
      <w:r w:rsidRPr="008115CE">
        <w:rPr>
          <w:color w:val="000000"/>
        </w:rPr>
        <w:t xml:space="preserve"> </w:t>
      </w:r>
      <w:r>
        <w:rPr>
          <w:color w:val="000000"/>
        </w:rPr>
        <w:t xml:space="preserve"> The first variable is captured here by </w:t>
      </w:r>
      <w:proofErr w:type="spellStart"/>
      <w:r w:rsidRPr="005D4476">
        <w:rPr>
          <w:color w:val="000000"/>
        </w:rPr>
        <w:t>RE</w:t>
      </w:r>
      <w:r>
        <w:rPr>
          <w:color w:val="000000"/>
          <w:vertAlign w:val="subscript"/>
        </w:rPr>
        <w:t>i</w:t>
      </w:r>
      <w:proofErr w:type="spellEnd"/>
      <w:r>
        <w:rPr>
          <w:color w:val="000000"/>
        </w:rPr>
        <w:t>/</w:t>
      </w:r>
      <w:proofErr w:type="spellStart"/>
      <w:r>
        <w:rPr>
          <w:color w:val="000000"/>
        </w:rPr>
        <w:t>N</w:t>
      </w:r>
      <w:r w:rsidRPr="005D4476">
        <w:rPr>
          <w:color w:val="000000"/>
        </w:rPr>
        <w:t>E</w:t>
      </w:r>
      <w:r>
        <w:rPr>
          <w:color w:val="000000"/>
          <w:vertAlign w:val="subscript"/>
        </w:rPr>
        <w:t>i</w:t>
      </w:r>
      <w:proofErr w:type="spellEnd"/>
      <w:r>
        <w:rPr>
          <w:color w:val="000000"/>
        </w:rPr>
        <w:t xml:space="preserve">, the second by </w:t>
      </w:r>
      <w:proofErr w:type="spellStart"/>
      <w:r w:rsidRPr="005D4476">
        <w:rPr>
          <w:color w:val="000000"/>
        </w:rPr>
        <w:t>RE</w:t>
      </w:r>
      <w:r>
        <w:rPr>
          <w:color w:val="000000"/>
          <w:vertAlign w:val="subscript"/>
        </w:rPr>
        <w:t>j</w:t>
      </w:r>
      <w:proofErr w:type="spellEnd"/>
      <w:r>
        <w:rPr>
          <w:color w:val="000000"/>
        </w:rPr>
        <w:t>/</w:t>
      </w:r>
      <w:proofErr w:type="spellStart"/>
      <w:r>
        <w:rPr>
          <w:color w:val="000000"/>
        </w:rPr>
        <w:t>N</w:t>
      </w:r>
      <w:r w:rsidRPr="005D4476">
        <w:rPr>
          <w:color w:val="000000"/>
        </w:rPr>
        <w:t>E</w:t>
      </w:r>
      <w:r>
        <w:rPr>
          <w:color w:val="000000"/>
          <w:vertAlign w:val="subscript"/>
        </w:rPr>
        <w:t>j</w:t>
      </w:r>
      <w:proofErr w:type="spellEnd"/>
      <w:r>
        <w:rPr>
          <w:color w:val="000000"/>
        </w:rPr>
        <w:t xml:space="preserve"> and the third by TRE/TNE.</w:t>
      </w:r>
    </w:p>
    <w:p w:rsidR="00B95D03" w:rsidRDefault="00B95D03" w:rsidP="00B95D03">
      <w:pPr>
        <w:pStyle w:val="Normaali1"/>
        <w:tabs>
          <w:tab w:val="left" w:pos="360"/>
        </w:tabs>
        <w:spacing w:line="480" w:lineRule="auto"/>
        <w:rPr>
          <w:color w:val="000000"/>
        </w:rPr>
      </w:pPr>
      <w:r>
        <w:tab/>
        <w:t xml:space="preserve">It is evident that the CILQ takes variables (1) and (2) explicitly into consideration, yet disregards (3), whereas the SLQ incorporates (1) and (3) but not (2).  However, the SLQ takes account of regional size in a way that we would regard as counterintuitive: for a given </w:t>
      </w:r>
      <w:r w:rsidRPr="005D4476">
        <w:rPr>
          <w:color w:val="000000"/>
        </w:rPr>
        <w:t>RE</w:t>
      </w:r>
      <w:r>
        <w:rPr>
          <w:color w:val="000000"/>
          <w:vertAlign w:val="subscript"/>
        </w:rPr>
        <w:t>i</w:t>
      </w:r>
      <w:r>
        <w:rPr>
          <w:color w:val="000000"/>
        </w:rPr>
        <w:t>/N</w:t>
      </w:r>
      <w:r w:rsidRPr="005D4476">
        <w:rPr>
          <w:color w:val="000000"/>
        </w:rPr>
        <w:t>E</w:t>
      </w:r>
      <w:r>
        <w:rPr>
          <w:color w:val="000000"/>
          <w:vertAlign w:val="subscript"/>
        </w:rPr>
        <w:t>i</w:t>
      </w:r>
      <w:r>
        <w:rPr>
          <w:color w:val="000000"/>
        </w:rPr>
        <w:t xml:space="preserve">, the larger the region, the </w:t>
      </w:r>
      <w:r>
        <w:rPr>
          <w:i/>
          <w:color w:val="000000"/>
        </w:rPr>
        <w:t>larger</w:t>
      </w:r>
      <w:r>
        <w:rPr>
          <w:color w:val="000000"/>
        </w:rPr>
        <w:t xml:space="preserve"> the allowance for imports from other regions.  </w:t>
      </w:r>
      <w:r>
        <w:rPr>
          <w:color w:val="000000"/>
        </w:rPr>
        <w:lastRenderedPageBreak/>
        <w:t xml:space="preserve">Whilst the RLQ allows for all three variables, </w:t>
      </w:r>
      <w:smartTag w:uri="urn:schemas-microsoft-com:office:smarttags" w:element="stockticker">
        <w:r>
          <w:rPr>
            <w:color w:val="000000"/>
          </w:rPr>
          <w:t>TRE</w:t>
        </w:r>
      </w:smartTag>
      <w:r>
        <w:rPr>
          <w:color w:val="000000"/>
        </w:rPr>
        <w:t>/</w:t>
      </w:r>
      <w:smartTag w:uri="urn:schemas-microsoft-com:office:smarttags" w:element="stockticker">
        <w:r>
          <w:rPr>
            <w:color w:val="000000"/>
          </w:rPr>
          <w:t>TNE</w:t>
        </w:r>
      </w:smartTag>
      <w:r>
        <w:rPr>
          <w:color w:val="000000"/>
        </w:rPr>
        <w:t xml:space="preserve"> enters into the formula in an implicit and seemingly rather strange way.</w:t>
      </w:r>
      <w:r>
        <w:rPr>
          <w:rFonts w:ascii="Times New Roman" w:hAnsi="Times New Roman"/>
          <w:b/>
          <w:color w:val="000000"/>
          <w:vertAlign w:val="superscript"/>
        </w:rPr>
        <w:t>5</w:t>
      </w:r>
      <w:r>
        <w:rPr>
          <w:color w:val="000000"/>
        </w:rPr>
        <w:t xml:space="preserve">  For instance, the effect of applying the logarithmic transformation to SLQ</w:t>
      </w:r>
      <w:r>
        <w:rPr>
          <w:color w:val="000000"/>
          <w:vertAlign w:val="subscript"/>
        </w:rPr>
        <w:t>j</w:t>
      </w:r>
      <w:r w:rsidRPr="008115CE">
        <w:rPr>
          <w:color w:val="000000"/>
        </w:rPr>
        <w:t xml:space="preserve"> </w:t>
      </w:r>
      <w:r>
        <w:rPr>
          <w:color w:val="000000"/>
        </w:rPr>
        <w:t>instead of SLQ</w:t>
      </w:r>
      <w:r>
        <w:rPr>
          <w:color w:val="000000"/>
          <w:vertAlign w:val="subscript"/>
        </w:rPr>
        <w:t>i</w:t>
      </w:r>
      <w:r>
        <w:rPr>
          <w:color w:val="000000"/>
        </w:rPr>
        <w:t xml:space="preserve"> is that </w:t>
      </w:r>
      <w:r>
        <w:rPr>
          <w:rFonts w:ascii="Times New Roman" w:hAnsi="Times New Roman"/>
          <w:color w:val="000000"/>
          <w:lang w:val="en-GB"/>
        </w:rPr>
        <w:t>a bigger allowance for regional imports</w:t>
      </w:r>
      <w:r>
        <w:rPr>
          <w:color w:val="000000"/>
        </w:rPr>
        <w:t xml:space="preserve"> </w:t>
      </w:r>
      <w:r>
        <w:rPr>
          <w:rFonts w:ascii="Times New Roman" w:hAnsi="Times New Roman"/>
          <w:color w:val="000000"/>
          <w:lang w:val="en-GB"/>
        </w:rPr>
        <w:t>would be made in a larger region</w:t>
      </w:r>
      <w:r>
        <w:rPr>
          <w:rFonts w:ascii="Times New Roman" w:hAnsi="Times New Roman"/>
          <w:i/>
          <w:color w:val="000000"/>
          <w:lang w:val="en-GB"/>
        </w:rPr>
        <w:t xml:space="preserve"> </w:t>
      </w:r>
      <w:r>
        <w:rPr>
          <w:rFonts w:ascii="Times New Roman" w:hAnsi="Times New Roman"/>
          <w:color w:val="000000"/>
          <w:lang w:val="en-GB"/>
        </w:rPr>
        <w:t>than in a smaller one that was equivalent in all other respects.</w:t>
      </w:r>
      <w:r>
        <w:rPr>
          <w:rFonts w:ascii="Times New Roman" w:hAnsi="Times New Roman"/>
          <w:b/>
          <w:color w:val="000000"/>
          <w:vertAlign w:val="superscript"/>
        </w:rPr>
        <w:t>6</w:t>
      </w:r>
    </w:p>
    <w:p w:rsidR="00B95D03" w:rsidRDefault="00B95D03" w:rsidP="00B95D03">
      <w:pPr>
        <w:tabs>
          <w:tab w:val="left" w:pos="360"/>
        </w:tabs>
        <w:spacing w:line="480" w:lineRule="auto"/>
      </w:pPr>
      <w:r>
        <w:rPr>
          <w:color w:val="000000"/>
        </w:rPr>
        <w:tab/>
      </w:r>
      <w:r>
        <w:t xml:space="preserve">Flegg </w:t>
      </w:r>
      <w:r>
        <w:rPr>
          <w:i/>
        </w:rPr>
        <w:t>et al.</w:t>
      </w:r>
      <w:r>
        <w:t xml:space="preserve"> (1995) attempted to overcome these problems in their</w:t>
      </w:r>
      <w:r w:rsidRPr="00093F26">
        <w:t xml:space="preserve"> </w:t>
      </w:r>
      <w:r w:rsidRPr="00F7201E">
        <w:t>FLQ formula</w:t>
      </w:r>
      <w:r>
        <w:t>.  In its refined form (</w:t>
      </w:r>
      <w:r>
        <w:rPr>
          <w:color w:val="000000"/>
        </w:rPr>
        <w:t>Flegg and Webber, 1997), the FLQ is defined as:</w:t>
      </w:r>
    </w:p>
    <w:p w:rsidR="00B95D03" w:rsidRDefault="00B95D03" w:rsidP="00B95D03">
      <w:pPr>
        <w:tabs>
          <w:tab w:val="left" w:pos="720"/>
          <w:tab w:val="center" w:pos="4440"/>
          <w:tab w:val="right" w:pos="9000"/>
        </w:tabs>
        <w:spacing w:line="480" w:lineRule="auto"/>
        <w:jc w:val="left"/>
      </w:pPr>
      <w:r>
        <w:tab/>
      </w:r>
      <w:r>
        <w:tab/>
      </w:r>
      <w:proofErr w:type="spellStart"/>
      <w:r>
        <w:t>FLQ</w:t>
      </w:r>
      <w:r>
        <w:rPr>
          <w:vertAlign w:val="subscript"/>
        </w:rPr>
        <w:t>ij</w:t>
      </w:r>
      <w:proofErr w:type="spellEnd"/>
      <w:r>
        <w:t xml:space="preserve"> ≡ </w:t>
      </w:r>
      <w:proofErr w:type="spellStart"/>
      <w:r>
        <w:t>CILQ</w:t>
      </w:r>
      <w:r>
        <w:rPr>
          <w:vertAlign w:val="subscript"/>
        </w:rPr>
        <w:t>ij</w:t>
      </w:r>
      <w:proofErr w:type="spellEnd"/>
      <w:r>
        <w:t xml:space="preserve"> × </w:t>
      </w:r>
      <w:r w:rsidRPr="00DE71C0">
        <w:rPr>
          <w:color w:val="000000"/>
        </w:rPr>
        <w:t>λ</w:t>
      </w:r>
      <w:r w:rsidRPr="00DE71C0">
        <w:rPr>
          <w:color w:val="000000"/>
          <w:lang w:val="sv-SE"/>
        </w:rPr>
        <w:t>*</w:t>
      </w:r>
      <w:r>
        <w:rPr>
          <w:color w:val="000000"/>
          <w:lang w:val="sv-SE"/>
        </w:rPr>
        <w:t xml:space="preserve"> for i ≠ j</w:t>
      </w:r>
      <w:r>
        <w:tab/>
        <w:t>(7)</w:t>
      </w:r>
    </w:p>
    <w:p w:rsidR="00B95D03" w:rsidRDefault="00B95D03" w:rsidP="00B95D03">
      <w:pPr>
        <w:tabs>
          <w:tab w:val="left" w:pos="720"/>
          <w:tab w:val="center" w:pos="4440"/>
          <w:tab w:val="right" w:pos="9000"/>
        </w:tabs>
        <w:spacing w:line="480" w:lineRule="auto"/>
        <w:jc w:val="center"/>
      </w:pPr>
      <w:r>
        <w:tab/>
      </w:r>
      <w:r>
        <w:tab/>
      </w:r>
      <w:proofErr w:type="spellStart"/>
      <w:r>
        <w:t>FLQ</w:t>
      </w:r>
      <w:r>
        <w:rPr>
          <w:vertAlign w:val="subscript"/>
        </w:rPr>
        <w:t>ij</w:t>
      </w:r>
      <w:proofErr w:type="spellEnd"/>
      <w:r>
        <w:t xml:space="preserve"> ≡ </w:t>
      </w:r>
      <w:proofErr w:type="spellStart"/>
      <w:r>
        <w:t>SLQ</w:t>
      </w:r>
      <w:r>
        <w:rPr>
          <w:vertAlign w:val="subscript"/>
        </w:rPr>
        <w:t>i</w:t>
      </w:r>
      <w:proofErr w:type="spellEnd"/>
      <w:r>
        <w:t xml:space="preserve"> × </w:t>
      </w:r>
      <w:r w:rsidRPr="00DE71C0">
        <w:rPr>
          <w:color w:val="000000"/>
        </w:rPr>
        <w:t>λ</w:t>
      </w:r>
      <w:r w:rsidRPr="00DE71C0">
        <w:rPr>
          <w:color w:val="000000"/>
          <w:lang w:val="sv-SE"/>
        </w:rPr>
        <w:t>*</w:t>
      </w:r>
      <w:r>
        <w:rPr>
          <w:color w:val="000000"/>
          <w:lang w:val="sv-SE"/>
        </w:rPr>
        <w:t xml:space="preserve"> for i = j</w:t>
      </w:r>
      <w:r>
        <w:tab/>
        <w:t>(8)</w:t>
      </w:r>
    </w:p>
    <w:p w:rsidR="00B95D03" w:rsidRDefault="00B95D03" w:rsidP="00B95D03">
      <w:pPr>
        <w:pStyle w:val="Normaali1"/>
        <w:tabs>
          <w:tab w:val="left" w:pos="360"/>
        </w:tabs>
        <w:spacing w:line="480" w:lineRule="auto"/>
      </w:pPr>
      <w:r>
        <w:t>where:</w:t>
      </w:r>
    </w:p>
    <w:p w:rsidR="00B95D03" w:rsidRDefault="00B95D03" w:rsidP="00B95D03">
      <w:pPr>
        <w:tabs>
          <w:tab w:val="left" w:pos="720"/>
          <w:tab w:val="center" w:pos="4440"/>
          <w:tab w:val="right" w:pos="9000"/>
        </w:tabs>
        <w:spacing w:line="480" w:lineRule="auto"/>
        <w:jc w:val="left"/>
      </w:pPr>
      <w:r>
        <w:tab/>
      </w:r>
      <w:r>
        <w:tab/>
      </w:r>
      <w:r w:rsidRPr="00DE71C0">
        <w:rPr>
          <w:color w:val="000000"/>
        </w:rPr>
        <w:t>λ</w:t>
      </w:r>
      <w:r w:rsidRPr="00DE71C0">
        <w:rPr>
          <w:color w:val="000000"/>
          <w:lang w:val="sv-SE"/>
        </w:rPr>
        <w:t>*</w:t>
      </w:r>
      <w:r>
        <w:rPr>
          <w:color w:val="000000"/>
          <w:lang w:val="sv-SE"/>
        </w:rPr>
        <w:t xml:space="preserve"> = </w:t>
      </w:r>
      <w:r w:rsidRPr="00DE71C0">
        <w:rPr>
          <w:rFonts w:ascii="Book Antiqua" w:hAnsi="Book Antiqua"/>
          <w:color w:val="000000"/>
          <w:lang w:val="sv-SE"/>
        </w:rPr>
        <w:t>[</w:t>
      </w:r>
      <w:r w:rsidRPr="00DE71C0">
        <w:rPr>
          <w:color w:val="000000"/>
          <w:lang w:val="sv-SE"/>
        </w:rPr>
        <w:t>log</w:t>
      </w:r>
      <w:r w:rsidRPr="00DE71C0">
        <w:rPr>
          <w:color w:val="000000"/>
          <w:vertAlign w:val="subscript"/>
          <w:lang w:val="sv-SE"/>
        </w:rPr>
        <w:t>2</w:t>
      </w:r>
      <w:r w:rsidRPr="00DE71C0">
        <w:rPr>
          <w:color w:val="000000"/>
          <w:lang w:val="sv-SE"/>
        </w:rPr>
        <w:t>(1</w:t>
      </w:r>
      <w:r>
        <w:rPr>
          <w:color w:val="000000"/>
          <w:lang w:val="sv-SE"/>
        </w:rPr>
        <w:t xml:space="preserve"> </w:t>
      </w:r>
      <w:r w:rsidRPr="00DE71C0">
        <w:rPr>
          <w:color w:val="000000"/>
          <w:lang w:val="sv-SE"/>
        </w:rPr>
        <w:t>+</w:t>
      </w:r>
      <w:r>
        <w:rPr>
          <w:color w:val="000000"/>
          <w:lang w:val="sv-SE"/>
        </w:rPr>
        <w:t xml:space="preserve"> </w:t>
      </w:r>
      <w:r w:rsidRPr="00DE71C0">
        <w:rPr>
          <w:color w:val="000000"/>
          <w:lang w:val="sv-SE"/>
        </w:rPr>
        <w:t>TRE/TNE)</w:t>
      </w:r>
      <w:r w:rsidRPr="00DE71C0">
        <w:rPr>
          <w:rFonts w:ascii="Book Antiqua" w:hAnsi="Book Antiqua"/>
          <w:color w:val="000000"/>
          <w:lang w:val="sv-SE"/>
        </w:rPr>
        <w:t>]</w:t>
      </w:r>
      <w:r w:rsidRPr="00DE71C0">
        <w:rPr>
          <w:rFonts w:ascii="Book Antiqua" w:hAnsi="Book Antiqua"/>
          <w:color w:val="000000"/>
          <w:vertAlign w:val="superscript"/>
        </w:rPr>
        <w:t>δ</w:t>
      </w:r>
      <w:r>
        <w:tab/>
        <w:t>(9)</w:t>
      </w:r>
    </w:p>
    <w:p w:rsidR="00B95D03" w:rsidRPr="00600953" w:rsidRDefault="00966DA4" w:rsidP="00B95D03">
      <w:pPr>
        <w:pStyle w:val="Normaali1"/>
        <w:tabs>
          <w:tab w:val="left" w:pos="360"/>
        </w:tabs>
        <w:spacing w:line="480" w:lineRule="auto"/>
        <w:rPr>
          <w:rFonts w:ascii="Times New Roman" w:hAnsi="Times New Roman"/>
          <w:b/>
          <w:color w:val="000000"/>
          <w:lang w:val="en-GB"/>
        </w:rPr>
      </w:pPr>
      <w:r>
        <w:rPr>
          <w:color w:val="000000"/>
          <w:lang w:val="sv-SE"/>
        </w:rPr>
        <w:t>As with other LQ-based formulae, the FLQ is constrained to unity.</w:t>
      </w:r>
      <w:r w:rsidR="00B95D03">
        <w:rPr>
          <w:rFonts w:ascii="Times New Roman" w:hAnsi="Times New Roman"/>
          <w:b/>
          <w:color w:val="000000"/>
          <w:szCs w:val="24"/>
          <w:vertAlign w:val="superscript"/>
          <w:lang w:val="en-GB"/>
        </w:rPr>
        <w:t>7</w:t>
      </w:r>
    </w:p>
    <w:p w:rsidR="00B95D03" w:rsidRDefault="00B95D03" w:rsidP="00B95D03">
      <w:pPr>
        <w:pStyle w:val="Normaali1"/>
        <w:tabs>
          <w:tab w:val="left" w:pos="360"/>
        </w:tabs>
        <w:spacing w:line="480" w:lineRule="auto"/>
        <w:rPr>
          <w:rFonts w:ascii="Times New Roman" w:hAnsi="Times New Roman"/>
          <w:color w:val="000000"/>
          <w:lang w:val="en-GB"/>
        </w:rPr>
      </w:pPr>
      <w:r>
        <w:rPr>
          <w:rFonts w:ascii="Times New Roman" w:hAnsi="Times New Roman"/>
          <w:color w:val="000000"/>
          <w:lang w:val="en-GB"/>
        </w:rPr>
        <w:tab/>
        <w:t>Two aspects of the FLQ formula are worth emphasizing: its cross-industry foundations and the explicit role attributed to regional size.  Thus, with the FLQ, the relative size of the</w:t>
      </w:r>
      <w:r w:rsidRPr="00A07F3E">
        <w:rPr>
          <w:rFonts w:ascii="Times New Roman" w:hAnsi="Times New Roman"/>
          <w:color w:val="000000"/>
          <w:lang w:val="en-GB"/>
        </w:rPr>
        <w:t xml:space="preserve"> </w:t>
      </w:r>
      <w:r w:rsidRPr="008E547C">
        <w:rPr>
          <w:rFonts w:ascii="Times New Roman" w:hAnsi="Times New Roman"/>
          <w:color w:val="000000"/>
          <w:lang w:val="en-GB"/>
        </w:rPr>
        <w:t xml:space="preserve">regional </w:t>
      </w:r>
      <w:r>
        <w:rPr>
          <w:rFonts w:ascii="Times New Roman" w:hAnsi="Times New Roman"/>
          <w:color w:val="000000"/>
          <w:lang w:val="en-GB"/>
        </w:rPr>
        <w:t xml:space="preserve">purchasing and </w:t>
      </w:r>
      <w:r w:rsidRPr="008E547C">
        <w:rPr>
          <w:rFonts w:ascii="Times New Roman" w:hAnsi="Times New Roman"/>
          <w:color w:val="000000"/>
          <w:lang w:val="en-GB"/>
        </w:rPr>
        <w:t>supplying sector</w:t>
      </w:r>
      <w:r>
        <w:rPr>
          <w:rFonts w:ascii="Times New Roman" w:hAnsi="Times New Roman"/>
          <w:color w:val="000000"/>
          <w:lang w:val="en-GB"/>
        </w:rPr>
        <w:t>s</w:t>
      </w:r>
      <w:r w:rsidRPr="008E547C">
        <w:rPr>
          <w:rFonts w:ascii="Times New Roman" w:hAnsi="Times New Roman"/>
          <w:color w:val="000000"/>
          <w:lang w:val="en-GB"/>
        </w:rPr>
        <w:t xml:space="preserve"> is </w:t>
      </w:r>
      <w:r>
        <w:rPr>
          <w:rFonts w:ascii="Times New Roman" w:hAnsi="Times New Roman"/>
          <w:color w:val="000000"/>
          <w:lang w:val="en-GB"/>
        </w:rPr>
        <w:t>taken into account when determining the adjustment for inter</w:t>
      </w:r>
      <w:r w:rsidRPr="008E547C">
        <w:rPr>
          <w:rFonts w:ascii="Times New Roman" w:hAnsi="Times New Roman"/>
          <w:color w:val="000000"/>
          <w:lang w:val="en-GB"/>
        </w:rPr>
        <w:t xml:space="preserve">regional </w:t>
      </w:r>
      <w:r>
        <w:rPr>
          <w:rFonts w:ascii="Times New Roman" w:hAnsi="Times New Roman"/>
          <w:color w:val="000000"/>
          <w:lang w:val="en-GB"/>
        </w:rPr>
        <w:t>trade</w:t>
      </w:r>
      <w:r w:rsidRPr="008E547C">
        <w:rPr>
          <w:rFonts w:ascii="Times New Roman" w:hAnsi="Times New Roman"/>
          <w:color w:val="000000"/>
          <w:lang w:val="en-GB"/>
        </w:rPr>
        <w:t xml:space="preserve">, </w:t>
      </w:r>
      <w:r>
        <w:rPr>
          <w:rFonts w:ascii="Times New Roman" w:hAnsi="Times New Roman"/>
          <w:color w:val="000000"/>
          <w:lang w:val="en-GB"/>
        </w:rPr>
        <w:t xml:space="preserve">as is the </w:t>
      </w:r>
      <w:r w:rsidRPr="008E547C">
        <w:rPr>
          <w:rFonts w:ascii="Times New Roman" w:hAnsi="Times New Roman"/>
          <w:color w:val="000000"/>
          <w:lang w:val="en-GB"/>
        </w:rPr>
        <w:t>re</w:t>
      </w:r>
      <w:r>
        <w:rPr>
          <w:rFonts w:ascii="Times New Roman" w:hAnsi="Times New Roman"/>
          <w:color w:val="000000"/>
          <w:lang w:val="en-GB"/>
        </w:rPr>
        <w:t>lative</w:t>
      </w:r>
      <w:r>
        <w:rPr>
          <w:rFonts w:ascii="Times New Roman" w:hAnsi="Times New Roman"/>
          <w:lang w:val="en-GB"/>
        </w:rPr>
        <w:t xml:space="preserve"> </w:t>
      </w:r>
      <w:r w:rsidRPr="002A3504">
        <w:rPr>
          <w:rFonts w:ascii="Times New Roman" w:hAnsi="Times New Roman"/>
          <w:lang w:val="en-GB"/>
        </w:rPr>
        <w:t>si</w:t>
      </w:r>
      <w:r>
        <w:rPr>
          <w:rFonts w:ascii="Times New Roman" w:hAnsi="Times New Roman"/>
          <w:lang w:val="en-GB"/>
        </w:rPr>
        <w:t>z</w:t>
      </w:r>
      <w:r w:rsidRPr="002A3504">
        <w:rPr>
          <w:rFonts w:ascii="Times New Roman" w:hAnsi="Times New Roman"/>
          <w:lang w:val="en-GB"/>
        </w:rPr>
        <w:t xml:space="preserve">e </w:t>
      </w:r>
      <w:r>
        <w:rPr>
          <w:rFonts w:ascii="Times New Roman" w:hAnsi="Times New Roman"/>
          <w:lang w:val="en-GB"/>
        </w:rPr>
        <w:t xml:space="preserve">of </w:t>
      </w:r>
      <w:r w:rsidRPr="002A3504">
        <w:rPr>
          <w:rFonts w:ascii="Times New Roman" w:hAnsi="Times New Roman"/>
          <w:lang w:val="en-GB"/>
        </w:rPr>
        <w:t>the region</w:t>
      </w:r>
      <w:r w:rsidRPr="009F273F">
        <w:rPr>
          <w:rFonts w:ascii="Times New Roman" w:hAnsi="Times New Roman"/>
          <w:color w:val="000000"/>
          <w:lang w:val="en-GB"/>
        </w:rPr>
        <w:t>.</w:t>
      </w:r>
    </w:p>
    <w:p w:rsidR="00B95D03" w:rsidRDefault="00B95D03" w:rsidP="00B95D03">
      <w:pPr>
        <w:pStyle w:val="Normaali1"/>
        <w:tabs>
          <w:tab w:val="left" w:pos="360"/>
        </w:tabs>
        <w:spacing w:line="480" w:lineRule="auto"/>
        <w:rPr>
          <w:rFonts w:ascii="Times New Roman" w:hAnsi="Times New Roman"/>
        </w:rPr>
      </w:pPr>
      <w:r>
        <w:rPr>
          <w:rFonts w:ascii="Times New Roman" w:hAnsi="Times New Roman"/>
          <w:color w:val="000000"/>
          <w:szCs w:val="24"/>
          <w:lang w:val="en-GB"/>
        </w:rPr>
        <w:tab/>
        <w:t>T</w:t>
      </w:r>
      <w:r w:rsidRPr="009F273F">
        <w:rPr>
          <w:rFonts w:ascii="Times New Roman" w:hAnsi="Times New Roman"/>
          <w:color w:val="000000"/>
          <w:szCs w:val="24"/>
          <w:lang w:val="en-GB"/>
        </w:rPr>
        <w:t xml:space="preserve">he </w:t>
      </w:r>
      <w:r>
        <w:rPr>
          <w:rFonts w:ascii="Times New Roman" w:hAnsi="Times New Roman"/>
          <w:color w:val="000000"/>
          <w:szCs w:val="24"/>
          <w:lang w:val="en-GB"/>
        </w:rPr>
        <w:t>inclusion of</w:t>
      </w:r>
      <w:r w:rsidRPr="009F273F">
        <w:rPr>
          <w:rFonts w:ascii="Times New Roman" w:hAnsi="Times New Roman"/>
          <w:color w:val="000000"/>
          <w:szCs w:val="24"/>
          <w:lang w:val="en-GB"/>
        </w:rPr>
        <w:t xml:space="preserve"> </w:t>
      </w:r>
      <w:r>
        <w:rPr>
          <w:rFonts w:ascii="Times New Roman" w:hAnsi="Times New Roman"/>
          <w:color w:val="000000"/>
          <w:szCs w:val="24"/>
          <w:lang w:val="en-GB"/>
        </w:rPr>
        <w:t xml:space="preserve">the parameter </w:t>
      </w:r>
      <w:r w:rsidRPr="009F273F">
        <w:rPr>
          <w:rFonts w:ascii="Times New Roman" w:hAnsi="Times New Roman"/>
          <w:color w:val="000000"/>
          <w:szCs w:val="24"/>
          <w:lang w:val="en-GB"/>
        </w:rPr>
        <w:t>δ</w:t>
      </w:r>
      <w:r>
        <w:rPr>
          <w:rFonts w:ascii="Times New Roman" w:hAnsi="Times New Roman"/>
          <w:color w:val="000000"/>
          <w:szCs w:val="24"/>
          <w:lang w:val="en-GB"/>
        </w:rPr>
        <w:t xml:space="preserve"> in the FLQ formula makes it possible to refine the function</w:t>
      </w:r>
      <w:r w:rsidRPr="009F273F">
        <w:rPr>
          <w:color w:val="000000"/>
        </w:rPr>
        <w:t xml:space="preserve"> </w:t>
      </w:r>
      <w:r w:rsidRPr="009F273F">
        <w:rPr>
          <w:rFonts w:ascii="Times New Roman" w:hAnsi="Times New Roman"/>
          <w:color w:val="000000"/>
          <w:lang w:val="sv-SE"/>
        </w:rPr>
        <w:t>log</w:t>
      </w:r>
      <w:r w:rsidRPr="009F273F">
        <w:rPr>
          <w:rFonts w:ascii="Times New Roman" w:hAnsi="Times New Roman"/>
          <w:color w:val="000000"/>
          <w:vertAlign w:val="subscript"/>
          <w:lang w:val="sv-SE"/>
        </w:rPr>
        <w:t>2</w:t>
      </w:r>
      <w:r w:rsidRPr="009F273F">
        <w:rPr>
          <w:rFonts w:ascii="Times New Roman" w:hAnsi="Times New Roman"/>
          <w:color w:val="000000"/>
          <w:lang w:val="sv-SE"/>
        </w:rPr>
        <w:t>(1 + TRE/TNE) by altering its degree of convexity</w:t>
      </w:r>
      <w:r>
        <w:rPr>
          <w:rFonts w:ascii="Times New Roman" w:hAnsi="Times New Roman"/>
          <w:color w:val="000000"/>
          <w:lang w:val="sv-SE"/>
        </w:rPr>
        <w:t xml:space="preserve"> (see</w:t>
      </w:r>
      <w:r w:rsidRPr="009C3463">
        <w:rPr>
          <w:color w:val="000000"/>
        </w:rPr>
        <w:t xml:space="preserve"> </w:t>
      </w:r>
      <w:r>
        <w:rPr>
          <w:color w:val="000000"/>
        </w:rPr>
        <w:t>Flegg and Webber, 1997, Figure 2)</w:t>
      </w:r>
      <w:r w:rsidRPr="009F273F">
        <w:rPr>
          <w:rFonts w:ascii="Times New Roman" w:hAnsi="Times New Roman"/>
          <w:color w:val="000000"/>
          <w:lang w:val="sv-SE"/>
        </w:rPr>
        <w:t>.</w:t>
      </w:r>
      <w:r>
        <w:rPr>
          <w:rFonts w:ascii="Times New Roman" w:hAnsi="Times New Roman"/>
          <w:color w:val="000000"/>
          <w:lang w:val="sv-SE"/>
        </w:rPr>
        <w:t xml:space="preserve">  </w:t>
      </w:r>
      <w:r w:rsidR="00966DA4">
        <w:rPr>
          <w:rFonts w:ascii="Times New Roman" w:hAnsi="Times New Roman"/>
          <w:color w:val="000000"/>
          <w:lang w:val="sv-SE"/>
        </w:rPr>
        <w:t>0</w:t>
      </w:r>
      <w:r w:rsidR="00966DA4">
        <w:rPr>
          <w:rFonts w:ascii="Times New Roman" w:hAnsi="Times New Roman"/>
          <w:color w:val="000000"/>
          <w:szCs w:val="24"/>
          <w:lang w:val="en-GB"/>
        </w:rPr>
        <w:t xml:space="preserve"> </w:t>
      </w:r>
      <w:r w:rsidR="00966DA4" w:rsidRPr="00DE71C0">
        <w:rPr>
          <w:rFonts w:ascii="Times New Roman" w:hAnsi="Times New Roman"/>
          <w:color w:val="000000"/>
          <w:szCs w:val="24"/>
          <w:lang w:val="en-GB"/>
        </w:rPr>
        <w:t>≤</w:t>
      </w:r>
      <w:r w:rsidR="00966DA4">
        <w:rPr>
          <w:rFonts w:ascii="Times New Roman" w:hAnsi="Times New Roman"/>
          <w:color w:val="000000"/>
          <w:szCs w:val="24"/>
          <w:lang w:val="en-GB"/>
        </w:rPr>
        <w:t xml:space="preserve"> </w:t>
      </w:r>
      <w:r w:rsidR="00966DA4" w:rsidRPr="00DE71C0">
        <w:rPr>
          <w:rFonts w:ascii="Times New Roman" w:hAnsi="Times New Roman"/>
          <w:color w:val="000000"/>
          <w:szCs w:val="24"/>
          <w:lang w:val="en-GB"/>
        </w:rPr>
        <w:t>δ</w:t>
      </w:r>
      <w:r w:rsidR="00966DA4">
        <w:rPr>
          <w:rFonts w:ascii="Times New Roman" w:hAnsi="Times New Roman"/>
          <w:color w:val="000000"/>
          <w:szCs w:val="24"/>
          <w:lang w:val="en-GB"/>
        </w:rPr>
        <w:t xml:space="preserve"> </w:t>
      </w:r>
      <w:r w:rsidR="00966DA4" w:rsidRPr="00DE71C0">
        <w:rPr>
          <w:rFonts w:ascii="Times New Roman" w:hAnsi="Times New Roman"/>
          <w:color w:val="000000"/>
          <w:szCs w:val="24"/>
          <w:lang w:val="en-GB"/>
        </w:rPr>
        <w:t>&lt;</w:t>
      </w:r>
      <w:r w:rsidR="00966DA4">
        <w:rPr>
          <w:rFonts w:ascii="Times New Roman" w:hAnsi="Times New Roman"/>
          <w:color w:val="000000"/>
          <w:szCs w:val="24"/>
          <w:lang w:val="en-GB"/>
        </w:rPr>
        <w:t xml:space="preserve"> </w:t>
      </w:r>
      <w:r w:rsidR="00966DA4" w:rsidRPr="00DE71C0">
        <w:rPr>
          <w:rFonts w:ascii="Times New Roman" w:hAnsi="Times New Roman"/>
          <w:color w:val="000000"/>
          <w:szCs w:val="24"/>
          <w:lang w:val="en-GB"/>
        </w:rPr>
        <w:t>1</w:t>
      </w:r>
      <w:r w:rsidR="007A53AE">
        <w:rPr>
          <w:rFonts w:ascii="Times New Roman" w:hAnsi="Times New Roman"/>
          <w:color w:val="000000"/>
          <w:szCs w:val="24"/>
          <w:lang w:val="en-GB"/>
        </w:rPr>
        <w:t>; a</w:t>
      </w:r>
      <w:r>
        <w:rPr>
          <w:rFonts w:ascii="Times New Roman" w:hAnsi="Times New Roman"/>
          <w:color w:val="000000"/>
          <w:lang w:val="sv-SE"/>
        </w:rPr>
        <w:t xml:space="preserve">s </w:t>
      </w:r>
      <w:r w:rsidRPr="009F273F">
        <w:rPr>
          <w:rFonts w:ascii="Times New Roman" w:hAnsi="Times New Roman"/>
          <w:color w:val="000000"/>
          <w:szCs w:val="24"/>
          <w:lang w:val="en-GB"/>
        </w:rPr>
        <w:t>δ</w:t>
      </w:r>
      <w:r>
        <w:rPr>
          <w:rFonts w:ascii="Times New Roman" w:hAnsi="Times New Roman"/>
          <w:color w:val="000000"/>
          <w:szCs w:val="24"/>
          <w:lang w:val="en-GB"/>
        </w:rPr>
        <w:t xml:space="preserve"> increases, so too does the allowance for interregional imports.</w:t>
      </w:r>
      <w:r>
        <w:rPr>
          <w:rFonts w:ascii="Times New Roman" w:hAnsi="Times New Roman"/>
          <w:color w:val="000000"/>
          <w:lang w:val="sv-SE"/>
        </w:rPr>
        <w:t xml:space="preserve">  </w:t>
      </w:r>
      <w:r w:rsidRPr="009F273F">
        <w:rPr>
          <w:rFonts w:ascii="Times New Roman" w:hAnsi="Times New Roman"/>
          <w:color w:val="000000"/>
          <w:szCs w:val="24"/>
          <w:lang w:val="en-GB"/>
        </w:rPr>
        <w:t>δ</w:t>
      </w:r>
      <w:r>
        <w:rPr>
          <w:rFonts w:ascii="Times New Roman" w:hAnsi="Times New Roman"/>
          <w:color w:val="000000"/>
          <w:szCs w:val="24"/>
          <w:lang w:val="en-GB"/>
        </w:rPr>
        <w:t xml:space="preserve"> = 0 represents a special case </w:t>
      </w:r>
      <w:r w:rsidRPr="009C3463">
        <w:rPr>
          <w:rFonts w:ascii="Times New Roman" w:hAnsi="Times New Roman"/>
          <w:color w:val="000000"/>
          <w:szCs w:val="24"/>
          <w:lang w:val="en-GB"/>
        </w:rPr>
        <w:t>whe</w:t>
      </w:r>
      <w:r>
        <w:rPr>
          <w:rFonts w:ascii="Times New Roman" w:hAnsi="Times New Roman"/>
          <w:color w:val="000000"/>
          <w:szCs w:val="24"/>
          <w:lang w:val="en-GB"/>
        </w:rPr>
        <w:t>re</w:t>
      </w:r>
      <w:r w:rsidRPr="009C3463">
        <w:rPr>
          <w:rFonts w:ascii="Times New Roman" w:hAnsi="Times New Roman"/>
          <w:color w:val="000000"/>
          <w:szCs w:val="24"/>
          <w:lang w:val="en-GB"/>
        </w:rPr>
        <w:t xml:space="preserve"> </w:t>
      </w:r>
      <w:r w:rsidRPr="009C3463">
        <w:rPr>
          <w:rFonts w:ascii="Times New Roman" w:hAnsi="Times New Roman"/>
        </w:rPr>
        <w:t>FLQ</w:t>
      </w:r>
      <w:r w:rsidRPr="009C3463">
        <w:rPr>
          <w:rFonts w:ascii="Times New Roman" w:hAnsi="Times New Roman"/>
          <w:vertAlign w:val="subscript"/>
        </w:rPr>
        <w:t>ij</w:t>
      </w:r>
      <w:r w:rsidRPr="009C3463">
        <w:rPr>
          <w:rFonts w:ascii="Times New Roman" w:hAnsi="Times New Roman"/>
        </w:rPr>
        <w:t xml:space="preserve"> </w:t>
      </w:r>
      <w:r>
        <w:rPr>
          <w:rFonts w:ascii="Times New Roman" w:hAnsi="Times New Roman"/>
        </w:rPr>
        <w:t xml:space="preserve">= </w:t>
      </w:r>
      <w:r w:rsidRPr="009C3463">
        <w:rPr>
          <w:rFonts w:ascii="Times New Roman" w:hAnsi="Times New Roman"/>
        </w:rPr>
        <w:t>CILQ</w:t>
      </w:r>
      <w:r w:rsidRPr="009C3463">
        <w:rPr>
          <w:rFonts w:ascii="Times New Roman" w:hAnsi="Times New Roman"/>
          <w:vertAlign w:val="subscript"/>
        </w:rPr>
        <w:t>ij</w:t>
      </w:r>
      <w:r w:rsidRPr="009C3463">
        <w:rPr>
          <w:rFonts w:ascii="Times New Roman" w:hAnsi="Times New Roman"/>
        </w:rPr>
        <w:t>.</w:t>
      </w:r>
    </w:p>
    <w:p w:rsidR="00B95D03" w:rsidRPr="009F273F" w:rsidRDefault="00B95D03" w:rsidP="00B95D03">
      <w:pPr>
        <w:pStyle w:val="Normaali1"/>
        <w:tabs>
          <w:tab w:val="left" w:pos="360"/>
        </w:tabs>
        <w:spacing w:line="480" w:lineRule="auto"/>
        <w:rPr>
          <w:rFonts w:ascii="Times New Roman" w:hAnsi="Times New Roman"/>
          <w:color w:val="000000"/>
          <w:lang w:val="en-GB"/>
        </w:rPr>
      </w:pPr>
      <w:r>
        <w:rPr>
          <w:rFonts w:ascii="Times New Roman" w:hAnsi="Times New Roman"/>
        </w:rPr>
        <w:tab/>
        <w:t xml:space="preserve">Another </w:t>
      </w:r>
      <w:r>
        <w:rPr>
          <w:rFonts w:ascii="Times New Roman" w:hAnsi="Times New Roman"/>
          <w:color w:val="000000"/>
          <w:szCs w:val="24"/>
          <w:lang w:val="en-GB"/>
        </w:rPr>
        <w:t>facet of the FLQ formula is worth noting: t</w:t>
      </w:r>
      <w:r w:rsidRPr="009F273F">
        <w:rPr>
          <w:rFonts w:ascii="Times New Roman" w:hAnsi="Times New Roman"/>
          <w:color w:val="000000"/>
          <w:szCs w:val="24"/>
          <w:lang w:val="en-GB"/>
        </w:rPr>
        <w:t xml:space="preserve">he </w:t>
      </w:r>
      <w:r>
        <w:rPr>
          <w:rFonts w:ascii="Times New Roman" w:hAnsi="Times New Roman"/>
          <w:color w:val="000000"/>
          <w:szCs w:val="24"/>
          <w:lang w:val="en-GB"/>
        </w:rPr>
        <w:t>use of SLQ</w:t>
      </w:r>
      <w:r>
        <w:rPr>
          <w:rFonts w:ascii="Times New Roman" w:hAnsi="Times New Roman"/>
          <w:color w:val="000000"/>
          <w:szCs w:val="24"/>
          <w:vertAlign w:val="subscript"/>
          <w:lang w:val="en-GB"/>
        </w:rPr>
        <w:t>i</w:t>
      </w:r>
      <w:r>
        <w:rPr>
          <w:rFonts w:ascii="Times New Roman" w:hAnsi="Times New Roman"/>
          <w:color w:val="000000"/>
          <w:szCs w:val="24"/>
          <w:lang w:val="en-GB"/>
        </w:rPr>
        <w:t xml:space="preserve"> along the principal diagonal of the adjustment matrix rather than </w:t>
      </w:r>
      <w:r>
        <w:t>CILQ</w:t>
      </w:r>
      <w:r>
        <w:rPr>
          <w:vertAlign w:val="subscript"/>
        </w:rPr>
        <w:t>ii</w:t>
      </w:r>
      <w:r>
        <w:t xml:space="preserve"> = 1</w:t>
      </w:r>
      <w:r>
        <w:rPr>
          <w:rFonts w:ascii="Times New Roman" w:hAnsi="Times New Roman"/>
          <w:color w:val="000000"/>
          <w:szCs w:val="24"/>
          <w:lang w:val="en-GB"/>
        </w:rPr>
        <w:t xml:space="preserve">.  </w:t>
      </w:r>
      <w:r>
        <w:rPr>
          <w:rFonts w:ascii="Times New Roman" w:hAnsi="Times New Roman"/>
          <w:szCs w:val="24"/>
          <w:lang w:val="en-GB"/>
        </w:rPr>
        <w:t xml:space="preserve">This procedure, first suggested by </w:t>
      </w:r>
      <w:r w:rsidRPr="00DE3BE1">
        <w:rPr>
          <w:rFonts w:ascii="Times New Roman" w:hAnsi="Times New Roman"/>
          <w:color w:val="000000"/>
          <w:lang w:val="en-GB"/>
        </w:rPr>
        <w:t>Smith and Morrison</w:t>
      </w:r>
      <w:r>
        <w:rPr>
          <w:rFonts w:ascii="Times New Roman" w:hAnsi="Times New Roman"/>
          <w:color w:val="000000"/>
          <w:lang w:val="en-GB"/>
        </w:rPr>
        <w:t xml:space="preserve"> (</w:t>
      </w:r>
      <w:r w:rsidRPr="00DE3BE1">
        <w:rPr>
          <w:rFonts w:ascii="Times New Roman" w:hAnsi="Times New Roman"/>
          <w:color w:val="000000"/>
          <w:lang w:val="en-GB"/>
        </w:rPr>
        <w:t>1974</w:t>
      </w:r>
      <w:r>
        <w:rPr>
          <w:rFonts w:ascii="Times New Roman" w:hAnsi="Times New Roman"/>
          <w:color w:val="000000"/>
          <w:lang w:val="en-GB"/>
        </w:rPr>
        <w:t xml:space="preserve">, p. 66), has also been adopted in our calculations of the CILQ.  Its aim </w:t>
      </w:r>
      <w:r>
        <w:rPr>
          <w:rFonts w:ascii="Times New Roman" w:hAnsi="Times New Roman"/>
          <w:szCs w:val="24"/>
          <w:lang w:val="en-GB"/>
        </w:rPr>
        <w:t xml:space="preserve">is to capture the size of industry </w:t>
      </w:r>
      <w:r w:rsidRPr="00C31425">
        <w:rPr>
          <w:rFonts w:ascii="Times New Roman" w:hAnsi="Times New Roman"/>
          <w:i/>
          <w:szCs w:val="24"/>
          <w:lang w:val="en-GB"/>
        </w:rPr>
        <w:t>i</w:t>
      </w:r>
      <w:r>
        <w:rPr>
          <w:rFonts w:ascii="Times New Roman" w:hAnsi="Times New Roman"/>
          <w:szCs w:val="24"/>
          <w:lang w:val="en-GB"/>
        </w:rPr>
        <w:t xml:space="preserve">, along with the fact that much of the intrasectoral trade in a national </w:t>
      </w:r>
      <w:r w:rsidRPr="002A3504">
        <w:rPr>
          <w:rFonts w:ascii="Times New Roman" w:hAnsi="Times New Roman"/>
          <w:lang w:val="en-GB"/>
        </w:rPr>
        <w:t>input</w:t>
      </w:r>
      <w:r>
        <w:rPr>
          <w:rFonts w:ascii="Times New Roman" w:hAnsi="Times New Roman"/>
          <w:lang w:val="en-GB"/>
        </w:rPr>
        <w:sym w:font="Symbol" w:char="F02D"/>
      </w:r>
      <w:r w:rsidRPr="002A3504">
        <w:rPr>
          <w:rFonts w:ascii="Times New Roman" w:hAnsi="Times New Roman"/>
          <w:lang w:val="en-GB"/>
        </w:rPr>
        <w:t xml:space="preserve">output </w:t>
      </w:r>
      <w:r>
        <w:rPr>
          <w:rFonts w:ascii="Times New Roman" w:hAnsi="Times New Roman"/>
          <w:lang w:val="en-GB"/>
        </w:rPr>
        <w:t>table becomes</w:t>
      </w:r>
      <w:r>
        <w:rPr>
          <w:rFonts w:ascii="Times New Roman" w:hAnsi="Times New Roman"/>
          <w:szCs w:val="24"/>
          <w:lang w:val="en-GB"/>
        </w:rPr>
        <w:t xml:space="preserve"> interregional trade in a regional table.  </w:t>
      </w:r>
    </w:p>
    <w:p w:rsidR="00B95D03" w:rsidRPr="00FD25A0" w:rsidRDefault="00B95D03" w:rsidP="00B95D03">
      <w:pPr>
        <w:pStyle w:val="Normaali1"/>
        <w:tabs>
          <w:tab w:val="left" w:pos="360"/>
        </w:tabs>
        <w:spacing w:line="480" w:lineRule="auto"/>
        <w:rPr>
          <w:rFonts w:ascii="Times New Roman" w:hAnsi="Times New Roman"/>
          <w:color w:val="000000"/>
          <w:lang w:val="en-GB"/>
        </w:rPr>
      </w:pPr>
      <w:r>
        <w:rPr>
          <w:rFonts w:ascii="Times New Roman" w:hAnsi="Times New Roman"/>
          <w:color w:val="000000"/>
          <w:lang w:val="en-GB"/>
        </w:rPr>
        <w:tab/>
        <w:t xml:space="preserve">However, a possible shortcoming of the FLQ formula was highlighted by McCann and </w:t>
      </w:r>
      <w:r>
        <w:rPr>
          <w:rFonts w:ascii="Times New Roman" w:hAnsi="Times New Roman"/>
          <w:color w:val="000000"/>
          <w:lang w:val="en-GB"/>
        </w:rPr>
        <w:lastRenderedPageBreak/>
        <w:t xml:space="preserve">Dewhurst (1998), who argued that regional specialization may cause a rise in the magnitude of regional input coefficients, possibly causing them to surpass the corresponding national coefficients.  In response to this criticism, </w:t>
      </w:r>
      <w:r>
        <w:rPr>
          <w:color w:val="000000"/>
        </w:rPr>
        <w:t xml:space="preserve">Flegg and Webber (2000) reformulating their formula by adding a </w:t>
      </w:r>
      <w:r>
        <w:t xml:space="preserve">specialization term, thereby giving rise to the following </w:t>
      </w:r>
      <w:r>
        <w:rPr>
          <w:i/>
        </w:rPr>
        <w:t>augmented</w:t>
      </w:r>
      <w:r>
        <w:t xml:space="preserve"> FLQ:</w:t>
      </w:r>
    </w:p>
    <w:p w:rsidR="00B95D03" w:rsidRDefault="00B95D03" w:rsidP="00B95D03">
      <w:pPr>
        <w:pStyle w:val="Normaali1"/>
        <w:tabs>
          <w:tab w:val="left" w:pos="360"/>
          <w:tab w:val="center" w:pos="4440"/>
          <w:tab w:val="right" w:pos="9000"/>
        </w:tabs>
        <w:spacing w:line="480" w:lineRule="auto"/>
      </w:pPr>
      <w:r>
        <w:tab/>
      </w:r>
      <w:r>
        <w:tab/>
        <w:t>AFLQ</w:t>
      </w:r>
      <w:r>
        <w:rPr>
          <w:vertAlign w:val="subscript"/>
        </w:rPr>
        <w:t>ij</w:t>
      </w:r>
      <w:r>
        <w:t xml:space="preserve"> ≡ CILQ</w:t>
      </w:r>
      <w:r>
        <w:rPr>
          <w:vertAlign w:val="subscript"/>
        </w:rPr>
        <w:t>ij</w:t>
      </w:r>
      <w:r>
        <w:t xml:space="preserve"> × </w:t>
      </w:r>
      <w:r w:rsidRPr="00DE71C0">
        <w:rPr>
          <w:color w:val="000000"/>
        </w:rPr>
        <w:t>λ</w:t>
      </w:r>
      <w:r w:rsidRPr="00DE71C0">
        <w:rPr>
          <w:color w:val="000000"/>
          <w:lang w:val="sv-SE"/>
        </w:rPr>
        <w:t>*</w:t>
      </w:r>
      <w:r>
        <w:rPr>
          <w:color w:val="000000"/>
          <w:lang w:val="sv-SE"/>
        </w:rPr>
        <w:t xml:space="preserve"> × </w:t>
      </w:r>
      <w:r w:rsidRPr="00EE710C">
        <w:rPr>
          <w:rFonts w:ascii="Times New Roman" w:hAnsi="Times New Roman"/>
          <w:color w:val="000000"/>
        </w:rPr>
        <w:t>[log</w:t>
      </w:r>
      <w:r w:rsidRPr="00EE710C">
        <w:rPr>
          <w:rFonts w:ascii="Times New Roman" w:hAnsi="Times New Roman"/>
          <w:color w:val="000000"/>
          <w:vertAlign w:val="subscript"/>
        </w:rPr>
        <w:t>2</w:t>
      </w:r>
      <w:r w:rsidRPr="00EE710C">
        <w:rPr>
          <w:rFonts w:ascii="Times New Roman" w:hAnsi="Times New Roman"/>
          <w:color w:val="000000"/>
        </w:rPr>
        <w:t>(1</w:t>
      </w:r>
      <w:r>
        <w:rPr>
          <w:rFonts w:ascii="Times New Roman" w:hAnsi="Times New Roman"/>
          <w:color w:val="000000"/>
        </w:rPr>
        <w:t xml:space="preserve"> </w:t>
      </w:r>
      <w:r w:rsidRPr="00EE710C">
        <w:rPr>
          <w:rFonts w:ascii="Times New Roman" w:hAnsi="Times New Roman"/>
          <w:color w:val="000000"/>
        </w:rPr>
        <w:t>+</w:t>
      </w:r>
      <w:r>
        <w:rPr>
          <w:rFonts w:ascii="Times New Roman" w:hAnsi="Times New Roman"/>
          <w:color w:val="000000"/>
        </w:rPr>
        <w:t xml:space="preserve"> </w:t>
      </w:r>
      <w:r w:rsidRPr="00EE710C">
        <w:rPr>
          <w:rFonts w:ascii="Times New Roman" w:hAnsi="Times New Roman"/>
          <w:color w:val="000000"/>
        </w:rPr>
        <w:t>SLQ</w:t>
      </w:r>
      <w:r w:rsidRPr="00EE710C">
        <w:rPr>
          <w:rFonts w:ascii="Times New Roman" w:hAnsi="Times New Roman"/>
          <w:color w:val="000000"/>
          <w:szCs w:val="24"/>
          <w:vertAlign w:val="subscript"/>
        </w:rPr>
        <w:t>j</w:t>
      </w:r>
      <w:r w:rsidRPr="00EE710C">
        <w:rPr>
          <w:rFonts w:ascii="Times New Roman" w:hAnsi="Times New Roman"/>
          <w:color w:val="000000"/>
          <w:szCs w:val="24"/>
        </w:rPr>
        <w:t>)</w:t>
      </w:r>
      <w:r w:rsidRPr="00EE710C">
        <w:rPr>
          <w:rFonts w:ascii="Times New Roman" w:hAnsi="Times New Roman"/>
          <w:color w:val="000000"/>
        </w:rPr>
        <w:t>]</w:t>
      </w:r>
      <w:r>
        <w:tab/>
        <w:t>(10)</w:t>
      </w:r>
    </w:p>
    <w:p w:rsidR="00B95D03" w:rsidRPr="00EE710C" w:rsidRDefault="00B95D03" w:rsidP="00B95D03">
      <w:pPr>
        <w:pStyle w:val="Normaali1"/>
        <w:tabs>
          <w:tab w:val="left" w:pos="360"/>
        </w:tabs>
        <w:spacing w:line="480" w:lineRule="auto"/>
        <w:rPr>
          <w:rFonts w:ascii="Times New Roman" w:hAnsi="Times New Roman"/>
          <w:color w:val="000000"/>
        </w:rPr>
      </w:pPr>
      <w:r>
        <w:rPr>
          <w:rFonts w:ascii="Times New Roman" w:hAnsi="Times New Roman"/>
          <w:szCs w:val="24"/>
        </w:rPr>
        <w:t>w</w:t>
      </w:r>
      <w:r>
        <w:rPr>
          <w:rFonts w:ascii="Times New Roman" w:hAnsi="Times New Roman"/>
          <w:szCs w:val="24"/>
          <w:lang w:val="en-GB"/>
        </w:rPr>
        <w:t>here the specialization term is applied only when SLQ</w:t>
      </w:r>
      <w:r>
        <w:rPr>
          <w:rFonts w:ascii="Times New Roman" w:hAnsi="Times New Roman"/>
          <w:szCs w:val="24"/>
          <w:vertAlign w:val="subscript"/>
          <w:lang w:val="en-GB"/>
        </w:rPr>
        <w:t>j</w:t>
      </w:r>
      <w:r>
        <w:rPr>
          <w:rFonts w:ascii="Times New Roman" w:hAnsi="Times New Roman"/>
          <w:szCs w:val="24"/>
          <w:lang w:val="en-GB"/>
        </w:rPr>
        <w:t xml:space="preserve"> &gt; 1.  The logic behind this refinement is that, other things being equal, increased sectoral specialization should raise the value of SLQ</w:t>
      </w:r>
      <w:r>
        <w:rPr>
          <w:rFonts w:ascii="Times New Roman" w:hAnsi="Times New Roman"/>
          <w:szCs w:val="24"/>
          <w:vertAlign w:val="subscript"/>
          <w:lang w:val="en-GB"/>
        </w:rPr>
        <w:t>j</w:t>
      </w:r>
      <w:r>
        <w:rPr>
          <w:rFonts w:ascii="Times New Roman" w:hAnsi="Times New Roman"/>
          <w:szCs w:val="24"/>
          <w:lang w:val="en-GB"/>
        </w:rPr>
        <w:t xml:space="preserve"> and hence raise the value of </w:t>
      </w:r>
      <w:proofErr w:type="spellStart"/>
      <w:r>
        <w:rPr>
          <w:rFonts w:ascii="Times New Roman" w:hAnsi="Times New Roman"/>
          <w:szCs w:val="24"/>
          <w:lang w:val="en-GB"/>
        </w:rPr>
        <w:t>AFLQ</w:t>
      </w:r>
      <w:r w:rsidRPr="00926000">
        <w:rPr>
          <w:rFonts w:ascii="Times New Roman" w:hAnsi="Times New Roman"/>
          <w:szCs w:val="24"/>
          <w:vertAlign w:val="subscript"/>
          <w:lang w:val="en-GB"/>
        </w:rPr>
        <w:t>ij</w:t>
      </w:r>
      <w:proofErr w:type="spellEnd"/>
      <w:r>
        <w:rPr>
          <w:rFonts w:ascii="Times New Roman" w:hAnsi="Times New Roman"/>
          <w:szCs w:val="24"/>
          <w:lang w:val="en-GB"/>
        </w:rPr>
        <w:t xml:space="preserve">.  This, in turn, would lower the allowance </w:t>
      </w:r>
      <w:r>
        <w:rPr>
          <w:color w:val="000000"/>
        </w:rPr>
        <w:t xml:space="preserve">for imports from other regions.  This </w:t>
      </w:r>
      <w:r w:rsidR="00FF0327">
        <w:rPr>
          <w:color w:val="000000"/>
        </w:rPr>
        <w:t xml:space="preserve">refinement </w:t>
      </w:r>
      <w:r>
        <w:rPr>
          <w:color w:val="000000"/>
        </w:rPr>
        <w:t xml:space="preserve">would make sense </w:t>
      </w:r>
      <w:r>
        <w:rPr>
          <w:rFonts w:ascii="Times New Roman" w:hAnsi="Times New Roman"/>
          <w:szCs w:val="24"/>
          <w:lang w:val="en-GB"/>
        </w:rPr>
        <w:t>where the presence of a strong regional purchasing sector encouraged suppliers to locate close to the source of demand, resulting in greater intraregional sourcing of inputs.</w:t>
      </w:r>
    </w:p>
    <w:p w:rsidR="00B95D03" w:rsidRDefault="00B95D03" w:rsidP="00B95D03">
      <w:pPr>
        <w:pStyle w:val="Normaali1"/>
        <w:tabs>
          <w:tab w:val="left" w:pos="360"/>
        </w:tabs>
        <w:spacing w:line="480" w:lineRule="auto"/>
        <w:rPr>
          <w:rFonts w:ascii="Times New Roman" w:hAnsi="Times New Roman"/>
        </w:rPr>
      </w:pPr>
    </w:p>
    <w:p w:rsidR="00B95D03" w:rsidRPr="00AF7E89" w:rsidRDefault="00B95D03" w:rsidP="00B95D03">
      <w:pPr>
        <w:pStyle w:val="Normaali1"/>
        <w:tabs>
          <w:tab w:val="left" w:pos="360"/>
        </w:tabs>
        <w:spacing w:line="480" w:lineRule="auto"/>
        <w:jc w:val="center"/>
        <w:rPr>
          <w:rFonts w:ascii="Times New Roman" w:hAnsi="Times New Roman"/>
          <w:b/>
        </w:rPr>
      </w:pPr>
      <w:r>
        <w:rPr>
          <w:rFonts w:ascii="Times New Roman" w:hAnsi="Times New Roman"/>
          <w:b/>
        </w:rPr>
        <w:t>EMPIRICAL EVIDENCE</w:t>
      </w:r>
    </w:p>
    <w:p w:rsidR="00B95D03" w:rsidRPr="0054036C" w:rsidRDefault="00B95D03" w:rsidP="00B95D03">
      <w:pPr>
        <w:spacing w:line="480" w:lineRule="auto"/>
        <w:rPr>
          <w:b/>
          <w:color w:val="000000"/>
        </w:rPr>
      </w:pPr>
      <w:r>
        <w:t xml:space="preserve">There is abundant evidence illustrating the </w:t>
      </w:r>
      <w:r>
        <w:rPr>
          <w:color w:val="000000"/>
        </w:rPr>
        <w:t xml:space="preserve">very poor performance of the SLQ and CILQ.  For instance, in their classic study of data for the English city of Peterborough in 1968, </w:t>
      </w:r>
      <w:r w:rsidRPr="00DE3BE1">
        <w:rPr>
          <w:color w:val="000000"/>
        </w:rPr>
        <w:t>Smith and Morrison</w:t>
      </w:r>
      <w:r>
        <w:rPr>
          <w:color w:val="000000"/>
        </w:rPr>
        <w:t xml:space="preserve"> (</w:t>
      </w:r>
      <w:r w:rsidRPr="00DE3BE1">
        <w:rPr>
          <w:color w:val="000000"/>
        </w:rPr>
        <w:t>1974</w:t>
      </w:r>
      <w:r>
        <w:rPr>
          <w:color w:val="000000"/>
        </w:rPr>
        <w:t>) used the SLQ and CILQ to estimate type I sectoral output multipliers.  They found that the SLQ overstated these multipliers by 17.2% on average (p. 73).  The CILQ generated a mean error of 24.9% but this figure was cut to 19.8% when the SLQ was placed along the principal diagonal of the CILQ (</w:t>
      </w:r>
      <w:r>
        <w:rPr>
          <w:i/>
          <w:color w:val="000000"/>
        </w:rPr>
        <w:t>ibid.</w:t>
      </w:r>
      <w:r>
        <w:rPr>
          <w:color w:val="000000"/>
        </w:rPr>
        <w:t xml:space="preserve">).  Other relevant studies include </w:t>
      </w:r>
      <w:r w:rsidRPr="00DE3BE1">
        <w:rPr>
          <w:color w:val="000000"/>
        </w:rPr>
        <w:t xml:space="preserve">Harrigan </w:t>
      </w:r>
      <w:r w:rsidRPr="00DE3BE1">
        <w:rPr>
          <w:i/>
          <w:color w:val="000000"/>
        </w:rPr>
        <w:t>et al.</w:t>
      </w:r>
      <w:r>
        <w:rPr>
          <w:color w:val="000000"/>
        </w:rPr>
        <w:t xml:space="preserve"> (</w:t>
      </w:r>
      <w:r w:rsidRPr="00DE3BE1">
        <w:rPr>
          <w:color w:val="000000"/>
        </w:rPr>
        <w:t>1980</w:t>
      </w:r>
      <w:r>
        <w:rPr>
          <w:color w:val="000000"/>
        </w:rPr>
        <w:t xml:space="preserve">), </w:t>
      </w:r>
      <w:r w:rsidRPr="00DE3BE1">
        <w:rPr>
          <w:color w:val="000000"/>
        </w:rPr>
        <w:t>Harris and Liu</w:t>
      </w:r>
      <w:r>
        <w:rPr>
          <w:color w:val="000000"/>
        </w:rPr>
        <w:t xml:space="preserve"> (</w:t>
      </w:r>
      <w:r w:rsidRPr="00DE3BE1">
        <w:rPr>
          <w:color w:val="000000"/>
        </w:rPr>
        <w:t>199</w:t>
      </w:r>
      <w:r>
        <w:rPr>
          <w:color w:val="000000"/>
        </w:rPr>
        <w:t>8), Sawyer and Miller (1983)</w:t>
      </w:r>
      <w:r w:rsidRPr="008D4B2E">
        <w:rPr>
          <w:color w:val="000000"/>
        </w:rPr>
        <w:t xml:space="preserve"> </w:t>
      </w:r>
      <w:r>
        <w:rPr>
          <w:color w:val="000000"/>
        </w:rPr>
        <w:t>and Stevens</w:t>
      </w:r>
      <w:r w:rsidRPr="00DE3BE1">
        <w:rPr>
          <w:color w:val="000000"/>
        </w:rPr>
        <w:t xml:space="preserve"> </w:t>
      </w:r>
      <w:r w:rsidRPr="00DE3BE1">
        <w:rPr>
          <w:i/>
          <w:color w:val="000000"/>
        </w:rPr>
        <w:t>et al.</w:t>
      </w:r>
      <w:r>
        <w:rPr>
          <w:color w:val="000000"/>
        </w:rPr>
        <w:t xml:space="preserve"> (</w:t>
      </w:r>
      <w:r w:rsidRPr="00DE3BE1">
        <w:rPr>
          <w:color w:val="000000"/>
        </w:rPr>
        <w:t>198</w:t>
      </w:r>
      <w:r>
        <w:rPr>
          <w:color w:val="000000"/>
        </w:rPr>
        <w:t xml:space="preserve">9). </w:t>
      </w:r>
    </w:p>
    <w:p w:rsidR="00B95D03" w:rsidRDefault="00B95D03" w:rsidP="00B95D03">
      <w:pPr>
        <w:widowControl w:val="0"/>
        <w:spacing w:line="480" w:lineRule="auto"/>
        <w:ind w:firstLine="425"/>
        <w:rPr>
          <w:color w:val="000000"/>
        </w:rPr>
      </w:pPr>
      <w:r>
        <w:t xml:space="preserve">Flegg </w:t>
      </w:r>
      <w:r>
        <w:rPr>
          <w:i/>
        </w:rPr>
        <w:t>et al.</w:t>
      </w:r>
      <w:r>
        <w:t xml:space="preserve"> (1995) carried out the first empirical test of</w:t>
      </w:r>
      <w:r w:rsidRPr="00F7201E">
        <w:t xml:space="preserve"> the FLQ formula</w:t>
      </w:r>
      <w:r>
        <w:t xml:space="preserve">.  Their re-examination of </w:t>
      </w:r>
      <w:r w:rsidRPr="00DE3BE1">
        <w:rPr>
          <w:color w:val="000000"/>
        </w:rPr>
        <w:t>Smith and Morrison</w:t>
      </w:r>
      <w:r>
        <w:rPr>
          <w:color w:val="000000"/>
        </w:rPr>
        <w:t xml:space="preserve">’s data for Peterborough revealed that the weighted mean error in estimating the type I sectoral output multipliers could be reduced to about 0.3% by using </w:t>
      </w:r>
      <w:r w:rsidRPr="009F273F">
        <w:rPr>
          <w:color w:val="000000"/>
        </w:rPr>
        <w:t>δ</w:t>
      </w:r>
      <w:r>
        <w:rPr>
          <w:color w:val="000000"/>
        </w:rPr>
        <w:t xml:space="preserve"> ≈ 0.3.</w:t>
      </w:r>
      <w:r>
        <w:rPr>
          <w:b/>
          <w:color w:val="000000"/>
          <w:vertAlign w:val="superscript"/>
        </w:rPr>
        <w:t>8</w:t>
      </w:r>
      <w:r>
        <w:rPr>
          <w:b/>
          <w:color w:val="000000"/>
        </w:rPr>
        <w:t xml:space="preserve">  </w:t>
      </w:r>
      <w:r w:rsidRPr="00036832">
        <w:rPr>
          <w:color w:val="000000"/>
        </w:rPr>
        <w:t>E</w:t>
      </w:r>
      <w:r w:rsidRPr="00EC58D3">
        <w:rPr>
          <w:color w:val="000000"/>
        </w:rPr>
        <w:t>ve</w:t>
      </w:r>
      <w:r>
        <w:rPr>
          <w:color w:val="000000"/>
        </w:rPr>
        <w:t xml:space="preserve">n so, one should be cautious in reading too much into this particular result for </w:t>
      </w:r>
      <w:r w:rsidRPr="009F273F">
        <w:rPr>
          <w:color w:val="000000"/>
        </w:rPr>
        <w:t>δ</w:t>
      </w:r>
      <w:r>
        <w:rPr>
          <w:color w:val="000000"/>
        </w:rPr>
        <w:t xml:space="preserve"> because of the high degree of aggregation used in S</w:t>
      </w:r>
      <w:r w:rsidRPr="00DE3BE1">
        <w:rPr>
          <w:color w:val="000000"/>
        </w:rPr>
        <w:t>mith and Morrison</w:t>
      </w:r>
      <w:r>
        <w:rPr>
          <w:color w:val="000000"/>
        </w:rPr>
        <w:t xml:space="preserve">’s study (73 </w:t>
      </w:r>
      <w:r>
        <w:rPr>
          <w:color w:val="000000"/>
        </w:rPr>
        <w:lastRenderedPageBreak/>
        <w:t xml:space="preserve">national sectors were aggregated into only 19 regional sectors).  What is more, the sectors were aggregated prior to applying LQ-based adjustments for regional imports, which is likely to have biased the results (cf. </w:t>
      </w:r>
      <w:r>
        <w:t xml:space="preserve">Flegg </w:t>
      </w:r>
      <w:r>
        <w:rPr>
          <w:i/>
        </w:rPr>
        <w:t>et al.</w:t>
      </w:r>
      <w:r>
        <w:t>, 1995, p. 557</w:t>
      </w:r>
      <w:r>
        <w:rPr>
          <w:color w:val="000000"/>
        </w:rPr>
        <w:t>).</w:t>
      </w:r>
    </w:p>
    <w:p w:rsidR="00B95D03" w:rsidRDefault="00B95D03" w:rsidP="00B95D03">
      <w:pPr>
        <w:widowControl w:val="0"/>
        <w:spacing w:line="480" w:lineRule="auto"/>
        <w:ind w:firstLine="425"/>
        <w:rPr>
          <w:color w:val="000000"/>
        </w:rPr>
      </w:pPr>
      <w:r>
        <w:rPr>
          <w:color w:val="000000"/>
        </w:rPr>
        <w:t xml:space="preserve">Flegg and Webber (2000) used the survey-based </w:t>
      </w:r>
      <w:r w:rsidRPr="00F7201E">
        <w:t>input</w:t>
      </w:r>
      <w:r w:rsidRPr="00F7201E">
        <w:sym w:font="Symbol" w:char="F02D"/>
      </w:r>
      <w:r w:rsidRPr="00F7201E">
        <w:t xml:space="preserve">output </w:t>
      </w:r>
      <w:r>
        <w:t xml:space="preserve">tables </w:t>
      </w:r>
      <w:r>
        <w:rPr>
          <w:color w:val="000000"/>
        </w:rPr>
        <w:t>for the UK in 1990 and for Scotland in 1989 to construct consistent 104-sector coefficient matrices.  They then derived alternative estimates of the Scottish input coefficients by using the FLQ, AFLQ, SLQ and CILQ to adjust the UK-wide data.</w:t>
      </w:r>
    </w:p>
    <w:p w:rsidR="00B95D03" w:rsidRPr="00895A23" w:rsidRDefault="00B95D03" w:rsidP="00B95D03">
      <w:pPr>
        <w:widowControl w:val="0"/>
        <w:spacing w:line="480" w:lineRule="auto"/>
        <w:ind w:firstLine="425"/>
        <w:rPr>
          <w:color w:val="000000"/>
        </w:rPr>
      </w:pPr>
      <w:r>
        <w:rPr>
          <w:color w:val="000000"/>
        </w:rPr>
        <w:t>Flegg and Webber employed the following statistics, along with several others, to assess the relative performance of the alternative LQ-based formulae:</w:t>
      </w:r>
    </w:p>
    <w:p w:rsidR="00B95D03" w:rsidRPr="0009111F" w:rsidRDefault="00B95D03" w:rsidP="00B95D03">
      <w:pPr>
        <w:pStyle w:val="Normaali1"/>
        <w:tabs>
          <w:tab w:val="left" w:pos="426"/>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t>µ</w:t>
      </w:r>
      <w:r w:rsidRPr="0009111F">
        <w:rPr>
          <w:rFonts w:ascii="Times New Roman" w:hAnsi="Times New Roman"/>
          <w:vertAlign w:val="subscript"/>
          <w:lang w:val="en-GB"/>
        </w:rPr>
        <w:t>1</w:t>
      </w:r>
      <w:r w:rsidRPr="0009111F">
        <w:rPr>
          <w:rFonts w:ascii="Times New Roman" w:hAnsi="Times New Roman"/>
          <w:lang w:val="en-GB"/>
        </w:rPr>
        <w:t xml:space="preserve"> =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proofErr w:type="spellStart"/>
      <w:r w:rsidRPr="00740D9B">
        <w:rPr>
          <w:rFonts w:ascii="Times New Roman" w:hAnsi="Times New Roman"/>
          <w:lang w:val="en-GB"/>
        </w:rPr>
        <w:t>w</w:t>
      </w:r>
      <w:r>
        <w:rPr>
          <w:rFonts w:ascii="Times New Roman" w:hAnsi="Times New Roman"/>
          <w:vertAlign w:val="subscript"/>
          <w:lang w:val="en-GB"/>
        </w:rPr>
        <w:t>j</w:t>
      </w:r>
      <w:proofErr w:type="spellEnd"/>
      <w:r>
        <w:rPr>
          <w:rFonts w:ascii="Times New Roman" w:hAnsi="Times New Roman"/>
          <w:vertAlign w:val="subscript"/>
          <w:lang w:val="en-GB"/>
        </w:rPr>
        <w:t xml:space="preserve"> </w:t>
      </w:r>
      <w:proofErr w:type="spellStart"/>
      <w:r w:rsidRPr="00740D9B">
        <w:rPr>
          <w:rFonts w:ascii="Times New Roman" w:hAnsi="Times New Roman"/>
          <w:lang w:val="en-GB"/>
        </w:rPr>
        <w:t>Σ</w:t>
      </w:r>
      <w:r w:rsidRPr="00740D9B">
        <w:rPr>
          <w:rFonts w:ascii="Times New Roman" w:hAnsi="Times New Roman"/>
          <w:vertAlign w:val="subscript"/>
          <w:lang w:val="en-GB"/>
        </w:rPr>
        <w:t>i</w:t>
      </w:r>
      <w:proofErr w:type="spellEnd"/>
      <w:r w:rsidRPr="0009111F">
        <w:rPr>
          <w:rFonts w:ascii="Times New Roman" w:hAnsi="Times New Roman"/>
          <w:position w:val="-14"/>
        </w:rPr>
        <w:object w:dxaOrig="840" w:dyaOrig="360">
          <v:shape id="_x0000_i1029" type="#_x0000_t75" style="width:42pt;height:18.75pt" o:ole="">
            <v:imagedata r:id="rId18" o:title=""/>
          </v:shape>
          <o:OLEObject Type="Embed" ProgID="Equation.3" ShapeID="_x0000_i1029" DrawAspect="Content" ObjectID="_1354515139" r:id="rId19"/>
        </w:objec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n</w:t>
      </w:r>
      <w:r>
        <w:rPr>
          <w:rFonts w:ascii="Times New Roman" w:hAnsi="Times New Roman"/>
        </w:rPr>
        <w:tab/>
        <w:t>(11)</w:t>
      </w:r>
    </w:p>
    <w:p w:rsidR="00B95D03" w:rsidRPr="0009111F" w:rsidRDefault="00B95D03" w:rsidP="00B95D03">
      <w:pPr>
        <w:pStyle w:val="Normaali1"/>
        <w:tabs>
          <w:tab w:val="center" w:pos="4536"/>
          <w:tab w:val="right" w:pos="8931"/>
        </w:tabs>
        <w:spacing w:line="480" w:lineRule="auto"/>
        <w:rPr>
          <w:rFonts w:ascii="Times New Roman" w:hAnsi="Times New Roman"/>
        </w:rPr>
      </w:pPr>
      <w:r>
        <w:rPr>
          <w:rFonts w:ascii="Times New Roman" w:hAnsi="Times New Roman"/>
          <w:lang w:val="en-GB"/>
        </w:rPr>
        <w:tab/>
        <w:t>µ</w:t>
      </w:r>
      <w:r>
        <w:rPr>
          <w:rFonts w:ascii="Times New Roman" w:hAnsi="Times New Roman"/>
          <w:vertAlign w:val="subscript"/>
          <w:lang w:val="en-GB"/>
        </w:rPr>
        <w:t>2</w:t>
      </w:r>
      <w:r w:rsidRPr="0009111F">
        <w:rPr>
          <w:rFonts w:ascii="Times New Roman" w:hAnsi="Times New Roman"/>
          <w:lang w:val="en-GB"/>
        </w:rPr>
        <w:t xml:space="preserve"> =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proofErr w:type="spellStart"/>
      <w:r w:rsidRPr="00740D9B">
        <w:rPr>
          <w:rFonts w:ascii="Times New Roman" w:hAnsi="Times New Roman"/>
          <w:lang w:val="en-GB"/>
        </w:rPr>
        <w:t>w</w:t>
      </w:r>
      <w:r>
        <w:rPr>
          <w:rFonts w:ascii="Times New Roman" w:hAnsi="Times New Roman"/>
          <w:vertAlign w:val="subscript"/>
          <w:lang w:val="en-GB"/>
        </w:rPr>
        <w:t>j</w:t>
      </w:r>
      <w:proofErr w:type="spellEnd"/>
      <w:r>
        <w:rPr>
          <w:rFonts w:ascii="Times New Roman" w:hAnsi="Times New Roman"/>
          <w:vertAlign w:val="subscript"/>
          <w:lang w:val="en-GB"/>
        </w:rPr>
        <w:t xml:space="preserve"> </w:t>
      </w:r>
      <w:proofErr w:type="spellStart"/>
      <w:r w:rsidRPr="00740D9B">
        <w:rPr>
          <w:rFonts w:ascii="Times New Roman" w:hAnsi="Times New Roman"/>
          <w:lang w:val="en-GB"/>
        </w:rPr>
        <w:t>Σ</w:t>
      </w:r>
      <w:r w:rsidRPr="00740D9B">
        <w:rPr>
          <w:rFonts w:ascii="Times New Roman" w:hAnsi="Times New Roman"/>
          <w:vertAlign w:val="subscript"/>
          <w:lang w:val="en-GB"/>
        </w:rPr>
        <w:t>i</w:t>
      </w:r>
      <w:proofErr w:type="spellEnd"/>
      <w:r>
        <w:rPr>
          <w:rFonts w:ascii="Times New Roman" w:hAnsi="Times New Roman"/>
          <w:vertAlign w:val="subscript"/>
          <w:lang w:val="en-GB"/>
        </w:rPr>
        <w:t xml:space="preserve"> </w:t>
      </w:r>
      <w:r w:rsidRPr="0009111F">
        <w:rPr>
          <w:rFonts w:ascii="Times New Roman" w:hAnsi="Times New Roman"/>
          <w:spacing w:val="-2"/>
          <w:szCs w:val="22"/>
        </w:rPr>
        <w:t>|</w:t>
      </w:r>
      <w:r w:rsidRPr="0009111F">
        <w:rPr>
          <w:rFonts w:ascii="Times New Roman" w:hAnsi="Times New Roman"/>
          <w:position w:val="-14"/>
        </w:rPr>
        <w:object w:dxaOrig="660" w:dyaOrig="360">
          <v:shape id="_x0000_i1030" type="#_x0000_t75" style="width:33pt;height:18.75pt" o:ole="">
            <v:imagedata r:id="rId20" o:title=""/>
          </v:shape>
          <o:OLEObject Type="Embed" ProgID="Equation.3" ShapeID="_x0000_i1030" DrawAspect="Content" ObjectID="_1354515140" r:id="rId21"/>
        </w:object>
      </w:r>
      <w:r w:rsidRPr="0009111F">
        <w:rPr>
          <w:rFonts w:ascii="Times New Roman" w:hAnsi="Times New Roman"/>
          <w:spacing w:val="-2"/>
          <w:szCs w:val="22"/>
        </w:rPr>
        <w:t>|</w:t>
      </w:r>
      <w:r w:rsidRPr="0009111F">
        <w:rPr>
          <w:rFonts w:ascii="Times New Roman" w:hAnsi="Times New Roman"/>
          <w:spacing w:val="-2"/>
          <w:szCs w:val="22"/>
          <w:vertAlign w:val="subscript"/>
        </w:rPr>
        <w:t xml:space="preserve"> </w:t>
      </w:r>
      <w:r w:rsidRPr="0009111F">
        <w:rPr>
          <w:rFonts w:ascii="Times New Roman" w:hAnsi="Times New Roman"/>
        </w:rPr>
        <w:t>/</w:t>
      </w:r>
      <w:r>
        <w:rPr>
          <w:rFonts w:ascii="Times New Roman" w:hAnsi="Times New Roman"/>
          <w:vertAlign w:val="subscript"/>
        </w:rPr>
        <w:t xml:space="preserve"> </w:t>
      </w:r>
      <w:r>
        <w:rPr>
          <w:rFonts w:ascii="Times New Roman" w:hAnsi="Times New Roman"/>
        </w:rPr>
        <w:t>n</w:t>
      </w:r>
      <w:r>
        <w:rPr>
          <w:rFonts w:ascii="Times New Roman" w:hAnsi="Times New Roman"/>
        </w:rPr>
        <w:tab/>
        <w:t>(12)</w:t>
      </w:r>
    </w:p>
    <w:p w:rsidR="00B95D03" w:rsidRPr="00FB37EA" w:rsidRDefault="00B95D03" w:rsidP="00B95D03">
      <w:pPr>
        <w:pStyle w:val="Normaali1"/>
        <w:tabs>
          <w:tab w:val="left" w:pos="600"/>
          <w:tab w:val="left" w:pos="3120"/>
          <w:tab w:val="left" w:pos="6120"/>
        </w:tabs>
        <w:spacing w:line="480" w:lineRule="auto"/>
        <w:rPr>
          <w:rFonts w:ascii="Times New Roman" w:hAnsi="Times New Roman"/>
          <w:color w:val="000000"/>
        </w:rPr>
      </w:pPr>
      <w:r w:rsidRPr="0009111F">
        <w:rPr>
          <w:rFonts w:ascii="Times New Roman" w:hAnsi="Times New Roman"/>
        </w:rPr>
        <w:t xml:space="preserve">where </w:t>
      </w:r>
      <w:r w:rsidRPr="0009111F">
        <w:rPr>
          <w:rFonts w:ascii="Times New Roman" w:hAnsi="Times New Roman"/>
          <w:position w:val="-14"/>
        </w:rPr>
        <w:object w:dxaOrig="220" w:dyaOrig="360">
          <v:shape id="_x0000_i1031" type="#_x0000_t75" style="width:11.25pt;height:18.75pt" o:ole="">
            <v:imagedata r:id="rId22" o:title=""/>
          </v:shape>
          <o:OLEObject Type="Embed" ProgID="Equation.3" ShapeID="_x0000_i1031" DrawAspect="Content" ObjectID="_1354515141" r:id="rId23"/>
        </w:object>
      </w:r>
      <w:r w:rsidRPr="0009111F">
        <w:rPr>
          <w:rFonts w:ascii="Times New Roman" w:hAnsi="Times New Roman"/>
          <w:vertAlign w:val="subscript"/>
        </w:rPr>
        <w:t xml:space="preserve"> </w:t>
      </w:r>
      <w:r w:rsidRPr="0009111F">
        <w:rPr>
          <w:rFonts w:ascii="Times New Roman" w:hAnsi="Times New Roman"/>
        </w:rPr>
        <w:t>is the LQ-based coefficient, r</w:t>
      </w:r>
      <w:r w:rsidRPr="0009111F">
        <w:rPr>
          <w:rFonts w:ascii="Times New Roman" w:hAnsi="Times New Roman"/>
          <w:vertAlign w:val="subscript"/>
        </w:rPr>
        <w:t>ij</w:t>
      </w:r>
      <w:r w:rsidRPr="0009111F">
        <w:rPr>
          <w:rFonts w:ascii="Times New Roman" w:hAnsi="Times New Roman"/>
        </w:rPr>
        <w:t xml:space="preserve"> is the survey-based coefficient, n = </w:t>
      </w:r>
      <w:r>
        <w:rPr>
          <w:rFonts w:ascii="Times New Roman" w:hAnsi="Times New Roman"/>
        </w:rPr>
        <w:t>104</w:t>
      </w:r>
      <w:r w:rsidRPr="0009111F">
        <w:rPr>
          <w:rFonts w:ascii="Times New Roman" w:hAnsi="Times New Roman"/>
        </w:rPr>
        <w:t xml:space="preserve"> is the number of sectors and </w:t>
      </w:r>
      <w:proofErr w:type="spellStart"/>
      <w:r w:rsidRPr="00740D9B">
        <w:rPr>
          <w:rFonts w:ascii="Times New Roman" w:hAnsi="Times New Roman"/>
          <w:lang w:val="en-GB"/>
        </w:rPr>
        <w:t>w</w:t>
      </w:r>
      <w:r>
        <w:rPr>
          <w:rFonts w:ascii="Times New Roman" w:hAnsi="Times New Roman"/>
          <w:vertAlign w:val="subscript"/>
          <w:lang w:val="en-GB"/>
        </w:rPr>
        <w:t>j</w:t>
      </w:r>
      <w:proofErr w:type="spellEnd"/>
      <w:r>
        <w:rPr>
          <w:rFonts w:ascii="Times New Roman" w:hAnsi="Times New Roman"/>
        </w:rPr>
        <w:t xml:space="preserve"> is the proportion of employment in sector </w:t>
      </w:r>
      <w:r w:rsidRPr="00441F6B">
        <w:rPr>
          <w:rFonts w:ascii="Times New Roman" w:hAnsi="Times New Roman"/>
          <w:i/>
        </w:rPr>
        <w:t>j</w:t>
      </w:r>
      <w:r w:rsidRPr="0009111F">
        <w:rPr>
          <w:rFonts w:ascii="Times New Roman" w:hAnsi="Times New Roman"/>
        </w:rPr>
        <w:t>.</w:t>
      </w:r>
      <w:r>
        <w:rPr>
          <w:rFonts w:ascii="Times New Roman" w:hAnsi="Times New Roman"/>
        </w:rPr>
        <w:t xml:space="preserve">  </w:t>
      </w:r>
      <w:r>
        <w:rPr>
          <w:rFonts w:ascii="Times New Roman" w:hAnsi="Times New Roman"/>
          <w:lang w:val="en-GB"/>
        </w:rPr>
        <w:t>µ</w:t>
      </w:r>
      <w:r w:rsidRPr="0009111F">
        <w:rPr>
          <w:rFonts w:ascii="Times New Roman" w:hAnsi="Times New Roman"/>
          <w:vertAlign w:val="subscript"/>
          <w:lang w:val="en-GB"/>
        </w:rPr>
        <w:t>1</w:t>
      </w:r>
      <w:r>
        <w:rPr>
          <w:rFonts w:ascii="Times New Roman" w:hAnsi="Times New Roman"/>
          <w:lang w:val="en-GB"/>
        </w:rPr>
        <w:t xml:space="preserve"> was clearly positive for the SLQ and CILQ, indicating a general overstatement of the Scottish input coefficients, whereas </w:t>
      </w:r>
      <w:r>
        <w:rPr>
          <w:rFonts w:ascii="Times New Roman" w:hAnsi="Times New Roman"/>
        </w:rPr>
        <w:t xml:space="preserve">the FLQ with </w:t>
      </w:r>
      <w:r w:rsidRPr="009F273F">
        <w:rPr>
          <w:color w:val="000000"/>
        </w:rPr>
        <w:t>δ</w:t>
      </w:r>
      <w:r>
        <w:rPr>
          <w:color w:val="000000"/>
        </w:rPr>
        <w:t xml:space="preserve"> ≈ 0.15 yielded </w:t>
      </w:r>
      <w:r>
        <w:rPr>
          <w:rFonts w:ascii="Times New Roman" w:hAnsi="Times New Roman"/>
          <w:lang w:val="en-GB"/>
        </w:rPr>
        <w:t>µ</w:t>
      </w:r>
      <w:r w:rsidRPr="0009111F">
        <w:rPr>
          <w:rFonts w:ascii="Times New Roman" w:hAnsi="Times New Roman"/>
          <w:vertAlign w:val="subscript"/>
          <w:lang w:val="en-GB"/>
        </w:rPr>
        <w:t>1</w:t>
      </w:r>
      <w:r>
        <w:rPr>
          <w:rFonts w:ascii="Times New Roman" w:hAnsi="Times New Roman"/>
          <w:lang w:val="en-GB"/>
        </w:rPr>
        <w:t xml:space="preserve"> </w:t>
      </w:r>
      <w:r>
        <w:rPr>
          <w:color w:val="000000"/>
        </w:rPr>
        <w:t>≈ 0.  T</w:t>
      </w:r>
      <w:r>
        <w:rPr>
          <w:rFonts w:ascii="Times New Roman" w:hAnsi="Times New Roman"/>
          <w:lang w:val="en-GB"/>
        </w:rPr>
        <w:t xml:space="preserve">he FLQ also </w:t>
      </w:r>
      <w:r>
        <w:rPr>
          <w:color w:val="000000"/>
        </w:rPr>
        <w:t>invariably outperformed</w:t>
      </w:r>
      <w:r>
        <w:rPr>
          <w:rFonts w:ascii="Times New Roman" w:hAnsi="Times New Roman"/>
          <w:lang w:val="en-GB"/>
        </w:rPr>
        <w:t xml:space="preserve"> the SLQ and CILQ in terms of µ</w:t>
      </w:r>
      <w:r>
        <w:rPr>
          <w:rFonts w:ascii="Times New Roman" w:hAnsi="Times New Roman"/>
          <w:vertAlign w:val="subscript"/>
          <w:lang w:val="en-GB"/>
        </w:rPr>
        <w:t>2</w:t>
      </w:r>
      <w:r>
        <w:rPr>
          <w:rFonts w:ascii="Times New Roman" w:hAnsi="Times New Roman"/>
          <w:lang w:val="en-GB"/>
        </w:rPr>
        <w:t xml:space="preserve">, although a value of </w:t>
      </w:r>
      <w:r w:rsidRPr="009F273F">
        <w:rPr>
          <w:color w:val="000000"/>
        </w:rPr>
        <w:t>δ</w:t>
      </w:r>
      <w:r>
        <w:rPr>
          <w:color w:val="000000"/>
        </w:rPr>
        <w:t xml:space="preserve"> &gt; 0.2 was needed to minimize</w:t>
      </w:r>
      <w:r>
        <w:rPr>
          <w:rFonts w:ascii="Times New Roman" w:hAnsi="Times New Roman"/>
        </w:rPr>
        <w:t xml:space="preserve"> </w:t>
      </w:r>
      <w:r>
        <w:rPr>
          <w:rFonts w:ascii="Times New Roman" w:hAnsi="Times New Roman"/>
          <w:lang w:val="en-GB"/>
        </w:rPr>
        <w:t>µ</w:t>
      </w:r>
      <w:r>
        <w:rPr>
          <w:rFonts w:ascii="Times New Roman" w:hAnsi="Times New Roman"/>
          <w:vertAlign w:val="subscript"/>
          <w:lang w:val="en-GB"/>
        </w:rPr>
        <w:t>2</w:t>
      </w:r>
      <w:r>
        <w:rPr>
          <w:rFonts w:ascii="Times New Roman" w:hAnsi="Times New Roman"/>
          <w:lang w:val="en-GB"/>
        </w:rPr>
        <w:t xml:space="preserve"> </w:t>
      </w:r>
      <w:r w:rsidRPr="00FB37EA">
        <w:rPr>
          <w:rFonts w:ascii="Times New Roman" w:hAnsi="Times New Roman"/>
          <w:color w:val="000000"/>
        </w:rPr>
        <w:t>(</w:t>
      </w:r>
      <w:r w:rsidRPr="00FB37EA">
        <w:rPr>
          <w:rFonts w:ascii="Times New Roman" w:hAnsi="Times New Roman"/>
          <w:i/>
          <w:color w:val="000000"/>
        </w:rPr>
        <w:t>ibid.</w:t>
      </w:r>
      <w:r w:rsidRPr="00FB37EA">
        <w:rPr>
          <w:rFonts w:ascii="Times New Roman" w:hAnsi="Times New Roman"/>
          <w:color w:val="000000"/>
        </w:rPr>
        <w:t>, Table 4).</w:t>
      </w:r>
    </w:p>
    <w:p w:rsidR="00B95D03" w:rsidRPr="00FB37EA" w:rsidRDefault="00B95D03" w:rsidP="00B95D03">
      <w:pPr>
        <w:pStyle w:val="Normaali1"/>
        <w:tabs>
          <w:tab w:val="left" w:pos="3120"/>
          <w:tab w:val="left" w:pos="6120"/>
        </w:tabs>
        <w:spacing w:line="480" w:lineRule="auto"/>
        <w:ind w:firstLine="426"/>
        <w:rPr>
          <w:rFonts w:ascii="Times New Roman" w:hAnsi="Times New Roman"/>
          <w:color w:val="000000"/>
        </w:rPr>
      </w:pPr>
      <w:r w:rsidRPr="00FB37EA">
        <w:rPr>
          <w:rFonts w:ascii="Times New Roman" w:hAnsi="Times New Roman"/>
          <w:color w:val="000000"/>
        </w:rPr>
        <w:t>An important additional finding to emerge from Flegg and Webber’s study was that the AFLQ did not outperform the FLQ.  This outcome is somewhat surprising since the AFLQ is the only one of the four alternative formulae to permit upward adjustments of input coefficients and, in this study,  r</w:t>
      </w:r>
      <w:r w:rsidRPr="00FB37EA">
        <w:rPr>
          <w:rFonts w:ascii="Times New Roman" w:hAnsi="Times New Roman"/>
          <w:color w:val="000000"/>
          <w:vertAlign w:val="subscript"/>
        </w:rPr>
        <w:t>ij</w:t>
      </w:r>
      <w:r w:rsidRPr="00FB37EA">
        <w:rPr>
          <w:rFonts w:ascii="Times New Roman" w:hAnsi="Times New Roman"/>
          <w:color w:val="000000"/>
        </w:rPr>
        <w:t xml:space="preserve"> exceeded a</w:t>
      </w:r>
      <w:r w:rsidRPr="00FB37EA">
        <w:rPr>
          <w:rFonts w:ascii="Times New Roman" w:hAnsi="Times New Roman"/>
          <w:color w:val="000000"/>
          <w:vertAlign w:val="subscript"/>
        </w:rPr>
        <w:t>ij</w:t>
      </w:r>
      <w:r w:rsidRPr="00FB37EA">
        <w:rPr>
          <w:rFonts w:ascii="Times New Roman" w:hAnsi="Times New Roman"/>
          <w:color w:val="000000"/>
        </w:rPr>
        <w:t xml:space="preserve"> for 5,096 cases out of 10,816 (</w:t>
      </w:r>
      <w:r w:rsidRPr="00FB37EA">
        <w:rPr>
          <w:rFonts w:ascii="Times New Roman" w:hAnsi="Times New Roman"/>
          <w:i/>
          <w:color w:val="000000"/>
        </w:rPr>
        <w:t>ibid.</w:t>
      </w:r>
      <w:r w:rsidRPr="00FB37EA">
        <w:rPr>
          <w:rFonts w:ascii="Times New Roman" w:hAnsi="Times New Roman"/>
          <w:color w:val="000000"/>
        </w:rPr>
        <w:t>, p. 567).</w:t>
      </w:r>
      <w:r>
        <w:rPr>
          <w:rFonts w:ascii="Times New Roman" w:hAnsi="Times New Roman"/>
          <w:color w:val="000000"/>
        </w:rPr>
        <w:t xml:space="preserve">  The high proportion of cases of </w:t>
      </w:r>
      <w:r w:rsidRPr="00FB37EA">
        <w:rPr>
          <w:rFonts w:ascii="Times New Roman" w:hAnsi="Times New Roman"/>
          <w:color w:val="000000"/>
        </w:rPr>
        <w:t>r</w:t>
      </w:r>
      <w:r w:rsidRPr="00FB37EA">
        <w:rPr>
          <w:rFonts w:ascii="Times New Roman" w:hAnsi="Times New Roman"/>
          <w:color w:val="000000"/>
          <w:vertAlign w:val="subscript"/>
        </w:rPr>
        <w:t>ij</w:t>
      </w:r>
      <w:r w:rsidRPr="00FB37EA">
        <w:rPr>
          <w:rFonts w:ascii="Times New Roman" w:hAnsi="Times New Roman"/>
          <w:color w:val="000000"/>
        </w:rPr>
        <w:t xml:space="preserve"> </w:t>
      </w:r>
      <w:r>
        <w:rPr>
          <w:rFonts w:ascii="Times New Roman" w:hAnsi="Times New Roman"/>
          <w:color w:val="000000"/>
        </w:rPr>
        <w:t>&gt;</w:t>
      </w:r>
      <w:r w:rsidRPr="00FB37EA">
        <w:rPr>
          <w:rFonts w:ascii="Times New Roman" w:hAnsi="Times New Roman"/>
          <w:color w:val="000000"/>
        </w:rPr>
        <w:t xml:space="preserve"> a</w:t>
      </w:r>
      <w:r w:rsidRPr="00FB37EA">
        <w:rPr>
          <w:rFonts w:ascii="Times New Roman" w:hAnsi="Times New Roman"/>
          <w:color w:val="000000"/>
          <w:vertAlign w:val="subscript"/>
        </w:rPr>
        <w:t>ij</w:t>
      </w:r>
      <w:r>
        <w:rPr>
          <w:rFonts w:ascii="Times New Roman" w:hAnsi="Times New Roman"/>
          <w:color w:val="000000"/>
        </w:rPr>
        <w:t xml:space="preserve"> may well be the reason why a relatively low optimal </w:t>
      </w:r>
      <w:r>
        <w:rPr>
          <w:rFonts w:ascii="Times New Roman" w:hAnsi="Times New Roman"/>
          <w:lang w:val="en-GB"/>
        </w:rPr>
        <w:t xml:space="preserve">value of </w:t>
      </w:r>
      <w:r w:rsidRPr="009F273F">
        <w:rPr>
          <w:color w:val="000000"/>
        </w:rPr>
        <w:t>δ</w:t>
      </w:r>
      <w:r>
        <w:rPr>
          <w:color w:val="000000"/>
        </w:rPr>
        <w:t xml:space="preserve"> was found in this study</w:t>
      </w:r>
      <w:r w:rsidR="00C56F24">
        <w:rPr>
          <w:color w:val="000000"/>
        </w:rPr>
        <w:t xml:space="preserve"> for the FLQ</w:t>
      </w:r>
      <w:r>
        <w:rPr>
          <w:color w:val="000000"/>
        </w:rPr>
        <w:t>.</w:t>
      </w:r>
    </w:p>
    <w:p w:rsidR="00B95D03" w:rsidRPr="00FB37EA" w:rsidRDefault="00B95D03" w:rsidP="00B95D03">
      <w:pPr>
        <w:pStyle w:val="Normaali1"/>
        <w:tabs>
          <w:tab w:val="left" w:pos="3120"/>
          <w:tab w:val="left" w:pos="6120"/>
        </w:tabs>
        <w:spacing w:line="480" w:lineRule="auto"/>
        <w:ind w:firstLine="426"/>
        <w:rPr>
          <w:rFonts w:ascii="Times New Roman" w:hAnsi="Times New Roman"/>
          <w:color w:val="000000"/>
        </w:rPr>
      </w:pPr>
      <w:r w:rsidRPr="00FB37EA">
        <w:rPr>
          <w:rFonts w:ascii="Times New Roman" w:hAnsi="Times New Roman"/>
          <w:color w:val="000000"/>
        </w:rPr>
        <w:t>Tohmo</w:t>
      </w:r>
      <w:r>
        <w:rPr>
          <w:rFonts w:ascii="Times New Roman" w:hAnsi="Times New Roman"/>
          <w:color w:val="000000"/>
        </w:rPr>
        <w:t xml:space="preserve"> (</w:t>
      </w:r>
      <w:r w:rsidRPr="00FB37EA">
        <w:rPr>
          <w:rFonts w:ascii="Times New Roman" w:hAnsi="Times New Roman"/>
          <w:color w:val="000000"/>
        </w:rPr>
        <w:t>2004</w:t>
      </w:r>
      <w:r>
        <w:rPr>
          <w:rFonts w:ascii="Times New Roman" w:hAnsi="Times New Roman"/>
          <w:color w:val="000000"/>
        </w:rPr>
        <w:t>)</w:t>
      </w:r>
      <w:r w:rsidRPr="00FB37EA">
        <w:rPr>
          <w:rFonts w:ascii="Times New Roman" w:hAnsi="Times New Roman"/>
          <w:color w:val="000000"/>
        </w:rPr>
        <w:t xml:space="preserve"> carried out another examination of the relative performance of the FLQ, SLQ and CILQ.  He employed the survey-based </w:t>
      </w:r>
      <w:r w:rsidRPr="00FB37EA">
        <w:rPr>
          <w:rFonts w:ascii="Times New Roman" w:hAnsi="Times New Roman"/>
        </w:rPr>
        <w:t>input</w:t>
      </w:r>
      <w:r w:rsidRPr="00FB37EA">
        <w:rPr>
          <w:rFonts w:ascii="Times New Roman" w:hAnsi="Times New Roman"/>
        </w:rPr>
        <w:sym w:font="Symbol" w:char="F02D"/>
      </w:r>
      <w:r w:rsidRPr="00FB37EA">
        <w:rPr>
          <w:rFonts w:ascii="Times New Roman" w:hAnsi="Times New Roman"/>
        </w:rPr>
        <w:t xml:space="preserve">output table </w:t>
      </w:r>
      <w:r w:rsidRPr="00FB37EA">
        <w:rPr>
          <w:rFonts w:ascii="Times New Roman" w:hAnsi="Times New Roman"/>
          <w:color w:val="000000"/>
        </w:rPr>
        <w:t xml:space="preserve">for Finland in 1995 and </w:t>
      </w:r>
      <w:r>
        <w:rPr>
          <w:rFonts w:ascii="Times New Roman" w:hAnsi="Times New Roman"/>
          <w:color w:val="000000"/>
        </w:rPr>
        <w:t>a</w:t>
      </w:r>
      <w:r w:rsidRPr="00FB37EA">
        <w:rPr>
          <w:rFonts w:ascii="Times New Roman" w:hAnsi="Times New Roman"/>
          <w:color w:val="000000"/>
        </w:rPr>
        <w:t xml:space="preserve"> corresponding table for one of its regions, Keski-Pohjanmaa.  These tables contained the </w:t>
      </w:r>
      <w:r w:rsidRPr="00FB37EA">
        <w:rPr>
          <w:rFonts w:ascii="Times New Roman" w:hAnsi="Times New Roman"/>
          <w:color w:val="000000"/>
        </w:rPr>
        <w:lastRenderedPageBreak/>
        <w:t xml:space="preserve">same 37 sectors.  </w:t>
      </w:r>
      <w:r w:rsidR="00714B90">
        <w:rPr>
          <w:rFonts w:ascii="Times New Roman" w:hAnsi="Times New Roman"/>
          <w:color w:val="000000"/>
        </w:rPr>
        <w:t>The</w:t>
      </w:r>
      <w:r w:rsidRPr="00FB37EA">
        <w:rPr>
          <w:rFonts w:ascii="Times New Roman" w:hAnsi="Times New Roman"/>
          <w:color w:val="000000"/>
        </w:rPr>
        <w:t xml:space="preserve"> mean error in estimating the type I sectoral output multipliers </w:t>
      </w:r>
      <w:r w:rsidR="00714B90">
        <w:rPr>
          <w:rFonts w:ascii="Times New Roman" w:hAnsi="Times New Roman"/>
          <w:color w:val="000000"/>
        </w:rPr>
        <w:t>was</w:t>
      </w:r>
      <w:r w:rsidRPr="00FB37EA">
        <w:rPr>
          <w:rFonts w:ascii="Times New Roman" w:hAnsi="Times New Roman"/>
          <w:color w:val="000000"/>
        </w:rPr>
        <w:t xml:space="preserve"> 15.1% for the SLQ, 13.1% for the CILQ but only </w:t>
      </w:r>
      <w:r w:rsidRPr="00FB37EA">
        <w:rPr>
          <w:rFonts w:ascii="Times New Roman" w:hAnsi="Times New Roman"/>
        </w:rPr>
        <w:sym w:font="Symbol" w:char="F02D"/>
      </w:r>
      <w:r w:rsidRPr="00FB37EA">
        <w:rPr>
          <w:rFonts w:ascii="Times New Roman" w:hAnsi="Times New Roman"/>
        </w:rPr>
        <w:t xml:space="preserve">0.3% for the FLQ </w:t>
      </w:r>
      <w:r w:rsidRPr="00FB37EA">
        <w:rPr>
          <w:rFonts w:ascii="Times New Roman" w:hAnsi="Times New Roman"/>
          <w:color w:val="000000"/>
        </w:rPr>
        <w:t>(</w:t>
      </w:r>
      <w:r w:rsidRPr="00FB37EA">
        <w:rPr>
          <w:rFonts w:ascii="Times New Roman" w:hAnsi="Times New Roman"/>
          <w:i/>
          <w:color w:val="000000"/>
        </w:rPr>
        <w:t>ibid.</w:t>
      </w:r>
      <w:r w:rsidRPr="00FB37EA">
        <w:rPr>
          <w:rFonts w:ascii="Times New Roman" w:hAnsi="Times New Roman"/>
          <w:color w:val="000000"/>
        </w:rPr>
        <w:t>, Table 4).</w:t>
      </w:r>
    </w:p>
    <w:p w:rsidR="00B95D03" w:rsidRPr="00FB37EA" w:rsidRDefault="00B95D03" w:rsidP="00B95D03">
      <w:pPr>
        <w:pStyle w:val="Normaali1"/>
        <w:tabs>
          <w:tab w:val="left" w:pos="3120"/>
          <w:tab w:val="left" w:pos="6120"/>
        </w:tabs>
        <w:spacing w:line="480" w:lineRule="auto"/>
        <w:ind w:firstLine="426"/>
        <w:rPr>
          <w:rFonts w:ascii="Times New Roman" w:hAnsi="Times New Roman"/>
          <w:color w:val="000000"/>
        </w:rPr>
      </w:pPr>
      <w:r w:rsidRPr="00FB37EA">
        <w:rPr>
          <w:rFonts w:ascii="Times New Roman" w:hAnsi="Times New Roman"/>
          <w:color w:val="000000"/>
        </w:rPr>
        <w:t xml:space="preserve">A novel </w:t>
      </w:r>
      <w:r>
        <w:rPr>
          <w:rFonts w:ascii="Times New Roman" w:hAnsi="Times New Roman"/>
          <w:color w:val="000000"/>
        </w:rPr>
        <w:t>way of</w:t>
      </w:r>
      <w:r w:rsidRPr="00FB37EA">
        <w:rPr>
          <w:rFonts w:ascii="Times New Roman" w:hAnsi="Times New Roman"/>
          <w:color w:val="000000"/>
        </w:rPr>
        <w:t xml:space="preserve"> evaluatin</w:t>
      </w:r>
      <w:r>
        <w:rPr>
          <w:rFonts w:ascii="Times New Roman" w:hAnsi="Times New Roman"/>
          <w:color w:val="000000"/>
        </w:rPr>
        <w:t>g</w:t>
      </w:r>
      <w:r w:rsidRPr="00FB37EA">
        <w:rPr>
          <w:rFonts w:ascii="Times New Roman" w:hAnsi="Times New Roman"/>
          <w:color w:val="000000"/>
        </w:rPr>
        <w:t xml:space="preserve"> alternative LQ-based </w:t>
      </w:r>
      <w:r>
        <w:rPr>
          <w:rFonts w:ascii="Times New Roman" w:hAnsi="Times New Roman"/>
          <w:color w:val="000000"/>
        </w:rPr>
        <w:t>formulae</w:t>
      </w:r>
      <w:r w:rsidRPr="00FB37EA">
        <w:rPr>
          <w:rFonts w:ascii="Times New Roman" w:hAnsi="Times New Roman"/>
          <w:color w:val="000000"/>
        </w:rPr>
        <w:t xml:space="preserve"> was </w:t>
      </w:r>
      <w:r>
        <w:rPr>
          <w:rFonts w:ascii="Times New Roman" w:hAnsi="Times New Roman"/>
          <w:color w:val="000000"/>
        </w:rPr>
        <w:t>pursued</w:t>
      </w:r>
      <w:r w:rsidRPr="00FB37EA">
        <w:rPr>
          <w:rFonts w:ascii="Times New Roman" w:hAnsi="Times New Roman"/>
          <w:color w:val="000000"/>
        </w:rPr>
        <w:t xml:space="preserve"> by Bonfiglio and Chelli</w:t>
      </w:r>
      <w:r>
        <w:rPr>
          <w:rFonts w:ascii="Times New Roman" w:hAnsi="Times New Roman"/>
          <w:color w:val="000000"/>
        </w:rPr>
        <w:t xml:space="preserve"> (</w:t>
      </w:r>
      <w:r w:rsidRPr="00FB37EA">
        <w:rPr>
          <w:rFonts w:ascii="Times New Roman" w:hAnsi="Times New Roman"/>
          <w:color w:val="000000"/>
        </w:rPr>
        <w:t>2008</w:t>
      </w:r>
      <w:r>
        <w:rPr>
          <w:rFonts w:ascii="Times New Roman" w:hAnsi="Times New Roman"/>
          <w:color w:val="000000"/>
        </w:rPr>
        <w:t>)</w:t>
      </w:r>
      <w:r w:rsidRPr="00FB37EA">
        <w:rPr>
          <w:rFonts w:ascii="Times New Roman" w:hAnsi="Times New Roman"/>
          <w:color w:val="000000"/>
        </w:rPr>
        <w:t xml:space="preserve">.  </w:t>
      </w:r>
      <w:r>
        <w:rPr>
          <w:rFonts w:ascii="Times New Roman" w:hAnsi="Times New Roman"/>
          <w:color w:val="000000"/>
        </w:rPr>
        <w:t>U</w:t>
      </w:r>
      <w:r w:rsidRPr="00FB37EA">
        <w:rPr>
          <w:rFonts w:ascii="Times New Roman" w:hAnsi="Times New Roman"/>
          <w:color w:val="000000"/>
        </w:rPr>
        <w:t xml:space="preserve">sing a Monte Carlo approach, they randomly generated 1,000 multiregional </w:t>
      </w:r>
      <w:r w:rsidRPr="00FB37EA">
        <w:rPr>
          <w:rFonts w:ascii="Times New Roman" w:hAnsi="Times New Roman"/>
        </w:rPr>
        <w:t>input</w:t>
      </w:r>
      <w:r w:rsidRPr="00FB37EA">
        <w:rPr>
          <w:rFonts w:ascii="Times New Roman" w:hAnsi="Times New Roman"/>
        </w:rPr>
        <w:sym w:font="Symbol" w:char="F02D"/>
      </w:r>
      <w:r w:rsidRPr="00FB37EA">
        <w:rPr>
          <w:rFonts w:ascii="Times New Roman" w:hAnsi="Times New Roman"/>
        </w:rPr>
        <w:t xml:space="preserve">output </w:t>
      </w:r>
      <w:r w:rsidRPr="00FB37EA">
        <w:rPr>
          <w:rFonts w:ascii="Times New Roman" w:hAnsi="Times New Roman"/>
          <w:color w:val="000000"/>
        </w:rPr>
        <w:t xml:space="preserve">tables for each of 20 </w:t>
      </w:r>
      <w:r w:rsidRPr="00FB37EA">
        <w:rPr>
          <w:rFonts w:ascii="Times New Roman" w:hAnsi="Times New Roman"/>
          <w:color w:val="000000"/>
          <w:lang w:val="en-GB"/>
        </w:rPr>
        <w:t>‘regions</w:t>
      </w:r>
      <w:r w:rsidRPr="00FB37EA">
        <w:rPr>
          <w:rFonts w:ascii="Times New Roman" w:hAnsi="Times New Roman"/>
          <w:color w:val="000000"/>
        </w:rPr>
        <w:t xml:space="preserve">’, with 20 sectors in each table.  This process produced 400,000 sectoral output multipliers.  By aggregating the regional tables, a </w:t>
      </w:r>
      <w:r w:rsidRPr="00FB37EA">
        <w:rPr>
          <w:rFonts w:ascii="Times New Roman" w:hAnsi="Times New Roman"/>
          <w:color w:val="000000"/>
          <w:lang w:val="en-GB"/>
        </w:rPr>
        <w:t>‘national</w:t>
      </w:r>
      <w:r w:rsidRPr="00FB37EA">
        <w:rPr>
          <w:rFonts w:ascii="Times New Roman" w:hAnsi="Times New Roman"/>
          <w:color w:val="000000"/>
        </w:rPr>
        <w:t>’ table was produced.  The various formulae were then applied to this national table in order to produce alternative estimates of multipliers.</w:t>
      </w:r>
      <w:r>
        <w:rPr>
          <w:rFonts w:ascii="Times New Roman" w:hAnsi="Times New Roman"/>
          <w:color w:val="000000"/>
        </w:rPr>
        <w:t xml:space="preserve">  A big advantage of </w:t>
      </w:r>
      <w:r w:rsidRPr="00FB37EA">
        <w:rPr>
          <w:rFonts w:ascii="Times New Roman" w:hAnsi="Times New Roman"/>
          <w:color w:val="000000"/>
        </w:rPr>
        <w:t>Bonfiglio and Chelli</w:t>
      </w:r>
      <w:r>
        <w:rPr>
          <w:rFonts w:ascii="Times New Roman" w:hAnsi="Times New Roman"/>
          <w:color w:val="000000"/>
        </w:rPr>
        <w:t>’s approach is that it is capable of establishing results that should be valid in general, rather than being specific to a particular case study.</w:t>
      </w:r>
    </w:p>
    <w:p w:rsidR="00B95D03" w:rsidRDefault="00B95D03" w:rsidP="00B95D03">
      <w:pPr>
        <w:pStyle w:val="Normaali1"/>
        <w:tabs>
          <w:tab w:val="left" w:pos="3120"/>
          <w:tab w:val="left" w:pos="6120"/>
        </w:tabs>
        <w:spacing w:line="480" w:lineRule="auto"/>
        <w:ind w:firstLine="426"/>
        <w:rPr>
          <w:rFonts w:ascii="Times New Roman" w:hAnsi="Times New Roman"/>
          <w:color w:val="000000"/>
        </w:rPr>
      </w:pPr>
      <w:r w:rsidRPr="00FB37EA">
        <w:rPr>
          <w:rFonts w:ascii="Times New Roman" w:hAnsi="Times New Roman"/>
          <w:color w:val="000000"/>
        </w:rPr>
        <w:t>Bonfiglio and Chelli</w:t>
      </w:r>
      <w:r>
        <w:rPr>
          <w:rFonts w:ascii="Times New Roman" w:hAnsi="Times New Roman"/>
          <w:color w:val="000000"/>
        </w:rPr>
        <w:t xml:space="preserve"> used</w:t>
      </w:r>
      <w:r w:rsidRPr="00FB37EA">
        <w:rPr>
          <w:rFonts w:ascii="Times New Roman" w:hAnsi="Times New Roman"/>
          <w:color w:val="000000"/>
        </w:rPr>
        <w:t xml:space="preserve"> </w:t>
      </w:r>
      <w:r>
        <w:rPr>
          <w:rFonts w:ascii="Times New Roman" w:hAnsi="Times New Roman"/>
          <w:color w:val="000000"/>
        </w:rPr>
        <w:t>t</w:t>
      </w:r>
      <w:r w:rsidRPr="00FB37EA">
        <w:rPr>
          <w:rFonts w:ascii="Times New Roman" w:hAnsi="Times New Roman"/>
          <w:color w:val="000000"/>
        </w:rPr>
        <w:t xml:space="preserve">he following </w:t>
      </w:r>
      <w:r>
        <w:rPr>
          <w:rFonts w:ascii="Times New Roman" w:hAnsi="Times New Roman"/>
          <w:color w:val="000000"/>
        </w:rPr>
        <w:t xml:space="preserve">key </w:t>
      </w:r>
      <w:r w:rsidRPr="00FB37EA">
        <w:rPr>
          <w:rFonts w:ascii="Times New Roman" w:hAnsi="Times New Roman"/>
          <w:color w:val="000000"/>
        </w:rPr>
        <w:t xml:space="preserve">statistics </w:t>
      </w:r>
      <w:r>
        <w:rPr>
          <w:rFonts w:ascii="Times New Roman" w:hAnsi="Times New Roman"/>
          <w:color w:val="000000"/>
        </w:rPr>
        <w:t>in their evaluation</w:t>
      </w:r>
      <w:r w:rsidRPr="00FB37EA">
        <w:rPr>
          <w:rFonts w:ascii="Times New Roman" w:hAnsi="Times New Roman"/>
          <w:color w:val="000000"/>
        </w:rPr>
        <w:t>:</w:t>
      </w:r>
    </w:p>
    <w:p w:rsidR="00B95D03" w:rsidRPr="00FB37EA" w:rsidRDefault="00B95D03" w:rsidP="00B95D03">
      <w:pPr>
        <w:pStyle w:val="Normaali1"/>
        <w:tabs>
          <w:tab w:val="center" w:pos="4536"/>
          <w:tab w:val="right" w:pos="8931"/>
        </w:tabs>
        <w:spacing w:line="480" w:lineRule="auto"/>
        <w:ind w:firstLine="426"/>
        <w:rPr>
          <w:rFonts w:ascii="Times New Roman" w:hAnsi="Times New Roman"/>
          <w:color w:val="000000"/>
        </w:rPr>
      </w:pPr>
      <w:r>
        <w:rPr>
          <w:rFonts w:ascii="Times New Roman" w:hAnsi="Times New Roman"/>
          <w:lang w:val="en-GB"/>
        </w:rPr>
        <w:tab/>
      </w:r>
      <w:proofErr w:type="spellStart"/>
      <w:r w:rsidRPr="00083EAA">
        <w:rPr>
          <w:rFonts w:ascii="Times New Roman" w:hAnsi="Times New Roman"/>
          <w:i/>
          <w:lang w:val="en-GB"/>
        </w:rPr>
        <w:t>mrd</w:t>
      </w:r>
      <w:proofErr w:type="spellEnd"/>
      <w:r w:rsidRPr="00FB37EA">
        <w:rPr>
          <w:rFonts w:ascii="Times New Roman" w:hAnsi="Times New Roman"/>
          <w:lang w:val="en-GB"/>
        </w:rPr>
        <w:t xml:space="preserve"> = (1/</w:t>
      </w:r>
      <w:r w:rsidR="00963527">
        <w:rPr>
          <w:rFonts w:ascii="Times New Roman" w:hAnsi="Times New Roman"/>
          <w:lang w:val="en-GB"/>
        </w:rPr>
        <w:t>n</w:t>
      </w:r>
      <w:r w:rsidRPr="00FB37EA">
        <w:rPr>
          <w:rFonts w:ascii="Times New Roman" w:hAnsi="Times New Roman"/>
          <w:lang w:val="en-GB"/>
        </w:rPr>
        <w:t>)</w:t>
      </w:r>
      <w:r w:rsidRPr="00154457">
        <w:rPr>
          <w:rFonts w:ascii="Times New Roman" w:hAnsi="Times New Roman"/>
          <w:lang w:val="en-GB"/>
        </w:rPr>
        <w:t xml:space="preserve"> </w:t>
      </w:r>
      <w:proofErr w:type="spellStart"/>
      <w:r w:rsidRPr="0009111F">
        <w:rPr>
          <w:rFonts w:ascii="Times New Roman" w:hAnsi="Times New Roman"/>
          <w:lang w:val="en-GB"/>
        </w:rPr>
        <w:t>Σ</w:t>
      </w:r>
      <w:r>
        <w:rPr>
          <w:rFonts w:ascii="Times New Roman" w:hAnsi="Times New Roman"/>
          <w:vertAlign w:val="subscript"/>
          <w:lang w:val="en-GB"/>
        </w:rPr>
        <w:t>i</w:t>
      </w:r>
      <w:proofErr w:type="spellEnd"/>
      <w:r>
        <w:rPr>
          <w:rFonts w:ascii="Times New Roman" w:hAnsi="Times New Roman"/>
          <w:vertAlign w:val="subscript"/>
          <w:lang w:val="en-GB"/>
        </w:rPr>
        <w:t xml:space="preserve"> </w:t>
      </w:r>
      <w:proofErr w:type="spellStart"/>
      <w:r w:rsidRPr="00740D9B">
        <w:rPr>
          <w:rFonts w:ascii="Times New Roman" w:hAnsi="Times New Roman"/>
          <w:lang w:val="en-GB"/>
        </w:rPr>
        <w:t>Σ</w:t>
      </w:r>
      <w:r>
        <w:rPr>
          <w:rFonts w:ascii="Times New Roman" w:hAnsi="Times New Roman"/>
          <w:vertAlign w:val="subscript"/>
          <w:lang w:val="en-GB"/>
        </w:rPr>
        <w:t>j</w:t>
      </w:r>
      <w:proofErr w:type="spellEnd"/>
      <w:r w:rsidRPr="00FB37EA">
        <w:rPr>
          <w:rFonts w:ascii="Times New Roman" w:hAnsi="Times New Roman"/>
          <w:vertAlign w:val="subscript"/>
          <w:lang w:val="en-GB"/>
        </w:rPr>
        <w:t xml:space="preserve"> </w:t>
      </w:r>
      <w:proofErr w:type="spellStart"/>
      <w:r w:rsidRPr="00FB37EA">
        <w:rPr>
          <w:rFonts w:ascii="Times New Roman" w:hAnsi="Times New Roman"/>
          <w:lang w:val="en-GB"/>
        </w:rPr>
        <w:t>Σ</w:t>
      </w:r>
      <w:r>
        <w:rPr>
          <w:rFonts w:ascii="Times New Roman" w:hAnsi="Times New Roman"/>
          <w:vertAlign w:val="subscript"/>
          <w:lang w:val="en-GB"/>
        </w:rPr>
        <w:t>k</w:t>
      </w:r>
      <w:proofErr w:type="spellEnd"/>
      <w:r w:rsidRPr="00FB37EA">
        <w:rPr>
          <w:rFonts w:ascii="Times New Roman" w:hAnsi="Times New Roman"/>
          <w:vertAlign w:val="subscript"/>
          <w:lang w:val="en-GB"/>
        </w:rPr>
        <w:t xml:space="preserve"> </w:t>
      </w:r>
      <w:r w:rsidRPr="00FB37EA">
        <w:rPr>
          <w:rFonts w:ascii="Times New Roman" w:hAnsi="Times New Roman"/>
          <w:position w:val="-14"/>
        </w:rPr>
        <w:object w:dxaOrig="1240" w:dyaOrig="360">
          <v:shape id="_x0000_i1032" type="#_x0000_t75" style="width:62.25pt;height:18.75pt" o:ole="">
            <v:imagedata r:id="rId24" o:title=""/>
          </v:shape>
          <o:OLEObject Type="Embed" ProgID="Equation.3" ShapeID="_x0000_i1032" DrawAspect="Content" ObjectID="_1354515142" r:id="rId25"/>
        </w:object>
      </w:r>
      <w:r w:rsidRPr="00FB37EA">
        <w:rPr>
          <w:rFonts w:ascii="Times New Roman" w:hAnsi="Times New Roman"/>
        </w:rPr>
        <w:t>/</w:t>
      </w:r>
      <w:r w:rsidRPr="00FB37EA">
        <w:rPr>
          <w:rFonts w:ascii="Times New Roman" w:hAnsi="Times New Roman"/>
          <w:vertAlign w:val="subscript"/>
        </w:rPr>
        <w:t xml:space="preserve"> </w:t>
      </w:r>
      <w:r w:rsidRPr="00FB37EA">
        <w:rPr>
          <w:rFonts w:ascii="Times New Roman" w:hAnsi="Times New Roman"/>
        </w:rPr>
        <w:t>m</w:t>
      </w:r>
      <w:r>
        <w:rPr>
          <w:rFonts w:ascii="Times New Roman" w:hAnsi="Times New Roman"/>
          <w:vertAlign w:val="subscript"/>
        </w:rPr>
        <w:t>ijk</w:t>
      </w:r>
      <w:r>
        <w:rPr>
          <w:rFonts w:ascii="Times New Roman" w:hAnsi="Times New Roman"/>
        </w:rPr>
        <w:tab/>
      </w:r>
      <w:r w:rsidRPr="00FB37EA">
        <w:rPr>
          <w:rFonts w:ascii="Times New Roman" w:hAnsi="Times New Roman"/>
        </w:rPr>
        <w:t>(</w:t>
      </w:r>
      <w:r>
        <w:rPr>
          <w:rFonts w:ascii="Times New Roman" w:hAnsi="Times New Roman"/>
        </w:rPr>
        <w:t>13</w:t>
      </w:r>
      <w:r w:rsidRPr="00FB37EA">
        <w:rPr>
          <w:rFonts w:ascii="Times New Roman" w:hAnsi="Times New Roman"/>
        </w:rPr>
        <w:t>)</w:t>
      </w:r>
    </w:p>
    <w:p w:rsidR="00B95D03" w:rsidRDefault="00B95D03" w:rsidP="00B95D03">
      <w:pPr>
        <w:pStyle w:val="Normaali1"/>
        <w:tabs>
          <w:tab w:val="left" w:pos="360"/>
          <w:tab w:val="center" w:pos="4536"/>
          <w:tab w:val="right" w:pos="8931"/>
        </w:tabs>
        <w:spacing w:line="480" w:lineRule="auto"/>
        <w:ind w:left="360" w:hanging="360"/>
        <w:rPr>
          <w:rFonts w:ascii="Times New Roman" w:hAnsi="Times New Roman"/>
        </w:rPr>
      </w:pPr>
      <w:r>
        <w:rPr>
          <w:rFonts w:ascii="Times New Roman" w:hAnsi="Times New Roman"/>
          <w:lang w:val="en-GB"/>
        </w:rPr>
        <w:tab/>
      </w:r>
      <w:r>
        <w:rPr>
          <w:rFonts w:ascii="Times New Roman" w:hAnsi="Times New Roman"/>
          <w:lang w:val="en-GB"/>
        </w:rPr>
        <w:tab/>
      </w:r>
      <w:proofErr w:type="spellStart"/>
      <w:r w:rsidRPr="00083EAA">
        <w:rPr>
          <w:rFonts w:ascii="Times New Roman" w:hAnsi="Times New Roman"/>
          <w:i/>
          <w:lang w:val="en-GB"/>
        </w:rPr>
        <w:t>mrad</w:t>
      </w:r>
      <w:proofErr w:type="spellEnd"/>
      <w:r w:rsidRPr="00FB37EA">
        <w:rPr>
          <w:rFonts w:ascii="Times New Roman" w:hAnsi="Times New Roman"/>
          <w:lang w:val="en-GB"/>
        </w:rPr>
        <w:t xml:space="preserve"> = (1/</w:t>
      </w:r>
      <w:r w:rsidR="00963527">
        <w:rPr>
          <w:rFonts w:ascii="Times New Roman" w:hAnsi="Times New Roman"/>
          <w:lang w:val="en-GB"/>
        </w:rPr>
        <w:t>n</w:t>
      </w:r>
      <w:r w:rsidRPr="00FB37EA">
        <w:rPr>
          <w:rFonts w:ascii="Times New Roman" w:hAnsi="Times New Roman"/>
          <w:lang w:val="en-GB"/>
        </w:rPr>
        <w:t>)</w:t>
      </w:r>
      <w:r w:rsidRPr="00154457">
        <w:rPr>
          <w:rFonts w:ascii="Times New Roman" w:hAnsi="Times New Roman"/>
          <w:lang w:val="en-GB"/>
        </w:rPr>
        <w:t xml:space="preserve"> </w:t>
      </w:r>
      <w:proofErr w:type="spellStart"/>
      <w:r w:rsidRPr="0009111F">
        <w:rPr>
          <w:rFonts w:ascii="Times New Roman" w:hAnsi="Times New Roman"/>
          <w:lang w:val="en-GB"/>
        </w:rPr>
        <w:t>Σ</w:t>
      </w:r>
      <w:r>
        <w:rPr>
          <w:rFonts w:ascii="Times New Roman" w:hAnsi="Times New Roman"/>
          <w:vertAlign w:val="subscript"/>
          <w:lang w:val="en-GB"/>
        </w:rPr>
        <w:t>i</w:t>
      </w:r>
      <w:proofErr w:type="spellEnd"/>
      <w:r>
        <w:rPr>
          <w:rFonts w:ascii="Times New Roman" w:hAnsi="Times New Roman"/>
          <w:vertAlign w:val="subscript"/>
          <w:lang w:val="en-GB"/>
        </w:rPr>
        <w:t xml:space="preserve"> </w:t>
      </w:r>
      <w:proofErr w:type="spellStart"/>
      <w:r w:rsidRPr="00740D9B">
        <w:rPr>
          <w:rFonts w:ascii="Times New Roman" w:hAnsi="Times New Roman"/>
          <w:lang w:val="en-GB"/>
        </w:rPr>
        <w:t>Σ</w:t>
      </w:r>
      <w:r>
        <w:rPr>
          <w:rFonts w:ascii="Times New Roman" w:hAnsi="Times New Roman"/>
          <w:vertAlign w:val="subscript"/>
          <w:lang w:val="en-GB"/>
        </w:rPr>
        <w:t>j</w:t>
      </w:r>
      <w:proofErr w:type="spellEnd"/>
      <w:r w:rsidRPr="00FB37EA">
        <w:rPr>
          <w:rFonts w:ascii="Times New Roman" w:hAnsi="Times New Roman"/>
          <w:vertAlign w:val="subscript"/>
          <w:lang w:val="en-GB"/>
        </w:rPr>
        <w:t xml:space="preserve"> </w:t>
      </w:r>
      <w:proofErr w:type="spellStart"/>
      <w:r w:rsidRPr="00FB37EA">
        <w:rPr>
          <w:rFonts w:ascii="Times New Roman" w:hAnsi="Times New Roman"/>
          <w:lang w:val="en-GB"/>
        </w:rPr>
        <w:t>Σ</w:t>
      </w:r>
      <w:r>
        <w:rPr>
          <w:rFonts w:ascii="Times New Roman" w:hAnsi="Times New Roman"/>
          <w:vertAlign w:val="subscript"/>
          <w:lang w:val="en-GB"/>
        </w:rPr>
        <w:t>k</w:t>
      </w:r>
      <w:proofErr w:type="spellEnd"/>
      <w:r w:rsidRPr="00FB37EA">
        <w:rPr>
          <w:rFonts w:ascii="Times New Roman" w:hAnsi="Times New Roman"/>
          <w:vertAlign w:val="subscript"/>
          <w:lang w:val="en-GB"/>
        </w:rPr>
        <w:t xml:space="preserve"> </w:t>
      </w:r>
      <w:r w:rsidRPr="00FB37EA">
        <w:rPr>
          <w:rFonts w:ascii="Times New Roman" w:hAnsi="Times New Roman"/>
          <w:spacing w:val="-2"/>
          <w:szCs w:val="22"/>
        </w:rPr>
        <w:t>|</w:t>
      </w:r>
      <w:r w:rsidRPr="00FB37EA">
        <w:rPr>
          <w:rFonts w:ascii="Times New Roman" w:hAnsi="Times New Roman"/>
          <w:position w:val="-14"/>
        </w:rPr>
        <w:object w:dxaOrig="1060" w:dyaOrig="360">
          <v:shape id="_x0000_i1033" type="#_x0000_t75" style="width:53.25pt;height:18.75pt" o:ole="">
            <v:imagedata r:id="rId26" o:title=""/>
          </v:shape>
          <o:OLEObject Type="Embed" ProgID="Equation.3" ShapeID="_x0000_i1033" DrawAspect="Content" ObjectID="_1354515143" r:id="rId27"/>
        </w:object>
      </w:r>
      <w:r w:rsidRPr="00FB37EA">
        <w:rPr>
          <w:rFonts w:ascii="Times New Roman" w:hAnsi="Times New Roman"/>
          <w:spacing w:val="-2"/>
          <w:szCs w:val="22"/>
        </w:rPr>
        <w:t>|</w:t>
      </w:r>
      <w:r w:rsidRPr="00FB37EA">
        <w:rPr>
          <w:rFonts w:ascii="Times New Roman" w:hAnsi="Times New Roman"/>
          <w:spacing w:val="-2"/>
          <w:szCs w:val="22"/>
          <w:vertAlign w:val="subscript"/>
        </w:rPr>
        <w:t xml:space="preserve"> </w:t>
      </w:r>
      <w:r w:rsidRPr="00FB37EA">
        <w:rPr>
          <w:rFonts w:ascii="Times New Roman" w:hAnsi="Times New Roman"/>
        </w:rPr>
        <w:t>/</w:t>
      </w:r>
      <w:r w:rsidRPr="00FB37EA">
        <w:rPr>
          <w:rFonts w:ascii="Times New Roman" w:hAnsi="Times New Roman"/>
          <w:vertAlign w:val="subscript"/>
        </w:rPr>
        <w:t xml:space="preserve"> </w:t>
      </w:r>
      <w:r w:rsidRPr="00FB37EA">
        <w:rPr>
          <w:rFonts w:ascii="Times New Roman" w:hAnsi="Times New Roman"/>
        </w:rPr>
        <w:t>m</w:t>
      </w:r>
      <w:r>
        <w:rPr>
          <w:rFonts w:ascii="Times New Roman" w:hAnsi="Times New Roman"/>
          <w:vertAlign w:val="subscript"/>
        </w:rPr>
        <w:t>ijk</w:t>
      </w:r>
      <w:r>
        <w:rPr>
          <w:rFonts w:ascii="Times New Roman" w:hAnsi="Times New Roman"/>
        </w:rPr>
        <w:tab/>
      </w:r>
      <w:r w:rsidRPr="00FB37EA">
        <w:rPr>
          <w:rFonts w:ascii="Times New Roman" w:hAnsi="Times New Roman"/>
        </w:rPr>
        <w:t>(</w:t>
      </w:r>
      <w:r>
        <w:rPr>
          <w:rFonts w:ascii="Times New Roman" w:hAnsi="Times New Roman"/>
        </w:rPr>
        <w:t>14</w:t>
      </w:r>
      <w:r w:rsidRPr="00FB37EA">
        <w:rPr>
          <w:rFonts w:ascii="Times New Roman" w:hAnsi="Times New Roman"/>
        </w:rPr>
        <w:t>)</w:t>
      </w:r>
    </w:p>
    <w:p w:rsidR="00B95D03" w:rsidRDefault="00B95D03" w:rsidP="00B95D03">
      <w:pPr>
        <w:pStyle w:val="Normaali1"/>
        <w:tabs>
          <w:tab w:val="left" w:pos="360"/>
          <w:tab w:val="center" w:pos="4536"/>
          <w:tab w:val="right" w:pos="8931"/>
        </w:tabs>
        <w:spacing w:line="480" w:lineRule="auto"/>
        <w:ind w:left="360" w:hanging="360"/>
        <w:rPr>
          <w:rFonts w:ascii="Times New Roman" w:hAnsi="Times New Roman"/>
        </w:rPr>
      </w:pPr>
      <w:r>
        <w:rPr>
          <w:rFonts w:ascii="Times New Roman" w:hAnsi="Times New Roman"/>
          <w:lang w:val="en-GB"/>
        </w:rPr>
        <w:tab/>
      </w:r>
      <w:r>
        <w:rPr>
          <w:rFonts w:ascii="Times New Roman" w:hAnsi="Times New Roman"/>
          <w:lang w:val="en-GB"/>
        </w:rPr>
        <w:tab/>
        <w:t>σ</w:t>
      </w:r>
      <w:r w:rsidRPr="00FB37EA">
        <w:rPr>
          <w:rFonts w:ascii="Times New Roman" w:hAnsi="Times New Roman"/>
          <w:lang w:val="en-GB"/>
        </w:rPr>
        <w:t xml:space="preserve"> = </w:t>
      </w:r>
      <w:r>
        <w:rPr>
          <w:rFonts w:ascii="Times New Roman" w:hAnsi="Times New Roman"/>
          <w:lang w:val="en-GB"/>
        </w:rPr>
        <w:t>[</w:t>
      </w:r>
      <w:r w:rsidRPr="00FB37EA">
        <w:rPr>
          <w:rFonts w:ascii="Times New Roman" w:hAnsi="Times New Roman"/>
          <w:lang w:val="en-GB"/>
        </w:rPr>
        <w:t>(1/</w:t>
      </w:r>
      <w:r w:rsidR="00963527">
        <w:rPr>
          <w:rFonts w:ascii="Times New Roman" w:hAnsi="Times New Roman"/>
          <w:lang w:val="en-GB"/>
        </w:rPr>
        <w:t>n</w:t>
      </w:r>
      <w:r w:rsidRPr="00FB37EA">
        <w:rPr>
          <w:rFonts w:ascii="Times New Roman" w:hAnsi="Times New Roman"/>
          <w:lang w:val="en-GB"/>
        </w:rPr>
        <w:t>)</w:t>
      </w:r>
      <w:r w:rsidRPr="00154457">
        <w:rPr>
          <w:rFonts w:ascii="Times New Roman" w:hAnsi="Times New Roman"/>
          <w:lang w:val="en-GB"/>
        </w:rPr>
        <w:t xml:space="preserve"> </w:t>
      </w:r>
      <w:proofErr w:type="spellStart"/>
      <w:r w:rsidRPr="0009111F">
        <w:rPr>
          <w:rFonts w:ascii="Times New Roman" w:hAnsi="Times New Roman"/>
          <w:lang w:val="en-GB"/>
        </w:rPr>
        <w:t>Σ</w:t>
      </w:r>
      <w:r>
        <w:rPr>
          <w:rFonts w:ascii="Times New Roman" w:hAnsi="Times New Roman"/>
          <w:vertAlign w:val="subscript"/>
          <w:lang w:val="en-GB"/>
        </w:rPr>
        <w:t>i</w:t>
      </w:r>
      <w:proofErr w:type="spellEnd"/>
      <w:r>
        <w:rPr>
          <w:rFonts w:ascii="Times New Roman" w:hAnsi="Times New Roman"/>
          <w:vertAlign w:val="subscript"/>
          <w:lang w:val="en-GB"/>
        </w:rPr>
        <w:t xml:space="preserve"> </w:t>
      </w:r>
      <w:proofErr w:type="spellStart"/>
      <w:r w:rsidRPr="00740D9B">
        <w:rPr>
          <w:rFonts w:ascii="Times New Roman" w:hAnsi="Times New Roman"/>
          <w:lang w:val="en-GB"/>
        </w:rPr>
        <w:t>Σ</w:t>
      </w:r>
      <w:r>
        <w:rPr>
          <w:rFonts w:ascii="Times New Roman" w:hAnsi="Times New Roman"/>
          <w:vertAlign w:val="subscript"/>
          <w:lang w:val="en-GB"/>
        </w:rPr>
        <w:t>j</w:t>
      </w:r>
      <w:proofErr w:type="spellEnd"/>
      <w:r w:rsidRPr="00FB37EA">
        <w:rPr>
          <w:rFonts w:ascii="Times New Roman" w:hAnsi="Times New Roman"/>
          <w:vertAlign w:val="subscript"/>
          <w:lang w:val="en-GB"/>
        </w:rPr>
        <w:t xml:space="preserve"> </w:t>
      </w:r>
      <w:proofErr w:type="spellStart"/>
      <w:r w:rsidRPr="00FB37EA">
        <w:rPr>
          <w:rFonts w:ascii="Times New Roman" w:hAnsi="Times New Roman"/>
          <w:lang w:val="en-GB"/>
        </w:rPr>
        <w:t>Σ</w:t>
      </w:r>
      <w:r>
        <w:rPr>
          <w:rFonts w:ascii="Times New Roman" w:hAnsi="Times New Roman"/>
          <w:vertAlign w:val="subscript"/>
          <w:lang w:val="en-GB"/>
        </w:rPr>
        <w:t>k</w:t>
      </w:r>
      <w:proofErr w:type="spellEnd"/>
      <w:r w:rsidRPr="00FB37EA">
        <w:rPr>
          <w:rFonts w:ascii="Times New Roman" w:hAnsi="Times New Roman"/>
          <w:vertAlign w:val="subscript"/>
          <w:lang w:val="en-GB"/>
        </w:rPr>
        <w:t xml:space="preserve"> </w:t>
      </w:r>
      <w:r>
        <w:rPr>
          <w:rFonts w:ascii="Times New Roman" w:hAnsi="Times New Roman"/>
          <w:lang w:val="en-GB"/>
        </w:rPr>
        <w:t>{(</w:t>
      </w:r>
      <w:r>
        <w:rPr>
          <w:rFonts w:ascii="Times New Roman" w:hAnsi="Times New Roman"/>
          <w:vertAlign w:val="subscript"/>
          <w:lang w:val="en-GB"/>
        </w:rPr>
        <w:t xml:space="preserve"> </w:t>
      </w:r>
      <w:r w:rsidRPr="00FB37EA">
        <w:rPr>
          <w:rFonts w:ascii="Times New Roman" w:hAnsi="Times New Roman"/>
          <w:spacing w:val="-2"/>
          <w:szCs w:val="22"/>
        </w:rPr>
        <w:t>|</w:t>
      </w:r>
      <w:r w:rsidRPr="00FB37EA">
        <w:rPr>
          <w:rFonts w:ascii="Times New Roman" w:hAnsi="Times New Roman"/>
          <w:position w:val="-14"/>
        </w:rPr>
        <w:object w:dxaOrig="1060" w:dyaOrig="360">
          <v:shape id="_x0000_i1034" type="#_x0000_t75" style="width:53.25pt;height:18.75pt" o:ole="">
            <v:imagedata r:id="rId26" o:title=""/>
          </v:shape>
          <o:OLEObject Type="Embed" ProgID="Equation.3" ShapeID="_x0000_i1034" DrawAspect="Content" ObjectID="_1354515144" r:id="rId28"/>
        </w:object>
      </w:r>
      <w:r w:rsidRPr="00FB37EA">
        <w:rPr>
          <w:rFonts w:ascii="Times New Roman" w:hAnsi="Times New Roman"/>
          <w:spacing w:val="-2"/>
          <w:szCs w:val="22"/>
        </w:rPr>
        <w:t>|</w:t>
      </w:r>
      <w:r w:rsidRPr="00FB37EA">
        <w:rPr>
          <w:rFonts w:ascii="Times New Roman" w:hAnsi="Times New Roman"/>
          <w:spacing w:val="-2"/>
          <w:szCs w:val="22"/>
          <w:vertAlign w:val="subscript"/>
        </w:rPr>
        <w:t xml:space="preserve"> </w:t>
      </w:r>
      <w:r w:rsidRPr="00FB37EA">
        <w:rPr>
          <w:rFonts w:ascii="Times New Roman" w:hAnsi="Times New Roman"/>
        </w:rPr>
        <w:t>/</w:t>
      </w:r>
      <w:r w:rsidRPr="00FB37EA">
        <w:rPr>
          <w:rFonts w:ascii="Times New Roman" w:hAnsi="Times New Roman"/>
          <w:vertAlign w:val="subscript"/>
        </w:rPr>
        <w:t xml:space="preserve"> </w:t>
      </w:r>
      <w:r w:rsidRPr="00FB37EA">
        <w:rPr>
          <w:rFonts w:ascii="Times New Roman" w:hAnsi="Times New Roman"/>
        </w:rPr>
        <w:t>m</w:t>
      </w:r>
      <w:r>
        <w:rPr>
          <w:rFonts w:ascii="Times New Roman" w:hAnsi="Times New Roman"/>
          <w:vertAlign w:val="subscript"/>
        </w:rPr>
        <w:t>ijk</w:t>
      </w:r>
      <w:r>
        <w:rPr>
          <w:rFonts w:ascii="Times New Roman" w:hAnsi="Times New Roman"/>
        </w:rPr>
        <w:t xml:space="preserve">) </w:t>
      </w:r>
      <w:r w:rsidRPr="00FB37EA">
        <w:rPr>
          <w:rFonts w:ascii="Times New Roman" w:hAnsi="Times New Roman"/>
        </w:rPr>
        <w:sym w:font="Symbol" w:char="F02D"/>
      </w:r>
      <w:r>
        <w:rPr>
          <w:rFonts w:ascii="Times New Roman" w:hAnsi="Times New Roman"/>
        </w:rPr>
        <w:t xml:space="preserve"> </w:t>
      </w:r>
      <w:r w:rsidRPr="00083EAA">
        <w:rPr>
          <w:rFonts w:ascii="Times New Roman" w:hAnsi="Times New Roman"/>
          <w:i/>
        </w:rPr>
        <w:t>mrad</w:t>
      </w:r>
      <w:r>
        <w:rPr>
          <w:rFonts w:ascii="Times New Roman" w:hAnsi="Times New Roman"/>
        </w:rPr>
        <w:t>}</w:t>
      </w:r>
      <w:r>
        <w:rPr>
          <w:rFonts w:ascii="Times New Roman" w:hAnsi="Times New Roman"/>
          <w:vertAlign w:val="superscript"/>
        </w:rPr>
        <w:t>2</w:t>
      </w:r>
      <w:r>
        <w:rPr>
          <w:rFonts w:ascii="Times New Roman" w:hAnsi="Times New Roman"/>
        </w:rPr>
        <w:t>]</w:t>
      </w:r>
      <w:r>
        <w:rPr>
          <w:rFonts w:ascii="Times New Roman" w:hAnsi="Times New Roman"/>
          <w:vertAlign w:val="superscript"/>
        </w:rPr>
        <w:t xml:space="preserve"> 0.5</w:t>
      </w:r>
      <w:r>
        <w:rPr>
          <w:rFonts w:ascii="Times New Roman" w:hAnsi="Times New Roman"/>
        </w:rPr>
        <w:tab/>
      </w:r>
      <w:r w:rsidRPr="00FB37EA">
        <w:rPr>
          <w:rFonts w:ascii="Times New Roman" w:hAnsi="Times New Roman"/>
        </w:rPr>
        <w:t>(</w:t>
      </w:r>
      <w:r>
        <w:rPr>
          <w:rFonts w:ascii="Times New Roman" w:hAnsi="Times New Roman"/>
        </w:rPr>
        <w:t>15</w:t>
      </w:r>
      <w:r w:rsidRPr="00FB37EA">
        <w:rPr>
          <w:rFonts w:ascii="Times New Roman" w:hAnsi="Times New Roman"/>
        </w:rPr>
        <w:t>)</w:t>
      </w:r>
    </w:p>
    <w:p w:rsidR="00B95D03" w:rsidRPr="00402B23" w:rsidRDefault="00B95D03" w:rsidP="00B95D03">
      <w:pPr>
        <w:pStyle w:val="Normaali1"/>
        <w:tabs>
          <w:tab w:val="center" w:pos="4536"/>
          <w:tab w:val="right" w:pos="8931"/>
        </w:tabs>
        <w:spacing w:line="480" w:lineRule="auto"/>
        <w:rPr>
          <w:rFonts w:ascii="Times New Roman" w:hAnsi="Times New Roman"/>
        </w:rPr>
      </w:pPr>
      <w:r>
        <w:rPr>
          <w:rFonts w:ascii="Times New Roman" w:hAnsi="Times New Roman"/>
        </w:rPr>
        <w:t xml:space="preserve">where </w:t>
      </w:r>
      <w:r w:rsidRPr="00FB37EA">
        <w:rPr>
          <w:rFonts w:ascii="Times New Roman" w:hAnsi="Times New Roman"/>
        </w:rPr>
        <w:t>m</w:t>
      </w:r>
      <w:r>
        <w:rPr>
          <w:rFonts w:ascii="Times New Roman" w:hAnsi="Times New Roman"/>
          <w:vertAlign w:val="subscript"/>
        </w:rPr>
        <w:t>ijk</w:t>
      </w:r>
      <w:r>
        <w:rPr>
          <w:rFonts w:ascii="Times New Roman" w:hAnsi="Times New Roman"/>
        </w:rPr>
        <w:t xml:space="preserve"> and </w:t>
      </w:r>
      <w:r w:rsidRPr="00FB37EA">
        <w:rPr>
          <w:rFonts w:ascii="Times New Roman" w:hAnsi="Times New Roman"/>
          <w:position w:val="-14"/>
        </w:rPr>
        <w:object w:dxaOrig="420" w:dyaOrig="360">
          <v:shape id="_x0000_i1035" type="#_x0000_t75" style="width:21pt;height:18.75pt" o:ole="">
            <v:imagedata r:id="rId29" o:title=""/>
          </v:shape>
          <o:OLEObject Type="Embed" ProgID="Equation.3" ShapeID="_x0000_i1035" DrawAspect="Content" ObjectID="_1354515145" r:id="rId30"/>
        </w:object>
      </w:r>
      <w:r>
        <w:rPr>
          <w:rFonts w:ascii="Times New Roman" w:hAnsi="Times New Roman"/>
        </w:rPr>
        <w:t xml:space="preserve"> are the respective true and estimated multipliers for sector </w:t>
      </w:r>
      <w:r w:rsidRPr="00402B23">
        <w:rPr>
          <w:rFonts w:ascii="Times New Roman" w:hAnsi="Times New Roman"/>
          <w:i/>
        </w:rPr>
        <w:t>k</w:t>
      </w:r>
      <w:r>
        <w:rPr>
          <w:rFonts w:ascii="Times New Roman" w:hAnsi="Times New Roman"/>
        </w:rPr>
        <w:t xml:space="preserve"> in region </w:t>
      </w:r>
      <w:r w:rsidRPr="00402B23">
        <w:rPr>
          <w:rFonts w:ascii="Times New Roman" w:hAnsi="Times New Roman"/>
          <w:i/>
        </w:rPr>
        <w:t>j</w:t>
      </w:r>
      <w:r>
        <w:rPr>
          <w:rFonts w:ascii="Times New Roman" w:hAnsi="Times New Roman"/>
        </w:rPr>
        <w:t xml:space="preserve"> relating to table </w:t>
      </w:r>
      <w:r>
        <w:rPr>
          <w:rFonts w:ascii="Times New Roman" w:hAnsi="Times New Roman"/>
          <w:i/>
        </w:rPr>
        <w:t>i</w:t>
      </w:r>
      <w:r>
        <w:rPr>
          <w:rFonts w:ascii="Times New Roman" w:hAnsi="Times New Roman"/>
        </w:rPr>
        <w:t xml:space="preserve">, </w:t>
      </w:r>
      <w:r w:rsidRPr="00083EAA">
        <w:rPr>
          <w:rFonts w:ascii="Times New Roman" w:hAnsi="Times New Roman"/>
          <w:i/>
        </w:rPr>
        <w:t>mrd</w:t>
      </w:r>
      <w:r>
        <w:rPr>
          <w:rFonts w:ascii="Times New Roman" w:hAnsi="Times New Roman"/>
        </w:rPr>
        <w:t xml:space="preserve"> is the mean relative distance, </w:t>
      </w:r>
      <w:r w:rsidRPr="00083EAA">
        <w:rPr>
          <w:rFonts w:ascii="Times New Roman" w:hAnsi="Times New Roman"/>
          <w:i/>
        </w:rPr>
        <w:t>mrad</w:t>
      </w:r>
      <w:r>
        <w:rPr>
          <w:rFonts w:ascii="Times New Roman" w:hAnsi="Times New Roman"/>
        </w:rPr>
        <w:t xml:space="preserve"> is the mean relative absolute distance</w:t>
      </w:r>
      <w:r w:rsidR="00963527">
        <w:rPr>
          <w:rFonts w:ascii="Times New Roman" w:hAnsi="Times New Roman"/>
        </w:rPr>
        <w:t xml:space="preserve">, </w:t>
      </w:r>
      <w:r>
        <w:rPr>
          <w:rFonts w:ascii="Times New Roman" w:hAnsi="Times New Roman"/>
          <w:lang w:val="en-GB"/>
        </w:rPr>
        <w:t>σ is the corresponding standard deviation</w:t>
      </w:r>
      <w:r w:rsidR="00963527">
        <w:rPr>
          <w:rFonts w:ascii="Times New Roman" w:hAnsi="Times New Roman"/>
          <w:lang w:val="en-GB"/>
        </w:rPr>
        <w:t xml:space="preserve"> and n = 400,000</w:t>
      </w:r>
      <w:r>
        <w:rPr>
          <w:rFonts w:ascii="Times New Roman" w:hAnsi="Times New Roman"/>
          <w:lang w:val="en-GB"/>
        </w:rPr>
        <w:t>.</w:t>
      </w:r>
    </w:p>
    <w:p w:rsidR="00B95D03" w:rsidRPr="00E82A6B" w:rsidRDefault="00B95D03" w:rsidP="00580632">
      <w:pPr>
        <w:pStyle w:val="Normaali1"/>
        <w:tabs>
          <w:tab w:val="left" w:pos="3120"/>
          <w:tab w:val="left" w:pos="6120"/>
        </w:tabs>
        <w:spacing w:line="480" w:lineRule="auto"/>
        <w:ind w:firstLine="425"/>
        <w:rPr>
          <w:rFonts w:ascii="Times New Roman" w:hAnsi="Times New Roman"/>
          <w:b/>
          <w:color w:val="000000"/>
          <w:vertAlign w:val="superscript"/>
        </w:rPr>
      </w:pPr>
      <w:r>
        <w:rPr>
          <w:rFonts w:ascii="Times New Roman" w:hAnsi="Times New Roman"/>
          <w:color w:val="000000"/>
        </w:rPr>
        <w:t xml:space="preserve">The simulations gave values for the </w:t>
      </w:r>
      <w:proofErr w:type="spellStart"/>
      <w:r w:rsidRPr="00083EAA">
        <w:rPr>
          <w:rFonts w:ascii="Times New Roman" w:hAnsi="Times New Roman"/>
          <w:i/>
          <w:lang w:val="en-GB"/>
        </w:rPr>
        <w:t>mrd</w:t>
      </w:r>
      <w:proofErr w:type="spellEnd"/>
      <w:r>
        <w:rPr>
          <w:rFonts w:ascii="Times New Roman" w:hAnsi="Times New Roman"/>
          <w:lang w:val="en-GB"/>
        </w:rPr>
        <w:t xml:space="preserve"> of 39.5%, 36.1% and 39.2% for the SLQ, CILQ and RLQ, respectively.</w:t>
      </w:r>
      <w:r>
        <w:rPr>
          <w:rFonts w:ascii="Times New Roman" w:hAnsi="Times New Roman"/>
          <w:b/>
          <w:vertAlign w:val="superscript"/>
          <w:lang w:val="en-GB"/>
        </w:rPr>
        <w:t>9</w:t>
      </w:r>
      <w:r>
        <w:rPr>
          <w:rFonts w:ascii="Times New Roman" w:hAnsi="Times New Roman"/>
          <w:lang w:val="en-GB"/>
        </w:rPr>
        <w:t xml:space="preserve">  By contrast, for the </w:t>
      </w:r>
      <w:r>
        <w:rPr>
          <w:rFonts w:ascii="Times New Roman" w:hAnsi="Times New Roman"/>
        </w:rPr>
        <w:t xml:space="preserve">FLQ with </w:t>
      </w:r>
      <w:r w:rsidRPr="009F273F">
        <w:rPr>
          <w:color w:val="000000"/>
        </w:rPr>
        <w:t>δ</w:t>
      </w:r>
      <w:r>
        <w:rPr>
          <w:color w:val="000000"/>
        </w:rPr>
        <w:t xml:space="preserve"> = 0.3, </w:t>
      </w:r>
      <w:r>
        <w:rPr>
          <w:rFonts w:ascii="Times New Roman" w:hAnsi="Times New Roman"/>
          <w:lang w:val="en-GB"/>
        </w:rPr>
        <w:t>the</w:t>
      </w:r>
      <w:r>
        <w:rPr>
          <w:rFonts w:ascii="Times New Roman" w:hAnsi="Times New Roman"/>
          <w:color w:val="000000"/>
        </w:rPr>
        <w:t xml:space="preserve"> </w:t>
      </w:r>
      <w:proofErr w:type="spellStart"/>
      <w:r w:rsidRPr="00083EAA">
        <w:rPr>
          <w:rFonts w:ascii="Times New Roman" w:hAnsi="Times New Roman"/>
          <w:i/>
          <w:lang w:val="en-GB"/>
        </w:rPr>
        <w:t>mrd</w:t>
      </w:r>
      <w:proofErr w:type="spellEnd"/>
      <w:r>
        <w:rPr>
          <w:rFonts w:ascii="Times New Roman" w:hAnsi="Times New Roman"/>
          <w:lang w:val="en-GB"/>
        </w:rPr>
        <w:t xml:space="preserve"> </w:t>
      </w:r>
      <w:r>
        <w:rPr>
          <w:color w:val="000000"/>
        </w:rPr>
        <w:t>was only 1.4%, which indicates minimal bias.  However, this figure hides a substantial amount of offsetting of positive and negative errors.  This point is substantiated by the fact that the</w:t>
      </w:r>
      <w:r>
        <w:rPr>
          <w:rFonts w:ascii="Times New Roman" w:hAnsi="Times New Roman"/>
          <w:color w:val="000000"/>
        </w:rPr>
        <w:t xml:space="preserve"> </w:t>
      </w:r>
      <w:proofErr w:type="spellStart"/>
      <w:r w:rsidRPr="00083EAA">
        <w:rPr>
          <w:rFonts w:ascii="Times New Roman" w:hAnsi="Times New Roman"/>
          <w:i/>
          <w:lang w:val="en-GB"/>
        </w:rPr>
        <w:t>mr</w:t>
      </w:r>
      <w:r>
        <w:rPr>
          <w:rFonts w:ascii="Times New Roman" w:hAnsi="Times New Roman"/>
          <w:i/>
          <w:lang w:val="en-GB"/>
        </w:rPr>
        <w:t>a</w:t>
      </w:r>
      <w:r w:rsidRPr="00083EAA">
        <w:rPr>
          <w:rFonts w:ascii="Times New Roman" w:hAnsi="Times New Roman"/>
          <w:i/>
          <w:lang w:val="en-GB"/>
        </w:rPr>
        <w:t>d</w:t>
      </w:r>
      <w:proofErr w:type="spellEnd"/>
      <w:r>
        <w:rPr>
          <w:rFonts w:ascii="Times New Roman" w:hAnsi="Times New Roman"/>
          <w:lang w:val="en-GB"/>
        </w:rPr>
        <w:t xml:space="preserve"> for the </w:t>
      </w:r>
      <w:r>
        <w:rPr>
          <w:rFonts w:ascii="Times New Roman" w:hAnsi="Times New Roman"/>
        </w:rPr>
        <w:t xml:space="preserve">FLQ, again with </w:t>
      </w:r>
      <w:r w:rsidRPr="009F273F">
        <w:rPr>
          <w:color w:val="000000"/>
        </w:rPr>
        <w:t>δ</w:t>
      </w:r>
      <w:r>
        <w:rPr>
          <w:color w:val="000000"/>
        </w:rPr>
        <w:t xml:space="preserve"> = 0.3, was 19.1%.  The corresponding values for the </w:t>
      </w:r>
      <w:r>
        <w:rPr>
          <w:rFonts w:ascii="Times New Roman" w:hAnsi="Times New Roman"/>
          <w:lang w:val="en-GB"/>
        </w:rPr>
        <w:t xml:space="preserve">SLQ, CILQ and RLQ were 40.3%, 38.0% and 40.2%, respectively.  The similarity of the </w:t>
      </w:r>
      <w:proofErr w:type="spellStart"/>
      <w:r w:rsidRPr="00083EAA">
        <w:rPr>
          <w:rFonts w:ascii="Times New Roman" w:hAnsi="Times New Roman"/>
          <w:i/>
          <w:lang w:val="en-GB"/>
        </w:rPr>
        <w:t>mrd</w:t>
      </w:r>
      <w:proofErr w:type="spellEnd"/>
      <w:r>
        <w:rPr>
          <w:rFonts w:ascii="Times New Roman" w:hAnsi="Times New Roman"/>
          <w:lang w:val="en-GB"/>
        </w:rPr>
        <w:t xml:space="preserve"> and </w:t>
      </w:r>
      <w:proofErr w:type="spellStart"/>
      <w:r w:rsidRPr="00083EAA">
        <w:rPr>
          <w:rFonts w:ascii="Times New Roman" w:hAnsi="Times New Roman"/>
          <w:i/>
          <w:lang w:val="en-GB"/>
        </w:rPr>
        <w:t>mr</w:t>
      </w:r>
      <w:r>
        <w:rPr>
          <w:rFonts w:ascii="Times New Roman" w:hAnsi="Times New Roman"/>
          <w:i/>
          <w:lang w:val="en-GB"/>
        </w:rPr>
        <w:t>a</w:t>
      </w:r>
      <w:r w:rsidRPr="00083EAA">
        <w:rPr>
          <w:rFonts w:ascii="Times New Roman" w:hAnsi="Times New Roman"/>
          <w:i/>
          <w:lang w:val="en-GB"/>
        </w:rPr>
        <w:t>d</w:t>
      </w:r>
      <w:proofErr w:type="spellEnd"/>
      <w:r>
        <w:rPr>
          <w:rFonts w:ascii="Times New Roman" w:hAnsi="Times New Roman"/>
          <w:lang w:val="en-GB"/>
        </w:rPr>
        <w:t xml:space="preserve"> statistics for the conventional LQs shows that they almost always overestimated the multipliers.  The </w:t>
      </w:r>
      <w:r>
        <w:rPr>
          <w:rFonts w:ascii="Times New Roman" w:hAnsi="Times New Roman"/>
          <w:lang w:val="en-GB"/>
        </w:rPr>
        <w:lastRenderedPageBreak/>
        <w:t xml:space="preserve">estimates from the conventional LQs also exhibited much more dispersion: σ was 1.30 for the </w:t>
      </w:r>
      <w:r>
        <w:rPr>
          <w:rFonts w:ascii="Times New Roman" w:hAnsi="Times New Roman"/>
        </w:rPr>
        <w:t xml:space="preserve">FLQ (with </w:t>
      </w:r>
      <w:r w:rsidRPr="009F273F">
        <w:rPr>
          <w:color w:val="000000"/>
        </w:rPr>
        <w:t>δ</w:t>
      </w:r>
      <w:r>
        <w:rPr>
          <w:color w:val="000000"/>
        </w:rPr>
        <w:t xml:space="preserve"> = 0.3) but </w:t>
      </w:r>
      <w:r>
        <w:rPr>
          <w:rFonts w:ascii="Times New Roman" w:hAnsi="Times New Roman"/>
          <w:lang w:val="en-GB"/>
        </w:rPr>
        <w:t>1.63 for the SLQ, 1.62 for the CILQ and 1.64 for the RLQ.</w:t>
      </w:r>
      <w:r>
        <w:rPr>
          <w:rFonts w:ascii="Times New Roman" w:hAnsi="Times New Roman"/>
          <w:b/>
          <w:color w:val="000000"/>
          <w:vertAlign w:val="superscript"/>
        </w:rPr>
        <w:t>10</w:t>
      </w:r>
      <w:r>
        <w:rPr>
          <w:rFonts w:ascii="Times New Roman" w:hAnsi="Times New Roman"/>
          <w:color w:val="000000"/>
        </w:rPr>
        <w:t xml:space="preserve">  As regards the AFLQ, the simulations reveal that</w:t>
      </w:r>
      <w:r>
        <w:rPr>
          <w:rFonts w:ascii="Times New Roman" w:hAnsi="Times New Roman"/>
          <w:lang w:val="en-GB"/>
        </w:rPr>
        <w:t xml:space="preserve"> </w:t>
      </w:r>
      <w:r>
        <w:rPr>
          <w:rFonts w:ascii="Times New Roman" w:hAnsi="Times New Roman"/>
          <w:color w:val="000000"/>
        </w:rPr>
        <w:t>it performed slightly better than the FLQ.</w:t>
      </w:r>
      <w:r>
        <w:rPr>
          <w:rFonts w:ascii="Times New Roman" w:hAnsi="Times New Roman"/>
          <w:b/>
          <w:color w:val="000000"/>
          <w:vertAlign w:val="superscript"/>
        </w:rPr>
        <w:t>11</w:t>
      </w:r>
    </w:p>
    <w:p w:rsidR="00B95D03" w:rsidRPr="00137A28" w:rsidRDefault="00B95D03" w:rsidP="00B95D03">
      <w:pPr>
        <w:pStyle w:val="Normaali1"/>
        <w:tabs>
          <w:tab w:val="left" w:pos="3120"/>
          <w:tab w:val="left" w:pos="6120"/>
        </w:tabs>
        <w:spacing w:line="480" w:lineRule="auto"/>
        <w:ind w:firstLine="426"/>
        <w:rPr>
          <w:rFonts w:ascii="Times New Roman" w:hAnsi="Times New Roman"/>
          <w:color w:val="000000"/>
          <w:vertAlign w:val="superscript"/>
        </w:rPr>
      </w:pPr>
      <w:r w:rsidRPr="00FB37EA">
        <w:rPr>
          <w:rFonts w:ascii="Times New Roman" w:hAnsi="Times New Roman"/>
          <w:color w:val="000000"/>
        </w:rPr>
        <w:t>Bonfiglio and Chelli</w:t>
      </w:r>
      <w:r>
        <w:rPr>
          <w:rFonts w:ascii="Times New Roman" w:hAnsi="Times New Roman"/>
          <w:color w:val="000000"/>
        </w:rPr>
        <w:t>’s findings are consistent with those of other studies in so far as they confirm the superior relative performance of the FLQ.</w:t>
      </w:r>
      <w:r w:rsidRPr="00137A28">
        <w:rPr>
          <w:rFonts w:ascii="Times New Roman" w:hAnsi="Times New Roman"/>
          <w:b/>
          <w:color w:val="000000"/>
          <w:vertAlign w:val="superscript"/>
        </w:rPr>
        <w:t>1</w:t>
      </w:r>
      <w:r>
        <w:rPr>
          <w:rFonts w:ascii="Times New Roman" w:hAnsi="Times New Roman"/>
          <w:b/>
          <w:color w:val="000000"/>
          <w:vertAlign w:val="superscript"/>
        </w:rPr>
        <w:t>2</w:t>
      </w:r>
      <w:r>
        <w:rPr>
          <w:rFonts w:ascii="Times New Roman" w:hAnsi="Times New Roman"/>
          <w:color w:val="000000"/>
        </w:rPr>
        <w:t xml:space="preserve">  However, all adjustment formulae exhibit unusually high values of the </w:t>
      </w:r>
      <w:proofErr w:type="spellStart"/>
      <w:r w:rsidRPr="00083EAA">
        <w:rPr>
          <w:rFonts w:ascii="Times New Roman" w:hAnsi="Times New Roman"/>
          <w:i/>
          <w:lang w:val="en-GB"/>
        </w:rPr>
        <w:t>mr</w:t>
      </w:r>
      <w:r>
        <w:rPr>
          <w:rFonts w:ascii="Times New Roman" w:hAnsi="Times New Roman"/>
          <w:i/>
          <w:lang w:val="en-GB"/>
        </w:rPr>
        <w:t>a</w:t>
      </w:r>
      <w:r w:rsidRPr="00083EAA">
        <w:rPr>
          <w:rFonts w:ascii="Times New Roman" w:hAnsi="Times New Roman"/>
          <w:i/>
          <w:lang w:val="en-GB"/>
        </w:rPr>
        <w:t>d</w:t>
      </w:r>
      <w:proofErr w:type="spellEnd"/>
      <w:r>
        <w:rPr>
          <w:rFonts w:ascii="Times New Roman" w:hAnsi="Times New Roman"/>
          <w:color w:val="000000"/>
        </w:rPr>
        <w:t xml:space="preserve">.  A possible explanation of this phenomenon is that the regional input and import coefficients were randomly generated in the interval 0 to 1, yet the input coefficients in real </w:t>
      </w:r>
      <w:r w:rsidRPr="00FB37EA">
        <w:rPr>
          <w:rFonts w:ascii="Times New Roman" w:hAnsi="Times New Roman"/>
        </w:rPr>
        <w:t>input</w:t>
      </w:r>
      <w:r w:rsidRPr="00FB37EA">
        <w:rPr>
          <w:rFonts w:ascii="Times New Roman" w:hAnsi="Times New Roman"/>
        </w:rPr>
        <w:sym w:font="Symbol" w:char="F02D"/>
      </w:r>
      <w:r w:rsidRPr="00FB37EA">
        <w:rPr>
          <w:rFonts w:ascii="Times New Roman" w:hAnsi="Times New Roman"/>
        </w:rPr>
        <w:t xml:space="preserve">output </w:t>
      </w:r>
      <w:r w:rsidRPr="00FB37EA">
        <w:rPr>
          <w:rFonts w:ascii="Times New Roman" w:hAnsi="Times New Roman"/>
          <w:color w:val="000000"/>
        </w:rPr>
        <w:t>tables</w:t>
      </w:r>
      <w:r>
        <w:rPr>
          <w:rFonts w:ascii="Times New Roman" w:hAnsi="Times New Roman"/>
          <w:color w:val="000000"/>
        </w:rPr>
        <w:t xml:space="preserve"> are typically fairly small, except for those on the principal diagonal.  The wide range of possible values for the r</w:t>
      </w:r>
      <w:r>
        <w:rPr>
          <w:rFonts w:ascii="Times New Roman" w:hAnsi="Times New Roman"/>
          <w:color w:val="000000"/>
          <w:vertAlign w:val="subscript"/>
        </w:rPr>
        <w:t>ij</w:t>
      </w:r>
      <w:r>
        <w:rPr>
          <w:rFonts w:ascii="Times New Roman" w:hAnsi="Times New Roman"/>
          <w:color w:val="000000"/>
        </w:rPr>
        <w:t xml:space="preserve"> may well have introduced an artificial degree of variation into the randomly generated </w:t>
      </w:r>
      <w:r w:rsidRPr="00FB37EA">
        <w:rPr>
          <w:rFonts w:ascii="Times New Roman" w:hAnsi="Times New Roman"/>
          <w:color w:val="000000"/>
          <w:lang w:val="en-GB"/>
        </w:rPr>
        <w:t>‘</w:t>
      </w:r>
      <w:r>
        <w:rPr>
          <w:rFonts w:ascii="Times New Roman" w:hAnsi="Times New Roman"/>
          <w:color w:val="000000"/>
          <w:lang w:val="en-GB"/>
        </w:rPr>
        <w:t>t</w:t>
      </w:r>
      <w:r w:rsidRPr="00FB37EA">
        <w:rPr>
          <w:rFonts w:ascii="Times New Roman" w:hAnsi="Times New Roman"/>
          <w:color w:val="000000"/>
          <w:lang w:val="en-GB"/>
        </w:rPr>
        <w:t>r</w:t>
      </w:r>
      <w:r>
        <w:rPr>
          <w:rFonts w:ascii="Times New Roman" w:hAnsi="Times New Roman"/>
          <w:color w:val="000000"/>
          <w:lang w:val="en-GB"/>
        </w:rPr>
        <w:t>u</w:t>
      </w:r>
      <w:r w:rsidRPr="00FB37EA">
        <w:rPr>
          <w:rFonts w:ascii="Times New Roman" w:hAnsi="Times New Roman"/>
          <w:color w:val="000000"/>
          <w:lang w:val="en-GB"/>
        </w:rPr>
        <w:t>e</w:t>
      </w:r>
      <w:r w:rsidRPr="00FB37EA">
        <w:rPr>
          <w:rFonts w:ascii="Times New Roman" w:hAnsi="Times New Roman"/>
          <w:color w:val="000000"/>
        </w:rPr>
        <w:t>’</w:t>
      </w:r>
      <w:r>
        <w:rPr>
          <w:rFonts w:ascii="Times New Roman" w:hAnsi="Times New Roman"/>
          <w:color w:val="000000"/>
        </w:rPr>
        <w:t xml:space="preserve"> coefficients and hence rendered the simulations less accurate than they might otherwise have been.</w:t>
      </w:r>
    </w:p>
    <w:p w:rsidR="00B95D03" w:rsidRDefault="00B95D03" w:rsidP="00B95D03">
      <w:pPr>
        <w:pStyle w:val="Normaali1"/>
        <w:tabs>
          <w:tab w:val="left" w:pos="3120"/>
          <w:tab w:val="left" w:pos="6120"/>
        </w:tabs>
        <w:spacing w:line="480" w:lineRule="auto"/>
        <w:ind w:firstLine="426"/>
        <w:rPr>
          <w:color w:val="000000"/>
        </w:rPr>
      </w:pPr>
      <w:r>
        <w:rPr>
          <w:color w:val="000000"/>
        </w:rPr>
        <w:t xml:space="preserve">The studies examined hitherto have all offered evidence supporting the use of the FLQ.  A contrary position is taken by Riddington </w:t>
      </w:r>
      <w:r>
        <w:rPr>
          <w:i/>
          <w:color w:val="000000"/>
        </w:rPr>
        <w:t>et al.</w:t>
      </w:r>
      <w:r>
        <w:rPr>
          <w:color w:val="000000"/>
        </w:rPr>
        <w:t xml:space="preserve"> (2006), who are highly critical of LQ-based approaches in general and of the FLQ in particular.  The authors’ brief was to measure the economic impact of water-based tourism at a </w:t>
      </w:r>
      <w:r w:rsidRPr="00FB37EA">
        <w:rPr>
          <w:rFonts w:ascii="Times New Roman" w:hAnsi="Times New Roman"/>
          <w:color w:val="000000"/>
          <w:lang w:val="en-GB"/>
        </w:rPr>
        <w:t>‘</w:t>
      </w:r>
      <w:r>
        <w:rPr>
          <w:rFonts w:ascii="Times New Roman" w:hAnsi="Times New Roman"/>
          <w:color w:val="000000"/>
          <w:lang w:val="en-GB"/>
        </w:rPr>
        <w:t>l</w:t>
      </w:r>
      <w:r w:rsidRPr="00FB37EA">
        <w:rPr>
          <w:rFonts w:ascii="Times New Roman" w:hAnsi="Times New Roman"/>
          <w:color w:val="000000"/>
          <w:lang w:val="en-GB"/>
        </w:rPr>
        <w:t>o</w:t>
      </w:r>
      <w:r>
        <w:rPr>
          <w:color w:val="000000"/>
        </w:rPr>
        <w:t xml:space="preserve">cal’ level for seven defined areas covering the whole of Scotland, as well as for one specific area in the eastern Highlands (Moray, Badenoch and Strathspey, hereafter MBS) with 2.3% of total Scottish employment.  To this end, Riddington </w:t>
      </w:r>
      <w:r>
        <w:rPr>
          <w:i/>
          <w:color w:val="000000"/>
        </w:rPr>
        <w:t>et al.</w:t>
      </w:r>
      <w:r>
        <w:rPr>
          <w:color w:val="000000"/>
        </w:rPr>
        <w:t xml:space="preserve"> used gravity models to build </w:t>
      </w:r>
      <w:r w:rsidRPr="00FB37EA">
        <w:rPr>
          <w:rFonts w:ascii="Times New Roman" w:hAnsi="Times New Roman"/>
        </w:rPr>
        <w:t>input</w:t>
      </w:r>
      <w:r w:rsidRPr="00FB37EA">
        <w:rPr>
          <w:rFonts w:ascii="Times New Roman" w:hAnsi="Times New Roman"/>
        </w:rPr>
        <w:sym w:font="Symbol" w:char="F02D"/>
      </w:r>
      <w:r w:rsidRPr="00FB37EA">
        <w:rPr>
          <w:rFonts w:ascii="Times New Roman" w:hAnsi="Times New Roman"/>
        </w:rPr>
        <w:t xml:space="preserve">output </w:t>
      </w:r>
      <w:r w:rsidRPr="00FB37EA">
        <w:rPr>
          <w:rFonts w:ascii="Times New Roman" w:hAnsi="Times New Roman"/>
          <w:color w:val="000000"/>
        </w:rPr>
        <w:t>tables</w:t>
      </w:r>
      <w:r>
        <w:rPr>
          <w:color w:val="000000"/>
        </w:rPr>
        <w:t xml:space="preserve"> for each local area.  In addition, for the MBS area, they built both survey-based and LQ-based models to </w:t>
      </w:r>
      <w:r>
        <w:rPr>
          <w:rFonts w:ascii="Times New Roman" w:hAnsi="Times New Roman"/>
          <w:color w:val="000000"/>
        </w:rPr>
        <w:t>measure the impact of angling expenditure.</w:t>
      </w:r>
    </w:p>
    <w:p w:rsidR="00B95D03" w:rsidRPr="000F653C" w:rsidRDefault="00B95D03" w:rsidP="00B95D03">
      <w:pPr>
        <w:pStyle w:val="Normaali1"/>
        <w:tabs>
          <w:tab w:val="left" w:pos="3120"/>
          <w:tab w:val="left" w:pos="6120"/>
        </w:tabs>
        <w:spacing w:line="480" w:lineRule="auto"/>
        <w:ind w:firstLine="426"/>
        <w:rPr>
          <w:color w:val="000000"/>
        </w:rPr>
      </w:pPr>
      <w:r>
        <w:rPr>
          <w:rFonts w:ascii="Times New Roman" w:hAnsi="Times New Roman"/>
          <w:color w:val="000000"/>
        </w:rPr>
        <w:t xml:space="preserve">A key part of the empirical evidence adduced by </w:t>
      </w:r>
      <w:r>
        <w:rPr>
          <w:color w:val="000000"/>
        </w:rPr>
        <w:t xml:space="preserve">Riddington </w:t>
      </w:r>
      <w:r>
        <w:rPr>
          <w:i/>
          <w:color w:val="000000"/>
        </w:rPr>
        <w:t>et al.</w:t>
      </w:r>
      <w:r>
        <w:rPr>
          <w:color w:val="000000"/>
        </w:rPr>
        <w:t xml:space="preserve"> concerns the values</w:t>
      </w:r>
      <w:r>
        <w:rPr>
          <w:rFonts w:ascii="Times New Roman" w:hAnsi="Times New Roman"/>
          <w:color w:val="000000"/>
        </w:rPr>
        <w:t xml:space="preserve"> of just two multipliers: the type II output and expenditure multipliers.</w:t>
      </w:r>
      <w:r w:rsidRPr="00E13754">
        <w:rPr>
          <w:rFonts w:ascii="Times New Roman" w:hAnsi="Times New Roman"/>
          <w:b/>
          <w:color w:val="000000"/>
          <w:vertAlign w:val="superscript"/>
        </w:rPr>
        <w:t>1</w:t>
      </w:r>
      <w:r>
        <w:rPr>
          <w:rFonts w:ascii="Times New Roman" w:hAnsi="Times New Roman"/>
          <w:b/>
          <w:color w:val="000000"/>
          <w:vertAlign w:val="superscript"/>
        </w:rPr>
        <w:t>3</w:t>
      </w:r>
      <w:r>
        <w:rPr>
          <w:rFonts w:ascii="Times New Roman" w:hAnsi="Times New Roman"/>
          <w:color w:val="000000"/>
        </w:rPr>
        <w:t xml:space="preserve">  The output multipliers are of particular interest.  Here the survey yielded a multiplier of 1.700, whereas the gravity model, the SLQ and the CILQ gave estimates of 1.766, 1.549 and 1.858, respectively (</w:t>
      </w:r>
      <w:r>
        <w:rPr>
          <w:color w:val="000000"/>
        </w:rPr>
        <w:t xml:space="preserve">Riddington </w:t>
      </w:r>
      <w:r>
        <w:rPr>
          <w:i/>
          <w:color w:val="000000"/>
        </w:rPr>
        <w:t>et al.</w:t>
      </w:r>
      <w:r>
        <w:rPr>
          <w:color w:val="000000"/>
        </w:rPr>
        <w:t>, 2006, Table 1)</w:t>
      </w:r>
      <w:r>
        <w:rPr>
          <w:rFonts w:ascii="Times New Roman" w:hAnsi="Times New Roman"/>
          <w:color w:val="000000"/>
        </w:rPr>
        <w:t>.</w:t>
      </w:r>
      <w:r>
        <w:rPr>
          <w:rFonts w:ascii="Times New Roman" w:hAnsi="Times New Roman"/>
          <w:b/>
          <w:color w:val="000000"/>
          <w:vertAlign w:val="superscript"/>
        </w:rPr>
        <w:t>14</w:t>
      </w:r>
      <w:r>
        <w:rPr>
          <w:rFonts w:ascii="Times New Roman" w:hAnsi="Times New Roman"/>
          <w:color w:val="000000"/>
        </w:rPr>
        <w:t xml:space="preserve">  The authors remark that they had expected the LQ-based </w:t>
      </w:r>
      <w:r>
        <w:rPr>
          <w:rFonts w:ascii="Times New Roman" w:hAnsi="Times New Roman"/>
          <w:color w:val="000000"/>
        </w:rPr>
        <w:lastRenderedPageBreak/>
        <w:t xml:space="preserve">multipliers to be closer to the Scottish national multiplier of 2.013 </w:t>
      </w:r>
      <w:r>
        <w:rPr>
          <w:rFonts w:ascii="Times New Roman" w:hAnsi="Times New Roman"/>
          <w:color w:val="000000"/>
          <w:lang w:val="en-GB"/>
        </w:rPr>
        <w:t xml:space="preserve">(cf. </w:t>
      </w:r>
      <w:r>
        <w:rPr>
          <w:rFonts w:ascii="Times New Roman" w:hAnsi="Times New Roman"/>
          <w:i/>
          <w:color w:val="000000"/>
          <w:lang w:val="en-GB"/>
        </w:rPr>
        <w:t>ibid</w:t>
      </w:r>
      <w:r w:rsidRPr="00737675">
        <w:rPr>
          <w:rFonts w:ascii="Times New Roman" w:hAnsi="Times New Roman"/>
          <w:color w:val="000000"/>
          <w:lang w:val="en-GB"/>
        </w:rPr>
        <w:t>., p. 107</w:t>
      </w:r>
      <w:r>
        <w:rPr>
          <w:rFonts w:ascii="Times New Roman" w:hAnsi="Times New Roman"/>
          <w:color w:val="000000"/>
          <w:lang w:val="en-GB"/>
        </w:rPr>
        <w:t>7</w:t>
      </w:r>
      <w:r w:rsidRPr="00737675">
        <w:rPr>
          <w:rFonts w:ascii="Times New Roman" w:hAnsi="Times New Roman"/>
          <w:color w:val="000000"/>
          <w:lang w:val="en-GB"/>
        </w:rPr>
        <w:t>).</w:t>
      </w:r>
    </w:p>
    <w:p w:rsidR="00B95D03" w:rsidRDefault="00B95D03" w:rsidP="00B95D03">
      <w:pPr>
        <w:pStyle w:val="Normaali1"/>
        <w:tabs>
          <w:tab w:val="left" w:pos="3120"/>
          <w:tab w:val="left" w:pos="6120"/>
        </w:tabs>
        <w:spacing w:line="480" w:lineRule="auto"/>
        <w:ind w:firstLine="426"/>
        <w:rPr>
          <w:rFonts w:ascii="Times New Roman" w:hAnsi="Times New Roman"/>
          <w:color w:val="000000"/>
          <w:lang w:val="en-GB"/>
        </w:rPr>
      </w:pPr>
      <w:r>
        <w:rPr>
          <w:rFonts w:ascii="Times New Roman" w:hAnsi="Times New Roman"/>
          <w:color w:val="000000"/>
        </w:rPr>
        <w:t xml:space="preserve">As regards the FLQ, </w:t>
      </w:r>
      <w:r>
        <w:rPr>
          <w:color w:val="000000"/>
        </w:rPr>
        <w:t xml:space="preserve">Riddington </w:t>
      </w:r>
      <w:r>
        <w:rPr>
          <w:i/>
          <w:color w:val="000000"/>
        </w:rPr>
        <w:t>et al.</w:t>
      </w:r>
      <w:r>
        <w:rPr>
          <w:color w:val="000000"/>
        </w:rPr>
        <w:t xml:space="preserve"> find that a near-zero value of </w:t>
      </w:r>
      <w:r w:rsidRPr="009F273F">
        <w:rPr>
          <w:color w:val="000000"/>
        </w:rPr>
        <w:t>δ</w:t>
      </w:r>
      <w:r>
        <w:rPr>
          <w:color w:val="000000"/>
        </w:rPr>
        <w:t xml:space="preserve"> is needed to reproduce the survey-based multipliers</w:t>
      </w:r>
      <w:r w:rsidRPr="00737675">
        <w:rPr>
          <w:rFonts w:ascii="Times New Roman" w:hAnsi="Times New Roman"/>
          <w:color w:val="000000"/>
          <w:lang w:val="en-GB"/>
        </w:rPr>
        <w:t>.</w:t>
      </w:r>
      <w:r>
        <w:rPr>
          <w:rFonts w:ascii="Times New Roman" w:hAnsi="Times New Roman"/>
          <w:b/>
          <w:color w:val="000000"/>
          <w:vertAlign w:val="superscript"/>
          <w:lang w:val="en-GB"/>
        </w:rPr>
        <w:t>15</w:t>
      </w:r>
      <w:r>
        <w:rPr>
          <w:rFonts w:ascii="Times New Roman" w:hAnsi="Times New Roman"/>
          <w:color w:val="000000"/>
          <w:lang w:val="en-GB"/>
        </w:rPr>
        <w:t xml:space="preserve"> This suggests, of course, that regional size is an irrelevant variable, which seems unlikely in the light of the studies reviewed above.  Moreover, there are several other reasons for querying this finding.  The first is that it relates to only one sectoral multiplier and we would argue that is unrealistic to expect the FLQ or, indeed, any other technique to produce satisfactory results for every sector in every region.  Secondly, the </w:t>
      </w:r>
      <w:r w:rsidRPr="00FB37EA">
        <w:rPr>
          <w:rFonts w:ascii="Times New Roman" w:hAnsi="Times New Roman"/>
          <w:color w:val="000000"/>
          <w:lang w:val="en-GB"/>
        </w:rPr>
        <w:t>‘</w:t>
      </w:r>
      <w:r>
        <w:rPr>
          <w:rFonts w:ascii="Times New Roman" w:hAnsi="Times New Roman"/>
          <w:color w:val="000000"/>
          <w:lang w:val="en-GB"/>
        </w:rPr>
        <w:t>parent</w:t>
      </w:r>
      <w:r>
        <w:rPr>
          <w:color w:val="000000"/>
        </w:rPr>
        <w:t>’ table for Scotland that was used to produce the LQ-based tables contained 128 sectors, which were aggregated to only 14.  Considerable aggregation bias can occur in such cases, particularly if the LQs are not applied prior to the aggregation (</w:t>
      </w:r>
      <w:r>
        <w:t xml:space="preserve">Flegg </w:t>
      </w:r>
      <w:r>
        <w:rPr>
          <w:i/>
        </w:rPr>
        <w:t>et al.</w:t>
      </w:r>
      <w:r>
        <w:t>, 1995; Sawyer and Miller, 1983</w:t>
      </w:r>
      <w:r>
        <w:rPr>
          <w:color w:val="000000"/>
        </w:rPr>
        <w:t xml:space="preserve">).   Riddington </w:t>
      </w:r>
      <w:r>
        <w:rPr>
          <w:i/>
          <w:color w:val="000000"/>
        </w:rPr>
        <w:t>et al.</w:t>
      </w:r>
      <w:r>
        <w:rPr>
          <w:color w:val="000000"/>
        </w:rPr>
        <w:t xml:space="preserve"> do not say what procedure they used</w:t>
      </w:r>
      <w:r>
        <w:rPr>
          <w:rFonts w:ascii="Times New Roman" w:hAnsi="Times New Roman"/>
          <w:color w:val="000000"/>
          <w:lang w:val="en-GB"/>
        </w:rPr>
        <w:t xml:space="preserve">.  Thirdly, as the authors themselves note, the MBS area has </w:t>
      </w:r>
      <w:r>
        <w:rPr>
          <w:color w:val="000000"/>
        </w:rPr>
        <w:t xml:space="preserve">a significantly different </w:t>
      </w:r>
      <w:r w:rsidRPr="00FB37EA">
        <w:rPr>
          <w:rFonts w:ascii="Times New Roman" w:hAnsi="Times New Roman"/>
          <w:color w:val="000000"/>
          <w:lang w:val="en-GB"/>
        </w:rPr>
        <w:t>‘</w:t>
      </w:r>
      <w:r>
        <w:rPr>
          <w:rFonts w:ascii="Times New Roman" w:hAnsi="Times New Roman"/>
          <w:color w:val="000000"/>
          <w:lang w:val="en-GB"/>
        </w:rPr>
        <w:t>shape</w:t>
      </w:r>
      <w:r>
        <w:rPr>
          <w:color w:val="000000"/>
        </w:rPr>
        <w:t>’ to that of Scotland as a whole; in particular, it has a very</w:t>
      </w:r>
      <w:r>
        <w:rPr>
          <w:rFonts w:ascii="Times New Roman" w:hAnsi="Times New Roman"/>
          <w:color w:val="000000"/>
          <w:lang w:val="en-GB"/>
        </w:rPr>
        <w:t xml:space="preserve"> limited number of large employers, an industry (whisky) that exports 99% of its output, and very limited services (cf. </w:t>
      </w:r>
      <w:r>
        <w:rPr>
          <w:rFonts w:ascii="Times New Roman" w:hAnsi="Times New Roman"/>
          <w:i/>
          <w:color w:val="000000"/>
          <w:lang w:val="en-GB"/>
        </w:rPr>
        <w:t>ibid</w:t>
      </w:r>
      <w:r w:rsidRPr="00737675">
        <w:rPr>
          <w:rFonts w:ascii="Times New Roman" w:hAnsi="Times New Roman"/>
          <w:color w:val="000000"/>
          <w:lang w:val="en-GB"/>
        </w:rPr>
        <w:t>., p. 107</w:t>
      </w:r>
      <w:r>
        <w:rPr>
          <w:rFonts w:ascii="Times New Roman" w:hAnsi="Times New Roman"/>
          <w:color w:val="000000"/>
          <w:lang w:val="en-GB"/>
        </w:rPr>
        <w:t>6</w:t>
      </w:r>
      <w:r w:rsidRPr="00737675">
        <w:rPr>
          <w:rFonts w:ascii="Times New Roman" w:hAnsi="Times New Roman"/>
          <w:color w:val="000000"/>
          <w:lang w:val="en-GB"/>
        </w:rPr>
        <w:t>).</w:t>
      </w:r>
      <w:r w:rsidRPr="00030FAE">
        <w:rPr>
          <w:color w:val="000000"/>
        </w:rPr>
        <w:t xml:space="preserve"> </w:t>
      </w:r>
      <w:r>
        <w:rPr>
          <w:color w:val="000000"/>
        </w:rPr>
        <w:t xml:space="preserve"> Indeed, Riddington </w:t>
      </w:r>
      <w:r>
        <w:rPr>
          <w:i/>
          <w:color w:val="000000"/>
        </w:rPr>
        <w:t>et al.</w:t>
      </w:r>
      <w:r>
        <w:rPr>
          <w:color w:val="000000"/>
        </w:rPr>
        <w:t xml:space="preserve"> remark that deriving a local table by modifying the Scottish national table makes less sense for the MBS area than for the other, much larger, regions they studied (</w:t>
      </w:r>
      <w:r>
        <w:rPr>
          <w:rFonts w:ascii="Times New Roman" w:hAnsi="Times New Roman"/>
          <w:i/>
          <w:color w:val="000000"/>
          <w:lang w:val="en-GB"/>
        </w:rPr>
        <w:t>ibid</w:t>
      </w:r>
      <w:r w:rsidRPr="00737675">
        <w:rPr>
          <w:rFonts w:ascii="Times New Roman" w:hAnsi="Times New Roman"/>
          <w:color w:val="000000"/>
          <w:lang w:val="en-GB"/>
        </w:rPr>
        <w:t>.).</w:t>
      </w:r>
      <w:r>
        <w:rPr>
          <w:rFonts w:ascii="Times New Roman" w:hAnsi="Times New Roman"/>
          <w:color w:val="000000"/>
          <w:lang w:val="en-GB"/>
        </w:rPr>
        <w:t xml:space="preserve">  This may be one reason why the LQ-based multipliers were smaller than expected, so that a further FLQ-based adjustment for regional size was not required.</w:t>
      </w:r>
      <w:r>
        <w:rPr>
          <w:rFonts w:ascii="Times New Roman" w:hAnsi="Times New Roman"/>
          <w:b/>
          <w:color w:val="000000"/>
          <w:vertAlign w:val="superscript"/>
          <w:lang w:val="en-GB"/>
        </w:rPr>
        <w:t>16</w:t>
      </w:r>
      <w:r>
        <w:rPr>
          <w:rFonts w:ascii="Times New Roman" w:hAnsi="Times New Roman"/>
          <w:color w:val="000000"/>
          <w:lang w:val="en-GB"/>
        </w:rPr>
        <w:t xml:space="preserve">  Finally, as the authors themselves note, their survey had its limitations, so that its use as an accurate </w:t>
      </w:r>
      <w:r w:rsidRPr="00FB37EA">
        <w:rPr>
          <w:rFonts w:ascii="Times New Roman" w:hAnsi="Times New Roman"/>
          <w:color w:val="000000"/>
          <w:lang w:val="en-GB"/>
        </w:rPr>
        <w:t>‘</w:t>
      </w:r>
      <w:r>
        <w:rPr>
          <w:rFonts w:ascii="Times New Roman" w:hAnsi="Times New Roman"/>
          <w:color w:val="000000"/>
          <w:lang w:val="en-GB"/>
        </w:rPr>
        <w:t>benchmark</w:t>
      </w:r>
      <w:r>
        <w:rPr>
          <w:color w:val="000000"/>
        </w:rPr>
        <w:t xml:space="preserve">’ is questionable </w:t>
      </w:r>
      <w:r>
        <w:rPr>
          <w:rFonts w:ascii="Times New Roman" w:hAnsi="Times New Roman"/>
          <w:color w:val="000000"/>
          <w:lang w:val="en-GB"/>
        </w:rPr>
        <w:t xml:space="preserve">(cf. </w:t>
      </w:r>
      <w:r>
        <w:rPr>
          <w:rFonts w:ascii="Times New Roman" w:hAnsi="Times New Roman"/>
          <w:i/>
          <w:color w:val="000000"/>
          <w:lang w:val="en-GB"/>
        </w:rPr>
        <w:t>ibid</w:t>
      </w:r>
      <w:r w:rsidRPr="00737675">
        <w:rPr>
          <w:rFonts w:ascii="Times New Roman" w:hAnsi="Times New Roman"/>
          <w:color w:val="000000"/>
          <w:lang w:val="en-GB"/>
        </w:rPr>
        <w:t>., p. 107</w:t>
      </w:r>
      <w:r>
        <w:rPr>
          <w:rFonts w:ascii="Times New Roman" w:hAnsi="Times New Roman"/>
          <w:color w:val="000000"/>
          <w:lang w:val="en-GB"/>
        </w:rPr>
        <w:t>7</w:t>
      </w:r>
      <w:r w:rsidRPr="00737675">
        <w:rPr>
          <w:rFonts w:ascii="Times New Roman" w:hAnsi="Times New Roman"/>
          <w:color w:val="000000"/>
          <w:lang w:val="en-GB"/>
        </w:rPr>
        <w:t>).</w:t>
      </w:r>
      <w:r w:rsidRPr="00030FAE">
        <w:rPr>
          <w:color w:val="000000"/>
        </w:rPr>
        <w:t xml:space="preserve"> </w:t>
      </w:r>
      <w:r>
        <w:rPr>
          <w:color w:val="000000"/>
        </w:rPr>
        <w:t xml:space="preserve"> </w:t>
      </w:r>
    </w:p>
    <w:p w:rsidR="00B95D03" w:rsidRDefault="00B95D03" w:rsidP="00B95D03">
      <w:pPr>
        <w:pStyle w:val="Normaali1"/>
        <w:tabs>
          <w:tab w:val="left" w:pos="3120"/>
          <w:tab w:val="left" w:pos="6120"/>
        </w:tabs>
        <w:spacing w:line="480" w:lineRule="auto"/>
        <w:ind w:firstLine="426"/>
        <w:rPr>
          <w:rFonts w:ascii="Times New Roman" w:hAnsi="Times New Roman"/>
        </w:rPr>
      </w:pPr>
      <w:r>
        <w:rPr>
          <w:rFonts w:ascii="Times New Roman" w:hAnsi="Times New Roman"/>
          <w:color w:val="000000"/>
        </w:rPr>
        <w:t>We would argue, therefore, that it is by no means evident</w:t>
      </w:r>
      <w:r>
        <w:rPr>
          <w:color w:val="000000"/>
        </w:rPr>
        <w:t xml:space="preserve"> that a gravity modelling approach is superior to the FLQ, especially when its complexity, cost and extensive data requirements are borne in mind.  Even so, it is worth reiterating that the FLQ only aims to provide a cost-effective way of generating an </w:t>
      </w:r>
      <w:r>
        <w:rPr>
          <w:i/>
          <w:color w:val="000000"/>
        </w:rPr>
        <w:t>initial</w:t>
      </w:r>
      <w:r>
        <w:rPr>
          <w:rFonts w:ascii="Times New Roman" w:hAnsi="Times New Roman"/>
          <w:color w:val="000000"/>
        </w:rPr>
        <w:t xml:space="preserve"> set of regional </w:t>
      </w:r>
      <w:r w:rsidRPr="00FB37EA">
        <w:rPr>
          <w:rFonts w:ascii="Times New Roman" w:hAnsi="Times New Roman"/>
        </w:rPr>
        <w:t>input</w:t>
      </w:r>
      <w:r>
        <w:rPr>
          <w:rFonts w:ascii="Times New Roman" w:hAnsi="Times New Roman"/>
        </w:rPr>
        <w:t xml:space="preserve"> coefficients.  These should always be scrutinized to check for anomalies and, where appropriate, this analysis </w:t>
      </w:r>
      <w:r>
        <w:rPr>
          <w:rFonts w:ascii="Times New Roman" w:hAnsi="Times New Roman"/>
        </w:rPr>
        <w:lastRenderedPageBreak/>
        <w:t>should be backed up by surveys of key sectors.  The MBS area is a good example of a region where survey-based data could offer a very useful check on the realism of the most important coefficients in the FLQ-based table.</w:t>
      </w:r>
    </w:p>
    <w:p w:rsidR="00B95D03" w:rsidRPr="00BF4E47" w:rsidRDefault="00B95D03" w:rsidP="00B95D03">
      <w:pPr>
        <w:pStyle w:val="Normaali1"/>
        <w:tabs>
          <w:tab w:val="left" w:pos="360"/>
        </w:tabs>
        <w:spacing w:line="480" w:lineRule="auto"/>
        <w:rPr>
          <w:rFonts w:ascii="Times New Roman" w:hAnsi="Times New Roman"/>
        </w:rPr>
      </w:pPr>
    </w:p>
    <w:p w:rsidR="00B95D03" w:rsidRDefault="00B95D03" w:rsidP="00B95D03">
      <w:pPr>
        <w:pStyle w:val="Normaali1"/>
        <w:tabs>
          <w:tab w:val="left" w:pos="360"/>
        </w:tabs>
        <w:spacing w:line="480" w:lineRule="auto"/>
        <w:jc w:val="center"/>
        <w:rPr>
          <w:rFonts w:ascii="Times New Roman" w:hAnsi="Times New Roman"/>
          <w:b/>
        </w:rPr>
      </w:pPr>
      <w:r>
        <w:rPr>
          <w:rFonts w:ascii="Times New Roman" w:hAnsi="Times New Roman"/>
          <w:b/>
        </w:rPr>
        <w:t>FINNISH REGIONS</w:t>
      </w:r>
    </w:p>
    <w:p w:rsidR="00B95D03" w:rsidRDefault="00B95D03" w:rsidP="00B95D03">
      <w:pPr>
        <w:pStyle w:val="Normaali1"/>
        <w:tabs>
          <w:tab w:val="left" w:pos="360"/>
        </w:tabs>
        <w:spacing w:line="480" w:lineRule="auto"/>
        <w:rPr>
          <w:rFonts w:ascii="Times New Roman" w:hAnsi="Times New Roman"/>
        </w:rPr>
      </w:pPr>
      <w:r>
        <w:rPr>
          <w:rFonts w:ascii="Times New Roman" w:hAnsi="Times New Roman"/>
        </w:rPr>
        <w:t>Before considering the relative performance of the different LQ-based formulae, it may be helpful to examine the characteristics of the 20 Finnish regions.</w:t>
      </w:r>
      <w:r w:rsidRPr="0092108E">
        <w:rPr>
          <w:rFonts w:ascii="Times New Roman" w:hAnsi="Times New Roman"/>
        </w:rPr>
        <w:t xml:space="preserve"> </w:t>
      </w:r>
      <w:r>
        <w:rPr>
          <w:rFonts w:ascii="Times New Roman" w:hAnsi="Times New Roman"/>
        </w:rPr>
        <w:t xml:space="preserve"> The location of each region is identified in Figure 1.</w:t>
      </w:r>
    </w:p>
    <w:p w:rsidR="00B95D03" w:rsidRDefault="00B95D03" w:rsidP="00B95D03">
      <w:pPr>
        <w:pStyle w:val="Normaali1"/>
        <w:tabs>
          <w:tab w:val="left" w:pos="360"/>
        </w:tabs>
        <w:spacing w:line="480" w:lineRule="auto"/>
        <w:jc w:val="center"/>
        <w:rPr>
          <w:rFonts w:ascii="Times New Roman" w:hAnsi="Times New Roman"/>
        </w:rPr>
      </w:pPr>
      <w:r>
        <w:rPr>
          <w:rFonts w:ascii="Times New Roman" w:hAnsi="Times New Roman"/>
          <w:b/>
          <w:color w:val="000000"/>
          <w:szCs w:val="26"/>
        </w:rPr>
        <w:t xml:space="preserve">Table 1 and </w:t>
      </w:r>
      <w:r w:rsidRPr="00514DF0">
        <w:rPr>
          <w:b/>
          <w:color w:val="000000"/>
          <w:szCs w:val="26"/>
        </w:rPr>
        <w:t>Figure 1</w:t>
      </w:r>
      <w:r>
        <w:rPr>
          <w:b/>
          <w:color w:val="000000"/>
          <w:szCs w:val="26"/>
        </w:rPr>
        <w:t xml:space="preserve"> near here</w:t>
      </w:r>
    </w:p>
    <w:p w:rsidR="00B95D03" w:rsidRDefault="00B95D03" w:rsidP="00B95D03">
      <w:pPr>
        <w:pStyle w:val="Normaali1"/>
        <w:spacing w:line="480" w:lineRule="auto"/>
        <w:ind w:firstLine="426"/>
        <w:rPr>
          <w:rFonts w:ascii="Times New Roman" w:hAnsi="Times New Roman"/>
          <w:b/>
          <w:lang w:val="en-GB"/>
        </w:rPr>
      </w:pPr>
      <w:r>
        <w:rPr>
          <w:rFonts w:ascii="Times New Roman" w:hAnsi="Times New Roman"/>
        </w:rPr>
        <w:t xml:space="preserve">Table 1 reveals some marked differences in the characteristics of the regions, most notably in terms of their relative size.  </w:t>
      </w:r>
      <w:r>
        <w:rPr>
          <w:rFonts w:ascii="Times New Roman" w:hAnsi="Times New Roman"/>
          <w:lang w:val="en-GB"/>
        </w:rPr>
        <w:t>Regional size can be measured in several different ways and the first four columns of Table 1 illustrate some of possibilities.  The measures are obviously closely related, and the close relationship between the share of output and the share of employees (</w:t>
      </w:r>
      <w:r>
        <w:rPr>
          <w:rFonts w:ascii="Times New Roman" w:hAnsi="Times New Roman"/>
          <w:i/>
          <w:lang w:val="en-GB"/>
        </w:rPr>
        <w:t>r</w:t>
      </w:r>
      <w:r>
        <w:rPr>
          <w:rFonts w:ascii="Times New Roman" w:hAnsi="Times New Roman"/>
          <w:lang w:val="en-GB"/>
        </w:rPr>
        <w:t xml:space="preserve"> = 0.997) is reassuring because the regional modeller typically has to use employment data as a proxy for regional output data, which are not normally available.</w:t>
      </w:r>
      <w:r w:rsidRPr="0092108E">
        <w:rPr>
          <w:rFonts w:ascii="Times New Roman" w:hAnsi="Times New Roman"/>
          <w:b/>
          <w:vertAlign w:val="superscript"/>
          <w:lang w:val="en-GB"/>
        </w:rPr>
        <w:t>1</w:t>
      </w:r>
      <w:r>
        <w:rPr>
          <w:rFonts w:ascii="Times New Roman" w:hAnsi="Times New Roman"/>
          <w:b/>
          <w:vertAlign w:val="superscript"/>
          <w:lang w:val="en-GB"/>
        </w:rPr>
        <w:t>7</w:t>
      </w:r>
    </w:p>
    <w:p w:rsidR="00B95D03" w:rsidRDefault="00B95D03" w:rsidP="00B95D03">
      <w:pPr>
        <w:pStyle w:val="Normaali1"/>
        <w:spacing w:line="480" w:lineRule="auto"/>
        <w:ind w:firstLine="426"/>
      </w:pPr>
      <w:r w:rsidRPr="0092108E">
        <w:rPr>
          <w:color w:val="000000"/>
        </w:rPr>
        <w:t>Uusimaa</w:t>
      </w:r>
      <w:r w:rsidRPr="00F1617D">
        <w:rPr>
          <w:color w:val="000000"/>
        </w:rPr>
        <w:t xml:space="preserve"> </w:t>
      </w:r>
      <w:r>
        <w:rPr>
          <w:color w:val="000000"/>
        </w:rPr>
        <w:t xml:space="preserve">is by far the largest region.  </w:t>
      </w:r>
      <w:r>
        <w:t>The</w:t>
      </w:r>
      <w:r w:rsidRPr="00F1617D">
        <w:t xml:space="preserve"> central </w:t>
      </w:r>
      <w:r>
        <w:t xml:space="preserve">government </w:t>
      </w:r>
      <w:r w:rsidRPr="00F1617D">
        <w:t xml:space="preserve">is </w:t>
      </w:r>
      <w:r>
        <w:t xml:space="preserve">situated in this region and it is </w:t>
      </w:r>
      <w:r w:rsidRPr="00F1617D">
        <w:t>where f</w:t>
      </w:r>
      <w:r>
        <w:t>irm</w:t>
      </w:r>
      <w:r w:rsidRPr="00F1617D">
        <w:t>s maintain their headquarters</w:t>
      </w:r>
      <w:r>
        <w:t xml:space="preserve">.  </w:t>
      </w:r>
      <w:r>
        <w:rPr>
          <w:color w:val="000000"/>
        </w:rPr>
        <w:t xml:space="preserve">It </w:t>
      </w:r>
      <w:r>
        <w:t>h</w:t>
      </w:r>
      <w:r w:rsidRPr="00F1617D">
        <w:t>as a high concentration of public sector jobs</w:t>
      </w:r>
      <w:r>
        <w:t xml:space="preserve">.  </w:t>
      </w:r>
      <w:r>
        <w:rPr>
          <w:lang w:val="en-GB"/>
        </w:rPr>
        <w:t xml:space="preserve">Helsinki, </w:t>
      </w:r>
      <w:r w:rsidRPr="00B4192E">
        <w:rPr>
          <w:lang w:val="en-GB"/>
        </w:rPr>
        <w:t>the capital city of Finland</w:t>
      </w:r>
      <w:r>
        <w:rPr>
          <w:lang w:val="en-GB"/>
        </w:rPr>
        <w:t xml:space="preserve">, is located in </w:t>
      </w:r>
      <w:r>
        <w:t>Uusimaa</w:t>
      </w:r>
      <w:r>
        <w:rPr>
          <w:lang w:val="en-GB"/>
        </w:rPr>
        <w:t xml:space="preserve">.  </w:t>
      </w:r>
      <w:r w:rsidRPr="00F1617D">
        <w:t>Electronics manufacturing is a major industry</w:t>
      </w:r>
      <w:r>
        <w:t>.  Uusimaa is</w:t>
      </w:r>
      <w:r w:rsidRPr="00F1617D">
        <w:t xml:space="preserve"> </w:t>
      </w:r>
      <w:r>
        <w:t xml:space="preserve">also </w:t>
      </w:r>
      <w:r w:rsidRPr="00F1617D">
        <w:t>a</w:t>
      </w:r>
      <w:r>
        <w:t>n</w:t>
      </w:r>
      <w:r w:rsidRPr="00F1617D">
        <w:t xml:space="preserve"> i</w:t>
      </w:r>
      <w:r>
        <w:t>mportant node of foreign trade.</w:t>
      </w:r>
    </w:p>
    <w:p w:rsidR="00B95D03" w:rsidRDefault="00B95D03" w:rsidP="00B95D03">
      <w:pPr>
        <w:pStyle w:val="Normaali1"/>
        <w:spacing w:line="480" w:lineRule="auto"/>
        <w:ind w:firstLine="426"/>
        <w:rPr>
          <w:rFonts w:ascii="Times New Roman" w:hAnsi="Times New Roman"/>
          <w:lang w:val="en-GB"/>
        </w:rPr>
      </w:pPr>
      <w:r>
        <w:t xml:space="preserve">At the opposite extreme, </w:t>
      </w:r>
      <w:r w:rsidRPr="00B4192E">
        <w:rPr>
          <w:rFonts w:ascii="Times New Roman" w:hAnsi="Times New Roman"/>
          <w:szCs w:val="26"/>
          <w:lang w:val="en-GB"/>
        </w:rPr>
        <w:t xml:space="preserve">Ahvenanmaa is </w:t>
      </w:r>
      <w:r>
        <w:rPr>
          <w:rFonts w:ascii="Times New Roman" w:hAnsi="Times New Roman"/>
          <w:szCs w:val="26"/>
          <w:lang w:val="en-GB"/>
        </w:rPr>
        <w:t xml:space="preserve">clearly </w:t>
      </w:r>
      <w:r w:rsidRPr="00B4192E">
        <w:rPr>
          <w:rFonts w:ascii="Times New Roman" w:hAnsi="Times New Roman"/>
          <w:szCs w:val="26"/>
          <w:lang w:val="en-GB"/>
        </w:rPr>
        <w:t xml:space="preserve">the </w:t>
      </w:r>
      <w:r w:rsidRPr="00B4192E">
        <w:rPr>
          <w:rFonts w:ascii="Times New Roman" w:hAnsi="Times New Roman"/>
          <w:lang w:val="en-GB"/>
        </w:rPr>
        <w:t>s</w:t>
      </w:r>
      <w:r>
        <w:rPr>
          <w:rFonts w:ascii="Times New Roman" w:hAnsi="Times New Roman"/>
          <w:lang w:val="en-GB"/>
        </w:rPr>
        <w:t>mallest</w:t>
      </w:r>
      <w:r w:rsidRPr="00B4192E">
        <w:rPr>
          <w:rFonts w:ascii="Times New Roman" w:hAnsi="Times New Roman"/>
          <w:lang w:val="en-GB"/>
        </w:rPr>
        <w:t xml:space="preserve"> </w:t>
      </w:r>
      <w:r>
        <w:rPr>
          <w:rFonts w:ascii="Times New Roman" w:hAnsi="Times New Roman"/>
          <w:lang w:val="en-GB"/>
        </w:rPr>
        <w:t xml:space="preserve">Finnish </w:t>
      </w:r>
      <w:r w:rsidRPr="00B4192E">
        <w:rPr>
          <w:rFonts w:ascii="Times New Roman" w:hAnsi="Times New Roman"/>
          <w:lang w:val="en-GB"/>
        </w:rPr>
        <w:t>region</w:t>
      </w:r>
      <w:r>
        <w:rPr>
          <w:rFonts w:ascii="Times New Roman" w:hAnsi="Times New Roman"/>
          <w:lang w:val="en-GB"/>
        </w:rPr>
        <w:t>.  It is also unusual in being an insular region.</w:t>
      </w:r>
      <w:r w:rsidRPr="00B4192E">
        <w:rPr>
          <w:rFonts w:ascii="Times New Roman" w:hAnsi="Times New Roman"/>
          <w:lang w:val="en-GB"/>
        </w:rPr>
        <w:t xml:space="preserve"> </w:t>
      </w:r>
      <w:r>
        <w:rPr>
          <w:rFonts w:ascii="Times New Roman" w:hAnsi="Times New Roman"/>
          <w:lang w:val="en-GB"/>
        </w:rPr>
        <w:t xml:space="preserve">It </w:t>
      </w:r>
      <w:r w:rsidRPr="00B4192E">
        <w:rPr>
          <w:rFonts w:ascii="Times New Roman" w:hAnsi="Times New Roman"/>
          <w:lang w:val="en-GB"/>
        </w:rPr>
        <w:t>speciali</w:t>
      </w:r>
      <w:r>
        <w:rPr>
          <w:rFonts w:ascii="Times New Roman" w:hAnsi="Times New Roman"/>
          <w:lang w:val="en-GB"/>
        </w:rPr>
        <w:t>z</w:t>
      </w:r>
      <w:r w:rsidRPr="00B4192E">
        <w:rPr>
          <w:rFonts w:ascii="Times New Roman" w:hAnsi="Times New Roman"/>
          <w:lang w:val="en-GB"/>
        </w:rPr>
        <w:t xml:space="preserve">es in fishing and </w:t>
      </w:r>
      <w:r>
        <w:rPr>
          <w:rFonts w:ascii="Times New Roman" w:hAnsi="Times New Roman"/>
          <w:lang w:val="en-GB"/>
        </w:rPr>
        <w:t xml:space="preserve">in </w:t>
      </w:r>
      <w:r w:rsidRPr="00B4192E">
        <w:rPr>
          <w:rFonts w:ascii="Times New Roman" w:hAnsi="Times New Roman"/>
          <w:lang w:val="en-GB"/>
        </w:rPr>
        <w:t>services</w:t>
      </w:r>
      <w:r>
        <w:rPr>
          <w:rFonts w:ascii="Times New Roman" w:hAnsi="Times New Roman"/>
          <w:lang w:val="en-GB"/>
        </w:rPr>
        <w:t xml:space="preserve"> </w:t>
      </w:r>
      <w:r>
        <w:rPr>
          <w:rFonts w:ascii="Times New Roman" w:hAnsi="Times New Roman"/>
          <w:lang w:val="en-GB"/>
        </w:rPr>
        <w:sym w:font="Symbol" w:char="F02D"/>
      </w:r>
      <w:r w:rsidRPr="00B4192E">
        <w:rPr>
          <w:rFonts w:ascii="Times New Roman" w:hAnsi="Times New Roman"/>
          <w:lang w:val="en-GB"/>
        </w:rPr>
        <w:t xml:space="preserve"> e</w:t>
      </w:r>
      <w:r>
        <w:rPr>
          <w:rFonts w:ascii="Times New Roman" w:hAnsi="Times New Roman"/>
          <w:lang w:val="en-GB"/>
        </w:rPr>
        <w:t xml:space="preserve">specially </w:t>
      </w:r>
      <w:r w:rsidRPr="00B4192E">
        <w:rPr>
          <w:rFonts w:ascii="Times New Roman" w:hAnsi="Times New Roman"/>
          <w:lang w:val="en-GB"/>
        </w:rPr>
        <w:t>transport</w:t>
      </w:r>
      <w:r>
        <w:rPr>
          <w:rFonts w:ascii="Times New Roman" w:hAnsi="Times New Roman"/>
          <w:lang w:val="en-GB"/>
        </w:rPr>
        <w:t xml:space="preserve"> </w:t>
      </w:r>
      <w:r>
        <w:rPr>
          <w:rFonts w:ascii="Times New Roman" w:hAnsi="Times New Roman"/>
          <w:lang w:val="en-GB"/>
        </w:rPr>
        <w:sym w:font="Symbol" w:char="F02D"/>
      </w:r>
      <w:r>
        <w:rPr>
          <w:rFonts w:ascii="Times New Roman" w:hAnsi="Times New Roman"/>
          <w:lang w:val="en-GB"/>
        </w:rPr>
        <w:t xml:space="preserve"> but it</w:t>
      </w:r>
      <w:r w:rsidRPr="00B4192E">
        <w:rPr>
          <w:rFonts w:ascii="Times New Roman" w:hAnsi="Times New Roman"/>
          <w:lang w:val="en-GB"/>
        </w:rPr>
        <w:t xml:space="preserve"> also has some manufacturing, the mainstay of which is the food industry.</w:t>
      </w:r>
    </w:p>
    <w:p w:rsidR="00B95D03" w:rsidRPr="00E43F19" w:rsidRDefault="00B95D03" w:rsidP="00B95D03">
      <w:pPr>
        <w:widowControl w:val="0"/>
        <w:tabs>
          <w:tab w:val="left" w:pos="360"/>
          <w:tab w:val="left" w:pos="8931"/>
        </w:tabs>
        <w:spacing w:line="480" w:lineRule="auto"/>
        <w:rPr>
          <w:color w:val="000000"/>
        </w:rPr>
      </w:pPr>
      <w:r>
        <w:tab/>
        <w:t xml:space="preserve">The other 18 Finnish regions exhibit considerable diversity in terms of orientation.  For instance, </w:t>
      </w:r>
      <w:r w:rsidRPr="00A45E3E">
        <w:rPr>
          <w:color w:val="000000"/>
        </w:rPr>
        <w:t>Satakunta, Pirkanmaa, Päijät-Häme, Kymenlaakso</w:t>
      </w:r>
      <w:r>
        <w:rPr>
          <w:color w:val="000000"/>
        </w:rPr>
        <w:t xml:space="preserve"> and</w:t>
      </w:r>
      <w:r w:rsidRPr="00A45E3E">
        <w:rPr>
          <w:color w:val="000000"/>
        </w:rPr>
        <w:t xml:space="preserve"> Etelä-Karjala form a manufacturing belt with many manufacturing clusters. </w:t>
      </w:r>
      <w:r>
        <w:rPr>
          <w:color w:val="000000"/>
        </w:rPr>
        <w:t xml:space="preserve"> </w:t>
      </w:r>
      <w:r w:rsidRPr="00A45E3E">
        <w:rPr>
          <w:color w:val="000000"/>
        </w:rPr>
        <w:t>Also</w:t>
      </w:r>
      <w:r>
        <w:rPr>
          <w:color w:val="000000"/>
        </w:rPr>
        <w:t>,</w:t>
      </w:r>
      <w:r w:rsidRPr="00A45E3E">
        <w:rPr>
          <w:color w:val="000000"/>
        </w:rPr>
        <w:t xml:space="preserve"> in Varsinais-Suomi, Keski-</w:t>
      </w:r>
      <w:r w:rsidRPr="00A45E3E">
        <w:rPr>
          <w:color w:val="000000"/>
        </w:rPr>
        <w:lastRenderedPageBreak/>
        <w:t>Suomi, Pohjanmaa and Pohjois-Pohjanmaa</w:t>
      </w:r>
      <w:r>
        <w:rPr>
          <w:color w:val="000000"/>
        </w:rPr>
        <w:t>,</w:t>
      </w:r>
      <w:r w:rsidRPr="00A45E3E">
        <w:rPr>
          <w:color w:val="000000"/>
        </w:rPr>
        <w:t xml:space="preserve"> the regional industrial structure is characterized by manufactur</w:t>
      </w:r>
      <w:r>
        <w:rPr>
          <w:color w:val="000000"/>
        </w:rPr>
        <w:t xml:space="preserve">ing, and </w:t>
      </w:r>
      <w:r w:rsidRPr="00A45E3E">
        <w:rPr>
          <w:color w:val="000000"/>
        </w:rPr>
        <w:t xml:space="preserve">the most specialized </w:t>
      </w:r>
      <w:r>
        <w:rPr>
          <w:color w:val="000000"/>
        </w:rPr>
        <w:t>industri</w:t>
      </w:r>
      <w:r w:rsidRPr="00ED3245">
        <w:rPr>
          <w:color w:val="000000"/>
        </w:rPr>
        <w:t>es</w:t>
      </w:r>
      <w:r w:rsidRPr="00A45E3E">
        <w:rPr>
          <w:color w:val="000000"/>
        </w:rPr>
        <w:t xml:space="preserve"> </w:t>
      </w:r>
      <w:r>
        <w:rPr>
          <w:color w:val="000000"/>
        </w:rPr>
        <w:t>are</w:t>
      </w:r>
      <w:r w:rsidRPr="00A45E3E">
        <w:rPr>
          <w:color w:val="000000"/>
        </w:rPr>
        <w:t xml:space="preserve"> wood, metal</w:t>
      </w:r>
      <w:r>
        <w:rPr>
          <w:color w:val="000000"/>
        </w:rPr>
        <w:t>s</w:t>
      </w:r>
      <w:r w:rsidRPr="00A45E3E">
        <w:rPr>
          <w:color w:val="000000"/>
        </w:rPr>
        <w:t>, petroleum, machinery, transport equipment, rubber, electronics and paper.</w:t>
      </w:r>
      <w:r>
        <w:rPr>
          <w:color w:val="000000"/>
        </w:rPr>
        <w:t xml:space="preserve">  By contrast, </w:t>
      </w:r>
      <w:r w:rsidRPr="00CB4E61">
        <w:t>Itä-Uusimaa ha</w:t>
      </w:r>
      <w:r>
        <w:t>s</w:t>
      </w:r>
      <w:r w:rsidRPr="00CB4E61">
        <w:t xml:space="preserve"> only a few specialist manufacturing </w:t>
      </w:r>
      <w:r w:rsidRPr="00ED3245">
        <w:t>industries</w:t>
      </w:r>
      <w:r w:rsidRPr="00CB4E61">
        <w:t xml:space="preserve">, </w:t>
      </w:r>
      <w:r>
        <w:t xml:space="preserve">most notably </w:t>
      </w:r>
      <w:r w:rsidRPr="00CB4E61">
        <w:t>petroleum and chemicals</w:t>
      </w:r>
      <w:r>
        <w:t xml:space="preserve">.  </w:t>
      </w:r>
      <w:r w:rsidRPr="00B4192E">
        <w:t>In the Kainuu region</w:t>
      </w:r>
      <w:r>
        <w:t>,</w:t>
      </w:r>
      <w:r w:rsidRPr="00B4192E">
        <w:t xml:space="preserve"> agriculture, forestry and logging</w:t>
      </w:r>
      <w:r>
        <w:t>,</w:t>
      </w:r>
      <w:r w:rsidRPr="00B4192E">
        <w:t xml:space="preserve"> and mining are </w:t>
      </w:r>
      <w:r>
        <w:t>more p</w:t>
      </w:r>
      <w:r w:rsidRPr="00B4192E">
        <w:t>ro</w:t>
      </w:r>
      <w:r>
        <w:t>minent</w:t>
      </w:r>
      <w:r w:rsidRPr="00B4192E">
        <w:t xml:space="preserve"> than </w:t>
      </w:r>
      <w:r>
        <w:t>elsewhere</w:t>
      </w:r>
      <w:r w:rsidRPr="00B4192E">
        <w:t xml:space="preserve">. </w:t>
      </w:r>
      <w:r>
        <w:t xml:space="preserve"> There is some m</w:t>
      </w:r>
      <w:r w:rsidRPr="00B4192E">
        <w:t>anufacturing activity</w:t>
      </w:r>
      <w:r>
        <w:t>; this includes</w:t>
      </w:r>
      <w:r w:rsidRPr="00B4192E">
        <w:t xml:space="preserve"> </w:t>
      </w:r>
      <w:r>
        <w:t>w</w:t>
      </w:r>
      <w:r w:rsidRPr="00ED3245">
        <w:t>ood</w:t>
      </w:r>
      <w:r>
        <w:t xml:space="preserve">, along with </w:t>
      </w:r>
      <w:r w:rsidRPr="00ED3245">
        <w:t xml:space="preserve">medical </w:t>
      </w:r>
      <w:r>
        <w:t>and</w:t>
      </w:r>
      <w:r w:rsidRPr="00ED3245">
        <w:t xml:space="preserve"> optical instruments.  </w:t>
      </w:r>
      <w:r w:rsidRPr="00A45E3E">
        <w:rPr>
          <w:color w:val="000000"/>
        </w:rPr>
        <w:t>Kanta-Häme ha</w:t>
      </w:r>
      <w:r>
        <w:rPr>
          <w:color w:val="000000"/>
        </w:rPr>
        <w:t>s</w:t>
      </w:r>
      <w:r w:rsidRPr="00A45E3E">
        <w:rPr>
          <w:color w:val="000000"/>
        </w:rPr>
        <w:t xml:space="preserve"> many manufacturing </w:t>
      </w:r>
      <w:r w:rsidRPr="00E43F19">
        <w:rPr>
          <w:color w:val="000000"/>
        </w:rPr>
        <w:t xml:space="preserve">industries </w:t>
      </w:r>
      <w:r>
        <w:rPr>
          <w:color w:val="000000"/>
        </w:rPr>
        <w:t xml:space="preserve">with </w:t>
      </w:r>
      <w:r w:rsidRPr="00E43F19">
        <w:rPr>
          <w:color w:val="000000"/>
        </w:rPr>
        <w:t>above-average concentration; these include food, metal</w:t>
      </w:r>
      <w:r>
        <w:rPr>
          <w:color w:val="000000"/>
        </w:rPr>
        <w:t>s</w:t>
      </w:r>
      <w:r w:rsidRPr="00E43F19">
        <w:rPr>
          <w:color w:val="000000"/>
        </w:rPr>
        <w:t>, textile</w:t>
      </w:r>
      <w:r>
        <w:rPr>
          <w:color w:val="000000"/>
        </w:rPr>
        <w:t>s</w:t>
      </w:r>
      <w:r w:rsidRPr="00E43F19">
        <w:rPr>
          <w:color w:val="000000"/>
        </w:rPr>
        <w:t xml:space="preserve"> and furniture.</w:t>
      </w:r>
    </w:p>
    <w:p w:rsidR="00B95D03" w:rsidRDefault="00B95D03" w:rsidP="00B95D03">
      <w:pPr>
        <w:pStyle w:val="Normaali1"/>
        <w:tabs>
          <w:tab w:val="left" w:pos="360"/>
        </w:tabs>
        <w:spacing w:line="480" w:lineRule="auto"/>
        <w:rPr>
          <w:rFonts w:ascii="Times New Roman" w:hAnsi="Times New Roman"/>
          <w:lang w:val="en-GB"/>
        </w:rPr>
      </w:pPr>
      <w:r>
        <w:rPr>
          <w:color w:val="000000"/>
        </w:rPr>
        <w:tab/>
        <w:t>E</w:t>
      </w:r>
      <w:r w:rsidRPr="00A45E3E">
        <w:rPr>
          <w:color w:val="000000"/>
        </w:rPr>
        <w:t>xtraction</w:t>
      </w:r>
      <w:r>
        <w:rPr>
          <w:color w:val="000000"/>
        </w:rPr>
        <w:t xml:space="preserve"> </w:t>
      </w:r>
      <w:r w:rsidRPr="00A45E3E">
        <w:rPr>
          <w:color w:val="000000"/>
        </w:rPr>
        <w:t>characterizes Etelä-Savo, Pohjois-Savo, Pohjois-Karjala, Etelä-Pohjanmaa, Keski-Pohjanmaa and Lappi, and manufacturing</w:t>
      </w:r>
      <w:r>
        <w:rPr>
          <w:color w:val="000000"/>
        </w:rPr>
        <w:t>’s</w:t>
      </w:r>
      <w:r w:rsidRPr="00A45E3E">
        <w:rPr>
          <w:color w:val="000000"/>
        </w:rPr>
        <w:t xml:space="preserve"> share of employment is below the average for Finland. </w:t>
      </w:r>
      <w:r>
        <w:rPr>
          <w:color w:val="000000"/>
        </w:rPr>
        <w:t xml:space="preserve"> </w:t>
      </w:r>
      <w:r w:rsidRPr="00A45E3E">
        <w:rPr>
          <w:color w:val="000000"/>
        </w:rPr>
        <w:t>The speciali</w:t>
      </w:r>
      <w:r>
        <w:rPr>
          <w:color w:val="000000"/>
        </w:rPr>
        <w:t>st</w:t>
      </w:r>
      <w:r w:rsidRPr="00A45E3E">
        <w:rPr>
          <w:color w:val="000000"/>
        </w:rPr>
        <w:t xml:space="preserve"> manufacturing </w:t>
      </w:r>
      <w:r w:rsidRPr="009109A6">
        <w:rPr>
          <w:color w:val="000000"/>
        </w:rPr>
        <w:t xml:space="preserve">industries </w:t>
      </w:r>
      <w:r w:rsidRPr="00A45E3E">
        <w:rPr>
          <w:color w:val="000000"/>
        </w:rPr>
        <w:t>in these regions are food, wood, furniture, textile</w:t>
      </w:r>
      <w:r>
        <w:rPr>
          <w:color w:val="000000"/>
        </w:rPr>
        <w:t>s</w:t>
      </w:r>
      <w:r w:rsidRPr="00A45E3E">
        <w:rPr>
          <w:color w:val="000000"/>
        </w:rPr>
        <w:t xml:space="preserve"> and leather. </w:t>
      </w:r>
      <w:r>
        <w:rPr>
          <w:color w:val="000000"/>
        </w:rPr>
        <w:t xml:space="preserve"> </w:t>
      </w:r>
      <w:r w:rsidRPr="00A45E3E">
        <w:rPr>
          <w:color w:val="000000"/>
        </w:rPr>
        <w:t>Some large-scale industry</w:t>
      </w:r>
      <w:r>
        <w:rPr>
          <w:color w:val="000000"/>
        </w:rPr>
        <w:t xml:space="preserve"> </w:t>
      </w:r>
      <w:r>
        <w:rPr>
          <w:color w:val="000000"/>
        </w:rPr>
        <w:sym w:font="Symbol" w:char="F02D"/>
      </w:r>
      <w:r w:rsidRPr="00A45E3E">
        <w:rPr>
          <w:color w:val="000000"/>
        </w:rPr>
        <w:t xml:space="preserve"> largely paper, metal</w:t>
      </w:r>
      <w:r>
        <w:rPr>
          <w:color w:val="000000"/>
        </w:rPr>
        <w:t>s</w:t>
      </w:r>
      <w:r w:rsidRPr="00A45E3E">
        <w:rPr>
          <w:color w:val="000000"/>
        </w:rPr>
        <w:t>, chemical</w:t>
      </w:r>
      <w:r>
        <w:rPr>
          <w:color w:val="000000"/>
        </w:rPr>
        <w:t>s,</w:t>
      </w:r>
      <w:r w:rsidRPr="00A45E3E">
        <w:rPr>
          <w:color w:val="000000"/>
        </w:rPr>
        <w:t xml:space="preserve"> and rubber and plastic</w:t>
      </w:r>
      <w:r>
        <w:rPr>
          <w:color w:val="000000"/>
        </w:rPr>
        <w:t xml:space="preserve"> product</w:t>
      </w:r>
      <w:r w:rsidRPr="00A45E3E">
        <w:rPr>
          <w:color w:val="000000"/>
        </w:rPr>
        <w:t xml:space="preserve">s </w:t>
      </w:r>
      <w:r>
        <w:rPr>
          <w:color w:val="000000"/>
        </w:rPr>
        <w:sym w:font="Symbol" w:char="F02D"/>
      </w:r>
      <w:r w:rsidRPr="00A45E3E">
        <w:rPr>
          <w:color w:val="000000"/>
        </w:rPr>
        <w:t xml:space="preserve"> is also located in these regions. </w:t>
      </w:r>
      <w:r>
        <w:rPr>
          <w:color w:val="000000"/>
        </w:rPr>
        <w:t xml:space="preserve"> </w:t>
      </w:r>
      <w:r w:rsidRPr="00A45E3E">
        <w:rPr>
          <w:color w:val="000000"/>
        </w:rPr>
        <w:t xml:space="preserve">Keski-Pohjanmaa and Etelä-Pohjanmaa also have </w:t>
      </w:r>
      <w:r>
        <w:rPr>
          <w:color w:val="000000"/>
        </w:rPr>
        <w:t xml:space="preserve">many </w:t>
      </w:r>
      <w:r w:rsidRPr="00A45E3E">
        <w:rPr>
          <w:color w:val="000000"/>
        </w:rPr>
        <w:t>small</w:t>
      </w:r>
      <w:r>
        <w:rPr>
          <w:color w:val="000000"/>
        </w:rPr>
        <w:t xml:space="preserve"> </w:t>
      </w:r>
      <w:r w:rsidRPr="00A45E3E">
        <w:rPr>
          <w:color w:val="000000"/>
        </w:rPr>
        <w:t>business</w:t>
      </w:r>
      <w:r>
        <w:rPr>
          <w:color w:val="000000"/>
        </w:rPr>
        <w:t>es</w:t>
      </w:r>
      <w:r w:rsidRPr="00A45E3E">
        <w:rPr>
          <w:color w:val="000000"/>
        </w:rPr>
        <w:t>.</w:t>
      </w:r>
      <w:r>
        <w:rPr>
          <w:color w:val="000000"/>
        </w:rPr>
        <w:t xml:space="preserve">  Lappi is an atypical region insofar as it is sparsely populated and shares borders with three other countries (Norway, Sweden and Russia).  Only its southern border is with another Finnish region.</w:t>
      </w:r>
    </w:p>
    <w:p w:rsidR="00B95D03" w:rsidRPr="00800BB3" w:rsidRDefault="00B95D03" w:rsidP="00B95D03">
      <w:pPr>
        <w:pStyle w:val="Normaali1"/>
        <w:tabs>
          <w:tab w:val="left" w:pos="360"/>
        </w:tabs>
        <w:spacing w:line="480" w:lineRule="auto"/>
      </w:pPr>
      <w:r>
        <w:rPr>
          <w:rFonts w:ascii="Times New Roman" w:hAnsi="Times New Roman"/>
          <w:lang w:val="en-GB"/>
        </w:rPr>
        <w:tab/>
      </w:r>
      <w:r w:rsidRPr="00192C60">
        <w:t>Table 1 also displays</w:t>
      </w:r>
      <w:r>
        <w:t xml:space="preserve"> some information on the degree of specialization in each region.  When measured in terms of Herfindahl’s index, </w:t>
      </w:r>
      <w:r w:rsidRPr="0032765B">
        <w:rPr>
          <w:i/>
        </w:rPr>
        <w:t>H</w:t>
      </w:r>
      <w:r>
        <w:t xml:space="preserve">, for all industries, it is evident that </w:t>
      </w:r>
      <w:smartTag w:uri="urn:schemas-microsoft-com:office:smarttags" w:element="place">
        <w:r w:rsidRPr="00B4192E">
          <w:rPr>
            <w:szCs w:val="26"/>
          </w:rPr>
          <w:t>Ahvenanmaa</w:t>
        </w:r>
      </w:smartTag>
      <w:r w:rsidRPr="00B4192E">
        <w:rPr>
          <w:szCs w:val="26"/>
        </w:rPr>
        <w:t xml:space="preserve"> is the most </w:t>
      </w:r>
      <w:r w:rsidRPr="00B4192E">
        <w:t xml:space="preserve">specialized region in </w:t>
      </w:r>
      <w:smartTag w:uri="urn:schemas-microsoft-com:office:smarttags" w:element="country-region">
        <w:smartTag w:uri="urn:schemas-microsoft-com:office:smarttags" w:element="place">
          <w:r w:rsidRPr="00B4192E">
            <w:t>Finland</w:t>
          </w:r>
        </w:smartTag>
      </w:smartTag>
      <w:r>
        <w:t xml:space="preserve">.  Using the same criterion, </w:t>
      </w:r>
      <w:r w:rsidRPr="00B4192E">
        <w:t xml:space="preserve">Uusimaa is </w:t>
      </w:r>
      <w:r>
        <w:t>the next most</w:t>
      </w:r>
      <w:r w:rsidRPr="00B4192E">
        <w:t xml:space="preserve"> special</w:t>
      </w:r>
      <w:r>
        <w:t xml:space="preserve">ized region.  However, there is not a great deal of variation in the value of </w:t>
      </w:r>
      <w:r w:rsidRPr="0032765B">
        <w:rPr>
          <w:i/>
        </w:rPr>
        <w:t>H</w:t>
      </w:r>
      <w:r>
        <w:t xml:space="preserve"> for the remaining regions.  The table also reveals that, for most regions, manufacturing is more highly concentrated than are industries in general.</w:t>
      </w:r>
    </w:p>
    <w:p w:rsidR="00B95D03" w:rsidRDefault="00B95D03" w:rsidP="00B95D03">
      <w:pPr>
        <w:tabs>
          <w:tab w:val="left" w:pos="360"/>
        </w:tabs>
        <w:spacing w:line="480" w:lineRule="auto"/>
      </w:pPr>
      <w:r>
        <w:tab/>
        <w:t xml:space="preserve">Another way of attempting to capture the extent of sectoral specialization is by counting the number of sectors that are overrepresented in a regional economy, i.e. those with an SLQ &gt; 1.  Six regions stand out as being highly specialized inasmuch as they have 18 or more </w:t>
      </w:r>
      <w:r>
        <w:lastRenderedPageBreak/>
        <w:t>sectors (out of a possible 37) with an SLQ &gt; 1.  Four of these regions (</w:t>
      </w:r>
      <w:r w:rsidRPr="00A45E3E">
        <w:rPr>
          <w:color w:val="000000"/>
        </w:rPr>
        <w:t>Etelä-Savo, Pohjois-Savo, Pohjois-Karjala</w:t>
      </w:r>
      <w:r>
        <w:rPr>
          <w:color w:val="000000"/>
        </w:rPr>
        <w:t xml:space="preserve"> and</w:t>
      </w:r>
      <w:r w:rsidRPr="00A45E3E">
        <w:rPr>
          <w:color w:val="000000"/>
        </w:rPr>
        <w:t xml:space="preserve"> Etelä-Pohjanmaa</w:t>
      </w:r>
      <w:r>
        <w:t xml:space="preserve">) are heavily involved in extraction.  By contrast, </w:t>
      </w:r>
      <w:r w:rsidRPr="00A45E3E">
        <w:rPr>
          <w:color w:val="000000"/>
        </w:rPr>
        <w:t>Kanta-Häme ha</w:t>
      </w:r>
      <w:r>
        <w:rPr>
          <w:color w:val="000000"/>
        </w:rPr>
        <w:t>s</w:t>
      </w:r>
      <w:r w:rsidRPr="00A45E3E">
        <w:rPr>
          <w:color w:val="000000"/>
        </w:rPr>
        <w:t xml:space="preserve"> many manufacturing sectors that show above</w:t>
      </w:r>
      <w:r>
        <w:rPr>
          <w:color w:val="000000"/>
        </w:rPr>
        <w:t>-</w:t>
      </w:r>
      <w:r w:rsidRPr="00A45E3E">
        <w:rPr>
          <w:color w:val="000000"/>
        </w:rPr>
        <w:t>average concentration</w:t>
      </w:r>
      <w:r>
        <w:rPr>
          <w:color w:val="000000"/>
        </w:rPr>
        <w:t>, whereas the focus i</w:t>
      </w:r>
      <w:r w:rsidRPr="00B4192E">
        <w:t>n the Kainuu region</w:t>
      </w:r>
      <w:r>
        <w:t xml:space="preserve"> is on</w:t>
      </w:r>
      <w:r w:rsidRPr="00B4192E">
        <w:t xml:space="preserve"> agriculture, forestry and logging</w:t>
      </w:r>
      <w:r>
        <w:t>,</w:t>
      </w:r>
      <w:r w:rsidRPr="00B4192E">
        <w:t xml:space="preserve"> and mining</w:t>
      </w:r>
      <w:r>
        <w:t>.</w:t>
      </w:r>
    </w:p>
    <w:p w:rsidR="00B95D03" w:rsidRPr="00CB4E61" w:rsidRDefault="00B95D03" w:rsidP="00B95D03">
      <w:pPr>
        <w:tabs>
          <w:tab w:val="left" w:pos="360"/>
        </w:tabs>
        <w:spacing w:line="480" w:lineRule="auto"/>
      </w:pPr>
      <w:r>
        <w:tab/>
        <w:t>At the other extreme, there are two regions where only seven sectors have an SLQ &gt; 1 and one region with only four SLQs &gt; 1.</w:t>
      </w:r>
      <w:r w:rsidRPr="001726D3">
        <w:rPr>
          <w:color w:val="000000"/>
        </w:rPr>
        <w:t xml:space="preserve"> </w:t>
      </w:r>
      <w:r>
        <w:rPr>
          <w:color w:val="000000"/>
        </w:rPr>
        <w:t xml:space="preserve"> Here it is worth noting that </w:t>
      </w:r>
      <w:r w:rsidRPr="00A45E3E">
        <w:rPr>
          <w:color w:val="000000"/>
        </w:rPr>
        <w:t xml:space="preserve">Etelä-Karjala </w:t>
      </w:r>
      <w:r>
        <w:rPr>
          <w:color w:val="000000"/>
        </w:rPr>
        <w:t xml:space="preserve">and </w:t>
      </w:r>
      <w:r w:rsidRPr="00A45E3E">
        <w:rPr>
          <w:color w:val="000000"/>
        </w:rPr>
        <w:t>Kymenlaakso</w:t>
      </w:r>
      <w:r>
        <w:rPr>
          <w:color w:val="000000"/>
        </w:rPr>
        <w:t xml:space="preserve"> </w:t>
      </w:r>
      <w:r w:rsidRPr="00A45E3E">
        <w:rPr>
          <w:color w:val="000000"/>
        </w:rPr>
        <w:t xml:space="preserve">form </w:t>
      </w:r>
      <w:r>
        <w:rPr>
          <w:color w:val="000000"/>
        </w:rPr>
        <w:t>part of the</w:t>
      </w:r>
      <w:r w:rsidRPr="00A45E3E">
        <w:rPr>
          <w:color w:val="000000"/>
        </w:rPr>
        <w:t xml:space="preserve"> manufacturing belt</w:t>
      </w:r>
      <w:r>
        <w:rPr>
          <w:color w:val="000000"/>
        </w:rPr>
        <w:t xml:space="preserve"> mentioned above, whereas </w:t>
      </w:r>
      <w:r w:rsidRPr="00CB4E61">
        <w:t>Itä-Uusimaa has only a few specialist manufacturing industries.</w:t>
      </w:r>
      <w:r>
        <w:t xml:space="preserve">  Indeed, Table 1 shows that </w:t>
      </w:r>
      <w:r w:rsidRPr="00CB4E61">
        <w:t>Itä-Uusimaa</w:t>
      </w:r>
      <w:r>
        <w:t xml:space="preserve"> has a noticeably lower </w:t>
      </w:r>
      <w:r>
        <w:rPr>
          <w:color w:val="000000"/>
        </w:rPr>
        <w:t xml:space="preserve">value of </w:t>
      </w:r>
      <w:r w:rsidRPr="0032765B">
        <w:rPr>
          <w:i/>
          <w:color w:val="000000"/>
        </w:rPr>
        <w:t>H</w:t>
      </w:r>
      <w:r>
        <w:rPr>
          <w:color w:val="000000"/>
        </w:rPr>
        <w:t xml:space="preserve"> in terms of</w:t>
      </w:r>
      <w:r w:rsidRPr="00A45E3E">
        <w:rPr>
          <w:color w:val="000000"/>
        </w:rPr>
        <w:t xml:space="preserve"> manufacturing</w:t>
      </w:r>
      <w:r>
        <w:rPr>
          <w:color w:val="000000"/>
        </w:rPr>
        <w:t xml:space="preserve"> than the other two</w:t>
      </w:r>
      <w:r>
        <w:t xml:space="preserve"> regions.</w:t>
      </w:r>
    </w:p>
    <w:p w:rsidR="00B95D03" w:rsidRPr="00946B25" w:rsidRDefault="00B95D03" w:rsidP="00B95D03">
      <w:pPr>
        <w:tabs>
          <w:tab w:val="left" w:pos="360"/>
        </w:tabs>
        <w:spacing w:line="480" w:lineRule="auto"/>
      </w:pPr>
      <w:r>
        <w:tab/>
        <w:t>Of course, merely counting the number of sectors that have an SLQ &gt; 1 does not take any account of the extent to which such sectors are overrepresented in the regional economy, so this approach could be misleading.  For instance, both Kainuu</w:t>
      </w:r>
      <w:r w:rsidRPr="00A45E3E">
        <w:rPr>
          <w:color w:val="000000"/>
        </w:rPr>
        <w:t xml:space="preserve"> </w:t>
      </w:r>
      <w:r>
        <w:rPr>
          <w:color w:val="000000"/>
        </w:rPr>
        <w:t xml:space="preserve">and Pohjois-Savo </w:t>
      </w:r>
      <w:r>
        <w:t xml:space="preserve">have 20 sectors with an SLQ &gt; 1, yet the largest SLQ </w:t>
      </w:r>
      <w:r>
        <w:rPr>
          <w:color w:val="000000"/>
        </w:rPr>
        <w:t xml:space="preserve">in </w:t>
      </w:r>
      <w:r w:rsidRPr="00A45E3E">
        <w:rPr>
          <w:color w:val="000000"/>
        </w:rPr>
        <w:t>K</w:t>
      </w:r>
      <w:r>
        <w:rPr>
          <w:color w:val="000000"/>
        </w:rPr>
        <w:t xml:space="preserve">ainuu </w:t>
      </w:r>
      <w:r>
        <w:t xml:space="preserve">is 5.61, well above the </w:t>
      </w:r>
      <w:r>
        <w:rPr>
          <w:color w:val="000000"/>
        </w:rPr>
        <w:t>maximum value of 2.84 in Pohjois-Savo.</w:t>
      </w:r>
    </w:p>
    <w:p w:rsidR="00B95D03" w:rsidRDefault="00B95D03" w:rsidP="00B95D03">
      <w:pPr>
        <w:widowControl w:val="0"/>
        <w:tabs>
          <w:tab w:val="left" w:pos="360"/>
        </w:tabs>
        <w:spacing w:line="480" w:lineRule="auto"/>
        <w:rPr>
          <w:b/>
        </w:rPr>
      </w:pPr>
      <w:r>
        <w:tab/>
        <w:t>The last column of Table 1 shows the number of cases (out of a maximum of 37</w:t>
      </w:r>
      <w:r>
        <w:rPr>
          <w:vertAlign w:val="superscript"/>
        </w:rPr>
        <w:t>2</w:t>
      </w:r>
      <w:r>
        <w:t xml:space="preserve"> = 1369) where r</w:t>
      </w:r>
      <w:r w:rsidRPr="00BE2A91">
        <w:rPr>
          <w:vertAlign w:val="subscript"/>
        </w:rPr>
        <w:t>ij</w:t>
      </w:r>
      <w:r>
        <w:t xml:space="preserve"> &gt; </w:t>
      </w:r>
      <w:proofErr w:type="spellStart"/>
      <w:r>
        <w:t>a</w:t>
      </w:r>
      <w:r w:rsidRPr="00BE2A91">
        <w:rPr>
          <w:vertAlign w:val="subscript"/>
        </w:rPr>
        <w:t>ij</w:t>
      </w:r>
      <w:proofErr w:type="spellEnd"/>
      <w:r>
        <w:t xml:space="preserve">.  Such instances are allowed for via the specialization term, </w:t>
      </w:r>
      <w:r w:rsidRPr="00EE710C">
        <w:rPr>
          <w:color w:val="000000"/>
        </w:rPr>
        <w:t>log</w:t>
      </w:r>
      <w:r w:rsidRPr="00EE710C">
        <w:rPr>
          <w:color w:val="000000"/>
          <w:vertAlign w:val="subscript"/>
        </w:rPr>
        <w:t>2</w:t>
      </w:r>
      <w:r w:rsidRPr="00EE710C">
        <w:rPr>
          <w:color w:val="000000"/>
        </w:rPr>
        <w:t>(1</w:t>
      </w:r>
      <w:r>
        <w:rPr>
          <w:color w:val="000000"/>
        </w:rPr>
        <w:t xml:space="preserve"> </w:t>
      </w:r>
      <w:r w:rsidRPr="00EE710C">
        <w:rPr>
          <w:color w:val="000000"/>
        </w:rPr>
        <w:t>+</w:t>
      </w:r>
      <w:r>
        <w:rPr>
          <w:color w:val="000000"/>
        </w:rPr>
        <w:t xml:space="preserve"> </w:t>
      </w:r>
      <w:r w:rsidRPr="00EE710C">
        <w:rPr>
          <w:color w:val="000000"/>
        </w:rPr>
        <w:t>SLQ</w:t>
      </w:r>
      <w:r w:rsidRPr="00EE710C">
        <w:rPr>
          <w:color w:val="000000"/>
          <w:vertAlign w:val="subscript"/>
        </w:rPr>
        <w:t>j</w:t>
      </w:r>
      <w:r w:rsidRPr="00EE710C">
        <w:rPr>
          <w:color w:val="000000"/>
        </w:rPr>
        <w:t>)</w:t>
      </w:r>
      <w:r>
        <w:rPr>
          <w:color w:val="000000"/>
        </w:rPr>
        <w:t xml:space="preserve">, in the </w:t>
      </w:r>
      <w:r w:rsidRPr="008C1D29">
        <w:t>augmented</w:t>
      </w:r>
      <w:r>
        <w:t xml:space="preserve"> FLQ formula (10), which is applied only when SLQ</w:t>
      </w:r>
      <w:r>
        <w:rPr>
          <w:vertAlign w:val="subscript"/>
        </w:rPr>
        <w:t>j</w:t>
      </w:r>
      <w:r>
        <w:t xml:space="preserve"> &gt; 1.  It is a little surprising that there is not a more obvious positive association between the last two columns.  For instance, there are three regions in which 20 sectors have an SLQ &gt; 1, yet these regions yield very different numbers of sectors with r</w:t>
      </w:r>
      <w:r w:rsidRPr="00BE2A91">
        <w:rPr>
          <w:vertAlign w:val="subscript"/>
        </w:rPr>
        <w:t>ij</w:t>
      </w:r>
      <w:r>
        <w:t xml:space="preserve"> &gt; </w:t>
      </w:r>
      <w:proofErr w:type="spellStart"/>
      <w:r>
        <w:t>a</w:t>
      </w:r>
      <w:r w:rsidRPr="00BE2A91">
        <w:rPr>
          <w:vertAlign w:val="subscript"/>
        </w:rPr>
        <w:t>ij</w:t>
      </w:r>
      <w:proofErr w:type="spellEnd"/>
      <w:r>
        <w:t xml:space="preserve">.  This number ranges from 149 (= 10.9%) for </w:t>
      </w:r>
      <w:r w:rsidRPr="00A45E3E">
        <w:rPr>
          <w:color w:val="000000"/>
        </w:rPr>
        <w:t>Etelä-Pohjanmaa</w:t>
      </w:r>
      <w:r>
        <w:rPr>
          <w:color w:val="000000"/>
        </w:rPr>
        <w:t xml:space="preserve"> to 3</w:t>
      </w:r>
      <w:r>
        <w:t xml:space="preserve">12 (= 22.8%) for </w:t>
      </w:r>
      <w:r w:rsidRPr="00F1617D">
        <w:t>Uusimaa</w:t>
      </w:r>
      <w:r>
        <w:t>, with a mean of 197 (= 14.4%).</w:t>
      </w:r>
      <w:r>
        <w:rPr>
          <w:b/>
          <w:vertAlign w:val="superscript"/>
        </w:rPr>
        <w:t>18</w:t>
      </w:r>
    </w:p>
    <w:p w:rsidR="00B35EA6" w:rsidRDefault="00B35EA6" w:rsidP="00E25CA7">
      <w:pPr>
        <w:spacing w:line="480" w:lineRule="auto"/>
      </w:pPr>
    </w:p>
    <w:p w:rsidR="00E25CA7" w:rsidRDefault="00E25CA7" w:rsidP="00E25CA7">
      <w:pPr>
        <w:spacing w:line="480" w:lineRule="auto"/>
        <w:jc w:val="center"/>
        <w:rPr>
          <w:b/>
        </w:rPr>
      </w:pPr>
      <w:r>
        <w:rPr>
          <w:b/>
        </w:rPr>
        <w:t>REGIONAL OUTPUT MULTIPLIERS</w:t>
      </w:r>
    </w:p>
    <w:p w:rsidR="00E25CA7" w:rsidRDefault="00E25CA7" w:rsidP="0034524C">
      <w:pPr>
        <w:widowControl w:val="0"/>
        <w:spacing w:line="480" w:lineRule="auto"/>
        <w:rPr>
          <w:color w:val="000000"/>
        </w:rPr>
      </w:pPr>
      <w:r>
        <w:t xml:space="preserve">As a first step in our evaluation of alternative LQ-based adjustment formulae, we examine their relative success in estimating output multipliers.  In doing so, we use each formula to </w:t>
      </w:r>
      <w:r>
        <w:lastRenderedPageBreak/>
        <w:t xml:space="preserve">regionalize </w:t>
      </w:r>
      <w:r>
        <w:rPr>
          <w:color w:val="000000"/>
        </w:rPr>
        <w:t xml:space="preserve">the </w:t>
      </w:r>
      <w:r w:rsidRPr="00085D15">
        <w:rPr>
          <w:color w:val="000000"/>
        </w:rPr>
        <w:t>survey-based</w:t>
      </w:r>
      <w:r w:rsidRPr="00707F0D">
        <w:rPr>
          <w:color w:val="000000"/>
        </w:rPr>
        <w:t xml:space="preserve"> </w:t>
      </w:r>
      <w:r>
        <w:rPr>
          <w:color w:val="000000"/>
        </w:rPr>
        <w:t xml:space="preserve">national </w:t>
      </w:r>
      <w:r w:rsidRPr="00085D15">
        <w:rPr>
          <w:color w:val="000000"/>
        </w:rPr>
        <w:t>input</w:t>
      </w:r>
      <w:r>
        <w:rPr>
          <w:color w:val="000000"/>
        </w:rPr>
        <w:sym w:font="Symbol" w:char="F02D"/>
      </w:r>
      <w:r w:rsidRPr="00085D15">
        <w:rPr>
          <w:color w:val="000000"/>
        </w:rPr>
        <w:t>output table</w:t>
      </w:r>
      <w:r>
        <w:rPr>
          <w:color w:val="000000"/>
        </w:rPr>
        <w:t xml:space="preserve"> for </w:t>
      </w:r>
      <w:r>
        <w:t xml:space="preserve">1995 </w:t>
      </w:r>
      <w:r>
        <w:rPr>
          <w:color w:val="000000"/>
        </w:rPr>
        <w:t>(</w:t>
      </w:r>
      <w:r w:rsidRPr="00085D15">
        <w:rPr>
          <w:color w:val="000000"/>
        </w:rPr>
        <w:t>Statistics F</w:t>
      </w:r>
      <w:r>
        <w:rPr>
          <w:color w:val="000000"/>
        </w:rPr>
        <w:t xml:space="preserve">inland, 2000).  We then estimate </w:t>
      </w:r>
      <w:r>
        <w:t>the type I output multiplier</w:t>
      </w:r>
      <w:r>
        <w:rPr>
          <w:color w:val="000000"/>
        </w:rPr>
        <w:t xml:space="preserve"> for each sector in each region.  Finally, we </w:t>
      </w:r>
      <w:r>
        <w:t xml:space="preserve">compare these LQ-based estimates </w:t>
      </w:r>
      <w:r>
        <w:rPr>
          <w:color w:val="000000"/>
        </w:rPr>
        <w:t>with the survey-based estimates for each region</w:t>
      </w:r>
      <w:r w:rsidRPr="00860CFF">
        <w:rPr>
          <w:color w:val="000000"/>
        </w:rPr>
        <w:t xml:space="preserve"> </w:t>
      </w:r>
      <w:r>
        <w:rPr>
          <w:color w:val="000000"/>
        </w:rPr>
        <w:t>(</w:t>
      </w:r>
      <w:r w:rsidRPr="00B8576F">
        <w:rPr>
          <w:i/>
          <w:color w:val="000000"/>
        </w:rPr>
        <w:t>ibid.</w:t>
      </w:r>
      <w:r>
        <w:rPr>
          <w:color w:val="000000"/>
        </w:rPr>
        <w:t>).</w:t>
      </w:r>
    </w:p>
    <w:p w:rsidR="00E25CA7" w:rsidRDefault="00E25CA7" w:rsidP="00E25CA7">
      <w:pPr>
        <w:tabs>
          <w:tab w:val="left" w:pos="426"/>
        </w:tabs>
        <w:spacing w:line="480" w:lineRule="auto"/>
      </w:pPr>
      <w:r>
        <w:rPr>
          <w:color w:val="000000"/>
        </w:rPr>
        <w:tab/>
        <w:t xml:space="preserve">Our focus on </w:t>
      </w:r>
      <w:r>
        <w:t>output multipliers is motivated by their importance in regional analysis, along with the fact that many earlier studies have attempted to derive satisfactory estimates of such multipliers.  This multiplier analysis will be complemented later in the paper by a detailed consideration of regional input coefficients.</w:t>
      </w:r>
    </w:p>
    <w:p w:rsidR="00E25CA7" w:rsidRPr="0009111F" w:rsidRDefault="00E25CA7" w:rsidP="00E25CA7">
      <w:pPr>
        <w:tabs>
          <w:tab w:val="left" w:pos="426"/>
        </w:tabs>
        <w:spacing w:line="480" w:lineRule="auto"/>
      </w:pPr>
      <w:r>
        <w:tab/>
        <w:t>We now need to consider p</w:t>
      </w:r>
      <w:r w:rsidRPr="0009111F">
        <w:t xml:space="preserve">ossible </w:t>
      </w:r>
      <w:r>
        <w:t xml:space="preserve">ways of assessing the accuracy of the estimated </w:t>
      </w:r>
      <w:r w:rsidRPr="0009111F">
        <w:t>sectoral multipliers</w:t>
      </w:r>
      <w:r>
        <w:t xml:space="preserve"> in a given region. </w:t>
      </w:r>
      <w:r w:rsidRPr="0009111F">
        <w:t xml:space="preserve"> </w:t>
      </w:r>
      <w:r>
        <w:t>The following measures will be examined here:</w:t>
      </w:r>
    </w:p>
    <w:p w:rsidR="00E25CA7" w:rsidRPr="0078487B" w:rsidRDefault="00E25CA7" w:rsidP="00E25CA7">
      <w:pPr>
        <w:pStyle w:val="Normaali1"/>
        <w:tabs>
          <w:tab w:val="left" w:pos="567"/>
          <w:tab w:val="center" w:pos="4536"/>
          <w:tab w:val="right" w:pos="8931"/>
        </w:tabs>
        <w:spacing w:line="480" w:lineRule="auto"/>
        <w:jc w:val="left"/>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sidRPr="0009111F">
        <w:rPr>
          <w:rFonts w:ascii="Times New Roman" w:hAnsi="Times New Roman"/>
          <w:vertAlign w:val="subscript"/>
          <w:lang w:val="en-GB"/>
        </w:rPr>
        <w:t>1</w:t>
      </w:r>
      <w:r w:rsidRPr="0009111F">
        <w:rPr>
          <w:rFonts w:ascii="Times New Roman" w:hAnsi="Times New Roman"/>
          <w:lang w:val="en-GB"/>
        </w:rPr>
        <w:t xml:space="preserve"> = (100/n)</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position w:val="-14"/>
        </w:rPr>
        <w:object w:dxaOrig="1100" w:dyaOrig="380">
          <v:shape id="_x0000_i1036" type="#_x0000_t75" style="width:54.75pt;height:18.75pt" o:ole="">
            <v:imagedata r:id="rId31" o:title=""/>
          </v:shape>
          <o:OLEObject Type="Embed" ProgID="Equation.3" ShapeID="_x0000_i1036" DrawAspect="Content" ObjectID="_1354515146" r:id="rId32"/>
        </w:objec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m</w:t>
      </w:r>
      <w:r w:rsidRPr="0009111F">
        <w:rPr>
          <w:rFonts w:ascii="Times New Roman" w:hAnsi="Times New Roman"/>
          <w:vertAlign w:val="subscript"/>
        </w:rPr>
        <w:t>j</w:t>
      </w:r>
      <w:r>
        <w:rPr>
          <w:rFonts w:ascii="Times New Roman" w:hAnsi="Times New Roman"/>
        </w:rPr>
        <w:tab/>
        <w:t>(16)</w:t>
      </w:r>
    </w:p>
    <w:p w:rsidR="00E25CA7" w:rsidRDefault="00E25CA7" w:rsidP="00E25CA7">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sidRPr="0009111F">
        <w:rPr>
          <w:rFonts w:ascii="Times New Roman" w:hAnsi="Times New Roman"/>
          <w:vertAlign w:val="subscript"/>
          <w:lang w:val="en-GB"/>
        </w:rPr>
        <w:t>2</w:t>
      </w:r>
      <w:r w:rsidRPr="0009111F">
        <w:rPr>
          <w:rFonts w:ascii="Times New Roman" w:hAnsi="Times New Roman"/>
          <w:lang w:val="en-GB"/>
        </w:rPr>
        <w:t xml:space="preserve"> = </w:t>
      </w:r>
      <w:r>
        <w:rPr>
          <w:rFonts w:ascii="Times New Roman" w:hAnsi="Times New Roman"/>
          <w:lang w:val="en-GB"/>
        </w:rPr>
        <w:t>(</w:t>
      </w:r>
      <w:r w:rsidRPr="0009111F">
        <w:rPr>
          <w:rFonts w:ascii="Times New Roman" w:hAnsi="Times New Roman"/>
          <w:lang w:val="en-GB"/>
        </w:rPr>
        <w:t>100/n)</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position w:val="-14"/>
        </w:rPr>
        <w:object w:dxaOrig="1920" w:dyaOrig="380">
          <v:shape id="_x0000_i1037" type="#_x0000_t75" style="width:96pt;height:18.75pt" o:ole="">
            <v:imagedata r:id="rId33" o:title=""/>
          </v:shape>
          <o:OLEObject Type="Embed" ProgID="Equation.3" ShapeID="_x0000_i1037" DrawAspect="Content" ObjectID="_1354515147" r:id="rId34"/>
        </w:object>
      </w:r>
      <w:r>
        <w:rPr>
          <w:rFonts w:ascii="Times New Roman" w:hAnsi="Times New Roman"/>
        </w:rPr>
        <w:tab/>
        <w:t>(17)</w:t>
      </w:r>
    </w:p>
    <w:p w:rsidR="00E25CA7" w:rsidRDefault="00E25CA7" w:rsidP="00E25CA7">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Pr>
          <w:rFonts w:ascii="Times New Roman" w:hAnsi="Times New Roman"/>
          <w:vertAlign w:val="subscript"/>
          <w:lang w:val="en-GB"/>
        </w:rPr>
        <w:t>2</w:t>
      </w:r>
      <w:r w:rsidRPr="00004018">
        <w:rPr>
          <w:rFonts w:ascii="Times New Roman" w:hAnsi="Times New Roman"/>
          <w:lang w:val="en-GB"/>
        </w:rPr>
        <w:t>*</w:t>
      </w:r>
      <w:r w:rsidRPr="0009111F">
        <w:rPr>
          <w:rFonts w:ascii="Times New Roman" w:hAnsi="Times New Roman"/>
          <w:lang w:val="en-GB"/>
        </w:rPr>
        <w:t xml:space="preserve"> = 100</w:t>
      </w:r>
      <w:r w:rsidRPr="00DD2594">
        <w:rPr>
          <w:rFonts w:ascii="Times New Roman" w:hAnsi="Times New Roman"/>
          <w:position w:val="-10"/>
        </w:rPr>
        <w:object w:dxaOrig="1660" w:dyaOrig="380">
          <v:shape id="_x0000_i1038" type="#_x0000_t75" style="width:83.25pt;height:18.75pt" o:ole="">
            <v:imagedata r:id="rId35" o:title=""/>
          </v:shape>
          <o:OLEObject Type="Embed" ProgID="Equation.3" ShapeID="_x0000_i1038" DrawAspect="Content" ObjectID="_1354515148" r:id="rId36"/>
        </w:object>
      </w:r>
      <w:r>
        <w:rPr>
          <w:rFonts w:ascii="Times New Roman" w:hAnsi="Times New Roman"/>
        </w:rPr>
        <w:tab/>
        <w:t>(18)</w:t>
      </w:r>
    </w:p>
    <w:p w:rsidR="00E25CA7" w:rsidRPr="00877BD9" w:rsidRDefault="00E25CA7" w:rsidP="00E25CA7">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Pr>
          <w:rFonts w:ascii="Times New Roman" w:hAnsi="Times New Roman"/>
          <w:vertAlign w:val="subscript"/>
          <w:lang w:val="en-GB"/>
        </w:rPr>
        <w:t>3</w:t>
      </w:r>
      <w:r w:rsidRPr="0009111F">
        <w:rPr>
          <w:rFonts w:ascii="Times New Roman" w:hAnsi="Times New Roman"/>
          <w:lang w:val="en-GB"/>
        </w:rPr>
        <w:t xml:space="preserve"> = 100</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proofErr w:type="spellStart"/>
      <w:r w:rsidR="001D22FD">
        <w:rPr>
          <w:rFonts w:ascii="Times New Roman" w:hAnsi="Times New Roman"/>
          <w:lang w:val="en-GB"/>
        </w:rPr>
        <w:t>q</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position w:val="-14"/>
        </w:rPr>
        <w:object w:dxaOrig="1100" w:dyaOrig="380">
          <v:shape id="_x0000_i1039" type="#_x0000_t75" style="width:54.75pt;height:18.75pt" o:ole="">
            <v:imagedata r:id="rId37" o:title=""/>
          </v:shape>
          <o:OLEObject Type="Embed" ProgID="Equation.3" ShapeID="_x0000_i1039" DrawAspect="Content" ObjectID="_1354515149" r:id="rId38"/>
        </w:objec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m</w:t>
      </w:r>
      <w:r w:rsidRPr="0009111F">
        <w:rPr>
          <w:rFonts w:ascii="Times New Roman" w:hAnsi="Times New Roman"/>
          <w:vertAlign w:val="subscript"/>
        </w:rPr>
        <w:t>j</w:t>
      </w:r>
      <w:r>
        <w:rPr>
          <w:rFonts w:ascii="Times New Roman" w:hAnsi="Times New Roman"/>
        </w:rPr>
        <w:tab/>
        <w:t>(19)</w:t>
      </w:r>
    </w:p>
    <w:p w:rsidR="00E25CA7" w:rsidRPr="0009111F" w:rsidRDefault="00E25CA7" w:rsidP="00E25CA7">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Pr>
          <w:rFonts w:ascii="Times New Roman" w:hAnsi="Times New Roman"/>
          <w:vertAlign w:val="subscript"/>
          <w:lang w:val="en-GB"/>
        </w:rPr>
        <w:t>4</w:t>
      </w:r>
      <w:r w:rsidRPr="0009111F">
        <w:rPr>
          <w:rFonts w:ascii="Times New Roman" w:hAnsi="Times New Roman"/>
          <w:lang w:val="en-GB"/>
        </w:rPr>
        <w:t xml:space="preserve"> = 100</w:t>
      </w:r>
      <w:r w:rsidRPr="00CB026D">
        <w:rPr>
          <w:rFonts w:ascii="Times New Roman" w:hAnsi="Times New Roman"/>
          <w:position w:val="-36"/>
        </w:rPr>
        <w:object w:dxaOrig="1640" w:dyaOrig="859">
          <v:shape id="_x0000_i1040" type="#_x0000_t75" style="width:81.75pt;height:42.75pt" o:ole="">
            <v:imagedata r:id="rId39" o:title=""/>
          </v:shape>
          <o:OLEObject Type="Embed" ProgID="Equation.3" ShapeID="_x0000_i1040" DrawAspect="Content" ObjectID="_1354515150" r:id="rId40"/>
        </w:object>
      </w:r>
      <w:r>
        <w:rPr>
          <w:rFonts w:ascii="Times New Roman" w:hAnsi="Times New Roman"/>
        </w:rPr>
        <w:tab/>
        <w:t>(20)</w:t>
      </w:r>
    </w:p>
    <w:p w:rsidR="00E25CA7" w:rsidRPr="00D12F8F" w:rsidRDefault="00E25CA7" w:rsidP="00E25CA7">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μ</w:t>
      </w:r>
      <w:r>
        <w:rPr>
          <w:rFonts w:ascii="Times New Roman" w:hAnsi="Times New Roman"/>
          <w:vertAlign w:val="subscript"/>
          <w:lang w:val="en-GB"/>
        </w:rPr>
        <w:t>5</w:t>
      </w:r>
      <w:r w:rsidRPr="0009111F">
        <w:rPr>
          <w:rFonts w:ascii="Times New Roman" w:hAnsi="Times New Roman"/>
          <w:lang w:val="en-GB"/>
        </w:rPr>
        <w:t xml:space="preserve"> = (1/n)</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spacing w:val="-2"/>
          <w:szCs w:val="22"/>
        </w:rPr>
        <w:t>|</w:t>
      </w:r>
      <w:r w:rsidRPr="0009111F">
        <w:rPr>
          <w:rFonts w:ascii="Times New Roman" w:hAnsi="Times New Roman"/>
          <w:position w:val="-14"/>
        </w:rPr>
        <w:object w:dxaOrig="900" w:dyaOrig="380">
          <v:shape id="_x0000_i1041" type="#_x0000_t75" style="width:45pt;height:18.75pt" o:ole="">
            <v:imagedata r:id="rId41" o:title=""/>
          </v:shape>
          <o:OLEObject Type="Embed" ProgID="Equation.3" ShapeID="_x0000_i1041" DrawAspect="Content" ObjectID="_1354515151" r:id="rId42"/>
        </w:object>
      </w:r>
      <w:r w:rsidRPr="0009111F">
        <w:rPr>
          <w:rFonts w:ascii="Times New Roman" w:hAnsi="Times New Roman"/>
          <w:spacing w:val="-2"/>
          <w:szCs w:val="22"/>
        </w:rPr>
        <w:t>|</w:t>
      </w:r>
      <w:r w:rsidRPr="0009111F">
        <w:rPr>
          <w:rFonts w:ascii="Times New Roman" w:hAnsi="Times New Roman"/>
          <w:spacing w:val="-2"/>
          <w:szCs w:val="22"/>
          <w:vertAlign w:val="subscript"/>
        </w:rPr>
        <w:t xml:space="preserve"> </w: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m</w:t>
      </w:r>
      <w:r w:rsidRPr="0009111F">
        <w:rPr>
          <w:rFonts w:ascii="Times New Roman" w:hAnsi="Times New Roman"/>
          <w:vertAlign w:val="subscript"/>
        </w:rPr>
        <w:t>j</w:t>
      </w:r>
      <w:r>
        <w:rPr>
          <w:rFonts w:ascii="Times New Roman" w:hAnsi="Times New Roman"/>
        </w:rPr>
        <w:tab/>
        <w:t>(21)</w:t>
      </w:r>
    </w:p>
    <w:p w:rsidR="00E25CA7" w:rsidRPr="00D12F8F" w:rsidRDefault="00E25CA7" w:rsidP="00E25CA7">
      <w:pPr>
        <w:pStyle w:val="Normaali1"/>
        <w:tabs>
          <w:tab w:val="left" w:pos="567"/>
          <w:tab w:val="center" w:pos="4536"/>
          <w:tab w:val="right" w:pos="8931"/>
        </w:tabs>
        <w:spacing w:line="480" w:lineRule="auto"/>
        <w:rPr>
          <w:rFonts w:ascii="Times New Roman" w:hAnsi="Times New Roman"/>
        </w:rPr>
      </w:pPr>
      <w:r>
        <w:rPr>
          <w:rFonts w:ascii="Times New Roman" w:hAnsi="Times New Roman"/>
          <w:lang w:val="en-GB"/>
        </w:rPr>
        <w:tab/>
      </w:r>
      <w:r>
        <w:rPr>
          <w:rFonts w:ascii="Times New Roman" w:hAnsi="Times New Roman"/>
          <w:lang w:val="en-GB"/>
        </w:rPr>
        <w:tab/>
      </w:r>
      <w:proofErr w:type="spellStart"/>
      <w:r w:rsidRPr="0009111F">
        <w:rPr>
          <w:rFonts w:ascii="Times New Roman" w:hAnsi="Times New Roman"/>
          <w:lang w:val="en-GB"/>
        </w:rPr>
        <w:t>s</w:t>
      </w:r>
      <w:r>
        <w:rPr>
          <w:rFonts w:ascii="Times New Roman" w:hAnsi="Times New Roman"/>
          <w:lang w:val="en-GB"/>
        </w:rPr>
        <w:t>d</w:t>
      </w:r>
      <w:proofErr w:type="spellEnd"/>
      <w:r w:rsidRPr="0009111F">
        <w:rPr>
          <w:rFonts w:ascii="Times New Roman" w:hAnsi="Times New Roman"/>
          <w:lang w:val="en-GB"/>
        </w:rPr>
        <w:t xml:space="preserve"> = [</w:t>
      </w:r>
      <w:r w:rsidRPr="0009111F">
        <w:rPr>
          <w:rFonts w:ascii="Times New Roman" w:hAnsi="Times New Roman"/>
        </w:rPr>
        <w:t>(1/n)</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r w:rsidRPr="0009111F">
        <w:rPr>
          <w:rFonts w:ascii="Times New Roman" w:hAnsi="Times New Roman"/>
          <w:lang w:val="en-GB"/>
        </w:rPr>
        <w:t>{(</w:t>
      </w:r>
      <w:r w:rsidRPr="0009111F">
        <w:rPr>
          <w:rFonts w:ascii="Times New Roman" w:hAnsi="Times New Roman"/>
          <w:vertAlign w:val="subscript"/>
          <w:lang w:val="en-GB"/>
        </w:rPr>
        <w:t xml:space="preserve"> </w:t>
      </w:r>
      <w:r w:rsidRPr="0009111F">
        <w:rPr>
          <w:rFonts w:ascii="Times New Roman" w:hAnsi="Times New Roman"/>
          <w:spacing w:val="-2"/>
          <w:szCs w:val="22"/>
        </w:rPr>
        <w:t>|</w:t>
      </w:r>
      <w:r w:rsidRPr="0009111F">
        <w:rPr>
          <w:rFonts w:ascii="Times New Roman" w:hAnsi="Times New Roman"/>
          <w:position w:val="-14"/>
        </w:rPr>
        <w:object w:dxaOrig="900" w:dyaOrig="380">
          <v:shape id="_x0000_i1042" type="#_x0000_t75" style="width:45pt;height:18.75pt" o:ole="">
            <v:imagedata r:id="rId43" o:title=""/>
          </v:shape>
          <o:OLEObject Type="Embed" ProgID="Equation.3" ShapeID="_x0000_i1042" DrawAspect="Content" ObjectID="_1354515152" r:id="rId44"/>
        </w:object>
      </w:r>
      <w:r w:rsidRPr="0009111F">
        <w:rPr>
          <w:rFonts w:ascii="Times New Roman" w:hAnsi="Times New Roman"/>
          <w:spacing w:val="-2"/>
          <w:szCs w:val="22"/>
        </w:rPr>
        <w:t>|</w:t>
      </w:r>
      <w:r w:rsidRPr="0009111F">
        <w:rPr>
          <w:rFonts w:ascii="Times New Roman" w:hAnsi="Times New Roman"/>
          <w:spacing w:val="-2"/>
          <w:szCs w:val="22"/>
          <w:vertAlign w:val="subscript"/>
        </w:rPr>
        <w:t xml:space="preserve"> </w: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m</w:t>
      </w:r>
      <w:r w:rsidRPr="0009111F">
        <w:rPr>
          <w:rFonts w:ascii="Times New Roman" w:hAnsi="Times New Roman"/>
          <w:vertAlign w:val="subscript"/>
        </w:rPr>
        <w:t xml:space="preserve">j </w:t>
      </w:r>
      <w:r w:rsidRPr="0009111F">
        <w:rPr>
          <w:rFonts w:ascii="Times New Roman" w:hAnsi="Times New Roman"/>
          <w:lang w:val="en-GB"/>
        </w:rPr>
        <w:t>)</w:t>
      </w:r>
      <w:r w:rsidRPr="0009111F">
        <w:rPr>
          <w:rFonts w:ascii="Times New Roman" w:hAnsi="Times New Roman"/>
        </w:rPr>
        <w:t xml:space="preserve"> </w:t>
      </w:r>
      <w:r w:rsidRPr="0009111F">
        <w:rPr>
          <w:rFonts w:ascii="Times New Roman" w:hAnsi="Times New Roman"/>
        </w:rPr>
        <w:sym w:font="Symbol" w:char="F02D"/>
      </w:r>
      <w:r w:rsidRPr="0009111F">
        <w:rPr>
          <w:rFonts w:ascii="Times New Roman" w:hAnsi="Times New Roman"/>
        </w:rPr>
        <w:t xml:space="preserve"> </w:t>
      </w:r>
      <w:r w:rsidRPr="0009111F">
        <w:rPr>
          <w:rFonts w:ascii="Times New Roman" w:hAnsi="Times New Roman"/>
          <w:lang w:val="en-GB"/>
        </w:rPr>
        <w:t>μ</w:t>
      </w:r>
      <w:r w:rsidRPr="0009111F">
        <w:rPr>
          <w:rFonts w:ascii="Times New Roman" w:hAnsi="Times New Roman"/>
          <w:vertAlign w:val="subscript"/>
          <w:lang w:val="en-GB"/>
        </w:rPr>
        <w:t>5</w:t>
      </w:r>
      <w:r w:rsidRPr="0009111F">
        <w:rPr>
          <w:rFonts w:ascii="Times New Roman" w:hAnsi="Times New Roman"/>
        </w:rPr>
        <w:t>}</w:t>
      </w:r>
      <w:r w:rsidRPr="0009111F">
        <w:rPr>
          <w:rFonts w:ascii="Times New Roman" w:hAnsi="Times New Roman"/>
          <w:vertAlign w:val="superscript"/>
        </w:rPr>
        <w:t>2</w:t>
      </w:r>
      <w:r w:rsidRPr="0009111F">
        <w:rPr>
          <w:rFonts w:ascii="Times New Roman" w:hAnsi="Times New Roman"/>
        </w:rPr>
        <w:t>]</w:t>
      </w:r>
      <w:r w:rsidRPr="0009111F">
        <w:rPr>
          <w:rFonts w:ascii="Times New Roman" w:hAnsi="Times New Roman"/>
          <w:vertAlign w:val="superscript"/>
        </w:rPr>
        <w:t>0.5</w:t>
      </w:r>
      <w:r>
        <w:rPr>
          <w:rFonts w:ascii="Times New Roman" w:hAnsi="Times New Roman"/>
        </w:rPr>
        <w:tab/>
        <w:t>(22)</w:t>
      </w:r>
    </w:p>
    <w:p w:rsidR="00E25CA7" w:rsidRPr="0009111F" w:rsidRDefault="00E25CA7" w:rsidP="00E25CA7">
      <w:pPr>
        <w:pStyle w:val="Normaali1"/>
        <w:tabs>
          <w:tab w:val="left" w:pos="0"/>
          <w:tab w:val="left" w:pos="3120"/>
          <w:tab w:val="left" w:pos="6120"/>
        </w:tabs>
        <w:spacing w:line="480" w:lineRule="auto"/>
        <w:rPr>
          <w:rFonts w:ascii="Times New Roman" w:hAnsi="Times New Roman"/>
        </w:rPr>
      </w:pPr>
      <w:r w:rsidRPr="0009111F">
        <w:rPr>
          <w:rFonts w:ascii="Times New Roman" w:hAnsi="Times New Roman"/>
        </w:rPr>
        <w:t xml:space="preserve">where </w:t>
      </w:r>
      <w:r w:rsidRPr="0009111F">
        <w:rPr>
          <w:rFonts w:ascii="Times New Roman" w:hAnsi="Times New Roman"/>
          <w:position w:val="-14"/>
        </w:rPr>
        <w:object w:dxaOrig="340" w:dyaOrig="380">
          <v:shape id="_x0000_i1043" type="#_x0000_t75" style="width:17.25pt;height:18.75pt" o:ole="">
            <v:imagedata r:id="rId45" o:title=""/>
          </v:shape>
          <o:OLEObject Type="Embed" ProgID="Equation.3" ShapeID="_x0000_i1043" DrawAspect="Content" ObjectID="_1354515153" r:id="rId46"/>
        </w:object>
      </w:r>
      <w:r w:rsidRPr="0009111F">
        <w:rPr>
          <w:rFonts w:ascii="Times New Roman" w:hAnsi="Times New Roman"/>
          <w:vertAlign w:val="subscript"/>
        </w:rPr>
        <w:t xml:space="preserve"> </w:t>
      </w:r>
      <w:r w:rsidRPr="0009111F">
        <w:rPr>
          <w:rFonts w:ascii="Times New Roman" w:hAnsi="Times New Roman"/>
        </w:rPr>
        <w:t xml:space="preserve">is the estimated type I output multiplier for sector </w:t>
      </w:r>
      <w:r w:rsidRPr="00D1533C">
        <w:rPr>
          <w:rFonts w:ascii="Times New Roman" w:hAnsi="Times New Roman"/>
          <w:i/>
        </w:rPr>
        <w:t>j</w:t>
      </w:r>
      <w:r w:rsidRPr="0009111F">
        <w:rPr>
          <w:rFonts w:ascii="Times New Roman" w:hAnsi="Times New Roman"/>
        </w:rPr>
        <w:t xml:space="preserve"> (column sum of the LQ-based Leontief inverse matrix) in </w:t>
      </w:r>
      <w:r>
        <w:rPr>
          <w:rFonts w:ascii="Times New Roman" w:hAnsi="Times New Roman"/>
        </w:rPr>
        <w:t>a given region</w:t>
      </w:r>
      <w:r w:rsidRPr="0009111F">
        <w:rPr>
          <w:rFonts w:ascii="Times New Roman" w:hAnsi="Times New Roman"/>
        </w:rPr>
        <w:t>, m</w:t>
      </w:r>
      <w:r w:rsidRPr="0009111F">
        <w:rPr>
          <w:rFonts w:ascii="Times New Roman" w:hAnsi="Times New Roman"/>
          <w:vertAlign w:val="subscript"/>
        </w:rPr>
        <w:t>j</w:t>
      </w:r>
      <w:r w:rsidRPr="0009111F">
        <w:rPr>
          <w:rFonts w:ascii="Times New Roman" w:hAnsi="Times New Roman"/>
        </w:rPr>
        <w:t xml:space="preserve"> is the corresponding survey-based multiplier, </w:t>
      </w:r>
      <w:r w:rsidR="001D22FD">
        <w:rPr>
          <w:rFonts w:ascii="Times New Roman" w:hAnsi="Times New Roman"/>
        </w:rPr>
        <w:t>q</w:t>
      </w:r>
      <w:r w:rsidRPr="0009111F">
        <w:rPr>
          <w:rFonts w:ascii="Times New Roman" w:hAnsi="Times New Roman"/>
          <w:vertAlign w:val="subscript"/>
        </w:rPr>
        <w:t>j</w:t>
      </w:r>
      <w:r w:rsidRPr="0009111F">
        <w:rPr>
          <w:rFonts w:ascii="Times New Roman" w:hAnsi="Times New Roman"/>
        </w:rPr>
        <w:t xml:space="preserve"> is the proportion of regional </w:t>
      </w:r>
      <w:r w:rsidR="001D22FD">
        <w:rPr>
          <w:rFonts w:ascii="Times New Roman" w:hAnsi="Times New Roman"/>
        </w:rPr>
        <w:t>output produced</w:t>
      </w:r>
      <w:r w:rsidRPr="0009111F">
        <w:rPr>
          <w:rFonts w:ascii="Times New Roman" w:hAnsi="Times New Roman"/>
        </w:rPr>
        <w:t xml:space="preserve"> in sector </w:t>
      </w:r>
      <w:r w:rsidRPr="00D1533C">
        <w:rPr>
          <w:rFonts w:ascii="Times New Roman" w:hAnsi="Times New Roman"/>
          <w:i/>
        </w:rPr>
        <w:t>j</w:t>
      </w:r>
      <w:r>
        <w:rPr>
          <w:rFonts w:ascii="Times New Roman" w:hAnsi="Times New Roman"/>
        </w:rPr>
        <w:t xml:space="preserve"> and</w:t>
      </w:r>
      <w:r w:rsidRPr="0009111F">
        <w:rPr>
          <w:rFonts w:ascii="Times New Roman" w:hAnsi="Times New Roman"/>
        </w:rPr>
        <w:t xml:space="preserve"> n = 37 is the number of sectors.</w:t>
      </w:r>
    </w:p>
    <w:p w:rsidR="00E25CA7" w:rsidRDefault="00E25CA7" w:rsidP="00E25CA7">
      <w:pPr>
        <w:pStyle w:val="Normaali1"/>
        <w:tabs>
          <w:tab w:val="left" w:pos="426"/>
        </w:tabs>
        <w:spacing w:line="480" w:lineRule="auto"/>
      </w:pPr>
      <w:r>
        <w:rPr>
          <w:rFonts w:ascii="Times New Roman" w:hAnsi="Times New Roman"/>
        </w:rPr>
        <w:tab/>
      </w:r>
      <w:r w:rsidRPr="0009111F">
        <w:t>μ</w:t>
      </w:r>
      <w:r w:rsidRPr="0009111F">
        <w:rPr>
          <w:vertAlign w:val="subscript"/>
        </w:rPr>
        <w:t>1</w:t>
      </w:r>
      <w:r w:rsidRPr="0009111F">
        <w:t xml:space="preserve"> is a statistic that has been </w:t>
      </w:r>
      <w:r>
        <w:t>use</w:t>
      </w:r>
      <w:r w:rsidRPr="0009111F">
        <w:t>d in many earlier studies, thereby facilitating comparisons.  Another useful characteristic of μ</w:t>
      </w:r>
      <w:r w:rsidRPr="0009111F">
        <w:rPr>
          <w:vertAlign w:val="subscript"/>
        </w:rPr>
        <w:t>1</w:t>
      </w:r>
      <w:r w:rsidRPr="0009111F">
        <w:t xml:space="preserve"> is its ability to measure bias.</w:t>
      </w:r>
      <w:r>
        <w:t xml:space="preserve">  This is the main reason why </w:t>
      </w:r>
      <w:r w:rsidRPr="0009111F">
        <w:t>μ</w:t>
      </w:r>
      <w:r w:rsidRPr="0009111F">
        <w:rPr>
          <w:vertAlign w:val="subscript"/>
        </w:rPr>
        <w:t>1</w:t>
      </w:r>
      <w:r w:rsidRPr="0009111F">
        <w:t xml:space="preserve"> is </w:t>
      </w:r>
      <w:r>
        <w:t>our preferred</w:t>
      </w:r>
      <w:r w:rsidRPr="0009111F">
        <w:t xml:space="preserve"> measure</w:t>
      </w:r>
      <w:r>
        <w:t>.</w:t>
      </w:r>
      <w:r w:rsidRPr="0009111F">
        <w:t xml:space="preserve">  </w:t>
      </w:r>
      <w:r>
        <w:t>E</w:t>
      </w:r>
      <w:r w:rsidRPr="0009111F">
        <w:t>ve</w:t>
      </w:r>
      <w:r>
        <w:t>n so</w:t>
      </w:r>
      <w:r w:rsidRPr="0009111F">
        <w:t xml:space="preserve">, it might be argued that the inclusion of the unitary components (direct effects) in the formula tends to exaggerate the apparent </w:t>
      </w:r>
      <w:r w:rsidRPr="0009111F">
        <w:lastRenderedPageBreak/>
        <w:t xml:space="preserve">precision of the estimated multipliers, </w:t>
      </w:r>
      <w:r>
        <w:t>as</w:t>
      </w:r>
      <w:r w:rsidRPr="0009111F">
        <w:t xml:space="preserve"> only the indirect effects need to be estimated.  Hence some authors</w:t>
      </w:r>
      <w:r>
        <w:t xml:space="preserve"> (e.g. </w:t>
      </w:r>
      <w:r w:rsidRPr="0009111F">
        <w:t xml:space="preserve">Lahr, 2001) have </w:t>
      </w:r>
      <w:r>
        <w:t>opted to use a formula such as</w:t>
      </w:r>
      <w:r w:rsidRPr="0009111F">
        <w:t xml:space="preserve"> μ</w:t>
      </w:r>
      <w:r w:rsidRPr="0009111F">
        <w:rPr>
          <w:vertAlign w:val="subscript"/>
        </w:rPr>
        <w:t>2</w:t>
      </w:r>
      <w:r w:rsidRPr="0009111F">
        <w:t>.</w:t>
      </w:r>
      <w:r>
        <w:t xml:space="preserve">  On the other hand, suppose that the true multiplier is very small, say 1.02, while the estimated multiplier is 1.04.  </w:t>
      </w:r>
      <w:r w:rsidRPr="0009111F">
        <w:t>μ</w:t>
      </w:r>
      <w:r w:rsidRPr="0009111F">
        <w:rPr>
          <w:vertAlign w:val="subscript"/>
        </w:rPr>
        <w:t>1</w:t>
      </w:r>
      <w:r w:rsidRPr="0009111F">
        <w:t xml:space="preserve"> </w:t>
      </w:r>
      <w:r>
        <w:t xml:space="preserve">and </w:t>
      </w:r>
      <w:r w:rsidRPr="0009111F">
        <w:t>μ</w:t>
      </w:r>
      <w:r w:rsidRPr="0009111F">
        <w:rPr>
          <w:vertAlign w:val="subscript"/>
        </w:rPr>
        <w:t>2</w:t>
      </w:r>
      <w:r>
        <w:t xml:space="preserve"> would record errors of 2% and 100%, respectively.  However, from a practical point of view, we would argue that what is important is that the true multiplier is very small, so that 1.04 should be judged to be a good estimate, as it would be by </w:t>
      </w:r>
      <w:r w:rsidRPr="0009111F">
        <w:t>μ</w:t>
      </w:r>
      <w:r w:rsidRPr="0009111F">
        <w:rPr>
          <w:vertAlign w:val="subscript"/>
        </w:rPr>
        <w:t>1</w:t>
      </w:r>
      <w:r>
        <w:t>.</w:t>
      </w:r>
    </w:p>
    <w:p w:rsidR="00E25CA7" w:rsidRDefault="00E25CA7" w:rsidP="00E25CA7">
      <w:pPr>
        <w:pStyle w:val="Normaali1"/>
        <w:tabs>
          <w:tab w:val="left" w:pos="426"/>
        </w:tabs>
        <w:spacing w:line="480" w:lineRule="auto"/>
      </w:pPr>
      <w:r>
        <w:tab/>
      </w:r>
      <w:r w:rsidRPr="0009111F">
        <w:t xml:space="preserve">Unfortunately, </w:t>
      </w:r>
      <w:r>
        <w:t xml:space="preserve">it was impossible to compute </w:t>
      </w:r>
      <w:r w:rsidRPr="0009111F">
        <w:t>μ</w:t>
      </w:r>
      <w:r w:rsidRPr="0009111F">
        <w:rPr>
          <w:vertAlign w:val="subscript"/>
        </w:rPr>
        <w:t>2</w:t>
      </w:r>
      <w:r>
        <w:t xml:space="preserve"> because, in five regions, </w:t>
      </w:r>
      <w:r w:rsidRPr="0009111F">
        <w:t>m</w:t>
      </w:r>
      <w:r w:rsidRPr="0009111F">
        <w:rPr>
          <w:vertAlign w:val="subscript"/>
        </w:rPr>
        <w:t>j</w:t>
      </w:r>
      <w:r w:rsidRPr="0009111F">
        <w:t xml:space="preserve"> </w:t>
      </w:r>
      <w:r>
        <w:t xml:space="preserve">= 1 for the Hunting and </w:t>
      </w:r>
      <w:r w:rsidR="004235B4">
        <w:t>f</w:t>
      </w:r>
      <w:r>
        <w:t xml:space="preserve">ishing sector.  It was also very </w:t>
      </w:r>
      <w:r w:rsidRPr="0009111F">
        <w:t xml:space="preserve">close to </w:t>
      </w:r>
      <w:r>
        <w:t xml:space="preserve">unity </w:t>
      </w:r>
      <w:r w:rsidRPr="0009111F">
        <w:t xml:space="preserve">in </w:t>
      </w:r>
      <w:r>
        <w:t>four other</w:t>
      </w:r>
      <w:r w:rsidRPr="0009111F">
        <w:t xml:space="preserve"> </w:t>
      </w:r>
      <w:r>
        <w:t>regions</w:t>
      </w:r>
      <w:r w:rsidRPr="0009111F">
        <w:t>.  μ</w:t>
      </w:r>
      <w:r w:rsidRPr="0009111F">
        <w:rPr>
          <w:vertAlign w:val="subscript"/>
        </w:rPr>
        <w:t>2</w:t>
      </w:r>
      <w:r>
        <w:t>* was formulated in an effort to circumvent this problem</w:t>
      </w:r>
      <w:r w:rsidRPr="0009111F">
        <w:t xml:space="preserve">.  A </w:t>
      </w:r>
      <w:r>
        <w:t>very different</w:t>
      </w:r>
      <w:r w:rsidRPr="0009111F">
        <w:t xml:space="preserve"> refinement</w:t>
      </w:r>
      <w:r>
        <w:t xml:space="preserve"> of </w:t>
      </w:r>
      <w:r w:rsidRPr="0009111F">
        <w:t>μ</w:t>
      </w:r>
      <w:r w:rsidRPr="0009111F">
        <w:rPr>
          <w:vertAlign w:val="subscript"/>
        </w:rPr>
        <w:t>1</w:t>
      </w:r>
      <w:r w:rsidRPr="0009111F">
        <w:t>, to take account of the relative importance of sectors, has been in</w:t>
      </w:r>
      <w:r>
        <w:t>corporated</w:t>
      </w:r>
      <w:r w:rsidRPr="0009111F">
        <w:t xml:space="preserve"> in μ</w:t>
      </w:r>
      <w:r>
        <w:rPr>
          <w:vertAlign w:val="subscript"/>
        </w:rPr>
        <w:t>3</w:t>
      </w:r>
      <w:r>
        <w:t>.</w:t>
      </w:r>
    </w:p>
    <w:p w:rsidR="00E25CA7" w:rsidRDefault="00E25CA7" w:rsidP="00E25CA7">
      <w:pPr>
        <w:pStyle w:val="Normaali1"/>
        <w:tabs>
          <w:tab w:val="left" w:pos="426"/>
        </w:tabs>
        <w:spacing w:line="480" w:lineRule="auto"/>
      </w:pPr>
      <w:r>
        <w:tab/>
        <w:t xml:space="preserve">A problem with the measures discussed so far is that an apparently good result could come about as a consequence of some very large positive and negative errors averaging out to zero.  Our next two formulae, </w:t>
      </w:r>
      <w:r w:rsidRPr="0009111F">
        <w:t>μ</w:t>
      </w:r>
      <w:r>
        <w:rPr>
          <w:vertAlign w:val="subscript"/>
        </w:rPr>
        <w:t>4</w:t>
      </w:r>
      <w:r>
        <w:t xml:space="preserve"> and </w:t>
      </w:r>
      <w:r w:rsidRPr="0009111F">
        <w:t>μ</w:t>
      </w:r>
      <w:r>
        <w:rPr>
          <w:vertAlign w:val="subscript"/>
        </w:rPr>
        <w:t>5</w:t>
      </w:r>
      <w:r>
        <w:t xml:space="preserve">, represent alternative ways of overcoming this problem.  </w:t>
      </w:r>
      <w:r w:rsidRPr="0009111F">
        <w:t>μ</w:t>
      </w:r>
      <w:r>
        <w:rPr>
          <w:vertAlign w:val="subscript"/>
        </w:rPr>
        <w:t>4</w:t>
      </w:r>
      <w:r>
        <w:t xml:space="preserve"> is T</w:t>
      </w:r>
      <w:r w:rsidRPr="0009111F">
        <w:t>he</w:t>
      </w:r>
      <w:r>
        <w:t>il’s</w:t>
      </w:r>
      <w:r w:rsidRPr="0009111F">
        <w:t xml:space="preserve"> index of inequality</w:t>
      </w:r>
      <w:r>
        <w:t xml:space="preserve"> (</w:t>
      </w:r>
      <w:r w:rsidRPr="0009111F">
        <w:t xml:space="preserve">Theil </w:t>
      </w:r>
      <w:r w:rsidRPr="0009111F">
        <w:rPr>
          <w:i/>
        </w:rPr>
        <w:t>et al.</w:t>
      </w:r>
      <w:r>
        <w:t>,</w:t>
      </w:r>
      <w:r w:rsidRPr="0009111F">
        <w:t xml:space="preserve"> 1966</w:t>
      </w:r>
      <w:r>
        <w:t xml:space="preserve">), whereas </w:t>
      </w:r>
      <w:r w:rsidRPr="0009111F">
        <w:t>μ</w:t>
      </w:r>
      <w:r>
        <w:rPr>
          <w:vertAlign w:val="subscript"/>
        </w:rPr>
        <w:t>5</w:t>
      </w:r>
      <w:r w:rsidRPr="0009111F">
        <w:t xml:space="preserve"> </w:t>
      </w:r>
      <w:r>
        <w:t xml:space="preserve">is the well-known </w:t>
      </w:r>
      <w:r w:rsidRPr="0009111F">
        <w:t>mean absolute proportiona</w:t>
      </w:r>
      <w:r>
        <w:t>l</w:t>
      </w:r>
      <w:r w:rsidRPr="0009111F">
        <w:t xml:space="preserve"> deviation</w:t>
      </w:r>
      <w:r>
        <w:t>.  Finally,</w:t>
      </w:r>
      <w:r w:rsidRPr="0009111F">
        <w:t xml:space="preserve"> s</w:t>
      </w:r>
      <w:r>
        <w:t>d</w:t>
      </w:r>
      <w:r w:rsidRPr="0009111F">
        <w:t xml:space="preserve"> (standard deviation</w:t>
      </w:r>
      <w:r>
        <w:t>)</w:t>
      </w:r>
      <w:r w:rsidRPr="0009111F">
        <w:t xml:space="preserve"> ha</w:t>
      </w:r>
      <w:r>
        <w:t>s</w:t>
      </w:r>
      <w:r w:rsidRPr="0009111F">
        <w:t xml:space="preserve"> been included to </w:t>
      </w:r>
      <w:r>
        <w:t>capture dispersion in the absolute proportional errors</w:t>
      </w:r>
      <w:r w:rsidRPr="0009111F">
        <w:t>.</w:t>
      </w:r>
    </w:p>
    <w:p w:rsidR="00E25CA7" w:rsidRDefault="00E25CA7" w:rsidP="00E25CA7">
      <w:pPr>
        <w:pStyle w:val="Normaali1"/>
        <w:tabs>
          <w:tab w:val="left" w:pos="360"/>
        </w:tabs>
        <w:spacing w:line="480" w:lineRule="auto"/>
        <w:jc w:val="center"/>
        <w:rPr>
          <w:rFonts w:ascii="Times New Roman" w:hAnsi="Times New Roman"/>
          <w:lang w:val="en-GB"/>
        </w:rPr>
      </w:pPr>
      <w:r w:rsidRPr="00FB1CC3">
        <w:rPr>
          <w:rFonts w:ascii="Times New Roman" w:hAnsi="Times New Roman"/>
          <w:b/>
        </w:rPr>
        <w:t xml:space="preserve">Table </w:t>
      </w:r>
      <w:r>
        <w:rPr>
          <w:rFonts w:ascii="Times New Roman" w:hAnsi="Times New Roman"/>
          <w:b/>
        </w:rPr>
        <w:t>2</w:t>
      </w:r>
      <w:r>
        <w:rPr>
          <w:rFonts w:ascii="Times New Roman" w:hAnsi="Times New Roman"/>
          <w:b/>
          <w:lang w:val="en-GB"/>
        </w:rPr>
        <w:t xml:space="preserve"> near here</w:t>
      </w:r>
    </w:p>
    <w:p w:rsidR="00E25CA7" w:rsidRDefault="00E25CA7" w:rsidP="00E25CA7">
      <w:pPr>
        <w:pStyle w:val="Normaali1"/>
        <w:tabs>
          <w:tab w:val="left" w:pos="426"/>
        </w:tabs>
        <w:spacing w:line="480" w:lineRule="auto"/>
        <w:rPr>
          <w:color w:val="000000"/>
        </w:rPr>
      </w:pPr>
      <w:r>
        <w:tab/>
      </w:r>
      <w:r>
        <w:rPr>
          <w:rFonts w:ascii="Times New Roman" w:hAnsi="Times New Roman"/>
          <w:lang w:val="en-GB"/>
        </w:rPr>
        <w:t xml:space="preserve">Table 2 illustrates the impact on </w:t>
      </w:r>
      <w:r>
        <w:t xml:space="preserve">the accuracy of the simulations for individual regions of altering the value of </w:t>
      </w:r>
      <w:r w:rsidRPr="00DE71C0">
        <w:rPr>
          <w:color w:val="000000"/>
        </w:rPr>
        <w:t>δ</w:t>
      </w:r>
      <w:r>
        <w:rPr>
          <w:color w:val="000000"/>
        </w:rPr>
        <w:t xml:space="preserve"> in steps of 0.05,</w:t>
      </w:r>
      <w:r>
        <w:t xml:space="preserve"> using</w:t>
      </w:r>
      <w:r>
        <w:rPr>
          <w:rFonts w:ascii="Times New Roman" w:hAnsi="Times New Roman"/>
          <w:szCs w:val="24"/>
          <w:lang w:val="en-GB"/>
        </w:rPr>
        <w:t xml:space="preserve"> </w:t>
      </w:r>
      <w:r w:rsidRPr="0009111F">
        <w:rPr>
          <w:rFonts w:ascii="Times New Roman" w:hAnsi="Times New Roman"/>
          <w:lang w:val="en-GB"/>
        </w:rPr>
        <w:t>μ</w:t>
      </w:r>
      <w:r w:rsidRPr="0009111F">
        <w:rPr>
          <w:rFonts w:ascii="Times New Roman" w:hAnsi="Times New Roman"/>
          <w:vertAlign w:val="subscript"/>
          <w:lang w:val="en-GB"/>
        </w:rPr>
        <w:t>1</w:t>
      </w:r>
      <w:r>
        <w:rPr>
          <w:rFonts w:ascii="Times New Roman" w:hAnsi="Times New Roman"/>
          <w:szCs w:val="24"/>
          <w:lang w:val="en-GB"/>
        </w:rPr>
        <w:t xml:space="preserve"> </w:t>
      </w:r>
      <w:r>
        <w:t>as the criterion</w:t>
      </w:r>
      <w:r>
        <w:rPr>
          <w:color w:val="000000"/>
        </w:rPr>
        <w:t xml:space="preserve">.  What is most striking is that the optimal values of </w:t>
      </w:r>
      <w:r w:rsidRPr="00DE71C0">
        <w:rPr>
          <w:color w:val="000000"/>
        </w:rPr>
        <w:t>δ</w:t>
      </w:r>
      <w:r>
        <w:rPr>
          <w:color w:val="000000"/>
        </w:rPr>
        <w:t xml:space="preserve"> are clustered in the interval 0.25 </w:t>
      </w:r>
      <w:r>
        <w:rPr>
          <w:rFonts w:ascii="Times New Roman" w:hAnsi="Times New Roman"/>
          <w:color w:val="000000"/>
        </w:rPr>
        <w:t>±</w:t>
      </w:r>
      <w:r>
        <w:rPr>
          <w:color w:val="000000"/>
        </w:rPr>
        <w:t xml:space="preserve"> 0.05.  Indeed, the modal value of </w:t>
      </w:r>
      <w:r w:rsidRPr="00DE71C0">
        <w:rPr>
          <w:color w:val="000000"/>
        </w:rPr>
        <w:t>δ</w:t>
      </w:r>
      <w:r>
        <w:rPr>
          <w:color w:val="000000"/>
        </w:rPr>
        <w:t> = 0.25</w:t>
      </w:r>
      <w:r w:rsidRPr="00CD36C7">
        <w:rPr>
          <w:color w:val="000000"/>
        </w:rPr>
        <w:t xml:space="preserve"> </w:t>
      </w:r>
      <w:r>
        <w:rPr>
          <w:color w:val="000000"/>
        </w:rPr>
        <w:t>produces good estimates of sectoral multipliers for seven regions, with an error well below 1%.</w:t>
      </w:r>
      <w:r w:rsidRPr="00CD36C7">
        <w:rPr>
          <w:color w:val="000000"/>
        </w:rPr>
        <w:t xml:space="preserve"> </w:t>
      </w:r>
      <w:r>
        <w:rPr>
          <w:color w:val="000000"/>
        </w:rPr>
        <w:t xml:space="preserve"> The mean error of 0.4% (representing a modest overstatement) when </w:t>
      </w:r>
      <w:r w:rsidRPr="00DE71C0">
        <w:rPr>
          <w:color w:val="000000"/>
        </w:rPr>
        <w:t>δ</w:t>
      </w:r>
      <w:r>
        <w:rPr>
          <w:color w:val="000000"/>
        </w:rPr>
        <w:t> = 0.25</w:t>
      </w:r>
      <w:r w:rsidRPr="00CD36C7">
        <w:rPr>
          <w:color w:val="000000"/>
        </w:rPr>
        <w:t xml:space="preserve"> </w:t>
      </w:r>
      <w:r>
        <w:rPr>
          <w:color w:val="000000"/>
        </w:rPr>
        <w:t>is also very satisfactory, especially when compared with the outcomes for other values of δ.  On the other hand, a δ of 0.25 is clearly too high for the three smallest regions, yet too low for several of the larger regions.</w:t>
      </w:r>
      <w:r w:rsidRPr="00114042">
        <w:rPr>
          <w:color w:val="000000"/>
        </w:rPr>
        <w:t xml:space="preserve"> </w:t>
      </w:r>
      <w:r>
        <w:rPr>
          <w:color w:val="000000"/>
        </w:rPr>
        <w:t xml:space="preserve"> Here it is worth noting that, when </w:t>
      </w:r>
      <w:r w:rsidRPr="00DE71C0">
        <w:rPr>
          <w:color w:val="000000"/>
        </w:rPr>
        <w:t>δ</w:t>
      </w:r>
      <w:r>
        <w:rPr>
          <w:color w:val="000000"/>
        </w:rPr>
        <w:t xml:space="preserve"> = 0.4, the errors are </w:t>
      </w:r>
      <w:r>
        <w:rPr>
          <w:color w:val="000000"/>
        </w:rPr>
        <w:lastRenderedPageBreak/>
        <w:t xml:space="preserve">negative for all regions except </w:t>
      </w:r>
      <w:r>
        <w:t>Itä-Uusimaa</w:t>
      </w:r>
      <w:r>
        <w:rPr>
          <w:color w:val="000000"/>
        </w:rPr>
        <w:t xml:space="preserve">, which suggests that it would not normally be right to specify such a high value.  Conversely, apart from Ahvenanmaa, the errors are invariably positive </w:t>
      </w:r>
      <w:r>
        <w:rPr>
          <w:color w:val="000000"/>
        </w:rPr>
        <w:sym w:font="Symbol" w:char="F02D"/>
      </w:r>
      <w:r>
        <w:rPr>
          <w:color w:val="000000"/>
        </w:rPr>
        <w:t xml:space="preserve"> many strikingly so </w:t>
      </w:r>
      <w:r>
        <w:rPr>
          <w:color w:val="000000"/>
        </w:rPr>
        <w:sym w:font="Symbol" w:char="F02D"/>
      </w:r>
      <w:r>
        <w:rPr>
          <w:color w:val="000000"/>
        </w:rPr>
        <w:t xml:space="preserve"> when </w:t>
      </w:r>
      <w:r w:rsidRPr="00DE71C0">
        <w:rPr>
          <w:color w:val="000000"/>
        </w:rPr>
        <w:t>δ</w:t>
      </w:r>
      <w:r>
        <w:rPr>
          <w:color w:val="000000"/>
        </w:rPr>
        <w:t> = 0.15, which indicates that a value this low would not be a sensible choice in most circumstances.</w:t>
      </w:r>
    </w:p>
    <w:p w:rsidR="00E25CA7" w:rsidRDefault="00E25CA7" w:rsidP="00E25CA7">
      <w:pPr>
        <w:pStyle w:val="Normaali1"/>
        <w:tabs>
          <w:tab w:val="left" w:pos="426"/>
        </w:tabs>
        <w:spacing w:line="480" w:lineRule="auto"/>
      </w:pPr>
      <w:r>
        <w:rPr>
          <w:color w:val="000000"/>
        </w:rPr>
        <w:tab/>
        <w:t>Although 0.25 is demonstrably the best single value of</w:t>
      </w:r>
      <w:r w:rsidRPr="008461D3">
        <w:rPr>
          <w:color w:val="000000"/>
        </w:rPr>
        <w:t xml:space="preserve"> </w:t>
      </w:r>
      <w:r>
        <w:rPr>
          <w:color w:val="000000"/>
        </w:rPr>
        <w:t>δ, it does not generate acceptable results for many regions,</w:t>
      </w:r>
      <w:r w:rsidRPr="00A25FAC">
        <w:rPr>
          <w:color w:val="000000"/>
        </w:rPr>
        <w:t xml:space="preserve"> </w:t>
      </w:r>
      <w:r>
        <w:rPr>
          <w:color w:val="000000"/>
        </w:rPr>
        <w:t>so some further analysis is needed to establish the reasons why.  One reason has already been alluded to, namely the tendency for the required value of δ to rise with regional size.  This tendency is evinced by the fact that the mean error rises from 0.4% to 1.6% once the size of regions is taken into account</w:t>
      </w:r>
      <w:r>
        <w:t xml:space="preserve">.  Another reason why a </w:t>
      </w:r>
      <w:r>
        <w:rPr>
          <w:color w:val="000000"/>
        </w:rPr>
        <w:t xml:space="preserve">δ above or below 0.25 </w:t>
      </w:r>
      <w:r>
        <w:t>might be required is that certain regions exhibit unusually high or low propensities to import from other regions.</w:t>
      </w:r>
    </w:p>
    <w:p w:rsidR="00E25CA7" w:rsidRDefault="00E25CA7" w:rsidP="00E25CA7">
      <w:pPr>
        <w:pStyle w:val="Normaali1"/>
        <w:tabs>
          <w:tab w:val="left" w:pos="360"/>
        </w:tabs>
        <w:spacing w:line="480" w:lineRule="auto"/>
        <w:jc w:val="center"/>
        <w:rPr>
          <w:rFonts w:ascii="Times New Roman" w:hAnsi="Times New Roman"/>
          <w:color w:val="000000"/>
          <w:lang w:val="en-GB"/>
        </w:rPr>
      </w:pPr>
      <w:r>
        <w:rPr>
          <w:rFonts w:ascii="Times New Roman" w:hAnsi="Times New Roman"/>
          <w:b/>
          <w:lang w:val="en-GB"/>
        </w:rPr>
        <w:t>Figure 2 near here</w:t>
      </w:r>
    </w:p>
    <w:p w:rsidR="00E25CA7" w:rsidRPr="006F6A27" w:rsidRDefault="00E25CA7" w:rsidP="00E25CA7">
      <w:pPr>
        <w:pStyle w:val="Normaali1"/>
        <w:tabs>
          <w:tab w:val="left" w:pos="426"/>
        </w:tabs>
        <w:spacing w:line="480" w:lineRule="auto"/>
        <w:rPr>
          <w:rFonts w:ascii="Times New Roman" w:hAnsi="Times New Roman"/>
          <w:color w:val="000000"/>
          <w:szCs w:val="24"/>
          <w:lang w:val="en-GB"/>
        </w:rPr>
      </w:pPr>
      <w:r>
        <w:rPr>
          <w:rFonts w:ascii="Times New Roman" w:hAnsi="Times New Roman"/>
          <w:lang w:val="en-GB"/>
        </w:rPr>
        <w:tab/>
        <w:t xml:space="preserve">Figure 2 displays alternative LQ-based estimates of each region’s propensity to </w:t>
      </w:r>
      <w:r>
        <w:rPr>
          <w:rFonts w:ascii="Times New Roman" w:hAnsi="Times New Roman"/>
          <w:szCs w:val="24"/>
          <w:lang w:val="en-GB"/>
        </w:rPr>
        <w:t>import</w:t>
      </w:r>
      <w:r>
        <w:rPr>
          <w:rFonts w:ascii="Times New Roman" w:hAnsi="Times New Roman"/>
          <w:lang w:val="en-GB"/>
        </w:rPr>
        <w:t xml:space="preserve"> </w:t>
      </w:r>
      <w:r>
        <w:rPr>
          <w:rFonts w:ascii="Times New Roman" w:hAnsi="Times New Roman"/>
          <w:szCs w:val="24"/>
          <w:lang w:val="en-GB"/>
        </w:rPr>
        <w:t>products produced in other Finnish regions, along with survey-based estimates for comparison.</w:t>
      </w:r>
      <w:r>
        <w:rPr>
          <w:rFonts w:ascii="Times New Roman" w:hAnsi="Times New Roman"/>
          <w:b/>
          <w:szCs w:val="24"/>
          <w:vertAlign w:val="superscript"/>
          <w:lang w:val="en-GB"/>
        </w:rPr>
        <w:t>19</w:t>
      </w:r>
      <w:r>
        <w:rPr>
          <w:rFonts w:ascii="Times New Roman" w:hAnsi="Times New Roman"/>
          <w:szCs w:val="24"/>
          <w:lang w:val="en-GB"/>
        </w:rPr>
        <w:t xml:space="preserve">  In this diagram, the regions are arrayed from smallest to largest in terms of their share of national output.  Whilst </w:t>
      </w:r>
      <w:r>
        <w:rPr>
          <w:rFonts w:ascii="Times New Roman" w:hAnsi="Times New Roman"/>
          <w:lang w:val="en-GB"/>
        </w:rPr>
        <w:t xml:space="preserve">the FLQ with </w:t>
      </w:r>
      <w:r>
        <w:rPr>
          <w:rFonts w:ascii="Times New Roman" w:hAnsi="Times New Roman"/>
          <w:color w:val="000000"/>
          <w:szCs w:val="24"/>
          <w:lang w:val="en-GB"/>
        </w:rPr>
        <w:t>δ = 0.25</w:t>
      </w:r>
      <w:r>
        <w:rPr>
          <w:rFonts w:ascii="Times New Roman" w:hAnsi="Times New Roman"/>
          <w:lang w:val="en-GB"/>
        </w:rPr>
        <w:t xml:space="preserve"> yields good estimates of these propensities for eight regions and adequate estimates for four others, it is striking how much the propensity to import is</w:t>
      </w:r>
      <w:r>
        <w:rPr>
          <w:rFonts w:ascii="Times New Roman" w:hAnsi="Times New Roman"/>
          <w:color w:val="000000"/>
          <w:szCs w:val="24"/>
          <w:lang w:val="en-GB"/>
        </w:rPr>
        <w:t xml:space="preserve"> </w:t>
      </w:r>
      <w:r>
        <w:rPr>
          <w:rFonts w:ascii="Times New Roman" w:hAnsi="Times New Roman"/>
          <w:lang w:val="en-GB"/>
        </w:rPr>
        <w:t xml:space="preserve">overstated in </w:t>
      </w:r>
      <w:r>
        <w:rPr>
          <w:color w:val="000000"/>
        </w:rPr>
        <w:t>Ahvenanmaa, Kainuu, Pohjois-Karjala and Lappi</w:t>
      </w:r>
      <w:r>
        <w:rPr>
          <w:rFonts w:ascii="Times New Roman" w:hAnsi="Times New Roman"/>
          <w:lang w:val="en-GB"/>
        </w:rPr>
        <w:t>.</w:t>
      </w:r>
      <w:r>
        <w:rPr>
          <w:rFonts w:ascii="Times New Roman" w:hAnsi="Times New Roman"/>
          <w:b/>
          <w:vertAlign w:val="superscript"/>
          <w:lang w:val="en-GB"/>
        </w:rPr>
        <w:t>20</w:t>
      </w:r>
      <w:r>
        <w:rPr>
          <w:rFonts w:ascii="Times New Roman" w:hAnsi="Times New Roman"/>
          <w:lang w:val="en-GB"/>
        </w:rPr>
        <w:t xml:space="preserve">  This means that a smaller </w:t>
      </w:r>
      <w:r>
        <w:rPr>
          <w:rFonts w:ascii="Times New Roman" w:hAnsi="Times New Roman"/>
          <w:color w:val="000000"/>
          <w:szCs w:val="24"/>
          <w:lang w:val="en-GB"/>
        </w:rPr>
        <w:t>δ is needed to provide satisfactory estimates.</w:t>
      </w:r>
      <w:r>
        <w:rPr>
          <w:rFonts w:ascii="Times New Roman" w:hAnsi="Times New Roman"/>
          <w:lang w:val="en-GB"/>
        </w:rPr>
        <w:t xml:space="preserve">  On the other hand, the propensity is noticeably</w:t>
      </w:r>
      <w:r>
        <w:rPr>
          <w:rFonts w:ascii="Times New Roman" w:hAnsi="Times New Roman"/>
          <w:color w:val="000000"/>
          <w:szCs w:val="24"/>
          <w:lang w:val="en-GB"/>
        </w:rPr>
        <w:t xml:space="preserve"> u</w:t>
      </w:r>
      <w:r>
        <w:rPr>
          <w:rFonts w:ascii="Times New Roman" w:hAnsi="Times New Roman"/>
          <w:lang w:val="en-GB"/>
        </w:rPr>
        <w:t xml:space="preserve">nderstated in </w:t>
      </w:r>
      <w:r>
        <w:t>Itä-Uusimaa and Varsinais-Suomi</w:t>
      </w:r>
      <w:r>
        <w:rPr>
          <w:rFonts w:ascii="Times New Roman" w:hAnsi="Times New Roman"/>
          <w:lang w:val="en-GB"/>
        </w:rPr>
        <w:t xml:space="preserve">, which implies that a </w:t>
      </w:r>
      <w:r>
        <w:rPr>
          <w:rFonts w:ascii="Times New Roman" w:hAnsi="Times New Roman"/>
          <w:color w:val="000000"/>
          <w:szCs w:val="24"/>
          <w:lang w:val="en-GB"/>
        </w:rPr>
        <w:t xml:space="preserve">δ &gt; 0.25 is required.  </w:t>
      </w:r>
      <w:r>
        <w:t xml:space="preserve">A final reason why a </w:t>
      </w:r>
      <w:r>
        <w:rPr>
          <w:color w:val="000000"/>
        </w:rPr>
        <w:t xml:space="preserve">δ ≠ 0.25 </w:t>
      </w:r>
      <w:r>
        <w:t xml:space="preserve">might be required is to capture any divergence </w:t>
      </w:r>
      <w:r>
        <w:rPr>
          <w:rFonts w:ascii="Times New Roman" w:hAnsi="Times New Roman"/>
          <w:color w:val="000000"/>
          <w:szCs w:val="24"/>
          <w:lang w:val="en-GB"/>
        </w:rPr>
        <w:t>from the national pattern</w:t>
      </w:r>
      <w:r>
        <w:t xml:space="preserve"> in a region’s mix of </w:t>
      </w:r>
      <w:r>
        <w:rPr>
          <w:rFonts w:ascii="Times New Roman" w:hAnsi="Times New Roman"/>
          <w:color w:val="000000"/>
          <w:szCs w:val="24"/>
          <w:lang w:val="en-GB"/>
        </w:rPr>
        <w:t>intermediate</w:t>
      </w:r>
      <w:r>
        <w:t xml:space="preserve"> an</w:t>
      </w:r>
      <w:r>
        <w:rPr>
          <w:rFonts w:ascii="Times New Roman" w:hAnsi="Times New Roman"/>
          <w:color w:val="000000"/>
          <w:szCs w:val="24"/>
          <w:lang w:val="en-GB"/>
        </w:rPr>
        <w:t>d primary inputs</w:t>
      </w:r>
      <w:r>
        <w:t>.</w:t>
      </w:r>
    </w:p>
    <w:p w:rsidR="00E25CA7" w:rsidRDefault="00E25CA7" w:rsidP="00E25CA7">
      <w:pPr>
        <w:widowControl w:val="0"/>
        <w:tabs>
          <w:tab w:val="left" w:pos="426"/>
        </w:tabs>
        <w:spacing w:line="480" w:lineRule="auto"/>
        <w:rPr>
          <w:color w:val="000000"/>
        </w:rPr>
      </w:pPr>
      <w:r>
        <w:tab/>
        <w:t>In line with the above discussion, we u</w:t>
      </w:r>
      <w:r>
        <w:rPr>
          <w:color w:val="000000"/>
        </w:rPr>
        <w:t>sed data for the 20 regions</w:t>
      </w:r>
      <w:r>
        <w:t xml:space="preserve"> to estimate </w:t>
      </w:r>
      <w:r>
        <w:rPr>
          <w:color w:val="000000"/>
        </w:rPr>
        <w:t xml:space="preserve">the following </w:t>
      </w:r>
      <w:r>
        <w:t>regression equation</w:t>
      </w:r>
      <w:r>
        <w:rPr>
          <w:color w:val="000000"/>
        </w:rPr>
        <w:t>:</w:t>
      </w:r>
    </w:p>
    <w:p w:rsidR="00E25CA7" w:rsidRDefault="00E25CA7" w:rsidP="00E25CA7">
      <w:pPr>
        <w:widowControl w:val="0"/>
        <w:tabs>
          <w:tab w:val="center" w:pos="4536"/>
          <w:tab w:val="right" w:pos="8931"/>
        </w:tabs>
        <w:spacing w:line="480" w:lineRule="auto"/>
        <w:jc w:val="left"/>
      </w:pPr>
      <w:r>
        <w:rPr>
          <w:color w:val="000000"/>
        </w:rPr>
        <w:tab/>
        <w:t>ln</w:t>
      </w:r>
      <w:r>
        <w:rPr>
          <w:color w:val="000000"/>
          <w:vertAlign w:val="subscript"/>
        </w:rPr>
        <w:t xml:space="preserve"> </w:t>
      </w:r>
      <w:r>
        <w:rPr>
          <w:color w:val="000000"/>
        </w:rPr>
        <w:t xml:space="preserve">δ = </w:t>
      </w:r>
      <w:r>
        <w:rPr>
          <w:color w:val="000000"/>
        </w:rPr>
        <w:sym w:font="Symbol" w:char="002D"/>
      </w:r>
      <w:r>
        <w:rPr>
          <w:color w:val="000000"/>
        </w:rPr>
        <w:t>1.8379 + 0.33195</w:t>
      </w:r>
      <w:r>
        <w:rPr>
          <w:color w:val="000000"/>
          <w:vertAlign w:val="subscript"/>
        </w:rPr>
        <w:t xml:space="preserve"> </w:t>
      </w:r>
      <w:r>
        <w:rPr>
          <w:color w:val="000000"/>
        </w:rPr>
        <w:t>ln</w:t>
      </w:r>
      <w:r>
        <w:rPr>
          <w:color w:val="000000"/>
          <w:vertAlign w:val="subscript"/>
        </w:rPr>
        <w:t xml:space="preserve"> </w:t>
      </w:r>
      <w:r w:rsidRPr="002C3A29">
        <w:rPr>
          <w:i/>
          <w:color w:val="000000"/>
        </w:rPr>
        <w:t>R</w:t>
      </w:r>
      <w:r>
        <w:rPr>
          <w:color w:val="000000"/>
        </w:rPr>
        <w:t xml:space="preserve"> + 1.5834</w:t>
      </w:r>
      <w:r>
        <w:rPr>
          <w:color w:val="000000"/>
          <w:vertAlign w:val="subscript"/>
        </w:rPr>
        <w:t xml:space="preserve"> </w:t>
      </w:r>
      <w:r>
        <w:rPr>
          <w:color w:val="000000"/>
        </w:rPr>
        <w:t>ln</w:t>
      </w:r>
      <w:r>
        <w:rPr>
          <w:color w:val="000000"/>
          <w:vertAlign w:val="subscript"/>
        </w:rPr>
        <w:t xml:space="preserve"> </w:t>
      </w:r>
      <w:r w:rsidRPr="002C3A29">
        <w:rPr>
          <w:i/>
          <w:color w:val="000000"/>
        </w:rPr>
        <w:t>P</w:t>
      </w:r>
      <w:r>
        <w:rPr>
          <w:color w:val="000000"/>
        </w:rPr>
        <w:t xml:space="preserve"> </w:t>
      </w:r>
      <w:r>
        <w:rPr>
          <w:color w:val="000000"/>
        </w:rPr>
        <w:sym w:font="Symbol" w:char="002D"/>
      </w:r>
      <w:r>
        <w:rPr>
          <w:color w:val="000000"/>
        </w:rPr>
        <w:t xml:space="preserve"> 2.8812</w:t>
      </w:r>
      <w:r>
        <w:rPr>
          <w:color w:val="000000"/>
          <w:vertAlign w:val="subscript"/>
        </w:rPr>
        <w:t xml:space="preserve"> </w:t>
      </w:r>
      <w:r>
        <w:rPr>
          <w:color w:val="000000"/>
        </w:rPr>
        <w:t>ln</w:t>
      </w:r>
      <w:r>
        <w:rPr>
          <w:color w:val="000000"/>
          <w:vertAlign w:val="subscript"/>
        </w:rPr>
        <w:t xml:space="preserve"> </w:t>
      </w:r>
      <w:r w:rsidRPr="002C3A29">
        <w:rPr>
          <w:i/>
          <w:color w:val="000000"/>
        </w:rPr>
        <w:t>I</w:t>
      </w:r>
      <w:r>
        <w:rPr>
          <w:color w:val="000000"/>
        </w:rPr>
        <w:t xml:space="preserve"> + e</w:t>
      </w:r>
      <w:r>
        <w:tab/>
        <w:t>(23)</w:t>
      </w:r>
    </w:p>
    <w:p w:rsidR="00E25CA7" w:rsidRPr="00A52544" w:rsidRDefault="00E25CA7" w:rsidP="00E25CA7">
      <w:pPr>
        <w:widowControl w:val="0"/>
        <w:tabs>
          <w:tab w:val="left" w:pos="426"/>
          <w:tab w:val="right" w:pos="8931"/>
        </w:tabs>
        <w:spacing w:line="480" w:lineRule="auto"/>
        <w:rPr>
          <w:b/>
          <w:vertAlign w:val="superscript"/>
        </w:rPr>
      </w:pPr>
      <w:r>
        <w:lastRenderedPageBreak/>
        <w:t xml:space="preserve">where </w:t>
      </w:r>
      <w:r w:rsidRPr="002C3A29">
        <w:rPr>
          <w:i/>
        </w:rPr>
        <w:t>R</w:t>
      </w:r>
      <w:r>
        <w:t xml:space="preserve"> is regional size measured in terms of output and expressed as a percentage; </w:t>
      </w:r>
      <w:r w:rsidRPr="002C3A29">
        <w:rPr>
          <w:i/>
        </w:rPr>
        <w:t>P</w:t>
      </w:r>
      <w:r>
        <w:t xml:space="preserve"> is a survey-based estimate of each region’s propensity to import from other regions, divided by the mean value of this propensity for all regions; </w:t>
      </w:r>
      <w:r w:rsidRPr="002C3A29">
        <w:rPr>
          <w:i/>
        </w:rPr>
        <w:t>I</w:t>
      </w:r>
      <w:r>
        <w:t xml:space="preserve"> is a survey-based estimate of each region’s average use of intermediate inputs (including inputs imported from other regions), divided by the corresponding national proportion of intermediate inputs; e is a residual.</w:t>
      </w:r>
      <w:r>
        <w:rPr>
          <w:b/>
          <w:vertAlign w:val="superscript"/>
        </w:rPr>
        <w:t>21</w:t>
      </w:r>
    </w:p>
    <w:p w:rsidR="00E25CA7" w:rsidRDefault="00E25CA7" w:rsidP="00E25CA7">
      <w:pPr>
        <w:tabs>
          <w:tab w:val="left" w:pos="426"/>
          <w:tab w:val="right" w:pos="8931"/>
        </w:tabs>
        <w:spacing w:line="480" w:lineRule="auto"/>
        <w:ind w:firstLine="426"/>
        <w:rPr>
          <w:color w:val="000000"/>
        </w:rPr>
      </w:pPr>
      <w:r>
        <w:tab/>
        <w:t>With R</w:t>
      </w:r>
      <w:r>
        <w:rPr>
          <w:vertAlign w:val="superscript"/>
        </w:rPr>
        <w:t>2</w:t>
      </w:r>
      <w:r>
        <w:t xml:space="preserve"> = 0.915, </w:t>
      </w:r>
      <w:r>
        <w:rPr>
          <w:color w:val="000000"/>
        </w:rPr>
        <w:t>the expected signs</w:t>
      </w:r>
      <w:r>
        <w:t xml:space="preserve"> for all</w:t>
      </w:r>
      <w:r>
        <w:rPr>
          <w:color w:val="000000"/>
        </w:rPr>
        <w:t xml:space="preserve"> estimated coefficients, and </w:t>
      </w:r>
      <w:r>
        <w:rPr>
          <w:i/>
        </w:rPr>
        <w:t>t</w:t>
      </w:r>
      <w:r>
        <w:t xml:space="preserve"> ratios of 11</w:t>
      </w:r>
      <w:r>
        <w:rPr>
          <w:color w:val="000000"/>
        </w:rPr>
        <w:t>.66, 6.25 and</w:t>
      </w:r>
      <w:r>
        <w:rPr>
          <w:color w:val="000000"/>
          <w:vertAlign w:val="subscript"/>
        </w:rPr>
        <w:t xml:space="preserve"> </w:t>
      </w:r>
      <w:r>
        <w:rPr>
          <w:color w:val="000000"/>
        </w:rPr>
        <w:sym w:font="Symbol" w:char="002D"/>
      </w:r>
      <w:r>
        <w:rPr>
          <w:color w:val="000000"/>
        </w:rPr>
        <w:t>3.33 for the three regressors, the regression appears satisfactory.  This assessment is bolstered by the fact that it comfortably passes the χ</w:t>
      </w:r>
      <w:r>
        <w:rPr>
          <w:color w:val="000000"/>
          <w:vertAlign w:val="superscript"/>
        </w:rPr>
        <w:t>2</w:t>
      </w:r>
      <w:r>
        <w:rPr>
          <w:color w:val="000000"/>
        </w:rPr>
        <w:t xml:space="preserve"> diagnostic tests for heteroscedasticity (</w:t>
      </w:r>
      <w:r>
        <w:rPr>
          <w:i/>
          <w:color w:val="000000"/>
        </w:rPr>
        <w:t>p</w:t>
      </w:r>
      <w:r>
        <w:rPr>
          <w:color w:val="000000"/>
        </w:rPr>
        <w:t xml:space="preserve"> = 0.591), functional form (</w:t>
      </w:r>
      <w:r>
        <w:rPr>
          <w:i/>
          <w:color w:val="000000"/>
        </w:rPr>
        <w:t>p</w:t>
      </w:r>
      <w:r>
        <w:rPr>
          <w:color w:val="000000"/>
        </w:rPr>
        <w:t xml:space="preserve"> = 0.447) and normality (</w:t>
      </w:r>
      <w:r>
        <w:rPr>
          <w:i/>
          <w:color w:val="000000"/>
        </w:rPr>
        <w:t>p</w:t>
      </w:r>
      <w:r>
        <w:rPr>
          <w:color w:val="000000"/>
        </w:rPr>
        <w:t xml:space="preserve"> = 0.559).</w:t>
      </w:r>
    </w:p>
    <w:p w:rsidR="00E25CA7" w:rsidRDefault="00E25CA7" w:rsidP="00E25CA7">
      <w:pPr>
        <w:widowControl w:val="0"/>
        <w:tabs>
          <w:tab w:val="left" w:pos="426"/>
          <w:tab w:val="right" w:pos="8931"/>
        </w:tabs>
        <w:spacing w:line="480" w:lineRule="auto"/>
        <w:rPr>
          <w:color w:val="000000"/>
        </w:rPr>
      </w:pPr>
      <w:r>
        <w:rPr>
          <w:color w:val="000000"/>
        </w:rPr>
        <w:tab/>
        <w:t xml:space="preserve">To illustrate the potential use of this regression, let us assume that an analyst is examining a region such as Lappi, for which </w:t>
      </w:r>
      <w:r w:rsidRPr="002C3A29">
        <w:rPr>
          <w:i/>
          <w:color w:val="000000"/>
        </w:rPr>
        <w:t>R</w:t>
      </w:r>
      <w:r>
        <w:rPr>
          <w:color w:val="000000"/>
        </w:rPr>
        <w:t xml:space="preserve"> = 3.7, </w:t>
      </w:r>
      <w:r w:rsidRPr="002C3A29">
        <w:rPr>
          <w:i/>
          <w:color w:val="000000"/>
        </w:rPr>
        <w:t>P</w:t>
      </w:r>
      <w:r>
        <w:rPr>
          <w:color w:val="000000"/>
        </w:rPr>
        <w:t xml:space="preserve"> = 0.854 and </w:t>
      </w:r>
      <w:r w:rsidRPr="002C3A29">
        <w:rPr>
          <w:i/>
          <w:color w:val="000000"/>
        </w:rPr>
        <w:t>I</w:t>
      </w:r>
      <w:r>
        <w:rPr>
          <w:color w:val="000000"/>
        </w:rPr>
        <w:t xml:space="preserve"> = 0.981.  When compared with other regions of roughly the same size, Lappi stands out in Table 2 as requiring a lower δ.  Equation (23) works well in this instance, as it yields a δ of 0.202, which is a little below the optimal value of δ ≈ 0.209.</w:t>
      </w:r>
      <w:r w:rsidRPr="005878F1">
        <w:rPr>
          <w:b/>
          <w:vertAlign w:val="superscript"/>
        </w:rPr>
        <w:t>2</w:t>
      </w:r>
      <w:r>
        <w:rPr>
          <w:b/>
          <w:vertAlign w:val="superscript"/>
        </w:rPr>
        <w:t>2</w:t>
      </w:r>
      <w:r w:rsidRPr="00DB1CED">
        <w:t xml:space="preserve">  </w:t>
      </w:r>
      <w:r>
        <w:t>It also gives accurate</w:t>
      </w:r>
      <w:r w:rsidRPr="00DD3127">
        <w:t xml:space="preserve"> estimates</w:t>
      </w:r>
      <w:r>
        <w:t xml:space="preserve"> for several other regions, including</w:t>
      </w:r>
      <w:r>
        <w:rPr>
          <w:color w:val="000000"/>
        </w:rPr>
        <w:t xml:space="preserve"> Ahvenanmaa (δ = 0.129) and Uusimaa (δ = 0.375).  </w:t>
      </w:r>
      <w:r>
        <w:t>Indeed, the absolute error</w:t>
      </w:r>
      <w:r>
        <w:rPr>
          <w:color w:val="000000"/>
        </w:rPr>
        <w:t xml:space="preserve"> is below 0.01 in</w:t>
      </w:r>
      <w:r>
        <w:t xml:space="preserve"> eight regions, between 0.01 and 0.02 in four more, and between 0.02 and 0.03 in another six</w:t>
      </w:r>
      <w:r>
        <w:rPr>
          <w:color w:val="000000"/>
        </w:rPr>
        <w:t xml:space="preserve">.  Unfortunately, in the remaining two regions, </w:t>
      </w:r>
      <w:r>
        <w:t>Itä-Uusimaa</w:t>
      </w:r>
      <w:r>
        <w:rPr>
          <w:color w:val="000000"/>
        </w:rPr>
        <w:t xml:space="preserve"> and Etelä-Pohjanmaa, the errors are fairly large (</w:t>
      </w:r>
      <w:r>
        <w:rPr>
          <w:color w:val="000000"/>
        </w:rPr>
        <w:sym w:font="Symbol" w:char="002D"/>
      </w:r>
      <w:r>
        <w:rPr>
          <w:color w:val="000000"/>
        </w:rPr>
        <w:t>0.043 and 0.042, respectively).</w:t>
      </w:r>
    </w:p>
    <w:p w:rsidR="00E25CA7" w:rsidRPr="00547C3D" w:rsidRDefault="00E25CA7" w:rsidP="00E25CA7">
      <w:pPr>
        <w:tabs>
          <w:tab w:val="left" w:pos="426"/>
        </w:tabs>
        <w:spacing w:line="480" w:lineRule="auto"/>
      </w:pPr>
      <w:r>
        <w:rPr>
          <w:color w:val="000000"/>
        </w:rPr>
        <w:tab/>
        <w:t xml:space="preserve">Nevertheless, would an analyst have the necessary data to make use of our regression equation?  Calculating the value of </w:t>
      </w:r>
      <w:r w:rsidRPr="002C3A29">
        <w:rPr>
          <w:i/>
          <w:color w:val="000000"/>
        </w:rPr>
        <w:t>R</w:t>
      </w:r>
      <w:r>
        <w:rPr>
          <w:color w:val="000000"/>
        </w:rPr>
        <w:t xml:space="preserve"> using either output or employment data</w:t>
      </w:r>
      <w:r w:rsidRPr="0093167A">
        <w:rPr>
          <w:color w:val="000000"/>
        </w:rPr>
        <w:t xml:space="preserve"> </w:t>
      </w:r>
      <w:r>
        <w:rPr>
          <w:color w:val="000000"/>
        </w:rPr>
        <w:t xml:space="preserve">would be straightforward.  However, getting a reasonable estimate of </w:t>
      </w:r>
      <w:r w:rsidRPr="002C3A29">
        <w:rPr>
          <w:i/>
          <w:color w:val="000000"/>
        </w:rPr>
        <w:t>P</w:t>
      </w:r>
      <w:r>
        <w:rPr>
          <w:color w:val="000000"/>
        </w:rPr>
        <w:t xml:space="preserve"> would be more challenging, yet a knowledgeable analyst would surely know whether the region under examination had an unusually high propensity to import from other regions (e.g. </w:t>
      </w:r>
      <w:r>
        <w:t xml:space="preserve">Itä-Uusimaa, </w:t>
      </w:r>
      <w:r>
        <w:rPr>
          <w:i/>
        </w:rPr>
        <w:t>P</w:t>
      </w:r>
      <w:r>
        <w:t xml:space="preserve"> = 1.262)</w:t>
      </w:r>
      <w:r>
        <w:rPr>
          <w:color w:val="000000"/>
        </w:rPr>
        <w:t xml:space="preserve"> or an unusually low propensity (e.g. L</w:t>
      </w:r>
      <w:r>
        <w:t xml:space="preserve">appi, </w:t>
      </w:r>
      <w:r>
        <w:rPr>
          <w:i/>
        </w:rPr>
        <w:t>P</w:t>
      </w:r>
      <w:r>
        <w:t xml:space="preserve"> = 0.854).  A well-informed guess would be required.  Likewise, the </w:t>
      </w:r>
      <w:r>
        <w:rPr>
          <w:color w:val="000000"/>
        </w:rPr>
        <w:t xml:space="preserve">analyst would need to assess whether the region had an atypical </w:t>
      </w:r>
      <w:r>
        <w:t xml:space="preserve">mix of </w:t>
      </w:r>
      <w:r>
        <w:rPr>
          <w:color w:val="000000"/>
        </w:rPr>
        <w:lastRenderedPageBreak/>
        <w:t>intermediate</w:t>
      </w:r>
      <w:r>
        <w:t xml:space="preserve"> an</w:t>
      </w:r>
      <w:r>
        <w:rPr>
          <w:color w:val="000000"/>
        </w:rPr>
        <w:t>d primary inputs relative to the national pattern (e.g.</w:t>
      </w:r>
      <w:r>
        <w:t xml:space="preserve"> </w:t>
      </w:r>
      <w:r>
        <w:rPr>
          <w:color w:val="000000"/>
        </w:rPr>
        <w:t>Etel</w:t>
      </w:r>
      <w:r>
        <w:t xml:space="preserve">ä-Savo, </w:t>
      </w:r>
      <w:r w:rsidRPr="002C3A29">
        <w:rPr>
          <w:i/>
        </w:rPr>
        <w:t>I</w:t>
      </w:r>
      <w:r>
        <w:t xml:space="preserve"> = 0.931, or Pohjanmaa, </w:t>
      </w:r>
      <w:r w:rsidRPr="002C3A29">
        <w:rPr>
          <w:i/>
        </w:rPr>
        <w:t>I</w:t>
      </w:r>
      <w:r>
        <w:t xml:space="preserve"> = 1.030).  Equation (23) could then be used to derive a figure for </w:t>
      </w:r>
      <w:r>
        <w:rPr>
          <w:color w:val="000000"/>
        </w:rPr>
        <w:t xml:space="preserve">δ, which should be better than merely assuming that δ = 0.25.  Any other relevant information that was available could be employed to fine tune this estimate.  As a default, the analyst could assume that </w:t>
      </w:r>
      <w:r w:rsidRPr="002C3A29">
        <w:rPr>
          <w:i/>
          <w:color w:val="000000"/>
        </w:rPr>
        <w:t>P</w:t>
      </w:r>
      <w:r>
        <w:rPr>
          <w:color w:val="000000"/>
        </w:rPr>
        <w:t xml:space="preserve"> = </w:t>
      </w:r>
      <w:r w:rsidRPr="002C3A29">
        <w:rPr>
          <w:i/>
          <w:color w:val="000000"/>
        </w:rPr>
        <w:t>I</w:t>
      </w:r>
      <w:r>
        <w:rPr>
          <w:color w:val="000000"/>
        </w:rPr>
        <w:t xml:space="preserve"> = 1.  This would entail estimating δ via the equation</w:t>
      </w:r>
      <w:r w:rsidRPr="00571648">
        <w:rPr>
          <w:color w:val="000000"/>
        </w:rPr>
        <w:t xml:space="preserve"> </w:t>
      </w:r>
      <w:r>
        <w:rPr>
          <w:color w:val="000000"/>
        </w:rPr>
        <w:t>ln</w:t>
      </w:r>
      <w:r>
        <w:rPr>
          <w:color w:val="000000"/>
          <w:vertAlign w:val="subscript"/>
        </w:rPr>
        <w:t xml:space="preserve"> </w:t>
      </w:r>
      <w:r>
        <w:rPr>
          <w:color w:val="000000"/>
        </w:rPr>
        <w:t xml:space="preserve">δ = </w:t>
      </w:r>
      <w:r>
        <w:rPr>
          <w:color w:val="000000"/>
        </w:rPr>
        <w:sym w:font="Symbol" w:char="002D"/>
      </w:r>
      <w:r>
        <w:rPr>
          <w:color w:val="000000"/>
        </w:rPr>
        <w:t>1.8379 + 0.33195</w:t>
      </w:r>
      <w:r>
        <w:rPr>
          <w:color w:val="000000"/>
          <w:vertAlign w:val="subscript"/>
        </w:rPr>
        <w:t xml:space="preserve"> </w:t>
      </w:r>
      <w:r>
        <w:rPr>
          <w:color w:val="000000"/>
        </w:rPr>
        <w:t>ln</w:t>
      </w:r>
      <w:r>
        <w:rPr>
          <w:color w:val="000000"/>
          <w:vertAlign w:val="subscript"/>
        </w:rPr>
        <w:t xml:space="preserve"> </w:t>
      </w:r>
      <w:r w:rsidRPr="002C3A29">
        <w:rPr>
          <w:i/>
          <w:color w:val="000000"/>
        </w:rPr>
        <w:t>R</w:t>
      </w:r>
      <w:r>
        <w:rPr>
          <w:color w:val="000000"/>
        </w:rPr>
        <w:t>.</w:t>
      </w:r>
      <w:r w:rsidRPr="000D65AF">
        <w:rPr>
          <w:color w:val="000000"/>
        </w:rPr>
        <w:t xml:space="preserve">  </w:t>
      </w:r>
      <w:r>
        <w:t xml:space="preserve">In the case of </w:t>
      </w:r>
      <w:r w:rsidRPr="00D120CE">
        <w:rPr>
          <w:color w:val="000000"/>
        </w:rPr>
        <w:t>Lappi</w:t>
      </w:r>
      <w:r>
        <w:rPr>
          <w:color w:val="000000"/>
        </w:rPr>
        <w:t>, for example, this would mean using a</w:t>
      </w:r>
      <w:r w:rsidRPr="00D120CE">
        <w:rPr>
          <w:color w:val="000000"/>
        </w:rPr>
        <w:t xml:space="preserve"> δ</w:t>
      </w:r>
      <w:r>
        <w:t xml:space="preserve"> of 0.246 rather than 0.202.</w:t>
      </w:r>
    </w:p>
    <w:p w:rsidR="00E25CA7" w:rsidRDefault="00E25CA7" w:rsidP="00E25CA7">
      <w:pPr>
        <w:pStyle w:val="Normaali1"/>
        <w:tabs>
          <w:tab w:val="left" w:pos="360"/>
        </w:tabs>
        <w:spacing w:line="480" w:lineRule="auto"/>
        <w:jc w:val="center"/>
        <w:rPr>
          <w:rFonts w:ascii="Times New Roman" w:hAnsi="Times New Roman"/>
          <w:lang w:val="en-GB"/>
        </w:rPr>
      </w:pPr>
      <w:r>
        <w:rPr>
          <w:rFonts w:ascii="Times New Roman" w:hAnsi="Times New Roman"/>
          <w:b/>
        </w:rPr>
        <w:t>Table 3</w:t>
      </w:r>
      <w:r>
        <w:rPr>
          <w:rFonts w:ascii="Times New Roman" w:hAnsi="Times New Roman"/>
          <w:b/>
          <w:lang w:val="en-GB"/>
        </w:rPr>
        <w:t xml:space="preserve"> near here</w:t>
      </w:r>
    </w:p>
    <w:p w:rsidR="00E25CA7" w:rsidRPr="002928AE" w:rsidRDefault="00E25CA7" w:rsidP="00E25CA7">
      <w:pPr>
        <w:widowControl w:val="0"/>
        <w:tabs>
          <w:tab w:val="left" w:pos="426"/>
        </w:tabs>
        <w:spacing w:line="480" w:lineRule="auto"/>
        <w:rPr>
          <w:color w:val="000000"/>
        </w:rPr>
      </w:pPr>
      <w:r>
        <w:tab/>
        <w:t>The discussion so far has focused on our preferred measure μ</w:t>
      </w:r>
      <w:r>
        <w:rPr>
          <w:vertAlign w:val="subscript"/>
        </w:rPr>
        <w:t>1</w:t>
      </w:r>
      <w:r>
        <w:t>, so we now need to see whether the other criteria listed earlier generate comparable results.  At the outset, we should note from Table 3 that μ</w:t>
      </w:r>
      <w:r>
        <w:rPr>
          <w:vertAlign w:val="subscript"/>
        </w:rPr>
        <w:t>2</w:t>
      </w:r>
      <w:r>
        <w:t xml:space="preserve">* also identifies </w:t>
      </w:r>
      <w:r>
        <w:rPr>
          <w:color w:val="000000"/>
        </w:rPr>
        <w:t xml:space="preserve">δ = 0.25 as optimal.  Moreover, in the case of </w:t>
      </w:r>
      <w:r w:rsidRPr="00725A77">
        <w:t>μ</w:t>
      </w:r>
      <w:r w:rsidRPr="00725A77">
        <w:rPr>
          <w:vertAlign w:val="subscript"/>
        </w:rPr>
        <w:t>4</w:t>
      </w:r>
      <w:r>
        <w:t xml:space="preserve"> and μ</w:t>
      </w:r>
      <w:r>
        <w:rPr>
          <w:vertAlign w:val="subscript"/>
        </w:rPr>
        <w:t>5</w:t>
      </w:r>
      <w:r>
        <w:t>, the loss in accuracy from using</w:t>
      </w:r>
      <w:r w:rsidRPr="005B7BCF">
        <w:rPr>
          <w:color w:val="000000"/>
        </w:rPr>
        <w:t xml:space="preserve"> </w:t>
      </w:r>
      <w:r>
        <w:rPr>
          <w:color w:val="000000"/>
        </w:rPr>
        <w:t>δ = 0.25</w:t>
      </w:r>
      <w:r>
        <w:t xml:space="preserve"> rather than the optimal value</w:t>
      </w:r>
      <w:r>
        <w:rPr>
          <w:color w:val="000000"/>
        </w:rPr>
        <w:t xml:space="preserve"> </w:t>
      </w:r>
      <w:r>
        <w:t xml:space="preserve">is negligible.  The fact that </w:t>
      </w:r>
      <w:r>
        <w:rPr>
          <w:color w:val="000000"/>
        </w:rPr>
        <w:t>δ = 0.25 yields the minimum standard deviation is also an important finding, as it suggests that the FLQ can simultaneously minimize bias and dispersion.</w:t>
      </w:r>
      <w:r>
        <w:rPr>
          <w:b/>
          <w:color w:val="000000"/>
          <w:vertAlign w:val="superscript"/>
        </w:rPr>
        <w:t>23</w:t>
      </w:r>
      <w:r w:rsidRPr="00F265E7">
        <w:rPr>
          <w:color w:val="000000"/>
        </w:rPr>
        <w:t xml:space="preserve">  Even so</w:t>
      </w:r>
      <w:r w:rsidRPr="002928AE">
        <w:rPr>
          <w:color w:val="000000"/>
        </w:rPr>
        <w:t>,</w:t>
      </w:r>
      <w:r>
        <w:rPr>
          <w:b/>
          <w:color w:val="000000"/>
        </w:rPr>
        <w:t xml:space="preserve"> </w:t>
      </w:r>
      <w:r w:rsidRPr="00F265E7">
        <w:rPr>
          <w:color w:val="000000"/>
        </w:rPr>
        <w:t>the sectoral weighting</w:t>
      </w:r>
      <w:r>
        <w:rPr>
          <w:b/>
          <w:color w:val="000000"/>
        </w:rPr>
        <w:t xml:space="preserve"> </w:t>
      </w:r>
      <w:r w:rsidRPr="00F265E7">
        <w:rPr>
          <w:color w:val="000000"/>
        </w:rPr>
        <w:t>underlying</w:t>
      </w:r>
      <w:r>
        <w:rPr>
          <w:b/>
          <w:color w:val="000000"/>
        </w:rPr>
        <w:t xml:space="preserve"> </w:t>
      </w:r>
      <w:r w:rsidRPr="00725A77">
        <w:t>μ</w:t>
      </w:r>
      <w:r>
        <w:rPr>
          <w:vertAlign w:val="subscript"/>
        </w:rPr>
        <w:t>3</w:t>
      </w:r>
      <w:r>
        <w:t xml:space="preserve"> indicates that the larger sectors typically need a </w:t>
      </w:r>
      <w:r>
        <w:rPr>
          <w:color w:val="000000"/>
        </w:rPr>
        <w:t>δ &lt; 0.25.</w:t>
      </w:r>
    </w:p>
    <w:p w:rsidR="00E25CA7" w:rsidRDefault="00E25CA7" w:rsidP="00E25CA7">
      <w:pPr>
        <w:widowControl w:val="0"/>
        <w:tabs>
          <w:tab w:val="left" w:pos="426"/>
        </w:tabs>
        <w:spacing w:line="480" w:lineRule="auto"/>
        <w:rPr>
          <w:color w:val="000000"/>
        </w:rPr>
      </w:pPr>
      <w:r>
        <w:rPr>
          <w:color w:val="000000"/>
        </w:rPr>
        <w:tab/>
      </w:r>
      <w:r>
        <w:t xml:space="preserve">Table 3 reveals that the FLQ </w:t>
      </w:r>
      <w:r>
        <w:rPr>
          <w:color w:val="000000"/>
        </w:rPr>
        <w:sym w:font="Symbol" w:char="002D"/>
      </w:r>
      <w:r>
        <w:rPr>
          <w:color w:val="000000"/>
        </w:rPr>
        <w:t xml:space="preserve"> regardless of which measure is used </w:t>
      </w:r>
      <w:r>
        <w:rPr>
          <w:color w:val="000000"/>
        </w:rPr>
        <w:sym w:font="Symbol" w:char="002D"/>
      </w:r>
      <w:r>
        <w:rPr>
          <w:color w:val="000000"/>
        </w:rPr>
        <w:t xml:space="preserve"> yields much more accurate results than the SLQ and CILQ.  The most obvious explanation of this outcome </w:t>
      </w:r>
      <w:r>
        <w:t xml:space="preserve">is that the SLQ and CILQ do not make sufficient downward adjustments to the national input coefficients </w:t>
      </w:r>
      <w:r>
        <w:rPr>
          <w:color w:val="000000"/>
        </w:rPr>
        <w:sym w:font="Symbol" w:char="002D"/>
      </w:r>
      <w:r>
        <w:rPr>
          <w:color w:val="000000"/>
        </w:rPr>
        <w:t xml:space="preserve"> </w:t>
      </w:r>
      <w:r>
        <w:t xml:space="preserve">to allow for interregional trade </w:t>
      </w:r>
      <w:r>
        <w:rPr>
          <w:color w:val="000000"/>
        </w:rPr>
        <w:sym w:font="Symbol" w:char="002D"/>
      </w:r>
      <w:r>
        <w:rPr>
          <w:color w:val="000000"/>
        </w:rPr>
        <w:t xml:space="preserve"> </w:t>
      </w:r>
      <w:r>
        <w:t xml:space="preserve">and hence greatly overstate regional propensities to import.  </w:t>
      </w:r>
      <w:r>
        <w:rPr>
          <w:color w:val="000000"/>
        </w:rPr>
        <w:t xml:space="preserve">The strong upward bias in input coefficients and hence multipliers is also demonstrated in Table 3 by the fact that the mean values of </w:t>
      </w:r>
      <w:r>
        <w:t>μ</w:t>
      </w:r>
      <w:r>
        <w:rPr>
          <w:vertAlign w:val="subscript"/>
        </w:rPr>
        <w:t>1</w:t>
      </w:r>
      <w:r>
        <w:t xml:space="preserve"> and μ</w:t>
      </w:r>
      <w:r>
        <w:rPr>
          <w:vertAlign w:val="subscript"/>
        </w:rPr>
        <w:t xml:space="preserve">5 </w:t>
      </w:r>
      <w:r>
        <w:rPr>
          <w:color w:val="000000"/>
        </w:rPr>
        <w:t xml:space="preserve">are very similar for the SLQ and likewise for the CILQ.  </w:t>
      </w:r>
      <w:r>
        <w:t>This bias is also clearly evident in Figure 2, although it is true that the</w:t>
      </w:r>
      <w:r>
        <w:rPr>
          <w:b/>
        </w:rPr>
        <w:t xml:space="preserve"> </w:t>
      </w:r>
      <w:r>
        <w:t xml:space="preserve">SLQ does perform well in </w:t>
      </w:r>
      <w:r>
        <w:rPr>
          <w:color w:val="000000"/>
        </w:rPr>
        <w:t>Ahvenanmaa.</w:t>
      </w:r>
    </w:p>
    <w:p w:rsidR="00E25CA7" w:rsidRDefault="00E25CA7" w:rsidP="00E25CA7">
      <w:pPr>
        <w:widowControl w:val="0"/>
        <w:tabs>
          <w:tab w:val="left" w:pos="426"/>
        </w:tabs>
        <w:spacing w:line="480" w:lineRule="auto"/>
        <w:rPr>
          <w:color w:val="000000"/>
          <w:vertAlign w:val="superscript"/>
        </w:rPr>
      </w:pPr>
      <w:r>
        <w:rPr>
          <w:color w:val="000000"/>
        </w:rPr>
        <w:tab/>
        <w:t xml:space="preserve">A key reason why </w:t>
      </w:r>
      <w:r>
        <w:t>the conventional LQs</w:t>
      </w:r>
      <w:r>
        <w:rPr>
          <w:color w:val="000000"/>
        </w:rPr>
        <w:t xml:space="preserve"> tend to understate imports </w:t>
      </w:r>
      <w:r>
        <w:t xml:space="preserve">is that they disregard the problem of </w:t>
      </w:r>
      <w:r>
        <w:rPr>
          <w:i/>
        </w:rPr>
        <w:t>cross-hauling</w:t>
      </w:r>
      <w:r>
        <w:t xml:space="preserve">, which occurs when a sector simultaneously imports and exports the same commodity.  This is a chronic problem in small regions that do not represent </w:t>
      </w:r>
      <w:r>
        <w:lastRenderedPageBreak/>
        <w:t xml:space="preserve">a functional economic area (Robison and Miller, 1988) but it is also problematic in larger regions (Kronenberg, 2009).  The SLQ rules out the possibility of cross-hauling </w:t>
      </w:r>
      <w:r>
        <w:rPr>
          <w:i/>
        </w:rPr>
        <w:t>a priori</w:t>
      </w:r>
      <w:r>
        <w:t>.  It presupposes that a region will import from other regions, yet not export to them, if SLQ</w:t>
      </w:r>
      <w:r>
        <w:rPr>
          <w:vertAlign w:val="subscript"/>
        </w:rPr>
        <w:t>i</w:t>
      </w:r>
      <w:r>
        <w:t xml:space="preserve"> &lt; 1 but do the opposite if SLQ</w:t>
      </w:r>
      <w:r>
        <w:rPr>
          <w:vertAlign w:val="subscript"/>
        </w:rPr>
        <w:t>i</w:t>
      </w:r>
      <w:r>
        <w:t xml:space="preserve"> ≥ 1.  The CILQ does not preclude cross-hauling, as some cells in a given row of the adjustment matrix can have CILQ</w:t>
      </w:r>
      <w:r>
        <w:rPr>
          <w:vertAlign w:val="subscript"/>
        </w:rPr>
        <w:t>ij</w:t>
      </w:r>
      <w:r>
        <w:t xml:space="preserve"> &lt; 1, while others can have CILQ</w:t>
      </w:r>
      <w:r>
        <w:rPr>
          <w:vertAlign w:val="subscript"/>
        </w:rPr>
        <w:t>ij</w:t>
      </w:r>
      <w:r>
        <w:t xml:space="preserve"> ≥ 1.  Hence imports and exports of commodity </w:t>
      </w:r>
      <w:r>
        <w:rPr>
          <w:i/>
        </w:rPr>
        <w:t>i</w:t>
      </w:r>
      <w:r>
        <w:t xml:space="preserve"> can occur simultaneously.  The problem here is that the CILQ does not make adequate allowance for cross-hauling, whereas the FLQ attempts to do so by taking regional size into account.</w:t>
      </w:r>
      <w:r>
        <w:rPr>
          <w:b/>
          <w:vertAlign w:val="superscript"/>
        </w:rPr>
        <w:t>24</w:t>
      </w:r>
    </w:p>
    <w:p w:rsidR="00E25CA7" w:rsidRDefault="00E25CA7" w:rsidP="00E25CA7">
      <w:pPr>
        <w:widowControl w:val="0"/>
        <w:tabs>
          <w:tab w:val="left" w:pos="426"/>
          <w:tab w:val="right" w:pos="8931"/>
        </w:tabs>
        <w:spacing w:line="480" w:lineRule="auto"/>
      </w:pPr>
      <w:r>
        <w:tab/>
        <w:t>Although it is obviously desirable to have μ</w:t>
      </w:r>
      <w:r>
        <w:rPr>
          <w:vertAlign w:val="subscript"/>
        </w:rPr>
        <w:t>1</w:t>
      </w:r>
      <w:r>
        <w:t xml:space="preserve"> as close to zero as possible, </w:t>
      </w:r>
      <w:r w:rsidR="007F3E5B">
        <w:t>so as</w:t>
      </w:r>
      <w:r>
        <w:t xml:space="preserve"> to eliminate any systematic tendency towards overstatement or understatement, μ</w:t>
      </w:r>
      <w:r>
        <w:rPr>
          <w:vertAlign w:val="subscript"/>
        </w:rPr>
        <w:t>1</w:t>
      </w:r>
      <w:r>
        <w:t xml:space="preserve"> = 0 could still arise if some very large positive and negative errors happened to average out to zero.  </w:t>
      </w:r>
      <w:r w:rsidR="007F3E5B">
        <w:t>Thus</w:t>
      </w:r>
      <w:r>
        <w:t>, when assessing accuracy, we do also need to look at measures such as μ</w:t>
      </w:r>
      <w:r>
        <w:rPr>
          <w:vertAlign w:val="subscript"/>
        </w:rPr>
        <w:t>4</w:t>
      </w:r>
      <w:r>
        <w:t xml:space="preserve"> and μ</w:t>
      </w:r>
      <w:r>
        <w:rPr>
          <w:vertAlign w:val="subscript"/>
        </w:rPr>
        <w:t>5</w:t>
      </w:r>
      <w:r>
        <w:t xml:space="preserve">.  When </w:t>
      </w:r>
      <w:r>
        <w:rPr>
          <w:color w:val="000000"/>
        </w:rPr>
        <w:t>δ = 0.25,</w:t>
      </w:r>
      <w:r>
        <w:t xml:space="preserve"> the FLQ </w:t>
      </w:r>
      <w:r>
        <w:rPr>
          <w:color w:val="000000"/>
        </w:rPr>
        <w:t xml:space="preserve">exhibits an average error of </w:t>
      </w:r>
      <w:r>
        <w:t>11.9% for μ</w:t>
      </w:r>
      <w:r>
        <w:rPr>
          <w:vertAlign w:val="subscript"/>
        </w:rPr>
        <w:t>4</w:t>
      </w:r>
      <w:r>
        <w:t xml:space="preserve"> and 8</w:t>
      </w:r>
      <w:r>
        <w:rPr>
          <w:color w:val="000000"/>
        </w:rPr>
        <w:t xml:space="preserve">.2% for </w:t>
      </w:r>
      <w:r>
        <w:t>μ</w:t>
      </w:r>
      <w:r>
        <w:rPr>
          <w:vertAlign w:val="subscript"/>
        </w:rPr>
        <w:t>5</w:t>
      </w:r>
      <w:r>
        <w:rPr>
          <w:color w:val="000000"/>
        </w:rPr>
        <w:t xml:space="preserve">.  </w:t>
      </w:r>
      <w:r>
        <w:t>The higher figure for μ</w:t>
      </w:r>
      <w:r>
        <w:rPr>
          <w:vertAlign w:val="subscript"/>
        </w:rPr>
        <w:t>4</w:t>
      </w:r>
      <w:r>
        <w:t xml:space="preserve"> is due to the fact that, with this measure, simulation errors are squared, which puts greater emphasis on larger errors.  For instance, μ</w:t>
      </w:r>
      <w:r>
        <w:rPr>
          <w:vertAlign w:val="subscript"/>
        </w:rPr>
        <w:t>5</w:t>
      </w:r>
      <w:r>
        <w:t xml:space="preserve"> would treat an error of ±0.1 as 10 times larger than an error of ±0.01, whereas μ</w:t>
      </w:r>
      <w:r>
        <w:rPr>
          <w:vertAlign w:val="subscript"/>
        </w:rPr>
        <w:t>4</w:t>
      </w:r>
      <w:r>
        <w:t xml:space="preserve"> would treat the former as 100 times larger than the latter.  It is by no means clear that this extreme emphasis on avoiding larger errors is warranted.</w:t>
      </w:r>
    </w:p>
    <w:p w:rsidR="00E25CA7" w:rsidRDefault="00E25CA7" w:rsidP="00E25CA7">
      <w:pPr>
        <w:widowControl w:val="0"/>
        <w:tabs>
          <w:tab w:val="left" w:pos="426"/>
          <w:tab w:val="right" w:pos="8931"/>
        </w:tabs>
        <w:spacing w:line="480" w:lineRule="auto"/>
      </w:pPr>
      <w:r>
        <w:tab/>
      </w:r>
      <w:r w:rsidR="001967B4">
        <w:t>However</w:t>
      </w:r>
      <w:r w:rsidR="000B765D">
        <w:t xml:space="preserve">, is </w:t>
      </w:r>
      <w:r w:rsidR="00C530A2">
        <w:t>an error of</w:t>
      </w:r>
      <w:r w:rsidR="000B765D">
        <w:t xml:space="preserve"> 8.2% unacceptably large?</w:t>
      </w:r>
      <w:r>
        <w:t xml:space="preserve">  This is ultimately up to the analyst to decide, by weighing up the costs and benefits of increasing the degree of accuracy, e.g. the costs of surveying key sectors.  </w:t>
      </w:r>
      <w:r w:rsidR="001F18F6">
        <w:t>I</w:t>
      </w:r>
      <w:r>
        <w:t xml:space="preserve">t should </w:t>
      </w:r>
      <w:r w:rsidR="001F18F6">
        <w:t xml:space="preserve">also </w:t>
      </w:r>
      <w:r>
        <w:t xml:space="preserve">be borne in mind that the 8.2% average error arose as a result of using a single figure for </w:t>
      </w:r>
      <w:r>
        <w:rPr>
          <w:color w:val="000000"/>
        </w:rPr>
        <w:t>δ</w:t>
      </w:r>
      <w:r>
        <w:t>; this error could be reduced in many cases by using a value tailored to the specific characteristics of the region under consideration.</w:t>
      </w:r>
    </w:p>
    <w:p w:rsidR="003A441E" w:rsidRDefault="005231A7" w:rsidP="00943612">
      <w:pPr>
        <w:widowControl w:val="0"/>
        <w:tabs>
          <w:tab w:val="left" w:pos="426"/>
        </w:tabs>
        <w:spacing w:line="480" w:lineRule="auto"/>
        <w:rPr>
          <w:color w:val="000000"/>
        </w:rPr>
      </w:pPr>
      <w:r>
        <w:tab/>
      </w:r>
      <w:r w:rsidR="003A441E">
        <w:rPr>
          <w:color w:val="000000"/>
        </w:rPr>
        <w:t xml:space="preserve">Many authors have suggested that measures using absolute values are the most satisfactory way of assessing the accuracy of estimated multipliers and coefficients (see, for </w:t>
      </w:r>
      <w:r w:rsidR="003A441E">
        <w:rPr>
          <w:color w:val="000000"/>
        </w:rPr>
        <w:lastRenderedPageBreak/>
        <w:t xml:space="preserve">example, Bonfiglio and Chelli, 2008; Sawyer and Miller, 1983).  What is more, the negligible difference of 0.053 in the mean values of </w:t>
      </w:r>
      <w:r w:rsidR="003A441E">
        <w:t>μ</w:t>
      </w:r>
      <w:r w:rsidR="003A441E">
        <w:rPr>
          <w:vertAlign w:val="subscript"/>
        </w:rPr>
        <w:t xml:space="preserve">5 </w:t>
      </w:r>
      <w:r w:rsidR="003A441E">
        <w:t xml:space="preserve">for </w:t>
      </w:r>
      <w:r w:rsidR="003A441E">
        <w:rPr>
          <w:color w:val="000000"/>
        </w:rPr>
        <w:t>δ = 0.25 and δ = 0.3 may mask some useful information.  Hence a set of</w:t>
      </w:r>
      <w:r w:rsidR="003A441E">
        <w:t xml:space="preserve"> disaggregated results is presented in Table 4</w:t>
      </w:r>
      <w:r w:rsidR="003A441E">
        <w:rPr>
          <w:color w:val="000000"/>
        </w:rPr>
        <w:t>.</w:t>
      </w:r>
    </w:p>
    <w:p w:rsidR="003A441E" w:rsidRDefault="003A441E" w:rsidP="003A441E">
      <w:pPr>
        <w:pStyle w:val="Normaali1"/>
        <w:tabs>
          <w:tab w:val="left" w:pos="360"/>
        </w:tabs>
        <w:spacing w:line="480" w:lineRule="auto"/>
        <w:jc w:val="center"/>
        <w:rPr>
          <w:rFonts w:ascii="Times New Roman" w:hAnsi="Times New Roman"/>
          <w:lang w:val="en-GB"/>
        </w:rPr>
      </w:pPr>
      <w:r>
        <w:rPr>
          <w:rFonts w:ascii="Times New Roman" w:hAnsi="Times New Roman"/>
          <w:b/>
        </w:rPr>
        <w:t>Table 4</w:t>
      </w:r>
      <w:r>
        <w:rPr>
          <w:rFonts w:ascii="Times New Roman" w:hAnsi="Times New Roman"/>
          <w:b/>
          <w:lang w:val="en-GB"/>
        </w:rPr>
        <w:t xml:space="preserve"> near here</w:t>
      </w:r>
    </w:p>
    <w:p w:rsidR="003A441E" w:rsidRDefault="003A441E" w:rsidP="003A441E">
      <w:pPr>
        <w:tabs>
          <w:tab w:val="left" w:pos="426"/>
        </w:tabs>
        <w:spacing w:line="480" w:lineRule="auto"/>
        <w:rPr>
          <w:color w:val="000000"/>
        </w:rPr>
      </w:pPr>
      <w:r>
        <w:rPr>
          <w:color w:val="000000"/>
        </w:rPr>
        <w:tab/>
        <w:t xml:space="preserve">Table 4 strongly confirms the earlier finding that the </w:t>
      </w:r>
      <w:r w:rsidR="007F3E5B">
        <w:rPr>
          <w:color w:val="000000"/>
        </w:rPr>
        <w:t>optimal</w:t>
      </w:r>
      <w:r>
        <w:rPr>
          <w:color w:val="000000"/>
        </w:rPr>
        <w:t xml:space="preserve"> δ tends to rise with regional size.  Indeed, five of the largest regions require δ = 0.35, whereas two of the smallest </w:t>
      </w:r>
      <w:r w:rsidR="005231A7">
        <w:rPr>
          <w:color w:val="000000"/>
        </w:rPr>
        <w:t>require</w:t>
      </w:r>
      <w:r>
        <w:rPr>
          <w:color w:val="000000"/>
        </w:rPr>
        <w:t xml:space="preserve"> δ = 0.15.  Furthermore, compared with Table 3, there has been a shift towards the right in the distribution of results, with 14 of the 20 regions now clustered in the range 0.3 ± 0.05.  However, only three regions are located in the centre of this range.</w:t>
      </w:r>
    </w:p>
    <w:p w:rsidR="003A441E" w:rsidRDefault="003A441E" w:rsidP="003A441E">
      <w:pPr>
        <w:tabs>
          <w:tab w:val="left" w:pos="426"/>
        </w:tabs>
        <w:spacing w:line="480" w:lineRule="auto"/>
        <w:rPr>
          <w:color w:val="000000"/>
        </w:rPr>
      </w:pPr>
      <w:r>
        <w:rPr>
          <w:color w:val="000000"/>
        </w:rPr>
        <w:tab/>
        <w:t xml:space="preserve">One might ask whether this rightward shift is explicable in terms of the characteristics of the FLQ.  To explore this issue, we examined the sectoral distribution of errors for each region when </w:t>
      </w:r>
      <w:r>
        <w:t>μ</w:t>
      </w:r>
      <w:r>
        <w:rPr>
          <w:vertAlign w:val="subscript"/>
        </w:rPr>
        <w:t>1</w:t>
      </w:r>
      <w:r>
        <w:t xml:space="preserve"> ≈ 0.  We then increased </w:t>
      </w:r>
      <w:r>
        <w:rPr>
          <w:color w:val="000000"/>
        </w:rPr>
        <w:t>δ by 0.025 to create a new distribution of errors.</w:t>
      </w:r>
    </w:p>
    <w:p w:rsidR="003A441E" w:rsidRDefault="003A441E" w:rsidP="003A441E">
      <w:pPr>
        <w:widowControl w:val="0"/>
        <w:tabs>
          <w:tab w:val="left" w:pos="426"/>
        </w:tabs>
        <w:spacing w:line="480" w:lineRule="auto"/>
        <w:rPr>
          <w:color w:val="000000"/>
        </w:rPr>
      </w:pPr>
      <w:r>
        <w:rPr>
          <w:color w:val="000000"/>
        </w:rPr>
        <w:tab/>
        <w:t xml:space="preserve">A fundamental property of the FLQ is that a rise in the value of δ decreases the </w:t>
      </w:r>
      <w:r w:rsidR="005231A7">
        <w:rPr>
          <w:color w:val="000000"/>
        </w:rPr>
        <w:t xml:space="preserve">extent to </w:t>
      </w:r>
      <w:r>
        <w:rPr>
          <w:color w:val="000000"/>
        </w:rPr>
        <w:t xml:space="preserve">which any multipliers are overestimated, while increasing the </w:t>
      </w:r>
      <w:r w:rsidR="004B777B">
        <w:rPr>
          <w:color w:val="000000"/>
        </w:rPr>
        <w:t>amount</w:t>
      </w:r>
      <w:r>
        <w:rPr>
          <w:color w:val="000000"/>
        </w:rPr>
        <w:t xml:space="preserve"> of any underestimation.  When </w:t>
      </w:r>
      <w:r>
        <w:t>μ</w:t>
      </w:r>
      <w:r>
        <w:rPr>
          <w:vertAlign w:val="subscript"/>
        </w:rPr>
        <w:t>1</w:t>
      </w:r>
      <w:r>
        <w:t xml:space="preserve"> is used as the criterion, overestimates can be offset by underestimates but this is not possible with μ</w:t>
      </w:r>
      <w:r>
        <w:rPr>
          <w:vertAlign w:val="subscript"/>
        </w:rPr>
        <w:t>5</w:t>
      </w:r>
      <w:r>
        <w:t xml:space="preserve">, as all errors of a given size are treated equally.  We identified nine regions where the </w:t>
      </w:r>
      <w:r>
        <w:rPr>
          <w:color w:val="000000"/>
        </w:rPr>
        <w:t xml:space="preserve">rise in the value of δ decreased the </w:t>
      </w:r>
      <w:r w:rsidR="004B777B">
        <w:rPr>
          <w:color w:val="000000"/>
        </w:rPr>
        <w:t>degree</w:t>
      </w:r>
      <w:r>
        <w:rPr>
          <w:color w:val="000000"/>
        </w:rPr>
        <w:t xml:space="preserve"> of overestimation </w:t>
      </w:r>
      <w:r w:rsidR="007F3E5B">
        <w:rPr>
          <w:color w:val="000000"/>
        </w:rPr>
        <w:t xml:space="preserve">by </w:t>
      </w:r>
      <w:r w:rsidR="005231A7">
        <w:rPr>
          <w:color w:val="000000"/>
        </w:rPr>
        <w:t>considerably</w:t>
      </w:r>
      <w:r w:rsidR="007F3E5B">
        <w:rPr>
          <w:color w:val="000000"/>
        </w:rPr>
        <w:t xml:space="preserve"> more</w:t>
      </w:r>
      <w:r>
        <w:rPr>
          <w:color w:val="000000"/>
        </w:rPr>
        <w:t xml:space="preserve"> than it increased the </w:t>
      </w:r>
      <w:r w:rsidR="004B777B">
        <w:rPr>
          <w:color w:val="000000"/>
        </w:rPr>
        <w:t>degree</w:t>
      </w:r>
      <w:r>
        <w:rPr>
          <w:color w:val="000000"/>
        </w:rPr>
        <w:t xml:space="preserve"> of underestimation.  For th</w:t>
      </w:r>
      <w:r>
        <w:t>ese regions, μ</w:t>
      </w:r>
      <w:r>
        <w:rPr>
          <w:vertAlign w:val="subscript"/>
        </w:rPr>
        <w:t>5</w:t>
      </w:r>
      <w:r>
        <w:t xml:space="preserve"> typically reached a minimum at a somewhat higher </w:t>
      </w:r>
      <w:r>
        <w:rPr>
          <w:color w:val="000000"/>
        </w:rPr>
        <w:t xml:space="preserve">δ than it did for </w:t>
      </w:r>
      <w:r>
        <w:t>μ</w:t>
      </w:r>
      <w:r>
        <w:rPr>
          <w:vertAlign w:val="subscript"/>
        </w:rPr>
        <w:t>1</w:t>
      </w:r>
      <w:r>
        <w:t xml:space="preserve">.  On the other hand, there were only two regions where there was a noticeable movement in the opposite direction.  The overall </w:t>
      </w:r>
      <w:r>
        <w:rPr>
          <w:color w:val="000000"/>
        </w:rPr>
        <w:t>shift rightwards in the distribution of results is, therefore, unsurprising.</w:t>
      </w:r>
    </w:p>
    <w:p w:rsidR="003A441E" w:rsidRDefault="003A441E" w:rsidP="003A441E">
      <w:pPr>
        <w:widowControl w:val="0"/>
        <w:tabs>
          <w:tab w:val="left" w:pos="426"/>
        </w:tabs>
        <w:spacing w:line="480" w:lineRule="auto"/>
      </w:pPr>
      <w:r>
        <w:rPr>
          <w:color w:val="000000"/>
        </w:rPr>
        <w:tab/>
        <w:t>In the light of the above results, should we accept 0.3 as the best single</w:t>
      </w:r>
      <w:r>
        <w:t xml:space="preserve"> value of </w:t>
      </w:r>
      <w:r>
        <w:rPr>
          <w:color w:val="000000"/>
        </w:rPr>
        <w:t xml:space="preserve">δ?  We would suggest not.  Our justification for this view is that raising δ from 0.25 to 0.3 would introduce bias that was not previously there, yet yield only a minimal gain in terms of accuracy.  We would argue that </w:t>
      </w:r>
      <w:r>
        <w:t>μ</w:t>
      </w:r>
      <w:r>
        <w:rPr>
          <w:vertAlign w:val="subscript"/>
        </w:rPr>
        <w:t>1</w:t>
      </w:r>
      <w:r>
        <w:t xml:space="preserve"> is the best criterion to use </w:t>
      </w:r>
      <w:r w:rsidR="00562D8F">
        <w:t>in</w:t>
      </w:r>
      <w:r>
        <w:t xml:space="preserve"> selecting a value of </w:t>
      </w:r>
      <w:r>
        <w:rPr>
          <w:color w:val="000000"/>
        </w:rPr>
        <w:t xml:space="preserve">δ, </w:t>
      </w:r>
      <w:r>
        <w:rPr>
          <w:color w:val="000000"/>
        </w:rPr>
        <w:lastRenderedPageBreak/>
        <w:t xml:space="preserve">whereas </w:t>
      </w:r>
      <w:r>
        <w:t>μ</w:t>
      </w:r>
      <w:r>
        <w:rPr>
          <w:vertAlign w:val="subscript"/>
        </w:rPr>
        <w:t>5</w:t>
      </w:r>
      <w:r>
        <w:rPr>
          <w:color w:val="000000"/>
        </w:rPr>
        <w:t xml:space="preserve"> </w:t>
      </w:r>
      <w:r>
        <w:t xml:space="preserve">is the best statistic for measuring the resulting degree of accuracy.  On this basis, we would recommend using </w:t>
      </w:r>
      <w:r>
        <w:rPr>
          <w:color w:val="000000"/>
        </w:rPr>
        <w:t>δ = 0.25 as the best single value.</w:t>
      </w:r>
    </w:p>
    <w:p w:rsidR="00E25CA7" w:rsidRDefault="00E25CA7" w:rsidP="00E25CA7">
      <w:pPr>
        <w:pStyle w:val="Normaali1"/>
        <w:tabs>
          <w:tab w:val="left" w:pos="360"/>
        </w:tabs>
        <w:spacing w:line="480" w:lineRule="auto"/>
        <w:rPr>
          <w:rFonts w:ascii="Times New Roman" w:hAnsi="Times New Roman"/>
          <w:color w:val="000000"/>
          <w:lang w:val="en-GB"/>
        </w:rPr>
      </w:pPr>
    </w:p>
    <w:p w:rsidR="00E25CA7" w:rsidRDefault="00E25CA7" w:rsidP="00E25CA7">
      <w:pPr>
        <w:spacing w:line="480" w:lineRule="auto"/>
        <w:jc w:val="center"/>
        <w:rPr>
          <w:b/>
        </w:rPr>
      </w:pPr>
      <w:r>
        <w:rPr>
          <w:b/>
        </w:rPr>
        <w:t>THE FLQ VERSUS THE AFLQ</w:t>
      </w:r>
    </w:p>
    <w:p w:rsidR="00E25CA7" w:rsidRDefault="00E25CA7" w:rsidP="00E25CA7">
      <w:pPr>
        <w:pStyle w:val="Normaali1"/>
        <w:tabs>
          <w:tab w:val="left" w:pos="360"/>
        </w:tabs>
        <w:spacing w:line="480" w:lineRule="auto"/>
        <w:rPr>
          <w:color w:val="000000"/>
        </w:rPr>
      </w:pPr>
      <w:r>
        <w:rPr>
          <w:color w:val="000000"/>
        </w:rPr>
        <w:t xml:space="preserve">At this stage, it seems worthwhile to see whether more accurate estimates of multipliers can be obtained by using </w:t>
      </w:r>
      <w:r w:rsidRPr="00D62B5D">
        <w:rPr>
          <w:color w:val="000000"/>
        </w:rPr>
        <w:t>the</w:t>
      </w:r>
      <w:r>
        <w:rPr>
          <w:color w:val="000000"/>
        </w:rPr>
        <w:t xml:space="preserve"> augmented FLQ (AFLQ), which is defined in equation (10) and </w:t>
      </w:r>
      <w:r w:rsidRPr="00D62B5D">
        <w:rPr>
          <w:color w:val="000000"/>
        </w:rPr>
        <w:t>inclu</w:t>
      </w:r>
      <w:r>
        <w:rPr>
          <w:color w:val="000000"/>
        </w:rPr>
        <w:t>des</w:t>
      </w:r>
      <w:r w:rsidRPr="00D62B5D">
        <w:rPr>
          <w:color w:val="000000"/>
        </w:rPr>
        <w:t xml:space="preserve"> </w:t>
      </w:r>
      <w:r>
        <w:rPr>
          <w:color w:val="000000"/>
        </w:rPr>
        <w:t>a</w:t>
      </w:r>
      <w:r w:rsidRPr="00D62B5D">
        <w:rPr>
          <w:color w:val="000000"/>
        </w:rPr>
        <w:t xml:space="preserve"> measure of regional specialization</w:t>
      </w:r>
      <w:r>
        <w:rPr>
          <w:color w:val="000000"/>
        </w:rPr>
        <w:t>.  However, when Table 3 was recalculated using the AFLQ, the results were found to be very similar indeed to those for the FLQ, in terms of both accuracy and the pattern of errors.  Even so, as Table 5 shows</w:t>
      </w:r>
      <w:r w:rsidRPr="00292912">
        <w:rPr>
          <w:color w:val="000000"/>
        </w:rPr>
        <w:t xml:space="preserve"> </w:t>
      </w:r>
      <w:r>
        <w:rPr>
          <w:color w:val="000000"/>
        </w:rPr>
        <w:t xml:space="preserve">for </w:t>
      </w:r>
      <w:r w:rsidRPr="00DE71C0">
        <w:rPr>
          <w:color w:val="000000"/>
        </w:rPr>
        <w:t>δ</w:t>
      </w:r>
      <w:r>
        <w:rPr>
          <w:color w:val="000000"/>
        </w:rPr>
        <w:t xml:space="preserve"> = 0.3, the AFLQ does yield slightly more accurate results on average than the FLQ.</w:t>
      </w:r>
    </w:p>
    <w:p w:rsidR="00E25CA7" w:rsidRDefault="00E25CA7" w:rsidP="00E25CA7">
      <w:pPr>
        <w:pStyle w:val="Normaali1"/>
        <w:tabs>
          <w:tab w:val="left" w:pos="360"/>
        </w:tabs>
        <w:spacing w:line="480" w:lineRule="auto"/>
        <w:jc w:val="center"/>
        <w:rPr>
          <w:rFonts w:ascii="Times New Roman" w:hAnsi="Times New Roman"/>
          <w:lang w:val="en-GB"/>
        </w:rPr>
      </w:pPr>
      <w:r>
        <w:rPr>
          <w:rFonts w:ascii="Times New Roman" w:hAnsi="Times New Roman"/>
          <w:b/>
          <w:lang w:val="en-GB"/>
        </w:rPr>
        <w:t>Table 5 near here</w:t>
      </w:r>
    </w:p>
    <w:p w:rsidR="00E25CA7" w:rsidRDefault="00E25CA7" w:rsidP="00E25CA7">
      <w:pPr>
        <w:widowControl w:val="0"/>
        <w:tabs>
          <w:tab w:val="left" w:pos="360"/>
        </w:tabs>
        <w:spacing w:line="480" w:lineRule="auto"/>
        <w:rPr>
          <w:color w:val="000000"/>
        </w:rPr>
      </w:pPr>
      <w:r>
        <w:rPr>
          <w:color w:val="000000"/>
        </w:rPr>
        <w:tab/>
        <w:t>How can one explain the minimal rise in accuracy brought about by using the AFLQ?  One possible explanation is that, on average across the 20 regions, only 14.4% of sectors have</w:t>
      </w:r>
      <w:r>
        <w:t xml:space="preserve"> r</w:t>
      </w:r>
      <w:r w:rsidRPr="00BE2A91">
        <w:rPr>
          <w:vertAlign w:val="subscript"/>
        </w:rPr>
        <w:t>ij</w:t>
      </w:r>
      <w:r>
        <w:t xml:space="preserve"> &gt; </w:t>
      </w:r>
      <w:proofErr w:type="spellStart"/>
      <w:r>
        <w:t>a</w:t>
      </w:r>
      <w:r w:rsidRPr="00BE2A91">
        <w:rPr>
          <w:vertAlign w:val="subscript"/>
        </w:rPr>
        <w:t>ij</w:t>
      </w:r>
      <w:proofErr w:type="spellEnd"/>
      <w:r>
        <w:t xml:space="preserve"> (see Table 1).  Thus a new formula designed to address the problem of r</w:t>
      </w:r>
      <w:r w:rsidRPr="00BE2A91">
        <w:rPr>
          <w:vertAlign w:val="subscript"/>
        </w:rPr>
        <w:t>ij</w:t>
      </w:r>
      <w:r>
        <w:t xml:space="preserve"> &gt; </w:t>
      </w:r>
      <w:proofErr w:type="spellStart"/>
      <w:r>
        <w:t>a</w:t>
      </w:r>
      <w:r w:rsidRPr="00BE2A91">
        <w:rPr>
          <w:vertAlign w:val="subscript"/>
        </w:rPr>
        <w:t>ij</w:t>
      </w:r>
      <w:proofErr w:type="spellEnd"/>
      <w:r>
        <w:t xml:space="preserve"> is unlikely to yield dramatically improved results relative to one that does not admit of this possibility.  Another possible explanation is that the specialization term </w:t>
      </w:r>
      <w:r w:rsidRPr="00EE710C">
        <w:rPr>
          <w:color w:val="000000"/>
        </w:rPr>
        <w:t>log</w:t>
      </w:r>
      <w:r w:rsidRPr="00EE710C">
        <w:rPr>
          <w:color w:val="000000"/>
          <w:vertAlign w:val="subscript"/>
        </w:rPr>
        <w:t>2</w:t>
      </w:r>
      <w:r w:rsidRPr="00EE710C">
        <w:rPr>
          <w:color w:val="000000"/>
        </w:rPr>
        <w:t>(1</w:t>
      </w:r>
      <w:r>
        <w:rPr>
          <w:color w:val="000000"/>
        </w:rPr>
        <w:t xml:space="preserve"> </w:t>
      </w:r>
      <w:r w:rsidRPr="00EE710C">
        <w:rPr>
          <w:color w:val="000000"/>
        </w:rPr>
        <w:t>+</w:t>
      </w:r>
      <w:r>
        <w:rPr>
          <w:color w:val="000000"/>
        </w:rPr>
        <w:t xml:space="preserve"> </w:t>
      </w:r>
      <w:r w:rsidRPr="00EE710C">
        <w:rPr>
          <w:color w:val="000000"/>
        </w:rPr>
        <w:t>SLQ</w:t>
      </w:r>
      <w:r w:rsidRPr="00EE710C">
        <w:rPr>
          <w:color w:val="000000"/>
          <w:vertAlign w:val="subscript"/>
        </w:rPr>
        <w:t>j</w:t>
      </w:r>
      <w:r w:rsidRPr="00EE710C">
        <w:rPr>
          <w:color w:val="000000"/>
        </w:rPr>
        <w:t>)</w:t>
      </w:r>
      <w:r>
        <w:rPr>
          <w:color w:val="000000"/>
        </w:rPr>
        <w:t xml:space="preserve"> in equation (10) </w:t>
      </w:r>
      <w:r>
        <w:t xml:space="preserve">is mis-specified in terms of its focus on the  purchasing sector </w:t>
      </w:r>
      <w:r w:rsidRPr="00441F6B">
        <w:rPr>
          <w:i/>
        </w:rPr>
        <w:t>j</w:t>
      </w:r>
      <w:r>
        <w:t xml:space="preserve"> rather than on the supplying sector </w:t>
      </w:r>
      <w:r w:rsidRPr="00441F6B">
        <w:rPr>
          <w:i/>
        </w:rPr>
        <w:t>i</w:t>
      </w:r>
      <w:r>
        <w:t>.  This argument suggests that we should use</w:t>
      </w:r>
      <w:r>
        <w:rPr>
          <w:color w:val="000000"/>
        </w:rPr>
        <w:t xml:space="preserve"> </w:t>
      </w:r>
      <w:r w:rsidRPr="00EE710C">
        <w:rPr>
          <w:color w:val="000000"/>
        </w:rPr>
        <w:t>log</w:t>
      </w:r>
      <w:r w:rsidRPr="00EE710C">
        <w:rPr>
          <w:color w:val="000000"/>
          <w:vertAlign w:val="subscript"/>
        </w:rPr>
        <w:t>2</w:t>
      </w:r>
      <w:r w:rsidRPr="00EE710C">
        <w:rPr>
          <w:color w:val="000000"/>
        </w:rPr>
        <w:t>(1</w:t>
      </w:r>
      <w:r>
        <w:rPr>
          <w:color w:val="000000"/>
        </w:rPr>
        <w:t xml:space="preserve"> </w:t>
      </w:r>
      <w:r w:rsidRPr="00EE710C">
        <w:rPr>
          <w:color w:val="000000"/>
        </w:rPr>
        <w:t>+</w:t>
      </w:r>
      <w:r>
        <w:rPr>
          <w:color w:val="000000"/>
        </w:rPr>
        <w:t xml:space="preserve"> </w:t>
      </w:r>
      <w:r w:rsidRPr="00EE710C">
        <w:rPr>
          <w:color w:val="000000"/>
        </w:rPr>
        <w:t>SLQ</w:t>
      </w:r>
      <w:r>
        <w:rPr>
          <w:color w:val="000000"/>
          <w:vertAlign w:val="subscript"/>
        </w:rPr>
        <w:t>i</w:t>
      </w:r>
      <w:r w:rsidRPr="00EE710C">
        <w:rPr>
          <w:color w:val="000000"/>
        </w:rPr>
        <w:t>)</w:t>
      </w:r>
      <w:r>
        <w:rPr>
          <w:color w:val="000000"/>
        </w:rPr>
        <w:t xml:space="preserve"> instead.</w:t>
      </w:r>
    </w:p>
    <w:p w:rsidR="00E25CA7" w:rsidRDefault="00E25CA7" w:rsidP="00E25CA7">
      <w:pPr>
        <w:tabs>
          <w:tab w:val="left" w:pos="360"/>
        </w:tabs>
        <w:spacing w:line="480" w:lineRule="auto"/>
        <w:rPr>
          <w:color w:val="000000"/>
        </w:rPr>
      </w:pPr>
      <w:r>
        <w:rPr>
          <w:color w:val="000000"/>
        </w:rPr>
        <w:tab/>
        <w:t xml:space="preserve">Furthermore, there is a potential problem with using </w:t>
      </w:r>
      <w:r w:rsidRPr="00EE710C">
        <w:rPr>
          <w:color w:val="000000"/>
        </w:rPr>
        <w:t>log</w:t>
      </w:r>
      <w:r w:rsidRPr="00EE710C">
        <w:rPr>
          <w:color w:val="000000"/>
          <w:vertAlign w:val="subscript"/>
        </w:rPr>
        <w:t>2</w:t>
      </w:r>
      <w:r w:rsidRPr="00EE710C">
        <w:rPr>
          <w:color w:val="000000"/>
        </w:rPr>
        <w:t>(1</w:t>
      </w:r>
      <w:r>
        <w:rPr>
          <w:color w:val="000000"/>
        </w:rPr>
        <w:t xml:space="preserve"> </w:t>
      </w:r>
      <w:r w:rsidRPr="00EE710C">
        <w:rPr>
          <w:color w:val="000000"/>
        </w:rPr>
        <w:t>+</w:t>
      </w:r>
      <w:r>
        <w:rPr>
          <w:color w:val="000000"/>
        </w:rPr>
        <w:t xml:space="preserve"> </w:t>
      </w:r>
      <w:r w:rsidRPr="00EE710C">
        <w:rPr>
          <w:color w:val="000000"/>
        </w:rPr>
        <w:t>SLQ</w:t>
      </w:r>
      <w:r w:rsidRPr="00EE710C">
        <w:rPr>
          <w:color w:val="000000"/>
          <w:vertAlign w:val="subscript"/>
        </w:rPr>
        <w:t>j</w:t>
      </w:r>
      <w:r w:rsidRPr="00EE710C">
        <w:rPr>
          <w:color w:val="000000"/>
        </w:rPr>
        <w:t>)</w:t>
      </w:r>
      <w:r>
        <w:rPr>
          <w:color w:val="000000"/>
        </w:rPr>
        <w:t xml:space="preserve"> to capture </w:t>
      </w:r>
      <w:r>
        <w:t>the effects of greater specialization: a rise in SLQ</w:t>
      </w:r>
      <w:r>
        <w:rPr>
          <w:vertAlign w:val="subscript"/>
        </w:rPr>
        <w:t>j</w:t>
      </w:r>
      <w:r>
        <w:t xml:space="preserve"> will raise the denominator of the CILQ (recall that CILQ</w:t>
      </w:r>
      <w:r>
        <w:rPr>
          <w:vertAlign w:val="subscript"/>
        </w:rPr>
        <w:t>ij</w:t>
      </w:r>
      <w:r>
        <w:t xml:space="preserve"> ≡ SLQ</w:t>
      </w:r>
      <w:r>
        <w:rPr>
          <w:vertAlign w:val="subscript"/>
        </w:rPr>
        <w:t>i</w:t>
      </w:r>
      <w:r>
        <w:t>/SLQ</w:t>
      </w:r>
      <w:r>
        <w:rPr>
          <w:vertAlign w:val="subscript"/>
        </w:rPr>
        <w:t>j</w:t>
      </w:r>
      <w:r>
        <w:t>), which will tend to dampen the effects of the change in</w:t>
      </w:r>
      <w:r w:rsidRPr="009937E3">
        <w:rPr>
          <w:color w:val="000000"/>
        </w:rPr>
        <w:t xml:space="preserve"> </w:t>
      </w:r>
      <w:r w:rsidRPr="00EE710C">
        <w:rPr>
          <w:color w:val="000000"/>
        </w:rPr>
        <w:t>SLQ</w:t>
      </w:r>
      <w:r>
        <w:rPr>
          <w:color w:val="000000"/>
          <w:vertAlign w:val="subscript"/>
        </w:rPr>
        <w:t>j</w:t>
      </w:r>
      <w:r>
        <w:rPr>
          <w:color w:val="000000"/>
        </w:rPr>
        <w:t>.</w:t>
      </w:r>
      <w:r w:rsidRPr="00500936">
        <w:rPr>
          <w:b/>
          <w:color w:val="000000"/>
          <w:vertAlign w:val="superscript"/>
        </w:rPr>
        <w:t>2</w:t>
      </w:r>
      <w:r w:rsidR="00EC56B6">
        <w:rPr>
          <w:b/>
          <w:color w:val="000000"/>
          <w:vertAlign w:val="superscript"/>
        </w:rPr>
        <w:t>5</w:t>
      </w:r>
      <w:r>
        <w:t xml:space="preserve">  However, contrary to expectations, </w:t>
      </w:r>
      <w:r>
        <w:rPr>
          <w:color w:val="000000"/>
        </w:rPr>
        <w:t xml:space="preserve">Table 5 shows that </w:t>
      </w:r>
      <w:r>
        <w:t>using</w:t>
      </w:r>
      <w:r w:rsidRPr="003F119A">
        <w:t xml:space="preserve"> </w:t>
      </w:r>
      <w:r>
        <w:t>SLQ</w:t>
      </w:r>
      <w:r>
        <w:rPr>
          <w:vertAlign w:val="subscript"/>
        </w:rPr>
        <w:t>i</w:t>
      </w:r>
      <w:r>
        <w:t xml:space="preserve"> rather than SLQ</w:t>
      </w:r>
      <w:r>
        <w:rPr>
          <w:vertAlign w:val="subscript"/>
        </w:rPr>
        <w:t>j</w:t>
      </w:r>
      <w:r>
        <w:t xml:space="preserve"> does not produce better results</w:t>
      </w:r>
      <w:r>
        <w:rPr>
          <w:color w:val="000000"/>
        </w:rPr>
        <w:t>.</w:t>
      </w:r>
    </w:p>
    <w:p w:rsidR="00E25CA7" w:rsidRDefault="00E25CA7" w:rsidP="00E25CA7">
      <w:pPr>
        <w:widowControl w:val="0"/>
        <w:tabs>
          <w:tab w:val="left" w:pos="360"/>
        </w:tabs>
        <w:spacing w:line="480" w:lineRule="auto"/>
        <w:rPr>
          <w:color w:val="000000"/>
        </w:rPr>
      </w:pPr>
      <w:r>
        <w:rPr>
          <w:color w:val="000000"/>
        </w:rPr>
        <w:tab/>
        <w:t xml:space="preserve">Our findings for the AFLQ are in line with those of </w:t>
      </w:r>
      <w:r w:rsidRPr="00FB37EA">
        <w:rPr>
          <w:color w:val="000000"/>
        </w:rPr>
        <w:t>Bonfiglio and Chelli</w:t>
      </w:r>
      <w:r>
        <w:rPr>
          <w:color w:val="000000"/>
        </w:rPr>
        <w:t xml:space="preserve"> (</w:t>
      </w:r>
      <w:r w:rsidRPr="00FB37EA">
        <w:rPr>
          <w:color w:val="000000"/>
        </w:rPr>
        <w:t>2008</w:t>
      </w:r>
      <w:r>
        <w:rPr>
          <w:color w:val="000000"/>
        </w:rPr>
        <w:t>, Table 1), whose Monte Carlo study revealed the AFLQ to be only slightly more accurate than the FLQ</w:t>
      </w:r>
      <w:r w:rsidRPr="00FB37EA">
        <w:rPr>
          <w:color w:val="000000"/>
        </w:rPr>
        <w:t>.</w:t>
      </w:r>
      <w:r w:rsidRPr="00D22B16">
        <w:rPr>
          <w:color w:val="000000"/>
        </w:rPr>
        <w:t xml:space="preserve"> </w:t>
      </w:r>
      <w:r>
        <w:rPr>
          <w:color w:val="000000"/>
        </w:rPr>
        <w:t xml:space="preserve"> </w:t>
      </w:r>
      <w:r>
        <w:rPr>
          <w:color w:val="000000"/>
        </w:rPr>
        <w:lastRenderedPageBreak/>
        <w:t xml:space="preserve">It is worth noting too the Scottish findings of </w:t>
      </w:r>
      <w:r w:rsidRPr="00C53C65">
        <w:rPr>
          <w:color w:val="000000"/>
        </w:rPr>
        <w:t>Flegg and Webber</w:t>
      </w:r>
      <w:r>
        <w:rPr>
          <w:color w:val="000000"/>
        </w:rPr>
        <w:t xml:space="preserve"> (2000); they found that the AFLQ was no better than the FLQ.</w:t>
      </w:r>
    </w:p>
    <w:p w:rsidR="00E25CA7" w:rsidRPr="00EB13D4" w:rsidRDefault="00E25CA7" w:rsidP="00E25CA7">
      <w:pPr>
        <w:spacing w:after="200" w:line="276" w:lineRule="auto"/>
        <w:jc w:val="left"/>
        <w:rPr>
          <w:color w:val="000000"/>
        </w:rPr>
      </w:pPr>
    </w:p>
    <w:p w:rsidR="00CC1340" w:rsidRPr="00E11641" w:rsidRDefault="00CC1340" w:rsidP="00CC1340">
      <w:pPr>
        <w:spacing w:line="480" w:lineRule="auto"/>
        <w:jc w:val="center"/>
        <w:rPr>
          <w:b/>
        </w:rPr>
      </w:pPr>
      <w:r w:rsidRPr="00E11641">
        <w:rPr>
          <w:b/>
        </w:rPr>
        <w:t>REGIONAL INPUT COEFFICIENTS</w:t>
      </w:r>
    </w:p>
    <w:p w:rsidR="00CC1340" w:rsidRDefault="00CC1340" w:rsidP="00CC1340">
      <w:pPr>
        <w:widowControl w:val="0"/>
        <w:tabs>
          <w:tab w:val="left" w:pos="480"/>
        </w:tabs>
        <w:spacing w:line="480" w:lineRule="auto"/>
        <w:ind w:right="96"/>
      </w:pPr>
      <w:r>
        <w:t>The estimation of input coefficients has received much less attention in the literature than the estimation of</w:t>
      </w:r>
      <w:r w:rsidRPr="008936B2">
        <w:t xml:space="preserve"> </w:t>
      </w:r>
      <w:r>
        <w:t>multipliers.  This focus on multipliers can probably be explained by their importance in impact analyses, along with the belief that errors in individual coefficients tend to have little impact on the multipliers – unless these coefficients happen to be large.  For instance, Jensen and West (1980) show that more than fifty per cent of the smaller coefficients in an input</w:t>
      </w:r>
      <w:r>
        <w:sym w:font="Symbol" w:char="F02D"/>
      </w:r>
      <w:r>
        <w:t>output table can be set equal to zero before a ten per cent error appears in the sectoral multipliers.  Even so, an examination of coefficients is still worthwhile, as it can highlight any problematic sectors and identify problems such as bias.</w:t>
      </w:r>
    </w:p>
    <w:p w:rsidR="00CC1340" w:rsidRPr="0009111F" w:rsidRDefault="00CC1340" w:rsidP="00CC1340">
      <w:pPr>
        <w:widowControl w:val="0"/>
        <w:spacing w:line="480" w:lineRule="auto"/>
        <w:ind w:right="96" w:firstLine="360"/>
        <w:rPr>
          <w:b/>
        </w:rPr>
      </w:pPr>
      <w:r>
        <w:t>The following criteria will be used to assess the accuracy of</w:t>
      </w:r>
      <w:r w:rsidRPr="0009111F">
        <w:t xml:space="preserve"> </w:t>
      </w:r>
      <w:r>
        <w:t xml:space="preserve">the estimated </w:t>
      </w:r>
      <w:r w:rsidRPr="0009111F">
        <w:t>coefficients:</w:t>
      </w:r>
    </w:p>
    <w:p w:rsidR="00CC1340" w:rsidRPr="0009111F" w:rsidRDefault="00CC1340" w:rsidP="00CC1340">
      <w:pPr>
        <w:pStyle w:val="Normaali1"/>
        <w:tabs>
          <w:tab w:val="left" w:pos="360"/>
          <w:tab w:val="left" w:pos="3120"/>
          <w:tab w:val="right" w:pos="8931"/>
        </w:tabs>
        <w:spacing w:line="480" w:lineRule="auto"/>
        <w:ind w:left="360" w:hanging="360"/>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γ</w:t>
      </w:r>
      <w:r w:rsidRPr="0009111F">
        <w:rPr>
          <w:rFonts w:ascii="Times New Roman" w:hAnsi="Times New Roman"/>
          <w:vertAlign w:val="subscript"/>
          <w:lang w:val="en-GB"/>
        </w:rPr>
        <w:t>1</w:t>
      </w:r>
      <w:r w:rsidRPr="0009111F">
        <w:rPr>
          <w:rFonts w:ascii="Times New Roman" w:hAnsi="Times New Roman"/>
          <w:lang w:val="en-GB"/>
        </w:rPr>
        <w:t xml:space="preserve"> =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i</w:t>
      </w:r>
      <w:proofErr w:type="spellEnd"/>
      <w:r w:rsidRPr="0009111F">
        <w:rPr>
          <w:rFonts w:ascii="Times New Roman" w:hAnsi="Times New Roman"/>
          <w:position w:val="-14"/>
        </w:rPr>
        <w:object w:dxaOrig="840" w:dyaOrig="360">
          <v:shape id="_x0000_i1044" type="#_x0000_t75" style="width:42pt;height:18.75pt" o:ole="">
            <v:imagedata r:id="rId18" o:title=""/>
          </v:shape>
          <o:OLEObject Type="Embed" ProgID="Equation.3" ShapeID="_x0000_i1044" DrawAspect="Content" ObjectID="_1354515154" r:id="rId47"/>
        </w:objec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(n</w:t>
      </w:r>
      <w:r w:rsidRPr="0009111F">
        <w:rPr>
          <w:rFonts w:ascii="Times New Roman" w:hAnsi="Times New Roman"/>
          <w:vertAlign w:val="superscript"/>
        </w:rPr>
        <w:t>2</w:t>
      </w:r>
      <w:r w:rsidRPr="0009111F">
        <w:rPr>
          <w:rFonts w:ascii="Times New Roman" w:hAnsi="Times New Roman"/>
        </w:rPr>
        <w:t xml:space="preserve"> </w:t>
      </w:r>
      <w:r w:rsidRPr="0009111F">
        <w:rPr>
          <w:rFonts w:ascii="Times New Roman" w:hAnsi="Times New Roman"/>
        </w:rPr>
        <w:sym w:font="Symbol" w:char="F02D"/>
      </w:r>
      <w:r>
        <w:rPr>
          <w:rFonts w:ascii="Times New Roman" w:hAnsi="Times New Roman"/>
        </w:rPr>
        <w:t xml:space="preserve"> z)</w:t>
      </w:r>
      <w:r>
        <w:rPr>
          <w:rFonts w:ascii="Times New Roman" w:hAnsi="Times New Roman"/>
        </w:rPr>
        <w:tab/>
        <w:t>(24)</w:t>
      </w:r>
    </w:p>
    <w:p w:rsidR="00CC1340" w:rsidRPr="004C0395" w:rsidRDefault="00CC1340" w:rsidP="00CC1340">
      <w:pPr>
        <w:pStyle w:val="Normaali1"/>
        <w:tabs>
          <w:tab w:val="left" w:pos="360"/>
          <w:tab w:val="center" w:pos="4536"/>
          <w:tab w:val="right" w:pos="8931"/>
        </w:tabs>
        <w:spacing w:line="480" w:lineRule="auto"/>
        <w:ind w:left="360" w:hanging="360"/>
        <w:rPr>
          <w:rFonts w:ascii="Times New Roman" w:hAnsi="Times New Roman"/>
          <w:lang w:val="en-GB"/>
        </w:rPr>
      </w:pPr>
      <w:r>
        <w:rPr>
          <w:rFonts w:ascii="Times New Roman" w:hAnsi="Times New Roman"/>
          <w:lang w:val="en-GB"/>
        </w:rPr>
        <w:tab/>
      </w:r>
      <w:r>
        <w:rPr>
          <w:rFonts w:ascii="Times New Roman" w:hAnsi="Times New Roman"/>
          <w:lang w:val="en-GB"/>
        </w:rPr>
        <w:tab/>
      </w:r>
      <w:r w:rsidRPr="0009111F">
        <w:rPr>
          <w:position w:val="-14"/>
        </w:rPr>
        <w:object w:dxaOrig="2840" w:dyaOrig="400">
          <v:shape id="_x0000_i1045" type="#_x0000_t75" style="width:141.75pt;height:20.25pt" o:ole="">
            <v:imagedata r:id="rId48" o:title=""/>
          </v:shape>
          <o:OLEObject Type="Embed" ProgID="Equation.3" ShapeID="_x0000_i1045" DrawAspect="Content" ObjectID="_1354515155" r:id="rId49"/>
        </w:object>
      </w:r>
      <w:r>
        <w:rPr>
          <w:rFonts w:ascii="Times New Roman" w:hAnsi="Times New Roman"/>
        </w:rPr>
        <w:tab/>
        <w:t>(25)</w:t>
      </w:r>
    </w:p>
    <w:p w:rsidR="00CC1340" w:rsidRPr="0009111F" w:rsidRDefault="00CC1340" w:rsidP="00CC1340">
      <w:pPr>
        <w:pStyle w:val="Normaali1"/>
        <w:tabs>
          <w:tab w:val="left" w:pos="360"/>
          <w:tab w:val="center" w:pos="4536"/>
          <w:tab w:val="right" w:pos="8931"/>
        </w:tabs>
        <w:spacing w:line="480" w:lineRule="auto"/>
        <w:ind w:left="360" w:hanging="360"/>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γ</w:t>
      </w:r>
      <w:r w:rsidRPr="0009111F">
        <w:rPr>
          <w:rFonts w:ascii="Times New Roman" w:hAnsi="Times New Roman"/>
          <w:vertAlign w:val="subscript"/>
          <w:lang w:val="en-GB"/>
        </w:rPr>
        <w:t>2</w:t>
      </w:r>
      <w:r w:rsidRPr="0009111F">
        <w:rPr>
          <w:rFonts w:ascii="Times New Roman" w:hAnsi="Times New Roman"/>
          <w:lang w:val="en-GB"/>
        </w:rPr>
        <w:t xml:space="preserve"> =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i</w:t>
      </w:r>
      <w:proofErr w:type="spellEnd"/>
      <w:r w:rsidRPr="0009111F">
        <w:rPr>
          <w:rFonts w:ascii="Times New Roman" w:hAnsi="Times New Roman"/>
          <w:vertAlign w:val="subscript"/>
          <w:lang w:val="en-GB"/>
        </w:rPr>
        <w:t xml:space="preserve"> </w:t>
      </w:r>
      <w:r w:rsidRPr="0009111F">
        <w:rPr>
          <w:rFonts w:ascii="Times New Roman" w:hAnsi="Times New Roman"/>
          <w:spacing w:val="-2"/>
          <w:szCs w:val="22"/>
        </w:rPr>
        <w:t>|</w:t>
      </w:r>
      <w:r w:rsidRPr="0009111F">
        <w:rPr>
          <w:rFonts w:ascii="Times New Roman" w:hAnsi="Times New Roman"/>
          <w:position w:val="-14"/>
        </w:rPr>
        <w:object w:dxaOrig="660" w:dyaOrig="360">
          <v:shape id="_x0000_i1046" type="#_x0000_t75" style="width:33pt;height:18.75pt" o:ole="">
            <v:imagedata r:id="rId20" o:title=""/>
          </v:shape>
          <o:OLEObject Type="Embed" ProgID="Equation.3" ShapeID="_x0000_i1046" DrawAspect="Content" ObjectID="_1354515156" r:id="rId50"/>
        </w:object>
      </w:r>
      <w:r w:rsidRPr="0009111F">
        <w:rPr>
          <w:rFonts w:ascii="Times New Roman" w:hAnsi="Times New Roman"/>
          <w:spacing w:val="-2"/>
          <w:szCs w:val="22"/>
        </w:rPr>
        <w:t>|</w:t>
      </w:r>
      <w:r w:rsidRPr="0009111F">
        <w:rPr>
          <w:rFonts w:ascii="Times New Roman" w:hAnsi="Times New Roman"/>
          <w:spacing w:val="-2"/>
          <w:szCs w:val="22"/>
          <w:vertAlign w:val="subscript"/>
        </w:rPr>
        <w:t xml:space="preserve"> </w:t>
      </w:r>
      <w:r w:rsidRPr="0009111F">
        <w:rPr>
          <w:rFonts w:ascii="Times New Roman" w:hAnsi="Times New Roman"/>
        </w:rPr>
        <w:t>/</w:t>
      </w:r>
      <w:r w:rsidRPr="0009111F">
        <w:rPr>
          <w:rFonts w:ascii="Times New Roman" w:hAnsi="Times New Roman"/>
          <w:vertAlign w:val="subscript"/>
        </w:rPr>
        <w:t xml:space="preserve"> </w:t>
      </w:r>
      <w:r w:rsidRPr="0009111F">
        <w:rPr>
          <w:rFonts w:ascii="Times New Roman" w:hAnsi="Times New Roman"/>
        </w:rPr>
        <w:t>(n</w:t>
      </w:r>
      <w:r w:rsidRPr="0009111F">
        <w:rPr>
          <w:rFonts w:ascii="Times New Roman" w:hAnsi="Times New Roman"/>
          <w:vertAlign w:val="superscript"/>
        </w:rPr>
        <w:t>2</w:t>
      </w:r>
      <w:r w:rsidRPr="0009111F">
        <w:rPr>
          <w:rFonts w:ascii="Times New Roman" w:hAnsi="Times New Roman"/>
        </w:rPr>
        <w:t xml:space="preserve"> </w:t>
      </w:r>
      <w:r w:rsidRPr="0009111F">
        <w:rPr>
          <w:rFonts w:ascii="Times New Roman" w:hAnsi="Times New Roman"/>
        </w:rPr>
        <w:sym w:font="Symbol" w:char="F02D"/>
      </w:r>
      <w:r w:rsidRPr="0009111F">
        <w:rPr>
          <w:rFonts w:ascii="Times New Roman" w:hAnsi="Times New Roman"/>
        </w:rPr>
        <w:t xml:space="preserve"> z)</w:t>
      </w:r>
      <w:r>
        <w:rPr>
          <w:rFonts w:ascii="Times New Roman" w:hAnsi="Times New Roman"/>
        </w:rPr>
        <w:tab/>
        <w:t>(26)</w:t>
      </w:r>
    </w:p>
    <w:p w:rsidR="00CC1340" w:rsidRPr="0009111F" w:rsidRDefault="00CC1340" w:rsidP="00CC1340">
      <w:pPr>
        <w:pStyle w:val="Normaali1"/>
        <w:tabs>
          <w:tab w:val="left" w:pos="360"/>
          <w:tab w:val="center" w:pos="4536"/>
          <w:tab w:val="right" w:pos="8931"/>
        </w:tabs>
        <w:spacing w:line="480" w:lineRule="auto"/>
        <w:ind w:left="360" w:hanging="360"/>
        <w:rPr>
          <w:rFonts w:ascii="Times New Roman" w:hAnsi="Times New Roman"/>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γ</w:t>
      </w:r>
      <w:r>
        <w:rPr>
          <w:rFonts w:ascii="Times New Roman" w:hAnsi="Times New Roman"/>
          <w:vertAlign w:val="subscript"/>
          <w:lang w:val="en-GB"/>
        </w:rPr>
        <w:t>3</w:t>
      </w:r>
      <w:r w:rsidRPr="0009111F">
        <w:rPr>
          <w:rFonts w:ascii="Times New Roman" w:hAnsi="Times New Roman"/>
          <w:lang w:val="en-GB"/>
        </w:rPr>
        <w:t xml:space="preserve"> = Σ</w:t>
      </w:r>
      <w:r w:rsidRPr="0009111F">
        <w:rPr>
          <w:rFonts w:ascii="Times New Roman" w:hAnsi="Times New Roman"/>
          <w:vertAlign w:val="subscript"/>
          <w:lang w:val="en-GB"/>
        </w:rPr>
        <w:t xml:space="preserve">j </w:t>
      </w:r>
      <w:r w:rsidRPr="0009111F">
        <w:rPr>
          <w:rFonts w:ascii="Times New Roman" w:hAnsi="Times New Roman"/>
          <w:lang w:val="en-GB"/>
        </w:rPr>
        <w:t>Σ</w:t>
      </w:r>
      <w:r w:rsidRPr="0009111F">
        <w:rPr>
          <w:rFonts w:ascii="Times New Roman" w:hAnsi="Times New Roman"/>
          <w:vertAlign w:val="subscript"/>
          <w:lang w:val="en-GB"/>
        </w:rPr>
        <w:t xml:space="preserve">i </w:t>
      </w:r>
      <w:r w:rsidRPr="0009111F">
        <w:rPr>
          <w:rFonts w:ascii="Times New Roman" w:hAnsi="Times New Roman"/>
        </w:rPr>
        <w:t>r</w:t>
      </w:r>
      <w:r w:rsidRPr="0009111F">
        <w:rPr>
          <w:rFonts w:ascii="Times New Roman" w:hAnsi="Times New Roman"/>
          <w:vertAlign w:val="subscript"/>
        </w:rPr>
        <w:t xml:space="preserve">ij </w:t>
      </w:r>
      <w:r w:rsidRPr="0009111F">
        <w:rPr>
          <w:rFonts w:ascii="Times New Roman" w:hAnsi="Times New Roman"/>
          <w:spacing w:val="-2"/>
          <w:szCs w:val="22"/>
        </w:rPr>
        <w:t>|</w:t>
      </w:r>
      <w:r w:rsidRPr="0009111F">
        <w:rPr>
          <w:rFonts w:ascii="Times New Roman" w:hAnsi="Times New Roman"/>
          <w:position w:val="-14"/>
        </w:rPr>
        <w:object w:dxaOrig="660" w:dyaOrig="360">
          <v:shape id="_x0000_i1047" type="#_x0000_t75" style="width:33pt;height:18.75pt" o:ole="">
            <v:imagedata r:id="rId20" o:title=""/>
          </v:shape>
          <o:OLEObject Type="Embed" ProgID="Equation.3" ShapeID="_x0000_i1047" DrawAspect="Content" ObjectID="_1354515157" r:id="rId51"/>
        </w:object>
      </w:r>
      <w:r w:rsidRPr="0009111F">
        <w:rPr>
          <w:rFonts w:ascii="Times New Roman" w:hAnsi="Times New Roman"/>
          <w:spacing w:val="-2"/>
          <w:szCs w:val="22"/>
        </w:rPr>
        <w:t>|</w:t>
      </w:r>
      <w:r w:rsidRPr="0009111F">
        <w:rPr>
          <w:rFonts w:ascii="Times New Roman" w:hAnsi="Times New Roman"/>
          <w:spacing w:val="-2"/>
          <w:szCs w:val="22"/>
          <w:vertAlign w:val="subscript"/>
        </w:rPr>
        <w:t xml:space="preserve"> </w:t>
      </w:r>
      <w:r w:rsidRPr="0009111F">
        <w:rPr>
          <w:rFonts w:ascii="Times New Roman" w:hAnsi="Times New Roman"/>
        </w:rPr>
        <w:t>/</w:t>
      </w:r>
      <w:r>
        <w:rPr>
          <w:rFonts w:ascii="Times New Roman" w:hAnsi="Times New Roman"/>
          <w:vertAlign w:val="subscript"/>
        </w:rPr>
        <w:t xml:space="preserve"> </w:t>
      </w:r>
      <w:r>
        <w:rPr>
          <w:rFonts w:ascii="Times New Roman" w:hAnsi="Times New Roman"/>
        </w:rPr>
        <w:t>(n</w:t>
      </w:r>
      <w:r w:rsidRPr="0009111F">
        <w:rPr>
          <w:rFonts w:ascii="Times New Roman" w:hAnsi="Times New Roman"/>
          <w:vertAlign w:val="subscript"/>
          <w:lang w:val="en-GB"/>
        </w:rPr>
        <w:t xml:space="preserve"> </w:t>
      </w:r>
      <w:r w:rsidRPr="0009111F">
        <w:rPr>
          <w:rFonts w:ascii="Times New Roman" w:hAnsi="Times New Roman"/>
          <w:lang w:val="en-GB"/>
        </w:rPr>
        <w:t>Σ</w:t>
      </w:r>
      <w:r w:rsidRPr="0009111F">
        <w:rPr>
          <w:rFonts w:ascii="Times New Roman" w:hAnsi="Times New Roman"/>
          <w:vertAlign w:val="subscript"/>
          <w:lang w:val="en-GB"/>
        </w:rPr>
        <w:t xml:space="preserve">i </w:t>
      </w:r>
      <w:r w:rsidRPr="0009111F">
        <w:rPr>
          <w:rFonts w:ascii="Times New Roman" w:hAnsi="Times New Roman"/>
        </w:rPr>
        <w:t>r</w:t>
      </w:r>
      <w:r w:rsidRPr="0009111F">
        <w:rPr>
          <w:rFonts w:ascii="Times New Roman" w:hAnsi="Times New Roman"/>
          <w:vertAlign w:val="subscript"/>
        </w:rPr>
        <w:t>ij</w:t>
      </w:r>
      <w:r>
        <w:rPr>
          <w:rFonts w:ascii="Times New Roman" w:hAnsi="Times New Roman"/>
        </w:rPr>
        <w:t>)</w:t>
      </w:r>
      <w:r>
        <w:rPr>
          <w:rFonts w:ascii="Times New Roman" w:hAnsi="Times New Roman"/>
        </w:rPr>
        <w:tab/>
        <w:t>(27)</w:t>
      </w:r>
    </w:p>
    <w:p w:rsidR="00CC1340" w:rsidRPr="00B43035" w:rsidRDefault="00CC1340" w:rsidP="00CC1340">
      <w:pPr>
        <w:pStyle w:val="Normaali1"/>
        <w:tabs>
          <w:tab w:val="left" w:pos="360"/>
          <w:tab w:val="center" w:pos="4536"/>
          <w:tab w:val="right" w:pos="8931"/>
        </w:tabs>
        <w:spacing w:line="480" w:lineRule="auto"/>
        <w:ind w:left="357" w:hanging="357"/>
        <w:rPr>
          <w:rFonts w:ascii="Times New Roman" w:hAnsi="Times New Roman"/>
          <w:spacing w:val="-2"/>
          <w:szCs w:val="22"/>
        </w:rPr>
      </w:pPr>
      <w:r>
        <w:rPr>
          <w:rFonts w:ascii="Times New Roman" w:hAnsi="Times New Roman"/>
          <w:lang w:val="en-GB"/>
        </w:rPr>
        <w:tab/>
      </w:r>
      <w:r>
        <w:rPr>
          <w:rFonts w:ascii="Times New Roman" w:hAnsi="Times New Roman"/>
          <w:lang w:val="en-GB"/>
        </w:rPr>
        <w:tab/>
      </w:r>
      <w:r>
        <w:rPr>
          <w:rFonts w:ascii="Times New Roman" w:hAnsi="Times New Roman"/>
          <w:lang w:val="en-GB"/>
        </w:rPr>
        <w:tab/>
      </w:r>
      <w:r w:rsidRPr="0009111F">
        <w:rPr>
          <w:rFonts w:ascii="Times New Roman" w:hAnsi="Times New Roman"/>
          <w:lang w:val="en-GB"/>
        </w:rPr>
        <w:t>γ</w:t>
      </w:r>
      <w:r>
        <w:rPr>
          <w:rFonts w:ascii="Times New Roman" w:hAnsi="Times New Roman"/>
          <w:vertAlign w:val="subscript"/>
          <w:lang w:val="en-GB"/>
        </w:rPr>
        <w:t>4</w:t>
      </w:r>
      <w:r w:rsidRPr="0009111F">
        <w:rPr>
          <w:rFonts w:ascii="Times New Roman" w:hAnsi="Times New Roman"/>
          <w:lang w:val="en-GB"/>
        </w:rPr>
        <w:t xml:space="preserve"> = 100</w:t>
      </w:r>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j</w:t>
      </w:r>
      <w:proofErr w:type="spellEnd"/>
      <w:r w:rsidRPr="0009111F">
        <w:rPr>
          <w:rFonts w:ascii="Times New Roman" w:hAnsi="Times New Roman"/>
          <w:vertAlign w:val="subscript"/>
          <w:lang w:val="en-GB"/>
        </w:rPr>
        <w:t xml:space="preserve"> </w:t>
      </w:r>
      <w:proofErr w:type="spellStart"/>
      <w:r w:rsidRPr="0009111F">
        <w:rPr>
          <w:rFonts w:ascii="Times New Roman" w:hAnsi="Times New Roman"/>
          <w:lang w:val="en-GB"/>
        </w:rPr>
        <w:t>Σ</w:t>
      </w:r>
      <w:r w:rsidRPr="0009111F">
        <w:rPr>
          <w:rFonts w:ascii="Times New Roman" w:hAnsi="Times New Roman"/>
          <w:vertAlign w:val="subscript"/>
          <w:lang w:val="en-GB"/>
        </w:rPr>
        <w:t>i</w:t>
      </w:r>
      <w:proofErr w:type="spellEnd"/>
      <w:r w:rsidRPr="0009111F">
        <w:rPr>
          <w:rFonts w:ascii="Times New Roman" w:hAnsi="Times New Roman"/>
          <w:vertAlign w:val="subscript"/>
          <w:lang w:val="en-GB"/>
        </w:rPr>
        <w:t xml:space="preserve"> </w:t>
      </w:r>
      <w:r w:rsidRPr="0009111F">
        <w:rPr>
          <w:rFonts w:ascii="Times New Roman" w:hAnsi="Times New Roman"/>
          <w:spacing w:val="-2"/>
          <w:szCs w:val="22"/>
        </w:rPr>
        <w:t>|</w:t>
      </w:r>
      <w:r w:rsidRPr="0009111F">
        <w:rPr>
          <w:rFonts w:ascii="Times New Roman" w:hAnsi="Times New Roman"/>
          <w:position w:val="-14"/>
        </w:rPr>
        <w:object w:dxaOrig="660" w:dyaOrig="360">
          <v:shape id="_x0000_i1048" type="#_x0000_t75" style="width:33pt;height:18.75pt" o:ole="">
            <v:imagedata r:id="rId52" o:title=""/>
          </v:shape>
          <o:OLEObject Type="Embed" ProgID="Equation.3" ShapeID="_x0000_i1048" DrawAspect="Content" ObjectID="_1354515158" r:id="rId53"/>
        </w:object>
      </w:r>
      <w:r w:rsidRPr="0009111F">
        <w:rPr>
          <w:rFonts w:ascii="Times New Roman" w:hAnsi="Times New Roman"/>
          <w:spacing w:val="-2"/>
          <w:szCs w:val="22"/>
        </w:rPr>
        <w:t>|</w:t>
      </w:r>
      <w:r w:rsidRPr="0009111F">
        <w:rPr>
          <w:rFonts w:ascii="Times New Roman" w:hAnsi="Times New Roman"/>
          <w:spacing w:val="-2"/>
          <w:szCs w:val="22"/>
          <w:vertAlign w:val="subscript"/>
        </w:rPr>
        <w:t xml:space="preserve"> </w:t>
      </w:r>
      <w:r w:rsidRPr="0009111F">
        <w:rPr>
          <w:rFonts w:ascii="Times New Roman" w:hAnsi="Times New Roman"/>
          <w:spacing w:val="-2"/>
          <w:szCs w:val="22"/>
        </w:rPr>
        <w:t>/</w:t>
      </w:r>
      <w:r w:rsidRPr="0009111F">
        <w:rPr>
          <w:rFonts w:ascii="Times New Roman" w:hAnsi="Times New Roman"/>
          <w:spacing w:val="-2"/>
          <w:szCs w:val="22"/>
          <w:vertAlign w:val="subscript"/>
        </w:rPr>
        <w:t xml:space="preserve"> </w:t>
      </w:r>
      <w:r w:rsidRPr="0009111F">
        <w:rPr>
          <w:rFonts w:ascii="Times New Roman" w:hAnsi="Times New Roman"/>
          <w:lang w:val="en-GB"/>
        </w:rPr>
        <w:t>Σ</w:t>
      </w:r>
      <w:r w:rsidRPr="0009111F">
        <w:rPr>
          <w:rFonts w:ascii="Times New Roman" w:hAnsi="Times New Roman"/>
          <w:vertAlign w:val="subscript"/>
          <w:lang w:val="en-GB"/>
        </w:rPr>
        <w:t xml:space="preserve">j </w:t>
      </w:r>
      <w:r w:rsidRPr="0009111F">
        <w:rPr>
          <w:rFonts w:ascii="Times New Roman" w:hAnsi="Times New Roman"/>
          <w:lang w:val="en-GB"/>
        </w:rPr>
        <w:t>Σ</w:t>
      </w:r>
      <w:r w:rsidRPr="0009111F">
        <w:rPr>
          <w:rFonts w:ascii="Times New Roman" w:hAnsi="Times New Roman"/>
          <w:vertAlign w:val="subscript"/>
          <w:lang w:val="en-GB"/>
        </w:rPr>
        <w:t xml:space="preserve">i </w:t>
      </w:r>
      <w:r w:rsidRPr="0009111F">
        <w:rPr>
          <w:rFonts w:ascii="Times New Roman" w:hAnsi="Times New Roman"/>
        </w:rPr>
        <w:t>r</w:t>
      </w:r>
      <w:r w:rsidRPr="0009111F">
        <w:rPr>
          <w:rFonts w:ascii="Times New Roman" w:hAnsi="Times New Roman"/>
          <w:vertAlign w:val="subscript"/>
        </w:rPr>
        <w:t>ij</w:t>
      </w:r>
      <w:r>
        <w:rPr>
          <w:rFonts w:ascii="Times New Roman" w:hAnsi="Times New Roman"/>
        </w:rPr>
        <w:tab/>
        <w:t>(28)</w:t>
      </w:r>
    </w:p>
    <w:p w:rsidR="00CC1340" w:rsidRPr="0009111F" w:rsidRDefault="00CC1340" w:rsidP="00CC1340">
      <w:pPr>
        <w:pStyle w:val="Normaali1"/>
        <w:tabs>
          <w:tab w:val="left" w:pos="360"/>
          <w:tab w:val="center" w:pos="4536"/>
          <w:tab w:val="right" w:pos="8931"/>
        </w:tabs>
        <w:spacing w:line="480" w:lineRule="auto"/>
        <w:ind w:left="360" w:hanging="360"/>
        <w:rPr>
          <w:rFonts w:ascii="Times New Roman" w:hAnsi="Times New Roman"/>
          <w:lang w:val="en-GB"/>
        </w:rPr>
      </w:pPr>
      <w:r>
        <w:rPr>
          <w:rFonts w:ascii="Times New Roman" w:hAnsi="Times New Roman"/>
          <w:lang w:val="en-GB"/>
        </w:rPr>
        <w:tab/>
      </w:r>
      <w:r>
        <w:rPr>
          <w:rFonts w:ascii="Times New Roman" w:hAnsi="Times New Roman"/>
          <w:lang w:val="en-GB"/>
        </w:rPr>
        <w:tab/>
      </w:r>
      <w:r w:rsidRPr="0009111F">
        <w:rPr>
          <w:rFonts w:ascii="Times New Roman" w:hAnsi="Times New Roman"/>
          <w:lang w:val="en-GB"/>
        </w:rPr>
        <w:t>γ</w:t>
      </w:r>
      <w:r>
        <w:rPr>
          <w:rFonts w:ascii="Times New Roman" w:hAnsi="Times New Roman"/>
          <w:vertAlign w:val="subscript"/>
          <w:lang w:val="en-GB"/>
        </w:rPr>
        <w:t>5</w:t>
      </w:r>
      <w:r w:rsidRPr="0009111F">
        <w:rPr>
          <w:rFonts w:ascii="Times New Roman" w:hAnsi="Times New Roman"/>
          <w:lang w:val="en-GB"/>
        </w:rPr>
        <w:t xml:space="preserve"> = 100</w:t>
      </w:r>
      <w:r w:rsidRPr="00CA259F">
        <w:rPr>
          <w:rFonts w:ascii="Times New Roman" w:hAnsi="Times New Roman"/>
          <w:position w:val="-38"/>
        </w:rPr>
        <w:object w:dxaOrig="1719" w:dyaOrig="880">
          <v:shape id="_x0000_i1049" type="#_x0000_t75" style="width:86.25pt;height:44.25pt" o:ole="">
            <v:imagedata r:id="rId54" o:title=""/>
          </v:shape>
          <o:OLEObject Type="Embed" ProgID="Equation.3" ShapeID="_x0000_i1049" DrawAspect="Content" ObjectID="_1354515159" r:id="rId55"/>
        </w:object>
      </w:r>
      <w:r>
        <w:rPr>
          <w:rFonts w:ascii="Times New Roman" w:hAnsi="Times New Roman"/>
        </w:rPr>
        <w:tab/>
        <w:t>(29)</w:t>
      </w:r>
    </w:p>
    <w:p w:rsidR="00CC1340" w:rsidRPr="00AF5260" w:rsidRDefault="00CC1340" w:rsidP="00CC1340">
      <w:pPr>
        <w:pStyle w:val="Normaali1"/>
        <w:tabs>
          <w:tab w:val="left" w:pos="600"/>
          <w:tab w:val="left" w:pos="3120"/>
          <w:tab w:val="left" w:pos="6120"/>
        </w:tabs>
        <w:spacing w:line="480" w:lineRule="auto"/>
        <w:rPr>
          <w:rFonts w:ascii="Times New Roman" w:hAnsi="Times New Roman"/>
          <w:b/>
          <w:vertAlign w:val="superscript"/>
        </w:rPr>
      </w:pPr>
      <w:r w:rsidRPr="0009111F">
        <w:rPr>
          <w:rFonts w:ascii="Times New Roman" w:hAnsi="Times New Roman"/>
        </w:rPr>
        <w:t>where r</w:t>
      </w:r>
      <w:r w:rsidRPr="0009111F">
        <w:rPr>
          <w:rFonts w:ascii="Times New Roman" w:hAnsi="Times New Roman"/>
          <w:vertAlign w:val="subscript"/>
        </w:rPr>
        <w:t>ij</w:t>
      </w:r>
      <w:r w:rsidRPr="0009111F">
        <w:rPr>
          <w:rFonts w:ascii="Times New Roman" w:hAnsi="Times New Roman"/>
        </w:rPr>
        <w:t xml:space="preserve"> is the survey-based coefficient</w:t>
      </w:r>
      <w:r w:rsidRPr="0009111F">
        <w:rPr>
          <w:rFonts w:ascii="Times New Roman" w:hAnsi="Times New Roman"/>
          <w:position w:val="-14"/>
        </w:rPr>
        <w:t xml:space="preserve"> </w:t>
      </w:r>
      <w:r>
        <w:rPr>
          <w:rFonts w:ascii="Times New Roman" w:hAnsi="Times New Roman"/>
        </w:rPr>
        <w:t>in a given region,</w:t>
      </w:r>
      <w:r w:rsidRPr="0009111F">
        <w:rPr>
          <w:rFonts w:ascii="Times New Roman" w:hAnsi="Times New Roman"/>
          <w:position w:val="-14"/>
        </w:rPr>
        <w:t xml:space="preserve"> </w:t>
      </w:r>
      <w:r w:rsidRPr="0009111F">
        <w:rPr>
          <w:rFonts w:ascii="Times New Roman" w:hAnsi="Times New Roman"/>
          <w:position w:val="-14"/>
        </w:rPr>
        <w:object w:dxaOrig="220" w:dyaOrig="360">
          <v:shape id="_x0000_i1050" type="#_x0000_t75" style="width:11.25pt;height:18.75pt" o:ole="">
            <v:imagedata r:id="rId22" o:title=""/>
          </v:shape>
          <o:OLEObject Type="Embed" ProgID="Equation.3" ShapeID="_x0000_i1050" DrawAspect="Content" ObjectID="_1354515160" r:id="rId56"/>
        </w:object>
      </w:r>
      <w:r w:rsidRPr="0009111F">
        <w:rPr>
          <w:rFonts w:ascii="Times New Roman" w:hAnsi="Times New Roman"/>
          <w:vertAlign w:val="subscript"/>
        </w:rPr>
        <w:t xml:space="preserve"> </w:t>
      </w:r>
      <w:r w:rsidRPr="0009111F">
        <w:rPr>
          <w:rFonts w:ascii="Times New Roman" w:hAnsi="Times New Roman"/>
        </w:rPr>
        <w:t xml:space="preserve">is the </w:t>
      </w:r>
      <w:r>
        <w:rPr>
          <w:rFonts w:ascii="Times New Roman" w:hAnsi="Times New Roman"/>
        </w:rPr>
        <w:t xml:space="preserve">corresponding </w:t>
      </w:r>
      <w:r w:rsidRPr="0009111F">
        <w:rPr>
          <w:rFonts w:ascii="Times New Roman" w:hAnsi="Times New Roman"/>
        </w:rPr>
        <w:t>LQ-based coefficient, n = 37 is the number of sectors and z is the number of cells for which r</w:t>
      </w:r>
      <w:r w:rsidRPr="0009111F">
        <w:rPr>
          <w:rFonts w:ascii="Times New Roman" w:hAnsi="Times New Roman"/>
          <w:vertAlign w:val="subscript"/>
        </w:rPr>
        <w:t xml:space="preserve">ij </w:t>
      </w:r>
      <w:r w:rsidRPr="0009111F">
        <w:rPr>
          <w:rFonts w:ascii="Times New Roman" w:hAnsi="Times New Roman"/>
        </w:rPr>
        <w:t>= 0.</w:t>
      </w:r>
      <w:r w:rsidR="00EC56B6">
        <w:rPr>
          <w:rFonts w:ascii="Times New Roman" w:hAnsi="Times New Roman"/>
          <w:b/>
          <w:vertAlign w:val="superscript"/>
        </w:rPr>
        <w:t>26</w:t>
      </w:r>
    </w:p>
    <w:p w:rsidR="00CC1340" w:rsidRPr="0009111F" w:rsidRDefault="00CC1340" w:rsidP="00CC1340">
      <w:pPr>
        <w:pStyle w:val="Normaali1"/>
        <w:tabs>
          <w:tab w:val="left" w:pos="426"/>
        </w:tabs>
        <w:spacing w:line="480" w:lineRule="auto"/>
        <w:rPr>
          <w:rFonts w:ascii="Times New Roman" w:hAnsi="Times New Roman"/>
          <w:lang w:val="en-GB"/>
        </w:rPr>
      </w:pPr>
      <w:r>
        <w:rPr>
          <w:rFonts w:ascii="Times New Roman" w:hAnsi="Times New Roman"/>
          <w:lang w:val="en-GB"/>
        </w:rPr>
        <w:tab/>
      </w:r>
      <w:r w:rsidRPr="0009111F">
        <w:rPr>
          <w:rFonts w:ascii="Times New Roman" w:hAnsi="Times New Roman"/>
          <w:lang w:val="en-GB"/>
        </w:rPr>
        <w:t>γ</w:t>
      </w:r>
      <w:r w:rsidRPr="0009111F">
        <w:rPr>
          <w:rFonts w:ascii="Times New Roman" w:hAnsi="Times New Roman"/>
          <w:vertAlign w:val="subscript"/>
          <w:lang w:val="en-GB"/>
        </w:rPr>
        <w:t>1</w:t>
      </w:r>
      <w:r w:rsidRPr="0009111F">
        <w:rPr>
          <w:rFonts w:ascii="Times New Roman" w:hAnsi="Times New Roman"/>
          <w:lang w:val="en-GB"/>
        </w:rPr>
        <w:t xml:space="preserve"> is a measure of the extent to which a particular LQ-based method tends to overestimate or underestimate the input coefficients.  Minimal bias is clearly a</w:t>
      </w:r>
      <w:r>
        <w:rPr>
          <w:rFonts w:ascii="Times New Roman" w:hAnsi="Times New Roman"/>
          <w:lang w:val="en-GB"/>
        </w:rPr>
        <w:t xml:space="preserve"> key</w:t>
      </w:r>
      <w:r w:rsidRPr="0009111F">
        <w:rPr>
          <w:rFonts w:ascii="Times New Roman" w:hAnsi="Times New Roman"/>
          <w:lang w:val="en-GB"/>
        </w:rPr>
        <w:t xml:space="preserve"> desirable </w:t>
      </w:r>
      <w:r w:rsidRPr="0009111F">
        <w:rPr>
          <w:rFonts w:ascii="Times New Roman" w:hAnsi="Times New Roman"/>
          <w:lang w:val="en-GB"/>
        </w:rPr>
        <w:lastRenderedPageBreak/>
        <w:t>property but it is also important to consider the dispersion in the values of</w:t>
      </w:r>
      <w:r w:rsidRPr="0009111F">
        <w:rPr>
          <w:rFonts w:ascii="Times New Roman" w:hAnsi="Times New Roman"/>
          <w:vertAlign w:val="subscript"/>
          <w:lang w:val="en-GB"/>
        </w:rPr>
        <w:t xml:space="preserve"> </w:t>
      </w:r>
      <w:r w:rsidRPr="0009111F">
        <w:rPr>
          <w:rFonts w:ascii="Times New Roman" w:hAnsi="Times New Roman"/>
          <w:position w:val="-14"/>
        </w:rPr>
        <w:object w:dxaOrig="880" w:dyaOrig="360">
          <v:shape id="_x0000_i1051" type="#_x0000_t75" style="width:44.25pt;height:18.75pt" o:ole="">
            <v:imagedata r:id="rId57" o:title=""/>
          </v:shape>
          <o:OLEObject Type="Embed" ProgID="Equation.3" ShapeID="_x0000_i1051" DrawAspect="Content" ObjectID="_1354515161" r:id="rId58"/>
        </w:object>
      </w:r>
      <w:r w:rsidRPr="0009111F">
        <w:rPr>
          <w:rFonts w:ascii="Times New Roman" w:hAnsi="Times New Roman"/>
        </w:rPr>
        <w:t xml:space="preserve">  Our second formula</w:t>
      </w:r>
      <w:r>
        <w:rPr>
          <w:rFonts w:ascii="Times New Roman" w:hAnsi="Times New Roman"/>
        </w:rPr>
        <w:t xml:space="preserve">, </w:t>
      </w:r>
      <w:r w:rsidRPr="0009111F">
        <w:rPr>
          <w:rFonts w:ascii="Times New Roman" w:hAnsi="Times New Roman"/>
        </w:rPr>
        <w:t>the mean squared error</w:t>
      </w:r>
      <w:r>
        <w:rPr>
          <w:rFonts w:ascii="Times New Roman" w:hAnsi="Times New Roman"/>
        </w:rPr>
        <w:t xml:space="preserve"> (mse)</w:t>
      </w:r>
      <w:r w:rsidRPr="0009111F">
        <w:rPr>
          <w:rFonts w:ascii="Times New Roman" w:hAnsi="Times New Roman"/>
        </w:rPr>
        <w:t xml:space="preserve">, is designed to capture both bias and dispersion.  </w:t>
      </w:r>
      <w:r>
        <w:rPr>
          <w:rFonts w:ascii="Times New Roman" w:hAnsi="Times New Roman"/>
        </w:rPr>
        <w:t>It</w:t>
      </w:r>
      <w:r w:rsidRPr="0009111F">
        <w:rPr>
          <w:rFonts w:ascii="Times New Roman" w:hAnsi="Times New Roman"/>
          <w:lang w:val="en-GB"/>
        </w:rPr>
        <w:t xml:space="preserve"> </w:t>
      </w:r>
      <w:r w:rsidRPr="0009111F">
        <w:rPr>
          <w:rFonts w:ascii="Times New Roman" w:hAnsi="Times New Roman"/>
        </w:rPr>
        <w:t xml:space="preserve">does so by summing the squared bias and variance of </w:t>
      </w:r>
      <w:r w:rsidRPr="0009111F">
        <w:rPr>
          <w:rFonts w:ascii="Times New Roman" w:hAnsi="Times New Roman"/>
          <w:position w:val="-14"/>
        </w:rPr>
        <w:object w:dxaOrig="840" w:dyaOrig="360">
          <v:shape id="_x0000_i1052" type="#_x0000_t75" style="width:42pt;height:18.75pt" o:ole="">
            <v:imagedata r:id="rId18" o:title=""/>
          </v:shape>
          <o:OLEObject Type="Embed" ProgID="Equation.3" ShapeID="_x0000_i1052" DrawAspect="Content" ObjectID="_1354515162" r:id="rId59"/>
        </w:object>
      </w:r>
      <w:r w:rsidRPr="0009111F">
        <w:rPr>
          <w:rFonts w:ascii="Times New Roman" w:hAnsi="Times New Roman"/>
        </w:rPr>
        <w:t>.</w:t>
      </w:r>
      <w:r>
        <w:rPr>
          <w:rFonts w:ascii="Times New Roman" w:hAnsi="Times New Roman"/>
          <w:b/>
          <w:vertAlign w:val="superscript"/>
        </w:rPr>
        <w:t>2</w:t>
      </w:r>
      <w:r w:rsidR="00EC56B6">
        <w:rPr>
          <w:rFonts w:ascii="Times New Roman" w:hAnsi="Times New Roman"/>
          <w:b/>
          <w:vertAlign w:val="superscript"/>
        </w:rPr>
        <w:t>7</w:t>
      </w:r>
    </w:p>
    <w:p w:rsidR="00CC1340" w:rsidRPr="0009111F" w:rsidRDefault="00CC1340" w:rsidP="00CC1340">
      <w:pPr>
        <w:widowControl w:val="0"/>
        <w:tabs>
          <w:tab w:val="left" w:pos="426"/>
        </w:tabs>
        <w:spacing w:line="480" w:lineRule="auto"/>
      </w:pPr>
      <w:r w:rsidRPr="0009111F">
        <w:tab/>
        <w:t>The third formula, γ</w:t>
      </w:r>
      <w:r w:rsidRPr="0009111F">
        <w:rPr>
          <w:vertAlign w:val="subscript"/>
        </w:rPr>
        <w:t>2</w:t>
      </w:r>
      <w:r w:rsidRPr="0009111F">
        <w:t>, complements γ</w:t>
      </w:r>
      <w:r w:rsidRPr="0009111F">
        <w:rPr>
          <w:vertAlign w:val="subscript"/>
        </w:rPr>
        <w:t>1</w:t>
      </w:r>
      <w:r w:rsidRPr="0009111F">
        <w:t xml:space="preserve"> by providing a check on the possibility that positive and negative errors could offset each other, giving rise to a spuriously accurate set of results.  γ</w:t>
      </w:r>
      <w:r w:rsidRPr="0009111F">
        <w:rPr>
          <w:vertAlign w:val="subscript"/>
        </w:rPr>
        <w:t>3</w:t>
      </w:r>
      <w:r w:rsidRPr="0009111F">
        <w:t xml:space="preserve"> is a more radical refinement of γ</w:t>
      </w:r>
      <w:r w:rsidRPr="0009111F">
        <w:rPr>
          <w:vertAlign w:val="subscript"/>
        </w:rPr>
        <w:t>1</w:t>
      </w:r>
      <w:r w:rsidRPr="0009111F">
        <w:t>.  It takes into account the argument</w:t>
      </w:r>
      <w:r>
        <w:t>, noted above,</w:t>
      </w:r>
      <w:r w:rsidRPr="0009111F">
        <w:t xml:space="preserve"> that </w:t>
      </w:r>
      <w:r>
        <w:t>errors in</w:t>
      </w:r>
      <w:r w:rsidRPr="0009111F">
        <w:t xml:space="preserve"> the largest coefficients</w:t>
      </w:r>
      <w:r>
        <w:t xml:space="preserve"> tend</w:t>
      </w:r>
      <w:r w:rsidRPr="0009111F">
        <w:t xml:space="preserve"> to have the most impact on the estimated multipliers</w:t>
      </w:r>
      <w:r>
        <w:t xml:space="preserve">. </w:t>
      </w:r>
      <w:r w:rsidRPr="0009111F">
        <w:t xml:space="preserve"> γ</w:t>
      </w:r>
      <w:r w:rsidRPr="0009111F">
        <w:rPr>
          <w:vertAlign w:val="subscript"/>
        </w:rPr>
        <w:t>3</w:t>
      </w:r>
      <w:r w:rsidRPr="0009111F">
        <w:t xml:space="preserve"> captures the relative size of a particular </w:t>
      </w:r>
      <w:r>
        <w:t>coefficient</w:t>
      </w:r>
      <w:r w:rsidRPr="0009111F">
        <w:t xml:space="preserve"> via the weight r</w:t>
      </w:r>
      <w:r w:rsidRPr="0009111F">
        <w:rPr>
          <w:vertAlign w:val="subscript"/>
        </w:rPr>
        <w:t xml:space="preserve">ij </w:t>
      </w:r>
      <w:r w:rsidRPr="0009111F">
        <w:t>/</w:t>
      </w:r>
      <w:r w:rsidRPr="0009111F">
        <w:rPr>
          <w:vertAlign w:val="subscript"/>
        </w:rPr>
        <w:t xml:space="preserve"> </w:t>
      </w:r>
      <w:r w:rsidRPr="0009111F">
        <w:t>Σ</w:t>
      </w:r>
      <w:r w:rsidRPr="0009111F">
        <w:rPr>
          <w:vertAlign w:val="subscript"/>
        </w:rPr>
        <w:t xml:space="preserve">i </w:t>
      </w:r>
      <w:r w:rsidRPr="0009111F">
        <w:t>r</w:t>
      </w:r>
      <w:r w:rsidRPr="0009111F">
        <w:rPr>
          <w:vertAlign w:val="subscript"/>
        </w:rPr>
        <w:t>ij</w:t>
      </w:r>
      <w:r w:rsidRPr="0009111F">
        <w:t xml:space="preserve">.  </w:t>
      </w:r>
      <w:r>
        <w:t xml:space="preserve">A similar formula is proposed </w:t>
      </w:r>
      <w:r w:rsidRPr="0009111F">
        <w:t>by Lahr (2001, p. 238)</w:t>
      </w:r>
      <w:r>
        <w:t>, although he focuses on the coefficient matrix as a whole rather than on particular columns within it</w:t>
      </w:r>
      <w:r w:rsidRPr="0009111F">
        <w:t>.</w:t>
      </w:r>
      <w:r>
        <w:t xml:space="preserve">  For this reason, our version should be more informative as to the source of simulation errors.</w:t>
      </w:r>
    </w:p>
    <w:p w:rsidR="00CC1340" w:rsidRPr="0009111F" w:rsidRDefault="00CC1340" w:rsidP="00CC1340">
      <w:pPr>
        <w:widowControl w:val="0"/>
        <w:tabs>
          <w:tab w:val="left" w:pos="426"/>
        </w:tabs>
        <w:spacing w:line="480" w:lineRule="auto"/>
      </w:pPr>
      <w:r w:rsidRPr="0009111F">
        <w:tab/>
        <w:t>γ</w:t>
      </w:r>
      <w:r>
        <w:rPr>
          <w:vertAlign w:val="subscript"/>
        </w:rPr>
        <w:t>4</w:t>
      </w:r>
      <w:r w:rsidRPr="0009111F">
        <w:t xml:space="preserve"> expresses the mean absolute deviation as a percentage of the mean value of r</w:t>
      </w:r>
      <w:r w:rsidRPr="0009111F">
        <w:rPr>
          <w:vertAlign w:val="subscript"/>
        </w:rPr>
        <w:t>ij</w:t>
      </w:r>
      <w:r>
        <w:t xml:space="preserve"> (</w:t>
      </w:r>
      <w:r w:rsidRPr="0009111F">
        <w:t>Sawyer and Miller</w:t>
      </w:r>
      <w:r>
        <w:t xml:space="preserve">, </w:t>
      </w:r>
      <w:r w:rsidRPr="0009111F">
        <w:t>1983</w:t>
      </w:r>
      <w:r>
        <w:t>)</w:t>
      </w:r>
      <w:r w:rsidRPr="0009111F">
        <w:t xml:space="preserve">.  This relative measure has the </w:t>
      </w:r>
      <w:r>
        <w:t>merit</w:t>
      </w:r>
      <w:r w:rsidRPr="0009111F">
        <w:t xml:space="preserve"> that comparisons can be made with the findings from other studies.  This is not true for the measures considered hitherto.</w:t>
      </w:r>
    </w:p>
    <w:p w:rsidR="00CC1340" w:rsidRPr="0009111F" w:rsidRDefault="00CC1340" w:rsidP="00CC1340">
      <w:pPr>
        <w:widowControl w:val="0"/>
        <w:tabs>
          <w:tab w:val="left" w:pos="426"/>
        </w:tabs>
        <w:spacing w:line="480" w:lineRule="auto"/>
      </w:pPr>
      <w:r w:rsidRPr="0009111F">
        <w:tab/>
        <w:t>Our final measure is Theil’s index of inequality (</w:t>
      </w:r>
      <w:proofErr w:type="spellStart"/>
      <w:r w:rsidRPr="0009111F">
        <w:t>Theil</w:t>
      </w:r>
      <w:proofErr w:type="spellEnd"/>
      <w:r w:rsidRPr="0009111F">
        <w:t xml:space="preserve"> </w:t>
      </w:r>
      <w:r w:rsidRPr="0009111F">
        <w:rPr>
          <w:i/>
        </w:rPr>
        <w:t>et al.</w:t>
      </w:r>
      <w:r w:rsidRPr="0009111F">
        <w:t>, 1966).</w:t>
      </w:r>
      <w:r>
        <w:t xml:space="preserve"> </w:t>
      </w:r>
      <w:r w:rsidRPr="0009111F">
        <w:t xml:space="preserve"> A</w:t>
      </w:r>
      <w:r>
        <w:t xml:space="preserve"> very useful feature</w:t>
      </w:r>
      <w:r w:rsidRPr="0009111F">
        <w:t xml:space="preserve"> of</w:t>
      </w:r>
      <w:r>
        <w:t xml:space="preserve"> </w:t>
      </w:r>
      <w:r w:rsidRPr="0009111F">
        <w:t>γ</w:t>
      </w:r>
      <w:r>
        <w:rPr>
          <w:vertAlign w:val="subscript"/>
        </w:rPr>
        <w:t>5</w:t>
      </w:r>
      <w:r w:rsidRPr="00615EFB">
        <w:t xml:space="preserve"> </w:t>
      </w:r>
      <w:r w:rsidRPr="0009111F">
        <w:t xml:space="preserve">is that the </w:t>
      </w:r>
      <w:r>
        <w:t xml:space="preserve">mse component of the formula </w:t>
      </w:r>
      <w:r w:rsidRPr="0009111F">
        <w:t xml:space="preserve">can be decomposed into proportions due to bias, variance and covariance (Stevens </w:t>
      </w:r>
      <w:r w:rsidRPr="0009111F">
        <w:rPr>
          <w:i/>
        </w:rPr>
        <w:t>et al.</w:t>
      </w:r>
      <w:r w:rsidRPr="0009111F">
        <w:t>, 1989).</w:t>
      </w:r>
      <w:r>
        <w:rPr>
          <w:b/>
          <w:vertAlign w:val="superscript"/>
        </w:rPr>
        <w:t>2</w:t>
      </w:r>
      <w:r w:rsidR="00EC56B6">
        <w:rPr>
          <w:b/>
          <w:vertAlign w:val="superscript"/>
        </w:rPr>
        <w:t>8</w:t>
      </w:r>
      <w:r>
        <w:t xml:space="preserve">  </w:t>
      </w:r>
      <w:r w:rsidRPr="0009111F">
        <w:t>Nonetheless, a d</w:t>
      </w:r>
      <w:r>
        <w:t xml:space="preserve">emerit </w:t>
      </w:r>
      <w:r w:rsidRPr="0009111F">
        <w:t>of γ</w:t>
      </w:r>
      <w:r>
        <w:rPr>
          <w:vertAlign w:val="subscript"/>
        </w:rPr>
        <w:t>5</w:t>
      </w:r>
      <w:r w:rsidRPr="0009111F">
        <w:t xml:space="preserve"> should be noted: the use of squared </w:t>
      </w:r>
      <w:r>
        <w:t xml:space="preserve">simulation </w:t>
      </w:r>
      <w:r w:rsidRPr="0009111F">
        <w:t xml:space="preserve">errors means that </w:t>
      </w:r>
      <w:r>
        <w:t>t</w:t>
      </w:r>
      <w:r w:rsidRPr="0009111F">
        <w:t>h</w:t>
      </w:r>
      <w:r>
        <w:t>is</w:t>
      </w:r>
      <w:r w:rsidRPr="0009111F">
        <w:t xml:space="preserve"> statistic can be distorted by extreme values.</w:t>
      </w:r>
    </w:p>
    <w:p w:rsidR="00CC1340" w:rsidRDefault="00CC1340" w:rsidP="00CC1340">
      <w:pPr>
        <w:widowControl w:val="0"/>
        <w:tabs>
          <w:tab w:val="left" w:pos="426"/>
        </w:tabs>
        <w:spacing w:line="480" w:lineRule="auto"/>
        <w:rPr>
          <w:vertAlign w:val="superscript"/>
        </w:rPr>
      </w:pPr>
      <w:r w:rsidRPr="0009111F">
        <w:tab/>
        <w:t xml:space="preserve">Whilst all of the statistics discussed above possess some desirable properties, each measure does have one or more shortcomings.  It seems unwise, therefore, to rely on a single statistic as a measure of performance.  Instead, by looking at a range of statistics with different properties, one might hope to encompass important characteristics such as bias, variance and the relative size of coefficients.  In selecting a subset of possible statistics to discuss, we avoided those that incorporated expressions such as </w:t>
      </w:r>
      <w:r w:rsidRPr="0009111F">
        <w:rPr>
          <w:position w:val="-14"/>
        </w:rPr>
        <w:object w:dxaOrig="1200" w:dyaOrig="360">
          <v:shape id="_x0000_i1053" type="#_x0000_t75" style="width:60pt;height:18.75pt" o:ole="">
            <v:imagedata r:id="rId60" o:title=""/>
          </v:shape>
          <o:OLEObject Type="Embed" ProgID="Equation.3" ShapeID="_x0000_i1053" DrawAspect="Content" ObjectID="_1354515163" r:id="rId61"/>
        </w:object>
      </w:r>
      <w:r w:rsidRPr="0009111F">
        <w:rPr>
          <w:spacing w:val="-2"/>
          <w:szCs w:val="22"/>
        </w:rPr>
        <w:t>|</w:t>
      </w:r>
      <w:r w:rsidRPr="0009111F">
        <w:rPr>
          <w:position w:val="-14"/>
        </w:rPr>
        <w:object w:dxaOrig="660" w:dyaOrig="360">
          <v:shape id="_x0000_i1054" type="#_x0000_t75" style="width:33pt;height:18.75pt" o:ole="">
            <v:imagedata r:id="rId20" o:title=""/>
          </v:shape>
          <o:OLEObject Type="Embed" ProgID="Equation.3" ShapeID="_x0000_i1054" DrawAspect="Content" ObjectID="_1354515164" r:id="rId62"/>
        </w:object>
      </w:r>
      <w:r w:rsidRPr="0009111F">
        <w:rPr>
          <w:spacing w:val="-2"/>
          <w:szCs w:val="22"/>
        </w:rPr>
        <w:t>|</w:t>
      </w:r>
      <w:r w:rsidRPr="0009111F">
        <w:rPr>
          <w:spacing w:val="-2"/>
          <w:szCs w:val="22"/>
          <w:vertAlign w:val="subscript"/>
        </w:rPr>
        <w:t xml:space="preserve"> </w:t>
      </w:r>
      <w:r w:rsidRPr="0009111F">
        <w:t>/</w:t>
      </w:r>
      <w:r w:rsidRPr="0009111F">
        <w:rPr>
          <w:vertAlign w:val="subscript"/>
        </w:rPr>
        <w:t xml:space="preserve"> </w:t>
      </w:r>
      <w:proofErr w:type="spellStart"/>
      <w:r w:rsidRPr="0009111F">
        <w:t>r</w:t>
      </w:r>
      <w:r w:rsidRPr="0009111F">
        <w:rPr>
          <w:vertAlign w:val="subscript"/>
        </w:rPr>
        <w:t>ij</w:t>
      </w:r>
      <w:proofErr w:type="spellEnd"/>
      <w:r w:rsidRPr="0009111F">
        <w:t xml:space="preserve"> or </w:t>
      </w:r>
      <w:r w:rsidRPr="0009111F">
        <w:rPr>
          <w:position w:val="-14"/>
        </w:rPr>
        <w:object w:dxaOrig="1240" w:dyaOrig="420">
          <v:shape id="_x0000_i1055" type="#_x0000_t75" style="width:60.75pt;height:21pt" o:ole="">
            <v:imagedata r:id="rId63" o:title=""/>
          </v:shape>
          <o:OLEObject Type="Embed" ProgID="Equation.3" ShapeID="_x0000_i1055" DrawAspect="Content" ObjectID="_1354515165" r:id="rId64"/>
        </w:object>
      </w:r>
      <w:r w:rsidRPr="0009111F">
        <w:t>, which can be inflated by near-zero values of r</w:t>
      </w:r>
      <w:r w:rsidRPr="0009111F">
        <w:rPr>
          <w:vertAlign w:val="subscript"/>
        </w:rPr>
        <w:t>ij</w:t>
      </w:r>
      <w:r w:rsidRPr="0009111F">
        <w:t>.  The χ</w:t>
      </w:r>
      <w:r w:rsidRPr="0009111F">
        <w:rPr>
          <w:vertAlign w:val="superscript"/>
        </w:rPr>
        <w:t>2</w:t>
      </w:r>
      <w:r w:rsidRPr="0009111F">
        <w:t xml:space="preserve"> statistic is a case in point.</w:t>
      </w:r>
      <w:r w:rsidR="00EC56B6">
        <w:rPr>
          <w:b/>
          <w:vertAlign w:val="superscript"/>
        </w:rPr>
        <w:t>29</w:t>
      </w:r>
      <w:r w:rsidRPr="0009111F">
        <w:t xml:space="preserve">  Indeed, some further shortcomings of the χ</w:t>
      </w:r>
      <w:r w:rsidRPr="0009111F">
        <w:rPr>
          <w:vertAlign w:val="superscript"/>
        </w:rPr>
        <w:t>2</w:t>
      </w:r>
      <w:r w:rsidRPr="0009111F">
        <w:t xml:space="preserve"> statistic are identified by Knudsen and </w:t>
      </w:r>
      <w:proofErr w:type="spellStart"/>
      <w:r w:rsidRPr="0009111F">
        <w:t>Fotheringham</w:t>
      </w:r>
      <w:proofErr w:type="spellEnd"/>
      <w:r>
        <w:t xml:space="preserve"> (</w:t>
      </w:r>
      <w:r w:rsidRPr="0009111F">
        <w:t>1986</w:t>
      </w:r>
      <w:r>
        <w:t>)</w:t>
      </w:r>
      <w:r w:rsidRPr="0009111F">
        <w:t>, who also recommend avoiding the use of r</w:t>
      </w:r>
      <w:r w:rsidRPr="0009111F">
        <w:rPr>
          <w:vertAlign w:val="superscript"/>
        </w:rPr>
        <w:t>2</w:t>
      </w:r>
      <w:r w:rsidRPr="0009111F">
        <w:t>.</w:t>
      </w:r>
      <w:r>
        <w:rPr>
          <w:b/>
          <w:vertAlign w:val="superscript"/>
        </w:rPr>
        <w:t>3</w:t>
      </w:r>
      <w:r w:rsidR="00EC56B6">
        <w:rPr>
          <w:b/>
          <w:vertAlign w:val="superscript"/>
        </w:rPr>
        <w:t>0</w:t>
      </w:r>
    </w:p>
    <w:p w:rsidR="001F18D8" w:rsidRDefault="001F18D8" w:rsidP="001F18D8">
      <w:pPr>
        <w:widowControl w:val="0"/>
        <w:tabs>
          <w:tab w:val="left" w:pos="426"/>
        </w:tabs>
        <w:spacing w:line="480" w:lineRule="auto"/>
        <w:jc w:val="center"/>
      </w:pPr>
      <w:r>
        <w:rPr>
          <w:b/>
        </w:rPr>
        <w:t>Table 6 near here</w:t>
      </w:r>
    </w:p>
    <w:p w:rsidR="001F18D8" w:rsidRPr="001A7B41" w:rsidRDefault="001F18D8" w:rsidP="001F18D8">
      <w:pPr>
        <w:widowControl w:val="0"/>
        <w:tabs>
          <w:tab w:val="left" w:pos="426"/>
        </w:tabs>
        <w:spacing w:line="480" w:lineRule="auto"/>
        <w:rPr>
          <w:color w:val="000000"/>
        </w:rPr>
      </w:pPr>
      <w:r>
        <w:tab/>
      </w:r>
      <w:r w:rsidR="0052423B">
        <w:t xml:space="preserve">If we focus solely on </w:t>
      </w:r>
      <w:r w:rsidR="0052423B" w:rsidRPr="0052423B">
        <w:t>γ</w:t>
      </w:r>
      <w:r w:rsidR="0052423B" w:rsidRPr="0052423B">
        <w:rPr>
          <w:vertAlign w:val="subscript"/>
        </w:rPr>
        <w:t>1</w:t>
      </w:r>
      <w:r w:rsidR="0052423B">
        <w:t xml:space="preserve">, then </w:t>
      </w:r>
      <w:r w:rsidR="003E3946" w:rsidRPr="0052423B">
        <w:t>Table</w:t>
      </w:r>
      <w:r w:rsidR="003E3946">
        <w:t xml:space="preserve"> 6 shows that </w:t>
      </w:r>
      <w:r w:rsidR="003E3946" w:rsidRPr="00DE71C0">
        <w:rPr>
          <w:color w:val="000000"/>
        </w:rPr>
        <w:t>δ</w:t>
      </w:r>
      <w:r w:rsidR="003E3946">
        <w:rPr>
          <w:color w:val="000000"/>
        </w:rPr>
        <w:t xml:space="preserve"> = 0.25 is incontestably the best single value for estimating coefficients</w:t>
      </w:r>
      <w:r w:rsidR="00BE1474">
        <w:t>.</w:t>
      </w:r>
      <w:r w:rsidR="003E3946">
        <w:t xml:space="preserve"> </w:t>
      </w:r>
      <w:r w:rsidR="00BE1474">
        <w:t xml:space="preserve"> </w:t>
      </w:r>
      <w:r>
        <w:rPr>
          <w:color w:val="000000"/>
        </w:rPr>
        <w:t>This outcome is consistent with</w:t>
      </w:r>
      <w:r>
        <w:t xml:space="preserve"> the result for </w:t>
      </w:r>
      <w:r w:rsidRPr="0009111F">
        <w:t>μ</w:t>
      </w:r>
      <w:r w:rsidRPr="0009111F">
        <w:rPr>
          <w:vertAlign w:val="subscript"/>
        </w:rPr>
        <w:t>1</w:t>
      </w:r>
      <w:r>
        <w:t xml:space="preserve"> in the case of the multipliers (see Table 3).  By contrast,</w:t>
      </w:r>
      <w:r>
        <w:rPr>
          <w:color w:val="000000"/>
        </w:rPr>
        <w:t xml:space="preserve"> t</w:t>
      </w:r>
      <w:r>
        <w:t>he mse</w:t>
      </w:r>
      <w:r>
        <w:rPr>
          <w:vertAlign w:val="subscript"/>
        </w:rPr>
        <w:t xml:space="preserve"> </w:t>
      </w:r>
      <w:r>
        <w:t xml:space="preserve">and </w:t>
      </w:r>
      <w:r w:rsidRPr="0009111F">
        <w:t>γ</w:t>
      </w:r>
      <w:r>
        <w:rPr>
          <w:vertAlign w:val="subscript"/>
        </w:rPr>
        <w:t>5</w:t>
      </w:r>
      <w:r>
        <w:t xml:space="preserve"> suggest an optimal </w:t>
      </w:r>
      <w:r w:rsidRPr="00DE71C0">
        <w:rPr>
          <w:color w:val="000000"/>
        </w:rPr>
        <w:t>δ</w:t>
      </w:r>
      <w:r>
        <w:rPr>
          <w:color w:val="000000"/>
        </w:rPr>
        <w:t xml:space="preserve"> of 0.2.  This </w:t>
      </w:r>
      <w:r w:rsidR="00797A7F">
        <w:rPr>
          <w:color w:val="000000"/>
        </w:rPr>
        <w:t>difference occurs because</w:t>
      </w:r>
      <w:r>
        <w:rPr>
          <w:color w:val="000000"/>
        </w:rPr>
        <w:t xml:space="preserve"> these statistics place more emphasis than</w:t>
      </w:r>
      <w:r w:rsidRPr="00FE363A">
        <w:t xml:space="preserve"> </w:t>
      </w:r>
      <w:r w:rsidRPr="0009111F">
        <w:t>γ</w:t>
      </w:r>
      <w:r>
        <w:rPr>
          <w:vertAlign w:val="subscript"/>
        </w:rPr>
        <w:t>1</w:t>
      </w:r>
      <w:r>
        <w:t xml:space="preserve"> upon avoiding large errors</w:t>
      </w:r>
      <w:r w:rsidR="00D32729">
        <w:t>, a feature that</w:t>
      </w:r>
      <w:r>
        <w:t xml:space="preserve"> necessitates a somewhat smaller</w:t>
      </w:r>
      <w:r>
        <w:rPr>
          <w:color w:val="000000"/>
        </w:rPr>
        <w:t xml:space="preserve"> </w:t>
      </w:r>
      <w:r w:rsidRPr="00DE71C0">
        <w:rPr>
          <w:color w:val="000000"/>
        </w:rPr>
        <w:t>δ</w:t>
      </w:r>
      <w:r w:rsidR="00D32729" w:rsidRPr="00D32729">
        <w:t xml:space="preserve"> </w:t>
      </w:r>
      <w:r w:rsidR="00D32729">
        <w:t>in this instance</w:t>
      </w:r>
      <w:r>
        <w:rPr>
          <w:color w:val="000000"/>
        </w:rPr>
        <w:t xml:space="preserve">.  The results for </w:t>
      </w:r>
      <w:r w:rsidRPr="0009111F">
        <w:t>γ</w:t>
      </w:r>
      <w:r>
        <w:rPr>
          <w:vertAlign w:val="subscript"/>
        </w:rPr>
        <w:t>2</w:t>
      </w:r>
      <w:r w:rsidRPr="0009111F">
        <w:t xml:space="preserve"> </w:t>
      </w:r>
      <w:r>
        <w:t xml:space="preserve">and </w:t>
      </w:r>
      <w:r w:rsidRPr="0009111F">
        <w:t>γ</w:t>
      </w:r>
      <w:r>
        <w:rPr>
          <w:vertAlign w:val="subscript"/>
        </w:rPr>
        <w:t>4</w:t>
      </w:r>
      <w:r>
        <w:rPr>
          <w:color w:val="000000"/>
        </w:rPr>
        <w:t xml:space="preserve"> are also at variance with that for </w:t>
      </w:r>
      <w:r w:rsidRPr="0009111F">
        <w:t>γ</w:t>
      </w:r>
      <w:r>
        <w:rPr>
          <w:vertAlign w:val="subscript"/>
        </w:rPr>
        <w:t>1</w:t>
      </w:r>
      <w:r>
        <w:t>.  Here</w:t>
      </w:r>
      <w:r>
        <w:rPr>
          <w:color w:val="000000"/>
        </w:rPr>
        <w:t xml:space="preserve"> a higher value, </w:t>
      </w:r>
      <w:r w:rsidRPr="00DE71C0">
        <w:rPr>
          <w:color w:val="000000"/>
        </w:rPr>
        <w:t>δ</w:t>
      </w:r>
      <w:r>
        <w:rPr>
          <w:color w:val="000000"/>
        </w:rPr>
        <w:t xml:space="preserve"> = 0.3, is identified as best.  This finding can be explained by the use of absolute values.  A similar phenomenon was observed </w:t>
      </w:r>
      <w:r w:rsidR="00D32729">
        <w:rPr>
          <w:color w:val="000000"/>
        </w:rPr>
        <w:t>with respect to</w:t>
      </w:r>
      <w:r>
        <w:rPr>
          <w:color w:val="000000"/>
        </w:rPr>
        <w:t xml:space="preserve"> the multipliers; it is also evident in the Scottish findings of Flegg and Webber (2000, Table 4).  However, the decreases in the mean values of </w:t>
      </w:r>
      <w:r w:rsidRPr="0009111F">
        <w:t>γ</w:t>
      </w:r>
      <w:r>
        <w:rPr>
          <w:vertAlign w:val="subscript"/>
        </w:rPr>
        <w:t>2</w:t>
      </w:r>
      <w:r w:rsidRPr="0009111F">
        <w:t xml:space="preserve"> </w:t>
      </w:r>
      <w:r>
        <w:t xml:space="preserve">and </w:t>
      </w:r>
      <w:r w:rsidRPr="0009111F">
        <w:t>γ</w:t>
      </w:r>
      <w:r>
        <w:rPr>
          <w:vertAlign w:val="subscript"/>
        </w:rPr>
        <w:t>4</w:t>
      </w:r>
      <w:r>
        <w:rPr>
          <w:color w:val="000000"/>
        </w:rPr>
        <w:t xml:space="preserve"> when </w:t>
      </w:r>
      <w:r w:rsidRPr="00DE71C0">
        <w:rPr>
          <w:color w:val="000000"/>
        </w:rPr>
        <w:t>δ</w:t>
      </w:r>
      <w:r>
        <w:rPr>
          <w:color w:val="000000"/>
        </w:rPr>
        <w:t xml:space="preserve"> is raised from 0.25 to 0.3 are very small indeed.</w:t>
      </w:r>
      <w:r>
        <w:rPr>
          <w:color w:val="000000"/>
        </w:rPr>
        <w:tab/>
        <w:t xml:space="preserve"> </w:t>
      </w:r>
    </w:p>
    <w:p w:rsidR="001F18D8" w:rsidRPr="00FA024D" w:rsidRDefault="001F18D8" w:rsidP="001F18D8">
      <w:pPr>
        <w:widowControl w:val="0"/>
        <w:tabs>
          <w:tab w:val="left" w:pos="426"/>
        </w:tabs>
        <w:spacing w:line="480" w:lineRule="auto"/>
        <w:rPr>
          <w:b/>
          <w:color w:val="000000"/>
          <w:vertAlign w:val="superscript"/>
        </w:rPr>
      </w:pPr>
      <w:r>
        <w:rPr>
          <w:color w:val="000000"/>
        </w:rPr>
        <w:tab/>
      </w:r>
      <w:r w:rsidRPr="0009111F">
        <w:t>γ</w:t>
      </w:r>
      <w:r w:rsidRPr="0009111F">
        <w:rPr>
          <w:vertAlign w:val="subscript"/>
        </w:rPr>
        <w:t>3</w:t>
      </w:r>
      <w:r>
        <w:t xml:space="preserve"> is out of line with the other statistics in suggesting the use of </w:t>
      </w:r>
      <w:r w:rsidRPr="00DE71C0">
        <w:rPr>
          <w:color w:val="000000"/>
        </w:rPr>
        <w:t>δ</w:t>
      </w:r>
      <w:r>
        <w:rPr>
          <w:color w:val="000000"/>
        </w:rPr>
        <w:t xml:space="preserve"> = 0.1, which yields a minimum of 2.747.  Evidently, the largest coefficients in a given column of the regional</w:t>
      </w:r>
      <w:r w:rsidRPr="00D1683B">
        <w:rPr>
          <w:color w:val="000000"/>
        </w:rPr>
        <w:t xml:space="preserve"> </w:t>
      </w:r>
      <w:r>
        <w:rPr>
          <w:color w:val="000000"/>
        </w:rPr>
        <w:t>matrix</w:t>
      </w:r>
      <w:r>
        <w:rPr>
          <w:b/>
          <w:color w:val="000000"/>
        </w:rPr>
        <w:t xml:space="preserve"> R</w:t>
      </w:r>
      <w:r>
        <w:rPr>
          <w:color w:val="000000"/>
        </w:rPr>
        <w:t xml:space="preserve"> tend to be understated when a higher value of </w:t>
      </w:r>
      <w:r w:rsidRPr="00DE71C0">
        <w:rPr>
          <w:color w:val="000000"/>
        </w:rPr>
        <w:t>δ</w:t>
      </w:r>
      <w:r>
        <w:rPr>
          <w:color w:val="000000"/>
        </w:rPr>
        <w:t xml:space="preserve"> is used.  In many cases, it is the intrasectoral coefficients that dominate the columns.  Although we would not recommend using </w:t>
      </w:r>
      <w:r w:rsidRPr="00DE71C0">
        <w:rPr>
          <w:color w:val="000000"/>
        </w:rPr>
        <w:t>δ</w:t>
      </w:r>
      <w:r>
        <w:rPr>
          <w:color w:val="000000"/>
        </w:rPr>
        <w:t xml:space="preserve"> = 0.1 in general, this finding does suggest that it would be worthwhile to consider treating the largest coefficients differently from the remaining coefficients.</w:t>
      </w:r>
    </w:p>
    <w:p w:rsidR="001F18D8" w:rsidRDefault="001F18D8" w:rsidP="001F18D8">
      <w:pPr>
        <w:widowControl w:val="0"/>
        <w:tabs>
          <w:tab w:val="left" w:pos="426"/>
        </w:tabs>
        <w:spacing w:line="480" w:lineRule="auto"/>
        <w:rPr>
          <w:color w:val="000000"/>
        </w:rPr>
      </w:pPr>
      <w:r>
        <w:rPr>
          <w:color w:val="000000"/>
        </w:rPr>
        <w:tab/>
        <w:t xml:space="preserve">The results for </w:t>
      </w:r>
      <w:r w:rsidRPr="0009111F">
        <w:t>γ</w:t>
      </w:r>
      <w:r>
        <w:rPr>
          <w:vertAlign w:val="subscript"/>
        </w:rPr>
        <w:t>4</w:t>
      </w:r>
      <w:r w:rsidRPr="0009111F">
        <w:t xml:space="preserve"> </w:t>
      </w:r>
      <w:r>
        <w:t xml:space="preserve">and </w:t>
      </w:r>
      <w:r w:rsidRPr="0009111F">
        <w:t>γ</w:t>
      </w:r>
      <w:r>
        <w:rPr>
          <w:vertAlign w:val="subscript"/>
        </w:rPr>
        <w:t>5</w:t>
      </w:r>
      <w:r>
        <w:t xml:space="preserve"> reveal a high degree of error in estimating the r</w:t>
      </w:r>
      <w:r>
        <w:rPr>
          <w:vertAlign w:val="subscript"/>
        </w:rPr>
        <w:t>ij</w:t>
      </w:r>
      <w:r>
        <w:t xml:space="preserve">, especially when compared with the multipliers.  For instance, when </w:t>
      </w:r>
      <w:r w:rsidRPr="00DE71C0">
        <w:rPr>
          <w:color w:val="000000"/>
        </w:rPr>
        <w:t>δ</w:t>
      </w:r>
      <w:r>
        <w:rPr>
          <w:color w:val="000000"/>
        </w:rPr>
        <w:t xml:space="preserve"> = 0.25, the average </w:t>
      </w:r>
      <w:r>
        <w:t xml:space="preserve">absolute proportionate </w:t>
      </w:r>
      <w:r>
        <w:rPr>
          <w:color w:val="000000"/>
        </w:rPr>
        <w:t>error is 8.2% for multipliers (see Table 3) but 69.9% for coefficients.  These errors are, however, well below those for the SLQ and CILQ.</w:t>
      </w:r>
    </w:p>
    <w:p w:rsidR="001F18D8" w:rsidRDefault="001F18D8" w:rsidP="001F18D8">
      <w:pPr>
        <w:widowControl w:val="0"/>
        <w:tabs>
          <w:tab w:val="left" w:pos="426"/>
        </w:tabs>
        <w:spacing w:line="480" w:lineRule="auto"/>
      </w:pPr>
      <w:r>
        <w:rPr>
          <w:color w:val="000000"/>
        </w:rPr>
        <w:tab/>
        <w:t xml:space="preserve">That the errors are greater for coefficients than for multipliers is unsurprising: </w:t>
      </w:r>
      <w:r>
        <w:t xml:space="preserve">the </w:t>
      </w:r>
      <w:r>
        <w:lastRenderedPageBreak/>
        <w:t xml:space="preserve">elements of the difference matrix, </w:t>
      </w:r>
      <w:r>
        <w:rPr>
          <w:b/>
        </w:rPr>
        <w:t>D</w:t>
      </w:r>
      <w:r>
        <w:t xml:space="preserve"> = [</w:t>
      </w:r>
      <w:r w:rsidRPr="0009111F">
        <w:rPr>
          <w:position w:val="-14"/>
        </w:rPr>
        <w:object w:dxaOrig="660" w:dyaOrig="360">
          <v:shape id="_x0000_i1056" type="#_x0000_t75" style="width:33pt;height:18.75pt" o:ole="">
            <v:imagedata r:id="rId65" o:title=""/>
          </v:shape>
          <o:OLEObject Type="Embed" ProgID="Equation.3" ShapeID="_x0000_i1056" DrawAspect="Content" ObjectID="_1354515166" r:id="rId66"/>
        </w:object>
      </w:r>
      <w:r>
        <w:t xml:space="preserve">], are bound to exhibit much more dispersion than the </w:t>
      </w:r>
      <w:r>
        <w:rPr>
          <w:color w:val="000000"/>
        </w:rPr>
        <w:t xml:space="preserve">differences in the column sums of the </w:t>
      </w:r>
      <w:r w:rsidRPr="0045458D">
        <w:rPr>
          <w:color w:val="000000"/>
        </w:rPr>
        <w:t>Leontief inverse matri</w:t>
      </w:r>
      <w:r>
        <w:rPr>
          <w:color w:val="000000"/>
        </w:rPr>
        <w:t xml:space="preserve">ces, </w:t>
      </w:r>
      <w:r>
        <w:rPr>
          <w:b/>
          <w:color w:val="000000"/>
        </w:rPr>
        <w:t>d'</w:t>
      </w:r>
      <w:r>
        <w:rPr>
          <w:color w:val="000000"/>
        </w:rPr>
        <w:t xml:space="preserve"> </w:t>
      </w:r>
      <w:r>
        <w:t>= [</w:t>
      </w:r>
      <w:r w:rsidRPr="0009111F">
        <w:rPr>
          <w:position w:val="-14"/>
        </w:rPr>
        <w:object w:dxaOrig="859" w:dyaOrig="360">
          <v:shape id="_x0000_i1057" type="#_x0000_t75" style="width:42.75pt;height:17.25pt" o:ole="">
            <v:imagedata r:id="rId67" o:title=""/>
          </v:shape>
          <o:OLEObject Type="Embed" ProgID="Equation.3" ShapeID="_x0000_i1057" DrawAspect="Content" ObjectID="_1354515167" r:id="rId68"/>
        </w:object>
      </w:r>
      <w:r>
        <w:t>].</w:t>
      </w:r>
      <w:r>
        <w:rPr>
          <w:b/>
          <w:vertAlign w:val="superscript"/>
        </w:rPr>
        <w:t>3</w:t>
      </w:r>
      <w:r w:rsidR="006545DA">
        <w:rPr>
          <w:b/>
          <w:vertAlign w:val="superscript"/>
        </w:rPr>
        <w:t>1</w:t>
      </w:r>
      <w:r>
        <w:t xml:space="preserve">  A great deal of offsetting of errors occurs when computing multipliers.  Therefore, if one’s objective is to obtain good estimates of multipliers, this may still be possible even if the coefficients are subject to considerable error.</w:t>
      </w:r>
    </w:p>
    <w:p w:rsidR="001F18D8" w:rsidRDefault="001F18D8" w:rsidP="001F18D8">
      <w:pPr>
        <w:pStyle w:val="Normaali1"/>
        <w:tabs>
          <w:tab w:val="left" w:pos="360"/>
        </w:tabs>
        <w:spacing w:line="480" w:lineRule="auto"/>
        <w:jc w:val="center"/>
        <w:rPr>
          <w:rFonts w:ascii="Times New Roman" w:hAnsi="Times New Roman"/>
          <w:lang w:val="en-GB"/>
        </w:rPr>
      </w:pPr>
      <w:r>
        <w:rPr>
          <w:rFonts w:ascii="Times New Roman" w:hAnsi="Times New Roman"/>
          <w:b/>
          <w:lang w:val="en-GB"/>
        </w:rPr>
        <w:t>Table 7 near here</w:t>
      </w:r>
    </w:p>
    <w:p w:rsidR="001F18D8" w:rsidRDefault="001F18D8" w:rsidP="001F18D8">
      <w:pPr>
        <w:tabs>
          <w:tab w:val="left" w:pos="426"/>
        </w:tabs>
        <w:spacing w:line="480" w:lineRule="auto"/>
      </w:pPr>
      <w:r>
        <w:rPr>
          <w:color w:val="000000"/>
        </w:rPr>
        <w:tab/>
        <w:t xml:space="preserve">Table 7 displays some helpful information on the source of simulation errors.  The covariance component is, in all cases, the predominant source of error, whereas bias is the least important.  The covariance component captures the lack of a perfect correlation between the </w:t>
      </w:r>
      <w:r w:rsidRPr="0009111F">
        <w:rPr>
          <w:position w:val="-14"/>
        </w:rPr>
        <w:object w:dxaOrig="220" w:dyaOrig="360">
          <v:shape id="_x0000_i1058" type="#_x0000_t75" style="width:11.25pt;height:18.75pt" o:ole="">
            <v:imagedata r:id="rId69" o:title=""/>
          </v:shape>
          <o:OLEObject Type="Embed" ProgID="Equation.3" ShapeID="_x0000_i1058" DrawAspect="Content" ObjectID="_1354515168" r:id="rId70"/>
        </w:object>
      </w:r>
      <w:r>
        <w:rPr>
          <w:color w:val="000000"/>
        </w:rPr>
        <w:t xml:space="preserve"> and </w:t>
      </w:r>
      <w:r w:rsidRPr="0009111F">
        <w:rPr>
          <w:position w:val="-14"/>
        </w:rPr>
        <w:object w:dxaOrig="220" w:dyaOrig="360">
          <v:shape id="_x0000_i1059" type="#_x0000_t75" style="width:11.25pt;height:18.75pt" o:ole="">
            <v:imagedata r:id="rId71" o:title=""/>
          </v:shape>
          <o:OLEObject Type="Embed" ProgID="Equation.3" ShapeID="_x0000_i1059" DrawAspect="Content" ObjectID="_1354515169" r:id="rId72"/>
        </w:object>
      </w:r>
      <w:r>
        <w:rPr>
          <w:color w:val="000000"/>
        </w:rPr>
        <w:t xml:space="preserve"> distributions, whereas the variance component arises when these distributions have different standard deviations.  The results reveal that the superior performance of the FLQ relative to the conventional LQs is due to its ability to reduce all three sources of error.</w:t>
      </w:r>
      <w:r w:rsidRPr="00555A60">
        <w:rPr>
          <w:color w:val="000000"/>
        </w:rPr>
        <w:t xml:space="preserve"> </w:t>
      </w:r>
      <w:r>
        <w:rPr>
          <w:color w:val="000000"/>
        </w:rPr>
        <w:t xml:space="preserve"> </w:t>
      </w:r>
      <w:r w:rsidR="00C33D6F">
        <w:rPr>
          <w:color w:val="000000"/>
        </w:rPr>
        <w:t>However, the</w:t>
      </w:r>
      <w:r>
        <w:rPr>
          <w:color w:val="000000"/>
        </w:rPr>
        <w:t xml:space="preserve"> big</w:t>
      </w:r>
      <w:r w:rsidR="00C33D6F">
        <w:rPr>
          <w:color w:val="000000"/>
        </w:rPr>
        <w:t>gest</w:t>
      </w:r>
      <w:r>
        <w:rPr>
          <w:color w:val="000000"/>
        </w:rPr>
        <w:t xml:space="preserve"> reduction </w:t>
      </w:r>
      <w:r w:rsidR="00C33D6F">
        <w:rPr>
          <w:color w:val="000000"/>
        </w:rPr>
        <w:t xml:space="preserve">is </w:t>
      </w:r>
      <w:r>
        <w:rPr>
          <w:color w:val="000000"/>
        </w:rPr>
        <w:t>in the covariance component of the mse</w:t>
      </w:r>
      <w:r w:rsidR="00C33D6F">
        <w:rPr>
          <w:color w:val="000000"/>
        </w:rPr>
        <w:t>, whereas the smallest is in</w:t>
      </w:r>
      <w:r>
        <w:rPr>
          <w:color w:val="000000"/>
        </w:rPr>
        <w:t xml:space="preserve"> the bias</w:t>
      </w:r>
      <w:r w:rsidR="00C33D6F">
        <w:rPr>
          <w:color w:val="000000"/>
        </w:rPr>
        <w:t xml:space="preserve"> component</w:t>
      </w:r>
      <w:r>
        <w:rPr>
          <w:color w:val="000000"/>
        </w:rPr>
        <w:t xml:space="preserve">.  This is rather surprising because the former is thought to be harder to reduce than the latter (cf. </w:t>
      </w:r>
      <w:r w:rsidRPr="0009111F">
        <w:t xml:space="preserve">Stevens </w:t>
      </w:r>
      <w:r w:rsidRPr="0009111F">
        <w:rPr>
          <w:i/>
        </w:rPr>
        <w:t>et al.</w:t>
      </w:r>
      <w:r w:rsidRPr="0009111F">
        <w:t>, 1989</w:t>
      </w:r>
      <w:r>
        <w:t>, p. 248</w:t>
      </w:r>
      <w:r w:rsidRPr="0009111F">
        <w:t>).</w:t>
      </w:r>
      <w:r>
        <w:t xml:space="preserve">  A final point worth noting is that, whil</w:t>
      </w:r>
      <w:r w:rsidR="00982BC8">
        <w:t>e</w:t>
      </w:r>
      <w:r>
        <w:t xml:space="preserve"> the variance component rises along with the value of </w:t>
      </w:r>
      <w:r w:rsidRPr="00DE71C0">
        <w:rPr>
          <w:color w:val="000000"/>
        </w:rPr>
        <w:t>δ</w:t>
      </w:r>
      <w:r>
        <w:rPr>
          <w:color w:val="000000"/>
        </w:rPr>
        <w:t xml:space="preserve">, </w:t>
      </w:r>
      <w:r>
        <w:t>the covarianc</w:t>
      </w:r>
      <w:r w:rsidR="00E834A3">
        <w:t>e component does the opposite.</w:t>
      </w:r>
    </w:p>
    <w:p w:rsidR="00CC1340" w:rsidRDefault="00CC1340" w:rsidP="004B2862">
      <w:pPr>
        <w:tabs>
          <w:tab w:val="left" w:pos="426"/>
        </w:tabs>
        <w:spacing w:after="200" w:line="276" w:lineRule="auto"/>
        <w:jc w:val="left"/>
        <w:rPr>
          <w:b/>
          <w:color w:val="000000"/>
        </w:rPr>
      </w:pPr>
    </w:p>
    <w:p w:rsidR="00797A7F" w:rsidRPr="00E11641" w:rsidRDefault="00797A7F" w:rsidP="00797A7F">
      <w:pPr>
        <w:spacing w:line="480" w:lineRule="auto"/>
        <w:jc w:val="center"/>
        <w:rPr>
          <w:b/>
        </w:rPr>
      </w:pPr>
      <w:r w:rsidRPr="00E11641">
        <w:rPr>
          <w:b/>
        </w:rPr>
        <w:t>IN</w:t>
      </w:r>
      <w:r>
        <w:rPr>
          <w:b/>
        </w:rPr>
        <w:t>TERMEDIATE</w:t>
      </w:r>
      <w:r w:rsidRPr="00E11641">
        <w:rPr>
          <w:b/>
        </w:rPr>
        <w:t xml:space="preserve"> INPUTS</w:t>
      </w:r>
    </w:p>
    <w:p w:rsidR="003E4C0E" w:rsidRPr="006B4D16" w:rsidRDefault="003E4C0E" w:rsidP="003E4C0E">
      <w:pPr>
        <w:widowControl w:val="0"/>
        <w:tabs>
          <w:tab w:val="left" w:pos="360"/>
        </w:tabs>
        <w:spacing w:line="480" w:lineRule="auto"/>
        <w:rPr>
          <w:color w:val="000000"/>
        </w:rPr>
      </w:pPr>
      <w:r>
        <w:rPr>
          <w:color w:val="000000"/>
        </w:rPr>
        <w:t xml:space="preserve">All </w:t>
      </w:r>
      <w:r w:rsidRPr="006B4D16">
        <w:rPr>
          <w:color w:val="000000"/>
        </w:rPr>
        <w:t>LQ-based</w:t>
      </w:r>
      <w:r>
        <w:rPr>
          <w:color w:val="000000"/>
        </w:rPr>
        <w:t xml:space="preserve"> methods assume identical regional and national technology, i.e. that national and regional firms use the same proportions of different inputs to produce a given commodity.  Unfortunately, this assumption cannot be tested directly with Finnish data because each sector’s imports from other regions are not disaggregated by type of input.  Instead, we shall test the assumption that each region uses the same mix of intermediate and primary inputs as the nation.</w:t>
      </w:r>
      <w:r w:rsidR="002451E6" w:rsidRPr="002451E6">
        <w:rPr>
          <w:color w:val="000000"/>
        </w:rPr>
        <w:t xml:space="preserve"> </w:t>
      </w:r>
      <w:r w:rsidR="002451E6">
        <w:rPr>
          <w:color w:val="000000"/>
        </w:rPr>
        <w:t xml:space="preserve"> P</w:t>
      </w:r>
      <w:r w:rsidR="002451E6" w:rsidRPr="004213E4">
        <w:rPr>
          <w:color w:val="000000"/>
        </w:rPr>
        <w:t>rimary inputs include ‘compensation of employees’</w:t>
      </w:r>
      <w:r w:rsidR="002451E6">
        <w:t xml:space="preserve">, </w:t>
      </w:r>
      <w:r w:rsidR="002451E6" w:rsidRPr="004213E4">
        <w:rPr>
          <w:color w:val="000000"/>
        </w:rPr>
        <w:t xml:space="preserve">‘other </w:t>
      </w:r>
      <w:r w:rsidR="002451E6" w:rsidRPr="004213E4">
        <w:rPr>
          <w:color w:val="000000"/>
        </w:rPr>
        <w:lastRenderedPageBreak/>
        <w:t xml:space="preserve">value added’ </w:t>
      </w:r>
      <w:r w:rsidR="002451E6">
        <w:rPr>
          <w:color w:val="000000"/>
        </w:rPr>
        <w:t>and imp</w:t>
      </w:r>
      <w:r w:rsidR="002451E6" w:rsidRPr="004213E4">
        <w:rPr>
          <w:color w:val="000000"/>
        </w:rPr>
        <w:t>or</w:t>
      </w:r>
      <w:r w:rsidR="002451E6">
        <w:rPr>
          <w:color w:val="000000"/>
        </w:rPr>
        <w:t>t</w:t>
      </w:r>
      <w:r w:rsidR="002451E6" w:rsidRPr="004213E4">
        <w:rPr>
          <w:color w:val="000000"/>
        </w:rPr>
        <w:t>s</w:t>
      </w:r>
      <w:r w:rsidR="002451E6">
        <w:rPr>
          <w:color w:val="000000"/>
        </w:rPr>
        <w:t xml:space="preserve"> from abroad</w:t>
      </w:r>
      <w:r w:rsidR="002451E6" w:rsidRPr="004213E4">
        <w:rPr>
          <w:color w:val="000000"/>
        </w:rPr>
        <w:t>.</w:t>
      </w:r>
      <w:r w:rsidR="002451E6" w:rsidRPr="004213E4">
        <w:rPr>
          <w:b/>
          <w:color w:val="000000"/>
          <w:vertAlign w:val="superscript"/>
        </w:rPr>
        <w:t>3</w:t>
      </w:r>
      <w:r w:rsidR="006545DA">
        <w:rPr>
          <w:b/>
          <w:color w:val="000000"/>
          <w:vertAlign w:val="superscript"/>
        </w:rPr>
        <w:t>2</w:t>
      </w:r>
    </w:p>
    <w:p w:rsidR="003E4C0E" w:rsidRDefault="003E4C0E" w:rsidP="003E4C0E">
      <w:pPr>
        <w:pStyle w:val="Normaali1"/>
        <w:tabs>
          <w:tab w:val="left" w:pos="360"/>
        </w:tabs>
        <w:spacing w:line="480" w:lineRule="auto"/>
        <w:jc w:val="center"/>
        <w:rPr>
          <w:rFonts w:ascii="Times New Roman" w:hAnsi="Times New Roman"/>
          <w:lang w:val="en-GB"/>
        </w:rPr>
      </w:pPr>
      <w:r>
        <w:rPr>
          <w:rFonts w:ascii="Times New Roman" w:hAnsi="Times New Roman"/>
          <w:b/>
        </w:rPr>
        <w:t>Table 8</w:t>
      </w:r>
      <w:r>
        <w:rPr>
          <w:rFonts w:ascii="Times New Roman" w:hAnsi="Times New Roman"/>
          <w:b/>
          <w:lang w:val="en-GB"/>
        </w:rPr>
        <w:t xml:space="preserve"> near here</w:t>
      </w:r>
    </w:p>
    <w:p w:rsidR="003E4C0E" w:rsidRDefault="003E4C0E" w:rsidP="00806E97">
      <w:pPr>
        <w:widowControl w:val="0"/>
        <w:tabs>
          <w:tab w:val="left" w:pos="426"/>
        </w:tabs>
        <w:spacing w:line="480" w:lineRule="auto"/>
        <w:rPr>
          <w:color w:val="000000"/>
        </w:rPr>
      </w:pPr>
      <w:r>
        <w:rPr>
          <w:color w:val="000000"/>
        </w:rPr>
        <w:tab/>
        <w:t>Table 8 displays the results of running the following regression:</w:t>
      </w:r>
    </w:p>
    <w:p w:rsidR="003E4C0E" w:rsidRDefault="003E4C0E" w:rsidP="00806E97">
      <w:pPr>
        <w:widowControl w:val="0"/>
        <w:tabs>
          <w:tab w:val="center" w:pos="4536"/>
          <w:tab w:val="right" w:pos="8931"/>
        </w:tabs>
        <w:spacing w:line="480" w:lineRule="auto"/>
        <w:jc w:val="left"/>
      </w:pPr>
      <w:r>
        <w:rPr>
          <w:color w:val="000000"/>
        </w:rPr>
        <w:tab/>
      </w:r>
      <w:proofErr w:type="spellStart"/>
      <w:r w:rsidRPr="00335784">
        <w:rPr>
          <w:color w:val="000000"/>
        </w:rPr>
        <w:t>I</w:t>
      </w:r>
      <w:r w:rsidR="00DF5777" w:rsidRPr="00335784">
        <w:rPr>
          <w:color w:val="000000"/>
          <w:vertAlign w:val="subscript"/>
        </w:rPr>
        <w:t>j</w:t>
      </w:r>
      <w:r w:rsidRPr="00335784">
        <w:rPr>
          <w:color w:val="000000"/>
          <w:vertAlign w:val="subscript"/>
        </w:rPr>
        <w:t>r</w:t>
      </w:r>
      <w:proofErr w:type="spellEnd"/>
      <w:r w:rsidRPr="00335784">
        <w:rPr>
          <w:color w:val="000000"/>
        </w:rPr>
        <w:t xml:space="preserve"> = α + </w:t>
      </w:r>
      <w:proofErr w:type="spellStart"/>
      <w:r w:rsidRPr="00335784">
        <w:rPr>
          <w:color w:val="000000"/>
        </w:rPr>
        <w:t>βI</w:t>
      </w:r>
      <w:r w:rsidR="00DF5777" w:rsidRPr="00335784">
        <w:rPr>
          <w:color w:val="000000"/>
          <w:vertAlign w:val="subscript"/>
        </w:rPr>
        <w:t>j</w:t>
      </w:r>
      <w:r w:rsidRPr="00335784">
        <w:rPr>
          <w:color w:val="000000"/>
          <w:vertAlign w:val="subscript"/>
        </w:rPr>
        <w:t>n</w:t>
      </w:r>
      <w:proofErr w:type="spellEnd"/>
      <w:r w:rsidRPr="00335784">
        <w:rPr>
          <w:color w:val="000000"/>
        </w:rPr>
        <w:t xml:space="preserve"> + </w:t>
      </w:r>
      <w:proofErr w:type="spellStart"/>
      <w:r w:rsidRPr="00335784">
        <w:rPr>
          <w:color w:val="000000"/>
        </w:rPr>
        <w:t>ε</w:t>
      </w:r>
      <w:r w:rsidR="0062631E">
        <w:rPr>
          <w:color w:val="000000"/>
          <w:vertAlign w:val="subscript"/>
        </w:rPr>
        <w:t>jr</w:t>
      </w:r>
      <w:proofErr w:type="spellEnd"/>
      <w:r>
        <w:tab/>
        <w:t>(30)</w:t>
      </w:r>
    </w:p>
    <w:p w:rsidR="004B2862" w:rsidRDefault="003E4C0E" w:rsidP="003E4C0E">
      <w:pPr>
        <w:widowControl w:val="0"/>
        <w:spacing w:line="480" w:lineRule="auto"/>
      </w:pPr>
      <w:r>
        <w:t xml:space="preserve">where </w:t>
      </w:r>
      <w:proofErr w:type="spellStart"/>
      <w:r w:rsidRPr="00335784">
        <w:t>I</w:t>
      </w:r>
      <w:r w:rsidR="00DF5777" w:rsidRPr="00335784">
        <w:rPr>
          <w:vertAlign w:val="subscript"/>
        </w:rPr>
        <w:t>j</w:t>
      </w:r>
      <w:r w:rsidRPr="00335784">
        <w:rPr>
          <w:vertAlign w:val="subscript"/>
        </w:rPr>
        <w:t>r</w:t>
      </w:r>
      <w:proofErr w:type="spellEnd"/>
      <w:r>
        <w:t xml:space="preserve"> is a survey-based estimate of </w:t>
      </w:r>
      <w:r w:rsidR="00DF5777">
        <w:t>the</w:t>
      </w:r>
      <w:r w:rsidR="00224A37">
        <w:t xml:space="preserve"> proportion</w:t>
      </w:r>
      <w:r>
        <w:t xml:space="preserve"> of intermediate inputs (including inputs imported from other regions)</w:t>
      </w:r>
      <w:r w:rsidR="00224A37">
        <w:t xml:space="preserve"> </w:t>
      </w:r>
      <w:r w:rsidR="0035578A">
        <w:t>used by</w:t>
      </w:r>
      <w:r w:rsidR="00224A37">
        <w:t xml:space="preserve"> sector </w:t>
      </w:r>
      <w:r w:rsidR="00224A37">
        <w:rPr>
          <w:i/>
        </w:rPr>
        <w:t>j</w:t>
      </w:r>
      <w:r w:rsidR="00224A37">
        <w:t xml:space="preserve"> in region </w:t>
      </w:r>
      <w:r w:rsidR="00224A37">
        <w:rPr>
          <w:i/>
        </w:rPr>
        <w:t>r</w:t>
      </w:r>
      <w:r>
        <w:t xml:space="preserve">, </w:t>
      </w:r>
      <w:proofErr w:type="spellStart"/>
      <w:r w:rsidRPr="00335784">
        <w:t>I</w:t>
      </w:r>
      <w:r w:rsidR="00DF5777" w:rsidRPr="00335784">
        <w:rPr>
          <w:vertAlign w:val="subscript"/>
        </w:rPr>
        <w:t>j</w:t>
      </w:r>
      <w:r w:rsidRPr="00335784">
        <w:rPr>
          <w:vertAlign w:val="subscript"/>
        </w:rPr>
        <w:t>n</w:t>
      </w:r>
      <w:proofErr w:type="spellEnd"/>
      <w:r>
        <w:t xml:space="preserve"> is the corresponding national proportion of intermediate inputs, and </w:t>
      </w:r>
      <w:proofErr w:type="spellStart"/>
      <w:r w:rsidRPr="00335784">
        <w:rPr>
          <w:color w:val="000000"/>
        </w:rPr>
        <w:t>ε</w:t>
      </w:r>
      <w:r w:rsidR="0062631E">
        <w:rPr>
          <w:color w:val="000000"/>
          <w:vertAlign w:val="subscript"/>
        </w:rPr>
        <w:t>jr</w:t>
      </w:r>
      <w:proofErr w:type="spellEnd"/>
      <w:r>
        <w:t xml:space="preserve"> is a random error term.</w:t>
      </w:r>
      <w:r w:rsidR="00806E97">
        <w:t xml:space="preserve">  </w:t>
      </w:r>
      <w:r w:rsidR="00806E97">
        <w:rPr>
          <w:i/>
        </w:rPr>
        <w:t>Note:</w:t>
      </w:r>
      <w:r w:rsidR="00806E97">
        <w:t xml:space="preserve"> </w:t>
      </w:r>
      <w:r w:rsidR="00F22A5E">
        <w:t xml:space="preserve">n = 36 for </w:t>
      </w:r>
      <w:r w:rsidR="009F48B9">
        <w:t>n</w:t>
      </w:r>
      <w:r w:rsidR="00F22A5E">
        <w:t>i</w:t>
      </w:r>
      <w:r w:rsidR="009F48B9">
        <w:t>ne</w:t>
      </w:r>
      <w:r w:rsidR="00F22A5E">
        <w:t xml:space="preserve"> regions</w:t>
      </w:r>
      <w:r w:rsidR="0059608E">
        <w:t xml:space="preserve"> </w:t>
      </w:r>
      <w:r w:rsidR="00E77B41">
        <w:t>owing to the</w:t>
      </w:r>
      <w:r w:rsidR="0059608E">
        <w:t xml:space="preserve"> exclu</w:t>
      </w:r>
      <w:r w:rsidR="00E77B41">
        <w:t>sion of</w:t>
      </w:r>
      <w:r w:rsidR="0059608E">
        <w:t xml:space="preserve"> the </w:t>
      </w:r>
      <w:r w:rsidR="00E834A3">
        <w:t>H</w:t>
      </w:r>
      <w:r w:rsidR="009F48B9">
        <w:t xml:space="preserve">unting and </w:t>
      </w:r>
      <w:r w:rsidR="00E834A3">
        <w:t>f</w:t>
      </w:r>
      <w:r w:rsidR="009F48B9">
        <w:t>ishing</w:t>
      </w:r>
      <w:r w:rsidR="0059608E">
        <w:t xml:space="preserve"> sector, </w:t>
      </w:r>
      <w:r w:rsidR="009F48B9">
        <w:t xml:space="preserve">for </w:t>
      </w:r>
      <w:r w:rsidR="0059608E">
        <w:t xml:space="preserve">which </w:t>
      </w:r>
      <w:r w:rsidR="00E77B41">
        <w:t>intermediate inputs were either non-existent or extremely close to zero.</w:t>
      </w:r>
    </w:p>
    <w:p w:rsidR="000C0152" w:rsidRPr="002B77A7" w:rsidRDefault="009213F1" w:rsidP="009213F1">
      <w:pPr>
        <w:widowControl w:val="0"/>
        <w:tabs>
          <w:tab w:val="left" w:pos="426"/>
        </w:tabs>
        <w:spacing w:line="480" w:lineRule="auto"/>
        <w:rPr>
          <w:rFonts w:eastAsia="Times New Roman"/>
        </w:rPr>
      </w:pPr>
      <w:r>
        <w:tab/>
      </w:r>
      <w:r w:rsidR="002B77A7" w:rsidRPr="002B77A7">
        <w:t>While</w:t>
      </w:r>
      <w:r w:rsidR="00480013" w:rsidRPr="002B77A7">
        <w:t xml:space="preserve"> </w:t>
      </w:r>
      <w:r w:rsidR="00480013" w:rsidRPr="002B77A7">
        <w:rPr>
          <w:color w:val="000000"/>
        </w:rPr>
        <w:t>Table 8</w:t>
      </w:r>
      <w:r w:rsidR="002B77A7" w:rsidRPr="002B77A7">
        <w:rPr>
          <w:color w:val="000000"/>
        </w:rPr>
        <w:t xml:space="preserve"> shows that</w:t>
      </w:r>
      <w:r w:rsidR="000C0152" w:rsidRPr="002B77A7">
        <w:rPr>
          <w:color w:val="000000"/>
        </w:rPr>
        <w:t xml:space="preserve"> the null hypotheses </w:t>
      </w:r>
      <w:r w:rsidR="000C0152" w:rsidRPr="002B77A7">
        <w:t>α = 0 and β = 1 cannot be rejected at the 5% level</w:t>
      </w:r>
      <w:r w:rsidR="00EF53BD" w:rsidRPr="002B77A7">
        <w:rPr>
          <w:color w:val="000000"/>
        </w:rPr>
        <w:t xml:space="preserve"> f</w:t>
      </w:r>
      <w:r w:rsidR="00EF53BD" w:rsidRPr="002B77A7">
        <w:t xml:space="preserve">or twelve regions, </w:t>
      </w:r>
      <w:r w:rsidR="002B77A7" w:rsidRPr="002B77A7">
        <w:t>it also shows that</w:t>
      </w:r>
      <w:r w:rsidR="00EF53BD" w:rsidRPr="002B77A7">
        <w:t xml:space="preserve"> </w:t>
      </w:r>
      <w:r w:rsidR="00EF53BD" w:rsidRPr="002B77A7">
        <w:rPr>
          <w:color w:val="000000"/>
        </w:rPr>
        <w:t>there a</w:t>
      </w:r>
      <w:r w:rsidR="008D5548">
        <w:rPr>
          <w:color w:val="000000"/>
        </w:rPr>
        <w:t>re</w:t>
      </w:r>
      <w:r w:rsidR="00EF53BD" w:rsidRPr="002B77A7">
        <w:rPr>
          <w:color w:val="000000"/>
        </w:rPr>
        <w:t xml:space="preserve"> statistically significant difference</w:t>
      </w:r>
      <w:r w:rsidR="008D5548">
        <w:rPr>
          <w:color w:val="000000"/>
        </w:rPr>
        <w:t>s</w:t>
      </w:r>
      <w:r w:rsidR="00EF53BD" w:rsidRPr="002B77A7">
        <w:rPr>
          <w:color w:val="000000"/>
        </w:rPr>
        <w:t xml:space="preserve"> between the regional and national use of intermediate inputs</w:t>
      </w:r>
      <w:r w:rsidR="000C0152" w:rsidRPr="002B77A7">
        <w:t xml:space="preserve"> for the remaining eight</w:t>
      </w:r>
      <w:r w:rsidR="001B573A" w:rsidRPr="002B77A7">
        <w:t xml:space="preserve"> regions</w:t>
      </w:r>
      <w:r w:rsidR="00A97D6B" w:rsidRPr="002B77A7">
        <w:rPr>
          <w:color w:val="000000"/>
        </w:rPr>
        <w:t>.</w:t>
      </w:r>
      <w:r w:rsidR="00C0384F" w:rsidRPr="002B77A7">
        <w:rPr>
          <w:color w:val="000000"/>
        </w:rPr>
        <w:t xml:space="preserve">  </w:t>
      </w:r>
      <w:r w:rsidR="000C0152" w:rsidRPr="002B77A7">
        <w:rPr>
          <w:color w:val="000000"/>
        </w:rPr>
        <w:t xml:space="preserve">These differences are </w:t>
      </w:r>
      <w:r w:rsidR="00A85696">
        <w:rPr>
          <w:color w:val="000000"/>
        </w:rPr>
        <w:t>most pronounc</w:t>
      </w:r>
      <w:r w:rsidR="000C0152" w:rsidRPr="002B77A7">
        <w:rPr>
          <w:color w:val="000000"/>
        </w:rPr>
        <w:t xml:space="preserve">ed </w:t>
      </w:r>
      <w:r w:rsidR="008D5548">
        <w:rPr>
          <w:color w:val="000000"/>
        </w:rPr>
        <w:t>for</w:t>
      </w:r>
      <w:r w:rsidR="000C0152" w:rsidRPr="002B77A7">
        <w:t xml:space="preserve"> </w:t>
      </w:r>
      <w:r w:rsidR="003023AF" w:rsidRPr="002B77A7">
        <w:rPr>
          <w:rFonts w:eastAsia="Times New Roman"/>
        </w:rPr>
        <w:t>Itä-Uusimaa and Pohjois-Karjala.</w:t>
      </w:r>
    </w:p>
    <w:p w:rsidR="00BC3402" w:rsidRDefault="003023AF" w:rsidP="009213F1">
      <w:pPr>
        <w:widowControl w:val="0"/>
        <w:tabs>
          <w:tab w:val="left" w:pos="426"/>
        </w:tabs>
        <w:spacing w:line="480" w:lineRule="auto"/>
        <w:rPr>
          <w:color w:val="000000"/>
        </w:rPr>
      </w:pPr>
      <w:r>
        <w:rPr>
          <w:rFonts w:eastAsia="Times New Roman"/>
          <w:sz w:val="22"/>
          <w:szCs w:val="22"/>
        </w:rPr>
        <w:tab/>
      </w:r>
      <w:r w:rsidRPr="002B77A7">
        <w:rPr>
          <w:rFonts w:eastAsia="Times New Roman"/>
        </w:rPr>
        <w:t xml:space="preserve">However, </w:t>
      </w:r>
      <w:r w:rsidR="00480013" w:rsidRPr="002B77A7">
        <w:rPr>
          <w:rFonts w:eastAsia="Times New Roman"/>
        </w:rPr>
        <w:t>an in</w:t>
      </w:r>
      <w:r w:rsidR="00AC6F14">
        <w:rPr>
          <w:rFonts w:eastAsia="Times New Roman"/>
        </w:rPr>
        <w:t>spec</w:t>
      </w:r>
      <w:r w:rsidR="00480013" w:rsidRPr="002B77A7">
        <w:rPr>
          <w:rFonts w:eastAsia="Times New Roman"/>
        </w:rPr>
        <w:t>tion of the plots of actual versus fitted values</w:t>
      </w:r>
      <w:r w:rsidR="00C57493" w:rsidRPr="002B77A7">
        <w:rPr>
          <w:rFonts w:eastAsia="Times New Roman"/>
        </w:rPr>
        <w:t xml:space="preserve"> revealed that several regressions had </w:t>
      </w:r>
      <w:r w:rsidR="0014346C" w:rsidRPr="002B77A7">
        <w:rPr>
          <w:rFonts w:eastAsia="Times New Roman"/>
        </w:rPr>
        <w:t xml:space="preserve">obviously </w:t>
      </w:r>
      <w:r w:rsidR="00C57493" w:rsidRPr="002B77A7">
        <w:rPr>
          <w:rFonts w:eastAsia="Times New Roman"/>
        </w:rPr>
        <w:t xml:space="preserve">been </w:t>
      </w:r>
      <w:r w:rsidR="0014346C" w:rsidRPr="002B77A7">
        <w:rPr>
          <w:rFonts w:eastAsia="Times New Roman"/>
        </w:rPr>
        <w:t>affect</w:t>
      </w:r>
      <w:r w:rsidR="00C57493" w:rsidRPr="002B77A7">
        <w:rPr>
          <w:rFonts w:eastAsia="Times New Roman"/>
        </w:rPr>
        <w:t>ed by extreme observations.</w:t>
      </w:r>
      <w:r w:rsidR="001A223C">
        <w:rPr>
          <w:rFonts w:eastAsia="Times New Roman"/>
        </w:rPr>
        <w:t xml:space="preserve">  This visual examination was backed up by </w:t>
      </w:r>
      <w:r w:rsidR="00963F52">
        <w:rPr>
          <w:rFonts w:eastAsia="Times New Roman"/>
        </w:rPr>
        <w:t>an appraisal</w:t>
      </w:r>
      <w:r w:rsidR="001A223C">
        <w:rPr>
          <w:rFonts w:eastAsia="Times New Roman"/>
        </w:rPr>
        <w:t xml:space="preserve"> of the standardized residuals.</w:t>
      </w:r>
      <w:r w:rsidR="00C57493" w:rsidRPr="002B77A7">
        <w:rPr>
          <w:rFonts w:eastAsia="Times New Roman"/>
        </w:rPr>
        <w:t xml:space="preserve">  </w:t>
      </w:r>
      <w:r w:rsidR="00361A08" w:rsidRPr="002B77A7">
        <w:rPr>
          <w:rFonts w:eastAsia="Times New Roman"/>
        </w:rPr>
        <w:t>Most notably</w:t>
      </w:r>
      <w:r w:rsidR="006153C0" w:rsidRPr="002B77A7">
        <w:rPr>
          <w:rFonts w:eastAsia="Times New Roman"/>
        </w:rPr>
        <w:t>,</w:t>
      </w:r>
      <w:r w:rsidR="00476CD7" w:rsidRPr="002B77A7">
        <w:rPr>
          <w:rFonts w:eastAsia="Times New Roman"/>
        </w:rPr>
        <w:t xml:space="preserve"> in</w:t>
      </w:r>
      <w:r w:rsidR="006153C0" w:rsidRPr="002B77A7">
        <w:rPr>
          <w:rFonts w:eastAsia="Times New Roman"/>
        </w:rPr>
        <w:t xml:space="preserve"> </w:t>
      </w:r>
      <w:r w:rsidR="00476CD7" w:rsidRPr="002B77A7">
        <w:rPr>
          <w:rFonts w:eastAsia="Times New Roman"/>
        </w:rPr>
        <w:t xml:space="preserve">Pohjois-Karjala, </w:t>
      </w:r>
      <w:r w:rsidR="00B4686A" w:rsidRPr="002B77A7">
        <w:rPr>
          <w:rFonts w:eastAsia="Times New Roman"/>
        </w:rPr>
        <w:t xml:space="preserve">the </w:t>
      </w:r>
      <w:r w:rsidR="00476CD7" w:rsidRPr="002B77A7">
        <w:rPr>
          <w:rFonts w:eastAsia="Times New Roman"/>
        </w:rPr>
        <w:t xml:space="preserve">presence of the </w:t>
      </w:r>
      <w:r w:rsidR="00B4686A" w:rsidRPr="002B77A7">
        <w:rPr>
          <w:rFonts w:eastAsia="Times New Roman"/>
        </w:rPr>
        <w:t xml:space="preserve">atypical sectors 6 (Meat and </w:t>
      </w:r>
      <w:r w:rsidR="00E834A3">
        <w:rPr>
          <w:rFonts w:eastAsia="Times New Roman"/>
        </w:rPr>
        <w:t>f</w:t>
      </w:r>
      <w:r w:rsidR="00B4686A" w:rsidRPr="002B77A7">
        <w:rPr>
          <w:rFonts w:eastAsia="Times New Roman"/>
        </w:rPr>
        <w:t xml:space="preserve">ish) and 7 (Fruit and </w:t>
      </w:r>
      <w:r w:rsidR="00E834A3">
        <w:rPr>
          <w:rFonts w:eastAsia="Times New Roman"/>
        </w:rPr>
        <w:t>v</w:t>
      </w:r>
      <w:r w:rsidR="00B4686A" w:rsidRPr="002B77A7">
        <w:rPr>
          <w:rFonts w:eastAsia="Times New Roman"/>
        </w:rPr>
        <w:t xml:space="preserve">egetables; </w:t>
      </w:r>
      <w:r w:rsidR="00E834A3">
        <w:rPr>
          <w:rFonts w:eastAsia="Times New Roman"/>
        </w:rPr>
        <w:t>a</w:t>
      </w:r>
      <w:r w:rsidR="00B4686A" w:rsidRPr="002B77A7">
        <w:rPr>
          <w:rFonts w:eastAsia="Times New Roman"/>
        </w:rPr>
        <w:t xml:space="preserve">nimal and vegetable oils) had the effect of </w:t>
      </w:r>
      <w:r w:rsidR="00476CD7" w:rsidRPr="002B77A7">
        <w:rPr>
          <w:rFonts w:eastAsia="Times New Roman"/>
        </w:rPr>
        <w:t>sharply increasing</w:t>
      </w:r>
      <w:r w:rsidR="00B4686A" w:rsidRPr="002B77A7">
        <w:rPr>
          <w:rFonts w:eastAsia="Times New Roman"/>
        </w:rPr>
        <w:t xml:space="preserve"> the </w:t>
      </w:r>
      <w:r w:rsidR="00A85696">
        <w:rPr>
          <w:rFonts w:eastAsia="Times New Roman"/>
        </w:rPr>
        <w:t>slope</w:t>
      </w:r>
      <w:r w:rsidR="00476CD7" w:rsidRPr="002B77A7">
        <w:rPr>
          <w:rFonts w:eastAsia="Times New Roman"/>
        </w:rPr>
        <w:t xml:space="preserve"> of the </w:t>
      </w:r>
      <w:r w:rsidR="00B4686A" w:rsidRPr="002B77A7">
        <w:rPr>
          <w:rFonts w:eastAsia="Times New Roman"/>
        </w:rPr>
        <w:t>regression line.</w:t>
      </w:r>
      <w:r w:rsidR="00EE47BC" w:rsidRPr="002B77A7">
        <w:rPr>
          <w:b/>
          <w:color w:val="000000"/>
          <w:vertAlign w:val="superscript"/>
        </w:rPr>
        <w:t>3</w:t>
      </w:r>
      <w:r w:rsidR="006545DA">
        <w:rPr>
          <w:b/>
          <w:color w:val="000000"/>
          <w:vertAlign w:val="superscript"/>
        </w:rPr>
        <w:t>3</w:t>
      </w:r>
      <w:r w:rsidR="00B4686A" w:rsidRPr="002B77A7">
        <w:rPr>
          <w:rFonts w:eastAsia="Times New Roman"/>
        </w:rPr>
        <w:t xml:space="preserve">  For this region, </w:t>
      </w:r>
      <w:r w:rsidR="00B4686A" w:rsidRPr="002B77A7">
        <w:rPr>
          <w:color w:val="000000"/>
        </w:rPr>
        <w:t>I</w:t>
      </w:r>
      <w:r w:rsidR="00B4686A" w:rsidRPr="002B77A7">
        <w:rPr>
          <w:color w:val="000000"/>
          <w:vertAlign w:val="subscript"/>
        </w:rPr>
        <w:t>6r</w:t>
      </w:r>
      <w:r w:rsidR="00B4686A" w:rsidRPr="002B77A7">
        <w:rPr>
          <w:color w:val="000000"/>
        </w:rPr>
        <w:t xml:space="preserve"> = 1.2277 and I</w:t>
      </w:r>
      <w:r w:rsidR="00B4686A" w:rsidRPr="002B77A7">
        <w:rPr>
          <w:color w:val="000000"/>
          <w:vertAlign w:val="subscript"/>
        </w:rPr>
        <w:t>7r</w:t>
      </w:r>
      <w:r w:rsidR="00B4686A" w:rsidRPr="002B77A7">
        <w:rPr>
          <w:color w:val="000000"/>
        </w:rPr>
        <w:t xml:space="preserve"> = 1.1742, whereas I</w:t>
      </w:r>
      <w:r w:rsidR="00B4686A" w:rsidRPr="002B77A7">
        <w:rPr>
          <w:color w:val="000000"/>
          <w:vertAlign w:val="subscript"/>
        </w:rPr>
        <w:t>6n</w:t>
      </w:r>
      <w:r w:rsidR="00B4686A" w:rsidRPr="002B77A7">
        <w:rPr>
          <w:color w:val="000000"/>
        </w:rPr>
        <w:t xml:space="preserve"> = 0.8365 and I</w:t>
      </w:r>
      <w:r w:rsidR="00B4686A" w:rsidRPr="002B77A7">
        <w:rPr>
          <w:color w:val="000000"/>
          <w:vertAlign w:val="subscript"/>
        </w:rPr>
        <w:t>7n</w:t>
      </w:r>
      <w:r w:rsidR="00B4686A" w:rsidRPr="002B77A7">
        <w:rPr>
          <w:color w:val="000000"/>
        </w:rPr>
        <w:t xml:space="preserve"> = 0.8376.</w:t>
      </w:r>
      <w:r w:rsidR="0014528A" w:rsidRPr="002B77A7">
        <w:rPr>
          <w:color w:val="000000"/>
        </w:rPr>
        <w:t xml:space="preserve"> </w:t>
      </w:r>
      <w:r w:rsidR="00B4686A" w:rsidRPr="002B77A7">
        <w:rPr>
          <w:color w:val="000000"/>
        </w:rPr>
        <w:t xml:space="preserve"> </w:t>
      </w:r>
      <w:r w:rsidR="00A24F42" w:rsidRPr="002B77A7">
        <w:rPr>
          <w:color w:val="000000"/>
        </w:rPr>
        <w:t>The fact that both I</w:t>
      </w:r>
      <w:r w:rsidR="00A24F42" w:rsidRPr="002B77A7">
        <w:rPr>
          <w:color w:val="000000"/>
          <w:vertAlign w:val="subscript"/>
        </w:rPr>
        <w:t>6r</w:t>
      </w:r>
      <w:r w:rsidR="00A24F42" w:rsidRPr="002B77A7">
        <w:rPr>
          <w:color w:val="000000"/>
        </w:rPr>
        <w:t xml:space="preserve"> and I</w:t>
      </w:r>
      <w:r w:rsidR="00A24F42" w:rsidRPr="002B77A7">
        <w:rPr>
          <w:color w:val="000000"/>
          <w:vertAlign w:val="subscript"/>
        </w:rPr>
        <w:t>7r</w:t>
      </w:r>
      <w:r w:rsidR="00A24F42" w:rsidRPr="002B77A7">
        <w:rPr>
          <w:color w:val="000000"/>
        </w:rPr>
        <w:t xml:space="preserve"> exceed unity can be explained by the </w:t>
      </w:r>
      <w:r w:rsidR="004A6BEA" w:rsidRPr="002B77A7">
        <w:rPr>
          <w:color w:val="000000"/>
        </w:rPr>
        <w:t>existence</w:t>
      </w:r>
      <w:r w:rsidR="00A24F42" w:rsidRPr="002B77A7">
        <w:rPr>
          <w:color w:val="000000"/>
        </w:rPr>
        <w:t xml:space="preserve"> of subsidies.</w:t>
      </w:r>
      <w:r w:rsidR="00034E51" w:rsidRPr="002B77A7">
        <w:rPr>
          <w:b/>
          <w:color w:val="000000"/>
          <w:vertAlign w:val="superscript"/>
        </w:rPr>
        <w:t>3</w:t>
      </w:r>
      <w:r w:rsidR="006545DA">
        <w:rPr>
          <w:b/>
          <w:color w:val="000000"/>
          <w:vertAlign w:val="superscript"/>
        </w:rPr>
        <w:t>4</w:t>
      </w:r>
      <w:r w:rsidR="00A24F42" w:rsidRPr="002B77A7">
        <w:rPr>
          <w:color w:val="000000"/>
        </w:rPr>
        <w:t xml:space="preserve">  </w:t>
      </w:r>
      <w:r w:rsidR="003278B6" w:rsidRPr="002B77A7">
        <w:rPr>
          <w:color w:val="000000"/>
        </w:rPr>
        <w:t>By contrast</w:t>
      </w:r>
      <w:r w:rsidR="0014528A" w:rsidRPr="002B77A7">
        <w:rPr>
          <w:color w:val="000000"/>
        </w:rPr>
        <w:t xml:space="preserve">, </w:t>
      </w:r>
      <w:r w:rsidR="00361A08" w:rsidRPr="002B77A7">
        <w:rPr>
          <w:color w:val="000000"/>
        </w:rPr>
        <w:t>I</w:t>
      </w:r>
      <w:r w:rsidR="00361A08" w:rsidRPr="002B77A7">
        <w:rPr>
          <w:color w:val="000000"/>
          <w:vertAlign w:val="subscript"/>
        </w:rPr>
        <w:t>6r</w:t>
      </w:r>
      <w:r w:rsidR="00361A08" w:rsidRPr="002B77A7">
        <w:rPr>
          <w:color w:val="000000"/>
        </w:rPr>
        <w:t xml:space="preserve"> = 0.5553 </w:t>
      </w:r>
      <w:r w:rsidR="00B760C6" w:rsidRPr="002B77A7">
        <w:rPr>
          <w:rFonts w:eastAsia="Times New Roman"/>
        </w:rPr>
        <w:t>in Itä-Uusimaa,</w:t>
      </w:r>
      <w:r w:rsidR="00B4686A" w:rsidRPr="002B77A7">
        <w:rPr>
          <w:rFonts w:eastAsia="Times New Roman"/>
        </w:rPr>
        <w:t xml:space="preserve"> </w:t>
      </w:r>
      <w:r w:rsidR="002D1A77" w:rsidRPr="002B77A7">
        <w:rPr>
          <w:rFonts w:eastAsia="Times New Roman"/>
        </w:rPr>
        <w:t xml:space="preserve">resulting in a relatively flat </w:t>
      </w:r>
      <w:r w:rsidR="00B4686A" w:rsidRPr="002B77A7">
        <w:rPr>
          <w:rFonts w:eastAsia="Times New Roman"/>
        </w:rPr>
        <w:t>regression line</w:t>
      </w:r>
      <w:r w:rsidR="00B4686A" w:rsidRPr="002B77A7">
        <w:rPr>
          <w:color w:val="000000"/>
        </w:rPr>
        <w:t>.</w:t>
      </w:r>
      <w:r w:rsidR="00EE47BC" w:rsidRPr="002B77A7">
        <w:rPr>
          <w:b/>
          <w:color w:val="000000"/>
          <w:vertAlign w:val="superscript"/>
        </w:rPr>
        <w:t>3</w:t>
      </w:r>
      <w:r w:rsidR="006545DA">
        <w:rPr>
          <w:b/>
          <w:color w:val="000000"/>
          <w:vertAlign w:val="superscript"/>
        </w:rPr>
        <w:t>5</w:t>
      </w:r>
      <w:r w:rsidR="003278B6" w:rsidRPr="002B77A7">
        <w:rPr>
          <w:color w:val="000000"/>
        </w:rPr>
        <w:t xml:space="preserve">  T</w:t>
      </w:r>
      <w:r w:rsidR="003278B6" w:rsidRPr="002B77A7">
        <w:rPr>
          <w:rFonts w:eastAsia="Times New Roman"/>
        </w:rPr>
        <w:t xml:space="preserve">he </w:t>
      </w:r>
      <w:r w:rsidR="00CE0E1E" w:rsidRPr="002B77A7">
        <w:rPr>
          <w:rFonts w:eastAsia="Times New Roman"/>
        </w:rPr>
        <w:t>data for</w:t>
      </w:r>
      <w:r w:rsidR="003278B6" w:rsidRPr="002B77A7">
        <w:rPr>
          <w:rFonts w:eastAsia="Times New Roman"/>
        </w:rPr>
        <w:t xml:space="preserve"> sectors 6 and 7 also </w:t>
      </w:r>
      <w:r w:rsidR="003278B6" w:rsidRPr="002B77A7">
        <w:rPr>
          <w:color w:val="000000"/>
        </w:rPr>
        <w:t>had a</w:t>
      </w:r>
      <w:r w:rsidR="003278B6">
        <w:rPr>
          <w:color w:val="000000"/>
        </w:rPr>
        <w:t xml:space="preserve"> </w:t>
      </w:r>
      <w:r w:rsidR="005F3FAF">
        <w:rPr>
          <w:color w:val="000000"/>
        </w:rPr>
        <w:t>marked</w:t>
      </w:r>
      <w:r w:rsidR="003278B6">
        <w:rPr>
          <w:color w:val="000000"/>
        </w:rPr>
        <w:t xml:space="preserve"> impact on the re</w:t>
      </w:r>
      <w:r w:rsidR="00CE0E1E">
        <w:rPr>
          <w:color w:val="000000"/>
        </w:rPr>
        <w:t>sult</w:t>
      </w:r>
      <w:r w:rsidR="00164511">
        <w:rPr>
          <w:color w:val="000000"/>
        </w:rPr>
        <w:t>s for several other regions.</w:t>
      </w:r>
    </w:p>
    <w:p w:rsidR="003023AF" w:rsidRDefault="00BC3402" w:rsidP="009213F1">
      <w:pPr>
        <w:widowControl w:val="0"/>
        <w:tabs>
          <w:tab w:val="left" w:pos="426"/>
        </w:tabs>
        <w:spacing w:line="480" w:lineRule="auto"/>
        <w:rPr>
          <w:rFonts w:eastAsia="Times New Roman"/>
          <w:sz w:val="22"/>
          <w:szCs w:val="22"/>
        </w:rPr>
      </w:pPr>
      <w:r>
        <w:rPr>
          <w:color w:val="000000"/>
        </w:rPr>
        <w:tab/>
      </w:r>
      <w:r w:rsidR="00CE0E1E">
        <w:rPr>
          <w:color w:val="000000"/>
        </w:rPr>
        <w:t>Another problematic sector was</w:t>
      </w:r>
      <w:r w:rsidR="00455C45">
        <w:rPr>
          <w:color w:val="000000"/>
        </w:rPr>
        <w:t xml:space="preserve"> </w:t>
      </w:r>
      <w:r w:rsidR="00455C45">
        <w:t>Hunting and fishing</w:t>
      </w:r>
      <w:r w:rsidR="00CE0E1E">
        <w:t xml:space="preserve">.  Although this sector </w:t>
      </w:r>
      <w:r w:rsidR="003278B6">
        <w:t xml:space="preserve">was </w:t>
      </w:r>
      <w:r w:rsidR="00CE0E1E">
        <w:t>ex</w:t>
      </w:r>
      <w:r w:rsidR="003278B6">
        <w:t>cluded</w:t>
      </w:r>
      <w:r w:rsidR="00CE0E1E">
        <w:t xml:space="preserve"> from the analysis in nine cases, its presence </w:t>
      </w:r>
      <w:r w:rsidR="00A426A8">
        <w:t xml:space="preserve">elsewhere </w:t>
      </w:r>
      <w:r w:rsidR="00CE0E1E">
        <w:t>did cause some problems in terms of unduly influencing the position of the regression line</w:t>
      </w:r>
      <w:r w:rsidR="00B77606">
        <w:t>s</w:t>
      </w:r>
      <w:r w:rsidR="00CE0E1E">
        <w:t xml:space="preserve"> </w:t>
      </w:r>
      <w:r w:rsidR="00A426A8">
        <w:t xml:space="preserve">in several regions </w:t>
      </w:r>
      <w:r w:rsidR="00CE0E1E">
        <w:t xml:space="preserve">and </w:t>
      </w:r>
      <w:r w:rsidR="00834850">
        <w:t>worsening</w:t>
      </w:r>
      <w:r w:rsidR="00CE0E1E">
        <w:t xml:space="preserve"> </w:t>
      </w:r>
      <w:r w:rsidR="00A426A8">
        <w:t>the</w:t>
      </w:r>
      <w:r w:rsidR="00CE0E1E">
        <w:t xml:space="preserve"> </w:t>
      </w:r>
      <w:r w:rsidR="00CE0E1E">
        <w:lastRenderedPageBreak/>
        <w:t>goodness of fit.</w:t>
      </w:r>
      <w:r w:rsidR="006D0DA6">
        <w:rPr>
          <w:b/>
          <w:vertAlign w:val="superscript"/>
        </w:rPr>
        <w:t>3</w:t>
      </w:r>
      <w:r w:rsidR="006545DA">
        <w:rPr>
          <w:b/>
          <w:vertAlign w:val="superscript"/>
        </w:rPr>
        <w:t>6</w:t>
      </w:r>
      <w:r w:rsidR="00CE0E1E">
        <w:t xml:space="preserve">  </w:t>
      </w:r>
      <w:r w:rsidR="00795BC1">
        <w:t>Likewise</w:t>
      </w:r>
      <w:r w:rsidR="00CE0E1E">
        <w:t xml:space="preserve">, </w:t>
      </w:r>
      <w:r w:rsidR="00A86395">
        <w:t>the rather low R</w:t>
      </w:r>
      <w:r w:rsidR="00A86395">
        <w:rPr>
          <w:vertAlign w:val="superscript"/>
        </w:rPr>
        <w:t>2</w:t>
      </w:r>
      <w:r w:rsidR="00A86395">
        <w:t xml:space="preserve"> for Ahvenanmaa can be attributed to the </w:t>
      </w:r>
      <w:r w:rsidR="009B41C8">
        <w:t>outlying</w:t>
      </w:r>
      <w:r w:rsidR="00A86395">
        <w:t xml:space="preserve"> observations for</w:t>
      </w:r>
      <w:r w:rsidR="008F3BEA">
        <w:t xml:space="preserve"> three sectors</w:t>
      </w:r>
      <w:r w:rsidR="008F3BEA" w:rsidRPr="00FD000E">
        <w:t>:</w:t>
      </w:r>
      <w:r w:rsidR="00A86395" w:rsidRPr="00FD000E">
        <w:t xml:space="preserve"> </w:t>
      </w:r>
      <w:r w:rsidR="006F55DE" w:rsidRPr="00FD000E">
        <w:rPr>
          <w:rFonts w:eastAsia="Times New Roman"/>
        </w:rPr>
        <w:t>sector 7, as d</w:t>
      </w:r>
      <w:r w:rsidR="00454323" w:rsidRPr="00FD000E">
        <w:rPr>
          <w:rFonts w:eastAsia="Times New Roman"/>
        </w:rPr>
        <w:t>efin</w:t>
      </w:r>
      <w:r w:rsidR="006F55DE" w:rsidRPr="00FD000E">
        <w:rPr>
          <w:rFonts w:eastAsia="Times New Roman"/>
        </w:rPr>
        <w:t>ed above;</w:t>
      </w:r>
      <w:r w:rsidR="006F55DE">
        <w:t xml:space="preserve"> </w:t>
      </w:r>
      <w:r w:rsidR="00A86395">
        <w:t xml:space="preserve">Electricity, </w:t>
      </w:r>
      <w:r w:rsidR="00FC4EC7">
        <w:t xml:space="preserve">gas and </w:t>
      </w:r>
      <w:r w:rsidR="00A86395">
        <w:t>heat supply</w:t>
      </w:r>
      <w:r w:rsidR="006F55DE">
        <w:t>;</w:t>
      </w:r>
      <w:r w:rsidR="00A86395">
        <w:t xml:space="preserve"> </w:t>
      </w:r>
      <w:r w:rsidR="006F55DE">
        <w:t>and</w:t>
      </w:r>
      <w:r w:rsidR="008F3BEA">
        <w:t xml:space="preserve"> </w:t>
      </w:r>
      <w:r w:rsidR="00A86395">
        <w:t>Construction and maintenance of railways, highways and roads</w:t>
      </w:r>
      <w:r w:rsidR="008F3BEA">
        <w:rPr>
          <w:rFonts w:eastAsia="Times New Roman"/>
          <w:sz w:val="22"/>
          <w:szCs w:val="22"/>
        </w:rPr>
        <w:t>.</w:t>
      </w:r>
      <w:r w:rsidR="00EE47BC" w:rsidRPr="002B77A7">
        <w:rPr>
          <w:b/>
          <w:color w:val="000000"/>
          <w:vertAlign w:val="superscript"/>
        </w:rPr>
        <w:t>3</w:t>
      </w:r>
      <w:r w:rsidR="006545DA">
        <w:rPr>
          <w:b/>
          <w:color w:val="000000"/>
          <w:vertAlign w:val="superscript"/>
        </w:rPr>
        <w:t>7</w:t>
      </w:r>
    </w:p>
    <w:p w:rsidR="000C0152" w:rsidRDefault="00ED526C" w:rsidP="009213F1">
      <w:pPr>
        <w:widowControl w:val="0"/>
        <w:tabs>
          <w:tab w:val="left" w:pos="426"/>
        </w:tabs>
        <w:spacing w:line="480" w:lineRule="auto"/>
      </w:pPr>
      <w:r w:rsidRPr="002B77A7">
        <w:rPr>
          <w:rFonts w:eastAsia="Times New Roman"/>
        </w:rPr>
        <w:tab/>
      </w:r>
      <w:r w:rsidR="00655519">
        <w:rPr>
          <w:rFonts w:eastAsia="Times New Roman"/>
        </w:rPr>
        <w:t>Nevertheless, a</w:t>
      </w:r>
      <w:r w:rsidR="00714F88" w:rsidRPr="002B77A7">
        <w:rPr>
          <w:rFonts w:eastAsia="Times New Roman"/>
        </w:rPr>
        <w:t>part from</w:t>
      </w:r>
      <w:r w:rsidR="009B625A" w:rsidRPr="002B77A7">
        <w:rPr>
          <w:rFonts w:eastAsia="Times New Roman"/>
        </w:rPr>
        <w:t xml:space="preserve"> </w:t>
      </w:r>
      <w:r w:rsidR="00D101EF" w:rsidRPr="002B77A7">
        <w:rPr>
          <w:rFonts w:eastAsia="Times New Roman"/>
        </w:rPr>
        <w:t>a</w:t>
      </w:r>
      <w:r w:rsidR="009B625A" w:rsidRPr="002B77A7">
        <w:rPr>
          <w:rFonts w:eastAsia="Times New Roman"/>
        </w:rPr>
        <w:t xml:space="preserve"> </w:t>
      </w:r>
      <w:r w:rsidR="00655519">
        <w:rPr>
          <w:rFonts w:eastAsia="Times New Roman"/>
        </w:rPr>
        <w:t>few</w:t>
      </w:r>
      <w:r w:rsidR="009B625A" w:rsidRPr="002B77A7">
        <w:rPr>
          <w:rFonts w:eastAsia="Times New Roman"/>
        </w:rPr>
        <w:t xml:space="preserve"> atypical </w:t>
      </w:r>
      <w:r w:rsidR="00714F88" w:rsidRPr="002B77A7">
        <w:rPr>
          <w:rFonts w:eastAsia="Times New Roman"/>
        </w:rPr>
        <w:t xml:space="preserve">observations, the plots </w:t>
      </w:r>
      <w:r w:rsidR="00D101EF" w:rsidRPr="002B77A7">
        <w:rPr>
          <w:rFonts w:eastAsia="Times New Roman"/>
        </w:rPr>
        <w:t xml:space="preserve">for </w:t>
      </w:r>
      <w:r w:rsidR="00BD6AC8">
        <w:rPr>
          <w:rFonts w:eastAsia="Times New Roman"/>
        </w:rPr>
        <w:t>most</w:t>
      </w:r>
      <w:r w:rsidR="00D101EF" w:rsidRPr="002B77A7">
        <w:rPr>
          <w:rFonts w:eastAsia="Times New Roman"/>
        </w:rPr>
        <w:t xml:space="preserve"> region</w:t>
      </w:r>
      <w:r w:rsidR="00BD6AC8">
        <w:rPr>
          <w:rFonts w:eastAsia="Times New Roman"/>
        </w:rPr>
        <w:t>s</w:t>
      </w:r>
      <w:r w:rsidR="00D101EF" w:rsidRPr="002B77A7">
        <w:rPr>
          <w:rFonts w:eastAsia="Times New Roman"/>
        </w:rPr>
        <w:t xml:space="preserve"> </w:t>
      </w:r>
      <w:r w:rsidR="00714F88" w:rsidRPr="002B77A7">
        <w:rPr>
          <w:rFonts w:eastAsia="Times New Roman"/>
        </w:rPr>
        <w:t>exhibited a fairly close relationship approximating a 45° line</w:t>
      </w:r>
      <w:r w:rsidR="00D101EF" w:rsidRPr="002B77A7">
        <w:rPr>
          <w:rFonts w:eastAsia="Times New Roman"/>
        </w:rPr>
        <w:t xml:space="preserve">, which suggests that it is reasonable to assume the same mix of intermediate and </w:t>
      </w:r>
      <w:r w:rsidR="0062631E">
        <w:rPr>
          <w:rFonts w:eastAsia="Times New Roman"/>
        </w:rPr>
        <w:t>primary inputs across regions.</w:t>
      </w:r>
    </w:p>
    <w:p w:rsidR="00913B74" w:rsidRDefault="00913B74" w:rsidP="009213F1">
      <w:pPr>
        <w:widowControl w:val="0"/>
        <w:tabs>
          <w:tab w:val="left" w:pos="426"/>
        </w:tabs>
        <w:spacing w:line="480" w:lineRule="auto"/>
      </w:pPr>
    </w:p>
    <w:p w:rsidR="0045465B" w:rsidRDefault="0045465B" w:rsidP="0045465B">
      <w:pPr>
        <w:widowControl w:val="0"/>
        <w:jc w:val="center"/>
        <w:rPr>
          <w:b/>
        </w:rPr>
      </w:pPr>
      <w:r>
        <w:rPr>
          <w:b/>
        </w:rPr>
        <w:t>CONCLUSION</w:t>
      </w:r>
    </w:p>
    <w:p w:rsidR="0045465B" w:rsidRDefault="0045465B" w:rsidP="0045465B">
      <w:pPr>
        <w:rPr>
          <w:b/>
        </w:rPr>
      </w:pPr>
    </w:p>
    <w:p w:rsidR="0045465B" w:rsidRDefault="0045465B" w:rsidP="0045465B">
      <w:pPr>
        <w:widowControl w:val="0"/>
        <w:tabs>
          <w:tab w:val="left" w:pos="360"/>
        </w:tabs>
        <w:spacing w:line="480" w:lineRule="auto"/>
      </w:pPr>
      <w:r>
        <w:t>Regional analysts rarely have the necessary regional data to build input</w:t>
      </w:r>
      <w:r>
        <w:sym w:font="Symbol" w:char="002D"/>
      </w:r>
      <w:r>
        <w:t>output models directly and so are forced to resort to indirect methods of estimation.  A straightforward and inexpensive approach is to use regional and national sectoral employment (or output) figures to compute a set of</w:t>
      </w:r>
      <w:r>
        <w:rPr>
          <w:i/>
        </w:rPr>
        <w:t xml:space="preserve"> </w:t>
      </w:r>
      <w:r>
        <w:t xml:space="preserve">location quotients (LQs).  Our focus has been on the FLQ adjustment formula proposed by </w:t>
      </w:r>
      <w:r>
        <w:rPr>
          <w:color w:val="000000"/>
        </w:rPr>
        <w:t xml:space="preserve">Flegg and Webber (1997), which takes </w:t>
      </w:r>
      <w:r>
        <w:t xml:space="preserve">the relative size of a region explicitly into account.  In this way, the FLQ seeks to minimize the strong upward bias in the estimated sectoral multipliers that characterizes conventional LQs such as the simple LQ (SLQ) and </w:t>
      </w:r>
      <w:r>
        <w:rPr>
          <w:color w:val="000000"/>
        </w:rPr>
        <w:t>cross-industry LQ (CILQ).</w:t>
      </w:r>
    </w:p>
    <w:p w:rsidR="0045465B" w:rsidRDefault="0045465B" w:rsidP="0045465B">
      <w:pPr>
        <w:widowControl w:val="0"/>
        <w:tabs>
          <w:tab w:val="left" w:pos="426"/>
        </w:tabs>
        <w:spacing w:line="480" w:lineRule="auto"/>
      </w:pPr>
      <w:r>
        <w:rPr>
          <w:b/>
        </w:rPr>
        <w:tab/>
      </w:r>
      <w:r>
        <w:t xml:space="preserve">A difficulty in applying the FLQ is the need to specify the value of an unknown parameter, </w:t>
      </w:r>
      <w:r>
        <w:rPr>
          <w:color w:val="000000"/>
        </w:rPr>
        <w:t>δ</w:t>
      </w:r>
      <w:r>
        <w:t>.</w:t>
      </w:r>
      <w:r>
        <w:rPr>
          <w:color w:val="000000"/>
        </w:rPr>
        <w:t xml:space="preserve">  Some survey-based evidence</w:t>
      </w:r>
      <w:r>
        <w:t xml:space="preserve"> on its possible value</w:t>
      </w:r>
      <w:r>
        <w:rPr>
          <w:color w:val="000000"/>
        </w:rPr>
        <w:t xml:space="preserve"> is presented for Scotland by Flegg and Webber (2000) and for the Italian Marche region</w:t>
      </w:r>
      <w:r w:rsidRPr="004631F6">
        <w:rPr>
          <w:color w:val="000000"/>
        </w:rPr>
        <w:t xml:space="preserve"> </w:t>
      </w:r>
      <w:r>
        <w:rPr>
          <w:color w:val="000000"/>
        </w:rPr>
        <w:t>by Bonfiglio (2009).  However, the generality of results obtained from a single region is always open to question, so our primary aim has been to provide more guidance, drawn from a detailed examination of a wide range of regions of different size, on the appropriate</w:t>
      </w:r>
      <w:r>
        <w:t xml:space="preserve"> value(s) of </w:t>
      </w:r>
      <w:r>
        <w:rPr>
          <w:color w:val="000000"/>
        </w:rPr>
        <w:t>δ</w:t>
      </w:r>
      <w:r>
        <w:t>.</w:t>
      </w:r>
    </w:p>
    <w:p w:rsidR="0045465B" w:rsidRDefault="0045465B" w:rsidP="0045465B">
      <w:pPr>
        <w:widowControl w:val="0"/>
        <w:tabs>
          <w:tab w:val="left" w:pos="426"/>
        </w:tabs>
        <w:spacing w:line="480" w:lineRule="auto"/>
      </w:pPr>
      <w:r>
        <w:tab/>
        <w:t>In our case study, we examined data for all 20 Finnish regions, which range in size from 0.5% to 29.7% of national output.  We used the Finnish survey-based national and regional input</w:t>
      </w:r>
      <w:r>
        <w:sym w:font="Symbol" w:char="002D"/>
      </w:r>
      <w:r>
        <w:t xml:space="preserve">output tables for 1995, which identify 37 separate sectors, as a benchmark to evaluate </w:t>
      </w:r>
      <w:r>
        <w:lastRenderedPageBreak/>
        <w:t>the relative performance of the FLQ and other LQ-based adjustment formulae in estimating input coefficients and type I sectoral output multipliers.  We employed a wide range of statistical criteria to assess the results.  As expected, the FLQ outperformed the conventional LQs by a wide margin, regardless of which criterion was used.  Moreover, an analysis using Theil’s index of inequality revealed that the FLQ produced a much closer match between the estimated and survey-based input coefficients.  This was true irrespective of whether one measured this match in terms of bias, variance or covariance.</w:t>
      </w:r>
    </w:p>
    <w:p w:rsidR="0045465B" w:rsidRDefault="0045465B" w:rsidP="0045465B">
      <w:pPr>
        <w:widowControl w:val="0"/>
        <w:tabs>
          <w:tab w:val="left" w:pos="426"/>
        </w:tabs>
        <w:spacing w:line="480" w:lineRule="auto"/>
        <w:rPr>
          <w:color w:val="000000"/>
        </w:rPr>
      </w:pPr>
      <w:r>
        <w:tab/>
        <w:t>Using the mean proportional difference, μ</w:t>
      </w:r>
      <w:r>
        <w:rPr>
          <w:vertAlign w:val="subscript"/>
        </w:rPr>
        <w:t>1</w:t>
      </w:r>
      <w:r>
        <w:t xml:space="preserve">, as the criterion, we found that </w:t>
      </w:r>
      <w:r>
        <w:rPr>
          <w:color w:val="000000"/>
        </w:rPr>
        <w:t>δ = 0.25 w</w:t>
      </w:r>
      <w:r>
        <w:t>as the best single value for estimating multipliers</w:t>
      </w:r>
      <w:r>
        <w:rPr>
          <w:color w:val="000000"/>
        </w:rPr>
        <w:t xml:space="preserve">.  This criterion has the desirable property that it minimizes bias.  When averaged across regions, the unweighted mean value of </w:t>
      </w:r>
      <w:r>
        <w:t>μ</w:t>
      </w:r>
      <w:r>
        <w:rPr>
          <w:vertAlign w:val="subscript"/>
        </w:rPr>
        <w:t>1</w:t>
      </w:r>
      <w:r>
        <w:t xml:space="preserve"> was</w:t>
      </w:r>
      <w:r>
        <w:rPr>
          <w:color w:val="000000"/>
        </w:rPr>
        <w:t xml:space="preserve"> </w:t>
      </w:r>
      <w:r>
        <w:t xml:space="preserve">0.4%, compared with </w:t>
      </w:r>
      <w:r>
        <w:sym w:font="Symbol" w:char="002D"/>
      </w:r>
      <w:r>
        <w:t xml:space="preserve">1.9% for </w:t>
      </w:r>
      <w:r>
        <w:rPr>
          <w:color w:val="000000"/>
        </w:rPr>
        <w:t>δ = 0.3</w:t>
      </w:r>
      <w:r>
        <w:t xml:space="preserve">.  By contrast, when the results were weighted by size of region, </w:t>
      </w:r>
      <w:r>
        <w:rPr>
          <w:color w:val="000000"/>
        </w:rPr>
        <w:t>δ = 0.3 gave the best outcome</w:t>
      </w:r>
      <w:r>
        <w:t>.  T</w:t>
      </w:r>
      <w:r>
        <w:rPr>
          <w:color w:val="000000"/>
        </w:rPr>
        <w:t>here was a discernible tendency for the optimal value of δ to rise with regional size.  It</w:t>
      </w:r>
      <w:r>
        <w:t xml:space="preserve"> is also worth noting that the use of absolute values suggested that </w:t>
      </w:r>
      <w:r>
        <w:rPr>
          <w:color w:val="000000"/>
        </w:rPr>
        <w:t>0.3 rather than 0.25 might be the best single value of δ.  Nevertheless, when averaged across regions, the outcomes for these two values of δ were very similar indeed.</w:t>
      </w:r>
    </w:p>
    <w:p w:rsidR="0045465B" w:rsidRDefault="0045465B" w:rsidP="0045465B">
      <w:pPr>
        <w:widowControl w:val="0"/>
        <w:tabs>
          <w:tab w:val="left" w:pos="426"/>
        </w:tabs>
        <w:spacing w:line="480" w:lineRule="auto"/>
        <w:rPr>
          <w:color w:val="000000"/>
        </w:rPr>
      </w:pPr>
      <w:r>
        <w:rPr>
          <w:color w:val="000000"/>
        </w:rPr>
        <w:tab/>
        <w:t xml:space="preserve">It is interesting that our findings are broadly consistent with those of Bonfiglio and Chelli (2008), who used a Monte Carlo </w:t>
      </w:r>
      <w:r w:rsidRPr="00FB37EA">
        <w:rPr>
          <w:color w:val="000000"/>
        </w:rPr>
        <w:t>approach</w:t>
      </w:r>
      <w:r>
        <w:rPr>
          <w:color w:val="000000"/>
        </w:rPr>
        <w:t xml:space="preserve"> to</w:t>
      </w:r>
      <w:r w:rsidRPr="00FB37EA">
        <w:rPr>
          <w:color w:val="000000"/>
        </w:rPr>
        <w:t xml:space="preserve"> generate 400,000 sectoral output multipliers. </w:t>
      </w:r>
      <w:r>
        <w:rPr>
          <w:color w:val="000000"/>
        </w:rPr>
        <w:t>Their study indicated an optimal δ ≈ 0.3</w:t>
      </w:r>
      <w:r>
        <w:t>.</w:t>
      </w:r>
      <w:r>
        <w:rPr>
          <w:color w:val="000000"/>
        </w:rPr>
        <w:t xml:space="preserve"> </w:t>
      </w:r>
      <w:r w:rsidRPr="00FB37EA">
        <w:rPr>
          <w:color w:val="000000"/>
        </w:rPr>
        <w:t xml:space="preserve"> </w:t>
      </w:r>
      <w:r>
        <w:rPr>
          <w:color w:val="000000"/>
        </w:rPr>
        <w:t xml:space="preserve">On the other hand, using Scottish data, Flegg and Webber (2000) found that </w:t>
      </w:r>
      <w:r>
        <w:t xml:space="preserve">the FLQ with </w:t>
      </w:r>
      <w:r w:rsidRPr="009F273F">
        <w:rPr>
          <w:color w:val="000000"/>
        </w:rPr>
        <w:t>δ</w:t>
      </w:r>
      <w:r>
        <w:rPr>
          <w:color w:val="000000"/>
        </w:rPr>
        <w:t xml:space="preserve"> ≈ 0.15 yielded </w:t>
      </w:r>
      <w:r>
        <w:t>µ</w:t>
      </w:r>
      <w:r w:rsidRPr="0009111F">
        <w:rPr>
          <w:vertAlign w:val="subscript"/>
        </w:rPr>
        <w:t>1</w:t>
      </w:r>
      <w:r>
        <w:t xml:space="preserve"> </w:t>
      </w:r>
      <w:r>
        <w:rPr>
          <w:color w:val="000000"/>
        </w:rPr>
        <w:t>≈ 0.  This relatively low</w:t>
      </w:r>
      <w:r w:rsidRPr="007E3A19">
        <w:rPr>
          <w:color w:val="000000"/>
        </w:rPr>
        <w:t xml:space="preserve"> </w:t>
      </w:r>
      <w:r>
        <w:rPr>
          <w:color w:val="000000"/>
        </w:rPr>
        <w:t>value of δ can probably be explained by the fact that almost half of the Scottish survey-based coefficients were larger than those in the parent table that was being used in the simulation.</w:t>
      </w:r>
    </w:p>
    <w:p w:rsidR="0045465B" w:rsidRDefault="0045465B" w:rsidP="0045465B">
      <w:pPr>
        <w:widowControl w:val="0"/>
        <w:tabs>
          <w:tab w:val="left" w:pos="426"/>
        </w:tabs>
        <w:spacing w:line="480" w:lineRule="auto"/>
      </w:pPr>
      <w:r>
        <w:tab/>
        <w:t xml:space="preserve">Although the FLQ was demonstrably better than the conventional LQs, its performance was not as good as we would have wished.  For instance, the unweighted mean absolute proportional error, with </w:t>
      </w:r>
      <w:r>
        <w:rPr>
          <w:color w:val="000000"/>
        </w:rPr>
        <w:t xml:space="preserve">δ = 0.3, </w:t>
      </w:r>
      <w:r>
        <w:t>was 8.1%</w:t>
      </w:r>
      <w:r w:rsidRPr="008952C2">
        <w:t xml:space="preserve"> </w:t>
      </w:r>
      <w:r>
        <w:t xml:space="preserve">for multipliers.  The weighted mean was 7.6%.  As expected, the errors in estimating coefficients were much larger than those for multipliers.  </w:t>
      </w:r>
      <w:r>
        <w:lastRenderedPageBreak/>
        <w:t>This is exemplified by the fact that the unweighted mean absolute proportional error, again</w:t>
      </w:r>
      <w:r w:rsidRPr="00D74EE3">
        <w:t xml:space="preserve"> </w:t>
      </w:r>
      <w:r>
        <w:t xml:space="preserve">with </w:t>
      </w:r>
      <w:r>
        <w:rPr>
          <w:color w:val="000000"/>
        </w:rPr>
        <w:t>δ = 0.3,</w:t>
      </w:r>
      <w:r>
        <w:t xml:space="preserve"> was 69.7% for coefficients.  Whether these FLQ-based estimates are sufficiently accurate to be useful in a practical modelling context is a moot point, something that is ultimately up to the potential user to decide.  However, most analysts do seem to be far more interested in good estimates of multipliers than they are in good estimates of coefficients.</w:t>
      </w:r>
    </w:p>
    <w:p w:rsidR="00005A99" w:rsidRDefault="0045465B" w:rsidP="0045465B">
      <w:pPr>
        <w:widowControl w:val="0"/>
        <w:tabs>
          <w:tab w:val="left" w:pos="426"/>
        </w:tabs>
        <w:spacing w:line="480" w:lineRule="auto"/>
        <w:rPr>
          <w:color w:val="000000"/>
        </w:rPr>
      </w:pPr>
      <w:r>
        <w:tab/>
        <w:t xml:space="preserve">The above-mentioned results were derived using a single value of </w:t>
      </w:r>
      <w:r>
        <w:rPr>
          <w:color w:val="000000"/>
        </w:rPr>
        <w:t xml:space="preserve">δ, yet the evidence shows that the optimal </w:t>
      </w:r>
      <w:r>
        <w:t xml:space="preserve">value of </w:t>
      </w:r>
      <w:r>
        <w:rPr>
          <w:color w:val="000000"/>
        </w:rPr>
        <w:t>δ is unlikely to be the same in different regions.  Therefore, using a value of δ that is tailored to</w:t>
      </w:r>
      <w:r w:rsidRPr="00360C38">
        <w:rPr>
          <w:color w:val="000000"/>
        </w:rPr>
        <w:t xml:space="preserve"> </w:t>
      </w:r>
      <w:r>
        <w:rPr>
          <w:color w:val="000000"/>
        </w:rPr>
        <w:t xml:space="preserve">the individual characteristics of regions should enhance the performance of the FLQ formula.  Here it is worth noting the finding by Bonfiglio (2009), based upon a Monte Carlo analysis, that only one third of regions can be expected to have an optimal </w:t>
      </w:r>
      <w:r w:rsidR="009F2D42">
        <w:rPr>
          <w:color w:val="000000"/>
        </w:rPr>
        <w:t xml:space="preserve">δ </w:t>
      </w:r>
      <w:r>
        <w:rPr>
          <w:color w:val="000000"/>
        </w:rPr>
        <w:t>in the interval 0.3 ± 0.05.</w:t>
      </w:r>
      <w:r>
        <w:rPr>
          <w:b/>
          <w:color w:val="000000"/>
          <w:vertAlign w:val="superscript"/>
        </w:rPr>
        <w:t>3</w:t>
      </w:r>
      <w:r w:rsidR="00744057">
        <w:rPr>
          <w:b/>
          <w:color w:val="000000"/>
          <w:vertAlign w:val="superscript"/>
        </w:rPr>
        <w:t>8</w:t>
      </w:r>
      <w:r>
        <w:rPr>
          <w:color w:val="000000"/>
        </w:rPr>
        <w:t xml:space="preserve">  Our results indicated a </w:t>
      </w:r>
      <w:r w:rsidR="006B72F8">
        <w:rPr>
          <w:color w:val="000000"/>
        </w:rPr>
        <w:t>more limited</w:t>
      </w:r>
      <w:r>
        <w:rPr>
          <w:color w:val="000000"/>
        </w:rPr>
        <w:t xml:space="preserve"> </w:t>
      </w:r>
      <w:r w:rsidR="006B72F8">
        <w:rPr>
          <w:color w:val="000000"/>
        </w:rPr>
        <w:t>set</w:t>
      </w:r>
      <w:r>
        <w:rPr>
          <w:color w:val="000000"/>
        </w:rPr>
        <w:t xml:space="preserve"> of possibilities, with most regions clustere</w:t>
      </w:r>
      <w:r w:rsidR="00005A99">
        <w:rPr>
          <w:color w:val="000000"/>
        </w:rPr>
        <w:t>d in the interval 0.25 ± 0.05.  However</w:t>
      </w:r>
      <w:r w:rsidR="00005A99">
        <w:t xml:space="preserve">, when we applied a set of weights to the simulations to capture the relative size of the coefficients in each column of the regional coefficient matrix, we found that the largest coefficients might need a </w:t>
      </w:r>
      <w:r w:rsidR="00005A99">
        <w:rPr>
          <w:color w:val="000000"/>
        </w:rPr>
        <w:t>δ of 0.15 or less.  It was evident that these coefficients required special scrutiny.</w:t>
      </w:r>
    </w:p>
    <w:p w:rsidR="00BE2B8F" w:rsidRDefault="0045465B" w:rsidP="0045465B">
      <w:pPr>
        <w:widowControl w:val="0"/>
        <w:tabs>
          <w:tab w:val="left" w:pos="426"/>
        </w:tabs>
        <w:spacing w:line="480" w:lineRule="auto"/>
      </w:pPr>
      <w:r>
        <w:rPr>
          <w:color w:val="000000"/>
        </w:rPr>
        <w:tab/>
      </w:r>
      <w:r w:rsidR="00BE2B8F">
        <w:rPr>
          <w:color w:val="000000"/>
        </w:rPr>
        <w:t>T</w:t>
      </w:r>
      <w:r>
        <w:rPr>
          <w:color w:val="000000"/>
        </w:rPr>
        <w:t>o take account</w:t>
      </w:r>
      <w:r w:rsidRPr="002A60EB">
        <w:t xml:space="preserve"> </w:t>
      </w:r>
      <w:r>
        <w:t>of th</w:t>
      </w:r>
      <w:r>
        <w:rPr>
          <w:color w:val="000000"/>
        </w:rPr>
        <w:t>e tendency for the optimal value of δ to rise with regional size, we developed a regression model to assist in choosing a value of δ.  Along with regional size, this model seeks to capture any marked differences in regional propensities to import from other regions or in the mix of intermediate and primary inputs, so it should help to reduce the simulation errors that are bound to occur when applying the FLQ formula.</w:t>
      </w:r>
      <w:r>
        <w:rPr>
          <w:b/>
          <w:color w:val="000000"/>
          <w:vertAlign w:val="superscript"/>
        </w:rPr>
        <w:t>3</w:t>
      </w:r>
      <w:r w:rsidR="00744057">
        <w:rPr>
          <w:b/>
          <w:color w:val="000000"/>
          <w:vertAlign w:val="superscript"/>
        </w:rPr>
        <w:t>9</w:t>
      </w:r>
      <w:r w:rsidR="00BE2B8F" w:rsidRPr="00BE2B8F">
        <w:rPr>
          <w:color w:val="000000"/>
        </w:rPr>
        <w:t xml:space="preserve">  </w:t>
      </w:r>
      <w:r>
        <w:rPr>
          <w:color w:val="000000"/>
        </w:rPr>
        <w:t>We also re-</w:t>
      </w:r>
      <w:r>
        <w:t>estimated the multipliers</w:t>
      </w:r>
      <w:r>
        <w:rPr>
          <w:color w:val="000000"/>
        </w:rPr>
        <w:t xml:space="preserve"> using a modified version of the</w:t>
      </w:r>
      <w:r>
        <w:t xml:space="preserve"> augmented FLQ formula (AFLQ) proposed by </w:t>
      </w:r>
      <w:r>
        <w:rPr>
          <w:color w:val="000000"/>
        </w:rPr>
        <w:t>Flegg and Webber (2000)</w:t>
      </w:r>
      <w:r>
        <w:t xml:space="preserve">.  However, despite the fact that the AFLQ takes an additional factor </w:t>
      </w:r>
      <w:r>
        <w:sym w:font="Symbol" w:char="002D"/>
      </w:r>
      <w:r>
        <w:t xml:space="preserve"> regional specialization </w:t>
      </w:r>
      <w:r>
        <w:sym w:font="Symbol" w:char="002D"/>
      </w:r>
      <w:r>
        <w:t xml:space="preserve"> into account, it </w:t>
      </w:r>
      <w:r w:rsidR="00BE2B8F">
        <w:t>gave</w:t>
      </w:r>
      <w:r>
        <w:t xml:space="preserve"> only slightly better results.</w:t>
      </w:r>
    </w:p>
    <w:p w:rsidR="0045465B" w:rsidRDefault="00BE2B8F" w:rsidP="0045465B">
      <w:pPr>
        <w:widowControl w:val="0"/>
        <w:tabs>
          <w:tab w:val="left" w:pos="426"/>
        </w:tabs>
        <w:spacing w:line="480" w:lineRule="auto"/>
        <w:rPr>
          <w:rFonts w:eastAsia="Times New Roman"/>
          <w:sz w:val="22"/>
          <w:szCs w:val="22"/>
        </w:rPr>
      </w:pPr>
      <w:r>
        <w:tab/>
      </w:r>
      <w:r w:rsidR="0045465B">
        <w:rPr>
          <w:color w:val="000000"/>
        </w:rPr>
        <w:t xml:space="preserve">Another issue we explored was how far the mix of intermediate and primary inputs in each region differed from that in Finland as a whole.  For </w:t>
      </w:r>
      <w:r w:rsidR="0045465B">
        <w:rPr>
          <w:rFonts w:eastAsia="Times New Roman"/>
        </w:rPr>
        <w:t>most regions, there was</w:t>
      </w:r>
      <w:r w:rsidR="0045465B" w:rsidRPr="002B77A7">
        <w:rPr>
          <w:rFonts w:eastAsia="Times New Roman"/>
        </w:rPr>
        <w:t xml:space="preserve"> a fairly </w:t>
      </w:r>
      <w:r w:rsidR="0045465B" w:rsidRPr="002B77A7">
        <w:rPr>
          <w:rFonts w:eastAsia="Times New Roman"/>
        </w:rPr>
        <w:lastRenderedPageBreak/>
        <w:t>close relationship</w:t>
      </w:r>
      <w:r w:rsidR="0045465B">
        <w:rPr>
          <w:rFonts w:eastAsia="Times New Roman"/>
        </w:rPr>
        <w:t>,</w:t>
      </w:r>
      <w:r w:rsidR="0045465B" w:rsidRPr="002B77A7">
        <w:rPr>
          <w:rFonts w:eastAsia="Times New Roman"/>
        </w:rPr>
        <w:t xml:space="preserve"> approximat</w:t>
      </w:r>
      <w:r w:rsidR="0045465B">
        <w:rPr>
          <w:rFonts w:eastAsia="Times New Roman"/>
        </w:rPr>
        <w:t xml:space="preserve">ing </w:t>
      </w:r>
      <w:r w:rsidR="0045465B" w:rsidRPr="002B77A7">
        <w:rPr>
          <w:rFonts w:eastAsia="Times New Roman"/>
        </w:rPr>
        <w:t>a 45° line</w:t>
      </w:r>
      <w:r w:rsidR="0045465B">
        <w:rPr>
          <w:rFonts w:eastAsia="Times New Roman"/>
        </w:rPr>
        <w:t>, between the regional and national proportions</w:t>
      </w:r>
      <w:r w:rsidR="0045465B" w:rsidRPr="002B77A7">
        <w:rPr>
          <w:rFonts w:eastAsia="Times New Roman"/>
        </w:rPr>
        <w:t xml:space="preserve"> of intermediate</w:t>
      </w:r>
      <w:r w:rsidR="0045465B">
        <w:rPr>
          <w:rFonts w:eastAsia="Times New Roman"/>
        </w:rPr>
        <w:t xml:space="preserve"> inputs.  Even so, we</w:t>
      </w:r>
      <w:r w:rsidR="0045465B">
        <w:rPr>
          <w:color w:val="000000"/>
        </w:rPr>
        <w:t xml:space="preserve"> did find</w:t>
      </w:r>
      <w:r w:rsidR="0045465B" w:rsidRPr="00E05509">
        <w:rPr>
          <w:color w:val="000000"/>
        </w:rPr>
        <w:t xml:space="preserve"> </w:t>
      </w:r>
      <w:r w:rsidR="0045465B" w:rsidRPr="002B77A7">
        <w:rPr>
          <w:color w:val="000000"/>
        </w:rPr>
        <w:t>statistically significant difference</w:t>
      </w:r>
      <w:r w:rsidR="0045465B">
        <w:rPr>
          <w:color w:val="000000"/>
        </w:rPr>
        <w:t>s</w:t>
      </w:r>
      <w:r w:rsidR="0045465B" w:rsidRPr="002B77A7">
        <w:rPr>
          <w:color w:val="000000"/>
        </w:rPr>
        <w:t xml:space="preserve"> between the regional and national use of intermediate inputs</w:t>
      </w:r>
      <w:r w:rsidR="0045465B" w:rsidRPr="002B77A7">
        <w:t xml:space="preserve"> </w:t>
      </w:r>
      <w:r w:rsidR="0045465B">
        <w:t>in</w:t>
      </w:r>
      <w:r w:rsidR="0045465B" w:rsidRPr="002B77A7">
        <w:t xml:space="preserve"> </w:t>
      </w:r>
      <w:r w:rsidR="0045465B">
        <w:t>several</w:t>
      </w:r>
      <w:r w:rsidR="0045465B" w:rsidRPr="002B77A7">
        <w:t xml:space="preserve"> regions</w:t>
      </w:r>
      <w:r w:rsidR="0045465B">
        <w:t xml:space="preserve">, although these differences were accentuated in many cases by the presence of atypical sectors.  These sectors included hunting and fishing; </w:t>
      </w:r>
      <w:r w:rsidR="0045465B">
        <w:rPr>
          <w:rFonts w:eastAsia="Times New Roman"/>
        </w:rPr>
        <w:t>e</w:t>
      </w:r>
      <w:r w:rsidR="0045465B">
        <w:t xml:space="preserve">lectricity, gas and heat supply; </w:t>
      </w:r>
      <w:r w:rsidR="0045465B">
        <w:rPr>
          <w:rFonts w:eastAsia="Times New Roman"/>
        </w:rPr>
        <w:t>f</w:t>
      </w:r>
      <w:r w:rsidR="0045465B" w:rsidRPr="002B77A7">
        <w:rPr>
          <w:rFonts w:eastAsia="Times New Roman"/>
        </w:rPr>
        <w:t xml:space="preserve">ruit and </w:t>
      </w:r>
      <w:r w:rsidR="0045465B">
        <w:rPr>
          <w:rFonts w:eastAsia="Times New Roman"/>
        </w:rPr>
        <w:t>v</w:t>
      </w:r>
      <w:r w:rsidR="0045465B" w:rsidRPr="002B77A7">
        <w:rPr>
          <w:rFonts w:eastAsia="Times New Roman"/>
        </w:rPr>
        <w:t>egetables</w:t>
      </w:r>
      <w:r w:rsidR="0045465B">
        <w:rPr>
          <w:rFonts w:eastAsia="Times New Roman"/>
        </w:rPr>
        <w:t>; and</w:t>
      </w:r>
      <w:r w:rsidR="0045465B">
        <w:t xml:space="preserve"> m</w:t>
      </w:r>
      <w:r w:rsidR="0045465B" w:rsidRPr="002B77A7">
        <w:rPr>
          <w:rFonts w:eastAsia="Times New Roman"/>
        </w:rPr>
        <w:t xml:space="preserve">eat and </w:t>
      </w:r>
      <w:r w:rsidR="0045465B">
        <w:rPr>
          <w:rFonts w:eastAsia="Times New Roman"/>
        </w:rPr>
        <w:t>f</w:t>
      </w:r>
      <w:r w:rsidR="0045465B" w:rsidRPr="002B77A7">
        <w:rPr>
          <w:rFonts w:eastAsia="Times New Roman"/>
        </w:rPr>
        <w:t>ish</w:t>
      </w:r>
      <w:r w:rsidR="0045465B">
        <w:rPr>
          <w:rFonts w:eastAsia="Times New Roman"/>
          <w:sz w:val="22"/>
          <w:szCs w:val="22"/>
        </w:rPr>
        <w:t>.</w:t>
      </w:r>
    </w:p>
    <w:p w:rsidR="0045465B" w:rsidRDefault="0045465B" w:rsidP="0045465B">
      <w:pPr>
        <w:widowControl w:val="0"/>
        <w:tabs>
          <w:tab w:val="left" w:pos="426"/>
        </w:tabs>
        <w:spacing w:line="480" w:lineRule="auto"/>
        <w:rPr>
          <w:color w:val="000000"/>
        </w:rPr>
      </w:pPr>
      <w:r>
        <w:rPr>
          <w:rFonts w:eastAsia="Times New Roman"/>
        </w:rPr>
        <w:tab/>
        <w:t xml:space="preserve">Taken as a whole, however, the results indicated that our assumption of a common ratio of </w:t>
      </w:r>
      <w:r w:rsidRPr="002B77A7">
        <w:rPr>
          <w:color w:val="000000"/>
        </w:rPr>
        <w:t>intermediate</w:t>
      </w:r>
      <w:r>
        <w:rPr>
          <w:color w:val="000000"/>
        </w:rPr>
        <w:t xml:space="preserve"> to primary</w:t>
      </w:r>
      <w:r w:rsidRPr="002B77A7">
        <w:rPr>
          <w:color w:val="000000"/>
        </w:rPr>
        <w:t xml:space="preserve"> inputs</w:t>
      </w:r>
      <w:r>
        <w:rPr>
          <w:rFonts w:eastAsia="Times New Roman"/>
        </w:rPr>
        <w:t xml:space="preserve"> across regions was reasonable.  This is important because it suggests that the values of </w:t>
      </w:r>
      <w:r>
        <w:rPr>
          <w:color w:val="000000"/>
        </w:rPr>
        <w:t xml:space="preserve">δ obtained here are, to a large extent, indicative of the required adjustments for interregional trade </w:t>
      </w:r>
      <w:r w:rsidRPr="00FA1CEC">
        <w:rPr>
          <w:i/>
          <w:color w:val="000000"/>
        </w:rPr>
        <w:t>per se</w:t>
      </w:r>
      <w:r>
        <w:rPr>
          <w:color w:val="000000"/>
        </w:rPr>
        <w:t>, with differences between regional and national ratios of intermediate to primary inputs being of much less concern.</w:t>
      </w:r>
      <w:r w:rsidR="00744057">
        <w:rPr>
          <w:b/>
          <w:color w:val="000000"/>
          <w:vertAlign w:val="superscript"/>
        </w:rPr>
        <w:t>40</w:t>
      </w:r>
    </w:p>
    <w:p w:rsidR="0045465B" w:rsidRDefault="0045465B" w:rsidP="0045465B">
      <w:pPr>
        <w:widowControl w:val="0"/>
        <w:tabs>
          <w:tab w:val="left" w:pos="426"/>
        </w:tabs>
        <w:spacing w:line="480" w:lineRule="auto"/>
      </w:pPr>
      <w:r>
        <w:rPr>
          <w:color w:val="000000"/>
        </w:rPr>
        <w:tab/>
        <w:t>W</w:t>
      </w:r>
      <w:r>
        <w:t xml:space="preserve">hilst we believe that the results reported in this paper are supportive of the use of the FLQ, it must be emphasized that this formula can only be expected to generate a useful </w:t>
      </w:r>
      <w:r>
        <w:rPr>
          <w:i/>
        </w:rPr>
        <w:t>initial</w:t>
      </w:r>
      <w:r>
        <w:t xml:space="preserve"> set of regional input coefficients.  These initial coefficients should always be evaluated by the analyst on the basis of informed judgement, surveys of selected industries, etc.  Here it would be wise to focus on the larger coefficients, since it is errors in these that have the greatest impact on the multipliers.  In addition, Lahr (1993, p. 287) stresses the importance of obtaining superior data for resource-based and </w:t>
      </w:r>
      <w:r>
        <w:rPr>
          <w:color w:val="000000"/>
        </w:rPr>
        <w:t>‘miscellaneous’ sectors.</w:t>
      </w:r>
      <w:r>
        <w:t xml:space="preserve">  W</w:t>
      </w:r>
      <w:r>
        <w:rPr>
          <w:color w:val="000000"/>
        </w:rPr>
        <w:t xml:space="preserve">here aggregation of national sectors is necessary, it is essential that the FLQ be applied prior to aggregation. </w:t>
      </w:r>
      <w:r>
        <w:t xml:space="preserve"> It is crucial too that any regional peculiarities be taken into account, although the accuracy of the FLQ-based simulations was not affected in any obvious way in our study by a region’s location or by its orientation towards manufacturing or extraction.</w:t>
      </w:r>
    </w:p>
    <w:p w:rsidR="0045465B" w:rsidRPr="00CD2ACF" w:rsidRDefault="0045465B" w:rsidP="0045465B">
      <w:pPr>
        <w:tabs>
          <w:tab w:val="left" w:pos="426"/>
        </w:tabs>
        <w:spacing w:line="480" w:lineRule="auto"/>
        <w:rPr>
          <w:b/>
          <w:vertAlign w:val="superscript"/>
        </w:rPr>
      </w:pPr>
      <w:r>
        <w:rPr>
          <w:color w:val="000000"/>
        </w:rPr>
        <w:tab/>
      </w:r>
      <w:r>
        <w:t xml:space="preserve">It is worth emphasizing, finally, that the potential uses of the FLQ formula go well beyond the mechanical production of a set of regional input coefficients.  In particular, we would argue that the FLQ offers </w:t>
      </w:r>
      <w:r>
        <w:rPr>
          <w:color w:val="000000"/>
        </w:rPr>
        <w:t xml:space="preserve">a cost-effective way of building the </w:t>
      </w:r>
      <w:r>
        <w:t xml:space="preserve">non-survey foundations of a hybrid model.  Also, where the necessary data are available, FLQ-generated coefficients </w:t>
      </w:r>
      <w:r>
        <w:lastRenderedPageBreak/>
        <w:t xml:space="preserve">can be used as the initial values in the application of the RAS iterative procedure.  This </w:t>
      </w:r>
      <w:r w:rsidR="00CD2ACF">
        <w:t>sh</w:t>
      </w:r>
      <w:r>
        <w:t xml:space="preserve">ould </w:t>
      </w:r>
      <w:r w:rsidR="00CD2ACF">
        <w:t>yield more accurate results than could be obtained by</w:t>
      </w:r>
      <w:r>
        <w:t xml:space="preserve"> using unadjusted national coefficients or coefficients generated by the SLQ or CILQ.</w:t>
      </w:r>
      <w:r w:rsidR="00CD2ACF">
        <w:rPr>
          <w:b/>
          <w:vertAlign w:val="superscript"/>
        </w:rPr>
        <w:t>41</w:t>
      </w:r>
    </w:p>
    <w:p w:rsidR="00925A24" w:rsidRDefault="00925A24" w:rsidP="0045465B">
      <w:pPr>
        <w:tabs>
          <w:tab w:val="left" w:pos="426"/>
        </w:tabs>
        <w:spacing w:line="480" w:lineRule="auto"/>
      </w:pPr>
    </w:p>
    <w:p w:rsidR="00925A24" w:rsidRDefault="00925A24" w:rsidP="00925A24">
      <w:pPr>
        <w:widowControl w:val="0"/>
        <w:tabs>
          <w:tab w:val="left" w:pos="426"/>
        </w:tabs>
        <w:spacing w:line="480" w:lineRule="auto"/>
      </w:pPr>
      <w:r>
        <w:rPr>
          <w:b/>
        </w:rPr>
        <w:t xml:space="preserve">Acknowledgements </w:t>
      </w:r>
      <w:r>
        <w:sym w:font="Symbol" w:char="002D"/>
      </w:r>
      <w:r>
        <w:t xml:space="preserve"> We wish to express our appreciation to the anonymous referees for their detailed and perceptive comments, which led to substantial improvements in this paper.  We also wish to thank Andrea Bonfiglio, Chris Webber and Don Webber for their helpful suggestions, and Jeffery Round for clarifying certain aspects of his RLQ formula.</w:t>
      </w:r>
    </w:p>
    <w:p w:rsidR="00744057" w:rsidRDefault="00744057" w:rsidP="0045465B">
      <w:pPr>
        <w:tabs>
          <w:tab w:val="left" w:pos="426"/>
        </w:tabs>
        <w:spacing w:line="480" w:lineRule="auto"/>
      </w:pPr>
    </w:p>
    <w:p w:rsidR="00E25CA7" w:rsidRDefault="00E25CA7" w:rsidP="006E398A">
      <w:pPr>
        <w:widowControl w:val="0"/>
        <w:tabs>
          <w:tab w:val="left" w:pos="426"/>
          <w:tab w:val="right" w:pos="8931"/>
        </w:tabs>
        <w:spacing w:line="480" w:lineRule="auto"/>
        <w:jc w:val="center"/>
        <w:rPr>
          <w:color w:val="000000"/>
        </w:rPr>
      </w:pPr>
      <w:r>
        <w:rPr>
          <w:b/>
          <w:color w:val="000000"/>
        </w:rPr>
        <w:t>N</w:t>
      </w:r>
      <w:r w:rsidR="006E398A">
        <w:rPr>
          <w:b/>
          <w:color w:val="000000"/>
        </w:rPr>
        <w:t>OTES</w:t>
      </w:r>
    </w:p>
    <w:p w:rsidR="006E398A" w:rsidRDefault="006E398A" w:rsidP="006E398A">
      <w:pPr>
        <w:pStyle w:val="ListParagraph"/>
        <w:numPr>
          <w:ilvl w:val="0"/>
          <w:numId w:val="2"/>
        </w:numPr>
        <w:tabs>
          <w:tab w:val="left" w:pos="426"/>
        </w:tabs>
        <w:spacing w:line="480" w:lineRule="auto"/>
        <w:ind w:left="426" w:hanging="426"/>
      </w:pPr>
      <w:r>
        <w:t>See Harris and Liu (1998), Lahr (1993, 2001) and West (1990) for more discussion of hybrid models.</w:t>
      </w:r>
    </w:p>
    <w:p w:rsidR="006E398A" w:rsidRDefault="006E398A" w:rsidP="006E398A">
      <w:pPr>
        <w:pStyle w:val="ListParagraph"/>
        <w:numPr>
          <w:ilvl w:val="0"/>
          <w:numId w:val="2"/>
        </w:numPr>
        <w:spacing w:line="480" w:lineRule="auto"/>
        <w:ind w:left="425" w:hanging="425"/>
      </w:pPr>
      <w:r>
        <w:rPr>
          <w:color w:val="000000"/>
        </w:rPr>
        <w:t xml:space="preserve">Cf. Bonfiglio and Chelli (2008, p. 244).  </w:t>
      </w:r>
      <w:r>
        <w:t>In a regional context, the RAS procedure would involve minimizing an expression of the form D</w:t>
      </w:r>
      <w:r w:rsidRPr="0009111F">
        <w:t xml:space="preserve"> = </w:t>
      </w:r>
      <w:proofErr w:type="spellStart"/>
      <w:r w:rsidRPr="0009111F">
        <w:t>Σ</w:t>
      </w:r>
      <w:r w:rsidRPr="005052F1">
        <w:rPr>
          <w:vertAlign w:val="subscript"/>
        </w:rPr>
        <w:t>i</w:t>
      </w:r>
      <w:proofErr w:type="spellEnd"/>
      <w:r w:rsidRPr="005052F1">
        <w:rPr>
          <w:vertAlign w:val="subscript"/>
        </w:rPr>
        <w:t xml:space="preserve"> </w:t>
      </w:r>
      <w:proofErr w:type="spellStart"/>
      <w:r w:rsidRPr="0009111F">
        <w:t>Σ</w:t>
      </w:r>
      <w:r w:rsidRPr="005052F1">
        <w:rPr>
          <w:vertAlign w:val="subscript"/>
        </w:rPr>
        <w:t>j</w:t>
      </w:r>
      <w:proofErr w:type="spellEnd"/>
      <w:r w:rsidRPr="005052F1">
        <w:rPr>
          <w:vertAlign w:val="subscript"/>
        </w:rPr>
        <w:t xml:space="preserve"> </w:t>
      </w:r>
      <w:r w:rsidRPr="001E4A7E">
        <w:rPr>
          <w:position w:val="-14"/>
        </w:rPr>
        <w:object w:dxaOrig="1400" w:dyaOrig="380">
          <v:shape id="_x0000_i1060" type="#_x0000_t75" style="width:70.5pt;height:19.5pt" o:ole="">
            <v:imagedata r:id="rId73" o:title=""/>
          </v:shape>
          <o:OLEObject Type="Embed" ProgID="Equation.3" ShapeID="_x0000_i1060" DrawAspect="Content" ObjectID="_1354515170" r:id="rId74"/>
        </w:object>
      </w:r>
      <w:r>
        <w:t xml:space="preserve">, where </w:t>
      </w:r>
      <w:r w:rsidRPr="005052F1">
        <w:rPr>
          <w:position w:val="-14"/>
        </w:rPr>
        <w:object w:dxaOrig="220" w:dyaOrig="380">
          <v:shape id="_x0000_i1061" type="#_x0000_t75" style="width:11.25pt;height:19.5pt" o:ole="">
            <v:imagedata r:id="rId75" o:title=""/>
          </v:shape>
          <o:OLEObject Type="Embed" ProgID="Equation.3" ShapeID="_x0000_i1061" DrawAspect="Content" ObjectID="_1354515171" r:id="rId76"/>
        </w:object>
      </w:r>
      <w:r>
        <w:t xml:space="preserve"> is the RAS-adjusted estimate of the regional input coefficient and </w:t>
      </w:r>
      <w:r w:rsidRPr="005052F1">
        <w:rPr>
          <w:position w:val="-14"/>
        </w:rPr>
        <w:object w:dxaOrig="220" w:dyaOrig="380">
          <v:shape id="_x0000_i1062" type="#_x0000_t75" style="width:11.25pt;height:19.5pt" o:ole="">
            <v:imagedata r:id="rId77" o:title=""/>
          </v:shape>
          <o:OLEObject Type="Embed" ProgID="Equation.3" ShapeID="_x0000_i1062" DrawAspect="Content" ObjectID="_1354515172" r:id="rId78"/>
        </w:object>
      </w:r>
      <w:r>
        <w:t xml:space="preserve"> is the LQ-based initial estimate, subject to the constraints of known values of the vectors of sectoral intermediate sales, intermediate purchases and gross output.  For a very helpful exposition of the RAS procedure, see Miller and Blair (2009, pp. 313</w:t>
      </w:r>
      <w:r>
        <w:sym w:font="Symbol" w:char="F02D"/>
      </w:r>
      <w:r>
        <w:t>336).  Also see Dietzenbacher and Miller (2009).</w:t>
      </w:r>
    </w:p>
    <w:p w:rsidR="006E398A" w:rsidRDefault="006E398A" w:rsidP="006E398A">
      <w:pPr>
        <w:pStyle w:val="Normaali1"/>
        <w:numPr>
          <w:ilvl w:val="0"/>
          <w:numId w:val="2"/>
        </w:numPr>
        <w:spacing w:line="480" w:lineRule="auto"/>
        <w:ind w:left="426" w:hanging="426"/>
        <w:rPr>
          <w:rFonts w:ascii="Times New Roman" w:hAnsi="Times New Roman"/>
          <w:color w:val="000000"/>
          <w:lang w:val="en-GB"/>
        </w:rPr>
      </w:pPr>
      <w:r>
        <w:rPr>
          <w:rFonts w:ascii="Times New Roman" w:hAnsi="Times New Roman"/>
          <w:color w:val="000000"/>
          <w:lang w:val="en-GB"/>
        </w:rPr>
        <w:t>See Miller and Blair (2009, chapter 2).</w:t>
      </w:r>
    </w:p>
    <w:p w:rsidR="006E398A" w:rsidRDefault="006E398A" w:rsidP="006E398A">
      <w:pPr>
        <w:pStyle w:val="Normaali1"/>
        <w:numPr>
          <w:ilvl w:val="0"/>
          <w:numId w:val="2"/>
        </w:numPr>
        <w:spacing w:line="480" w:lineRule="auto"/>
        <w:ind w:left="426" w:hanging="426"/>
        <w:rPr>
          <w:rFonts w:ascii="Times New Roman" w:hAnsi="Times New Roman"/>
          <w:color w:val="000000"/>
          <w:lang w:val="en-GB"/>
        </w:rPr>
      </w:pPr>
      <w:r>
        <w:rPr>
          <w:rFonts w:ascii="Times New Roman" w:hAnsi="Times New Roman"/>
          <w:color w:val="000000"/>
          <w:lang w:val="en-GB"/>
        </w:rPr>
        <w:t>This type of analysis can also be applied to inter-country trade.  See, for example,</w:t>
      </w:r>
      <w:r w:rsidRPr="00A41F1A">
        <w:t xml:space="preserve"> </w:t>
      </w:r>
      <w:r w:rsidRPr="00FE2F06">
        <w:t>Oosterhaven</w:t>
      </w:r>
      <w:r>
        <w:t xml:space="preserve"> </w:t>
      </w:r>
      <w:r w:rsidRPr="00FE2F06">
        <w:t>and Hoen</w:t>
      </w:r>
      <w:r>
        <w:t xml:space="preserve"> </w:t>
      </w:r>
      <w:r w:rsidRPr="00FE2F06">
        <w:t>(1998</w:t>
      </w:r>
      <w:r>
        <w:t>, pp. 507</w:t>
      </w:r>
      <w:r>
        <w:sym w:font="Symbol" w:char="F02D"/>
      </w:r>
      <w:r>
        <w:t>509</w:t>
      </w:r>
      <w:r w:rsidRPr="00FE2F06">
        <w:t>)</w:t>
      </w:r>
      <w:r>
        <w:t>.</w:t>
      </w:r>
    </w:p>
    <w:p w:rsidR="006E398A" w:rsidRDefault="006E398A" w:rsidP="006E398A">
      <w:pPr>
        <w:pStyle w:val="Normaali1"/>
        <w:numPr>
          <w:ilvl w:val="0"/>
          <w:numId w:val="2"/>
        </w:numPr>
        <w:spacing w:line="480" w:lineRule="auto"/>
        <w:ind w:left="426" w:hanging="426"/>
        <w:rPr>
          <w:rFonts w:ascii="Times New Roman" w:hAnsi="Times New Roman"/>
          <w:color w:val="000000"/>
          <w:lang w:val="en-GB"/>
        </w:rPr>
      </w:pPr>
      <w:r>
        <w:rPr>
          <w:rFonts w:ascii="Times New Roman" w:hAnsi="Times New Roman"/>
          <w:color w:val="000000"/>
          <w:lang w:val="en-GB"/>
        </w:rPr>
        <w:t xml:space="preserve">In a personal communication, Jeffery Round explained that his motivation in developing this formula was to devise a simple expression that allowed for all three factors, yet avoided the need to introduce an additional parameter.  In addition, he wished to mediate </w:t>
      </w:r>
      <w:r>
        <w:rPr>
          <w:rFonts w:ascii="Times New Roman" w:hAnsi="Times New Roman"/>
          <w:color w:val="000000"/>
          <w:lang w:val="en-GB"/>
        </w:rPr>
        <w:lastRenderedPageBreak/>
        <w:t>between the SLQ and CILQ outcomes, in such a way that the SLQ, CILQ and RLQ all equalled unity when SLQ</w:t>
      </w:r>
      <w:r>
        <w:rPr>
          <w:rFonts w:ascii="Times New Roman" w:hAnsi="Times New Roman"/>
          <w:color w:val="000000"/>
          <w:vertAlign w:val="subscript"/>
          <w:lang w:val="en-GB"/>
        </w:rPr>
        <w:t>i</w:t>
      </w:r>
      <w:r>
        <w:rPr>
          <w:rFonts w:ascii="Times New Roman" w:hAnsi="Times New Roman"/>
          <w:color w:val="000000"/>
          <w:lang w:val="en-GB"/>
        </w:rPr>
        <w:t xml:space="preserve"> = SLQ</w:t>
      </w:r>
      <w:r>
        <w:rPr>
          <w:rFonts w:ascii="Times New Roman" w:hAnsi="Times New Roman"/>
          <w:color w:val="000000"/>
          <w:vertAlign w:val="subscript"/>
          <w:lang w:val="en-GB"/>
        </w:rPr>
        <w:t>j</w:t>
      </w:r>
      <w:r>
        <w:rPr>
          <w:rFonts w:ascii="Times New Roman" w:hAnsi="Times New Roman"/>
          <w:color w:val="000000"/>
          <w:lang w:val="en-GB"/>
        </w:rPr>
        <w:t xml:space="preserve"> = 1.</w:t>
      </w:r>
    </w:p>
    <w:p w:rsidR="006E398A" w:rsidRPr="00C53C65" w:rsidRDefault="006E398A" w:rsidP="006E398A">
      <w:pPr>
        <w:pStyle w:val="Normaali1"/>
        <w:numPr>
          <w:ilvl w:val="0"/>
          <w:numId w:val="2"/>
        </w:numPr>
        <w:tabs>
          <w:tab w:val="center" w:pos="4560"/>
          <w:tab w:val="right" w:pos="9000"/>
        </w:tabs>
        <w:spacing w:line="480" w:lineRule="auto"/>
        <w:rPr>
          <w:rFonts w:ascii="Times New Roman" w:hAnsi="Times New Roman"/>
          <w:b/>
          <w:color w:val="000000"/>
          <w:lang w:val="en-GB"/>
        </w:rPr>
      </w:pPr>
      <w:r w:rsidRPr="006331ED">
        <w:rPr>
          <w:rFonts w:ascii="Times New Roman" w:hAnsi="Times New Roman"/>
          <w:color w:val="000000"/>
          <w:lang w:val="en-GB"/>
        </w:rPr>
        <w:t xml:space="preserve">See </w:t>
      </w:r>
      <w:r w:rsidRPr="006331ED">
        <w:rPr>
          <w:rFonts w:ascii="Times New Roman" w:hAnsi="Times New Roman"/>
        </w:rPr>
        <w:t xml:space="preserve">Flegg </w:t>
      </w:r>
      <w:r w:rsidRPr="006331ED">
        <w:rPr>
          <w:rFonts w:ascii="Times New Roman" w:hAnsi="Times New Roman"/>
          <w:i/>
        </w:rPr>
        <w:t>et al.</w:t>
      </w:r>
      <w:r w:rsidRPr="006331ED">
        <w:rPr>
          <w:rFonts w:ascii="Times New Roman" w:hAnsi="Times New Roman"/>
        </w:rPr>
        <w:t xml:space="preserve"> (1995, pp. 550</w:t>
      </w:r>
      <w:r w:rsidRPr="006331ED">
        <w:rPr>
          <w:rFonts w:ascii="Times New Roman" w:hAnsi="Times New Roman"/>
        </w:rPr>
        <w:sym w:font="Symbol" w:char="F02D"/>
      </w:r>
      <w:r w:rsidRPr="006331ED">
        <w:rPr>
          <w:rFonts w:ascii="Times New Roman" w:hAnsi="Times New Roman"/>
        </w:rPr>
        <w:t xml:space="preserve">551) and </w:t>
      </w:r>
      <w:r w:rsidRPr="006331ED">
        <w:rPr>
          <w:rFonts w:ascii="Times New Roman" w:hAnsi="Times New Roman"/>
          <w:color w:val="000000"/>
        </w:rPr>
        <w:t>Flegg and Webber (1997, p. 796) f</w:t>
      </w:r>
      <w:r w:rsidRPr="006331ED">
        <w:rPr>
          <w:rFonts w:ascii="Times New Roman" w:hAnsi="Times New Roman"/>
          <w:color w:val="000000"/>
          <w:lang w:val="en-GB"/>
        </w:rPr>
        <w:t>or more</w:t>
      </w:r>
      <w:r w:rsidRPr="00C53C65">
        <w:rPr>
          <w:rFonts w:ascii="Times New Roman" w:hAnsi="Times New Roman"/>
          <w:color w:val="000000"/>
          <w:lang w:val="en-GB"/>
        </w:rPr>
        <w:t xml:space="preserve"> discussion of Round’s formula.</w:t>
      </w:r>
    </w:p>
    <w:p w:rsidR="006E398A" w:rsidRPr="00C54B2E" w:rsidRDefault="006E398A" w:rsidP="006E398A">
      <w:pPr>
        <w:pStyle w:val="Normaali1"/>
        <w:numPr>
          <w:ilvl w:val="0"/>
          <w:numId w:val="2"/>
        </w:numPr>
        <w:spacing w:line="480" w:lineRule="auto"/>
        <w:ind w:left="426" w:hanging="426"/>
        <w:rPr>
          <w:rFonts w:ascii="Times New Roman" w:hAnsi="Times New Roman"/>
          <w:color w:val="000000"/>
          <w:lang w:val="en-GB"/>
        </w:rPr>
      </w:pPr>
      <w:r>
        <w:rPr>
          <w:rFonts w:ascii="Times New Roman" w:hAnsi="Times New Roman"/>
          <w:color w:val="000000"/>
          <w:lang w:val="en-GB"/>
        </w:rPr>
        <w:t xml:space="preserve">The logarithmic transformation in (9) ensures that </w:t>
      </w:r>
      <w:r w:rsidRPr="00DE71C0">
        <w:rPr>
          <w:color w:val="000000"/>
        </w:rPr>
        <w:t>λ</w:t>
      </w:r>
      <w:r w:rsidRPr="00DE71C0">
        <w:rPr>
          <w:color w:val="000000"/>
          <w:lang w:val="sv-SE"/>
        </w:rPr>
        <w:t>*</w:t>
      </w:r>
      <w:r>
        <w:rPr>
          <w:color w:val="000000"/>
          <w:lang w:val="sv-SE"/>
        </w:rPr>
        <w:t xml:space="preserve"> </w:t>
      </w:r>
      <w:r>
        <w:rPr>
          <w:color w:val="000000"/>
          <w:lang w:val="sv-SE"/>
        </w:rPr>
        <w:sym w:font="Symbol" w:char="F0AE"/>
      </w:r>
      <w:r>
        <w:rPr>
          <w:color w:val="000000"/>
          <w:lang w:val="sv-SE"/>
        </w:rPr>
        <w:t xml:space="preserve"> 1 as </w:t>
      </w:r>
      <w:smartTag w:uri="urn:schemas-microsoft-com:office:smarttags" w:element="stockticker">
        <w:r>
          <w:rPr>
            <w:color w:val="000000"/>
            <w:lang w:val="sv-SE"/>
          </w:rPr>
          <w:t>TRE</w:t>
        </w:r>
      </w:smartTag>
      <w:r>
        <w:rPr>
          <w:color w:val="000000"/>
          <w:lang w:val="sv-SE"/>
        </w:rPr>
        <w:t xml:space="preserve"> </w:t>
      </w:r>
      <w:r>
        <w:rPr>
          <w:color w:val="000000"/>
          <w:lang w:val="sv-SE"/>
        </w:rPr>
        <w:sym w:font="Symbol" w:char="F0AE"/>
      </w:r>
      <w:r>
        <w:rPr>
          <w:color w:val="000000"/>
          <w:lang w:val="sv-SE"/>
        </w:rPr>
        <w:t xml:space="preserve"> </w:t>
      </w:r>
      <w:smartTag w:uri="urn:schemas-microsoft-com:office:smarttags" w:element="stockticker">
        <w:r>
          <w:rPr>
            <w:color w:val="000000"/>
            <w:lang w:val="sv-SE"/>
          </w:rPr>
          <w:t>TNE</w:t>
        </w:r>
      </w:smartTag>
      <w:r>
        <w:rPr>
          <w:color w:val="000000"/>
          <w:lang w:val="sv-SE"/>
        </w:rPr>
        <w:t>.</w:t>
      </w:r>
    </w:p>
    <w:p w:rsidR="006E398A" w:rsidRPr="00E5270D" w:rsidRDefault="006E398A" w:rsidP="006E398A">
      <w:pPr>
        <w:pStyle w:val="Normaali1"/>
        <w:numPr>
          <w:ilvl w:val="0"/>
          <w:numId w:val="2"/>
        </w:numPr>
        <w:spacing w:line="480" w:lineRule="auto"/>
        <w:ind w:left="426" w:hanging="426"/>
        <w:rPr>
          <w:rFonts w:ascii="Times New Roman" w:hAnsi="Times New Roman"/>
        </w:rPr>
      </w:pPr>
      <w:r w:rsidRPr="00826E67">
        <w:rPr>
          <w:rFonts w:ascii="Times New Roman" w:hAnsi="Times New Roman"/>
        </w:rPr>
        <w:t xml:space="preserve">See Flegg </w:t>
      </w:r>
      <w:r w:rsidRPr="00826E67">
        <w:rPr>
          <w:rFonts w:ascii="Times New Roman" w:hAnsi="Times New Roman"/>
          <w:i/>
        </w:rPr>
        <w:t>et al.</w:t>
      </w:r>
      <w:r>
        <w:rPr>
          <w:rFonts w:ascii="Times New Roman" w:hAnsi="Times New Roman"/>
        </w:rPr>
        <w:t xml:space="preserve"> (</w:t>
      </w:r>
      <w:r w:rsidRPr="00826E67">
        <w:rPr>
          <w:rFonts w:ascii="Times New Roman" w:hAnsi="Times New Roman"/>
        </w:rPr>
        <w:t>1995, Table 9</w:t>
      </w:r>
      <w:r>
        <w:rPr>
          <w:rFonts w:ascii="Times New Roman" w:hAnsi="Times New Roman"/>
        </w:rPr>
        <w:t>)</w:t>
      </w:r>
      <w:r w:rsidRPr="00826E67">
        <w:rPr>
          <w:rFonts w:ascii="Times New Roman" w:hAnsi="Times New Roman"/>
        </w:rPr>
        <w:t>.  In its original form, the FLQ incorporated an unknown parameter β</w:t>
      </w:r>
      <w:r>
        <w:rPr>
          <w:rFonts w:ascii="Times New Roman" w:hAnsi="Times New Roman"/>
        </w:rPr>
        <w:t xml:space="preserve">, which can be converted into a </w:t>
      </w:r>
      <w:r w:rsidRPr="00826E67">
        <w:rPr>
          <w:rFonts w:ascii="Times New Roman" w:hAnsi="Times New Roman"/>
          <w:color w:val="000000"/>
        </w:rPr>
        <w:t>δ</w:t>
      </w:r>
      <w:r>
        <w:rPr>
          <w:rFonts w:ascii="Times New Roman" w:hAnsi="Times New Roman"/>
          <w:color w:val="000000"/>
        </w:rPr>
        <w:t xml:space="preserve"> via the formula: </w:t>
      </w:r>
      <w:r w:rsidRPr="00826E67">
        <w:rPr>
          <w:rFonts w:ascii="Times New Roman" w:hAnsi="Times New Roman"/>
          <w:color w:val="000000"/>
        </w:rPr>
        <w:t>δ</w:t>
      </w:r>
      <w:r>
        <w:rPr>
          <w:rFonts w:ascii="Times New Roman" w:hAnsi="Times New Roman"/>
          <w:color w:val="000000"/>
        </w:rPr>
        <w:t xml:space="preserve"> = </w:t>
      </w:r>
      <w:r w:rsidRPr="00826E67">
        <w:rPr>
          <w:rFonts w:ascii="Times New Roman" w:hAnsi="Times New Roman"/>
        </w:rPr>
        <w:t>β</w:t>
      </w:r>
      <w:r>
        <w:rPr>
          <w:rFonts w:ascii="Times New Roman" w:hAnsi="Times New Roman"/>
        </w:rPr>
        <w:t xml:space="preserve"> </w:t>
      </w:r>
      <w:r>
        <w:rPr>
          <w:color w:val="000000"/>
          <w:lang w:val="sv-SE"/>
        </w:rPr>
        <w:t xml:space="preserve">× </w:t>
      </w:r>
      <w:r>
        <w:rPr>
          <w:rFonts w:ascii="Times New Roman" w:hAnsi="Times New Roman"/>
        </w:rPr>
        <w:t>(x/y), where R is regional size, x = log</w:t>
      </w:r>
      <w:r>
        <w:rPr>
          <w:rFonts w:ascii="Times New Roman" w:hAnsi="Times New Roman"/>
          <w:vertAlign w:val="subscript"/>
        </w:rPr>
        <w:t>10</w:t>
      </w:r>
      <w:r>
        <w:rPr>
          <w:rFonts w:ascii="Times New Roman" w:hAnsi="Times New Roman"/>
        </w:rPr>
        <w:t>[0.30103R</w:t>
      </w:r>
      <w:r>
        <w:rPr>
          <w:rFonts w:ascii="Times New Roman" w:hAnsi="Times New Roman"/>
          <w:vertAlign w:val="subscript"/>
        </w:rPr>
        <w:t xml:space="preserve"> </w:t>
      </w:r>
      <w:r>
        <w:rPr>
          <w:rFonts w:ascii="Times New Roman" w:hAnsi="Times New Roman"/>
        </w:rPr>
        <w:t>/</w:t>
      </w:r>
      <w:r>
        <w:rPr>
          <w:rFonts w:ascii="Times New Roman" w:hAnsi="Times New Roman"/>
          <w:vertAlign w:val="subscript"/>
        </w:rPr>
        <w:t xml:space="preserve"> </w:t>
      </w:r>
      <w:r>
        <w:rPr>
          <w:rFonts w:ascii="Times New Roman" w:hAnsi="Times New Roman"/>
        </w:rPr>
        <w:t>log</w:t>
      </w:r>
      <w:r>
        <w:rPr>
          <w:rFonts w:ascii="Times New Roman" w:hAnsi="Times New Roman"/>
          <w:vertAlign w:val="subscript"/>
        </w:rPr>
        <w:t>10</w:t>
      </w:r>
      <w:r>
        <w:rPr>
          <w:rFonts w:ascii="Times New Roman" w:hAnsi="Times New Roman"/>
        </w:rPr>
        <w:t>(1 + R)] and y = log</w:t>
      </w:r>
      <w:r>
        <w:rPr>
          <w:rFonts w:ascii="Times New Roman" w:hAnsi="Times New Roman"/>
          <w:vertAlign w:val="subscript"/>
        </w:rPr>
        <w:t>10</w:t>
      </w:r>
      <w:r>
        <w:rPr>
          <w:rFonts w:ascii="Times New Roman" w:hAnsi="Times New Roman"/>
        </w:rPr>
        <w:t>[3.</w:t>
      </w:r>
      <w:r w:rsidRPr="00AA0F7C">
        <w:rPr>
          <w:rFonts w:ascii="Times New Roman" w:hAnsi="Times New Roman"/>
        </w:rPr>
        <w:t>32193</w:t>
      </w:r>
      <w:r>
        <w:rPr>
          <w:rFonts w:ascii="Times New Roman" w:hAnsi="Times New Roman"/>
          <w:vertAlign w:val="subscript"/>
        </w:rPr>
        <w:t xml:space="preserve"> </w:t>
      </w:r>
      <w:r w:rsidRPr="00AA0F7C">
        <w:rPr>
          <w:rFonts w:ascii="Times New Roman" w:hAnsi="Times New Roman"/>
        </w:rPr>
        <w:t>log</w:t>
      </w:r>
      <w:r w:rsidRPr="00AA0F7C">
        <w:rPr>
          <w:rFonts w:ascii="Times New Roman" w:hAnsi="Times New Roman"/>
          <w:vertAlign w:val="subscript"/>
        </w:rPr>
        <w:t>10</w:t>
      </w:r>
      <w:r>
        <w:rPr>
          <w:rFonts w:ascii="Times New Roman" w:hAnsi="Times New Roman"/>
        </w:rPr>
        <w:t xml:space="preserve">(1 + R)]. </w:t>
      </w:r>
      <w:r w:rsidRPr="00AA0F7C">
        <w:rPr>
          <w:rFonts w:ascii="Times New Roman" w:hAnsi="Times New Roman"/>
        </w:rPr>
        <w:t xml:space="preserve"> </w:t>
      </w:r>
      <w:r>
        <w:rPr>
          <w:rFonts w:ascii="Times New Roman" w:hAnsi="Times New Roman"/>
        </w:rPr>
        <w:t xml:space="preserve">Given R = 0.0015 for </w:t>
      </w:r>
      <w:r w:rsidRPr="00826E67">
        <w:rPr>
          <w:rFonts w:ascii="Times New Roman" w:hAnsi="Times New Roman"/>
          <w:color w:val="000000"/>
        </w:rPr>
        <w:t>P</w:t>
      </w:r>
      <w:r>
        <w:rPr>
          <w:rFonts w:ascii="Times New Roman" w:hAnsi="Times New Roman"/>
          <w:color w:val="000000"/>
        </w:rPr>
        <w:t>e</w:t>
      </w:r>
      <w:r w:rsidRPr="00826E67">
        <w:rPr>
          <w:rFonts w:ascii="Times New Roman" w:hAnsi="Times New Roman"/>
          <w:color w:val="000000"/>
        </w:rPr>
        <w:t>terborough</w:t>
      </w:r>
      <w:r>
        <w:rPr>
          <w:rFonts w:ascii="Times New Roman" w:hAnsi="Times New Roman"/>
          <w:color w:val="000000"/>
        </w:rPr>
        <w:t>,</w:t>
      </w:r>
      <w:r w:rsidRPr="00826E67">
        <w:rPr>
          <w:rFonts w:ascii="Times New Roman" w:hAnsi="Times New Roman"/>
        </w:rPr>
        <w:t xml:space="preserve"> β = 5</w:t>
      </w:r>
      <w:r w:rsidRPr="00826E67">
        <w:rPr>
          <w:rFonts w:ascii="Times New Roman" w:hAnsi="Times New Roman"/>
          <w:color w:val="000000"/>
        </w:rPr>
        <w:t xml:space="preserve"> is equivalent to δ ≈ 0.3</w:t>
      </w:r>
      <w:r>
        <w:rPr>
          <w:rFonts w:ascii="Times New Roman" w:hAnsi="Times New Roman"/>
          <w:color w:val="000000"/>
        </w:rPr>
        <w:t>.</w:t>
      </w:r>
    </w:p>
    <w:p w:rsidR="006E398A" w:rsidRPr="00826E67" w:rsidRDefault="006E398A" w:rsidP="0034524C">
      <w:pPr>
        <w:pStyle w:val="Normaali1"/>
        <w:numPr>
          <w:ilvl w:val="0"/>
          <w:numId w:val="2"/>
        </w:numPr>
        <w:spacing w:line="480" w:lineRule="auto"/>
        <w:ind w:left="426" w:hanging="426"/>
        <w:rPr>
          <w:rFonts w:ascii="Times New Roman" w:hAnsi="Times New Roman"/>
        </w:rPr>
      </w:pPr>
      <w:r>
        <w:rPr>
          <w:rFonts w:ascii="Times New Roman" w:hAnsi="Times New Roman"/>
        </w:rPr>
        <w:t>It should be noted that the SLQ was not used along the principal diagonal of the CILQ.</w:t>
      </w:r>
    </w:p>
    <w:p w:rsidR="006E398A" w:rsidRPr="00EC5441" w:rsidRDefault="006E398A" w:rsidP="006E398A">
      <w:pPr>
        <w:pStyle w:val="Normaali1"/>
        <w:numPr>
          <w:ilvl w:val="0"/>
          <w:numId w:val="2"/>
        </w:numPr>
        <w:spacing w:line="480" w:lineRule="auto"/>
        <w:ind w:left="426" w:hanging="426"/>
        <w:rPr>
          <w:rFonts w:ascii="Times New Roman" w:hAnsi="Times New Roman"/>
        </w:rPr>
      </w:pPr>
      <w:r>
        <w:rPr>
          <w:rFonts w:ascii="Times New Roman" w:hAnsi="Times New Roman"/>
          <w:lang w:val="en-GB"/>
        </w:rPr>
        <w:t xml:space="preserve">In fact, for the </w:t>
      </w:r>
      <w:r>
        <w:rPr>
          <w:rFonts w:ascii="Times New Roman" w:hAnsi="Times New Roman"/>
        </w:rPr>
        <w:t xml:space="preserve">FLQ, </w:t>
      </w:r>
      <w:r>
        <w:rPr>
          <w:rFonts w:ascii="Times New Roman" w:hAnsi="Times New Roman"/>
          <w:lang w:val="en-GB"/>
        </w:rPr>
        <w:t>σ declined from 1.30 for</w:t>
      </w:r>
      <w:r>
        <w:rPr>
          <w:rFonts w:ascii="Times New Roman" w:hAnsi="Times New Roman"/>
        </w:rPr>
        <w:t xml:space="preserve"> </w:t>
      </w:r>
      <w:r w:rsidRPr="009F273F">
        <w:rPr>
          <w:color w:val="000000"/>
        </w:rPr>
        <w:t>δ</w:t>
      </w:r>
      <w:r>
        <w:rPr>
          <w:color w:val="000000"/>
        </w:rPr>
        <w:t xml:space="preserve"> = 0.3 to 0.88 for </w:t>
      </w:r>
      <w:r w:rsidRPr="009F273F">
        <w:rPr>
          <w:color w:val="000000"/>
        </w:rPr>
        <w:t>δ</w:t>
      </w:r>
      <w:r>
        <w:rPr>
          <w:color w:val="000000"/>
        </w:rPr>
        <w:t xml:space="preserve"> = 0.9.  However, we would not recommend using a </w:t>
      </w:r>
      <w:r w:rsidRPr="009F273F">
        <w:rPr>
          <w:color w:val="000000"/>
        </w:rPr>
        <w:t>δ</w:t>
      </w:r>
      <w:r>
        <w:rPr>
          <w:color w:val="000000"/>
        </w:rPr>
        <w:t xml:space="preserve"> &gt; 0.3 because of the strong negative bias that this would introduce.  See</w:t>
      </w:r>
      <w:r w:rsidRPr="00EC5441">
        <w:rPr>
          <w:rFonts w:ascii="Times New Roman" w:hAnsi="Times New Roman"/>
          <w:color w:val="000000"/>
        </w:rPr>
        <w:t xml:space="preserve"> </w:t>
      </w:r>
      <w:r w:rsidRPr="00FB37EA">
        <w:rPr>
          <w:rFonts w:ascii="Times New Roman" w:hAnsi="Times New Roman"/>
          <w:color w:val="000000"/>
        </w:rPr>
        <w:t>Bonfiglio and Chelli</w:t>
      </w:r>
      <w:r>
        <w:rPr>
          <w:rFonts w:ascii="Times New Roman" w:hAnsi="Times New Roman"/>
          <w:color w:val="000000"/>
        </w:rPr>
        <w:t xml:space="preserve"> (</w:t>
      </w:r>
      <w:r w:rsidRPr="00FB37EA">
        <w:rPr>
          <w:rFonts w:ascii="Times New Roman" w:hAnsi="Times New Roman"/>
          <w:color w:val="000000"/>
        </w:rPr>
        <w:t>2008</w:t>
      </w:r>
      <w:r>
        <w:rPr>
          <w:rFonts w:ascii="Times New Roman" w:hAnsi="Times New Roman"/>
          <w:color w:val="000000"/>
        </w:rPr>
        <w:t>, Table 1)</w:t>
      </w:r>
      <w:r w:rsidRPr="00FB37EA">
        <w:rPr>
          <w:rFonts w:ascii="Times New Roman" w:hAnsi="Times New Roman"/>
          <w:color w:val="000000"/>
        </w:rPr>
        <w:t>.</w:t>
      </w:r>
    </w:p>
    <w:p w:rsidR="006E398A" w:rsidRPr="00952980" w:rsidRDefault="006E398A" w:rsidP="006E398A">
      <w:pPr>
        <w:pStyle w:val="Normaali1"/>
        <w:numPr>
          <w:ilvl w:val="0"/>
          <w:numId w:val="2"/>
        </w:numPr>
        <w:spacing w:line="480" w:lineRule="auto"/>
        <w:ind w:left="426" w:hanging="426"/>
        <w:rPr>
          <w:rFonts w:ascii="Times New Roman" w:hAnsi="Times New Roman"/>
        </w:rPr>
      </w:pPr>
      <w:r>
        <w:rPr>
          <w:rFonts w:ascii="Times New Roman" w:hAnsi="Times New Roman"/>
        </w:rPr>
        <w:t xml:space="preserve">The </w:t>
      </w:r>
      <w:proofErr w:type="spellStart"/>
      <w:r w:rsidRPr="00083EAA">
        <w:rPr>
          <w:rFonts w:ascii="Times New Roman" w:hAnsi="Times New Roman"/>
          <w:i/>
          <w:lang w:val="en-GB"/>
        </w:rPr>
        <w:t>mr</w:t>
      </w:r>
      <w:r>
        <w:rPr>
          <w:rFonts w:ascii="Times New Roman" w:hAnsi="Times New Roman"/>
          <w:i/>
          <w:lang w:val="en-GB"/>
        </w:rPr>
        <w:t>a</w:t>
      </w:r>
      <w:r w:rsidRPr="00083EAA">
        <w:rPr>
          <w:rFonts w:ascii="Times New Roman" w:hAnsi="Times New Roman"/>
          <w:i/>
          <w:lang w:val="en-GB"/>
        </w:rPr>
        <w:t>d</w:t>
      </w:r>
      <w:proofErr w:type="spellEnd"/>
      <w:r>
        <w:rPr>
          <w:rFonts w:ascii="Times New Roman" w:hAnsi="Times New Roman"/>
          <w:i/>
          <w:lang w:val="en-GB"/>
        </w:rPr>
        <w:t xml:space="preserve"> </w:t>
      </w:r>
      <w:r>
        <w:rPr>
          <w:rFonts w:ascii="Times New Roman" w:hAnsi="Times New Roman"/>
          <w:lang w:val="en-GB"/>
        </w:rPr>
        <w:t>for the A</w:t>
      </w:r>
      <w:r>
        <w:rPr>
          <w:rFonts w:ascii="Times New Roman" w:hAnsi="Times New Roman"/>
        </w:rPr>
        <w:t xml:space="preserve">FLQ </w:t>
      </w:r>
      <w:r>
        <w:rPr>
          <w:rFonts w:ascii="Times New Roman" w:hAnsi="Times New Roman"/>
          <w:lang w:val="en-GB"/>
        </w:rPr>
        <w:t>is 18.8% for</w:t>
      </w:r>
      <w:r w:rsidRPr="00780BBF">
        <w:rPr>
          <w:rFonts w:ascii="Times New Roman" w:hAnsi="Times New Roman"/>
        </w:rPr>
        <w:t xml:space="preserve"> </w:t>
      </w:r>
      <w:r w:rsidRPr="009F273F">
        <w:rPr>
          <w:color w:val="000000"/>
        </w:rPr>
        <w:t>δ</w:t>
      </w:r>
      <w:r>
        <w:rPr>
          <w:color w:val="000000"/>
        </w:rPr>
        <w:t xml:space="preserve"> = 0.3 and 18.3% for </w:t>
      </w:r>
      <w:r w:rsidRPr="009F273F">
        <w:rPr>
          <w:color w:val="000000"/>
        </w:rPr>
        <w:t>δ</w:t>
      </w:r>
      <w:r>
        <w:rPr>
          <w:color w:val="000000"/>
        </w:rPr>
        <w:t xml:space="preserve"> = 0.4.  The AFLQ requires</w:t>
      </w:r>
      <w:r>
        <w:rPr>
          <w:rFonts w:ascii="Times New Roman" w:hAnsi="Times New Roman"/>
          <w:lang w:val="en-GB"/>
        </w:rPr>
        <w:t xml:space="preserve"> </w:t>
      </w:r>
      <w:r>
        <w:rPr>
          <w:rFonts w:ascii="Times New Roman" w:hAnsi="Times New Roman"/>
        </w:rPr>
        <w:t>a</w:t>
      </w:r>
      <w:r>
        <w:rPr>
          <w:rFonts w:ascii="Times New Roman" w:hAnsi="Times New Roman"/>
          <w:lang w:val="en-GB"/>
        </w:rPr>
        <w:t xml:space="preserve"> </w:t>
      </w:r>
      <w:r>
        <w:rPr>
          <w:color w:val="000000"/>
        </w:rPr>
        <w:t xml:space="preserve">somewhat higher </w:t>
      </w:r>
      <w:r>
        <w:rPr>
          <w:rFonts w:ascii="Times New Roman" w:hAnsi="Times New Roman"/>
          <w:lang w:val="en-GB"/>
        </w:rPr>
        <w:t>value of</w:t>
      </w:r>
      <w:r>
        <w:rPr>
          <w:rFonts w:ascii="Times New Roman" w:hAnsi="Times New Roman"/>
        </w:rPr>
        <w:t xml:space="preserve"> </w:t>
      </w:r>
      <w:r w:rsidRPr="009F273F">
        <w:rPr>
          <w:color w:val="000000"/>
        </w:rPr>
        <w:t>δ</w:t>
      </w:r>
      <w:r>
        <w:rPr>
          <w:color w:val="000000"/>
        </w:rPr>
        <w:t xml:space="preserve"> than the FLQ to achieve a minimum </w:t>
      </w:r>
      <w:proofErr w:type="spellStart"/>
      <w:r w:rsidRPr="00083EAA">
        <w:rPr>
          <w:rFonts w:ascii="Times New Roman" w:hAnsi="Times New Roman"/>
          <w:i/>
          <w:lang w:val="en-GB"/>
        </w:rPr>
        <w:t>mr</w:t>
      </w:r>
      <w:r>
        <w:rPr>
          <w:rFonts w:ascii="Times New Roman" w:hAnsi="Times New Roman"/>
          <w:i/>
          <w:lang w:val="en-GB"/>
        </w:rPr>
        <w:t>a</w:t>
      </w:r>
      <w:r w:rsidRPr="00083EAA">
        <w:rPr>
          <w:rFonts w:ascii="Times New Roman" w:hAnsi="Times New Roman"/>
          <w:i/>
          <w:lang w:val="en-GB"/>
        </w:rPr>
        <w:t>d</w:t>
      </w:r>
      <w:proofErr w:type="spellEnd"/>
      <w:r>
        <w:rPr>
          <w:rFonts w:ascii="Times New Roman" w:hAnsi="Times New Roman"/>
          <w:lang w:val="en-GB"/>
        </w:rPr>
        <w:t>.  This is in line with expectations, as will be explained later in the paper.</w:t>
      </w:r>
    </w:p>
    <w:p w:rsidR="006E398A" w:rsidRPr="00A0793D" w:rsidRDefault="006E398A" w:rsidP="006E398A">
      <w:pPr>
        <w:pStyle w:val="Normaali1"/>
        <w:numPr>
          <w:ilvl w:val="0"/>
          <w:numId w:val="2"/>
        </w:numPr>
        <w:spacing w:line="480" w:lineRule="auto"/>
        <w:ind w:left="426" w:hanging="426"/>
        <w:rPr>
          <w:rFonts w:ascii="Times New Roman" w:hAnsi="Times New Roman"/>
          <w:color w:val="000000"/>
          <w:lang w:val="en-GB"/>
        </w:rPr>
      </w:pPr>
      <w:r>
        <w:rPr>
          <w:rFonts w:ascii="Times New Roman" w:hAnsi="Times New Roman"/>
          <w:color w:val="000000"/>
          <w:lang w:val="en-GB"/>
        </w:rPr>
        <w:t>Miller and Blair (2009, pp. 361</w:t>
      </w:r>
      <w:r w:rsidRPr="00FB37EA">
        <w:rPr>
          <w:rFonts w:ascii="Times New Roman" w:hAnsi="Times New Roman"/>
        </w:rPr>
        <w:sym w:font="Symbol" w:char="F02D"/>
      </w:r>
      <w:r>
        <w:rPr>
          <w:rFonts w:ascii="Times New Roman" w:hAnsi="Times New Roman"/>
        </w:rPr>
        <w:t xml:space="preserve">363) offer an illustrative example using a highly aggregated survey-based Chinese data set with three regions and three sectors.  The output multipliers for the FLQ and AFLQ exhibit a marked negative bias.  This occurs because the authors used </w:t>
      </w:r>
      <w:r w:rsidRPr="009F273F">
        <w:rPr>
          <w:color w:val="000000"/>
        </w:rPr>
        <w:t>δ</w:t>
      </w:r>
      <w:r>
        <w:rPr>
          <w:color w:val="000000"/>
        </w:rPr>
        <w:t xml:space="preserve"> = 0.3, which is evidently too high for this data set.  Even so, </w:t>
      </w:r>
      <w:r>
        <w:rPr>
          <w:rFonts w:ascii="Times New Roman" w:hAnsi="Times New Roman"/>
        </w:rPr>
        <w:t>the FLQ and AFLQ</w:t>
      </w:r>
      <w:r>
        <w:rPr>
          <w:color w:val="000000"/>
        </w:rPr>
        <w:t xml:space="preserve"> still perform better than the SLQ and CILQ. </w:t>
      </w:r>
      <w:r>
        <w:rPr>
          <w:rFonts w:ascii="Times New Roman" w:hAnsi="Times New Roman"/>
        </w:rPr>
        <w:t xml:space="preserve"> The most accurate results are obtained from the RAS and RPC (regional purchase coefficient) methods, although it should be borne in mind that these methods also have the most exacting data requirements.</w:t>
      </w:r>
      <w:r w:rsidRPr="00B01675">
        <w:rPr>
          <w:rFonts w:ascii="Times New Roman" w:hAnsi="Times New Roman"/>
        </w:rPr>
        <w:t xml:space="preserve"> </w:t>
      </w:r>
      <w:r>
        <w:rPr>
          <w:rFonts w:ascii="Times New Roman" w:hAnsi="Times New Roman"/>
        </w:rPr>
        <w:t xml:space="preserve"> The FLQ and AFLQ</w:t>
      </w:r>
      <w:r w:rsidRPr="00DC1C7D">
        <w:rPr>
          <w:rFonts w:ascii="Times New Roman" w:hAnsi="Times New Roman"/>
        </w:rPr>
        <w:t xml:space="preserve"> </w:t>
      </w:r>
      <w:r>
        <w:rPr>
          <w:rFonts w:ascii="Times New Roman" w:hAnsi="Times New Roman"/>
        </w:rPr>
        <w:t>yield very similar</w:t>
      </w:r>
      <w:r w:rsidRPr="008D5D77">
        <w:rPr>
          <w:rFonts w:ascii="Times New Roman" w:hAnsi="Times New Roman"/>
        </w:rPr>
        <w:t xml:space="preserve"> </w:t>
      </w:r>
      <w:r>
        <w:rPr>
          <w:rFonts w:ascii="Times New Roman" w:hAnsi="Times New Roman"/>
        </w:rPr>
        <w:t>results.</w:t>
      </w:r>
    </w:p>
    <w:p w:rsidR="006E398A" w:rsidRDefault="006E398A" w:rsidP="006E398A">
      <w:pPr>
        <w:pStyle w:val="Normaali1"/>
        <w:numPr>
          <w:ilvl w:val="0"/>
          <w:numId w:val="2"/>
        </w:numPr>
        <w:spacing w:line="480" w:lineRule="auto"/>
        <w:ind w:left="426" w:hanging="426"/>
        <w:rPr>
          <w:rFonts w:ascii="Times New Roman" w:hAnsi="Times New Roman"/>
        </w:rPr>
      </w:pPr>
      <w:r>
        <w:rPr>
          <w:rFonts w:ascii="Times New Roman" w:hAnsi="Times New Roman"/>
        </w:rPr>
        <w:t>Type II multipliers take the induced spending by households into account.</w:t>
      </w:r>
    </w:p>
    <w:p w:rsidR="006E398A" w:rsidRDefault="006E398A" w:rsidP="006E398A">
      <w:pPr>
        <w:pStyle w:val="Normaali1"/>
        <w:numPr>
          <w:ilvl w:val="0"/>
          <w:numId w:val="2"/>
        </w:numPr>
        <w:spacing w:line="480" w:lineRule="auto"/>
        <w:ind w:left="426" w:hanging="426"/>
        <w:rPr>
          <w:rFonts w:ascii="Times New Roman" w:hAnsi="Times New Roman"/>
        </w:rPr>
      </w:pPr>
      <w:r>
        <w:rPr>
          <w:rFonts w:ascii="Times New Roman" w:hAnsi="Times New Roman"/>
        </w:rPr>
        <w:lastRenderedPageBreak/>
        <w:t>It is not stated whether the SLQ was used along the principal diagonal of the CILQ.</w:t>
      </w:r>
    </w:p>
    <w:p w:rsidR="006E398A" w:rsidRPr="009B4230" w:rsidRDefault="006E398A" w:rsidP="006E398A">
      <w:pPr>
        <w:pStyle w:val="Normaali1"/>
        <w:numPr>
          <w:ilvl w:val="0"/>
          <w:numId w:val="2"/>
        </w:numPr>
        <w:spacing w:line="480" w:lineRule="auto"/>
        <w:ind w:left="426" w:hanging="426"/>
        <w:rPr>
          <w:rFonts w:ascii="Times New Roman" w:hAnsi="Times New Roman"/>
        </w:rPr>
      </w:pPr>
      <w:r>
        <w:rPr>
          <w:rFonts w:ascii="Times New Roman" w:hAnsi="Times New Roman"/>
          <w:color w:val="000000"/>
          <w:lang w:val="en-GB"/>
        </w:rPr>
        <w:t xml:space="preserve">Cf. </w:t>
      </w:r>
      <w:r>
        <w:rPr>
          <w:color w:val="000000"/>
        </w:rPr>
        <w:t xml:space="preserve">Riddington </w:t>
      </w:r>
      <w:r>
        <w:rPr>
          <w:i/>
          <w:color w:val="000000"/>
        </w:rPr>
        <w:t>et al.</w:t>
      </w:r>
      <w:r>
        <w:rPr>
          <w:color w:val="000000"/>
        </w:rPr>
        <w:t xml:space="preserve"> (</w:t>
      </w:r>
      <w:r>
        <w:rPr>
          <w:rFonts w:ascii="Times New Roman" w:hAnsi="Times New Roman"/>
          <w:color w:val="000000"/>
          <w:lang w:val="en-GB"/>
        </w:rPr>
        <w:t xml:space="preserve">2006, </w:t>
      </w:r>
      <w:r w:rsidRPr="00737675">
        <w:rPr>
          <w:rFonts w:ascii="Times New Roman" w:hAnsi="Times New Roman"/>
          <w:color w:val="000000"/>
          <w:lang w:val="en-GB"/>
        </w:rPr>
        <w:t>p. 107</w:t>
      </w:r>
      <w:r>
        <w:rPr>
          <w:rFonts w:ascii="Times New Roman" w:hAnsi="Times New Roman"/>
          <w:color w:val="000000"/>
          <w:lang w:val="en-GB"/>
        </w:rPr>
        <w:t>8)</w:t>
      </w:r>
      <w:r w:rsidRPr="00737675">
        <w:rPr>
          <w:rFonts w:ascii="Times New Roman" w:hAnsi="Times New Roman"/>
          <w:color w:val="000000"/>
          <w:lang w:val="en-GB"/>
        </w:rPr>
        <w:t>.</w:t>
      </w:r>
      <w:r>
        <w:rPr>
          <w:rFonts w:ascii="Times New Roman" w:hAnsi="Times New Roman"/>
          <w:color w:val="000000"/>
          <w:lang w:val="en-GB"/>
        </w:rPr>
        <w:t xml:space="preserve">  F</w:t>
      </w:r>
      <w:r>
        <w:rPr>
          <w:color w:val="000000"/>
        </w:rPr>
        <w:t>or the MBS region,</w:t>
      </w:r>
      <w:r>
        <w:rPr>
          <w:rFonts w:ascii="Times New Roman" w:hAnsi="Times New Roman"/>
          <w:color w:val="000000"/>
          <w:lang w:val="en-GB"/>
        </w:rPr>
        <w:t xml:space="preserve"> β = 0.25 entails </w:t>
      </w:r>
      <w:r w:rsidRPr="009F273F">
        <w:rPr>
          <w:color w:val="000000"/>
        </w:rPr>
        <w:t>δ</w:t>
      </w:r>
      <w:r>
        <w:rPr>
          <w:color w:val="000000"/>
        </w:rPr>
        <w:t xml:space="preserve"> = 0.026.</w:t>
      </w:r>
    </w:p>
    <w:p w:rsidR="006E398A" w:rsidRPr="00D11B7D" w:rsidRDefault="006E398A" w:rsidP="00FD1291">
      <w:pPr>
        <w:pStyle w:val="Normaali1"/>
        <w:numPr>
          <w:ilvl w:val="0"/>
          <w:numId w:val="2"/>
        </w:numPr>
        <w:tabs>
          <w:tab w:val="left" w:pos="3120"/>
          <w:tab w:val="left" w:pos="6120"/>
        </w:tabs>
        <w:spacing w:line="480" w:lineRule="auto"/>
        <w:ind w:left="425" w:hanging="425"/>
        <w:rPr>
          <w:rFonts w:ascii="Times New Roman" w:hAnsi="Times New Roman"/>
          <w:b/>
          <w:color w:val="000000"/>
        </w:rPr>
      </w:pPr>
      <w:r>
        <w:rPr>
          <w:rFonts w:ascii="Times New Roman" w:hAnsi="Times New Roman"/>
          <w:color w:val="000000"/>
        </w:rPr>
        <w:t xml:space="preserve">The CILQ-based multiplier is noticeably skewed by the data for the food processing sector.  This is an atypical sector in the MBS area since nearly all </w:t>
      </w:r>
      <w:r>
        <w:rPr>
          <w:rFonts w:ascii="Times New Roman" w:hAnsi="Times New Roman"/>
          <w:color w:val="000000"/>
          <w:lang w:val="en-GB"/>
        </w:rPr>
        <w:t xml:space="preserve">of its output is exported, while most processed foods are imported from plants throughout Scotland (cf. </w:t>
      </w:r>
      <w:r>
        <w:rPr>
          <w:color w:val="000000"/>
        </w:rPr>
        <w:t xml:space="preserve">Riddington </w:t>
      </w:r>
      <w:r>
        <w:rPr>
          <w:i/>
          <w:color w:val="000000"/>
        </w:rPr>
        <w:t>et al.</w:t>
      </w:r>
      <w:r w:rsidRPr="00737675">
        <w:rPr>
          <w:rFonts w:ascii="Times New Roman" w:hAnsi="Times New Roman"/>
          <w:color w:val="000000"/>
          <w:lang w:val="en-GB"/>
        </w:rPr>
        <w:t xml:space="preserve">, </w:t>
      </w:r>
      <w:r>
        <w:rPr>
          <w:rFonts w:ascii="Times New Roman" w:hAnsi="Times New Roman"/>
          <w:color w:val="000000"/>
          <w:lang w:val="en-GB"/>
        </w:rPr>
        <w:t xml:space="preserve">2006, </w:t>
      </w:r>
      <w:r w:rsidRPr="00737675">
        <w:rPr>
          <w:rFonts w:ascii="Times New Roman" w:hAnsi="Times New Roman"/>
          <w:color w:val="000000"/>
          <w:lang w:val="en-GB"/>
        </w:rPr>
        <w:t>p. 1077).</w:t>
      </w:r>
      <w:r>
        <w:rPr>
          <w:rFonts w:ascii="Times New Roman" w:hAnsi="Times New Roman"/>
          <w:color w:val="000000"/>
          <w:lang w:val="en-GB"/>
        </w:rPr>
        <w:t xml:space="preserve">  </w:t>
      </w:r>
      <w:r>
        <w:rPr>
          <w:rFonts w:ascii="Times New Roman" w:hAnsi="Times New Roman"/>
          <w:color w:val="000000"/>
        </w:rPr>
        <w:t>When this dominant sector is excluded, the multipliers become 1.666 (survey), 1.750 (gravity model), 1.499 (SLQ) and 1.659 (CILQ).</w:t>
      </w:r>
    </w:p>
    <w:p w:rsidR="006E398A" w:rsidRPr="00D11B7D" w:rsidRDefault="006E398A" w:rsidP="006E398A">
      <w:pPr>
        <w:pStyle w:val="ListParagraph"/>
        <w:widowControl w:val="0"/>
        <w:numPr>
          <w:ilvl w:val="0"/>
          <w:numId w:val="2"/>
        </w:numPr>
        <w:spacing w:line="480" w:lineRule="auto"/>
        <w:ind w:left="426" w:hanging="426"/>
      </w:pPr>
      <w:r w:rsidRPr="00D11B7D">
        <w:rPr>
          <w:color w:val="000000"/>
        </w:rPr>
        <w:t>Output has a correlation of 0.998 with value added and 0.988 with population.</w:t>
      </w:r>
    </w:p>
    <w:p w:rsidR="001162E7" w:rsidRDefault="00FB62C9" w:rsidP="00FB62C9">
      <w:pPr>
        <w:pStyle w:val="Normaali1"/>
        <w:tabs>
          <w:tab w:val="left" w:pos="426"/>
        </w:tabs>
        <w:spacing w:line="480" w:lineRule="auto"/>
        <w:ind w:left="426" w:hanging="426"/>
        <w:rPr>
          <w:rFonts w:ascii="Times New Roman" w:hAnsi="Times New Roman"/>
          <w:color w:val="000000"/>
        </w:rPr>
      </w:pPr>
      <w:r>
        <w:rPr>
          <w:rFonts w:ascii="Times New Roman" w:hAnsi="Times New Roman"/>
          <w:color w:val="000000"/>
          <w:lang w:val="en-GB"/>
        </w:rPr>
        <w:t>18.</w:t>
      </w:r>
      <w:r>
        <w:rPr>
          <w:rFonts w:ascii="Times New Roman" w:hAnsi="Times New Roman"/>
          <w:color w:val="000000"/>
          <w:lang w:val="en-GB"/>
        </w:rPr>
        <w:tab/>
      </w:r>
      <w:r w:rsidR="006E398A">
        <w:rPr>
          <w:rFonts w:ascii="Times New Roman" w:hAnsi="Times New Roman"/>
          <w:color w:val="000000"/>
          <w:lang w:val="en-GB"/>
        </w:rPr>
        <w:t>For a more detailed discussion of regional specialization and industrial concentration in Finland, see Tohmo (2007, chapters 2</w:t>
      </w:r>
      <w:r w:rsidR="006E398A">
        <w:rPr>
          <w:rFonts w:ascii="Times New Roman" w:hAnsi="Times New Roman"/>
          <w:color w:val="000000"/>
          <w:lang w:val="en-GB"/>
        </w:rPr>
        <w:sym w:font="Symbol" w:char="F02D"/>
      </w:r>
      <w:r w:rsidR="006E398A">
        <w:rPr>
          <w:rFonts w:ascii="Times New Roman" w:hAnsi="Times New Roman"/>
          <w:color w:val="000000"/>
          <w:lang w:val="en-GB"/>
        </w:rPr>
        <w:t xml:space="preserve">5).  Also see Tohmo </w:t>
      </w:r>
      <w:r w:rsidR="006E398A">
        <w:rPr>
          <w:rFonts w:ascii="Times New Roman" w:hAnsi="Times New Roman"/>
          <w:i/>
          <w:color w:val="000000"/>
          <w:lang w:val="en-GB"/>
        </w:rPr>
        <w:t>et al.</w:t>
      </w:r>
      <w:r w:rsidR="006E398A">
        <w:rPr>
          <w:rFonts w:ascii="Times New Roman" w:hAnsi="Times New Roman"/>
          <w:color w:val="000000"/>
          <w:lang w:val="en-GB"/>
        </w:rPr>
        <w:t xml:space="preserve"> (2006).</w:t>
      </w:r>
    </w:p>
    <w:p w:rsidR="0034524C" w:rsidRDefault="00E25CA7" w:rsidP="00FB62C9">
      <w:pPr>
        <w:pStyle w:val="Normaali1"/>
        <w:tabs>
          <w:tab w:val="left" w:pos="426"/>
        </w:tabs>
        <w:spacing w:line="480" w:lineRule="auto"/>
        <w:ind w:left="426" w:hanging="426"/>
      </w:pPr>
      <w:r w:rsidRPr="00D120CE">
        <w:rPr>
          <w:rFonts w:ascii="Times New Roman" w:hAnsi="Times New Roman"/>
          <w:color w:val="000000"/>
        </w:rPr>
        <w:t>19.</w:t>
      </w:r>
      <w:r w:rsidR="0031773C">
        <w:rPr>
          <w:rFonts w:ascii="Times New Roman" w:hAnsi="Times New Roman"/>
          <w:color w:val="000000"/>
        </w:rPr>
        <w:tab/>
      </w:r>
      <w:r w:rsidRPr="00C6328C">
        <w:t>The domestic import propensity</w:t>
      </w:r>
      <w:r w:rsidR="0034524C">
        <w:t>, κ,</w:t>
      </w:r>
      <w:r w:rsidRPr="00C6328C">
        <w:t xml:space="preserve">  for a given region was calculated using the formula:</w:t>
      </w:r>
    </w:p>
    <w:p w:rsidR="00E25CA7" w:rsidRPr="0034524C" w:rsidRDefault="0034524C" w:rsidP="0034524C">
      <w:pPr>
        <w:pStyle w:val="Normaali1"/>
        <w:tabs>
          <w:tab w:val="left" w:pos="426"/>
        </w:tabs>
        <w:spacing w:line="480" w:lineRule="auto"/>
        <w:ind w:left="426" w:hanging="426"/>
        <w:rPr>
          <w:rFonts w:ascii="Times New Roman" w:hAnsi="Times New Roman"/>
          <w:b/>
          <w:color w:val="000000"/>
        </w:rPr>
      </w:pPr>
      <w:r>
        <w:tab/>
        <w:t>κ</w:t>
      </w:r>
      <w:r w:rsidR="00E25CA7" w:rsidRPr="00C6328C">
        <w:rPr>
          <w:rFonts w:ascii="Times New Roman" w:hAnsi="Times New Roman"/>
          <w:szCs w:val="24"/>
          <w:lang w:val="en-GB"/>
        </w:rPr>
        <w:t xml:space="preserve"> = </w:t>
      </w:r>
      <w:proofErr w:type="spellStart"/>
      <w:r w:rsidR="00E25CA7" w:rsidRPr="00C6328C">
        <w:rPr>
          <w:rFonts w:ascii="Times New Roman" w:hAnsi="Times New Roman"/>
          <w:szCs w:val="24"/>
          <w:lang w:val="en-GB"/>
        </w:rPr>
        <w:t>Σ</w:t>
      </w:r>
      <w:r w:rsidR="00E25CA7" w:rsidRPr="00C6328C">
        <w:rPr>
          <w:rFonts w:ascii="Times New Roman" w:hAnsi="Times New Roman"/>
          <w:szCs w:val="24"/>
          <w:vertAlign w:val="subscript"/>
          <w:lang w:val="en-GB"/>
        </w:rPr>
        <w:t>j</w:t>
      </w:r>
      <w:proofErr w:type="spellEnd"/>
      <w:r w:rsidR="00E25CA7" w:rsidRPr="00C6328C">
        <w:rPr>
          <w:rFonts w:ascii="Times New Roman" w:hAnsi="Times New Roman"/>
          <w:szCs w:val="24"/>
          <w:vertAlign w:val="subscript"/>
          <w:lang w:val="en-GB"/>
        </w:rPr>
        <w:t xml:space="preserve"> </w:t>
      </w:r>
      <w:proofErr w:type="spellStart"/>
      <w:r w:rsidR="00E25CA7" w:rsidRPr="00C6328C">
        <w:rPr>
          <w:rFonts w:ascii="Times New Roman" w:hAnsi="Times New Roman"/>
          <w:szCs w:val="24"/>
          <w:lang w:val="en-GB"/>
        </w:rPr>
        <w:t>Σ</w:t>
      </w:r>
      <w:r w:rsidR="00E25CA7" w:rsidRPr="00C6328C">
        <w:rPr>
          <w:rFonts w:ascii="Times New Roman" w:hAnsi="Times New Roman"/>
          <w:szCs w:val="24"/>
          <w:vertAlign w:val="subscript"/>
          <w:lang w:val="en-GB"/>
        </w:rPr>
        <w:t>i</w:t>
      </w:r>
      <w:proofErr w:type="spellEnd"/>
      <w:r w:rsidR="00E25CA7" w:rsidRPr="00C6328C">
        <w:rPr>
          <w:rFonts w:ascii="Times New Roman" w:hAnsi="Times New Roman"/>
          <w:position w:val="-14"/>
          <w:szCs w:val="24"/>
        </w:rPr>
        <w:object w:dxaOrig="1240" w:dyaOrig="380">
          <v:shape id="_x0000_i1063" type="#_x0000_t75" style="width:62.25pt;height:19.5pt" o:ole="">
            <v:imagedata r:id="rId79" o:title=""/>
          </v:shape>
          <o:OLEObject Type="Embed" ProgID="Equation.3" ShapeID="_x0000_i1063" DrawAspect="Content" ObjectID="_1354515173" r:id="rId80"/>
        </w:object>
      </w:r>
    </w:p>
    <w:p w:rsidR="00E25CA7" w:rsidRDefault="0034524C" w:rsidP="0031773C">
      <w:pPr>
        <w:tabs>
          <w:tab w:val="left" w:pos="426"/>
        </w:tabs>
        <w:spacing w:line="480" w:lineRule="auto"/>
        <w:ind w:left="426"/>
      </w:pPr>
      <w:r>
        <w:t xml:space="preserve">κ </w:t>
      </w:r>
      <w:r w:rsidR="00E25CA7">
        <w:t>represents the average proportion of gross output that is imported from other Finnish regions.</w:t>
      </w:r>
    </w:p>
    <w:p w:rsidR="00E25CA7" w:rsidRDefault="0031773C" w:rsidP="0031773C">
      <w:pPr>
        <w:tabs>
          <w:tab w:val="left" w:pos="426"/>
        </w:tabs>
        <w:spacing w:line="480" w:lineRule="auto"/>
        <w:ind w:left="420" w:hanging="420"/>
      </w:pPr>
      <w:r>
        <w:t>20.</w:t>
      </w:r>
      <w:r>
        <w:tab/>
      </w:r>
      <w:r w:rsidR="00E25CA7">
        <w:t>We deem an estimate to be ‘good’ if it has an absolute error below 0.015 and ‘adequate’ if this error is in the range 0.015 to 0.025.</w:t>
      </w:r>
    </w:p>
    <w:p w:rsidR="00E25CA7" w:rsidRDefault="00E25CA7" w:rsidP="0031773C">
      <w:pPr>
        <w:tabs>
          <w:tab w:val="left" w:pos="426"/>
        </w:tabs>
        <w:spacing w:line="480" w:lineRule="auto"/>
        <w:ind w:left="426" w:hanging="426"/>
      </w:pPr>
      <w:r>
        <w:t>21.</w:t>
      </w:r>
      <w:r>
        <w:tab/>
      </w:r>
      <w:r w:rsidR="00157A7B">
        <w:t xml:space="preserve">A log-linear model has some attractive theoretical properties, such as </w:t>
      </w:r>
      <w:r w:rsidR="00157A7B">
        <w:rPr>
          <w:color w:val="000000"/>
        </w:rPr>
        <w:t>a lognormal error term</w:t>
      </w:r>
      <w:r w:rsidR="00157A7B">
        <w:t xml:space="preserve"> and the fact that </w:t>
      </w:r>
      <w:r w:rsidR="00157A7B" w:rsidRPr="00D120CE">
        <w:rPr>
          <w:color w:val="000000"/>
        </w:rPr>
        <w:t>δ</w:t>
      </w:r>
      <w:r w:rsidR="00157A7B">
        <w:rPr>
          <w:color w:val="000000"/>
        </w:rPr>
        <w:t xml:space="preserve"> = 0 when </w:t>
      </w:r>
      <w:r w:rsidR="00157A7B">
        <w:rPr>
          <w:i/>
          <w:color w:val="000000"/>
        </w:rPr>
        <w:t xml:space="preserve">R </w:t>
      </w:r>
      <w:r w:rsidR="00157A7B">
        <w:rPr>
          <w:color w:val="000000"/>
        </w:rPr>
        <w:t>= 0.  It also</w:t>
      </w:r>
      <w:r w:rsidR="00157A7B">
        <w:t xml:space="preserve"> gave more accurate results than a linear formulation.  </w:t>
      </w:r>
      <w:r>
        <w:t xml:space="preserve">We attempted </w:t>
      </w:r>
      <w:r>
        <w:rPr>
          <w:color w:val="000000"/>
        </w:rPr>
        <w:sym w:font="Symbol" w:char="002D"/>
      </w:r>
      <w:r>
        <w:rPr>
          <w:color w:val="000000"/>
        </w:rPr>
        <w:t xml:space="preserve"> albeit unsuccessfully </w:t>
      </w:r>
      <w:r>
        <w:rPr>
          <w:color w:val="000000"/>
        </w:rPr>
        <w:sym w:font="Symbol" w:char="002D"/>
      </w:r>
      <w:r>
        <w:rPr>
          <w:color w:val="000000"/>
        </w:rPr>
        <w:t xml:space="preserve"> to refine </w:t>
      </w:r>
      <w:r w:rsidR="00157A7B">
        <w:rPr>
          <w:color w:val="000000"/>
        </w:rPr>
        <w:t>our</w:t>
      </w:r>
      <w:r>
        <w:rPr>
          <w:color w:val="000000"/>
        </w:rPr>
        <w:t xml:space="preserve"> regression by adding a measure of industrial concentration or specialization, ln</w:t>
      </w:r>
      <w:r>
        <w:rPr>
          <w:color w:val="000000"/>
          <w:vertAlign w:val="subscript"/>
        </w:rPr>
        <w:t xml:space="preserve"> </w:t>
      </w:r>
      <w:r w:rsidRPr="002507D6">
        <w:rPr>
          <w:i/>
          <w:color w:val="000000"/>
        </w:rPr>
        <w:t>H</w:t>
      </w:r>
      <w:r>
        <w:rPr>
          <w:color w:val="000000"/>
        </w:rPr>
        <w:t xml:space="preserve">, where </w:t>
      </w:r>
      <w:r w:rsidRPr="002507D6">
        <w:rPr>
          <w:i/>
          <w:color w:val="000000"/>
        </w:rPr>
        <w:t>H</w:t>
      </w:r>
      <w:r>
        <w:rPr>
          <w:color w:val="000000"/>
        </w:rPr>
        <w:t xml:space="preserve"> is Herfindahl’s index (all industries).  The lack of statistical significance of ln</w:t>
      </w:r>
      <w:r>
        <w:rPr>
          <w:color w:val="000000"/>
          <w:vertAlign w:val="subscript"/>
        </w:rPr>
        <w:t xml:space="preserve"> </w:t>
      </w:r>
      <w:r w:rsidRPr="002507D6">
        <w:rPr>
          <w:i/>
          <w:color w:val="000000"/>
        </w:rPr>
        <w:t>H</w:t>
      </w:r>
      <w:r>
        <w:rPr>
          <w:color w:val="000000"/>
        </w:rPr>
        <w:t xml:space="preserve"> (</w:t>
      </w:r>
      <w:r>
        <w:rPr>
          <w:i/>
          <w:color w:val="000000"/>
        </w:rPr>
        <w:t>t</w:t>
      </w:r>
      <w:r>
        <w:rPr>
          <w:color w:val="000000"/>
        </w:rPr>
        <w:t xml:space="preserve"> = </w:t>
      </w:r>
      <w:r>
        <w:rPr>
          <w:color w:val="000000"/>
        </w:rPr>
        <w:sym w:font="Symbol" w:char="002D"/>
      </w:r>
      <w:r>
        <w:rPr>
          <w:color w:val="000000"/>
        </w:rPr>
        <w:t xml:space="preserve">0.15) can probably be ascribed to the limited amount of variation in </w:t>
      </w:r>
      <w:r w:rsidRPr="002507D6">
        <w:rPr>
          <w:i/>
          <w:color w:val="000000"/>
        </w:rPr>
        <w:t>H</w:t>
      </w:r>
      <w:r>
        <w:rPr>
          <w:color w:val="000000"/>
        </w:rPr>
        <w:t xml:space="preserve"> across regions (see Table 1).  Only Ahvenanmaa and Uusimaa stand out as having noticeably different values of </w:t>
      </w:r>
      <w:r w:rsidRPr="002507D6">
        <w:rPr>
          <w:i/>
          <w:color w:val="000000"/>
        </w:rPr>
        <w:t>H</w:t>
      </w:r>
      <w:r>
        <w:rPr>
          <w:color w:val="000000"/>
        </w:rPr>
        <w:t>.</w:t>
      </w:r>
    </w:p>
    <w:p w:rsidR="00E25CA7" w:rsidRDefault="0031773C" w:rsidP="0031773C">
      <w:pPr>
        <w:tabs>
          <w:tab w:val="left" w:pos="426"/>
        </w:tabs>
        <w:spacing w:line="480" w:lineRule="auto"/>
        <w:ind w:left="420" w:hanging="420"/>
      </w:pPr>
      <w:r>
        <w:t>22.</w:t>
      </w:r>
      <w:r>
        <w:tab/>
      </w:r>
      <w:r w:rsidR="00E25CA7">
        <w:t xml:space="preserve">An approximate optimal </w:t>
      </w:r>
      <w:r w:rsidR="00E25CA7" w:rsidRPr="00D120CE">
        <w:rPr>
          <w:color w:val="000000"/>
        </w:rPr>
        <w:t>δ</w:t>
      </w:r>
      <w:r w:rsidR="00E25CA7">
        <w:t xml:space="preserve"> was derived for </w:t>
      </w:r>
      <w:r w:rsidR="00E25CA7" w:rsidRPr="00D120CE">
        <w:rPr>
          <w:color w:val="000000"/>
        </w:rPr>
        <w:t>each region</w:t>
      </w:r>
      <w:r w:rsidR="00E25CA7">
        <w:rPr>
          <w:color w:val="000000"/>
        </w:rPr>
        <w:t xml:space="preserve"> by redoing the calculations with smaller steps of 0.025 and then applying linear interpolation.</w:t>
      </w:r>
    </w:p>
    <w:p w:rsidR="00777C99" w:rsidRPr="0087346E" w:rsidRDefault="00777C99" w:rsidP="0041535F">
      <w:pPr>
        <w:pStyle w:val="ListParagraph"/>
        <w:numPr>
          <w:ilvl w:val="0"/>
          <w:numId w:val="6"/>
        </w:numPr>
        <w:tabs>
          <w:tab w:val="left" w:pos="426"/>
        </w:tabs>
        <w:spacing w:line="480" w:lineRule="auto"/>
        <w:ind w:hanging="720"/>
      </w:pPr>
      <w:r w:rsidRPr="0041535F">
        <w:rPr>
          <w:color w:val="000000"/>
        </w:rPr>
        <w:lastRenderedPageBreak/>
        <w:t>Bonfiglio and Chelli (2008, Table 1) obtained a contrary result.  See note 10.</w:t>
      </w:r>
    </w:p>
    <w:p w:rsidR="00777C99" w:rsidRPr="00CC57B4" w:rsidRDefault="00777C99" w:rsidP="0041535F">
      <w:pPr>
        <w:pStyle w:val="ListParagraph"/>
        <w:numPr>
          <w:ilvl w:val="0"/>
          <w:numId w:val="6"/>
        </w:numPr>
        <w:tabs>
          <w:tab w:val="left" w:pos="426"/>
        </w:tabs>
        <w:spacing w:line="480" w:lineRule="auto"/>
        <w:ind w:left="426" w:hanging="426"/>
      </w:pPr>
      <w:r>
        <w:rPr>
          <w:color w:val="000000"/>
        </w:rPr>
        <w:t>Given the reciprocal nature of the CILQ, a maximum of only ½(n</w:t>
      </w:r>
      <w:r>
        <w:rPr>
          <w:color w:val="000000"/>
          <w:vertAlign w:val="superscript"/>
        </w:rPr>
        <w:t>2</w:t>
      </w:r>
      <w:r>
        <w:rPr>
          <w:color w:val="000000"/>
        </w:rPr>
        <w:t xml:space="preserve"> </w:t>
      </w:r>
      <w:r>
        <w:rPr>
          <w:color w:val="000000"/>
        </w:rPr>
        <w:sym w:font="Symbol" w:char="F02D"/>
      </w:r>
      <w:r>
        <w:rPr>
          <w:color w:val="000000"/>
        </w:rPr>
        <w:t xml:space="preserve"> n) of the national input coefficients will be adjusted downwards.  A novel solution to the cross-hauling problem is proposed by Kronenberg (2009).  </w:t>
      </w:r>
      <w:proofErr w:type="spellStart"/>
      <w:r>
        <w:rPr>
          <w:color w:val="000000"/>
        </w:rPr>
        <w:t>Gerking</w:t>
      </w:r>
      <w:proofErr w:type="spellEnd"/>
      <w:r>
        <w:rPr>
          <w:color w:val="000000"/>
        </w:rPr>
        <w:t xml:space="preserve"> </w:t>
      </w:r>
      <w:r>
        <w:rPr>
          <w:i/>
          <w:color w:val="000000"/>
        </w:rPr>
        <w:t>et al.</w:t>
      </w:r>
      <w:r>
        <w:rPr>
          <w:color w:val="000000"/>
        </w:rPr>
        <w:t xml:space="preserve"> (2001, p. 396) stress the importance of applying LQs at the most disaggregated level possible, in order to minimize bias due to cross-hauling.</w:t>
      </w:r>
    </w:p>
    <w:p w:rsidR="00777C99" w:rsidRPr="00DD5A1A" w:rsidRDefault="00777C99" w:rsidP="0041535F">
      <w:pPr>
        <w:pStyle w:val="ListParagraph"/>
        <w:numPr>
          <w:ilvl w:val="0"/>
          <w:numId w:val="6"/>
        </w:numPr>
        <w:tabs>
          <w:tab w:val="left" w:pos="426"/>
        </w:tabs>
        <w:spacing w:line="480" w:lineRule="auto"/>
        <w:ind w:left="426" w:hanging="426"/>
      </w:pPr>
      <w:r>
        <w:t xml:space="preserve">This is the reason why the AFLQ requires a higher </w:t>
      </w:r>
      <w:r w:rsidRPr="00321A31">
        <w:rPr>
          <w:color w:val="000000"/>
        </w:rPr>
        <w:t>δ</w:t>
      </w:r>
      <w:r>
        <w:rPr>
          <w:color w:val="000000"/>
        </w:rPr>
        <w:t xml:space="preserve"> than the FLQ.</w:t>
      </w:r>
    </w:p>
    <w:p w:rsidR="00777C99" w:rsidRDefault="00777C99" w:rsidP="0041535F">
      <w:pPr>
        <w:pStyle w:val="ListParagraph"/>
        <w:widowControl w:val="0"/>
        <w:numPr>
          <w:ilvl w:val="0"/>
          <w:numId w:val="6"/>
        </w:numPr>
        <w:spacing w:line="480" w:lineRule="auto"/>
        <w:ind w:left="426" w:hanging="426"/>
      </w:pPr>
      <w:r>
        <w:t>z averaged 150.6 (or 11%) across the 20 regions.</w:t>
      </w:r>
    </w:p>
    <w:p w:rsidR="00777C99" w:rsidRDefault="00777C99" w:rsidP="0041535F">
      <w:pPr>
        <w:widowControl w:val="0"/>
        <w:numPr>
          <w:ilvl w:val="0"/>
          <w:numId w:val="6"/>
        </w:numPr>
        <w:spacing w:line="480" w:lineRule="auto"/>
        <w:ind w:left="426" w:hanging="426"/>
      </w:pPr>
      <w:r w:rsidRPr="0009111F">
        <w:rPr>
          <w:position w:val="-14"/>
        </w:rPr>
        <w:object w:dxaOrig="3440" w:dyaOrig="400">
          <v:shape id="_x0000_i1064" type="#_x0000_t75" style="width:172.5pt;height:20.25pt" o:ole="">
            <v:imagedata r:id="rId81" o:title=""/>
          </v:shape>
          <o:OLEObject Type="Embed" ProgID="Equation.3" ShapeID="_x0000_i1064" DrawAspect="Content" ObjectID="_1354515174" r:id="rId82"/>
        </w:object>
      </w:r>
      <w:r>
        <w:rPr>
          <w:position w:val="-14"/>
          <w:vertAlign w:val="subscript"/>
        </w:rPr>
        <w:t xml:space="preserve"> </w:t>
      </w:r>
      <w:r w:rsidRPr="0009111F">
        <w:t>γ</w:t>
      </w:r>
      <w:r w:rsidRPr="0009111F">
        <w:rPr>
          <w:vertAlign w:val="subscript"/>
        </w:rPr>
        <w:t>1</w:t>
      </w:r>
      <w:r w:rsidRPr="0009111F">
        <w:rPr>
          <w:vertAlign w:val="superscript"/>
        </w:rPr>
        <w:t>2</w:t>
      </w:r>
      <w:r w:rsidRPr="0009111F">
        <w:t xml:space="preserve"> + {1/(n</w:t>
      </w:r>
      <w:r w:rsidRPr="0009111F">
        <w:rPr>
          <w:vertAlign w:val="superscript"/>
        </w:rPr>
        <w:t>2</w:t>
      </w:r>
      <w:r w:rsidRPr="0009111F">
        <w:t xml:space="preserve"> </w:t>
      </w:r>
      <w:r w:rsidRPr="0009111F">
        <w:sym w:font="Symbol" w:char="F02D"/>
      </w:r>
      <w:r w:rsidRPr="0009111F">
        <w:t xml:space="preserve"> z)}</w:t>
      </w:r>
      <w:proofErr w:type="spellStart"/>
      <w:r w:rsidRPr="0009111F">
        <w:t>Σ</w:t>
      </w:r>
      <w:r w:rsidRPr="0009111F">
        <w:rPr>
          <w:vertAlign w:val="subscript"/>
        </w:rPr>
        <w:t>j</w:t>
      </w:r>
      <w:proofErr w:type="spellEnd"/>
      <w:r w:rsidRPr="0009111F">
        <w:rPr>
          <w:vertAlign w:val="subscript"/>
        </w:rPr>
        <w:t xml:space="preserve"> </w:t>
      </w:r>
      <w:proofErr w:type="spellStart"/>
      <w:r w:rsidRPr="0009111F">
        <w:t>Σ</w:t>
      </w:r>
      <w:r w:rsidRPr="0009111F">
        <w:rPr>
          <w:vertAlign w:val="subscript"/>
        </w:rPr>
        <w:t>i</w:t>
      </w:r>
      <w:proofErr w:type="spellEnd"/>
      <w:r w:rsidRPr="0009111F">
        <w:t>{</w:t>
      </w:r>
      <w:r w:rsidRPr="0009111F">
        <w:rPr>
          <w:position w:val="-14"/>
        </w:rPr>
        <w:object w:dxaOrig="840" w:dyaOrig="360">
          <v:shape id="_x0000_i1065" type="#_x0000_t75" style="width:42pt;height:18.75pt" o:ole="">
            <v:imagedata r:id="rId83" o:title=""/>
          </v:shape>
          <o:OLEObject Type="Embed" ProgID="Equation.3" ShapeID="_x0000_i1065" DrawAspect="Content" ObjectID="_1354515175" r:id="rId84"/>
        </w:object>
      </w:r>
      <w:r w:rsidRPr="0009111F">
        <w:rPr>
          <w:vertAlign w:val="subscript"/>
        </w:rPr>
        <w:t xml:space="preserve"> </w:t>
      </w:r>
      <w:r w:rsidRPr="0009111F">
        <w:sym w:font="Symbol" w:char="F02D"/>
      </w:r>
      <w:r w:rsidRPr="0009111F">
        <w:t xml:space="preserve"> γ</w:t>
      </w:r>
      <w:r w:rsidRPr="0009111F">
        <w:rPr>
          <w:vertAlign w:val="subscript"/>
        </w:rPr>
        <w:t>1</w:t>
      </w:r>
      <w:r w:rsidRPr="0009111F">
        <w:t>}</w:t>
      </w:r>
      <w:r w:rsidRPr="0009111F">
        <w:rPr>
          <w:vertAlign w:val="superscript"/>
        </w:rPr>
        <w:t>2</w:t>
      </w:r>
    </w:p>
    <w:p w:rsidR="00777C99" w:rsidRDefault="00777C99" w:rsidP="00FD1291">
      <w:pPr>
        <w:widowControl w:val="0"/>
        <w:numPr>
          <w:ilvl w:val="0"/>
          <w:numId w:val="6"/>
        </w:numPr>
        <w:spacing w:line="480" w:lineRule="auto"/>
        <w:ind w:left="425" w:hanging="425"/>
      </w:pPr>
      <w:r w:rsidRPr="0009111F">
        <w:rPr>
          <w:position w:val="-14"/>
        </w:rPr>
        <w:object w:dxaOrig="8700" w:dyaOrig="400">
          <v:shape id="_x0000_i1066" type="#_x0000_t75" style="width:436.5pt;height:20.25pt" o:ole="">
            <v:imagedata r:id="rId85" o:title=""/>
          </v:shape>
          <o:OLEObject Type="Embed" ProgID="Equation.3" ShapeID="_x0000_i1066" DrawAspect="Content" ObjectID="_1354515176" r:id="rId86"/>
        </w:object>
      </w:r>
      <w:r w:rsidRPr="0009111F">
        <w:t>where m(</w:t>
      </w:r>
      <w:r w:rsidR="000F304A">
        <w:t xml:space="preserve"> </w:t>
      </w:r>
      <w:r w:rsidRPr="0009111F">
        <w:t xml:space="preserve">) and </w:t>
      </w:r>
      <w:proofErr w:type="spellStart"/>
      <w:r w:rsidRPr="0009111F">
        <w:t>sd</w:t>
      </w:r>
      <w:proofErr w:type="spellEnd"/>
      <w:r w:rsidRPr="0009111F">
        <w:t>(</w:t>
      </w:r>
      <w:r w:rsidR="000F304A">
        <w:t xml:space="preserve"> </w:t>
      </w:r>
      <w:r w:rsidRPr="0009111F">
        <w:t xml:space="preserve">) denote the mean and standard deviation, respectively, and r is the correlation coefficient between </w:t>
      </w:r>
      <w:r w:rsidRPr="0009111F">
        <w:rPr>
          <w:position w:val="-14"/>
        </w:rPr>
        <w:object w:dxaOrig="220" w:dyaOrig="360">
          <v:shape id="_x0000_i1067" type="#_x0000_t75" style="width:11.25pt;height:18.75pt" o:ole="">
            <v:imagedata r:id="rId87" o:title=""/>
          </v:shape>
          <o:OLEObject Type="Embed" ProgID="Equation.3" ShapeID="_x0000_i1067" DrawAspect="Content" ObjectID="_1354515177" r:id="rId88"/>
        </w:object>
      </w:r>
      <w:r w:rsidRPr="0009111F">
        <w:t xml:space="preserve">and </w:t>
      </w:r>
      <w:r w:rsidRPr="0009111F">
        <w:rPr>
          <w:position w:val="-14"/>
        </w:rPr>
        <w:object w:dxaOrig="279" w:dyaOrig="360">
          <v:shape id="_x0000_i1068" type="#_x0000_t75" style="width:14.25pt;height:18.75pt" o:ole="">
            <v:imagedata r:id="rId89" o:title=""/>
          </v:shape>
          <o:OLEObject Type="Embed" ProgID="Equation.3" ShapeID="_x0000_i1068" DrawAspect="Content" ObjectID="_1354515178" r:id="rId90"/>
        </w:object>
      </w:r>
      <w:r w:rsidRPr="0009111F">
        <w:t xml:space="preserve">  When divided by </w:t>
      </w:r>
      <w:r>
        <w:t>the mse,</w:t>
      </w:r>
      <w:r w:rsidRPr="006F146A">
        <w:rPr>
          <w:vertAlign w:val="subscript"/>
        </w:rPr>
        <w:t xml:space="preserve"> </w:t>
      </w:r>
      <w:r w:rsidRPr="0009111F">
        <w:t>the terms on the right-hand side of th</w:t>
      </w:r>
      <w:r>
        <w:t xml:space="preserve">is </w:t>
      </w:r>
      <w:r w:rsidRPr="0009111F">
        <w:t xml:space="preserve">identity can be interpreted as the proportions of </w:t>
      </w:r>
      <w:r>
        <w:t>the mse</w:t>
      </w:r>
      <w:r w:rsidRPr="0009111F">
        <w:t xml:space="preserve"> due to bias, to differences in standard deviations and to the lack of a perfect correlation (</w:t>
      </w:r>
      <w:r w:rsidRPr="009D1DE8">
        <w:rPr>
          <w:i/>
        </w:rPr>
        <w:t>r</w:t>
      </w:r>
      <w:r w:rsidRPr="0009111F">
        <w:t xml:space="preserve"> = 1) between </w:t>
      </w:r>
      <w:r w:rsidRPr="0009111F">
        <w:rPr>
          <w:position w:val="-14"/>
        </w:rPr>
        <w:object w:dxaOrig="220" w:dyaOrig="360">
          <v:shape id="_x0000_i1069" type="#_x0000_t75" style="width:11.25pt;height:18.75pt" o:ole="">
            <v:imagedata r:id="rId87" o:title=""/>
          </v:shape>
          <o:OLEObject Type="Embed" ProgID="Equation.3" ShapeID="_x0000_i1069" DrawAspect="Content" ObjectID="_1354515179" r:id="rId91"/>
        </w:object>
      </w:r>
      <w:r w:rsidRPr="0009111F">
        <w:t xml:space="preserve">and </w:t>
      </w:r>
      <w:r w:rsidRPr="0009111F">
        <w:rPr>
          <w:position w:val="-14"/>
        </w:rPr>
        <w:object w:dxaOrig="279" w:dyaOrig="360">
          <v:shape id="_x0000_i1070" type="#_x0000_t75" style="width:14.25pt;height:18.75pt" o:ole="">
            <v:imagedata r:id="rId92" o:title=""/>
          </v:shape>
          <o:OLEObject Type="Embed" ProgID="Equation.3" ShapeID="_x0000_i1070" DrawAspect="Content" ObjectID="_1354515180" r:id="rId93"/>
        </w:object>
      </w:r>
      <w:r w:rsidRPr="0009111F">
        <w:t xml:space="preserve">  Cf. </w:t>
      </w:r>
      <w:proofErr w:type="spellStart"/>
      <w:r w:rsidRPr="0009111F">
        <w:t>Theil</w:t>
      </w:r>
      <w:proofErr w:type="spellEnd"/>
      <w:r w:rsidRPr="0009111F">
        <w:t xml:space="preserve"> </w:t>
      </w:r>
      <w:r w:rsidRPr="006F146A">
        <w:rPr>
          <w:i/>
        </w:rPr>
        <w:t>et al.</w:t>
      </w:r>
      <w:r w:rsidRPr="0009111F">
        <w:t xml:space="preserve"> (1966, pp. 29</w:t>
      </w:r>
      <w:r w:rsidRPr="0009111F">
        <w:sym w:font="Symbol" w:char="F02D"/>
      </w:r>
      <w:r w:rsidRPr="0009111F">
        <w:t>30).</w:t>
      </w:r>
    </w:p>
    <w:p w:rsidR="00777C99" w:rsidRDefault="0041535F" w:rsidP="00777C99">
      <w:pPr>
        <w:widowControl w:val="0"/>
        <w:tabs>
          <w:tab w:val="left" w:pos="426"/>
        </w:tabs>
        <w:spacing w:line="480" w:lineRule="auto"/>
        <w:ind w:left="426" w:hanging="426"/>
      </w:pPr>
      <w:r>
        <w:t>29</w:t>
      </w:r>
      <w:r w:rsidR="00777C99">
        <w:t>.</w:t>
      </w:r>
      <w:r w:rsidR="00777C99">
        <w:tab/>
      </w:r>
      <w:r w:rsidR="00777C99" w:rsidRPr="0009111F">
        <w:t>Flegg and Webber</w:t>
      </w:r>
      <w:r w:rsidR="00777C99">
        <w:t xml:space="preserve"> (</w:t>
      </w:r>
      <w:r w:rsidR="00777C99" w:rsidRPr="0009111F">
        <w:t>2000</w:t>
      </w:r>
      <w:r w:rsidR="00777C99">
        <w:t>)</w:t>
      </w:r>
      <w:r w:rsidR="00777C99" w:rsidRPr="0009111F">
        <w:t xml:space="preserve"> attempted to circumvent this problem by excluding cases where r</w:t>
      </w:r>
      <w:r w:rsidR="00777C99" w:rsidRPr="0009111F">
        <w:rPr>
          <w:vertAlign w:val="subscript"/>
        </w:rPr>
        <w:t>ij</w:t>
      </w:r>
      <w:r w:rsidR="00777C99" w:rsidRPr="0009111F">
        <w:t xml:space="preserve"> &lt; 0.001.</w:t>
      </w:r>
    </w:p>
    <w:p w:rsidR="00777C99" w:rsidRDefault="0041535F" w:rsidP="00777C99">
      <w:pPr>
        <w:widowControl w:val="0"/>
        <w:tabs>
          <w:tab w:val="left" w:pos="426"/>
        </w:tabs>
        <w:spacing w:line="480" w:lineRule="auto"/>
        <w:ind w:left="426" w:hanging="426"/>
      </w:pPr>
      <w:r>
        <w:t>30</w:t>
      </w:r>
      <w:r w:rsidR="00777C99">
        <w:t>.</w:t>
      </w:r>
      <w:r w:rsidR="00777C99">
        <w:tab/>
        <w:t xml:space="preserve">In fact, </w:t>
      </w:r>
      <w:r w:rsidR="00777C99" w:rsidRPr="0009111F">
        <w:t xml:space="preserve">Knudsen and </w:t>
      </w:r>
      <w:proofErr w:type="spellStart"/>
      <w:r w:rsidR="00777C99" w:rsidRPr="0009111F">
        <w:t>Fotheringham</w:t>
      </w:r>
      <w:proofErr w:type="spellEnd"/>
      <w:r w:rsidR="00777C99">
        <w:t xml:space="preserve"> (1986) argue that the following statistic is the best</w:t>
      </w:r>
      <w:r w:rsidR="00777C99" w:rsidRPr="0009111F">
        <w:t xml:space="preserve"> way of comparing the </w:t>
      </w:r>
      <w:r w:rsidR="00777C99">
        <w:t>performance</w:t>
      </w:r>
      <w:r w:rsidR="00777C99" w:rsidRPr="0009111F">
        <w:t xml:space="preserve"> of </w:t>
      </w:r>
      <w:r w:rsidR="00777C99">
        <w:t xml:space="preserve">either (i) </w:t>
      </w:r>
      <w:r w:rsidR="00777C99" w:rsidRPr="0009111F">
        <w:t>two or more models in replicating the same data set or</w:t>
      </w:r>
      <w:r w:rsidR="00777C99">
        <w:t xml:space="preserve"> (ii)</w:t>
      </w:r>
      <w:r w:rsidR="00777C99" w:rsidRPr="0009111F">
        <w:t xml:space="preserve"> a single model in different systems</w:t>
      </w:r>
      <w:r w:rsidR="00777C99">
        <w:t>:</w:t>
      </w:r>
    </w:p>
    <w:p w:rsidR="00777C99" w:rsidRDefault="00777C99" w:rsidP="00777C99">
      <w:pPr>
        <w:pStyle w:val="Normaali1"/>
        <w:tabs>
          <w:tab w:val="left" w:pos="360"/>
          <w:tab w:val="left" w:pos="3120"/>
          <w:tab w:val="left" w:pos="6120"/>
          <w:tab w:val="right" w:pos="8931"/>
        </w:tabs>
        <w:spacing w:line="480" w:lineRule="auto"/>
        <w:ind w:left="360" w:hanging="360"/>
        <w:jc w:val="center"/>
      </w:pPr>
      <w:r w:rsidRPr="0009111F">
        <w:rPr>
          <w:rFonts w:ascii="Times New Roman" w:hAnsi="Times New Roman"/>
          <w:lang w:val="en-GB"/>
        </w:rPr>
        <w:t>γ</w:t>
      </w:r>
      <w:r w:rsidRPr="0009111F">
        <w:rPr>
          <w:rFonts w:ascii="Times New Roman" w:hAnsi="Times New Roman"/>
          <w:vertAlign w:val="subscript"/>
          <w:lang w:val="en-GB"/>
        </w:rPr>
        <w:t>6</w:t>
      </w:r>
      <w:r w:rsidRPr="0009111F">
        <w:rPr>
          <w:rFonts w:ascii="Times New Roman" w:hAnsi="Times New Roman"/>
          <w:lang w:val="en-GB"/>
        </w:rPr>
        <w:t xml:space="preserve"> = 100</w:t>
      </w:r>
      <w:r w:rsidRPr="0003512E">
        <w:rPr>
          <w:rFonts w:ascii="Times New Roman" w:hAnsi="Times New Roman"/>
          <w:position w:val="-32"/>
        </w:rPr>
        <w:object w:dxaOrig="2180" w:dyaOrig="820">
          <v:shape id="_x0000_i1071" type="#_x0000_t75" style="width:108.75pt;height:40.5pt" o:ole="">
            <v:imagedata r:id="rId94" o:title=""/>
          </v:shape>
          <o:OLEObject Type="Embed" ProgID="Equation.3" ShapeID="_x0000_i1071" DrawAspect="Content" ObjectID="_1354515181" r:id="rId95"/>
        </w:object>
      </w:r>
    </w:p>
    <w:p w:rsidR="00777C99" w:rsidRPr="004D2426" w:rsidRDefault="00777C99" w:rsidP="00777C99">
      <w:pPr>
        <w:widowControl w:val="0"/>
        <w:spacing w:line="480" w:lineRule="auto"/>
        <w:ind w:left="425"/>
      </w:pPr>
      <w:r w:rsidRPr="0009111F">
        <w:t>This statistic is similar to γ</w:t>
      </w:r>
      <w:r>
        <w:rPr>
          <w:vertAlign w:val="subscript"/>
        </w:rPr>
        <w:t>5</w:t>
      </w:r>
      <w:r w:rsidRPr="0009111F">
        <w:t xml:space="preserve"> in its use of squared </w:t>
      </w:r>
      <w:r>
        <w:t xml:space="preserve">simulation </w:t>
      </w:r>
      <w:r w:rsidRPr="0009111F">
        <w:t>errors, yet there is an important difference between the two statistics: γ</w:t>
      </w:r>
      <w:r w:rsidRPr="0009111F">
        <w:rPr>
          <w:vertAlign w:val="subscript"/>
        </w:rPr>
        <w:t>6</w:t>
      </w:r>
      <w:r w:rsidRPr="0009111F">
        <w:t xml:space="preserve"> expresses the root mean squared error </w:t>
      </w:r>
      <w:r w:rsidRPr="0009111F">
        <w:lastRenderedPageBreak/>
        <w:t>as a percentage of the mean value of r</w:t>
      </w:r>
      <w:r w:rsidRPr="0009111F">
        <w:rPr>
          <w:vertAlign w:val="subscript"/>
        </w:rPr>
        <w:t>ij</w:t>
      </w:r>
      <w:r w:rsidRPr="0009111F">
        <w:t>, whereas γ</w:t>
      </w:r>
      <w:r>
        <w:rPr>
          <w:vertAlign w:val="subscript"/>
        </w:rPr>
        <w:t>5</w:t>
      </w:r>
      <w:r w:rsidRPr="0009111F">
        <w:t xml:space="preserve"> uses r</w:t>
      </w:r>
      <w:r w:rsidRPr="0009111F">
        <w:rPr>
          <w:vertAlign w:val="subscript"/>
        </w:rPr>
        <w:t>ij</w:t>
      </w:r>
      <w:r w:rsidRPr="0009111F">
        <w:rPr>
          <w:vertAlign w:val="superscript"/>
        </w:rPr>
        <w:t>2</w:t>
      </w:r>
      <w:r w:rsidRPr="0009111F">
        <w:t xml:space="preserve"> as the basis for comparison.  This </w:t>
      </w:r>
      <w:r>
        <w:t xml:space="preserve">distinction </w:t>
      </w:r>
      <w:r w:rsidRPr="0009111F">
        <w:t>means that:</w:t>
      </w:r>
    </w:p>
    <w:p w:rsidR="00777C99" w:rsidRPr="0009111F" w:rsidRDefault="00777C99" w:rsidP="00777C99">
      <w:pPr>
        <w:widowControl w:val="0"/>
        <w:tabs>
          <w:tab w:val="left" w:pos="240"/>
          <w:tab w:val="right" w:pos="8931"/>
        </w:tabs>
        <w:spacing w:line="480" w:lineRule="auto"/>
        <w:jc w:val="center"/>
      </w:pPr>
      <w:r w:rsidRPr="00854EEF">
        <w:rPr>
          <w:position w:val="-30"/>
        </w:rPr>
        <w:object w:dxaOrig="1719" w:dyaOrig="820">
          <v:shape id="_x0000_i1072" type="#_x0000_t75" style="width:86.25pt;height:40.5pt" o:ole="">
            <v:imagedata r:id="rId96" o:title=""/>
          </v:shape>
          <o:OLEObject Type="Embed" ProgID="Equation.3" ShapeID="_x0000_i1072" DrawAspect="Content" ObjectID="_1354515182" r:id="rId97"/>
        </w:object>
      </w:r>
    </w:p>
    <w:p w:rsidR="00777C99" w:rsidRDefault="00777C99" w:rsidP="00777C99">
      <w:pPr>
        <w:widowControl w:val="0"/>
        <w:spacing w:line="480" w:lineRule="auto"/>
        <w:ind w:left="425"/>
      </w:pPr>
      <w:r w:rsidRPr="0009111F">
        <w:t>The fact that this ratio depends on n seems arbitrary</w:t>
      </w:r>
      <w:r>
        <w:t xml:space="preserve">.  Moreover, </w:t>
      </w:r>
      <w:r w:rsidRPr="0009111F">
        <w:t xml:space="preserve">in our view, it </w:t>
      </w:r>
      <w:r>
        <w:t>is more logical to relate the squared simulation errors</w:t>
      </w:r>
      <w:r w:rsidRPr="0009111F">
        <w:t xml:space="preserve"> to r</w:t>
      </w:r>
      <w:r w:rsidRPr="0009111F">
        <w:rPr>
          <w:vertAlign w:val="subscript"/>
        </w:rPr>
        <w:t>ij</w:t>
      </w:r>
      <w:r w:rsidRPr="0009111F">
        <w:rPr>
          <w:vertAlign w:val="superscript"/>
        </w:rPr>
        <w:t>2</w:t>
      </w:r>
      <w:r w:rsidRPr="0009111F">
        <w:t>, as in Theil’s formula</w:t>
      </w:r>
      <w:r>
        <w:t xml:space="preserve">, than to </w:t>
      </w:r>
      <w:r w:rsidRPr="0009111F">
        <w:t>r</w:t>
      </w:r>
      <w:r w:rsidRPr="0009111F">
        <w:rPr>
          <w:vertAlign w:val="subscript"/>
        </w:rPr>
        <w:t>ij</w:t>
      </w:r>
      <w:r>
        <w:t>.</w:t>
      </w:r>
    </w:p>
    <w:p w:rsidR="00777C99" w:rsidRDefault="0041535F" w:rsidP="006545DA">
      <w:pPr>
        <w:widowControl w:val="0"/>
        <w:spacing w:line="480" w:lineRule="auto"/>
        <w:ind w:left="425" w:hanging="425"/>
      </w:pPr>
      <w:r>
        <w:t>31</w:t>
      </w:r>
      <w:r w:rsidR="00777C99">
        <w:t>.</w:t>
      </w:r>
      <w:r w:rsidR="00777C99">
        <w:tab/>
        <w:t>See Miller and Blair (2009, pp. 324</w:t>
      </w:r>
      <w:r w:rsidR="00777C99">
        <w:sym w:font="Symbol" w:char="F02D"/>
      </w:r>
      <w:r w:rsidR="00777C99">
        <w:t>327) for a numerical example.  The detailed results of S</w:t>
      </w:r>
      <w:r w:rsidR="00777C99" w:rsidRPr="00F26DAE">
        <w:t xml:space="preserve">awyer </w:t>
      </w:r>
      <w:r w:rsidR="00777C99">
        <w:t>and</w:t>
      </w:r>
      <w:r w:rsidR="00777C99" w:rsidRPr="00F26DAE">
        <w:t xml:space="preserve"> Miller</w:t>
      </w:r>
      <w:r w:rsidR="00777C99">
        <w:t xml:space="preserve"> (1983) provide a very clear illustration of the point that errors in coefficients are likely to be far greater than those in multipliers.</w:t>
      </w:r>
    </w:p>
    <w:p w:rsidR="00EC56B6" w:rsidRPr="004D0778" w:rsidRDefault="00777C99" w:rsidP="00A4058A">
      <w:pPr>
        <w:widowControl w:val="0"/>
        <w:tabs>
          <w:tab w:val="left" w:pos="426"/>
        </w:tabs>
        <w:spacing w:line="480" w:lineRule="auto"/>
        <w:ind w:left="425" w:hanging="425"/>
        <w:rPr>
          <w:b/>
          <w:color w:val="000000"/>
          <w:szCs w:val="26"/>
        </w:rPr>
      </w:pPr>
      <w:r>
        <w:t>3</w:t>
      </w:r>
      <w:r w:rsidR="006545DA">
        <w:t>2</w:t>
      </w:r>
      <w:r>
        <w:t>.</w:t>
      </w:r>
      <w:r>
        <w:tab/>
      </w:r>
      <w:r>
        <w:rPr>
          <w:color w:val="000000"/>
        </w:rPr>
        <w:t xml:space="preserve">‘Other value added’ is essentially a measure of profit or surplus.  It equals ‘value added at basic prices’ </w:t>
      </w:r>
      <w:r w:rsidRPr="00B46D01">
        <w:rPr>
          <w:i/>
          <w:color w:val="000000"/>
        </w:rPr>
        <w:t>minus</w:t>
      </w:r>
      <w:r>
        <w:rPr>
          <w:color w:val="000000"/>
        </w:rPr>
        <w:t xml:space="preserve"> ‘compensation of employees’ </w:t>
      </w:r>
      <w:r>
        <w:rPr>
          <w:i/>
          <w:color w:val="000000"/>
        </w:rPr>
        <w:t>plus</w:t>
      </w:r>
      <w:r>
        <w:rPr>
          <w:color w:val="000000"/>
        </w:rPr>
        <w:t xml:space="preserve"> ‘subsidies on production’ </w:t>
      </w:r>
      <w:r>
        <w:rPr>
          <w:i/>
          <w:color w:val="000000"/>
        </w:rPr>
        <w:t>minus</w:t>
      </w:r>
      <w:r>
        <w:rPr>
          <w:color w:val="000000"/>
        </w:rPr>
        <w:t xml:space="preserve"> ‘other taxes on production’.  For example, for the agricultural sector in Keski-Pohjanmaa, 0.7566 = 0.5341 </w:t>
      </w:r>
      <w:r>
        <w:rPr>
          <w:color w:val="000000"/>
        </w:rPr>
        <w:sym w:font="Symbol" w:char="F02D"/>
      </w:r>
      <w:r>
        <w:rPr>
          <w:color w:val="000000"/>
        </w:rPr>
        <w:t xml:space="preserve"> 0.0789 + 0.3014 </w:t>
      </w:r>
      <w:r>
        <w:rPr>
          <w:color w:val="000000"/>
        </w:rPr>
        <w:sym w:font="Symbol" w:char="F02D"/>
      </w:r>
      <w:r>
        <w:rPr>
          <w:color w:val="000000"/>
        </w:rPr>
        <w:t xml:space="preserve"> 0.0000.  </w:t>
      </w:r>
      <w:r w:rsidRPr="00143220">
        <w:rPr>
          <w:i/>
          <w:color w:val="000000"/>
          <w:szCs w:val="26"/>
        </w:rPr>
        <w:t>Source</w:t>
      </w:r>
      <w:r>
        <w:rPr>
          <w:color w:val="000000"/>
          <w:szCs w:val="26"/>
        </w:rPr>
        <w:t>: Statistics Finland (2000), Regional accounts (data for 1995).</w:t>
      </w:r>
    </w:p>
    <w:p w:rsidR="00F85058" w:rsidRDefault="0091367F" w:rsidP="00A4058A">
      <w:pPr>
        <w:tabs>
          <w:tab w:val="left" w:pos="426"/>
        </w:tabs>
        <w:spacing w:line="480" w:lineRule="auto"/>
        <w:ind w:left="420" w:hanging="420"/>
      </w:pPr>
      <w:r>
        <w:rPr>
          <w:color w:val="000000"/>
          <w:szCs w:val="26"/>
        </w:rPr>
        <w:t>3</w:t>
      </w:r>
      <w:r w:rsidR="006545DA">
        <w:rPr>
          <w:color w:val="000000"/>
          <w:szCs w:val="26"/>
        </w:rPr>
        <w:t>3</w:t>
      </w:r>
      <w:r>
        <w:rPr>
          <w:color w:val="000000"/>
          <w:szCs w:val="26"/>
        </w:rPr>
        <w:t>.</w:t>
      </w:r>
      <w:r>
        <w:rPr>
          <w:color w:val="000000"/>
          <w:szCs w:val="26"/>
        </w:rPr>
        <w:tab/>
      </w:r>
      <w:r w:rsidR="003F72DA">
        <w:rPr>
          <w:color w:val="000000"/>
          <w:szCs w:val="26"/>
        </w:rPr>
        <w:t>Omitting</w:t>
      </w:r>
      <w:r w:rsidR="0094004F">
        <w:rPr>
          <w:color w:val="000000"/>
          <w:szCs w:val="26"/>
        </w:rPr>
        <w:t xml:space="preserve"> these two </w:t>
      </w:r>
      <w:r w:rsidR="00A4058A">
        <w:rPr>
          <w:color w:val="000000"/>
          <w:szCs w:val="26"/>
        </w:rPr>
        <w:t>sectors</w:t>
      </w:r>
      <w:r w:rsidR="0094004F">
        <w:rPr>
          <w:color w:val="000000"/>
          <w:szCs w:val="26"/>
        </w:rPr>
        <w:t xml:space="preserve"> changed</w:t>
      </w:r>
      <w:r w:rsidR="00E95252">
        <w:rPr>
          <w:color w:val="000000"/>
          <w:szCs w:val="26"/>
        </w:rPr>
        <w:t xml:space="preserve"> the results to</w:t>
      </w:r>
      <w:r w:rsidR="00CF318D">
        <w:rPr>
          <w:color w:val="000000"/>
          <w:szCs w:val="26"/>
        </w:rPr>
        <w:t xml:space="preserve"> </w:t>
      </w:r>
      <w:r w:rsidR="00A4058A" w:rsidRPr="001166A7">
        <w:rPr>
          <w:position w:val="-6"/>
        </w:rPr>
        <w:object w:dxaOrig="200" w:dyaOrig="300">
          <v:shape id="_x0000_i1073" type="#_x0000_t75" style="width:9.75pt;height:15pt" o:ole="">
            <v:imagedata r:id="rId98" o:title=""/>
          </v:shape>
          <o:OLEObject Type="Embed" ProgID="Equation.3" ShapeID="_x0000_i1073" DrawAspect="Content" ObjectID="_1354515183" r:id="rId99"/>
        </w:object>
      </w:r>
      <w:r w:rsidR="00A4058A">
        <w:t xml:space="preserve">= </w:t>
      </w:r>
      <w:r w:rsidR="00CF318D">
        <w:sym w:font="Symbol" w:char="F02D"/>
      </w:r>
      <w:r w:rsidR="00CF318D">
        <w:t>0.064</w:t>
      </w:r>
      <w:r w:rsidR="00A4058A">
        <w:t>,</w:t>
      </w:r>
      <w:r w:rsidR="00333737">
        <w:t xml:space="preserve"> </w:t>
      </w:r>
      <w:r w:rsidR="00A4058A" w:rsidRPr="00522422">
        <w:rPr>
          <w:position w:val="-10"/>
        </w:rPr>
        <w:object w:dxaOrig="200" w:dyaOrig="380">
          <v:shape id="_x0000_i1074" type="#_x0000_t75" style="width:9.75pt;height:18.75pt" o:ole="">
            <v:imagedata r:id="rId100" o:title=""/>
          </v:shape>
          <o:OLEObject Type="Embed" ProgID="Equation.3" ShapeID="_x0000_i1074" DrawAspect="Content" ObjectID="_1354515184" r:id="rId101"/>
        </w:object>
      </w:r>
      <w:r w:rsidR="00F85058">
        <w:t xml:space="preserve">= </w:t>
      </w:r>
      <w:r w:rsidR="00CF318D">
        <w:t>1.068</w:t>
      </w:r>
      <w:r w:rsidR="00A4058A">
        <w:t xml:space="preserve"> and R</w:t>
      </w:r>
      <w:r w:rsidR="00A4058A">
        <w:rPr>
          <w:vertAlign w:val="superscript"/>
        </w:rPr>
        <w:t>2</w:t>
      </w:r>
      <w:r w:rsidR="00A4058A">
        <w:t xml:space="preserve"> = </w:t>
      </w:r>
      <w:r w:rsidR="00CF318D">
        <w:t>0.806</w:t>
      </w:r>
      <w:r w:rsidR="00333737">
        <w:rPr>
          <w:rFonts w:eastAsia="Times New Roman"/>
        </w:rPr>
        <w:t>.</w:t>
      </w:r>
      <w:r w:rsidR="00CF318D">
        <w:rPr>
          <w:rFonts w:eastAsia="Times New Roman"/>
        </w:rPr>
        <w:t xml:space="preserve">  </w:t>
      </w:r>
      <w:r w:rsidR="00DE318A">
        <w:rPr>
          <w:rFonts w:eastAsia="Times New Roman"/>
        </w:rPr>
        <w:t>The null hypotheses</w:t>
      </w:r>
      <w:r w:rsidR="00E95252" w:rsidRPr="00E95252">
        <w:t xml:space="preserve"> </w:t>
      </w:r>
      <w:r w:rsidR="00E95252" w:rsidRPr="002B77A7">
        <w:t>α = 0</w:t>
      </w:r>
      <w:r w:rsidR="00DE318A">
        <w:t xml:space="preserve"> and</w:t>
      </w:r>
      <w:r w:rsidR="00E95252" w:rsidRPr="002B77A7">
        <w:t xml:space="preserve"> β = 1 c</w:t>
      </w:r>
      <w:r w:rsidR="00E95252">
        <w:t>ould not</w:t>
      </w:r>
      <w:r w:rsidR="00E95252" w:rsidRPr="002B77A7">
        <w:t xml:space="preserve"> be rejected at the 5% level</w:t>
      </w:r>
      <w:r w:rsidR="00E95252">
        <w:t xml:space="preserve"> (</w:t>
      </w:r>
      <w:r w:rsidR="00E95252">
        <w:rPr>
          <w:i/>
        </w:rPr>
        <w:t>t</w:t>
      </w:r>
      <w:r w:rsidR="00E95252">
        <w:t xml:space="preserve"> = </w:t>
      </w:r>
      <w:r w:rsidR="00E95252">
        <w:sym w:font="Symbol" w:char="F02D"/>
      </w:r>
      <w:r w:rsidR="00E95252">
        <w:t>1.74 and 0.73</w:t>
      </w:r>
      <w:r w:rsidR="003F72DA">
        <w:t>, respectively</w:t>
      </w:r>
      <w:r w:rsidR="00E95252">
        <w:t xml:space="preserve">).  The further exclusion of the outlying sector, Electricity, gas and heat supply, </w:t>
      </w:r>
      <w:r w:rsidR="0094004F">
        <w:t xml:space="preserve">produced </w:t>
      </w:r>
      <w:r w:rsidR="0094004F" w:rsidRPr="001166A7">
        <w:rPr>
          <w:position w:val="-6"/>
        </w:rPr>
        <w:object w:dxaOrig="200" w:dyaOrig="300">
          <v:shape id="_x0000_i1075" type="#_x0000_t75" style="width:9.75pt;height:15pt" o:ole="">
            <v:imagedata r:id="rId98" o:title=""/>
          </v:shape>
          <o:OLEObject Type="Embed" ProgID="Equation.3" ShapeID="_x0000_i1075" DrawAspect="Content" ObjectID="_1354515185" r:id="rId102"/>
        </w:object>
      </w:r>
      <w:r w:rsidR="0094004F">
        <w:t xml:space="preserve">= </w:t>
      </w:r>
      <w:r w:rsidR="0094004F">
        <w:sym w:font="Symbol" w:char="F02D"/>
      </w:r>
      <w:r w:rsidR="0094004F">
        <w:t xml:space="preserve">0.059, </w:t>
      </w:r>
      <w:r w:rsidR="0094004F" w:rsidRPr="00522422">
        <w:rPr>
          <w:position w:val="-10"/>
        </w:rPr>
        <w:object w:dxaOrig="200" w:dyaOrig="380">
          <v:shape id="_x0000_i1076" type="#_x0000_t75" style="width:9.75pt;height:18.75pt" o:ole="">
            <v:imagedata r:id="rId100" o:title=""/>
          </v:shape>
          <o:OLEObject Type="Embed" ProgID="Equation.3" ShapeID="_x0000_i1076" DrawAspect="Content" ObjectID="_1354515186" r:id="rId103"/>
        </w:object>
      </w:r>
      <w:r w:rsidR="0094004F">
        <w:t>= 1.036 and R</w:t>
      </w:r>
      <w:r w:rsidR="0094004F">
        <w:rPr>
          <w:vertAlign w:val="superscript"/>
        </w:rPr>
        <w:t>2</w:t>
      </w:r>
      <w:r w:rsidR="0094004F">
        <w:t xml:space="preserve"> = 0.857</w:t>
      </w:r>
      <w:r w:rsidR="00DE318A">
        <w:t xml:space="preserve"> (</w:t>
      </w:r>
      <w:r w:rsidR="00DE318A">
        <w:rPr>
          <w:i/>
        </w:rPr>
        <w:t>t</w:t>
      </w:r>
      <w:r w:rsidR="00DE318A">
        <w:t xml:space="preserve"> = </w:t>
      </w:r>
      <w:r w:rsidR="00DE318A">
        <w:sym w:font="Symbol" w:char="F02D"/>
      </w:r>
      <w:r w:rsidR="00DE318A">
        <w:t>1.95 and 0.47)</w:t>
      </w:r>
      <w:r w:rsidR="0094004F">
        <w:rPr>
          <w:rFonts w:eastAsia="Times New Roman"/>
        </w:rPr>
        <w:t>.</w:t>
      </w:r>
    </w:p>
    <w:p w:rsidR="00A14B95" w:rsidRDefault="00A14B95" w:rsidP="00A4058A">
      <w:pPr>
        <w:widowControl w:val="0"/>
        <w:tabs>
          <w:tab w:val="left" w:pos="426"/>
        </w:tabs>
        <w:spacing w:line="480" w:lineRule="auto"/>
        <w:ind w:left="426" w:hanging="426"/>
        <w:rPr>
          <w:color w:val="000000"/>
          <w:szCs w:val="26"/>
        </w:rPr>
      </w:pPr>
      <w:r>
        <w:rPr>
          <w:color w:val="000000"/>
          <w:szCs w:val="26"/>
        </w:rPr>
        <w:t>3</w:t>
      </w:r>
      <w:r w:rsidR="006545DA">
        <w:rPr>
          <w:color w:val="000000"/>
          <w:szCs w:val="26"/>
        </w:rPr>
        <w:t>4</w:t>
      </w:r>
      <w:r>
        <w:rPr>
          <w:color w:val="000000"/>
          <w:szCs w:val="26"/>
        </w:rPr>
        <w:t>.</w:t>
      </w:r>
      <w:r>
        <w:rPr>
          <w:color w:val="000000"/>
          <w:szCs w:val="26"/>
        </w:rPr>
        <w:tab/>
      </w:r>
      <w:r w:rsidR="003F72DA">
        <w:rPr>
          <w:color w:val="000000"/>
          <w:szCs w:val="26"/>
        </w:rPr>
        <w:t>Product s</w:t>
      </w:r>
      <w:r>
        <w:rPr>
          <w:color w:val="000000"/>
          <w:szCs w:val="26"/>
        </w:rPr>
        <w:t>ubsidies</w:t>
      </w:r>
      <w:r w:rsidR="003F72DA">
        <w:rPr>
          <w:color w:val="000000"/>
          <w:szCs w:val="26"/>
        </w:rPr>
        <w:t xml:space="preserve"> </w:t>
      </w:r>
      <w:r w:rsidR="00333737">
        <w:rPr>
          <w:color w:val="000000"/>
          <w:szCs w:val="26"/>
        </w:rPr>
        <w:t xml:space="preserve">for sectors 6 and 7 were </w:t>
      </w:r>
      <w:r w:rsidR="003F72DA">
        <w:sym w:font="Symbol" w:char="F02D"/>
      </w:r>
      <w:r w:rsidR="00333737">
        <w:rPr>
          <w:color w:val="000000"/>
          <w:szCs w:val="26"/>
        </w:rPr>
        <w:t>0.</w:t>
      </w:r>
      <w:r w:rsidR="003F72DA">
        <w:rPr>
          <w:color w:val="000000"/>
          <w:szCs w:val="26"/>
        </w:rPr>
        <w:t>4398</w:t>
      </w:r>
      <w:r w:rsidR="00333737">
        <w:rPr>
          <w:color w:val="000000"/>
          <w:szCs w:val="26"/>
        </w:rPr>
        <w:t xml:space="preserve"> and </w:t>
      </w:r>
      <w:r w:rsidR="003F72DA">
        <w:sym w:font="Symbol" w:char="F02D"/>
      </w:r>
      <w:r w:rsidR="003F72DA">
        <w:rPr>
          <w:color w:val="000000"/>
          <w:szCs w:val="26"/>
        </w:rPr>
        <w:t>0.2836</w:t>
      </w:r>
      <w:r w:rsidR="00333737">
        <w:rPr>
          <w:color w:val="000000"/>
          <w:szCs w:val="26"/>
        </w:rPr>
        <w:t xml:space="preserve">, respectively, for </w:t>
      </w:r>
      <w:r w:rsidR="00333737" w:rsidRPr="002B77A7">
        <w:rPr>
          <w:rFonts w:eastAsia="Times New Roman"/>
        </w:rPr>
        <w:t>Pohjois-Karjala</w:t>
      </w:r>
      <w:r w:rsidR="00333737">
        <w:rPr>
          <w:rFonts w:eastAsia="Times New Roman"/>
        </w:rPr>
        <w:t xml:space="preserve"> in 1995</w:t>
      </w:r>
      <w:r w:rsidR="003F72DA">
        <w:rPr>
          <w:rFonts w:eastAsia="Times New Roman"/>
        </w:rPr>
        <w:t xml:space="preserve">, compared with </w:t>
      </w:r>
      <w:r w:rsidR="003F72DA">
        <w:sym w:font="Symbol" w:char="F02D"/>
      </w:r>
      <w:r w:rsidR="003F72DA">
        <w:rPr>
          <w:color w:val="000000"/>
          <w:szCs w:val="26"/>
        </w:rPr>
        <w:t xml:space="preserve">0.1250 and </w:t>
      </w:r>
      <w:r w:rsidR="003F72DA">
        <w:sym w:font="Symbol" w:char="F02D"/>
      </w:r>
      <w:r w:rsidR="003F72DA">
        <w:rPr>
          <w:color w:val="000000"/>
          <w:szCs w:val="26"/>
        </w:rPr>
        <w:t>0.1343 for Finland</w:t>
      </w:r>
      <w:r w:rsidR="00333737">
        <w:rPr>
          <w:rFonts w:eastAsia="Times New Roman"/>
        </w:rPr>
        <w:t>.</w:t>
      </w:r>
    </w:p>
    <w:p w:rsidR="00A14B95" w:rsidRDefault="00A4058A" w:rsidP="00A4058A">
      <w:pPr>
        <w:widowControl w:val="0"/>
        <w:tabs>
          <w:tab w:val="left" w:pos="426"/>
        </w:tabs>
        <w:spacing w:line="480" w:lineRule="auto"/>
        <w:ind w:left="426" w:hanging="426"/>
        <w:rPr>
          <w:rFonts w:eastAsia="Times New Roman"/>
        </w:rPr>
      </w:pPr>
      <w:r>
        <w:rPr>
          <w:color w:val="000000"/>
          <w:szCs w:val="26"/>
        </w:rPr>
        <w:t>3</w:t>
      </w:r>
      <w:r w:rsidR="006545DA">
        <w:rPr>
          <w:color w:val="000000"/>
          <w:szCs w:val="26"/>
        </w:rPr>
        <w:t>5</w:t>
      </w:r>
      <w:r>
        <w:rPr>
          <w:color w:val="000000"/>
          <w:szCs w:val="26"/>
        </w:rPr>
        <w:t>.</w:t>
      </w:r>
      <w:r>
        <w:rPr>
          <w:color w:val="000000"/>
          <w:szCs w:val="26"/>
        </w:rPr>
        <w:tab/>
        <w:t xml:space="preserve">When </w:t>
      </w:r>
      <w:r w:rsidR="00333737">
        <w:rPr>
          <w:color w:val="000000"/>
          <w:szCs w:val="26"/>
        </w:rPr>
        <w:t xml:space="preserve">sector 6 </w:t>
      </w:r>
      <w:r w:rsidR="0055692F">
        <w:rPr>
          <w:color w:val="000000"/>
          <w:szCs w:val="26"/>
        </w:rPr>
        <w:t>was</w:t>
      </w:r>
      <w:r w:rsidR="00333737">
        <w:rPr>
          <w:color w:val="000000"/>
          <w:szCs w:val="26"/>
        </w:rPr>
        <w:t xml:space="preserve"> excluded</w:t>
      </w:r>
      <w:r>
        <w:rPr>
          <w:color w:val="000000"/>
          <w:szCs w:val="26"/>
        </w:rPr>
        <w:t xml:space="preserve">, </w:t>
      </w:r>
      <w:r w:rsidRPr="001166A7">
        <w:rPr>
          <w:position w:val="-6"/>
        </w:rPr>
        <w:object w:dxaOrig="200" w:dyaOrig="300">
          <v:shape id="_x0000_i1077" type="#_x0000_t75" style="width:9.75pt;height:15pt" o:ole="">
            <v:imagedata r:id="rId98" o:title=""/>
          </v:shape>
          <o:OLEObject Type="Embed" ProgID="Equation.3" ShapeID="_x0000_i1077" DrawAspect="Content" ObjectID="_1354515187" r:id="rId104"/>
        </w:object>
      </w:r>
      <w:r>
        <w:t xml:space="preserve">= </w:t>
      </w:r>
      <w:r w:rsidR="009A1C60">
        <w:t>0.038</w:t>
      </w:r>
      <w:r>
        <w:t>,</w:t>
      </w:r>
      <w:r w:rsidR="00333737">
        <w:t xml:space="preserve"> </w:t>
      </w:r>
      <w:r w:rsidRPr="00522422">
        <w:rPr>
          <w:position w:val="-10"/>
        </w:rPr>
        <w:object w:dxaOrig="200" w:dyaOrig="380">
          <v:shape id="_x0000_i1078" type="#_x0000_t75" style="width:9.75pt;height:18.75pt" o:ole="">
            <v:imagedata r:id="rId100" o:title=""/>
          </v:shape>
          <o:OLEObject Type="Embed" ProgID="Equation.3" ShapeID="_x0000_i1078" DrawAspect="Content" ObjectID="_1354515188" r:id="rId105"/>
        </w:object>
      </w:r>
      <w:r>
        <w:t xml:space="preserve">= </w:t>
      </w:r>
      <w:r w:rsidR="009A1C60">
        <w:t>0.862</w:t>
      </w:r>
      <w:r>
        <w:t xml:space="preserve"> and R</w:t>
      </w:r>
      <w:r>
        <w:rPr>
          <w:vertAlign w:val="superscript"/>
        </w:rPr>
        <w:t>2</w:t>
      </w:r>
      <w:r>
        <w:t xml:space="preserve"> = </w:t>
      </w:r>
      <w:r w:rsidR="009A1C60">
        <w:t>0.830</w:t>
      </w:r>
      <w:r w:rsidR="00333737" w:rsidRPr="00333737">
        <w:rPr>
          <w:rFonts w:eastAsia="Times New Roman"/>
        </w:rPr>
        <w:t xml:space="preserve"> </w:t>
      </w:r>
      <w:r w:rsidR="00333737">
        <w:rPr>
          <w:rFonts w:eastAsia="Times New Roman"/>
        </w:rPr>
        <w:t xml:space="preserve">for </w:t>
      </w:r>
      <w:r w:rsidR="00333737" w:rsidRPr="002B77A7">
        <w:rPr>
          <w:rFonts w:eastAsia="Times New Roman"/>
        </w:rPr>
        <w:t>Itä-Uusimaa</w:t>
      </w:r>
      <w:r w:rsidR="00333737">
        <w:rPr>
          <w:rFonts w:eastAsia="Times New Roman"/>
        </w:rPr>
        <w:t>.</w:t>
      </w:r>
    </w:p>
    <w:p w:rsidR="006D0DA6" w:rsidRDefault="006D0DA6" w:rsidP="00A4058A">
      <w:pPr>
        <w:widowControl w:val="0"/>
        <w:tabs>
          <w:tab w:val="left" w:pos="426"/>
        </w:tabs>
        <w:spacing w:line="480" w:lineRule="auto"/>
        <w:ind w:left="426" w:hanging="426"/>
        <w:rPr>
          <w:color w:val="000000"/>
          <w:szCs w:val="26"/>
        </w:rPr>
      </w:pPr>
      <w:r>
        <w:rPr>
          <w:rFonts w:eastAsia="Times New Roman"/>
        </w:rPr>
        <w:t>3</w:t>
      </w:r>
      <w:r w:rsidR="006545DA">
        <w:rPr>
          <w:rFonts w:eastAsia="Times New Roman"/>
        </w:rPr>
        <w:t>6</w:t>
      </w:r>
      <w:r>
        <w:rPr>
          <w:rFonts w:eastAsia="Times New Roman"/>
        </w:rPr>
        <w:t>.</w:t>
      </w:r>
      <w:r>
        <w:rPr>
          <w:rFonts w:eastAsia="Times New Roman"/>
        </w:rPr>
        <w:tab/>
      </w:r>
      <w:r w:rsidR="00757B33">
        <w:rPr>
          <w:rFonts w:eastAsia="Times New Roman"/>
        </w:rPr>
        <w:t xml:space="preserve">For instance, the exclusion of the </w:t>
      </w:r>
      <w:r w:rsidR="00757B33">
        <w:rPr>
          <w:color w:val="000000"/>
          <w:szCs w:val="26"/>
        </w:rPr>
        <w:t xml:space="preserve">Hunting and fishing sector </w:t>
      </w:r>
      <w:r w:rsidR="00F01AB4">
        <w:rPr>
          <w:color w:val="000000"/>
          <w:szCs w:val="26"/>
        </w:rPr>
        <w:t>in</w:t>
      </w:r>
      <w:r w:rsidR="00F01AB4">
        <w:rPr>
          <w:rFonts w:eastAsia="Times New Roman"/>
        </w:rPr>
        <w:t xml:space="preserve"> Pohjanmaa</w:t>
      </w:r>
      <w:r w:rsidR="00F01AB4">
        <w:rPr>
          <w:color w:val="000000"/>
          <w:szCs w:val="26"/>
        </w:rPr>
        <w:t xml:space="preserve"> </w:t>
      </w:r>
      <w:r w:rsidR="00742266">
        <w:rPr>
          <w:color w:val="000000"/>
          <w:szCs w:val="26"/>
        </w:rPr>
        <w:t>alter</w:t>
      </w:r>
      <w:r w:rsidR="00757B33">
        <w:rPr>
          <w:color w:val="000000"/>
          <w:szCs w:val="26"/>
        </w:rPr>
        <w:t xml:space="preserve">ed the </w:t>
      </w:r>
      <w:r w:rsidR="003E7B02">
        <w:rPr>
          <w:color w:val="000000"/>
          <w:szCs w:val="26"/>
        </w:rPr>
        <w:t>outcome</w:t>
      </w:r>
      <w:r w:rsidR="00757B33">
        <w:rPr>
          <w:color w:val="000000"/>
          <w:szCs w:val="26"/>
        </w:rPr>
        <w:t xml:space="preserve"> to </w:t>
      </w:r>
      <w:r w:rsidR="00757B33" w:rsidRPr="001166A7">
        <w:rPr>
          <w:position w:val="-6"/>
        </w:rPr>
        <w:object w:dxaOrig="200" w:dyaOrig="300">
          <v:shape id="_x0000_i1079" type="#_x0000_t75" style="width:9.75pt;height:15pt" o:ole="">
            <v:imagedata r:id="rId98" o:title=""/>
          </v:shape>
          <o:OLEObject Type="Embed" ProgID="Equation.3" ShapeID="_x0000_i1079" DrawAspect="Content" ObjectID="_1354515189" r:id="rId106"/>
        </w:object>
      </w:r>
      <w:r w:rsidR="00757B33">
        <w:t xml:space="preserve">= </w:t>
      </w:r>
      <w:r w:rsidR="00757B33">
        <w:sym w:font="Symbol" w:char="F02D"/>
      </w:r>
      <w:r w:rsidR="00757B33">
        <w:t xml:space="preserve">0.011, </w:t>
      </w:r>
      <w:r w:rsidR="00757B33" w:rsidRPr="00522422">
        <w:rPr>
          <w:position w:val="-10"/>
        </w:rPr>
        <w:object w:dxaOrig="200" w:dyaOrig="380">
          <v:shape id="_x0000_i1080" type="#_x0000_t75" style="width:9.75pt;height:18.75pt" o:ole="">
            <v:imagedata r:id="rId100" o:title=""/>
          </v:shape>
          <o:OLEObject Type="Embed" ProgID="Equation.3" ShapeID="_x0000_i1080" DrawAspect="Content" ObjectID="_1354515190" r:id="rId107"/>
        </w:object>
      </w:r>
      <w:r w:rsidR="00757B33">
        <w:t>= 1.021 and R</w:t>
      </w:r>
      <w:r w:rsidR="00757B33">
        <w:rPr>
          <w:vertAlign w:val="superscript"/>
        </w:rPr>
        <w:t>2</w:t>
      </w:r>
      <w:r w:rsidR="00757B33">
        <w:t xml:space="preserve"> = 0.874</w:t>
      </w:r>
      <w:r w:rsidR="00757B33">
        <w:rPr>
          <w:rFonts w:eastAsia="Times New Roman"/>
        </w:rPr>
        <w:t xml:space="preserve">.  </w:t>
      </w:r>
    </w:p>
    <w:p w:rsidR="00A14B95" w:rsidRDefault="00A14B95" w:rsidP="00A4058A">
      <w:pPr>
        <w:widowControl w:val="0"/>
        <w:tabs>
          <w:tab w:val="left" w:pos="426"/>
        </w:tabs>
        <w:spacing w:line="480" w:lineRule="auto"/>
        <w:ind w:left="426" w:hanging="426"/>
        <w:rPr>
          <w:color w:val="000000"/>
          <w:szCs w:val="26"/>
        </w:rPr>
      </w:pPr>
      <w:r>
        <w:rPr>
          <w:color w:val="000000"/>
          <w:szCs w:val="26"/>
        </w:rPr>
        <w:t>3</w:t>
      </w:r>
      <w:r w:rsidR="006545DA">
        <w:rPr>
          <w:color w:val="000000"/>
          <w:szCs w:val="26"/>
        </w:rPr>
        <w:t>7</w:t>
      </w:r>
      <w:r>
        <w:rPr>
          <w:color w:val="000000"/>
          <w:szCs w:val="26"/>
        </w:rPr>
        <w:t>.</w:t>
      </w:r>
      <w:r>
        <w:rPr>
          <w:color w:val="000000"/>
          <w:szCs w:val="26"/>
        </w:rPr>
        <w:tab/>
      </w:r>
      <w:r w:rsidR="00513E73">
        <w:rPr>
          <w:color w:val="000000"/>
          <w:szCs w:val="26"/>
        </w:rPr>
        <w:t>Omitting these three</w:t>
      </w:r>
      <w:r w:rsidR="00A4058A">
        <w:rPr>
          <w:color w:val="000000"/>
          <w:szCs w:val="26"/>
        </w:rPr>
        <w:t xml:space="preserve"> </w:t>
      </w:r>
      <w:r w:rsidR="00513E73">
        <w:rPr>
          <w:color w:val="000000"/>
          <w:szCs w:val="26"/>
        </w:rPr>
        <w:t xml:space="preserve">atypical </w:t>
      </w:r>
      <w:r w:rsidR="00333737">
        <w:rPr>
          <w:color w:val="000000"/>
          <w:szCs w:val="26"/>
        </w:rPr>
        <w:t xml:space="preserve">sectors </w:t>
      </w:r>
      <w:r w:rsidR="00513E73">
        <w:rPr>
          <w:color w:val="000000"/>
          <w:szCs w:val="26"/>
        </w:rPr>
        <w:t xml:space="preserve">changed the </w:t>
      </w:r>
      <w:r w:rsidR="00742266">
        <w:rPr>
          <w:color w:val="000000"/>
          <w:szCs w:val="26"/>
        </w:rPr>
        <w:t>outcome</w:t>
      </w:r>
      <w:r w:rsidR="00513E73">
        <w:rPr>
          <w:color w:val="000000"/>
          <w:szCs w:val="26"/>
        </w:rPr>
        <w:t xml:space="preserve"> for Ahvenanmaa to </w:t>
      </w:r>
      <w:r w:rsidR="00A4058A" w:rsidRPr="001166A7">
        <w:rPr>
          <w:position w:val="-6"/>
        </w:rPr>
        <w:object w:dxaOrig="200" w:dyaOrig="300">
          <v:shape id="_x0000_i1081" type="#_x0000_t75" style="width:9.75pt;height:15pt" o:ole="">
            <v:imagedata r:id="rId98" o:title=""/>
          </v:shape>
          <o:OLEObject Type="Embed" ProgID="Equation.3" ShapeID="_x0000_i1081" DrawAspect="Content" ObjectID="_1354515191" r:id="rId108"/>
        </w:object>
      </w:r>
      <w:r w:rsidR="00A4058A">
        <w:t xml:space="preserve">= </w:t>
      </w:r>
      <w:r w:rsidR="009A1C60">
        <w:t>0.024</w:t>
      </w:r>
      <w:r w:rsidR="00A4058A">
        <w:t>,</w:t>
      </w:r>
      <w:r w:rsidR="00333737">
        <w:t xml:space="preserve"> </w:t>
      </w:r>
      <w:r w:rsidR="00A4058A" w:rsidRPr="00522422">
        <w:rPr>
          <w:position w:val="-10"/>
        </w:rPr>
        <w:object w:dxaOrig="200" w:dyaOrig="380">
          <v:shape id="_x0000_i1082" type="#_x0000_t75" style="width:9.75pt;height:18.75pt" o:ole="">
            <v:imagedata r:id="rId100" o:title=""/>
          </v:shape>
          <o:OLEObject Type="Embed" ProgID="Equation.3" ShapeID="_x0000_i1082" DrawAspect="Content" ObjectID="_1354515192" r:id="rId109"/>
        </w:object>
      </w:r>
      <w:r w:rsidR="00A4058A">
        <w:t xml:space="preserve">= </w:t>
      </w:r>
      <w:r w:rsidR="009A1C60">
        <w:t>0.900</w:t>
      </w:r>
      <w:r w:rsidR="00A4058A">
        <w:t xml:space="preserve"> and R</w:t>
      </w:r>
      <w:r w:rsidR="00A4058A">
        <w:rPr>
          <w:vertAlign w:val="superscript"/>
        </w:rPr>
        <w:t>2</w:t>
      </w:r>
      <w:r w:rsidR="00A4058A">
        <w:t xml:space="preserve"> = </w:t>
      </w:r>
      <w:r w:rsidR="009A1C60">
        <w:t>0.748</w:t>
      </w:r>
      <w:r w:rsidR="00333737">
        <w:rPr>
          <w:color w:val="000000"/>
          <w:szCs w:val="26"/>
        </w:rPr>
        <w:t>.</w:t>
      </w:r>
    </w:p>
    <w:p w:rsidR="0045465B" w:rsidRDefault="00027468" w:rsidP="0045465B">
      <w:pPr>
        <w:widowControl w:val="0"/>
        <w:tabs>
          <w:tab w:val="left" w:pos="426"/>
        </w:tabs>
        <w:spacing w:line="480" w:lineRule="auto"/>
        <w:ind w:left="426" w:hanging="426"/>
        <w:rPr>
          <w:color w:val="000000"/>
        </w:rPr>
      </w:pPr>
      <w:r>
        <w:rPr>
          <w:color w:val="000000"/>
          <w:szCs w:val="26"/>
        </w:rPr>
        <w:t>38.</w:t>
      </w:r>
      <w:r>
        <w:rPr>
          <w:color w:val="000000"/>
          <w:szCs w:val="26"/>
        </w:rPr>
        <w:tab/>
      </w:r>
      <w:r w:rsidR="0045465B">
        <w:rPr>
          <w:color w:val="000000"/>
        </w:rPr>
        <w:t>Using survey-based data for the Italian Marche region in 1974, Bonfiglio (2009) computed a δ of 0.66.  This region is, however, somewhat unusual, in view of its below-average proportion of intermediate inputs and above-average propensity to import from other regions (</w:t>
      </w:r>
      <w:r w:rsidR="0045465B">
        <w:rPr>
          <w:i/>
          <w:color w:val="000000"/>
        </w:rPr>
        <w:t>ibid.</w:t>
      </w:r>
      <w:r w:rsidR="0045465B">
        <w:rPr>
          <w:color w:val="000000"/>
        </w:rPr>
        <w:t xml:space="preserve">, Table 5).  Indeed, the author’s results show a probability of only 0.008 of getting </w:t>
      </w:r>
      <w:r w:rsidR="0045465B">
        <w:rPr>
          <w:color w:val="000000"/>
          <w:lang w:val="sv-SE"/>
        </w:rPr>
        <w:t>0.6</w:t>
      </w:r>
      <w:r w:rsidR="0045465B">
        <w:rPr>
          <w:color w:val="000000"/>
        </w:rPr>
        <w:t xml:space="preserve"> </w:t>
      </w:r>
      <w:r w:rsidR="0045465B" w:rsidRPr="00DE71C0">
        <w:rPr>
          <w:color w:val="000000"/>
        </w:rPr>
        <w:t>≤</w:t>
      </w:r>
      <w:r w:rsidR="0045465B">
        <w:rPr>
          <w:color w:val="000000"/>
        </w:rPr>
        <w:t xml:space="preserve"> </w:t>
      </w:r>
      <w:r w:rsidR="0045465B" w:rsidRPr="00DE71C0">
        <w:rPr>
          <w:color w:val="000000"/>
        </w:rPr>
        <w:t>δ</w:t>
      </w:r>
      <w:r w:rsidR="0045465B">
        <w:rPr>
          <w:color w:val="000000"/>
        </w:rPr>
        <w:t xml:space="preserve"> </w:t>
      </w:r>
      <w:r w:rsidR="0045465B" w:rsidRPr="00DE71C0">
        <w:rPr>
          <w:color w:val="000000"/>
        </w:rPr>
        <w:t>≤</w:t>
      </w:r>
      <w:r w:rsidR="0045465B">
        <w:rPr>
          <w:color w:val="000000"/>
        </w:rPr>
        <w:t xml:space="preserve"> 0.7 (</w:t>
      </w:r>
      <w:r w:rsidR="0045465B">
        <w:rPr>
          <w:i/>
          <w:color w:val="000000"/>
        </w:rPr>
        <w:t>ibid.</w:t>
      </w:r>
      <w:r w:rsidR="0045465B">
        <w:rPr>
          <w:color w:val="000000"/>
        </w:rPr>
        <w:t>, Table 1).</w:t>
      </w:r>
    </w:p>
    <w:p w:rsidR="0045465B" w:rsidRDefault="0045465B" w:rsidP="0045465B">
      <w:pPr>
        <w:widowControl w:val="0"/>
        <w:tabs>
          <w:tab w:val="left" w:pos="426"/>
        </w:tabs>
        <w:spacing w:line="480" w:lineRule="auto"/>
        <w:ind w:left="426" w:hanging="426"/>
        <w:rPr>
          <w:color w:val="000000"/>
        </w:rPr>
      </w:pPr>
      <w:r>
        <w:rPr>
          <w:color w:val="000000"/>
        </w:rPr>
        <w:t>39.</w:t>
      </w:r>
      <w:r>
        <w:rPr>
          <w:color w:val="000000"/>
        </w:rPr>
        <w:tab/>
        <w:t>Bonfiglio (2009) presents an alternative regression model for determining the value of δ.  He includes variables to capture regional size (</w:t>
      </w:r>
      <w:r>
        <w:rPr>
          <w:i/>
          <w:color w:val="000000"/>
        </w:rPr>
        <w:t>RSRP</w:t>
      </w:r>
      <w:r>
        <w:rPr>
          <w:color w:val="000000"/>
        </w:rPr>
        <w:t>) and the propensity to import from other regions (</w:t>
      </w:r>
      <w:r>
        <w:rPr>
          <w:i/>
          <w:color w:val="000000"/>
        </w:rPr>
        <w:t>PROP</w:t>
      </w:r>
      <w:r>
        <w:rPr>
          <w:color w:val="000000"/>
        </w:rPr>
        <w:t>), as we do, but does not include a measure of the divergence between regional and national proportions of intermediate inputs.  Unlike us, he finds an inverse relationship between the optimal δ and regional size.  He also defines the import propensity differently.</w:t>
      </w:r>
    </w:p>
    <w:p w:rsidR="00027468" w:rsidRDefault="0045465B" w:rsidP="0045465B">
      <w:pPr>
        <w:widowControl w:val="0"/>
        <w:tabs>
          <w:tab w:val="left" w:pos="426"/>
        </w:tabs>
        <w:spacing w:line="480" w:lineRule="auto"/>
        <w:ind w:left="426" w:hanging="426"/>
        <w:rPr>
          <w:color w:val="000000"/>
        </w:rPr>
      </w:pPr>
      <w:r>
        <w:rPr>
          <w:color w:val="000000"/>
        </w:rPr>
        <w:t>40.</w:t>
      </w:r>
      <w:r>
        <w:rPr>
          <w:color w:val="000000"/>
        </w:rPr>
        <w:tab/>
        <w:t xml:space="preserve">Another way of adjusting for </w:t>
      </w:r>
      <w:r>
        <w:t xml:space="preserve">differences between regional and national proportions of intermediate inputs would be to apply Round’s </w:t>
      </w:r>
      <w:r>
        <w:rPr>
          <w:color w:val="000000"/>
        </w:rPr>
        <w:t>‘</w:t>
      </w:r>
      <w:r>
        <w:t>fabrication</w:t>
      </w:r>
      <w:r>
        <w:rPr>
          <w:color w:val="000000"/>
        </w:rPr>
        <w:t>’</w:t>
      </w:r>
      <w:r>
        <w:t xml:space="preserve"> </w:t>
      </w:r>
      <w:r>
        <w:rPr>
          <w:color w:val="000000"/>
        </w:rPr>
        <w:t>adjustment, whereby each column of the national coefficient matrix is scaled prior to applying LQs (Miller and Blair,</w:t>
      </w:r>
      <w:r w:rsidRPr="00A8486C">
        <w:rPr>
          <w:color w:val="000000"/>
        </w:rPr>
        <w:t xml:space="preserve"> </w:t>
      </w:r>
      <w:r>
        <w:t>2009, pp. 356</w:t>
      </w:r>
      <w:r>
        <w:sym w:font="Symbol" w:char="F02D"/>
      </w:r>
      <w:r>
        <w:t>357, 361</w:t>
      </w:r>
      <w:r>
        <w:sym w:font="Symbol" w:char="F02D"/>
      </w:r>
      <w:r>
        <w:t>362; Sawyer and Miller, 1983</w:t>
      </w:r>
      <w:r>
        <w:rPr>
          <w:color w:val="000000"/>
        </w:rPr>
        <w:t xml:space="preserve">).  However, this adjustment presupposes that </w:t>
      </w:r>
      <w:r w:rsidRPr="00335784">
        <w:rPr>
          <w:color w:val="000000"/>
        </w:rPr>
        <w:t xml:space="preserve">α </w:t>
      </w:r>
      <w:r>
        <w:rPr>
          <w:color w:val="000000"/>
        </w:rPr>
        <w:t xml:space="preserve">= 0 in equation </w:t>
      </w:r>
      <w:r>
        <w:t xml:space="preserve">(30).  Our preferred approach, which we believe to be both simpler and more comprehensive, is to use the regression model (23) to help determine an appropriate </w:t>
      </w:r>
      <w:r>
        <w:rPr>
          <w:color w:val="000000"/>
        </w:rPr>
        <w:t>value of δ.</w:t>
      </w:r>
    </w:p>
    <w:p w:rsidR="00CD2ACF" w:rsidRDefault="00CD2ACF" w:rsidP="0045465B">
      <w:pPr>
        <w:widowControl w:val="0"/>
        <w:tabs>
          <w:tab w:val="left" w:pos="426"/>
        </w:tabs>
        <w:spacing w:line="480" w:lineRule="auto"/>
        <w:ind w:left="426" w:hanging="426"/>
        <w:rPr>
          <w:color w:val="000000"/>
          <w:szCs w:val="26"/>
        </w:rPr>
      </w:pPr>
      <w:r>
        <w:rPr>
          <w:color w:val="000000"/>
        </w:rPr>
        <w:t>41.</w:t>
      </w:r>
      <w:r>
        <w:rPr>
          <w:color w:val="000000"/>
        </w:rPr>
        <w:tab/>
      </w:r>
      <w:r w:rsidR="00600699">
        <w:rPr>
          <w:color w:val="000000"/>
        </w:rPr>
        <w:t xml:space="preserve">This statement is based on the </w:t>
      </w:r>
      <w:r w:rsidR="00600699">
        <w:rPr>
          <w:i/>
          <w:color w:val="000000"/>
        </w:rPr>
        <w:t xml:space="preserve">a priori </w:t>
      </w:r>
      <w:r w:rsidR="00600699" w:rsidRPr="00600699">
        <w:rPr>
          <w:color w:val="000000"/>
        </w:rPr>
        <w:t>arguments presented in the Introduction</w:t>
      </w:r>
      <w:r w:rsidR="00600699">
        <w:rPr>
          <w:color w:val="000000"/>
        </w:rPr>
        <w:t xml:space="preserve">.  We </w:t>
      </w:r>
      <w:r w:rsidR="00FA236D">
        <w:rPr>
          <w:color w:val="000000"/>
        </w:rPr>
        <w:t>intend</w:t>
      </w:r>
      <w:r w:rsidR="00600699">
        <w:rPr>
          <w:color w:val="000000"/>
        </w:rPr>
        <w:t xml:space="preserve"> </w:t>
      </w:r>
      <w:r w:rsidR="00FA236D">
        <w:rPr>
          <w:color w:val="000000"/>
        </w:rPr>
        <w:t xml:space="preserve">to </w:t>
      </w:r>
      <w:r w:rsidR="00600699">
        <w:rPr>
          <w:color w:val="000000"/>
        </w:rPr>
        <w:t>carr</w:t>
      </w:r>
      <w:r w:rsidR="00FA236D">
        <w:rPr>
          <w:color w:val="000000"/>
        </w:rPr>
        <w:t>y</w:t>
      </w:r>
      <w:r w:rsidR="00600699">
        <w:rPr>
          <w:color w:val="000000"/>
        </w:rPr>
        <w:t xml:space="preserve"> out an empirical analysis to substantiate it</w:t>
      </w:r>
      <w:r w:rsidR="00FA236D">
        <w:rPr>
          <w:color w:val="000000"/>
        </w:rPr>
        <w:t xml:space="preserve"> and to measure the extent of any improvements in accuracy</w:t>
      </w:r>
      <w:r w:rsidR="00600699">
        <w:rPr>
          <w:color w:val="000000"/>
        </w:rPr>
        <w:t>.</w:t>
      </w:r>
    </w:p>
    <w:p w:rsidR="00EC56B6" w:rsidRDefault="00EC56B6">
      <w:pPr>
        <w:spacing w:after="200" w:line="276" w:lineRule="auto"/>
        <w:jc w:val="left"/>
        <w:rPr>
          <w:color w:val="000000"/>
          <w:szCs w:val="26"/>
        </w:rPr>
      </w:pPr>
    </w:p>
    <w:p w:rsidR="00CD2ACF" w:rsidRDefault="00CD2ACF">
      <w:pPr>
        <w:spacing w:after="200" w:line="276" w:lineRule="auto"/>
        <w:jc w:val="left"/>
        <w:rPr>
          <w:rFonts w:eastAsia="Times New Roman"/>
          <w:b/>
          <w:szCs w:val="20"/>
          <w:lang w:eastAsia="fi-FI"/>
        </w:rPr>
      </w:pPr>
      <w:r>
        <w:rPr>
          <w:b/>
        </w:rPr>
        <w:br w:type="page"/>
      </w:r>
    </w:p>
    <w:p w:rsidR="006A0C47" w:rsidRDefault="006A0C47" w:rsidP="006A0C47">
      <w:pPr>
        <w:pStyle w:val="Normaali1"/>
        <w:spacing w:line="480" w:lineRule="auto"/>
        <w:jc w:val="center"/>
        <w:rPr>
          <w:rFonts w:ascii="Times New Roman" w:hAnsi="Times New Roman"/>
          <w:b/>
          <w:lang w:val="en-GB"/>
        </w:rPr>
      </w:pPr>
      <w:r w:rsidRPr="002A3504">
        <w:rPr>
          <w:rFonts w:ascii="Times New Roman" w:hAnsi="Times New Roman"/>
          <w:b/>
          <w:lang w:val="en-GB"/>
        </w:rPr>
        <w:lastRenderedPageBreak/>
        <w:t>REFERENCES</w:t>
      </w:r>
    </w:p>
    <w:p w:rsidR="006A0C47" w:rsidRDefault="006A0C47" w:rsidP="006A0C47">
      <w:pPr>
        <w:spacing w:line="480" w:lineRule="auto"/>
        <w:ind w:left="284" w:hanging="284"/>
      </w:pPr>
      <w:r w:rsidRPr="001E23BF">
        <w:t>Bonfiglio A. (200</w:t>
      </w:r>
      <w:r>
        <w:t>9</w:t>
      </w:r>
      <w:r w:rsidRPr="001E23BF">
        <w:t xml:space="preserve">) </w:t>
      </w:r>
      <w:r>
        <w:t>On</w:t>
      </w:r>
      <w:r w:rsidRPr="001E23BF">
        <w:t xml:space="preserve"> the </w:t>
      </w:r>
      <w:r>
        <w:t>parameterization</w:t>
      </w:r>
      <w:r w:rsidRPr="001E23BF">
        <w:t xml:space="preserve"> of </w:t>
      </w:r>
      <w:r>
        <w:t>techniques</w:t>
      </w:r>
      <w:r w:rsidRPr="001E23BF">
        <w:t xml:space="preserve"> for </w:t>
      </w:r>
      <w:r>
        <w:t>represent</w:t>
      </w:r>
      <w:r w:rsidRPr="001E23BF">
        <w:t xml:space="preserve">ing regional </w:t>
      </w:r>
      <w:r>
        <w:t>economic structures</w:t>
      </w:r>
      <w:r w:rsidRPr="001E23BF">
        <w:t xml:space="preserve">, </w:t>
      </w:r>
      <w:r w:rsidRPr="001E23BF">
        <w:rPr>
          <w:i/>
        </w:rPr>
        <w:t xml:space="preserve">Economic Systems Research </w:t>
      </w:r>
      <w:r w:rsidRPr="001E23BF">
        <w:rPr>
          <w:b/>
        </w:rPr>
        <w:t>2</w:t>
      </w:r>
      <w:r>
        <w:rPr>
          <w:b/>
        </w:rPr>
        <w:t>1</w:t>
      </w:r>
      <w:r w:rsidRPr="001E23BF">
        <w:rPr>
          <w:b/>
        </w:rPr>
        <w:t>,</w:t>
      </w:r>
      <w:r w:rsidRPr="001E23BF">
        <w:t xml:space="preserve"> </w:t>
      </w:r>
      <w:r>
        <w:t>115</w:t>
      </w:r>
      <w:r w:rsidRPr="001E23BF">
        <w:sym w:font="Symbol" w:char="F02D"/>
      </w:r>
      <w:r>
        <w:t>1</w:t>
      </w:r>
      <w:r w:rsidRPr="001E23BF">
        <w:t>2</w:t>
      </w:r>
      <w:r>
        <w:t>7</w:t>
      </w:r>
      <w:r w:rsidRPr="001E23BF">
        <w:t>.</w:t>
      </w:r>
    </w:p>
    <w:p w:rsidR="006A0C47" w:rsidRPr="00033558" w:rsidRDefault="006A0C47" w:rsidP="006A0C47">
      <w:pPr>
        <w:spacing w:line="480" w:lineRule="auto"/>
        <w:ind w:left="284" w:hanging="284"/>
      </w:pPr>
      <w:r w:rsidRPr="00033558">
        <w:t>Bonfiglio A. and Chelli F. (2008) Assessing the behaviour of non-survey methods for constructing regional input</w:t>
      </w:r>
      <w:r w:rsidRPr="00033558">
        <w:sym w:font="Symbol" w:char="F02D"/>
      </w:r>
      <w:r w:rsidRPr="00033558">
        <w:t xml:space="preserve">output tables through Monte Carlo simulation, </w:t>
      </w:r>
      <w:r w:rsidRPr="00033558">
        <w:rPr>
          <w:i/>
        </w:rPr>
        <w:t xml:space="preserve">Economic Systems Research </w:t>
      </w:r>
      <w:r w:rsidRPr="00033558">
        <w:rPr>
          <w:b/>
        </w:rPr>
        <w:t>20,</w:t>
      </w:r>
      <w:r w:rsidRPr="00033558">
        <w:t xml:space="preserve"> 243</w:t>
      </w:r>
      <w:r w:rsidRPr="00033558">
        <w:sym w:font="Symbol" w:char="F02D"/>
      </w:r>
      <w:r w:rsidRPr="00033558">
        <w:t>258.</w:t>
      </w:r>
    </w:p>
    <w:p w:rsidR="006A0C47" w:rsidRPr="00DE56D6" w:rsidRDefault="006A0C47" w:rsidP="006A0C47">
      <w:pPr>
        <w:spacing w:line="480" w:lineRule="auto"/>
        <w:ind w:left="284" w:hanging="284"/>
        <w:rPr>
          <w:b/>
        </w:rPr>
      </w:pPr>
      <w:r w:rsidRPr="00FE2F06">
        <w:t xml:space="preserve">Dietzenbacher E. and </w:t>
      </w:r>
      <w:r>
        <w:t>Miller</w:t>
      </w:r>
      <w:r w:rsidRPr="00FE2F06">
        <w:t xml:space="preserve"> </w:t>
      </w:r>
      <w:r>
        <w:t>R.E</w:t>
      </w:r>
      <w:r w:rsidRPr="00FE2F06">
        <w:t>. (200</w:t>
      </w:r>
      <w:r>
        <w:t>9</w:t>
      </w:r>
      <w:r w:rsidRPr="00FE2F06">
        <w:t xml:space="preserve">) </w:t>
      </w:r>
      <w:r>
        <w:t>RAS-</w:t>
      </w:r>
      <w:proofErr w:type="spellStart"/>
      <w:r>
        <w:t>ing</w:t>
      </w:r>
      <w:proofErr w:type="spellEnd"/>
      <w:r>
        <w:t xml:space="preserve"> the transactions or the coefficients: it makes no difference</w:t>
      </w:r>
      <w:r w:rsidRPr="00FE2F06">
        <w:t xml:space="preserve">, </w:t>
      </w:r>
      <w:r w:rsidRPr="00FE2F06">
        <w:rPr>
          <w:i/>
        </w:rPr>
        <w:t>Journal of Regional Science</w:t>
      </w:r>
      <w:r w:rsidRPr="00FE2F06">
        <w:t xml:space="preserve">, </w:t>
      </w:r>
      <w:r w:rsidRPr="00FE2F06">
        <w:rPr>
          <w:b/>
        </w:rPr>
        <w:t>4</w:t>
      </w:r>
      <w:r>
        <w:rPr>
          <w:b/>
        </w:rPr>
        <w:t>9</w:t>
      </w:r>
      <w:r w:rsidRPr="00FE2F06">
        <w:t xml:space="preserve">, </w:t>
      </w:r>
      <w:r>
        <w:t>55</w:t>
      </w:r>
      <w:r w:rsidRPr="00FE2F06">
        <w:t>5</w:t>
      </w:r>
      <w:r w:rsidRPr="00FE2F06">
        <w:sym w:font="Symbol" w:char="F02D"/>
      </w:r>
      <w:r w:rsidRPr="00FE2F06">
        <w:t>5</w:t>
      </w:r>
      <w:r>
        <w:t>66</w:t>
      </w:r>
      <w:r w:rsidRPr="00FE2F06">
        <w:t>.</w:t>
      </w:r>
    </w:p>
    <w:p w:rsidR="006A0C47" w:rsidRPr="00DF6FE1" w:rsidRDefault="006A0C47" w:rsidP="006A0C47">
      <w:pPr>
        <w:pStyle w:val="Normaali1"/>
        <w:tabs>
          <w:tab w:val="left" w:pos="426"/>
        </w:tabs>
        <w:spacing w:line="480" w:lineRule="auto"/>
        <w:ind w:left="284" w:hanging="284"/>
        <w:rPr>
          <w:rFonts w:ascii="Times New Roman" w:hAnsi="Times New Roman"/>
          <w:lang w:val="en-GB"/>
        </w:rPr>
      </w:pPr>
      <w:r w:rsidRPr="00DF6FE1">
        <w:rPr>
          <w:rFonts w:ascii="Times New Roman" w:hAnsi="Times New Roman"/>
          <w:lang w:val="en-GB"/>
        </w:rPr>
        <w:t>Flegg A. T., Webber C. D. and Elliott M. V. (1995) On the appropriate use of location quotients in generating regional input</w:t>
      </w:r>
      <w:r w:rsidRPr="00DF6FE1">
        <w:rPr>
          <w:rFonts w:ascii="Times New Roman" w:hAnsi="Times New Roman"/>
          <w:lang w:val="en-GB"/>
        </w:rPr>
        <w:sym w:font="Symbol" w:char="F02D"/>
      </w:r>
      <w:r w:rsidRPr="00DF6FE1">
        <w:rPr>
          <w:rFonts w:ascii="Times New Roman" w:hAnsi="Times New Roman"/>
          <w:lang w:val="en-GB"/>
        </w:rPr>
        <w:t xml:space="preserve">output tables, </w:t>
      </w:r>
      <w:r w:rsidRPr="00DF6FE1">
        <w:rPr>
          <w:rFonts w:ascii="Times New Roman" w:hAnsi="Times New Roman"/>
          <w:i/>
          <w:lang w:val="en-GB"/>
        </w:rPr>
        <w:t>Regional Studies</w:t>
      </w:r>
      <w:r w:rsidRPr="00DF6FE1">
        <w:rPr>
          <w:rFonts w:ascii="Times New Roman" w:hAnsi="Times New Roman"/>
          <w:lang w:val="en-GB"/>
        </w:rPr>
        <w:t xml:space="preserve"> </w:t>
      </w:r>
      <w:r w:rsidRPr="00EA3F02">
        <w:rPr>
          <w:rFonts w:ascii="Times New Roman" w:hAnsi="Times New Roman"/>
          <w:b/>
          <w:lang w:val="en-GB"/>
        </w:rPr>
        <w:t>29</w:t>
      </w:r>
      <w:r w:rsidRPr="00DF6FE1">
        <w:rPr>
          <w:rFonts w:ascii="Times New Roman" w:hAnsi="Times New Roman"/>
          <w:lang w:val="en-GB"/>
        </w:rPr>
        <w:t>, 547</w:t>
      </w:r>
      <w:r w:rsidRPr="00DF6FE1">
        <w:rPr>
          <w:rFonts w:ascii="Times New Roman" w:hAnsi="Times New Roman"/>
          <w:lang w:val="en-GB"/>
        </w:rPr>
        <w:sym w:font="Symbol" w:char="F02D"/>
      </w:r>
      <w:r>
        <w:rPr>
          <w:rFonts w:ascii="Times New Roman" w:hAnsi="Times New Roman"/>
          <w:lang w:val="en-GB"/>
        </w:rPr>
        <w:t>5</w:t>
      </w:r>
      <w:r w:rsidRPr="00DF6FE1">
        <w:rPr>
          <w:rFonts w:ascii="Times New Roman" w:hAnsi="Times New Roman"/>
          <w:lang w:val="en-GB"/>
        </w:rPr>
        <w:t>61.</w:t>
      </w:r>
    </w:p>
    <w:p w:rsidR="006A0C47" w:rsidRPr="00DF6FE1" w:rsidRDefault="006A0C47" w:rsidP="006A0C47">
      <w:pPr>
        <w:pStyle w:val="Normaali1"/>
        <w:tabs>
          <w:tab w:val="left" w:pos="426"/>
        </w:tabs>
        <w:spacing w:line="480" w:lineRule="auto"/>
        <w:ind w:left="284" w:hanging="284"/>
        <w:rPr>
          <w:rFonts w:ascii="Times New Roman" w:hAnsi="Times New Roman"/>
          <w:lang w:val="en-GB"/>
        </w:rPr>
      </w:pPr>
      <w:r w:rsidRPr="00DF6FE1">
        <w:rPr>
          <w:rFonts w:ascii="Times New Roman" w:hAnsi="Times New Roman"/>
          <w:lang w:val="en-GB"/>
        </w:rPr>
        <w:t>Flegg A. T. and Webber C. D. (1997) On the appropriate use of location quotients in generating regional input</w:t>
      </w:r>
      <w:r w:rsidRPr="00DF6FE1">
        <w:rPr>
          <w:rFonts w:ascii="Times New Roman" w:hAnsi="Times New Roman"/>
          <w:lang w:val="en-GB"/>
        </w:rPr>
        <w:sym w:font="Symbol" w:char="F02D"/>
      </w:r>
      <w:r w:rsidRPr="00DF6FE1">
        <w:rPr>
          <w:rFonts w:ascii="Times New Roman" w:hAnsi="Times New Roman"/>
          <w:lang w:val="en-GB"/>
        </w:rPr>
        <w:t xml:space="preserve">output tables: reply, </w:t>
      </w:r>
      <w:r w:rsidRPr="00DF6FE1">
        <w:rPr>
          <w:rFonts w:ascii="Times New Roman" w:hAnsi="Times New Roman"/>
          <w:i/>
          <w:lang w:val="en-GB"/>
        </w:rPr>
        <w:t>Regional Studies</w:t>
      </w:r>
      <w:r w:rsidRPr="00DF6FE1">
        <w:rPr>
          <w:rFonts w:ascii="Times New Roman" w:hAnsi="Times New Roman"/>
          <w:lang w:val="en-GB"/>
        </w:rPr>
        <w:t xml:space="preserve"> </w:t>
      </w:r>
      <w:r w:rsidRPr="00EA3F02">
        <w:rPr>
          <w:rFonts w:ascii="Times New Roman" w:hAnsi="Times New Roman"/>
          <w:b/>
          <w:lang w:val="en-GB"/>
        </w:rPr>
        <w:t>31</w:t>
      </w:r>
      <w:r w:rsidRPr="00DF6FE1">
        <w:rPr>
          <w:rFonts w:ascii="Times New Roman" w:hAnsi="Times New Roman"/>
          <w:lang w:val="en-GB"/>
        </w:rPr>
        <w:t>, 795</w:t>
      </w:r>
      <w:r w:rsidRPr="00DF6FE1">
        <w:rPr>
          <w:rFonts w:ascii="Times New Roman" w:hAnsi="Times New Roman"/>
          <w:lang w:val="en-GB"/>
        </w:rPr>
        <w:sym w:font="Symbol" w:char="F02D"/>
      </w:r>
      <w:r w:rsidRPr="00DF6FE1">
        <w:rPr>
          <w:rFonts w:ascii="Times New Roman" w:hAnsi="Times New Roman"/>
          <w:lang w:val="en-GB"/>
        </w:rPr>
        <w:t>805.</w:t>
      </w:r>
    </w:p>
    <w:p w:rsidR="006A0C47" w:rsidRDefault="006A0C47" w:rsidP="006A0C47">
      <w:pPr>
        <w:pStyle w:val="Normaali1"/>
        <w:tabs>
          <w:tab w:val="left" w:pos="426"/>
        </w:tabs>
        <w:spacing w:line="480" w:lineRule="auto"/>
        <w:ind w:left="284" w:hanging="284"/>
        <w:rPr>
          <w:rFonts w:ascii="Times New Roman" w:hAnsi="Times New Roman"/>
          <w:lang w:val="en-GB"/>
        </w:rPr>
      </w:pPr>
      <w:r w:rsidRPr="00DF6FE1">
        <w:rPr>
          <w:rFonts w:ascii="Times New Roman" w:hAnsi="Times New Roman"/>
          <w:lang w:val="en-GB"/>
        </w:rPr>
        <w:t xml:space="preserve">Flegg A. T. and Webber C. D. (2000) Regional size, regional specialization and the FLQ formula, </w:t>
      </w:r>
      <w:r w:rsidRPr="00DF6FE1">
        <w:rPr>
          <w:rFonts w:ascii="Times New Roman" w:hAnsi="Times New Roman"/>
          <w:i/>
          <w:lang w:val="en-GB"/>
        </w:rPr>
        <w:t>Regional Studies</w:t>
      </w:r>
      <w:r w:rsidRPr="00DF6FE1">
        <w:rPr>
          <w:rFonts w:ascii="Times New Roman" w:hAnsi="Times New Roman"/>
          <w:lang w:val="en-GB"/>
        </w:rPr>
        <w:t xml:space="preserve"> </w:t>
      </w:r>
      <w:r w:rsidRPr="00EA3F02">
        <w:rPr>
          <w:rFonts w:ascii="Times New Roman" w:hAnsi="Times New Roman"/>
          <w:b/>
          <w:lang w:val="en-GB"/>
        </w:rPr>
        <w:t>34</w:t>
      </w:r>
      <w:r w:rsidRPr="00DF6FE1">
        <w:rPr>
          <w:rFonts w:ascii="Times New Roman" w:hAnsi="Times New Roman"/>
          <w:lang w:val="en-GB"/>
        </w:rPr>
        <w:t>, 563</w:t>
      </w:r>
      <w:r w:rsidRPr="00DF6FE1">
        <w:rPr>
          <w:rFonts w:ascii="Times New Roman" w:hAnsi="Times New Roman"/>
          <w:lang w:val="en-GB"/>
        </w:rPr>
        <w:sym w:font="Symbol" w:char="F02D"/>
      </w:r>
      <w:r>
        <w:rPr>
          <w:rFonts w:ascii="Times New Roman" w:hAnsi="Times New Roman"/>
          <w:lang w:val="en-GB"/>
        </w:rPr>
        <w:t>5</w:t>
      </w:r>
      <w:r w:rsidRPr="00DF6FE1">
        <w:rPr>
          <w:rFonts w:ascii="Times New Roman" w:hAnsi="Times New Roman"/>
          <w:lang w:val="en-GB"/>
        </w:rPr>
        <w:t>69.</w:t>
      </w:r>
    </w:p>
    <w:p w:rsidR="006A0C47" w:rsidRPr="00A1429A" w:rsidRDefault="006A0C47" w:rsidP="006A0C47">
      <w:pPr>
        <w:widowControl w:val="0"/>
        <w:spacing w:line="480" w:lineRule="auto"/>
        <w:ind w:left="284" w:right="-6" w:hanging="284"/>
        <w:rPr>
          <w:color w:val="000000"/>
        </w:rPr>
      </w:pPr>
      <w:proofErr w:type="spellStart"/>
      <w:r>
        <w:t>Gerking</w:t>
      </w:r>
      <w:proofErr w:type="spellEnd"/>
      <w:r>
        <w:t xml:space="preserve"> S., </w:t>
      </w:r>
      <w:proofErr w:type="spellStart"/>
      <w:r>
        <w:t>Isserman</w:t>
      </w:r>
      <w:proofErr w:type="spellEnd"/>
      <w:r>
        <w:t xml:space="preserve"> A., Hamilton W., </w:t>
      </w:r>
      <w:proofErr w:type="spellStart"/>
      <w:r>
        <w:t>Pickton</w:t>
      </w:r>
      <w:proofErr w:type="spellEnd"/>
      <w:r>
        <w:t xml:space="preserve"> T., Smirnov O. and Sorenson D. (2001) Anti-suppressants and the creation and use of non-survey</w:t>
      </w:r>
      <w:r w:rsidRPr="00DF6FE1">
        <w:t xml:space="preserve"> regional input</w:t>
      </w:r>
      <w:r w:rsidRPr="00DF6FE1">
        <w:sym w:font="Symbol" w:char="F02D"/>
      </w:r>
      <w:r w:rsidRPr="00DF6FE1">
        <w:t xml:space="preserve">output </w:t>
      </w:r>
      <w:r>
        <w:t>mode</w:t>
      </w:r>
      <w:r w:rsidRPr="00DF6FE1">
        <w:t>ls</w:t>
      </w:r>
      <w:r>
        <w:t>,</w:t>
      </w:r>
      <w:r w:rsidRPr="00090F83">
        <w:rPr>
          <w:color w:val="000000"/>
        </w:rPr>
        <w:t xml:space="preserve"> </w:t>
      </w:r>
      <w:r>
        <w:rPr>
          <w:color w:val="000000"/>
        </w:rPr>
        <w:t>in Lahr M.L. and Miller R.E. (</w:t>
      </w:r>
      <w:proofErr w:type="spellStart"/>
      <w:r>
        <w:rPr>
          <w:color w:val="000000"/>
        </w:rPr>
        <w:t>Eds</w:t>
      </w:r>
      <w:proofErr w:type="spellEnd"/>
      <w:r>
        <w:rPr>
          <w:color w:val="000000"/>
        </w:rPr>
        <w:t xml:space="preserve">) </w:t>
      </w:r>
      <w:r w:rsidRPr="00DF6FE1">
        <w:rPr>
          <w:i/>
        </w:rPr>
        <w:t>Regional Science</w:t>
      </w:r>
      <w:r>
        <w:rPr>
          <w:i/>
        </w:rPr>
        <w:t xml:space="preserve"> Perspectives in Economic Analysis.</w:t>
      </w:r>
      <w:r>
        <w:t xml:space="preserve"> North-Holland, Amsterdam.</w:t>
      </w:r>
    </w:p>
    <w:p w:rsidR="006A0C47" w:rsidRPr="00DF6FE1" w:rsidRDefault="006A0C47" w:rsidP="006A0C47">
      <w:pPr>
        <w:widowControl w:val="0"/>
        <w:tabs>
          <w:tab w:val="left" w:pos="426"/>
          <w:tab w:val="left" w:pos="1418"/>
        </w:tabs>
        <w:spacing w:line="480" w:lineRule="auto"/>
        <w:ind w:left="284" w:right="-3" w:hanging="284"/>
      </w:pPr>
      <w:r w:rsidRPr="00DF6FE1">
        <w:t xml:space="preserve">Harrigan F.J., </w:t>
      </w:r>
      <w:proofErr w:type="spellStart"/>
      <w:r w:rsidRPr="00DF6FE1">
        <w:t>McGilvray</w:t>
      </w:r>
      <w:proofErr w:type="spellEnd"/>
      <w:r w:rsidRPr="00DF6FE1">
        <w:t xml:space="preserve"> J.W. and </w:t>
      </w:r>
      <w:proofErr w:type="spellStart"/>
      <w:r w:rsidRPr="00DF6FE1">
        <w:t>McNicoll</w:t>
      </w:r>
      <w:proofErr w:type="spellEnd"/>
      <w:r w:rsidRPr="00DF6FE1">
        <w:t xml:space="preserve"> I.H. (1980) Simulating the structure of a regional economy, </w:t>
      </w:r>
      <w:r w:rsidRPr="00DF6FE1">
        <w:rPr>
          <w:i/>
        </w:rPr>
        <w:t>Environment and Planning A</w:t>
      </w:r>
      <w:r w:rsidRPr="00DF6FE1">
        <w:t xml:space="preserve"> </w:t>
      </w:r>
      <w:r w:rsidRPr="00EA3F02">
        <w:rPr>
          <w:b/>
        </w:rPr>
        <w:t>12</w:t>
      </w:r>
      <w:r w:rsidRPr="00DF6FE1">
        <w:t>, 927</w:t>
      </w:r>
      <w:r w:rsidRPr="00DF6FE1">
        <w:sym w:font="Symbol" w:char="F02D"/>
      </w:r>
      <w:r>
        <w:t>9</w:t>
      </w:r>
      <w:r w:rsidRPr="00DF6FE1">
        <w:t>36.</w:t>
      </w:r>
    </w:p>
    <w:p w:rsidR="006A0C47" w:rsidRPr="00DF6FE1" w:rsidRDefault="006A0C47" w:rsidP="006A0C47">
      <w:pPr>
        <w:pStyle w:val="Normaali1"/>
        <w:tabs>
          <w:tab w:val="left" w:pos="426"/>
        </w:tabs>
        <w:spacing w:line="480" w:lineRule="auto"/>
        <w:ind w:left="284" w:hanging="284"/>
        <w:rPr>
          <w:rFonts w:ascii="Times New Roman" w:hAnsi="Times New Roman"/>
          <w:lang w:val="en-GB"/>
        </w:rPr>
      </w:pPr>
      <w:r w:rsidRPr="00DF6FE1">
        <w:rPr>
          <w:rFonts w:ascii="Times New Roman" w:hAnsi="Times New Roman"/>
          <w:lang w:val="en-GB"/>
        </w:rPr>
        <w:t>Harris R. I. D. and Liu A. (1998) Input</w:t>
      </w:r>
      <w:r w:rsidRPr="00DF6FE1">
        <w:rPr>
          <w:rFonts w:ascii="Times New Roman" w:hAnsi="Times New Roman"/>
          <w:lang w:val="en-GB"/>
        </w:rPr>
        <w:sym w:font="Symbol" w:char="F02D"/>
      </w:r>
      <w:r w:rsidRPr="00DF6FE1">
        <w:rPr>
          <w:rFonts w:ascii="Times New Roman" w:hAnsi="Times New Roman"/>
          <w:lang w:val="en-GB"/>
        </w:rPr>
        <w:t xml:space="preserve">output modelling of the urban and regional economy: the importance of external trade, </w:t>
      </w:r>
      <w:r w:rsidRPr="00DF6FE1">
        <w:rPr>
          <w:rFonts w:ascii="Times New Roman" w:hAnsi="Times New Roman"/>
          <w:i/>
          <w:lang w:val="en-GB"/>
        </w:rPr>
        <w:t>Regional Studies</w:t>
      </w:r>
      <w:r w:rsidRPr="00DF6FE1">
        <w:rPr>
          <w:rFonts w:ascii="Times New Roman" w:hAnsi="Times New Roman"/>
          <w:lang w:val="en-GB"/>
        </w:rPr>
        <w:t xml:space="preserve"> </w:t>
      </w:r>
      <w:r w:rsidRPr="00EA3F02">
        <w:rPr>
          <w:rFonts w:ascii="Times New Roman" w:hAnsi="Times New Roman"/>
          <w:b/>
          <w:lang w:val="en-GB"/>
        </w:rPr>
        <w:t>32</w:t>
      </w:r>
      <w:r w:rsidRPr="00DF6FE1">
        <w:rPr>
          <w:rFonts w:ascii="Times New Roman" w:hAnsi="Times New Roman"/>
          <w:lang w:val="en-GB"/>
        </w:rPr>
        <w:t>, 851</w:t>
      </w:r>
      <w:r w:rsidRPr="00DF6FE1">
        <w:rPr>
          <w:rFonts w:ascii="Times New Roman" w:hAnsi="Times New Roman"/>
          <w:lang w:val="en-GB"/>
        </w:rPr>
        <w:sym w:font="Symbol" w:char="F02D"/>
      </w:r>
      <w:r>
        <w:rPr>
          <w:rFonts w:ascii="Times New Roman" w:hAnsi="Times New Roman"/>
          <w:lang w:val="en-GB"/>
        </w:rPr>
        <w:t>8</w:t>
      </w:r>
      <w:r w:rsidRPr="00DF6FE1">
        <w:rPr>
          <w:rFonts w:ascii="Times New Roman" w:hAnsi="Times New Roman"/>
          <w:lang w:val="en-GB"/>
        </w:rPr>
        <w:t>62.</w:t>
      </w:r>
    </w:p>
    <w:p w:rsidR="006A0C47" w:rsidRDefault="006A0C47" w:rsidP="006A0C47">
      <w:pPr>
        <w:widowControl w:val="0"/>
        <w:spacing w:line="480" w:lineRule="auto"/>
        <w:ind w:left="284" w:right="-6" w:hanging="284"/>
        <w:rPr>
          <w:color w:val="000000"/>
        </w:rPr>
      </w:pPr>
      <w:r w:rsidRPr="00DF6FE1">
        <w:rPr>
          <w:color w:val="000000"/>
          <w:lang w:val="de-DE"/>
        </w:rPr>
        <w:t xml:space="preserve">Jensen R. C. and West G. R. (1980) </w:t>
      </w:r>
      <w:r w:rsidRPr="00DF6FE1">
        <w:rPr>
          <w:color w:val="000000"/>
        </w:rPr>
        <w:t>The effect of relative coefficient size on input</w:t>
      </w:r>
      <w:r w:rsidRPr="00DF6FE1">
        <w:rPr>
          <w:color w:val="000000"/>
        </w:rPr>
        <w:sym w:font="Symbol" w:char="F02D"/>
      </w:r>
      <w:r w:rsidRPr="00DF6FE1">
        <w:rPr>
          <w:color w:val="000000"/>
        </w:rPr>
        <w:t xml:space="preserve">output multipliers, </w:t>
      </w:r>
      <w:r w:rsidRPr="00DF6FE1">
        <w:rPr>
          <w:i/>
          <w:color w:val="000000"/>
        </w:rPr>
        <w:t>Environment and Planning A</w:t>
      </w:r>
      <w:r w:rsidRPr="00DF6FE1">
        <w:rPr>
          <w:color w:val="000000"/>
        </w:rPr>
        <w:t xml:space="preserve"> </w:t>
      </w:r>
      <w:r w:rsidRPr="00EA3F02">
        <w:rPr>
          <w:b/>
          <w:color w:val="000000"/>
        </w:rPr>
        <w:t>12</w:t>
      </w:r>
      <w:r w:rsidRPr="00DF6FE1">
        <w:rPr>
          <w:color w:val="000000"/>
        </w:rPr>
        <w:t>, 659</w:t>
      </w:r>
      <w:r w:rsidRPr="00DF6FE1">
        <w:rPr>
          <w:color w:val="000000"/>
        </w:rPr>
        <w:sym w:font="Symbol" w:char="F02D"/>
      </w:r>
      <w:r>
        <w:rPr>
          <w:color w:val="000000"/>
        </w:rPr>
        <w:t>6</w:t>
      </w:r>
      <w:r w:rsidRPr="00DF6FE1">
        <w:rPr>
          <w:color w:val="000000"/>
        </w:rPr>
        <w:t>67.</w:t>
      </w:r>
    </w:p>
    <w:p w:rsidR="006A0C47" w:rsidRDefault="006A0C47" w:rsidP="006A0C47">
      <w:pPr>
        <w:widowControl w:val="0"/>
        <w:spacing w:line="480" w:lineRule="auto"/>
        <w:ind w:left="284" w:hanging="284"/>
      </w:pPr>
      <w:r w:rsidRPr="0009111F">
        <w:lastRenderedPageBreak/>
        <w:t>K</w:t>
      </w:r>
      <w:r>
        <w:t>ronenberg T</w:t>
      </w:r>
      <w:r w:rsidRPr="0009111F">
        <w:t>. (</w:t>
      </w:r>
      <w:r>
        <w:t>2009) C</w:t>
      </w:r>
      <w:r w:rsidRPr="00033558">
        <w:t>onstructi</w:t>
      </w:r>
      <w:r>
        <w:t>o</w:t>
      </w:r>
      <w:r w:rsidRPr="00033558">
        <w:t>n of regional input</w:t>
      </w:r>
      <w:r w:rsidRPr="00033558">
        <w:sym w:font="Symbol" w:char="F02D"/>
      </w:r>
      <w:r w:rsidRPr="00033558">
        <w:t xml:space="preserve">output tables </w:t>
      </w:r>
      <w:r>
        <w:t xml:space="preserve">using </w:t>
      </w:r>
      <w:proofErr w:type="spellStart"/>
      <w:r w:rsidRPr="00033558">
        <w:t>nonsurvey</w:t>
      </w:r>
      <w:proofErr w:type="spellEnd"/>
      <w:r w:rsidRPr="00033558">
        <w:t xml:space="preserve"> methods</w:t>
      </w:r>
      <w:r>
        <w:t>: the role of cross-hauling</w:t>
      </w:r>
      <w:r w:rsidRPr="0009111F">
        <w:t xml:space="preserve">, </w:t>
      </w:r>
      <w:r w:rsidRPr="0009111F">
        <w:rPr>
          <w:i/>
        </w:rPr>
        <w:t xml:space="preserve">International Regional Science Review </w:t>
      </w:r>
      <w:r>
        <w:rPr>
          <w:b/>
        </w:rPr>
        <w:t>32</w:t>
      </w:r>
      <w:r w:rsidRPr="0033226D">
        <w:t xml:space="preserve">, </w:t>
      </w:r>
      <w:r>
        <w:t>40</w:t>
      </w:r>
      <w:r w:rsidRPr="0009111F">
        <w:sym w:font="Symbol" w:char="F02D"/>
      </w:r>
      <w:r>
        <w:t>64.</w:t>
      </w:r>
    </w:p>
    <w:p w:rsidR="006A0C47" w:rsidRPr="0009111F" w:rsidRDefault="006A0C47" w:rsidP="006A0C47">
      <w:pPr>
        <w:widowControl w:val="0"/>
        <w:spacing w:line="480" w:lineRule="auto"/>
        <w:ind w:left="284" w:hanging="284"/>
      </w:pPr>
      <w:r>
        <w:t xml:space="preserve">Knudsen D.C. and </w:t>
      </w:r>
      <w:proofErr w:type="spellStart"/>
      <w:r>
        <w:t>Fotheringham</w:t>
      </w:r>
      <w:proofErr w:type="spellEnd"/>
      <w:r>
        <w:t xml:space="preserve"> A.S</w:t>
      </w:r>
      <w:r w:rsidRPr="0009111F">
        <w:t xml:space="preserve">. (1986) Matrix comparison, goodness-of-fit, and spatial interaction </w:t>
      </w:r>
      <w:proofErr w:type="spellStart"/>
      <w:r w:rsidRPr="0009111F">
        <w:t>modeling</w:t>
      </w:r>
      <w:proofErr w:type="spellEnd"/>
      <w:r w:rsidRPr="0009111F">
        <w:t xml:space="preserve">, </w:t>
      </w:r>
      <w:r w:rsidRPr="0009111F">
        <w:rPr>
          <w:i/>
        </w:rPr>
        <w:t xml:space="preserve">International Regional Science Review </w:t>
      </w:r>
      <w:r w:rsidRPr="0009111F">
        <w:rPr>
          <w:b/>
        </w:rPr>
        <w:t>10,</w:t>
      </w:r>
      <w:r w:rsidRPr="0009111F">
        <w:t xml:space="preserve"> 127</w:t>
      </w:r>
      <w:r w:rsidRPr="0009111F">
        <w:sym w:font="Symbol" w:char="F02D"/>
      </w:r>
      <w:r w:rsidRPr="0009111F">
        <w:t>147.</w:t>
      </w:r>
    </w:p>
    <w:p w:rsidR="006A0C47" w:rsidRDefault="006A0C47" w:rsidP="006A0C47">
      <w:pPr>
        <w:spacing w:line="480" w:lineRule="auto"/>
        <w:ind w:left="284" w:hanging="284"/>
      </w:pPr>
      <w:r>
        <w:t>Lahr M.L.</w:t>
      </w:r>
      <w:r w:rsidRPr="00033558">
        <w:t xml:space="preserve"> (</w:t>
      </w:r>
      <w:r>
        <w:t>1993</w:t>
      </w:r>
      <w:r w:rsidRPr="00033558">
        <w:t>) A</w:t>
      </w:r>
      <w:r>
        <w:t xml:space="preserve"> review of</w:t>
      </w:r>
      <w:r w:rsidRPr="00033558">
        <w:t xml:space="preserve"> the </w:t>
      </w:r>
      <w:r>
        <w:t>literature supporting the hybrid approach t</w:t>
      </w:r>
      <w:r w:rsidRPr="00033558">
        <w:t>o constructing regional input</w:t>
      </w:r>
      <w:r w:rsidRPr="00033558">
        <w:sym w:font="Symbol" w:char="F02D"/>
      </w:r>
      <w:r w:rsidRPr="00033558">
        <w:t xml:space="preserve">output </w:t>
      </w:r>
      <w:r>
        <w:t>mode</w:t>
      </w:r>
      <w:r w:rsidRPr="00033558">
        <w:t xml:space="preserve">ls, </w:t>
      </w:r>
      <w:r w:rsidRPr="00033558">
        <w:rPr>
          <w:i/>
        </w:rPr>
        <w:t xml:space="preserve">Economic Systems Research </w:t>
      </w:r>
      <w:r>
        <w:rPr>
          <w:b/>
        </w:rPr>
        <w:t>5</w:t>
      </w:r>
      <w:r w:rsidRPr="00033558">
        <w:rPr>
          <w:b/>
        </w:rPr>
        <w:t>,</w:t>
      </w:r>
      <w:r w:rsidRPr="00033558">
        <w:t xml:space="preserve"> 2</w:t>
      </w:r>
      <w:r>
        <w:t>77</w:t>
      </w:r>
      <w:r w:rsidRPr="00033558">
        <w:sym w:font="Symbol" w:char="F02D"/>
      </w:r>
      <w:r w:rsidRPr="00033558">
        <w:t>2</w:t>
      </w:r>
      <w:r>
        <w:t>93</w:t>
      </w:r>
      <w:r w:rsidRPr="00033558">
        <w:t>.</w:t>
      </w:r>
    </w:p>
    <w:p w:rsidR="006A0C47" w:rsidRPr="0009111F" w:rsidRDefault="006A0C47" w:rsidP="006A0C47">
      <w:pPr>
        <w:widowControl w:val="0"/>
        <w:spacing w:line="480" w:lineRule="auto"/>
        <w:ind w:left="284" w:hanging="284"/>
      </w:pPr>
      <w:r w:rsidRPr="0009111F">
        <w:t>Lahr M.L. (2001) A strategy for producing hybrid regional input</w:t>
      </w:r>
      <w:r w:rsidRPr="0009111F">
        <w:sym w:font="Symbol" w:char="F02D"/>
      </w:r>
      <w:r w:rsidRPr="0009111F">
        <w:t>output tables, in Lahr M.L. and Dietzenbacher E. (</w:t>
      </w:r>
      <w:proofErr w:type="spellStart"/>
      <w:r w:rsidRPr="0009111F">
        <w:t>Eds</w:t>
      </w:r>
      <w:proofErr w:type="spellEnd"/>
      <w:r w:rsidRPr="0009111F">
        <w:t xml:space="preserve">) </w:t>
      </w:r>
      <w:r w:rsidRPr="0009111F">
        <w:rPr>
          <w:i/>
        </w:rPr>
        <w:t>Input</w:t>
      </w:r>
      <w:r w:rsidRPr="0009111F">
        <w:rPr>
          <w:i/>
        </w:rPr>
        <w:sym w:font="Symbol" w:char="F02D"/>
      </w:r>
      <w:r w:rsidRPr="0009111F">
        <w:rPr>
          <w:i/>
        </w:rPr>
        <w:t>Output Analysis: Frontiers and</w:t>
      </w:r>
      <w:r w:rsidRPr="0009111F">
        <w:t xml:space="preserve"> </w:t>
      </w:r>
      <w:r w:rsidRPr="0009111F">
        <w:rPr>
          <w:i/>
        </w:rPr>
        <w:t>Extensions</w:t>
      </w:r>
      <w:r w:rsidRPr="0009111F">
        <w:t>, 211</w:t>
      </w:r>
      <w:r w:rsidRPr="0009111F">
        <w:sym w:font="Symbol" w:char="F02D"/>
      </w:r>
      <w:r w:rsidRPr="0009111F">
        <w:t>242. Palgrave, Basingstoke.</w:t>
      </w:r>
    </w:p>
    <w:p w:rsidR="006A0C47" w:rsidRDefault="006A0C47" w:rsidP="006A0C47">
      <w:pPr>
        <w:pStyle w:val="Normaali1"/>
        <w:spacing w:line="480" w:lineRule="auto"/>
        <w:ind w:left="284" w:hanging="284"/>
        <w:rPr>
          <w:rFonts w:ascii="Times New Roman" w:hAnsi="Times New Roman"/>
          <w:lang w:val="en-GB"/>
        </w:rPr>
      </w:pPr>
      <w:r w:rsidRPr="00DF6FE1">
        <w:rPr>
          <w:rFonts w:ascii="Times New Roman" w:hAnsi="Times New Roman"/>
          <w:lang w:val="en-GB"/>
        </w:rPr>
        <w:t>McCann P. and Dewhurst J. H. L. (1998) Regional size, industrial location and input</w:t>
      </w:r>
      <w:r w:rsidRPr="00DF6FE1">
        <w:rPr>
          <w:rFonts w:ascii="Times New Roman" w:hAnsi="Times New Roman"/>
          <w:lang w:val="en-GB"/>
        </w:rPr>
        <w:sym w:font="Symbol" w:char="F02D"/>
      </w:r>
      <w:r w:rsidRPr="00DF6FE1">
        <w:rPr>
          <w:rFonts w:ascii="Times New Roman" w:hAnsi="Times New Roman"/>
          <w:lang w:val="en-GB"/>
        </w:rPr>
        <w:t xml:space="preserve">output expenditure coefficients, </w:t>
      </w:r>
      <w:r w:rsidRPr="00DF6FE1">
        <w:rPr>
          <w:rFonts w:ascii="Times New Roman" w:hAnsi="Times New Roman"/>
          <w:i/>
          <w:lang w:val="en-GB"/>
        </w:rPr>
        <w:t>Regional Studies</w:t>
      </w:r>
      <w:r w:rsidRPr="00DF6FE1">
        <w:rPr>
          <w:rFonts w:ascii="Times New Roman" w:hAnsi="Times New Roman"/>
          <w:lang w:val="en-GB"/>
        </w:rPr>
        <w:t xml:space="preserve"> </w:t>
      </w:r>
      <w:r w:rsidRPr="00EA3F02">
        <w:rPr>
          <w:rFonts w:ascii="Times New Roman" w:hAnsi="Times New Roman"/>
          <w:b/>
          <w:lang w:val="en-GB"/>
        </w:rPr>
        <w:t>32</w:t>
      </w:r>
      <w:r w:rsidRPr="00DF6FE1">
        <w:rPr>
          <w:rFonts w:ascii="Times New Roman" w:hAnsi="Times New Roman"/>
          <w:lang w:val="en-GB"/>
        </w:rPr>
        <w:t>,</w:t>
      </w:r>
      <w:r w:rsidRPr="002A3504">
        <w:rPr>
          <w:rFonts w:ascii="Times New Roman" w:hAnsi="Times New Roman"/>
          <w:lang w:val="en-GB"/>
        </w:rPr>
        <w:t xml:space="preserve"> </w:t>
      </w:r>
      <w:r>
        <w:rPr>
          <w:rFonts w:ascii="Times New Roman" w:hAnsi="Times New Roman"/>
          <w:lang w:val="en-GB"/>
        </w:rPr>
        <w:t>435</w:t>
      </w:r>
      <w:r>
        <w:rPr>
          <w:rFonts w:ascii="Times New Roman" w:hAnsi="Times New Roman"/>
          <w:lang w:val="en-GB"/>
        </w:rPr>
        <w:sym w:font="Symbol" w:char="F02D"/>
      </w:r>
      <w:r>
        <w:rPr>
          <w:rFonts w:ascii="Times New Roman" w:hAnsi="Times New Roman"/>
          <w:lang w:val="en-GB"/>
        </w:rPr>
        <w:t>444</w:t>
      </w:r>
      <w:r w:rsidRPr="002A3504">
        <w:rPr>
          <w:rFonts w:ascii="Times New Roman" w:hAnsi="Times New Roman"/>
          <w:lang w:val="en-GB"/>
        </w:rPr>
        <w:t>.</w:t>
      </w:r>
    </w:p>
    <w:p w:rsidR="006A0C47" w:rsidRDefault="006A0C47" w:rsidP="006A0C47">
      <w:pPr>
        <w:pStyle w:val="Normaali1"/>
        <w:spacing w:line="480" w:lineRule="auto"/>
        <w:ind w:left="284" w:hanging="284"/>
        <w:rPr>
          <w:rFonts w:ascii="Times New Roman" w:hAnsi="Times New Roman"/>
          <w:lang w:val="en-GB"/>
        </w:rPr>
      </w:pPr>
      <w:r w:rsidRPr="002A3504">
        <w:rPr>
          <w:rFonts w:ascii="Times New Roman" w:hAnsi="Times New Roman"/>
          <w:lang w:val="en-GB"/>
        </w:rPr>
        <w:t xml:space="preserve">Miller R. E. </w:t>
      </w:r>
      <w:r>
        <w:rPr>
          <w:rFonts w:ascii="Times New Roman" w:hAnsi="Times New Roman"/>
          <w:lang w:val="en-GB"/>
        </w:rPr>
        <w:t>and</w:t>
      </w:r>
      <w:r w:rsidRPr="002A3504">
        <w:rPr>
          <w:rFonts w:ascii="Times New Roman" w:hAnsi="Times New Roman"/>
          <w:lang w:val="en-GB"/>
        </w:rPr>
        <w:t xml:space="preserve"> Blair P. D. (</w:t>
      </w:r>
      <w:r>
        <w:rPr>
          <w:rFonts w:ascii="Times New Roman" w:hAnsi="Times New Roman"/>
          <w:lang w:val="en-GB"/>
        </w:rPr>
        <w:t>2009</w:t>
      </w:r>
      <w:r w:rsidRPr="002A3504">
        <w:rPr>
          <w:rFonts w:ascii="Times New Roman" w:hAnsi="Times New Roman"/>
          <w:lang w:val="en-GB"/>
        </w:rPr>
        <w:t xml:space="preserve">) </w:t>
      </w:r>
      <w:r w:rsidRPr="004B78DD">
        <w:rPr>
          <w:rFonts w:ascii="Times New Roman" w:hAnsi="Times New Roman"/>
          <w:i/>
          <w:lang w:val="en-GB"/>
        </w:rPr>
        <w:t>Input</w:t>
      </w:r>
      <w:r>
        <w:rPr>
          <w:rFonts w:ascii="Times New Roman" w:hAnsi="Times New Roman"/>
          <w:i/>
          <w:lang w:val="en-GB"/>
        </w:rPr>
        <w:sym w:font="Symbol" w:char="F02D"/>
      </w:r>
      <w:r>
        <w:rPr>
          <w:rFonts w:ascii="Times New Roman" w:hAnsi="Times New Roman"/>
          <w:i/>
          <w:lang w:val="en-GB"/>
        </w:rPr>
        <w:t>O</w:t>
      </w:r>
      <w:r w:rsidRPr="004B78DD">
        <w:rPr>
          <w:rFonts w:ascii="Times New Roman" w:hAnsi="Times New Roman"/>
          <w:i/>
          <w:lang w:val="en-GB"/>
        </w:rPr>
        <w:t xml:space="preserve">utput </w:t>
      </w:r>
      <w:r>
        <w:rPr>
          <w:rFonts w:ascii="Times New Roman" w:hAnsi="Times New Roman"/>
          <w:i/>
          <w:lang w:val="en-GB"/>
        </w:rPr>
        <w:t>A</w:t>
      </w:r>
      <w:r w:rsidRPr="004B78DD">
        <w:rPr>
          <w:rFonts w:ascii="Times New Roman" w:hAnsi="Times New Roman"/>
          <w:i/>
          <w:lang w:val="en-GB"/>
        </w:rPr>
        <w:t xml:space="preserve">nalysis: Foundations and </w:t>
      </w:r>
      <w:r>
        <w:rPr>
          <w:rFonts w:ascii="Times New Roman" w:hAnsi="Times New Roman"/>
          <w:i/>
          <w:lang w:val="en-GB"/>
        </w:rPr>
        <w:t>E</w:t>
      </w:r>
      <w:r w:rsidRPr="004B78DD">
        <w:rPr>
          <w:rFonts w:ascii="Times New Roman" w:hAnsi="Times New Roman"/>
          <w:i/>
          <w:lang w:val="en-GB"/>
        </w:rPr>
        <w:t>xtensions</w:t>
      </w:r>
      <w:r>
        <w:rPr>
          <w:rFonts w:ascii="Times New Roman" w:hAnsi="Times New Roman"/>
          <w:lang w:val="en-GB"/>
        </w:rPr>
        <w:t>, 2</w:t>
      </w:r>
      <w:r w:rsidRPr="002D07C3">
        <w:rPr>
          <w:rFonts w:ascii="Times New Roman" w:hAnsi="Times New Roman"/>
          <w:vertAlign w:val="superscript"/>
          <w:lang w:val="en-GB"/>
        </w:rPr>
        <w:t>nd</w:t>
      </w:r>
      <w:r>
        <w:rPr>
          <w:rFonts w:ascii="Times New Roman" w:hAnsi="Times New Roman"/>
          <w:lang w:val="en-GB"/>
        </w:rPr>
        <w:t xml:space="preserve"> edition. Cambridge University Press</w:t>
      </w:r>
      <w:r w:rsidRPr="002A3504">
        <w:rPr>
          <w:rFonts w:ascii="Times New Roman" w:hAnsi="Times New Roman"/>
          <w:lang w:val="en-GB"/>
        </w:rPr>
        <w:t xml:space="preserve">, </w:t>
      </w:r>
      <w:r>
        <w:rPr>
          <w:rFonts w:ascii="Times New Roman" w:hAnsi="Times New Roman"/>
          <w:lang w:val="en-GB"/>
        </w:rPr>
        <w:t>Cambridge</w:t>
      </w:r>
      <w:r w:rsidRPr="002A3504">
        <w:rPr>
          <w:rFonts w:ascii="Times New Roman" w:hAnsi="Times New Roman"/>
          <w:lang w:val="en-GB"/>
        </w:rPr>
        <w:t>.</w:t>
      </w:r>
    </w:p>
    <w:p w:rsidR="006A0C47" w:rsidRPr="00FE2F06" w:rsidRDefault="006A0C47" w:rsidP="006A0C47">
      <w:pPr>
        <w:spacing w:line="480" w:lineRule="auto"/>
        <w:ind w:left="284" w:hanging="284"/>
      </w:pPr>
      <w:proofErr w:type="spellStart"/>
      <w:r w:rsidRPr="00FE2F06">
        <w:t>Oosterhaven</w:t>
      </w:r>
      <w:proofErr w:type="spellEnd"/>
      <w:r w:rsidRPr="00FE2F06">
        <w:t xml:space="preserve"> J. and </w:t>
      </w:r>
      <w:proofErr w:type="spellStart"/>
      <w:r w:rsidRPr="00FE2F06">
        <w:t>Hoen</w:t>
      </w:r>
      <w:proofErr w:type="spellEnd"/>
      <w:r w:rsidRPr="00FE2F06">
        <w:t xml:space="preserve"> A.R. (1998) Preferences, technology, trade and real income changes in the European Union: an </w:t>
      </w:r>
      <w:proofErr w:type="spellStart"/>
      <w:r w:rsidRPr="00FE2F06">
        <w:t>intercountry</w:t>
      </w:r>
      <w:proofErr w:type="spellEnd"/>
      <w:r w:rsidRPr="00FE2F06">
        <w:t xml:space="preserve"> decomposition analysis for 1975</w:t>
      </w:r>
      <w:r w:rsidRPr="00FE2F06">
        <w:sym w:font="Symbol" w:char="F02D"/>
      </w:r>
      <w:r w:rsidRPr="00FE2F06">
        <w:t xml:space="preserve">1985, </w:t>
      </w:r>
      <w:r w:rsidRPr="00FE2F06">
        <w:rPr>
          <w:i/>
        </w:rPr>
        <w:t>Annals of Regional Science</w:t>
      </w:r>
      <w:r w:rsidRPr="00FE2F06">
        <w:t xml:space="preserve"> </w:t>
      </w:r>
      <w:r w:rsidRPr="00FE2F06">
        <w:rPr>
          <w:b/>
        </w:rPr>
        <w:t>32,</w:t>
      </w:r>
      <w:r w:rsidRPr="00FE2F06">
        <w:t xml:space="preserve"> 505</w:t>
      </w:r>
      <w:r w:rsidRPr="00FE2F06">
        <w:sym w:font="Symbol" w:char="F02D"/>
      </w:r>
      <w:r w:rsidRPr="00FE2F06">
        <w:t>524.</w:t>
      </w:r>
    </w:p>
    <w:p w:rsidR="006A0C47" w:rsidRDefault="006A0C47" w:rsidP="006A0C47">
      <w:pPr>
        <w:pStyle w:val="Normaali1"/>
        <w:spacing w:line="480" w:lineRule="auto"/>
        <w:ind w:left="284" w:hanging="284"/>
        <w:rPr>
          <w:rFonts w:ascii="Times New Roman" w:hAnsi="Times New Roman"/>
          <w:lang w:val="en-GB"/>
        </w:rPr>
      </w:pPr>
      <w:r>
        <w:rPr>
          <w:rFonts w:ascii="Times New Roman" w:hAnsi="Times New Roman"/>
          <w:lang w:val="en-GB"/>
        </w:rPr>
        <w:t>Riddington</w:t>
      </w:r>
      <w:r w:rsidRPr="00DF6FE1">
        <w:rPr>
          <w:rFonts w:ascii="Times New Roman" w:hAnsi="Times New Roman"/>
          <w:lang w:val="en-GB"/>
        </w:rPr>
        <w:t xml:space="preserve"> </w:t>
      </w:r>
      <w:r>
        <w:rPr>
          <w:rFonts w:ascii="Times New Roman" w:hAnsi="Times New Roman"/>
          <w:lang w:val="en-GB"/>
        </w:rPr>
        <w:t>G</w:t>
      </w:r>
      <w:r w:rsidRPr="00DF6FE1">
        <w:rPr>
          <w:rFonts w:ascii="Times New Roman" w:hAnsi="Times New Roman"/>
          <w:lang w:val="en-GB"/>
        </w:rPr>
        <w:t xml:space="preserve">., </w:t>
      </w:r>
      <w:r>
        <w:rPr>
          <w:rFonts w:ascii="Times New Roman" w:hAnsi="Times New Roman"/>
          <w:lang w:val="en-GB"/>
        </w:rPr>
        <w:t>Gibson</w:t>
      </w:r>
      <w:r w:rsidRPr="00DF6FE1">
        <w:rPr>
          <w:rFonts w:ascii="Times New Roman" w:hAnsi="Times New Roman"/>
          <w:lang w:val="en-GB"/>
        </w:rPr>
        <w:t xml:space="preserve"> </w:t>
      </w:r>
      <w:r>
        <w:rPr>
          <w:rFonts w:ascii="Times New Roman" w:hAnsi="Times New Roman"/>
          <w:lang w:val="en-GB"/>
        </w:rPr>
        <w:t>H</w:t>
      </w:r>
      <w:r w:rsidRPr="00DF6FE1">
        <w:rPr>
          <w:rFonts w:ascii="Times New Roman" w:hAnsi="Times New Roman"/>
          <w:lang w:val="en-GB"/>
        </w:rPr>
        <w:t xml:space="preserve">. and </w:t>
      </w:r>
      <w:r>
        <w:rPr>
          <w:rFonts w:ascii="Times New Roman" w:hAnsi="Times New Roman"/>
          <w:lang w:val="en-GB"/>
        </w:rPr>
        <w:t>Anderson</w:t>
      </w:r>
      <w:r w:rsidRPr="00DF6FE1">
        <w:rPr>
          <w:rFonts w:ascii="Times New Roman" w:hAnsi="Times New Roman"/>
          <w:lang w:val="en-GB"/>
        </w:rPr>
        <w:t xml:space="preserve"> </w:t>
      </w:r>
      <w:r>
        <w:rPr>
          <w:rFonts w:ascii="Times New Roman" w:hAnsi="Times New Roman"/>
          <w:lang w:val="en-GB"/>
        </w:rPr>
        <w:t>J</w:t>
      </w:r>
      <w:r w:rsidRPr="00DF6FE1">
        <w:rPr>
          <w:rFonts w:ascii="Times New Roman" w:hAnsi="Times New Roman"/>
          <w:lang w:val="en-GB"/>
        </w:rPr>
        <w:t>. (</w:t>
      </w:r>
      <w:r>
        <w:rPr>
          <w:rFonts w:ascii="Times New Roman" w:hAnsi="Times New Roman"/>
          <w:lang w:val="en-GB"/>
        </w:rPr>
        <w:t>2006</w:t>
      </w:r>
      <w:r w:rsidRPr="00DF6FE1">
        <w:rPr>
          <w:rFonts w:ascii="Times New Roman" w:hAnsi="Times New Roman"/>
          <w:lang w:val="en-GB"/>
        </w:rPr>
        <w:t xml:space="preserve">) </w:t>
      </w:r>
      <w:r>
        <w:rPr>
          <w:rFonts w:ascii="Times New Roman" w:hAnsi="Times New Roman"/>
          <w:lang w:val="en-GB"/>
        </w:rPr>
        <w:t>Comparison</w:t>
      </w:r>
      <w:r w:rsidRPr="00DF6FE1">
        <w:rPr>
          <w:rFonts w:ascii="Times New Roman" w:hAnsi="Times New Roman"/>
          <w:lang w:val="en-GB"/>
        </w:rPr>
        <w:t xml:space="preserve"> of </w:t>
      </w:r>
      <w:r>
        <w:rPr>
          <w:rFonts w:ascii="Times New Roman" w:hAnsi="Times New Roman"/>
          <w:lang w:val="en-GB"/>
        </w:rPr>
        <w:t xml:space="preserve">gravity model, survey and </w:t>
      </w:r>
      <w:r w:rsidRPr="00DF6FE1">
        <w:rPr>
          <w:rFonts w:ascii="Times New Roman" w:hAnsi="Times New Roman"/>
          <w:lang w:val="en-GB"/>
        </w:rPr>
        <w:t>location quotient</w:t>
      </w:r>
      <w:r>
        <w:rPr>
          <w:rFonts w:ascii="Times New Roman" w:hAnsi="Times New Roman"/>
          <w:lang w:val="en-GB"/>
        </w:rPr>
        <w:t>-based local area</w:t>
      </w:r>
      <w:r w:rsidRPr="00DF6FE1">
        <w:rPr>
          <w:rFonts w:ascii="Times New Roman" w:hAnsi="Times New Roman"/>
          <w:lang w:val="en-GB"/>
        </w:rPr>
        <w:t xml:space="preserve"> tables</w:t>
      </w:r>
      <w:r>
        <w:rPr>
          <w:rFonts w:ascii="Times New Roman" w:hAnsi="Times New Roman"/>
          <w:lang w:val="en-GB"/>
        </w:rPr>
        <w:t xml:space="preserve"> and multipliers</w:t>
      </w:r>
      <w:r w:rsidRPr="00DF6FE1">
        <w:rPr>
          <w:rFonts w:ascii="Times New Roman" w:hAnsi="Times New Roman"/>
          <w:lang w:val="en-GB"/>
        </w:rPr>
        <w:t xml:space="preserve">, </w:t>
      </w:r>
      <w:r w:rsidRPr="00DF6FE1">
        <w:rPr>
          <w:rFonts w:ascii="Times New Roman" w:hAnsi="Times New Roman"/>
          <w:i/>
          <w:lang w:val="en-GB"/>
        </w:rPr>
        <w:t>Regional Studies</w:t>
      </w:r>
      <w:r w:rsidRPr="00DF6FE1">
        <w:rPr>
          <w:rFonts w:ascii="Times New Roman" w:hAnsi="Times New Roman"/>
          <w:lang w:val="en-GB"/>
        </w:rPr>
        <w:t xml:space="preserve"> </w:t>
      </w:r>
      <w:r>
        <w:rPr>
          <w:rFonts w:ascii="Times New Roman" w:hAnsi="Times New Roman"/>
          <w:b/>
          <w:lang w:val="en-GB"/>
        </w:rPr>
        <w:t>40</w:t>
      </w:r>
      <w:r w:rsidRPr="00DF6FE1">
        <w:rPr>
          <w:rFonts w:ascii="Times New Roman" w:hAnsi="Times New Roman"/>
          <w:lang w:val="en-GB"/>
        </w:rPr>
        <w:t xml:space="preserve">, </w:t>
      </w:r>
      <w:r>
        <w:rPr>
          <w:rFonts w:ascii="Times New Roman" w:hAnsi="Times New Roman"/>
          <w:lang w:val="en-GB"/>
        </w:rPr>
        <w:t>1069</w:t>
      </w:r>
      <w:r w:rsidRPr="00DF6FE1">
        <w:rPr>
          <w:rFonts w:ascii="Times New Roman" w:hAnsi="Times New Roman"/>
          <w:lang w:val="en-GB"/>
        </w:rPr>
        <w:sym w:font="Symbol" w:char="F02D"/>
      </w:r>
      <w:r>
        <w:rPr>
          <w:rFonts w:ascii="Times New Roman" w:hAnsi="Times New Roman"/>
          <w:lang w:val="en-GB"/>
        </w:rPr>
        <w:t>108</w:t>
      </w:r>
      <w:r w:rsidRPr="00DF6FE1">
        <w:rPr>
          <w:rFonts w:ascii="Times New Roman" w:hAnsi="Times New Roman"/>
          <w:lang w:val="en-GB"/>
        </w:rPr>
        <w:t>1.</w:t>
      </w:r>
    </w:p>
    <w:p w:rsidR="006A0C47" w:rsidRPr="00FE2F06" w:rsidRDefault="006A0C47" w:rsidP="006A0C47">
      <w:pPr>
        <w:widowControl w:val="0"/>
        <w:spacing w:line="480" w:lineRule="auto"/>
        <w:ind w:left="284" w:hanging="284"/>
      </w:pPr>
      <w:r>
        <w:t>Robison</w:t>
      </w:r>
      <w:r w:rsidRPr="00FE2F06">
        <w:t xml:space="preserve"> </w:t>
      </w:r>
      <w:r>
        <w:t>M</w:t>
      </w:r>
      <w:r w:rsidRPr="00FE2F06">
        <w:t xml:space="preserve">.H. and Miller </w:t>
      </w:r>
      <w:r>
        <w:t>J</w:t>
      </w:r>
      <w:r w:rsidRPr="00FE2F06">
        <w:t>.</w:t>
      </w:r>
      <w:r>
        <w:t>R</w:t>
      </w:r>
      <w:r w:rsidRPr="00FE2F06">
        <w:t>. (198</w:t>
      </w:r>
      <w:r>
        <w:t>8</w:t>
      </w:r>
      <w:r w:rsidRPr="00FE2F06">
        <w:t xml:space="preserve">) </w:t>
      </w:r>
      <w:r>
        <w:t>Cross-hauling a</w:t>
      </w:r>
      <w:r w:rsidRPr="00FE2F06">
        <w:t>n</w:t>
      </w:r>
      <w:r>
        <w:t xml:space="preserve">d </w:t>
      </w:r>
      <w:proofErr w:type="spellStart"/>
      <w:r>
        <w:t>nonsurvey</w:t>
      </w:r>
      <w:proofErr w:type="spellEnd"/>
      <w:r>
        <w:t xml:space="preserve"> </w:t>
      </w:r>
      <w:r w:rsidRPr="00FE2F06">
        <w:t>input</w:t>
      </w:r>
      <w:r w:rsidRPr="00FE2F06">
        <w:sym w:font="Symbol" w:char="F02D"/>
      </w:r>
      <w:r w:rsidRPr="00FE2F06">
        <w:t xml:space="preserve">output </w:t>
      </w:r>
      <w:r>
        <w:t xml:space="preserve">models: some lessons from small-area </w:t>
      </w:r>
      <w:r w:rsidRPr="00FE2F06">
        <w:t>t</w:t>
      </w:r>
      <w:r>
        <w:t>im</w:t>
      </w:r>
      <w:r w:rsidRPr="00FE2F06">
        <w:t>be</w:t>
      </w:r>
      <w:r>
        <w:t>r economies</w:t>
      </w:r>
      <w:r w:rsidRPr="00FE2F06">
        <w:t xml:space="preserve">, </w:t>
      </w:r>
      <w:r w:rsidRPr="00FE2F06">
        <w:rPr>
          <w:i/>
        </w:rPr>
        <w:t xml:space="preserve">Environment and Planning A </w:t>
      </w:r>
      <w:r>
        <w:rPr>
          <w:b/>
        </w:rPr>
        <w:t>20</w:t>
      </w:r>
      <w:r w:rsidRPr="00A7660C">
        <w:t>,</w:t>
      </w:r>
      <w:r w:rsidRPr="00FE2F06">
        <w:t xml:space="preserve"> 15</w:t>
      </w:r>
      <w:r>
        <w:t>23</w:t>
      </w:r>
      <w:r w:rsidRPr="00FE2F06">
        <w:sym w:font="Symbol" w:char="F02D"/>
      </w:r>
      <w:r w:rsidRPr="00FE2F06">
        <w:t>15</w:t>
      </w:r>
      <w:r>
        <w:t>3</w:t>
      </w:r>
      <w:r w:rsidRPr="00FE2F06">
        <w:t>0.</w:t>
      </w:r>
    </w:p>
    <w:p w:rsidR="006A0C47" w:rsidRDefault="006A0C47" w:rsidP="006A0C47">
      <w:pPr>
        <w:pStyle w:val="Normaali1"/>
        <w:spacing w:line="480" w:lineRule="auto"/>
        <w:ind w:left="284" w:hanging="284"/>
        <w:rPr>
          <w:rFonts w:ascii="Times New Roman" w:hAnsi="Times New Roman"/>
          <w:lang w:val="en-GB"/>
        </w:rPr>
      </w:pPr>
      <w:r w:rsidRPr="002A3504">
        <w:rPr>
          <w:rFonts w:ascii="Times New Roman" w:hAnsi="Times New Roman"/>
          <w:lang w:val="en-GB"/>
        </w:rPr>
        <w:t>Round J. I. (1978) An interregional input</w:t>
      </w:r>
      <w:r>
        <w:rPr>
          <w:rFonts w:ascii="Times New Roman" w:hAnsi="Times New Roman"/>
          <w:lang w:val="en-GB"/>
        </w:rPr>
        <w:sym w:font="Symbol" w:char="F02D"/>
      </w:r>
      <w:r w:rsidRPr="002A3504">
        <w:rPr>
          <w:rFonts w:ascii="Times New Roman" w:hAnsi="Times New Roman"/>
          <w:lang w:val="en-GB"/>
        </w:rPr>
        <w:t xml:space="preserve">output approach to the evaluation of </w:t>
      </w:r>
      <w:proofErr w:type="spellStart"/>
      <w:r w:rsidRPr="002A3504">
        <w:rPr>
          <w:rFonts w:ascii="Times New Roman" w:hAnsi="Times New Roman"/>
          <w:lang w:val="en-GB"/>
        </w:rPr>
        <w:t>nonsurvey</w:t>
      </w:r>
      <w:proofErr w:type="spellEnd"/>
      <w:r w:rsidRPr="002A3504">
        <w:rPr>
          <w:rFonts w:ascii="Times New Roman" w:hAnsi="Times New Roman"/>
          <w:lang w:val="en-GB"/>
        </w:rPr>
        <w:t xml:space="preserve"> methods, </w:t>
      </w:r>
      <w:r w:rsidRPr="002A3504">
        <w:rPr>
          <w:rFonts w:ascii="Times New Roman" w:hAnsi="Times New Roman"/>
          <w:i/>
          <w:lang w:val="en-GB"/>
        </w:rPr>
        <w:t>J</w:t>
      </w:r>
      <w:r>
        <w:rPr>
          <w:rFonts w:ascii="Times New Roman" w:hAnsi="Times New Roman"/>
          <w:i/>
          <w:lang w:val="en-GB"/>
        </w:rPr>
        <w:t>ournal of</w:t>
      </w:r>
      <w:r w:rsidRPr="002A3504">
        <w:rPr>
          <w:rFonts w:ascii="Times New Roman" w:hAnsi="Times New Roman"/>
          <w:i/>
          <w:lang w:val="en-GB"/>
        </w:rPr>
        <w:t xml:space="preserve"> </w:t>
      </w:r>
      <w:r>
        <w:rPr>
          <w:rFonts w:ascii="Times New Roman" w:hAnsi="Times New Roman"/>
          <w:i/>
          <w:lang w:val="en-GB"/>
        </w:rPr>
        <w:t>R</w:t>
      </w:r>
      <w:r w:rsidRPr="002A3504">
        <w:rPr>
          <w:rFonts w:ascii="Times New Roman" w:hAnsi="Times New Roman"/>
          <w:i/>
          <w:lang w:val="en-GB"/>
        </w:rPr>
        <w:t>eg</w:t>
      </w:r>
      <w:r>
        <w:rPr>
          <w:rFonts w:ascii="Times New Roman" w:hAnsi="Times New Roman"/>
          <w:i/>
          <w:lang w:val="en-GB"/>
        </w:rPr>
        <w:t>ional</w:t>
      </w:r>
      <w:r w:rsidRPr="002A3504">
        <w:rPr>
          <w:rFonts w:ascii="Times New Roman" w:hAnsi="Times New Roman"/>
          <w:i/>
          <w:lang w:val="en-GB"/>
        </w:rPr>
        <w:t xml:space="preserve"> Sc</w:t>
      </w:r>
      <w:r>
        <w:rPr>
          <w:rFonts w:ascii="Times New Roman" w:hAnsi="Times New Roman"/>
          <w:i/>
          <w:lang w:val="en-GB"/>
        </w:rPr>
        <w:t xml:space="preserve">ience </w:t>
      </w:r>
      <w:r w:rsidRPr="00EA3F02">
        <w:rPr>
          <w:rFonts w:ascii="Times New Roman" w:hAnsi="Times New Roman"/>
          <w:b/>
          <w:lang w:val="en-GB"/>
        </w:rPr>
        <w:t>18</w:t>
      </w:r>
      <w:r w:rsidRPr="002A3504">
        <w:rPr>
          <w:rFonts w:ascii="Times New Roman" w:hAnsi="Times New Roman"/>
          <w:lang w:val="en-GB"/>
        </w:rPr>
        <w:t>, 179</w:t>
      </w:r>
      <w:r>
        <w:rPr>
          <w:rFonts w:ascii="Times New Roman" w:hAnsi="Times New Roman"/>
          <w:lang w:val="en-GB"/>
        </w:rPr>
        <w:sym w:font="Symbol" w:char="F02D"/>
      </w:r>
      <w:r>
        <w:rPr>
          <w:rFonts w:ascii="Times New Roman" w:hAnsi="Times New Roman"/>
          <w:lang w:val="en-GB"/>
        </w:rPr>
        <w:t>1</w:t>
      </w:r>
      <w:r w:rsidRPr="002A3504">
        <w:rPr>
          <w:rFonts w:ascii="Times New Roman" w:hAnsi="Times New Roman"/>
          <w:lang w:val="en-GB"/>
        </w:rPr>
        <w:t>94.</w:t>
      </w:r>
    </w:p>
    <w:p w:rsidR="006A0C47" w:rsidRPr="00FE2F06" w:rsidRDefault="006A0C47" w:rsidP="006A0C47">
      <w:pPr>
        <w:spacing w:line="480" w:lineRule="auto"/>
        <w:ind w:left="284" w:hanging="284"/>
      </w:pPr>
      <w:r w:rsidRPr="00FE2F06">
        <w:lastRenderedPageBreak/>
        <w:t>Sawyer C.H. and Miller R.E. (1983) Experiments in regionalization of a national input</w:t>
      </w:r>
      <w:r w:rsidRPr="00FE2F06">
        <w:sym w:font="Symbol" w:char="F02D"/>
      </w:r>
      <w:r w:rsidRPr="00FE2F06">
        <w:t xml:space="preserve">output table, </w:t>
      </w:r>
      <w:r w:rsidRPr="00FE2F06">
        <w:rPr>
          <w:i/>
        </w:rPr>
        <w:t xml:space="preserve">Environment and Planning A </w:t>
      </w:r>
      <w:r w:rsidRPr="00FE2F06">
        <w:rPr>
          <w:b/>
        </w:rPr>
        <w:t>15</w:t>
      </w:r>
      <w:r w:rsidRPr="00A7660C">
        <w:t>,</w:t>
      </w:r>
      <w:r w:rsidRPr="00FE2F06">
        <w:t xml:space="preserve"> 1501</w:t>
      </w:r>
      <w:r w:rsidRPr="00FE2F06">
        <w:sym w:font="Symbol" w:char="F02D"/>
      </w:r>
      <w:r w:rsidRPr="00FE2F06">
        <w:t>1520.</w:t>
      </w:r>
    </w:p>
    <w:p w:rsidR="006A0C47" w:rsidRDefault="006A0C47" w:rsidP="006A0C47">
      <w:pPr>
        <w:widowControl w:val="0"/>
        <w:tabs>
          <w:tab w:val="left" w:pos="1458"/>
          <w:tab w:val="left" w:pos="2754"/>
          <w:tab w:val="left" w:pos="4050"/>
          <w:tab w:val="left" w:pos="5346"/>
          <w:tab w:val="left" w:pos="6642"/>
          <w:tab w:val="left" w:pos="7938"/>
        </w:tabs>
        <w:spacing w:line="480" w:lineRule="auto"/>
        <w:ind w:left="284" w:hanging="284"/>
      </w:pPr>
      <w:r w:rsidRPr="002A3504">
        <w:t xml:space="preserve">Smith P. </w:t>
      </w:r>
      <w:r>
        <w:t>and Morrison</w:t>
      </w:r>
      <w:r w:rsidRPr="002A3504">
        <w:t xml:space="preserve"> W. I. (1974) </w:t>
      </w:r>
      <w:r w:rsidRPr="004B78DD">
        <w:rPr>
          <w:i/>
        </w:rPr>
        <w:t xml:space="preserve">Simulating the </w:t>
      </w:r>
      <w:r>
        <w:rPr>
          <w:i/>
        </w:rPr>
        <w:t>U</w:t>
      </w:r>
      <w:r w:rsidRPr="004B78DD">
        <w:rPr>
          <w:i/>
        </w:rPr>
        <w:t xml:space="preserve">rban </w:t>
      </w:r>
      <w:r>
        <w:rPr>
          <w:i/>
        </w:rPr>
        <w:t>E</w:t>
      </w:r>
      <w:r w:rsidRPr="004B78DD">
        <w:rPr>
          <w:i/>
        </w:rPr>
        <w:t>conomy</w:t>
      </w:r>
      <w:r>
        <w:rPr>
          <w:i/>
        </w:rPr>
        <w:t>:</w:t>
      </w:r>
      <w:r w:rsidRPr="004B78DD">
        <w:rPr>
          <w:i/>
        </w:rPr>
        <w:t xml:space="preserve"> </w:t>
      </w:r>
      <w:r>
        <w:rPr>
          <w:i/>
        </w:rPr>
        <w:t>Experiments with I</w:t>
      </w:r>
      <w:r w:rsidRPr="004B78DD">
        <w:rPr>
          <w:i/>
        </w:rPr>
        <w:t>nput</w:t>
      </w:r>
      <w:r>
        <w:rPr>
          <w:i/>
        </w:rPr>
        <w:sym w:font="Symbol" w:char="F02D"/>
      </w:r>
      <w:r>
        <w:rPr>
          <w:i/>
        </w:rPr>
        <w:t>O</w:t>
      </w:r>
      <w:r w:rsidRPr="004B78DD">
        <w:rPr>
          <w:i/>
        </w:rPr>
        <w:t>utput</w:t>
      </w:r>
      <w:r>
        <w:rPr>
          <w:i/>
        </w:rPr>
        <w:t xml:space="preserve"> T</w:t>
      </w:r>
      <w:r w:rsidRPr="004B78DD">
        <w:rPr>
          <w:i/>
        </w:rPr>
        <w:t>echniques</w:t>
      </w:r>
      <w:r>
        <w:t>.</w:t>
      </w:r>
      <w:r w:rsidRPr="002A3504">
        <w:t xml:space="preserve"> </w:t>
      </w:r>
      <w:proofErr w:type="spellStart"/>
      <w:r w:rsidRPr="002A3504">
        <w:t>Pion</w:t>
      </w:r>
      <w:proofErr w:type="spellEnd"/>
      <w:r w:rsidRPr="002A3504">
        <w:t>, London.</w:t>
      </w:r>
    </w:p>
    <w:p w:rsidR="006A0C47" w:rsidRDefault="006A0C47" w:rsidP="006A0C47">
      <w:pPr>
        <w:widowControl w:val="0"/>
        <w:tabs>
          <w:tab w:val="left" w:pos="1458"/>
          <w:tab w:val="left" w:pos="2754"/>
          <w:tab w:val="left" w:pos="4050"/>
          <w:tab w:val="left" w:pos="5346"/>
          <w:tab w:val="left" w:pos="6642"/>
          <w:tab w:val="left" w:pos="7938"/>
        </w:tabs>
        <w:spacing w:line="480" w:lineRule="auto"/>
        <w:ind w:left="426" w:hanging="426"/>
      </w:pPr>
      <w:r w:rsidRPr="002A3504">
        <w:t xml:space="preserve">Statistics </w:t>
      </w:r>
      <w:smartTag w:uri="urn:schemas-microsoft-com:office:smarttags" w:element="country-region">
        <w:smartTag w:uri="urn:schemas-microsoft-com:office:smarttags" w:element="place">
          <w:r w:rsidRPr="002A3504">
            <w:t>Finland</w:t>
          </w:r>
        </w:smartTag>
      </w:smartTag>
      <w:r w:rsidRPr="002A3504">
        <w:t xml:space="preserve"> (2000) </w:t>
      </w:r>
      <w:r w:rsidRPr="0006777F">
        <w:rPr>
          <w:i/>
        </w:rPr>
        <w:t>Regional Input</w:t>
      </w:r>
      <w:r w:rsidRPr="0006777F">
        <w:rPr>
          <w:i/>
        </w:rPr>
        <w:sym w:font="Symbol" w:char="F02D"/>
      </w:r>
      <w:r w:rsidRPr="0006777F">
        <w:rPr>
          <w:i/>
        </w:rPr>
        <w:t>Output 1995</w:t>
      </w:r>
      <w:r>
        <w:rPr>
          <w:i/>
        </w:rPr>
        <w:t xml:space="preserve">: </w:t>
      </w:r>
      <w:r w:rsidRPr="0006777F">
        <w:rPr>
          <w:i/>
        </w:rPr>
        <w:t xml:space="preserve">tables and </w:t>
      </w:r>
      <w:r w:rsidRPr="00716DA5">
        <w:rPr>
          <w:i/>
        </w:rPr>
        <w:t>comp</w:t>
      </w:r>
      <w:r>
        <w:rPr>
          <w:i/>
        </w:rPr>
        <w:t>i</w:t>
      </w:r>
      <w:r w:rsidRPr="00716DA5">
        <w:rPr>
          <w:i/>
        </w:rPr>
        <w:t>lation</w:t>
      </w:r>
      <w:r w:rsidRPr="0006777F">
        <w:rPr>
          <w:i/>
        </w:rPr>
        <w:t xml:space="preserve"> methods</w:t>
      </w:r>
      <w:r w:rsidRPr="002A3504">
        <w:t>.</w:t>
      </w:r>
      <w:r>
        <w:t xml:space="preserve"> Official Statistics of Finland, Helsinki.</w:t>
      </w:r>
    </w:p>
    <w:p w:rsidR="006A0C47" w:rsidRPr="0009111F" w:rsidRDefault="006A0C47" w:rsidP="006A0C47">
      <w:pPr>
        <w:widowControl w:val="0"/>
        <w:spacing w:line="480" w:lineRule="auto"/>
        <w:ind w:left="284" w:hanging="284"/>
      </w:pPr>
      <w:r w:rsidRPr="0009111F">
        <w:t xml:space="preserve">Stevens B.H., </w:t>
      </w:r>
      <w:proofErr w:type="spellStart"/>
      <w:r w:rsidRPr="0009111F">
        <w:t>Treyz</w:t>
      </w:r>
      <w:proofErr w:type="spellEnd"/>
      <w:r w:rsidRPr="0009111F">
        <w:t xml:space="preserve"> G.I. and Lahr M.L. (1989) On the comparative accuracy of </w:t>
      </w:r>
      <w:proofErr w:type="spellStart"/>
      <w:r w:rsidRPr="0009111F">
        <w:t>rpc</w:t>
      </w:r>
      <w:proofErr w:type="spellEnd"/>
      <w:r w:rsidRPr="0009111F">
        <w:t xml:space="preserve"> estimating techniques, in Miller R.E., </w:t>
      </w:r>
      <w:proofErr w:type="spellStart"/>
      <w:r w:rsidRPr="0009111F">
        <w:t>Polenske</w:t>
      </w:r>
      <w:proofErr w:type="spellEnd"/>
      <w:r w:rsidRPr="0009111F">
        <w:t xml:space="preserve"> K.R. and Rose A.Z. (</w:t>
      </w:r>
      <w:proofErr w:type="spellStart"/>
      <w:r w:rsidRPr="0009111F">
        <w:t>Eds</w:t>
      </w:r>
      <w:proofErr w:type="spellEnd"/>
      <w:r w:rsidRPr="0009111F">
        <w:t xml:space="preserve">) </w:t>
      </w:r>
      <w:r w:rsidRPr="0009111F">
        <w:rPr>
          <w:i/>
        </w:rPr>
        <w:t>Frontiers of Input</w:t>
      </w:r>
      <w:r w:rsidRPr="0009111F">
        <w:rPr>
          <w:i/>
        </w:rPr>
        <w:sym w:font="Symbol" w:char="F02D"/>
      </w:r>
      <w:r w:rsidRPr="0009111F">
        <w:rPr>
          <w:i/>
        </w:rPr>
        <w:t>Output Analysis</w:t>
      </w:r>
      <w:r w:rsidRPr="0009111F">
        <w:t>, 245</w:t>
      </w:r>
      <w:r w:rsidRPr="0009111F">
        <w:sym w:font="Symbol" w:char="F02D"/>
      </w:r>
      <w:r w:rsidRPr="0009111F">
        <w:t>257. Oxford University Press, Oxford.</w:t>
      </w:r>
    </w:p>
    <w:p w:rsidR="006A0C47" w:rsidRPr="0009111F" w:rsidRDefault="006A0C47" w:rsidP="006A0C47">
      <w:pPr>
        <w:widowControl w:val="0"/>
        <w:spacing w:line="480" w:lineRule="auto"/>
        <w:ind w:left="284" w:hanging="284"/>
        <w:rPr>
          <w:i/>
        </w:rPr>
      </w:pPr>
      <w:proofErr w:type="spellStart"/>
      <w:r w:rsidRPr="0009111F">
        <w:t>Theil</w:t>
      </w:r>
      <w:proofErr w:type="spellEnd"/>
      <w:r w:rsidRPr="0009111F">
        <w:t xml:space="preserve"> H., </w:t>
      </w:r>
      <w:proofErr w:type="spellStart"/>
      <w:r w:rsidRPr="0009111F">
        <w:t>Beerens</w:t>
      </w:r>
      <w:proofErr w:type="spellEnd"/>
      <w:r w:rsidRPr="0009111F">
        <w:t xml:space="preserve"> G.A.C., </w:t>
      </w:r>
      <w:proofErr w:type="spellStart"/>
      <w:r w:rsidRPr="0009111F">
        <w:t>DeLeeuw</w:t>
      </w:r>
      <w:proofErr w:type="spellEnd"/>
      <w:r w:rsidRPr="0009111F">
        <w:t xml:space="preserve"> C.G. and </w:t>
      </w:r>
      <w:proofErr w:type="spellStart"/>
      <w:r w:rsidRPr="0009111F">
        <w:t>Tilanus</w:t>
      </w:r>
      <w:proofErr w:type="spellEnd"/>
      <w:r w:rsidRPr="0009111F">
        <w:t xml:space="preserve"> C.B. (1966), </w:t>
      </w:r>
      <w:r w:rsidRPr="0009111F">
        <w:rPr>
          <w:i/>
        </w:rPr>
        <w:t>Applied Economic Forecasting</w:t>
      </w:r>
      <w:r w:rsidRPr="0009111F">
        <w:t>, 15</w:t>
      </w:r>
      <w:r w:rsidRPr="0009111F">
        <w:sym w:font="Symbol" w:char="F02D"/>
      </w:r>
      <w:r w:rsidRPr="0009111F">
        <w:t>43. Elsevier, New York.</w:t>
      </w:r>
    </w:p>
    <w:p w:rsidR="006A0C47" w:rsidRDefault="006A0C47" w:rsidP="006A0C47">
      <w:pPr>
        <w:widowControl w:val="0"/>
        <w:tabs>
          <w:tab w:val="left" w:pos="1458"/>
          <w:tab w:val="left" w:pos="2754"/>
          <w:tab w:val="left" w:pos="4050"/>
          <w:tab w:val="left" w:pos="5346"/>
          <w:tab w:val="left" w:pos="6642"/>
          <w:tab w:val="left" w:pos="7938"/>
        </w:tabs>
        <w:spacing w:line="480" w:lineRule="auto"/>
        <w:ind w:left="426" w:hanging="426"/>
      </w:pPr>
      <w:r w:rsidRPr="0064457C">
        <w:t>Tohmo T. (2004)</w:t>
      </w:r>
      <w:r>
        <w:t xml:space="preserve"> </w:t>
      </w:r>
      <w:r w:rsidRPr="0064457C">
        <w:t xml:space="preserve">New </w:t>
      </w:r>
      <w:r>
        <w:t>d</w:t>
      </w:r>
      <w:r w:rsidRPr="0064457C">
        <w:t xml:space="preserve">evelopments in the </w:t>
      </w:r>
      <w:r>
        <w:t>use of location quotients to estimate r</w:t>
      </w:r>
      <w:r w:rsidRPr="0064457C">
        <w:t xml:space="preserve">egional </w:t>
      </w:r>
      <w:r>
        <w:t>i</w:t>
      </w:r>
      <w:r w:rsidRPr="0064457C">
        <w:t>nput</w:t>
      </w:r>
      <w:r>
        <w:sym w:font="Symbol" w:char="F02D"/>
      </w:r>
      <w:r>
        <w:t>o</w:t>
      </w:r>
      <w:r w:rsidRPr="0064457C">
        <w:t xml:space="preserve">utput </w:t>
      </w:r>
      <w:r>
        <w:t>coefficients and m</w:t>
      </w:r>
      <w:r w:rsidRPr="0064457C">
        <w:t>ultipliers</w:t>
      </w:r>
      <w:r>
        <w:t>,</w:t>
      </w:r>
      <w:r w:rsidRPr="0064457C">
        <w:t xml:space="preserve"> </w:t>
      </w:r>
      <w:r>
        <w:rPr>
          <w:i/>
        </w:rPr>
        <w:t>Regional Studies</w:t>
      </w:r>
      <w:r w:rsidRPr="0064457C">
        <w:t xml:space="preserve"> </w:t>
      </w:r>
      <w:r w:rsidRPr="00EA3F02">
        <w:rPr>
          <w:b/>
        </w:rPr>
        <w:t>38</w:t>
      </w:r>
      <w:r w:rsidRPr="0064457C">
        <w:t>, 43</w:t>
      </w:r>
      <w:r>
        <w:sym w:font="Symbol" w:char="F02D"/>
      </w:r>
      <w:r w:rsidRPr="0064457C">
        <w:t>54.</w:t>
      </w:r>
    </w:p>
    <w:p w:rsidR="006A0C47" w:rsidRPr="00716DA5" w:rsidRDefault="006A0C47" w:rsidP="006A0C47">
      <w:pPr>
        <w:pStyle w:val="Normaali1"/>
        <w:spacing w:line="480" w:lineRule="auto"/>
        <w:ind w:left="425" w:right="28" w:hanging="425"/>
        <w:rPr>
          <w:color w:val="000000"/>
        </w:rPr>
      </w:pPr>
      <w:r w:rsidRPr="0064457C">
        <w:t>Tohmo T.</w:t>
      </w:r>
      <w:r>
        <w:t>, Littunen H. and Tanninen H.</w:t>
      </w:r>
      <w:r w:rsidRPr="0064457C">
        <w:t xml:space="preserve"> (200</w:t>
      </w:r>
      <w:r>
        <w:t>6</w:t>
      </w:r>
      <w:r w:rsidRPr="0064457C">
        <w:t>)</w:t>
      </w:r>
      <w:r>
        <w:t xml:space="preserve"> Backward and forward linkages, specialization and concentration </w:t>
      </w:r>
      <w:r w:rsidRPr="0064457C">
        <w:t xml:space="preserve">in </w:t>
      </w:r>
      <w:r>
        <w:t xml:space="preserve">Finnish manufacturing in </w:t>
      </w:r>
      <w:r w:rsidRPr="0064457C">
        <w:t xml:space="preserve">the </w:t>
      </w:r>
      <w:r>
        <w:t>period 1995</w:t>
      </w:r>
      <w:r>
        <w:sym w:font="Symbol" w:char="F02D"/>
      </w:r>
      <w:r>
        <w:t>1999,</w:t>
      </w:r>
      <w:r w:rsidRPr="0064457C">
        <w:t xml:space="preserve"> </w:t>
      </w:r>
      <w:r>
        <w:rPr>
          <w:i/>
        </w:rPr>
        <w:t xml:space="preserve">European Journal of </w:t>
      </w:r>
      <w:r w:rsidRPr="00EF5E50">
        <w:rPr>
          <w:i/>
        </w:rPr>
        <w:t>S</w:t>
      </w:r>
      <w:r>
        <w:rPr>
          <w:i/>
        </w:rPr>
        <w:t>patial Development</w:t>
      </w:r>
      <w:r>
        <w:t>, April, 1</w:t>
      </w:r>
      <w:r>
        <w:sym w:font="Symbol" w:char="F02D"/>
      </w:r>
      <w:r>
        <w:t>27,</w:t>
      </w:r>
      <w:r w:rsidRPr="00451EBE">
        <w:rPr>
          <w:color w:val="000000"/>
        </w:rPr>
        <w:t xml:space="preserve"> </w:t>
      </w:r>
      <w:hyperlink r:id="rId110" w:history="1">
        <w:r w:rsidRPr="00716DA5">
          <w:rPr>
            <w:rStyle w:val="Hyperlink"/>
            <w:color w:val="000000"/>
          </w:rPr>
          <w:t>http://www.nordregio.se/EJSD/index.html</w:t>
        </w:r>
      </w:hyperlink>
      <w:r>
        <w:rPr>
          <w:color w:val="000000"/>
        </w:rPr>
        <w:t>.</w:t>
      </w:r>
    </w:p>
    <w:p w:rsidR="006A0C47" w:rsidRDefault="006A0C47" w:rsidP="006A0C47">
      <w:pPr>
        <w:widowControl w:val="0"/>
        <w:tabs>
          <w:tab w:val="left" w:pos="1458"/>
          <w:tab w:val="left" w:pos="2754"/>
          <w:tab w:val="left" w:pos="4050"/>
          <w:tab w:val="left" w:pos="5346"/>
          <w:tab w:val="left" w:pos="6642"/>
          <w:tab w:val="left" w:pos="7938"/>
        </w:tabs>
        <w:spacing w:line="480" w:lineRule="auto"/>
        <w:ind w:left="425" w:hanging="425"/>
      </w:pPr>
      <w:r w:rsidRPr="0064457C">
        <w:t>Tohmo T. (200</w:t>
      </w:r>
      <w:r>
        <w:t>7</w:t>
      </w:r>
      <w:r w:rsidRPr="0064457C">
        <w:t>)</w:t>
      </w:r>
      <w:r>
        <w:t xml:space="preserve"> </w:t>
      </w:r>
      <w:r w:rsidRPr="00EF5E50">
        <w:rPr>
          <w:i/>
        </w:rPr>
        <w:t>Regional</w:t>
      </w:r>
      <w:r>
        <w:rPr>
          <w:i/>
        </w:rPr>
        <w:t xml:space="preserve"> Economic</w:t>
      </w:r>
      <w:r w:rsidRPr="00EF5E50">
        <w:rPr>
          <w:i/>
        </w:rPr>
        <w:t xml:space="preserve"> St</w:t>
      </w:r>
      <w:r>
        <w:rPr>
          <w:i/>
        </w:rPr>
        <w:t>r</w:t>
      </w:r>
      <w:r w:rsidRPr="00EF5E50">
        <w:rPr>
          <w:i/>
        </w:rPr>
        <w:t>u</w:t>
      </w:r>
      <w:r>
        <w:rPr>
          <w:i/>
        </w:rPr>
        <w:t>ctur</w:t>
      </w:r>
      <w:r w:rsidRPr="00EF5E50">
        <w:rPr>
          <w:i/>
        </w:rPr>
        <w:t>es</w:t>
      </w:r>
      <w:r>
        <w:rPr>
          <w:i/>
        </w:rPr>
        <w:t xml:space="preserve"> in </w:t>
      </w:r>
      <w:smartTag w:uri="urn:schemas-microsoft-com:office:smarttags" w:element="country-region">
        <w:smartTag w:uri="urn:schemas-microsoft-com:office:smarttags" w:element="place">
          <w:r>
            <w:rPr>
              <w:i/>
            </w:rPr>
            <w:t>Finland</w:t>
          </w:r>
        </w:smartTag>
      </w:smartTag>
      <w:r>
        <w:rPr>
          <w:i/>
        </w:rPr>
        <w:t>: Analyses of Location and Regional Economic Impact</w:t>
      </w:r>
      <w:r>
        <w:t>,</w:t>
      </w:r>
      <w:r w:rsidRPr="0064457C">
        <w:t xml:space="preserve"> </w:t>
      </w:r>
      <w:r>
        <w:t>Jyväskylä Studies in Business and Economics 57</w:t>
      </w:r>
      <w:r w:rsidRPr="0064457C">
        <w:t>.</w:t>
      </w:r>
      <w:r>
        <w:t xml:space="preserve"> University of Jyväskylä, Jyväskylä, Finland.</w:t>
      </w:r>
    </w:p>
    <w:p w:rsidR="00E25CA7" w:rsidRDefault="006A0C47" w:rsidP="006A0C47">
      <w:pPr>
        <w:spacing w:line="480" w:lineRule="auto"/>
        <w:ind w:left="426" w:hanging="426"/>
      </w:pPr>
      <w:r>
        <w:t>West G</w:t>
      </w:r>
      <w:r w:rsidRPr="0009111F">
        <w:t>.</w:t>
      </w:r>
      <w:r>
        <w:t>R.</w:t>
      </w:r>
      <w:r w:rsidRPr="0009111F">
        <w:t xml:space="preserve"> (</w:t>
      </w:r>
      <w:r>
        <w:t>1990) R</w:t>
      </w:r>
      <w:r w:rsidRPr="00033558">
        <w:t xml:space="preserve">egional </w:t>
      </w:r>
      <w:r>
        <w:t>trade estimation: a hybrid approach</w:t>
      </w:r>
      <w:r w:rsidRPr="0009111F">
        <w:t xml:space="preserve">, </w:t>
      </w:r>
      <w:r w:rsidRPr="0009111F">
        <w:rPr>
          <w:i/>
        </w:rPr>
        <w:t xml:space="preserve">International Regional Science Review </w:t>
      </w:r>
      <w:r>
        <w:rPr>
          <w:b/>
        </w:rPr>
        <w:t>13</w:t>
      </w:r>
      <w:r w:rsidRPr="0033226D">
        <w:t xml:space="preserve">, </w:t>
      </w:r>
      <w:r>
        <w:t>103</w:t>
      </w:r>
      <w:r w:rsidRPr="0009111F">
        <w:sym w:font="Symbol" w:char="F02D"/>
      </w:r>
      <w:r>
        <w:t>118.</w:t>
      </w:r>
    </w:p>
    <w:p w:rsidR="00A501AA" w:rsidRDefault="00A501AA" w:rsidP="006A0C47">
      <w:pPr>
        <w:spacing w:line="480" w:lineRule="auto"/>
        <w:ind w:left="426" w:hanging="426"/>
        <w:sectPr w:rsidR="00A501AA" w:rsidSect="00B35EA6">
          <w:footerReference w:type="default" r:id="rId111"/>
          <w:pgSz w:w="11906" w:h="16838"/>
          <w:pgMar w:top="1440" w:right="1440" w:bottom="1440" w:left="1440" w:header="708" w:footer="708" w:gutter="0"/>
          <w:cols w:space="708"/>
          <w:docGrid w:linePitch="360"/>
        </w:sectPr>
      </w:pPr>
    </w:p>
    <w:p w:rsidR="00CF0727" w:rsidRPr="00002B33" w:rsidRDefault="00CF0727" w:rsidP="00CF0727">
      <w:pPr>
        <w:ind w:right="-3" w:firstLine="1080"/>
        <w:rPr>
          <w:b/>
          <w:color w:val="000000"/>
          <w:sz w:val="20"/>
          <w:szCs w:val="26"/>
          <w:vertAlign w:val="superscript"/>
        </w:rPr>
      </w:pPr>
    </w:p>
    <w:p w:rsidR="00CF0727" w:rsidRDefault="00CF0727" w:rsidP="00CF0727">
      <w:pPr>
        <w:ind w:right="-6" w:firstLine="1077"/>
        <w:jc w:val="center"/>
        <w:rPr>
          <w:color w:val="000000"/>
          <w:szCs w:val="26"/>
        </w:rPr>
      </w:pPr>
      <w:r w:rsidRPr="000E2676">
        <w:rPr>
          <w:b/>
          <w:color w:val="000000"/>
          <w:szCs w:val="26"/>
        </w:rPr>
        <w:t>Table 1</w:t>
      </w:r>
      <w:r>
        <w:rPr>
          <w:color w:val="000000"/>
          <w:szCs w:val="26"/>
        </w:rPr>
        <w:t xml:space="preserve">.  </w:t>
      </w:r>
      <w:r w:rsidRPr="00143220">
        <w:rPr>
          <w:i/>
          <w:color w:val="000000"/>
          <w:szCs w:val="26"/>
        </w:rPr>
        <w:t>Characteristics of Finnish regions in 1995</w:t>
      </w:r>
    </w:p>
    <w:p w:rsidR="00CF0727" w:rsidRPr="009A3799" w:rsidRDefault="00CF0727" w:rsidP="00CF0727">
      <w:pPr>
        <w:rPr>
          <w:sz w:val="22"/>
          <w:szCs w:val="22"/>
        </w:rPr>
      </w:pPr>
    </w:p>
    <w:tbl>
      <w:tblPr>
        <w:tblpPr w:leftFromText="187" w:rightFromText="187" w:vertAnchor="text" w:tblpXSpec="center" w:tblpY="1"/>
        <w:tblOverlap w:val="never"/>
        <w:tblW w:w="119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028"/>
        <w:gridCol w:w="960"/>
        <w:gridCol w:w="960"/>
        <w:gridCol w:w="1200"/>
        <w:gridCol w:w="1200"/>
        <w:gridCol w:w="1560"/>
        <w:gridCol w:w="1560"/>
        <w:gridCol w:w="1200"/>
        <w:gridCol w:w="1320"/>
      </w:tblGrid>
      <w:tr w:rsidR="00CF0727" w:rsidRPr="00167342" w:rsidTr="000A009C">
        <w:trPr>
          <w:trHeight w:val="350"/>
        </w:trPr>
        <w:tc>
          <w:tcPr>
            <w:tcW w:w="2028" w:type="dxa"/>
            <w:vMerge w:val="restart"/>
            <w:shd w:val="clear" w:color="auto" w:fill="auto"/>
          </w:tcPr>
          <w:p w:rsidR="00CF0727" w:rsidRPr="00167342" w:rsidRDefault="00CF0727" w:rsidP="000A009C">
            <w:pPr>
              <w:widowControl w:val="0"/>
              <w:adjustRightInd w:val="0"/>
              <w:spacing w:before="60"/>
              <w:textAlignment w:val="baseline"/>
              <w:rPr>
                <w:rFonts w:eastAsia="Times New Roman"/>
                <w:color w:val="FFFFFF"/>
              </w:rPr>
            </w:pPr>
            <w:r w:rsidRPr="00167342">
              <w:rPr>
                <w:rFonts w:eastAsia="Times New Roman"/>
                <w:sz w:val="22"/>
                <w:szCs w:val="22"/>
              </w:rPr>
              <w:t>Region</w:t>
            </w:r>
          </w:p>
        </w:tc>
        <w:tc>
          <w:tcPr>
            <w:tcW w:w="960" w:type="dxa"/>
            <w:vMerge w:val="restart"/>
            <w:shd w:val="clear" w:color="auto" w:fill="auto"/>
          </w:tcPr>
          <w:p w:rsidR="00CF0727" w:rsidRPr="00167342" w:rsidRDefault="00CF0727" w:rsidP="000A009C">
            <w:pPr>
              <w:widowControl w:val="0"/>
              <w:adjustRightInd w:val="0"/>
              <w:spacing w:before="60"/>
              <w:jc w:val="center"/>
              <w:textAlignment w:val="baseline"/>
              <w:rPr>
                <w:rFonts w:eastAsia="Times New Roman"/>
              </w:rPr>
            </w:pPr>
            <w:r w:rsidRPr="00167342">
              <w:rPr>
                <w:rFonts w:eastAsia="Times New Roman"/>
                <w:sz w:val="22"/>
                <w:szCs w:val="22"/>
              </w:rPr>
              <w:t>Value added (%)</w:t>
            </w:r>
          </w:p>
        </w:tc>
        <w:tc>
          <w:tcPr>
            <w:tcW w:w="960" w:type="dxa"/>
            <w:vMerge w:val="restart"/>
            <w:shd w:val="clear" w:color="auto" w:fill="auto"/>
          </w:tcPr>
          <w:p w:rsidR="00CF0727" w:rsidRPr="00167342" w:rsidRDefault="00CF0727" w:rsidP="000A009C">
            <w:pPr>
              <w:widowControl w:val="0"/>
              <w:adjustRightInd w:val="0"/>
              <w:spacing w:before="60"/>
              <w:jc w:val="center"/>
              <w:textAlignment w:val="baseline"/>
              <w:rPr>
                <w:rFonts w:eastAsia="Times New Roman"/>
              </w:rPr>
            </w:pPr>
            <w:r w:rsidRPr="00167342">
              <w:rPr>
                <w:rFonts w:eastAsia="Times New Roman"/>
                <w:sz w:val="22"/>
                <w:szCs w:val="22"/>
              </w:rPr>
              <w:t>Output (%)</w:t>
            </w:r>
          </w:p>
        </w:tc>
        <w:tc>
          <w:tcPr>
            <w:tcW w:w="1200" w:type="dxa"/>
            <w:vMerge w:val="restart"/>
            <w:shd w:val="clear" w:color="auto" w:fill="auto"/>
          </w:tcPr>
          <w:p w:rsidR="00CF0727" w:rsidRPr="00167342" w:rsidRDefault="00CF0727" w:rsidP="000A009C">
            <w:pPr>
              <w:widowControl w:val="0"/>
              <w:adjustRightInd w:val="0"/>
              <w:spacing w:before="60"/>
              <w:jc w:val="center"/>
              <w:textAlignment w:val="baseline"/>
              <w:rPr>
                <w:rFonts w:eastAsia="Times New Roman"/>
              </w:rPr>
            </w:pPr>
            <w:r w:rsidRPr="00167342">
              <w:rPr>
                <w:rFonts w:eastAsia="Times New Roman"/>
                <w:sz w:val="22"/>
                <w:szCs w:val="22"/>
              </w:rPr>
              <w:t>Population (%)</w:t>
            </w:r>
          </w:p>
        </w:tc>
        <w:tc>
          <w:tcPr>
            <w:tcW w:w="1200" w:type="dxa"/>
            <w:vMerge w:val="restart"/>
            <w:shd w:val="clear" w:color="auto" w:fill="auto"/>
          </w:tcPr>
          <w:p w:rsidR="00CF0727" w:rsidRPr="00167342" w:rsidRDefault="00CF0727" w:rsidP="000A009C">
            <w:pPr>
              <w:widowControl w:val="0"/>
              <w:adjustRightInd w:val="0"/>
              <w:spacing w:before="60"/>
              <w:jc w:val="center"/>
              <w:textAlignment w:val="baseline"/>
              <w:rPr>
                <w:rFonts w:eastAsia="Times New Roman"/>
              </w:rPr>
            </w:pPr>
            <w:r w:rsidRPr="00167342">
              <w:rPr>
                <w:rFonts w:eastAsia="Times New Roman"/>
                <w:sz w:val="22"/>
                <w:szCs w:val="22"/>
              </w:rPr>
              <w:t>Employees (%)</w:t>
            </w:r>
          </w:p>
        </w:tc>
        <w:tc>
          <w:tcPr>
            <w:tcW w:w="3120" w:type="dxa"/>
            <w:gridSpan w:val="2"/>
            <w:shd w:val="clear" w:color="auto" w:fill="auto"/>
          </w:tcPr>
          <w:p w:rsidR="00CF0727" w:rsidRPr="00167342" w:rsidRDefault="00CF0727" w:rsidP="000A009C">
            <w:pPr>
              <w:widowControl w:val="0"/>
              <w:adjustRightInd w:val="0"/>
              <w:spacing w:before="60"/>
              <w:jc w:val="center"/>
              <w:textAlignment w:val="baseline"/>
              <w:rPr>
                <w:rFonts w:eastAsia="Times New Roman"/>
              </w:rPr>
            </w:pPr>
            <w:r w:rsidRPr="00167342">
              <w:rPr>
                <w:rFonts w:eastAsia="Times New Roman"/>
                <w:sz w:val="22"/>
                <w:szCs w:val="22"/>
              </w:rPr>
              <w:t>Herfindahl’s index (1995)</w:t>
            </w:r>
          </w:p>
        </w:tc>
        <w:tc>
          <w:tcPr>
            <w:tcW w:w="1200" w:type="dxa"/>
            <w:vMerge w:val="restart"/>
            <w:shd w:val="clear" w:color="auto" w:fill="auto"/>
          </w:tcPr>
          <w:p w:rsidR="00CF0727" w:rsidRPr="00167342" w:rsidRDefault="00CF0727" w:rsidP="000A009C">
            <w:pPr>
              <w:pStyle w:val="Normaali1"/>
              <w:spacing w:before="60" w:line="240" w:lineRule="auto"/>
              <w:jc w:val="center"/>
              <w:rPr>
                <w:rFonts w:ascii="Times New Roman" w:hAnsi="Times New Roman"/>
                <w:sz w:val="22"/>
                <w:szCs w:val="22"/>
              </w:rPr>
            </w:pPr>
            <w:r w:rsidRPr="00167342">
              <w:rPr>
                <w:rFonts w:ascii="Times New Roman" w:hAnsi="Times New Roman"/>
                <w:sz w:val="22"/>
                <w:szCs w:val="22"/>
              </w:rPr>
              <w:t>SLQ &gt; 1 (number of sectors)</w:t>
            </w:r>
          </w:p>
        </w:tc>
        <w:tc>
          <w:tcPr>
            <w:tcW w:w="1320" w:type="dxa"/>
            <w:vMerge w:val="restart"/>
            <w:shd w:val="clear" w:color="auto" w:fill="auto"/>
          </w:tcPr>
          <w:p w:rsidR="00CF0727" w:rsidRPr="00167342" w:rsidRDefault="00CF0727" w:rsidP="000A009C">
            <w:pPr>
              <w:pStyle w:val="Normaali1"/>
              <w:spacing w:before="60" w:line="240" w:lineRule="auto"/>
              <w:jc w:val="center"/>
              <w:rPr>
                <w:rFonts w:ascii="Times New Roman" w:hAnsi="Times New Roman"/>
                <w:sz w:val="22"/>
                <w:szCs w:val="22"/>
              </w:rPr>
            </w:pPr>
            <w:r w:rsidRPr="00167342">
              <w:rPr>
                <w:rFonts w:ascii="Times New Roman" w:hAnsi="Times New Roman"/>
                <w:sz w:val="22"/>
                <w:szCs w:val="22"/>
              </w:rPr>
              <w:t>r</w:t>
            </w:r>
            <w:r w:rsidRPr="00167342">
              <w:rPr>
                <w:rFonts w:ascii="Times New Roman" w:hAnsi="Times New Roman"/>
                <w:sz w:val="22"/>
                <w:szCs w:val="22"/>
                <w:vertAlign w:val="subscript"/>
              </w:rPr>
              <w:t>ij</w:t>
            </w:r>
            <w:r w:rsidRPr="00167342">
              <w:rPr>
                <w:rFonts w:ascii="Times New Roman" w:hAnsi="Times New Roman"/>
                <w:sz w:val="22"/>
                <w:szCs w:val="22"/>
              </w:rPr>
              <w:t xml:space="preserve"> </w:t>
            </w:r>
            <w:r w:rsidRPr="00167342">
              <w:rPr>
                <w:rFonts w:ascii="Times New Roman" w:hAnsi="Times New Roman"/>
                <w:sz w:val="22"/>
                <w:szCs w:val="22"/>
                <w:vertAlign w:val="subscript"/>
              </w:rPr>
              <w:t xml:space="preserve"> </w:t>
            </w:r>
            <w:r w:rsidRPr="00167342">
              <w:rPr>
                <w:rFonts w:ascii="Times New Roman" w:hAnsi="Times New Roman"/>
                <w:sz w:val="22"/>
                <w:szCs w:val="22"/>
              </w:rPr>
              <w:t>&gt; a</w:t>
            </w:r>
            <w:r w:rsidRPr="00167342">
              <w:rPr>
                <w:rFonts w:ascii="Times New Roman" w:hAnsi="Times New Roman"/>
                <w:sz w:val="22"/>
                <w:szCs w:val="22"/>
                <w:vertAlign w:val="subscript"/>
              </w:rPr>
              <w:t>ij</w:t>
            </w:r>
            <w:r w:rsidRPr="00167342">
              <w:rPr>
                <w:rFonts w:ascii="Times New Roman" w:hAnsi="Times New Roman"/>
                <w:sz w:val="22"/>
                <w:szCs w:val="22"/>
              </w:rPr>
              <w:t xml:space="preserve"> (number of sectors)</w:t>
            </w:r>
          </w:p>
        </w:tc>
      </w:tr>
      <w:tr w:rsidR="00CF0727" w:rsidRPr="00167342" w:rsidTr="000A009C">
        <w:trPr>
          <w:trHeight w:val="305"/>
        </w:trPr>
        <w:tc>
          <w:tcPr>
            <w:tcW w:w="2028" w:type="dxa"/>
            <w:vMerge/>
            <w:shd w:val="clear" w:color="auto" w:fill="A6A6A6"/>
          </w:tcPr>
          <w:p w:rsidR="00CF0727" w:rsidRPr="00167342" w:rsidRDefault="00CF0727" w:rsidP="000A009C">
            <w:pPr>
              <w:widowControl w:val="0"/>
              <w:adjustRightInd w:val="0"/>
              <w:textAlignment w:val="baseline"/>
              <w:rPr>
                <w:rFonts w:eastAsia="Times New Roman"/>
                <w:b/>
                <w:color w:val="000000"/>
              </w:rPr>
            </w:pPr>
          </w:p>
        </w:tc>
        <w:tc>
          <w:tcPr>
            <w:tcW w:w="960" w:type="dxa"/>
            <w:vMerge/>
            <w:shd w:val="clear" w:color="auto" w:fill="A6A6A6"/>
          </w:tcPr>
          <w:p w:rsidR="00CF0727" w:rsidRPr="00167342" w:rsidRDefault="00CF0727" w:rsidP="000A009C">
            <w:pPr>
              <w:widowControl w:val="0"/>
              <w:adjustRightInd w:val="0"/>
              <w:jc w:val="center"/>
              <w:textAlignment w:val="baseline"/>
              <w:rPr>
                <w:rFonts w:eastAsia="Times New Roman"/>
                <w:b/>
                <w:color w:val="000000"/>
              </w:rPr>
            </w:pPr>
          </w:p>
        </w:tc>
        <w:tc>
          <w:tcPr>
            <w:tcW w:w="960" w:type="dxa"/>
            <w:vMerge/>
            <w:shd w:val="clear" w:color="auto" w:fill="A6A6A6"/>
          </w:tcPr>
          <w:p w:rsidR="00CF0727" w:rsidRPr="00167342" w:rsidRDefault="00CF0727" w:rsidP="000A009C">
            <w:pPr>
              <w:widowControl w:val="0"/>
              <w:adjustRightInd w:val="0"/>
              <w:jc w:val="center"/>
              <w:textAlignment w:val="baseline"/>
              <w:rPr>
                <w:rFonts w:eastAsia="Times New Roman"/>
                <w:b/>
                <w:color w:val="000000"/>
              </w:rPr>
            </w:pPr>
          </w:p>
        </w:tc>
        <w:tc>
          <w:tcPr>
            <w:tcW w:w="1200" w:type="dxa"/>
            <w:vMerge/>
            <w:shd w:val="clear" w:color="auto" w:fill="A6A6A6"/>
          </w:tcPr>
          <w:p w:rsidR="00CF0727" w:rsidRPr="00167342" w:rsidRDefault="00CF0727" w:rsidP="000A009C">
            <w:pPr>
              <w:widowControl w:val="0"/>
              <w:adjustRightInd w:val="0"/>
              <w:jc w:val="center"/>
              <w:textAlignment w:val="baseline"/>
              <w:rPr>
                <w:rFonts w:eastAsia="Times New Roman"/>
                <w:b/>
                <w:color w:val="000000"/>
              </w:rPr>
            </w:pPr>
          </w:p>
        </w:tc>
        <w:tc>
          <w:tcPr>
            <w:tcW w:w="1200" w:type="dxa"/>
            <w:vMerge/>
            <w:shd w:val="clear" w:color="auto" w:fill="A6A6A6"/>
          </w:tcPr>
          <w:p w:rsidR="00CF0727" w:rsidRPr="00167342" w:rsidRDefault="00CF0727" w:rsidP="000A009C">
            <w:pPr>
              <w:widowControl w:val="0"/>
              <w:adjustRightInd w:val="0"/>
              <w:jc w:val="center"/>
              <w:textAlignment w:val="baseline"/>
              <w:rPr>
                <w:rFonts w:eastAsia="Times New Roman"/>
                <w:b/>
                <w:color w:val="000000"/>
              </w:rPr>
            </w:pPr>
          </w:p>
        </w:tc>
        <w:tc>
          <w:tcPr>
            <w:tcW w:w="1560" w:type="dxa"/>
            <w:shd w:val="clear" w:color="auto" w:fill="auto"/>
          </w:tcPr>
          <w:p w:rsidR="00CF0727" w:rsidRPr="00167342" w:rsidRDefault="00CF0727" w:rsidP="000A009C">
            <w:pPr>
              <w:widowControl w:val="0"/>
              <w:adjustRightInd w:val="0"/>
              <w:spacing w:before="60"/>
              <w:jc w:val="center"/>
              <w:textAlignment w:val="baseline"/>
              <w:rPr>
                <w:rFonts w:eastAsia="Times New Roman"/>
                <w:color w:val="000000"/>
              </w:rPr>
            </w:pPr>
            <w:r w:rsidRPr="00167342">
              <w:rPr>
                <w:rFonts w:eastAsia="Times New Roman"/>
                <w:color w:val="000000"/>
                <w:sz w:val="22"/>
                <w:szCs w:val="22"/>
              </w:rPr>
              <w:t>Manufacturing</w:t>
            </w:r>
          </w:p>
        </w:tc>
        <w:tc>
          <w:tcPr>
            <w:tcW w:w="1560" w:type="dxa"/>
            <w:shd w:val="clear" w:color="auto" w:fill="auto"/>
          </w:tcPr>
          <w:p w:rsidR="00CF0727" w:rsidRPr="00167342" w:rsidRDefault="00CF0727" w:rsidP="000A009C">
            <w:pPr>
              <w:widowControl w:val="0"/>
              <w:adjustRightInd w:val="0"/>
              <w:spacing w:before="60"/>
              <w:jc w:val="center"/>
              <w:textAlignment w:val="baseline"/>
              <w:rPr>
                <w:rFonts w:eastAsia="Times New Roman"/>
                <w:color w:val="000000"/>
              </w:rPr>
            </w:pPr>
            <w:r w:rsidRPr="00167342">
              <w:rPr>
                <w:rFonts w:eastAsia="Times New Roman"/>
                <w:color w:val="000000"/>
                <w:sz w:val="22"/>
                <w:szCs w:val="22"/>
              </w:rPr>
              <w:t>All industries</w:t>
            </w:r>
          </w:p>
        </w:tc>
        <w:tc>
          <w:tcPr>
            <w:tcW w:w="1200" w:type="dxa"/>
            <w:vMerge/>
            <w:shd w:val="clear" w:color="auto" w:fill="A6A6A6"/>
          </w:tcPr>
          <w:p w:rsidR="00CF0727" w:rsidRPr="00167342" w:rsidRDefault="00CF0727" w:rsidP="000A009C">
            <w:pPr>
              <w:widowControl w:val="0"/>
              <w:adjustRightInd w:val="0"/>
              <w:spacing w:line="360" w:lineRule="auto"/>
              <w:ind w:left="397" w:right="284"/>
              <w:textAlignment w:val="baseline"/>
              <w:rPr>
                <w:rFonts w:eastAsia="Times New Roman"/>
                <w:b/>
              </w:rPr>
            </w:pPr>
          </w:p>
        </w:tc>
        <w:tc>
          <w:tcPr>
            <w:tcW w:w="1320" w:type="dxa"/>
            <w:vMerge/>
            <w:shd w:val="clear" w:color="auto" w:fill="A6A6A6"/>
          </w:tcPr>
          <w:p w:rsidR="00CF0727" w:rsidRPr="00167342" w:rsidRDefault="00CF0727" w:rsidP="000A009C">
            <w:pPr>
              <w:pStyle w:val="Normaali1"/>
              <w:spacing w:line="240" w:lineRule="auto"/>
              <w:ind w:left="397" w:right="284"/>
              <w:jc w:val="center"/>
              <w:rPr>
                <w:rFonts w:ascii="Times New Roman" w:hAnsi="Times New Roman"/>
                <w:b/>
                <w:sz w:val="22"/>
                <w:szCs w:val="22"/>
              </w:rPr>
            </w:pP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smartTag w:uri="urn:schemas-microsoft-com:office:smarttags" w:element="place">
              <w:r w:rsidRPr="00167342">
                <w:rPr>
                  <w:rFonts w:eastAsia="Times New Roman"/>
                  <w:sz w:val="22"/>
                  <w:szCs w:val="22"/>
                </w:rPr>
                <w:t>Ahvenanmaa</w:t>
              </w:r>
            </w:smartTag>
          </w:p>
        </w:tc>
        <w:tc>
          <w:tcPr>
            <w:tcW w:w="960" w:type="dxa"/>
            <w:vAlign w:val="bottom"/>
          </w:tcPr>
          <w:p w:rsidR="00CF0727" w:rsidRPr="00167342" w:rsidRDefault="00CF0727" w:rsidP="000A009C">
            <w:pPr>
              <w:widowControl w:val="0"/>
              <w:tabs>
                <w:tab w:val="decimal" w:pos="372"/>
              </w:tabs>
              <w:adjustRightInd w:val="0"/>
              <w:jc w:val="left"/>
              <w:textAlignment w:val="baseline"/>
              <w:rPr>
                <w:rFonts w:eastAsia="Times New Roman"/>
              </w:rPr>
            </w:pPr>
            <w:r w:rsidRPr="00167342">
              <w:rPr>
                <w:rFonts w:eastAsia="Times New Roman"/>
                <w:sz w:val="22"/>
                <w:szCs w:val="22"/>
              </w:rPr>
              <w:t>0.6</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0.5</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0.5</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0.7</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0.189</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0.276</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bCs/>
              </w:rPr>
            </w:pPr>
            <w:r w:rsidRPr="00167342">
              <w:rPr>
                <w:rFonts w:eastAsia="Times New Roman"/>
                <w:bCs/>
                <w:sz w:val="22"/>
                <w:szCs w:val="22"/>
              </w:rPr>
              <w:tab/>
              <w:t>14</w:t>
            </w:r>
          </w:p>
        </w:tc>
        <w:tc>
          <w:tcPr>
            <w:tcW w:w="1320" w:type="dxa"/>
          </w:tcPr>
          <w:p w:rsidR="00CF0727" w:rsidRPr="00167342" w:rsidRDefault="00CF0727" w:rsidP="000A009C">
            <w:pPr>
              <w:widowControl w:val="0"/>
              <w:adjustRightInd w:val="0"/>
              <w:jc w:val="center"/>
              <w:textAlignment w:val="baseline"/>
              <w:rPr>
                <w:rFonts w:eastAsia="Times New Roman"/>
                <w:bCs/>
              </w:rPr>
            </w:pPr>
            <w:r w:rsidRPr="00167342">
              <w:rPr>
                <w:rFonts w:eastAsia="Times New Roman"/>
                <w:bCs/>
                <w:sz w:val="22"/>
                <w:szCs w:val="22"/>
              </w:rPr>
              <w:t>207</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Keski-Pohjanmaa</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1.1</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1.2</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1.4</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1.3</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0.157</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0.088</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15</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208</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Kainuu</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1.5</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1.3</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1.9</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1.6</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0.162</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0.080</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20</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231</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Etelä-Savo</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2.5</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2.3</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3.4</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2.9</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0.141</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0.080</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19</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216</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Itä-Uusimaa</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1.7</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2.5</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1.7</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1.6</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0.110</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0.067</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4</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155</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Pohjois-Karjala</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2.6</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2.5</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3.5</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3.0</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0.115</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0.077</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18</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210</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Etelä-Pohjanmaa</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2.8</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2.9</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3.9</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3.5</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0.127</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0.082</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20</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149</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Kanta-Häme</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2.8</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3.0</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3.2</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3.1</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0.119</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0.072</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18</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220</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Etelä-Karjala</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2.9</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3.2</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2.7</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2.5</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0.207</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0.091</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7</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154</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Päijät-Häme</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3.4</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3.2</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3.9</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3.7</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0.122</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0.075</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13</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203</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Pohjanmaa</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3.4</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3.5</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3.4</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3.4</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0.114</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0.071</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12</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156</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Lappi</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3.7</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3.7</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4.0</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3.4</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0.173</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0.085</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15</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181</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Pohjois-Savo</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4.3</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3.9</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5.1</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4.5</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0.126</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0.085</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20</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196</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Kymenlaakso</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3.9</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4.4</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3.8</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3.7</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0.230</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0.096</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7</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150</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Keski-Suomi</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4.6</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4.5</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5.1</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4.7</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0.161</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0.079</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12</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208</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Satakunta</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4.2</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5.2</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4.8</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4.6</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0.117</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0.069</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12</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172</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Pohjois-Pohjanmaa</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6.0</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6.0</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7.0</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6.1</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0.168</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0.083</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13</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249</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Pirkanmaa</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8.1</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7.7</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8.5</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8.2</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0.112</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0.071</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14</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167</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Varsinais-Suomi</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8.4</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8.9</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8.5</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8.9</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0.122</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0.075</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11</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204</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Uusimaa</w:t>
            </w:r>
          </w:p>
        </w:tc>
        <w:tc>
          <w:tcPr>
            <w:tcW w:w="960" w:type="dxa"/>
            <w:vAlign w:val="bottom"/>
          </w:tcPr>
          <w:p w:rsidR="00CF0727" w:rsidRPr="00167342" w:rsidRDefault="00CF0727" w:rsidP="000A009C">
            <w:pPr>
              <w:widowControl w:val="0"/>
              <w:tabs>
                <w:tab w:val="decimal" w:pos="357"/>
              </w:tabs>
              <w:adjustRightInd w:val="0"/>
              <w:jc w:val="left"/>
              <w:textAlignment w:val="baseline"/>
              <w:rPr>
                <w:rFonts w:eastAsia="Times New Roman"/>
              </w:rPr>
            </w:pPr>
            <w:r w:rsidRPr="00167342">
              <w:rPr>
                <w:rFonts w:eastAsia="Times New Roman"/>
                <w:sz w:val="22"/>
                <w:szCs w:val="22"/>
              </w:rPr>
              <w:t>31.6</w:t>
            </w:r>
          </w:p>
        </w:tc>
        <w:tc>
          <w:tcPr>
            <w:tcW w:w="960" w:type="dxa"/>
            <w:vAlign w:val="bottom"/>
          </w:tcPr>
          <w:p w:rsidR="00CF0727" w:rsidRPr="00167342" w:rsidRDefault="00CF0727" w:rsidP="000A009C">
            <w:pPr>
              <w:widowControl w:val="0"/>
              <w:tabs>
                <w:tab w:val="decimal" w:pos="348"/>
              </w:tabs>
              <w:adjustRightInd w:val="0"/>
              <w:jc w:val="left"/>
              <w:textAlignment w:val="baseline"/>
              <w:rPr>
                <w:rFonts w:eastAsia="Times New Roman"/>
              </w:rPr>
            </w:pPr>
            <w:r w:rsidRPr="00167342">
              <w:rPr>
                <w:rFonts w:eastAsia="Times New Roman"/>
                <w:sz w:val="22"/>
                <w:szCs w:val="22"/>
              </w:rPr>
              <w:t>29.7</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23.8</w:t>
            </w:r>
          </w:p>
        </w:tc>
        <w:tc>
          <w:tcPr>
            <w:tcW w:w="1200" w:type="dxa"/>
            <w:vAlign w:val="bottom"/>
          </w:tcPr>
          <w:p w:rsidR="00CF0727" w:rsidRPr="00167342" w:rsidRDefault="00CF0727" w:rsidP="000A009C">
            <w:pPr>
              <w:widowControl w:val="0"/>
              <w:tabs>
                <w:tab w:val="decimal" w:pos="492"/>
              </w:tabs>
              <w:adjustRightInd w:val="0"/>
              <w:jc w:val="left"/>
              <w:textAlignment w:val="baseline"/>
              <w:rPr>
                <w:rFonts w:eastAsia="Times New Roman"/>
              </w:rPr>
            </w:pPr>
            <w:r w:rsidRPr="00167342">
              <w:rPr>
                <w:rFonts w:eastAsia="Times New Roman"/>
                <w:sz w:val="22"/>
                <w:szCs w:val="22"/>
              </w:rPr>
              <w:t>28.6</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0.134</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0.118</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rPr>
            </w:pPr>
            <w:r w:rsidRPr="00167342">
              <w:rPr>
                <w:rFonts w:eastAsia="Times New Roman"/>
                <w:sz w:val="22"/>
                <w:szCs w:val="22"/>
              </w:rPr>
              <w:tab/>
              <w:t>15</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rPr>
            </w:pPr>
            <w:r w:rsidRPr="00167342">
              <w:rPr>
                <w:rFonts w:eastAsia="Times New Roman"/>
                <w:sz w:val="22"/>
                <w:szCs w:val="22"/>
              </w:rPr>
              <w:t>312</w:t>
            </w:r>
          </w:p>
        </w:tc>
      </w:tr>
      <w:tr w:rsidR="00CF0727" w:rsidRPr="00167342" w:rsidTr="000A009C">
        <w:tc>
          <w:tcPr>
            <w:tcW w:w="2028" w:type="dxa"/>
            <w:vAlign w:val="bottom"/>
          </w:tcPr>
          <w:p w:rsidR="00CF0727" w:rsidRPr="00167342" w:rsidRDefault="00CF0727" w:rsidP="000A009C">
            <w:pPr>
              <w:widowControl w:val="0"/>
              <w:adjustRightInd w:val="0"/>
              <w:textAlignment w:val="baseline"/>
              <w:rPr>
                <w:rFonts w:eastAsia="Times New Roman"/>
              </w:rPr>
            </w:pPr>
            <w:r w:rsidRPr="00167342">
              <w:rPr>
                <w:rFonts w:eastAsia="Times New Roman"/>
                <w:sz w:val="22"/>
                <w:szCs w:val="22"/>
              </w:rPr>
              <w:t>Mean</w:t>
            </w:r>
          </w:p>
        </w:tc>
        <w:tc>
          <w:tcPr>
            <w:tcW w:w="960" w:type="dxa"/>
            <w:vAlign w:val="bottom"/>
          </w:tcPr>
          <w:p w:rsidR="00CF0727" w:rsidRPr="00167342" w:rsidRDefault="00CF0727" w:rsidP="000A009C">
            <w:pPr>
              <w:widowControl w:val="0"/>
              <w:adjustRightInd w:val="0"/>
              <w:jc w:val="right"/>
              <w:textAlignment w:val="baseline"/>
              <w:rPr>
                <w:rFonts w:eastAsia="Times New Roman"/>
                <w:b/>
              </w:rPr>
            </w:pPr>
          </w:p>
        </w:tc>
        <w:tc>
          <w:tcPr>
            <w:tcW w:w="960" w:type="dxa"/>
          </w:tcPr>
          <w:p w:rsidR="00CF0727" w:rsidRPr="00167342" w:rsidRDefault="00CF0727" w:rsidP="000A009C">
            <w:pPr>
              <w:widowControl w:val="0"/>
              <w:adjustRightInd w:val="0"/>
              <w:jc w:val="right"/>
              <w:textAlignment w:val="baseline"/>
              <w:rPr>
                <w:rFonts w:eastAsia="Times New Roman"/>
                <w:b/>
              </w:rPr>
            </w:pPr>
          </w:p>
        </w:tc>
        <w:tc>
          <w:tcPr>
            <w:tcW w:w="1200" w:type="dxa"/>
            <w:vAlign w:val="bottom"/>
          </w:tcPr>
          <w:p w:rsidR="00CF0727" w:rsidRPr="00167342" w:rsidRDefault="00CF0727" w:rsidP="000A009C">
            <w:pPr>
              <w:widowControl w:val="0"/>
              <w:adjustRightInd w:val="0"/>
              <w:jc w:val="right"/>
              <w:textAlignment w:val="baseline"/>
              <w:rPr>
                <w:rFonts w:eastAsia="Times New Roman"/>
                <w:b/>
              </w:rPr>
            </w:pPr>
          </w:p>
        </w:tc>
        <w:tc>
          <w:tcPr>
            <w:tcW w:w="1200" w:type="dxa"/>
            <w:vAlign w:val="bottom"/>
          </w:tcPr>
          <w:p w:rsidR="00CF0727" w:rsidRPr="00167342" w:rsidRDefault="00CF0727" w:rsidP="000A009C">
            <w:pPr>
              <w:widowControl w:val="0"/>
              <w:adjustRightInd w:val="0"/>
              <w:jc w:val="right"/>
              <w:textAlignment w:val="baseline"/>
              <w:rPr>
                <w:rFonts w:eastAsia="Times New Roman"/>
                <w:b/>
              </w:rPr>
            </w:pP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0.145</w:t>
            </w:r>
          </w:p>
        </w:tc>
        <w:tc>
          <w:tcPr>
            <w:tcW w:w="1560" w:type="dxa"/>
            <w:vAlign w:val="bottom"/>
          </w:tcPr>
          <w:p w:rsidR="00CF0727" w:rsidRPr="00167342" w:rsidRDefault="00CF0727" w:rsidP="000A009C">
            <w:pPr>
              <w:widowControl w:val="0"/>
              <w:adjustRightInd w:val="0"/>
              <w:jc w:val="center"/>
              <w:textAlignment w:val="baseline"/>
              <w:rPr>
                <w:rFonts w:eastAsia="Times New Roman"/>
              </w:rPr>
            </w:pPr>
            <w:r w:rsidRPr="00167342">
              <w:rPr>
                <w:rFonts w:eastAsia="Times New Roman"/>
                <w:sz w:val="22"/>
                <w:szCs w:val="22"/>
              </w:rPr>
              <w:t>0.091</w:t>
            </w:r>
          </w:p>
        </w:tc>
        <w:tc>
          <w:tcPr>
            <w:tcW w:w="1200" w:type="dxa"/>
          </w:tcPr>
          <w:p w:rsidR="00CF0727" w:rsidRPr="00167342" w:rsidRDefault="00CF0727" w:rsidP="000A009C">
            <w:pPr>
              <w:widowControl w:val="0"/>
              <w:tabs>
                <w:tab w:val="right" w:pos="588"/>
              </w:tabs>
              <w:adjustRightInd w:val="0"/>
              <w:jc w:val="left"/>
              <w:textAlignment w:val="baseline"/>
              <w:rPr>
                <w:rFonts w:eastAsia="Times New Roman"/>
                <w:bCs/>
              </w:rPr>
            </w:pPr>
            <w:r w:rsidRPr="00167342">
              <w:rPr>
                <w:rFonts w:eastAsia="Times New Roman"/>
                <w:bCs/>
                <w:sz w:val="22"/>
                <w:szCs w:val="22"/>
              </w:rPr>
              <w:tab/>
              <w:t>14</w:t>
            </w:r>
          </w:p>
        </w:tc>
        <w:tc>
          <w:tcPr>
            <w:tcW w:w="1320" w:type="dxa"/>
          </w:tcPr>
          <w:p w:rsidR="00CF0727" w:rsidRPr="00167342" w:rsidRDefault="00CF0727" w:rsidP="000A009C">
            <w:pPr>
              <w:widowControl w:val="0"/>
              <w:tabs>
                <w:tab w:val="right" w:pos="528"/>
              </w:tabs>
              <w:adjustRightInd w:val="0"/>
              <w:jc w:val="center"/>
              <w:textAlignment w:val="baseline"/>
              <w:rPr>
                <w:rFonts w:eastAsia="Times New Roman"/>
                <w:bCs/>
              </w:rPr>
            </w:pPr>
            <w:r w:rsidRPr="00167342">
              <w:rPr>
                <w:rFonts w:eastAsia="Times New Roman"/>
                <w:bCs/>
                <w:sz w:val="22"/>
                <w:szCs w:val="22"/>
              </w:rPr>
              <w:t>197</w:t>
            </w:r>
          </w:p>
        </w:tc>
      </w:tr>
    </w:tbl>
    <w:p w:rsidR="00CF0727" w:rsidRDefault="00CF0727" w:rsidP="00CF0727">
      <w:pPr>
        <w:rPr>
          <w:sz w:val="22"/>
          <w:szCs w:val="22"/>
        </w:rPr>
      </w:pPr>
    </w:p>
    <w:p w:rsidR="00CF0727" w:rsidRDefault="00CF0727" w:rsidP="00CF0727">
      <w:pPr>
        <w:spacing w:before="120"/>
        <w:ind w:left="1123" w:right="288" w:hanging="43"/>
        <w:rPr>
          <w:color w:val="000000"/>
          <w:szCs w:val="26"/>
        </w:rPr>
      </w:pPr>
      <w:r w:rsidRPr="00143220">
        <w:rPr>
          <w:i/>
          <w:color w:val="000000"/>
          <w:szCs w:val="26"/>
        </w:rPr>
        <w:t>Source</w:t>
      </w:r>
      <w:r>
        <w:rPr>
          <w:color w:val="000000"/>
          <w:szCs w:val="26"/>
        </w:rPr>
        <w:t>: Statistics Finland (2000), Regional accounts</w:t>
      </w:r>
    </w:p>
    <w:p w:rsidR="00CF0727" w:rsidRDefault="00CF0727" w:rsidP="00CF0727">
      <w:pPr>
        <w:spacing w:before="120"/>
        <w:ind w:left="1123" w:right="288" w:hanging="43"/>
        <w:rPr>
          <w:color w:val="000000"/>
          <w:szCs w:val="26"/>
        </w:rPr>
        <w:sectPr w:rsidR="00CF0727" w:rsidSect="000A009C">
          <w:footerReference w:type="even" r:id="rId112"/>
          <w:footerReference w:type="default" r:id="rId113"/>
          <w:pgSz w:w="16838" w:h="11906" w:orient="landscape"/>
          <w:pgMar w:top="1440" w:right="1440" w:bottom="1440" w:left="1440" w:header="706" w:footer="706" w:gutter="0"/>
          <w:cols w:space="708"/>
          <w:titlePg/>
          <w:docGrid w:linePitch="360"/>
        </w:sectPr>
      </w:pPr>
    </w:p>
    <w:p w:rsidR="00CF0727" w:rsidRPr="00C8591E" w:rsidRDefault="00CF0727" w:rsidP="00CF0727">
      <w:pPr>
        <w:pStyle w:val="Normaali1"/>
        <w:spacing w:line="240" w:lineRule="auto"/>
        <w:jc w:val="center"/>
        <w:rPr>
          <w:rFonts w:ascii="Times New Roman" w:hAnsi="Times New Roman"/>
          <w:i/>
          <w:color w:val="000000"/>
          <w:szCs w:val="26"/>
        </w:rPr>
      </w:pPr>
      <w:r w:rsidRPr="00C8591E">
        <w:rPr>
          <w:rFonts w:ascii="Times New Roman" w:hAnsi="Times New Roman"/>
          <w:b/>
          <w:color w:val="000000"/>
          <w:szCs w:val="26"/>
        </w:rPr>
        <w:lastRenderedPageBreak/>
        <w:t xml:space="preserve">Table </w:t>
      </w:r>
      <w:r>
        <w:rPr>
          <w:rFonts w:ascii="Times New Roman" w:hAnsi="Times New Roman"/>
          <w:b/>
          <w:color w:val="000000"/>
          <w:szCs w:val="26"/>
        </w:rPr>
        <w:t>2</w:t>
      </w:r>
      <w:r w:rsidRPr="00C8591E">
        <w:rPr>
          <w:rFonts w:ascii="Times New Roman" w:hAnsi="Times New Roman"/>
          <w:color w:val="000000"/>
          <w:szCs w:val="26"/>
        </w:rPr>
        <w:t xml:space="preserve">.  </w:t>
      </w:r>
      <w:r w:rsidRPr="00C8591E">
        <w:rPr>
          <w:rFonts w:ascii="Times New Roman" w:hAnsi="Times New Roman"/>
          <w:i/>
          <w:color w:val="000000"/>
          <w:szCs w:val="26"/>
        </w:rPr>
        <w:t>Mean percentage differences from survey for the FLQ: sectoral output</w:t>
      </w:r>
    </w:p>
    <w:p w:rsidR="00CF0727" w:rsidRDefault="00CF0727" w:rsidP="00CF0727">
      <w:pPr>
        <w:pStyle w:val="Normaali1"/>
        <w:spacing w:after="120" w:line="240" w:lineRule="auto"/>
        <w:jc w:val="center"/>
        <w:rPr>
          <w:rFonts w:ascii="Times New Roman" w:hAnsi="Times New Roman"/>
          <w:i/>
          <w:color w:val="000000"/>
          <w:szCs w:val="26"/>
        </w:rPr>
      </w:pPr>
      <w:r w:rsidRPr="00C8591E">
        <w:rPr>
          <w:rFonts w:ascii="Times New Roman" w:hAnsi="Times New Roman"/>
          <w:i/>
          <w:color w:val="000000"/>
          <w:szCs w:val="26"/>
        </w:rPr>
        <w:t>multipliers for 20 Finnish regions in 1995 (measure µ</w:t>
      </w:r>
      <w:r w:rsidRPr="00C8591E">
        <w:rPr>
          <w:rFonts w:ascii="Times New Roman" w:hAnsi="Times New Roman"/>
          <w:i/>
          <w:color w:val="000000"/>
          <w:szCs w:val="26"/>
          <w:vertAlign w:val="subscript"/>
        </w:rPr>
        <w:t>1</w:t>
      </w:r>
      <w:r w:rsidRPr="00C8591E">
        <w:rPr>
          <w:rFonts w:ascii="Times New Roman" w:hAnsi="Times New Roman"/>
          <w:i/>
          <w:color w:val="000000"/>
          <w:szCs w:val="26"/>
        </w:rPr>
        <w:t>)</w:t>
      </w:r>
    </w:p>
    <w:tbl>
      <w:tblPr>
        <w:tblW w:w="926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960"/>
        <w:gridCol w:w="1221"/>
        <w:gridCol w:w="1221"/>
        <w:gridCol w:w="1206"/>
        <w:gridCol w:w="1252"/>
        <w:gridCol w:w="1134"/>
        <w:gridCol w:w="1275"/>
      </w:tblGrid>
      <w:tr w:rsidR="00CF0727" w:rsidRPr="00167342" w:rsidTr="000A009C">
        <w:trPr>
          <w:trHeight w:val="248"/>
          <w:jc w:val="center"/>
        </w:trPr>
        <w:tc>
          <w:tcPr>
            <w:tcW w:w="1960" w:type="dxa"/>
            <w:vMerge w:val="restart"/>
            <w:vAlign w:val="bottom"/>
          </w:tcPr>
          <w:p w:rsidR="00CF0727" w:rsidRPr="00167342" w:rsidRDefault="00CF0727" w:rsidP="000A009C">
            <w:pPr>
              <w:widowControl w:val="0"/>
              <w:adjustRightInd w:val="0"/>
              <w:spacing w:line="360" w:lineRule="auto"/>
              <w:ind w:left="397" w:right="284"/>
              <w:textAlignment w:val="baseline"/>
              <w:rPr>
                <w:rFonts w:eastAsia="Times New Roman"/>
              </w:rPr>
            </w:pPr>
          </w:p>
        </w:tc>
        <w:tc>
          <w:tcPr>
            <w:tcW w:w="7309" w:type="dxa"/>
            <w:gridSpan w:val="6"/>
          </w:tcPr>
          <w:p w:rsidR="00CF0727" w:rsidRPr="00167342" w:rsidRDefault="00CF0727" w:rsidP="000A009C">
            <w:pPr>
              <w:widowControl w:val="0"/>
              <w:adjustRightInd w:val="0"/>
              <w:spacing w:before="120" w:after="120"/>
              <w:ind w:left="-113" w:right="-113"/>
              <w:jc w:val="center"/>
              <w:textAlignment w:val="baseline"/>
              <w:rPr>
                <w:rFonts w:eastAsia="Times New Roman"/>
              </w:rPr>
            </w:pPr>
            <w:r w:rsidRPr="00167342">
              <w:rPr>
                <w:rFonts w:eastAsia="Times New Roman"/>
              </w:rPr>
              <w:t xml:space="preserve">Value of </w:t>
            </w:r>
            <w:r w:rsidRPr="00167342">
              <w:rPr>
                <w:rFonts w:eastAsia="Times New Roman"/>
                <w:color w:val="000000"/>
              </w:rPr>
              <w:t>δ</w:t>
            </w:r>
          </w:p>
        </w:tc>
      </w:tr>
      <w:tr w:rsidR="00CF0727" w:rsidRPr="00167342" w:rsidTr="000A009C">
        <w:trPr>
          <w:trHeight w:val="247"/>
          <w:jc w:val="center"/>
        </w:trPr>
        <w:tc>
          <w:tcPr>
            <w:tcW w:w="1960" w:type="dxa"/>
            <w:vMerge/>
            <w:vAlign w:val="bottom"/>
          </w:tcPr>
          <w:p w:rsidR="00CF0727" w:rsidRPr="00167342" w:rsidRDefault="00CF0727" w:rsidP="000A009C">
            <w:pPr>
              <w:widowControl w:val="0"/>
              <w:adjustRightInd w:val="0"/>
              <w:spacing w:line="360" w:lineRule="auto"/>
              <w:ind w:left="397" w:right="284"/>
              <w:textAlignment w:val="baseline"/>
              <w:rPr>
                <w:rFonts w:eastAsia="Times New Roman"/>
              </w:rPr>
            </w:pPr>
          </w:p>
        </w:tc>
        <w:tc>
          <w:tcPr>
            <w:tcW w:w="1221" w:type="dxa"/>
            <w:vAlign w:val="bottom"/>
          </w:tcPr>
          <w:p w:rsidR="00CF0727" w:rsidRPr="00167342" w:rsidRDefault="00CF0727" w:rsidP="000A009C">
            <w:pPr>
              <w:widowControl w:val="0"/>
              <w:adjustRightInd w:val="0"/>
              <w:spacing w:before="120" w:after="120"/>
              <w:ind w:left="-115" w:right="-115"/>
              <w:jc w:val="center"/>
              <w:textAlignment w:val="baseline"/>
              <w:rPr>
                <w:rFonts w:eastAsia="Times New Roman"/>
              </w:rPr>
            </w:pPr>
            <w:r w:rsidRPr="00167342">
              <w:rPr>
                <w:rFonts w:eastAsia="Times New Roman"/>
                <w:sz w:val="22"/>
                <w:szCs w:val="22"/>
              </w:rPr>
              <w:t>0.</w:t>
            </w:r>
            <w:r>
              <w:rPr>
                <w:rFonts w:eastAsia="Times New Roman"/>
                <w:sz w:val="22"/>
                <w:szCs w:val="22"/>
              </w:rPr>
              <w:t>15</w:t>
            </w:r>
          </w:p>
        </w:tc>
        <w:tc>
          <w:tcPr>
            <w:tcW w:w="1221" w:type="dxa"/>
            <w:vAlign w:val="bottom"/>
          </w:tcPr>
          <w:p w:rsidR="00CF0727" w:rsidRPr="00167342" w:rsidRDefault="00CF0727" w:rsidP="000A009C">
            <w:pPr>
              <w:widowControl w:val="0"/>
              <w:adjustRightInd w:val="0"/>
              <w:spacing w:before="120" w:after="120"/>
              <w:ind w:left="-115" w:right="-115"/>
              <w:jc w:val="center"/>
              <w:textAlignment w:val="baseline"/>
              <w:rPr>
                <w:rFonts w:eastAsia="Times New Roman"/>
              </w:rPr>
            </w:pPr>
            <w:r w:rsidRPr="00167342">
              <w:rPr>
                <w:rFonts w:eastAsia="Times New Roman"/>
                <w:sz w:val="22"/>
                <w:szCs w:val="22"/>
              </w:rPr>
              <w:t>0.</w:t>
            </w:r>
            <w:r>
              <w:rPr>
                <w:rFonts w:eastAsia="Times New Roman"/>
                <w:sz w:val="22"/>
                <w:szCs w:val="22"/>
              </w:rPr>
              <w:t>2</w:t>
            </w:r>
          </w:p>
        </w:tc>
        <w:tc>
          <w:tcPr>
            <w:tcW w:w="1206" w:type="dxa"/>
            <w:vAlign w:val="bottom"/>
          </w:tcPr>
          <w:p w:rsidR="00CF0727" w:rsidRPr="00167342" w:rsidRDefault="00CF0727" w:rsidP="000A009C">
            <w:pPr>
              <w:widowControl w:val="0"/>
              <w:adjustRightInd w:val="0"/>
              <w:spacing w:before="120" w:after="120"/>
              <w:ind w:left="18"/>
              <w:jc w:val="center"/>
              <w:textAlignment w:val="baseline"/>
              <w:rPr>
                <w:rFonts w:eastAsia="Times New Roman"/>
              </w:rPr>
            </w:pPr>
            <w:r w:rsidRPr="00167342">
              <w:rPr>
                <w:rFonts w:eastAsia="Times New Roman"/>
                <w:sz w:val="22"/>
                <w:szCs w:val="22"/>
              </w:rPr>
              <w:t>0.</w:t>
            </w:r>
            <w:r>
              <w:rPr>
                <w:rFonts w:eastAsia="Times New Roman"/>
                <w:sz w:val="22"/>
                <w:szCs w:val="22"/>
              </w:rPr>
              <w:t>2</w:t>
            </w:r>
            <w:r w:rsidRPr="00167342">
              <w:rPr>
                <w:rFonts w:eastAsia="Times New Roman"/>
                <w:sz w:val="22"/>
                <w:szCs w:val="22"/>
              </w:rPr>
              <w:t>5</w:t>
            </w:r>
          </w:p>
        </w:tc>
        <w:tc>
          <w:tcPr>
            <w:tcW w:w="1252" w:type="dxa"/>
            <w:vAlign w:val="bottom"/>
          </w:tcPr>
          <w:p w:rsidR="00CF0727" w:rsidRPr="00167342" w:rsidRDefault="00CF0727" w:rsidP="000A009C">
            <w:pPr>
              <w:widowControl w:val="0"/>
              <w:adjustRightInd w:val="0"/>
              <w:spacing w:before="120" w:after="120"/>
              <w:ind w:left="-115" w:right="-115"/>
              <w:jc w:val="center"/>
              <w:textAlignment w:val="baseline"/>
              <w:rPr>
                <w:rFonts w:eastAsia="Times New Roman"/>
              </w:rPr>
            </w:pPr>
            <w:r w:rsidRPr="00167342">
              <w:rPr>
                <w:rFonts w:eastAsia="Times New Roman"/>
                <w:sz w:val="22"/>
                <w:szCs w:val="22"/>
              </w:rPr>
              <w:t>0.</w:t>
            </w:r>
            <w:r>
              <w:rPr>
                <w:rFonts w:eastAsia="Times New Roman"/>
                <w:sz w:val="22"/>
                <w:szCs w:val="22"/>
              </w:rPr>
              <w:t>3</w:t>
            </w:r>
          </w:p>
        </w:tc>
        <w:tc>
          <w:tcPr>
            <w:tcW w:w="1134" w:type="dxa"/>
          </w:tcPr>
          <w:p w:rsidR="00CF0727" w:rsidRPr="00167342" w:rsidRDefault="00CF0727" w:rsidP="000A009C">
            <w:pPr>
              <w:widowControl w:val="0"/>
              <w:adjustRightInd w:val="0"/>
              <w:spacing w:before="120" w:after="120"/>
              <w:ind w:left="-115" w:right="-115"/>
              <w:jc w:val="center"/>
              <w:textAlignment w:val="baseline"/>
              <w:rPr>
                <w:rFonts w:eastAsia="Times New Roman"/>
              </w:rPr>
            </w:pPr>
            <w:r w:rsidRPr="00167342">
              <w:rPr>
                <w:rFonts w:eastAsia="Times New Roman"/>
                <w:sz w:val="22"/>
                <w:szCs w:val="22"/>
              </w:rPr>
              <w:t>0.</w:t>
            </w:r>
            <w:r>
              <w:rPr>
                <w:rFonts w:eastAsia="Times New Roman"/>
                <w:sz w:val="22"/>
                <w:szCs w:val="22"/>
              </w:rPr>
              <w:t>3</w:t>
            </w:r>
            <w:r w:rsidRPr="00167342">
              <w:rPr>
                <w:rFonts w:eastAsia="Times New Roman"/>
                <w:sz w:val="22"/>
                <w:szCs w:val="22"/>
              </w:rPr>
              <w:t>5</w:t>
            </w:r>
          </w:p>
        </w:tc>
        <w:tc>
          <w:tcPr>
            <w:tcW w:w="1275" w:type="dxa"/>
            <w:vAlign w:val="bottom"/>
          </w:tcPr>
          <w:p w:rsidR="00CF0727" w:rsidRPr="00167342" w:rsidRDefault="00CF0727" w:rsidP="000A009C">
            <w:pPr>
              <w:widowControl w:val="0"/>
              <w:adjustRightInd w:val="0"/>
              <w:spacing w:before="120" w:after="120"/>
              <w:ind w:left="-115" w:right="-115"/>
              <w:jc w:val="center"/>
              <w:textAlignment w:val="baseline"/>
              <w:rPr>
                <w:rFonts w:eastAsia="Times New Roman"/>
              </w:rPr>
            </w:pPr>
            <w:r w:rsidRPr="00167342">
              <w:rPr>
                <w:rFonts w:eastAsia="Times New Roman"/>
                <w:sz w:val="22"/>
                <w:szCs w:val="22"/>
              </w:rPr>
              <w:t>0.</w:t>
            </w:r>
            <w:r>
              <w:rPr>
                <w:rFonts w:eastAsia="Times New Roman"/>
                <w:sz w:val="22"/>
                <w:szCs w:val="22"/>
              </w:rPr>
              <w:t>4</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Ahvenanmaa</w:t>
            </w:r>
          </w:p>
        </w:tc>
        <w:tc>
          <w:tcPr>
            <w:tcW w:w="1221" w:type="dxa"/>
            <w:vAlign w:val="bottom"/>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b/>
              </w:rPr>
            </w:pPr>
            <w:r w:rsidRPr="00167342">
              <w:rPr>
                <w:rFonts w:eastAsia="Times New Roman"/>
                <w:b/>
                <w:sz w:val="22"/>
                <w:szCs w:val="22"/>
              </w:rPr>
              <w:sym w:font="Symbol" w:char="F02D"/>
            </w:r>
            <w:r>
              <w:rPr>
                <w:rFonts w:eastAsia="Times New Roman"/>
                <w:b/>
                <w:sz w:val="22"/>
                <w:szCs w:val="22"/>
              </w:rPr>
              <w:t>1</w:t>
            </w:r>
            <w:r w:rsidRPr="00167342">
              <w:rPr>
                <w:rFonts w:eastAsia="Times New Roman"/>
                <w:b/>
                <w:sz w:val="22"/>
                <w:szCs w:val="22"/>
              </w:rPr>
              <w:t>.</w:t>
            </w:r>
            <w:r>
              <w:rPr>
                <w:rFonts w:eastAsia="Times New Roman"/>
                <w:b/>
                <w:sz w:val="22"/>
                <w:szCs w:val="22"/>
              </w:rPr>
              <w:t>50</w:t>
            </w:r>
          </w:p>
        </w:tc>
        <w:tc>
          <w:tcPr>
            <w:tcW w:w="1221" w:type="dxa"/>
            <w:vAlign w:val="bottom"/>
          </w:tcPr>
          <w:p w:rsidR="00CF0727" w:rsidRPr="000811C6" w:rsidRDefault="00CF0727" w:rsidP="000A009C">
            <w:pPr>
              <w:widowControl w:val="0"/>
              <w:tabs>
                <w:tab w:val="decimal" w:pos="399"/>
              </w:tabs>
              <w:adjustRightInd w:val="0"/>
              <w:spacing w:before="36" w:after="36"/>
              <w:ind w:left="-114" w:right="-108"/>
              <w:jc w:val="left"/>
              <w:textAlignment w:val="baseline"/>
              <w:rPr>
                <w:rFonts w:eastAsia="Times New Roman"/>
              </w:rPr>
            </w:pPr>
            <w:r w:rsidRPr="000811C6">
              <w:rPr>
                <w:rFonts w:eastAsia="Times New Roman"/>
                <w:sz w:val="22"/>
                <w:szCs w:val="22"/>
              </w:rPr>
              <w:sym w:font="Symbol" w:char="F02D"/>
            </w:r>
            <w:r>
              <w:rPr>
                <w:rFonts w:eastAsia="Times New Roman"/>
                <w:sz w:val="22"/>
                <w:szCs w:val="22"/>
              </w:rPr>
              <w:t>4</w:t>
            </w:r>
            <w:r w:rsidRPr="000811C6">
              <w:rPr>
                <w:rFonts w:eastAsia="Times New Roman"/>
                <w:sz w:val="22"/>
                <w:szCs w:val="22"/>
              </w:rPr>
              <w:t>.</w:t>
            </w:r>
            <w:r>
              <w:rPr>
                <w:rFonts w:eastAsia="Times New Roman"/>
                <w:sz w:val="22"/>
                <w:szCs w:val="22"/>
              </w:rPr>
              <w:t>29</w:t>
            </w:r>
          </w:p>
        </w:tc>
        <w:tc>
          <w:tcPr>
            <w:tcW w:w="1206" w:type="dxa"/>
            <w:vAlign w:val="bottom"/>
          </w:tcPr>
          <w:p w:rsidR="00CF0727" w:rsidRPr="00167342" w:rsidRDefault="00CF0727" w:rsidP="000A009C">
            <w:pPr>
              <w:widowControl w:val="0"/>
              <w:tabs>
                <w:tab w:val="decimal" w:pos="432"/>
              </w:tabs>
              <w:adjustRightInd w:val="0"/>
              <w:spacing w:before="36" w:after="36"/>
              <w:ind w:left="-102" w:right="-77"/>
              <w:jc w:val="left"/>
              <w:textAlignment w:val="baseline"/>
              <w:rPr>
                <w:rFonts w:eastAsia="Times New Roman"/>
              </w:rPr>
            </w:pPr>
            <w:r w:rsidRPr="00167342">
              <w:rPr>
                <w:rFonts w:eastAsia="Times New Roman"/>
                <w:sz w:val="22"/>
                <w:szCs w:val="22"/>
              </w:rPr>
              <w:sym w:font="Symbol" w:char="F02D"/>
            </w:r>
            <w:r>
              <w:rPr>
                <w:rFonts w:eastAsia="Times New Roman"/>
                <w:sz w:val="22"/>
                <w:szCs w:val="22"/>
              </w:rPr>
              <w:t>6</w:t>
            </w:r>
            <w:r w:rsidRPr="00167342">
              <w:rPr>
                <w:rFonts w:eastAsia="Times New Roman"/>
                <w:sz w:val="22"/>
                <w:szCs w:val="22"/>
              </w:rPr>
              <w:t>.</w:t>
            </w:r>
            <w:r>
              <w:rPr>
                <w:rFonts w:eastAsia="Times New Roman"/>
                <w:sz w:val="22"/>
                <w:szCs w:val="22"/>
              </w:rPr>
              <w:t>71</w:t>
            </w:r>
          </w:p>
        </w:tc>
        <w:tc>
          <w:tcPr>
            <w:tcW w:w="1252" w:type="dxa"/>
            <w:vAlign w:val="bottom"/>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8</w:t>
            </w:r>
            <w:r w:rsidRPr="00167342">
              <w:rPr>
                <w:rFonts w:eastAsia="Times New Roman"/>
                <w:sz w:val="22"/>
                <w:szCs w:val="22"/>
              </w:rPr>
              <w:t>.</w:t>
            </w:r>
            <w:r>
              <w:rPr>
                <w:rFonts w:eastAsia="Times New Roman"/>
                <w:sz w:val="22"/>
                <w:szCs w:val="22"/>
              </w:rPr>
              <w:t>72</w:t>
            </w:r>
          </w:p>
        </w:tc>
        <w:tc>
          <w:tcPr>
            <w:tcW w:w="1134" w:type="dxa"/>
            <w:vAlign w:val="bottom"/>
          </w:tcPr>
          <w:p w:rsidR="00CF0727" w:rsidRPr="00167342" w:rsidRDefault="00CF0727" w:rsidP="000A009C">
            <w:pPr>
              <w:widowControl w:val="0"/>
              <w:tabs>
                <w:tab w:val="decimal" w:pos="384"/>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10</w:t>
            </w:r>
            <w:r w:rsidRPr="00167342">
              <w:rPr>
                <w:rFonts w:eastAsia="Times New Roman"/>
                <w:sz w:val="22"/>
                <w:szCs w:val="22"/>
              </w:rPr>
              <w:t>.</w:t>
            </w:r>
            <w:r>
              <w:rPr>
                <w:rFonts w:eastAsia="Times New Roman"/>
                <w:sz w:val="22"/>
                <w:szCs w:val="22"/>
              </w:rPr>
              <w:t>40</w:t>
            </w:r>
          </w:p>
        </w:tc>
        <w:tc>
          <w:tcPr>
            <w:tcW w:w="1275" w:type="dxa"/>
            <w:vAlign w:val="bottom"/>
          </w:tcPr>
          <w:p w:rsidR="00CF0727" w:rsidRPr="00167342" w:rsidRDefault="00CF0727" w:rsidP="000A009C">
            <w:pPr>
              <w:widowControl w:val="0"/>
              <w:tabs>
                <w:tab w:val="decimal" w:pos="525"/>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11</w:t>
            </w:r>
            <w:r w:rsidRPr="00167342">
              <w:rPr>
                <w:rFonts w:eastAsia="Times New Roman"/>
                <w:sz w:val="22"/>
                <w:szCs w:val="22"/>
              </w:rPr>
              <w:t>.</w:t>
            </w:r>
            <w:r>
              <w:rPr>
                <w:rFonts w:eastAsia="Times New Roman"/>
                <w:sz w:val="22"/>
                <w:szCs w:val="22"/>
              </w:rPr>
              <w:t>80</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Keski-Pohjanmaa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2</w:t>
            </w:r>
            <w:r w:rsidRPr="00167342">
              <w:rPr>
                <w:rFonts w:eastAsia="Times New Roman"/>
                <w:sz w:val="22"/>
                <w:szCs w:val="22"/>
              </w:rPr>
              <w:t>.</w:t>
            </w:r>
            <w:r>
              <w:rPr>
                <w:rFonts w:eastAsia="Times New Roman"/>
                <w:sz w:val="22"/>
                <w:szCs w:val="22"/>
              </w:rPr>
              <w:t>74</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sidRPr="00167342">
              <w:rPr>
                <w:rFonts w:eastAsia="Times New Roman"/>
                <w:b/>
                <w:sz w:val="22"/>
                <w:szCs w:val="22"/>
              </w:rPr>
              <w:sym w:font="Symbol" w:char="F02D"/>
            </w:r>
            <w:r w:rsidRPr="00167342">
              <w:rPr>
                <w:rFonts w:eastAsia="Times New Roman"/>
                <w:b/>
                <w:sz w:val="22"/>
                <w:szCs w:val="22"/>
              </w:rPr>
              <w:t>0.</w:t>
            </w:r>
            <w:r>
              <w:rPr>
                <w:rFonts w:eastAsia="Times New Roman"/>
                <w:b/>
                <w:sz w:val="22"/>
                <w:szCs w:val="22"/>
              </w:rPr>
              <w:t>11</w:t>
            </w:r>
          </w:p>
        </w:tc>
        <w:tc>
          <w:tcPr>
            <w:tcW w:w="1206" w:type="dxa"/>
            <w:vAlign w:val="bottom"/>
          </w:tcPr>
          <w:p w:rsidR="00CF0727" w:rsidRPr="000F0970" w:rsidRDefault="00CF0727" w:rsidP="000A009C">
            <w:pPr>
              <w:widowControl w:val="0"/>
              <w:tabs>
                <w:tab w:val="decimal" w:pos="432"/>
              </w:tabs>
              <w:adjustRightInd w:val="0"/>
              <w:spacing w:before="36" w:after="36"/>
              <w:ind w:left="-102" w:right="-108" w:hanging="12"/>
              <w:jc w:val="left"/>
              <w:textAlignment w:val="baseline"/>
              <w:rPr>
                <w:rFonts w:eastAsia="Times New Roman"/>
              </w:rPr>
            </w:pPr>
            <w:r w:rsidRPr="000F0970">
              <w:rPr>
                <w:rFonts w:eastAsia="Times New Roman"/>
                <w:sz w:val="22"/>
                <w:szCs w:val="22"/>
              </w:rPr>
              <w:sym w:font="Symbol" w:char="F02D"/>
            </w:r>
            <w:r>
              <w:rPr>
                <w:rFonts w:eastAsia="Times New Roman"/>
                <w:sz w:val="22"/>
                <w:szCs w:val="22"/>
              </w:rPr>
              <w:t>2</w:t>
            </w:r>
            <w:r w:rsidRPr="000F0970">
              <w:rPr>
                <w:rFonts w:eastAsia="Times New Roman"/>
                <w:sz w:val="22"/>
                <w:szCs w:val="22"/>
              </w:rPr>
              <w:t>.</w:t>
            </w:r>
            <w:r>
              <w:rPr>
                <w:rFonts w:eastAsia="Times New Roman"/>
                <w:sz w:val="22"/>
                <w:szCs w:val="22"/>
              </w:rPr>
              <w:t>8</w:t>
            </w:r>
            <w:r w:rsidRPr="000F0970">
              <w:rPr>
                <w:rFonts w:eastAsia="Times New Roman"/>
                <w:sz w:val="22"/>
                <w:szCs w:val="22"/>
              </w:rPr>
              <w:t>0</w:t>
            </w:r>
          </w:p>
        </w:tc>
        <w:tc>
          <w:tcPr>
            <w:tcW w:w="1252"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5</w:t>
            </w:r>
            <w:r w:rsidRPr="00167342">
              <w:rPr>
                <w:rFonts w:eastAsia="Times New Roman"/>
                <w:sz w:val="22"/>
                <w:szCs w:val="22"/>
              </w:rPr>
              <w:t>.</w:t>
            </w:r>
            <w:r>
              <w:rPr>
                <w:rFonts w:eastAsia="Times New Roman"/>
                <w:sz w:val="22"/>
                <w:szCs w:val="22"/>
              </w:rPr>
              <w:t>18</w:t>
            </w:r>
          </w:p>
        </w:tc>
        <w:tc>
          <w:tcPr>
            <w:tcW w:w="1134" w:type="dxa"/>
          </w:tcPr>
          <w:p w:rsidR="00CF0727" w:rsidRPr="00167342" w:rsidRDefault="00CF0727" w:rsidP="000A009C">
            <w:pPr>
              <w:widowControl w:val="0"/>
              <w:tabs>
                <w:tab w:val="decimal" w:pos="384"/>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7</w:t>
            </w:r>
            <w:r w:rsidRPr="00167342">
              <w:rPr>
                <w:rFonts w:eastAsia="Times New Roman"/>
                <w:sz w:val="22"/>
                <w:szCs w:val="22"/>
              </w:rPr>
              <w:t>.</w:t>
            </w:r>
            <w:r>
              <w:rPr>
                <w:rFonts w:eastAsia="Times New Roman"/>
                <w:sz w:val="22"/>
                <w:szCs w:val="22"/>
              </w:rPr>
              <w:t>29</w:t>
            </w:r>
          </w:p>
        </w:tc>
        <w:tc>
          <w:tcPr>
            <w:tcW w:w="1275" w:type="dxa"/>
          </w:tcPr>
          <w:p w:rsidR="00CF0727" w:rsidRPr="00167342" w:rsidRDefault="00CF0727" w:rsidP="000A009C">
            <w:pPr>
              <w:widowControl w:val="0"/>
              <w:tabs>
                <w:tab w:val="decimal" w:pos="525"/>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9</w:t>
            </w:r>
            <w:r w:rsidRPr="00167342">
              <w:rPr>
                <w:rFonts w:eastAsia="Times New Roman"/>
                <w:sz w:val="22"/>
                <w:szCs w:val="22"/>
              </w:rPr>
              <w:t>.</w:t>
            </w:r>
            <w:r>
              <w:rPr>
                <w:rFonts w:eastAsia="Times New Roman"/>
                <w:sz w:val="22"/>
                <w:szCs w:val="22"/>
              </w:rPr>
              <w:t>24</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Kainuu</w:t>
            </w:r>
          </w:p>
        </w:tc>
        <w:tc>
          <w:tcPr>
            <w:tcW w:w="1221" w:type="dxa"/>
          </w:tcPr>
          <w:p w:rsidR="00CF0727" w:rsidRPr="00167342" w:rsidRDefault="00CF0727" w:rsidP="000A009C">
            <w:pPr>
              <w:widowControl w:val="0"/>
              <w:tabs>
                <w:tab w:val="decimal" w:pos="399"/>
              </w:tabs>
              <w:adjustRightInd w:val="0"/>
              <w:spacing w:before="36" w:after="36"/>
              <w:ind w:left="-113" w:right="-108"/>
              <w:jc w:val="left"/>
              <w:textAlignment w:val="baseline"/>
              <w:rPr>
                <w:rFonts w:eastAsia="Times New Roman"/>
              </w:rPr>
            </w:pPr>
            <w:r>
              <w:rPr>
                <w:rFonts w:eastAsia="Times New Roman"/>
                <w:sz w:val="22"/>
                <w:szCs w:val="22"/>
              </w:rPr>
              <w:t>2</w:t>
            </w:r>
            <w:r w:rsidRPr="00167342">
              <w:rPr>
                <w:rFonts w:eastAsia="Times New Roman"/>
                <w:sz w:val="22"/>
                <w:szCs w:val="22"/>
              </w:rPr>
              <w:t>.</w:t>
            </w:r>
            <w:r>
              <w:rPr>
                <w:rFonts w:eastAsia="Times New Roman"/>
                <w:sz w:val="22"/>
                <w:szCs w:val="22"/>
              </w:rPr>
              <w:t>16</w:t>
            </w:r>
          </w:p>
        </w:tc>
        <w:tc>
          <w:tcPr>
            <w:tcW w:w="1221" w:type="dxa"/>
          </w:tcPr>
          <w:p w:rsidR="00CF0727" w:rsidRPr="00167342" w:rsidRDefault="00CF0727" w:rsidP="000A009C">
            <w:pPr>
              <w:widowControl w:val="0"/>
              <w:tabs>
                <w:tab w:val="decimal" w:pos="399"/>
              </w:tabs>
              <w:adjustRightInd w:val="0"/>
              <w:spacing w:before="36" w:after="36"/>
              <w:ind w:left="-113" w:right="-108"/>
              <w:jc w:val="left"/>
              <w:textAlignment w:val="baseline"/>
              <w:rPr>
                <w:rFonts w:eastAsia="Times New Roman"/>
              </w:rPr>
            </w:pPr>
            <w:r w:rsidRPr="00167342">
              <w:rPr>
                <w:rFonts w:eastAsia="Times New Roman"/>
                <w:b/>
                <w:sz w:val="22"/>
                <w:szCs w:val="22"/>
              </w:rPr>
              <w:sym w:font="Symbol" w:char="F02D"/>
            </w:r>
            <w:r w:rsidRPr="00167342">
              <w:rPr>
                <w:rFonts w:eastAsia="Times New Roman"/>
                <w:b/>
                <w:sz w:val="22"/>
                <w:szCs w:val="22"/>
              </w:rPr>
              <w:t>0.</w:t>
            </w:r>
            <w:r>
              <w:rPr>
                <w:rFonts w:eastAsia="Times New Roman"/>
                <w:b/>
                <w:sz w:val="22"/>
                <w:szCs w:val="22"/>
              </w:rPr>
              <w:t>86</w:t>
            </w:r>
          </w:p>
        </w:tc>
        <w:tc>
          <w:tcPr>
            <w:tcW w:w="1206" w:type="dxa"/>
            <w:vAlign w:val="bottom"/>
          </w:tcPr>
          <w:p w:rsidR="00CF0727" w:rsidRPr="00900FAA" w:rsidRDefault="00CF0727" w:rsidP="000A009C">
            <w:pPr>
              <w:widowControl w:val="0"/>
              <w:tabs>
                <w:tab w:val="decimal" w:pos="432"/>
              </w:tabs>
              <w:adjustRightInd w:val="0"/>
              <w:spacing w:before="36" w:after="36"/>
              <w:ind w:left="-102" w:right="-108" w:hanging="12"/>
              <w:jc w:val="left"/>
              <w:textAlignment w:val="baseline"/>
              <w:rPr>
                <w:rFonts w:eastAsia="Times New Roman"/>
              </w:rPr>
            </w:pPr>
            <w:r w:rsidRPr="00900FAA">
              <w:rPr>
                <w:rFonts w:eastAsia="Times New Roman"/>
                <w:sz w:val="22"/>
                <w:szCs w:val="22"/>
              </w:rPr>
              <w:sym w:font="Symbol" w:char="F02D"/>
            </w:r>
            <w:r>
              <w:rPr>
                <w:rFonts w:eastAsia="Times New Roman"/>
                <w:sz w:val="22"/>
                <w:szCs w:val="22"/>
              </w:rPr>
              <w:t>3</w:t>
            </w:r>
            <w:r w:rsidRPr="00900FAA">
              <w:rPr>
                <w:rFonts w:eastAsia="Times New Roman"/>
                <w:sz w:val="22"/>
                <w:szCs w:val="22"/>
              </w:rPr>
              <w:t>.</w:t>
            </w:r>
            <w:r>
              <w:rPr>
                <w:rFonts w:eastAsia="Times New Roman"/>
                <w:sz w:val="22"/>
                <w:szCs w:val="22"/>
              </w:rPr>
              <w:t>40</w:t>
            </w:r>
          </w:p>
        </w:tc>
        <w:tc>
          <w:tcPr>
            <w:tcW w:w="1252"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5</w:t>
            </w:r>
            <w:r w:rsidRPr="00167342">
              <w:rPr>
                <w:rFonts w:eastAsia="Times New Roman"/>
                <w:sz w:val="22"/>
                <w:szCs w:val="22"/>
              </w:rPr>
              <w:t>.</w:t>
            </w:r>
            <w:r>
              <w:rPr>
                <w:rFonts w:eastAsia="Times New Roman"/>
                <w:sz w:val="22"/>
                <w:szCs w:val="22"/>
              </w:rPr>
              <w:t>60</w:t>
            </w:r>
          </w:p>
        </w:tc>
        <w:tc>
          <w:tcPr>
            <w:tcW w:w="1134" w:type="dxa"/>
          </w:tcPr>
          <w:p w:rsidR="00CF0727" w:rsidRPr="00167342" w:rsidRDefault="00CF0727" w:rsidP="000A009C">
            <w:pPr>
              <w:widowControl w:val="0"/>
              <w:tabs>
                <w:tab w:val="decimal" w:pos="384"/>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7</w:t>
            </w:r>
            <w:r w:rsidRPr="00167342">
              <w:rPr>
                <w:rFonts w:eastAsia="Times New Roman"/>
                <w:sz w:val="22"/>
                <w:szCs w:val="22"/>
              </w:rPr>
              <w:t>.</w:t>
            </w:r>
            <w:r>
              <w:rPr>
                <w:rFonts w:eastAsia="Times New Roman"/>
                <w:sz w:val="22"/>
                <w:szCs w:val="22"/>
              </w:rPr>
              <w:t>45</w:t>
            </w:r>
          </w:p>
        </w:tc>
        <w:tc>
          <w:tcPr>
            <w:tcW w:w="1275" w:type="dxa"/>
          </w:tcPr>
          <w:p w:rsidR="00CF0727" w:rsidRPr="00167342" w:rsidRDefault="00CF0727" w:rsidP="000A009C">
            <w:pPr>
              <w:widowControl w:val="0"/>
              <w:tabs>
                <w:tab w:val="decimal" w:pos="525"/>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9</w:t>
            </w:r>
            <w:r w:rsidRPr="00167342">
              <w:rPr>
                <w:rFonts w:eastAsia="Times New Roman"/>
                <w:sz w:val="22"/>
                <w:szCs w:val="22"/>
              </w:rPr>
              <w:t>.</w:t>
            </w:r>
            <w:r>
              <w:rPr>
                <w:rFonts w:eastAsia="Times New Roman"/>
                <w:sz w:val="22"/>
                <w:szCs w:val="22"/>
              </w:rPr>
              <w:t>01</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Etelä-Savo</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4</w:t>
            </w:r>
            <w:r w:rsidRPr="00167342">
              <w:rPr>
                <w:rFonts w:eastAsia="Times New Roman"/>
                <w:sz w:val="22"/>
                <w:szCs w:val="22"/>
              </w:rPr>
              <w:t>.</w:t>
            </w:r>
            <w:r>
              <w:rPr>
                <w:rFonts w:eastAsia="Times New Roman"/>
                <w:sz w:val="22"/>
                <w:szCs w:val="22"/>
              </w:rPr>
              <w:t>79</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2</w:t>
            </w:r>
            <w:r w:rsidRPr="00167342">
              <w:rPr>
                <w:rFonts w:eastAsia="Times New Roman"/>
                <w:sz w:val="22"/>
                <w:szCs w:val="22"/>
              </w:rPr>
              <w:t>.</w:t>
            </w:r>
            <w:r>
              <w:rPr>
                <w:rFonts w:eastAsia="Times New Roman"/>
                <w:sz w:val="22"/>
                <w:szCs w:val="22"/>
              </w:rPr>
              <w:t>01</w:t>
            </w:r>
          </w:p>
        </w:tc>
        <w:tc>
          <w:tcPr>
            <w:tcW w:w="1206" w:type="dxa"/>
            <w:vAlign w:val="bottom"/>
          </w:tcPr>
          <w:p w:rsidR="00CF0727" w:rsidRPr="00167342" w:rsidRDefault="00CF0727" w:rsidP="000A009C">
            <w:pPr>
              <w:widowControl w:val="0"/>
              <w:tabs>
                <w:tab w:val="decimal" w:pos="432"/>
              </w:tabs>
              <w:adjustRightInd w:val="0"/>
              <w:spacing w:before="36" w:after="36"/>
              <w:ind w:left="-102" w:right="-108" w:hanging="11"/>
              <w:jc w:val="left"/>
              <w:textAlignment w:val="baseline"/>
              <w:rPr>
                <w:rFonts w:eastAsia="Times New Roman"/>
              </w:rPr>
            </w:pPr>
            <w:r w:rsidRPr="00167342">
              <w:rPr>
                <w:rFonts w:eastAsia="Times New Roman"/>
                <w:b/>
                <w:sz w:val="22"/>
                <w:szCs w:val="22"/>
              </w:rPr>
              <w:sym w:font="Symbol" w:char="F02D"/>
            </w:r>
            <w:r>
              <w:rPr>
                <w:rFonts w:eastAsia="Times New Roman"/>
                <w:b/>
                <w:sz w:val="22"/>
                <w:szCs w:val="22"/>
              </w:rPr>
              <w:t>0</w:t>
            </w:r>
            <w:r w:rsidRPr="00167342">
              <w:rPr>
                <w:rFonts w:eastAsia="Times New Roman"/>
                <w:b/>
                <w:sz w:val="22"/>
                <w:szCs w:val="22"/>
              </w:rPr>
              <w:t>.</w:t>
            </w:r>
            <w:r>
              <w:rPr>
                <w:rFonts w:eastAsia="Times New Roman"/>
                <w:b/>
                <w:sz w:val="22"/>
                <w:szCs w:val="22"/>
              </w:rPr>
              <w:t>34</w:t>
            </w:r>
          </w:p>
        </w:tc>
        <w:tc>
          <w:tcPr>
            <w:tcW w:w="1252" w:type="dxa"/>
          </w:tcPr>
          <w:p w:rsidR="00CF0727" w:rsidRPr="00900FAA" w:rsidRDefault="00CF0727" w:rsidP="000A009C">
            <w:pPr>
              <w:widowControl w:val="0"/>
              <w:tabs>
                <w:tab w:val="decimal" w:pos="492"/>
              </w:tabs>
              <w:adjustRightInd w:val="0"/>
              <w:spacing w:before="36" w:after="36"/>
              <w:ind w:left="-114" w:right="-108"/>
              <w:jc w:val="left"/>
              <w:textAlignment w:val="baseline"/>
              <w:rPr>
                <w:rFonts w:eastAsia="Times New Roman"/>
              </w:rPr>
            </w:pPr>
            <w:r w:rsidRPr="00900FAA">
              <w:rPr>
                <w:rFonts w:eastAsia="Times New Roman"/>
                <w:sz w:val="22"/>
                <w:szCs w:val="22"/>
              </w:rPr>
              <w:sym w:font="Symbol" w:char="F02D"/>
            </w:r>
            <w:r>
              <w:rPr>
                <w:rFonts w:eastAsia="Times New Roman"/>
                <w:sz w:val="22"/>
                <w:szCs w:val="22"/>
              </w:rPr>
              <w:t>2</w:t>
            </w:r>
            <w:r w:rsidRPr="00900FAA">
              <w:rPr>
                <w:rFonts w:eastAsia="Times New Roman"/>
                <w:sz w:val="22"/>
                <w:szCs w:val="22"/>
              </w:rPr>
              <w:t>.</w:t>
            </w:r>
            <w:r>
              <w:rPr>
                <w:rFonts w:eastAsia="Times New Roman"/>
                <w:sz w:val="22"/>
                <w:szCs w:val="22"/>
              </w:rPr>
              <w:t>42</w:t>
            </w:r>
          </w:p>
        </w:tc>
        <w:tc>
          <w:tcPr>
            <w:tcW w:w="1134" w:type="dxa"/>
          </w:tcPr>
          <w:p w:rsidR="00CF0727" w:rsidRPr="00900FAA" w:rsidRDefault="00CF0727" w:rsidP="000A009C">
            <w:pPr>
              <w:widowControl w:val="0"/>
              <w:tabs>
                <w:tab w:val="decimal" w:pos="384"/>
              </w:tabs>
              <w:adjustRightInd w:val="0"/>
              <w:spacing w:before="36" w:after="36"/>
              <w:ind w:left="-114" w:right="-108"/>
              <w:jc w:val="left"/>
              <w:textAlignment w:val="baseline"/>
              <w:rPr>
                <w:rFonts w:eastAsia="Times New Roman"/>
              </w:rPr>
            </w:pPr>
            <w:r w:rsidRPr="00900FAA">
              <w:rPr>
                <w:rFonts w:eastAsia="Times New Roman"/>
                <w:sz w:val="22"/>
                <w:szCs w:val="22"/>
              </w:rPr>
              <w:sym w:font="Symbol" w:char="F02D"/>
            </w:r>
            <w:r>
              <w:rPr>
                <w:rFonts w:eastAsia="Times New Roman"/>
                <w:sz w:val="22"/>
                <w:szCs w:val="22"/>
              </w:rPr>
              <w:t>4</w:t>
            </w:r>
            <w:r w:rsidRPr="00900FAA">
              <w:rPr>
                <w:rFonts w:eastAsia="Times New Roman"/>
                <w:sz w:val="22"/>
                <w:szCs w:val="22"/>
              </w:rPr>
              <w:t>.</w:t>
            </w:r>
            <w:r>
              <w:rPr>
                <w:rFonts w:eastAsia="Times New Roman"/>
                <w:sz w:val="22"/>
                <w:szCs w:val="22"/>
              </w:rPr>
              <w:t>20</w:t>
            </w:r>
          </w:p>
        </w:tc>
        <w:tc>
          <w:tcPr>
            <w:tcW w:w="1275" w:type="dxa"/>
          </w:tcPr>
          <w:p w:rsidR="00CF0727" w:rsidRPr="00900FAA" w:rsidRDefault="00CF0727" w:rsidP="000A009C">
            <w:pPr>
              <w:widowControl w:val="0"/>
              <w:tabs>
                <w:tab w:val="decimal" w:pos="525"/>
              </w:tabs>
              <w:adjustRightInd w:val="0"/>
              <w:spacing w:before="36" w:after="36"/>
              <w:ind w:left="-114" w:right="-108"/>
              <w:jc w:val="left"/>
              <w:textAlignment w:val="baseline"/>
              <w:rPr>
                <w:rFonts w:eastAsia="Times New Roman"/>
              </w:rPr>
            </w:pPr>
            <w:r w:rsidRPr="00900FAA">
              <w:rPr>
                <w:rFonts w:eastAsia="Times New Roman"/>
                <w:sz w:val="22"/>
                <w:szCs w:val="22"/>
              </w:rPr>
              <w:sym w:font="Symbol" w:char="F02D"/>
            </w:r>
            <w:r>
              <w:rPr>
                <w:rFonts w:eastAsia="Times New Roman"/>
                <w:sz w:val="22"/>
                <w:szCs w:val="22"/>
              </w:rPr>
              <w:t>5</w:t>
            </w:r>
            <w:r w:rsidRPr="00900FAA">
              <w:rPr>
                <w:rFonts w:eastAsia="Times New Roman"/>
                <w:sz w:val="22"/>
                <w:szCs w:val="22"/>
              </w:rPr>
              <w:t>.</w:t>
            </w:r>
            <w:r>
              <w:rPr>
                <w:rFonts w:eastAsia="Times New Roman"/>
                <w:sz w:val="22"/>
                <w:szCs w:val="22"/>
              </w:rPr>
              <w:t>76</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Itä-Uusimaa</w:t>
            </w:r>
          </w:p>
        </w:tc>
        <w:tc>
          <w:tcPr>
            <w:tcW w:w="1221" w:type="dxa"/>
          </w:tcPr>
          <w:p w:rsidR="00CF0727" w:rsidRPr="00167342" w:rsidRDefault="00CF0727" w:rsidP="000A009C">
            <w:pPr>
              <w:widowControl w:val="0"/>
              <w:tabs>
                <w:tab w:val="decimal" w:pos="399"/>
              </w:tabs>
              <w:adjustRightInd w:val="0"/>
              <w:spacing w:before="36" w:after="36"/>
              <w:ind w:left="-113" w:right="-108"/>
              <w:jc w:val="left"/>
              <w:textAlignment w:val="baseline"/>
              <w:rPr>
                <w:rFonts w:eastAsia="Times New Roman"/>
              </w:rPr>
            </w:pPr>
            <w:r w:rsidRPr="00167342">
              <w:rPr>
                <w:rFonts w:eastAsia="Times New Roman"/>
                <w:sz w:val="22"/>
                <w:szCs w:val="22"/>
              </w:rPr>
              <w:t>1</w:t>
            </w:r>
            <w:r>
              <w:rPr>
                <w:rFonts w:eastAsia="Times New Roman"/>
                <w:sz w:val="22"/>
                <w:szCs w:val="22"/>
              </w:rPr>
              <w:t>2</w:t>
            </w:r>
            <w:r w:rsidRPr="00167342">
              <w:rPr>
                <w:rFonts w:eastAsia="Times New Roman"/>
                <w:sz w:val="22"/>
                <w:szCs w:val="22"/>
              </w:rPr>
              <w:t>.</w:t>
            </w:r>
            <w:r>
              <w:rPr>
                <w:rFonts w:eastAsia="Times New Roman"/>
                <w:sz w:val="22"/>
                <w:szCs w:val="22"/>
              </w:rPr>
              <w:t>78</w:t>
            </w:r>
          </w:p>
        </w:tc>
        <w:tc>
          <w:tcPr>
            <w:tcW w:w="1221" w:type="dxa"/>
          </w:tcPr>
          <w:p w:rsidR="00CF0727" w:rsidRPr="00167342" w:rsidRDefault="00CF0727" w:rsidP="000A009C">
            <w:pPr>
              <w:widowControl w:val="0"/>
              <w:tabs>
                <w:tab w:val="decimal" w:pos="399"/>
              </w:tabs>
              <w:adjustRightInd w:val="0"/>
              <w:spacing w:before="36" w:after="36"/>
              <w:ind w:left="-113" w:right="-108"/>
              <w:jc w:val="left"/>
              <w:textAlignment w:val="baseline"/>
              <w:rPr>
                <w:rFonts w:eastAsia="Times New Roman"/>
              </w:rPr>
            </w:pPr>
            <w:r>
              <w:rPr>
                <w:rFonts w:eastAsia="Times New Roman"/>
                <w:sz w:val="22"/>
                <w:szCs w:val="22"/>
              </w:rPr>
              <w:t>9</w:t>
            </w:r>
            <w:r w:rsidRPr="00167342">
              <w:rPr>
                <w:rFonts w:eastAsia="Times New Roman"/>
                <w:sz w:val="22"/>
                <w:szCs w:val="22"/>
              </w:rPr>
              <w:t>.</w:t>
            </w:r>
            <w:r>
              <w:rPr>
                <w:rFonts w:eastAsia="Times New Roman"/>
                <w:sz w:val="22"/>
                <w:szCs w:val="22"/>
              </w:rPr>
              <w:t>81</w:t>
            </w:r>
          </w:p>
        </w:tc>
        <w:tc>
          <w:tcPr>
            <w:tcW w:w="1206" w:type="dxa"/>
            <w:vAlign w:val="bottom"/>
          </w:tcPr>
          <w:p w:rsidR="00CF0727" w:rsidRPr="00167342" w:rsidRDefault="00CF0727" w:rsidP="000A009C">
            <w:pPr>
              <w:widowControl w:val="0"/>
              <w:tabs>
                <w:tab w:val="decimal" w:pos="432"/>
              </w:tabs>
              <w:adjustRightInd w:val="0"/>
              <w:spacing w:before="36" w:after="36"/>
              <w:ind w:left="-102" w:right="-108" w:hanging="11"/>
              <w:jc w:val="left"/>
              <w:textAlignment w:val="baseline"/>
              <w:rPr>
                <w:rFonts w:eastAsia="Times New Roman"/>
              </w:rPr>
            </w:pPr>
            <w:r>
              <w:rPr>
                <w:rFonts w:eastAsia="Times New Roman"/>
                <w:sz w:val="22"/>
                <w:szCs w:val="22"/>
              </w:rPr>
              <w:t>6</w:t>
            </w:r>
            <w:r w:rsidRPr="00167342">
              <w:rPr>
                <w:rFonts w:eastAsia="Times New Roman"/>
                <w:sz w:val="22"/>
                <w:szCs w:val="22"/>
              </w:rPr>
              <w:t>.</w:t>
            </w:r>
            <w:r>
              <w:rPr>
                <w:rFonts w:eastAsia="Times New Roman"/>
                <w:sz w:val="22"/>
                <w:szCs w:val="22"/>
              </w:rPr>
              <w:t>97</w:t>
            </w:r>
          </w:p>
        </w:tc>
        <w:tc>
          <w:tcPr>
            <w:tcW w:w="1252" w:type="dxa"/>
          </w:tcPr>
          <w:p w:rsidR="00CF0727" w:rsidRPr="00603CC4" w:rsidRDefault="00CF0727" w:rsidP="000A009C">
            <w:pPr>
              <w:widowControl w:val="0"/>
              <w:tabs>
                <w:tab w:val="decimal" w:pos="492"/>
              </w:tabs>
              <w:adjustRightInd w:val="0"/>
              <w:spacing w:before="36" w:after="36"/>
              <w:ind w:left="-114" w:right="-108"/>
              <w:jc w:val="left"/>
              <w:textAlignment w:val="baseline"/>
              <w:rPr>
                <w:rFonts w:eastAsia="Times New Roman"/>
              </w:rPr>
            </w:pPr>
            <w:r>
              <w:rPr>
                <w:rFonts w:eastAsia="Times New Roman"/>
                <w:sz w:val="22"/>
                <w:szCs w:val="22"/>
              </w:rPr>
              <w:t>4</w:t>
            </w:r>
            <w:r w:rsidRPr="00603CC4">
              <w:rPr>
                <w:rFonts w:eastAsia="Times New Roman"/>
                <w:sz w:val="22"/>
                <w:szCs w:val="22"/>
              </w:rPr>
              <w:t>.</w:t>
            </w:r>
            <w:r>
              <w:rPr>
                <w:rFonts w:eastAsia="Times New Roman"/>
                <w:sz w:val="22"/>
                <w:szCs w:val="22"/>
              </w:rPr>
              <w:t>56</w:t>
            </w:r>
          </w:p>
        </w:tc>
        <w:tc>
          <w:tcPr>
            <w:tcW w:w="1134" w:type="dxa"/>
          </w:tcPr>
          <w:p w:rsidR="00CF0727" w:rsidRPr="00603CC4" w:rsidRDefault="00CF0727" w:rsidP="000A009C">
            <w:pPr>
              <w:widowControl w:val="0"/>
              <w:tabs>
                <w:tab w:val="decimal" w:pos="384"/>
              </w:tabs>
              <w:adjustRightInd w:val="0"/>
              <w:spacing w:before="36" w:after="36"/>
              <w:ind w:left="-114" w:right="-108"/>
              <w:jc w:val="left"/>
              <w:textAlignment w:val="baseline"/>
              <w:rPr>
                <w:rFonts w:eastAsia="Times New Roman"/>
              </w:rPr>
            </w:pPr>
            <w:r>
              <w:rPr>
                <w:rFonts w:eastAsia="Times New Roman"/>
                <w:sz w:val="22"/>
                <w:szCs w:val="22"/>
              </w:rPr>
              <w:t>2</w:t>
            </w:r>
            <w:r w:rsidRPr="00603CC4">
              <w:rPr>
                <w:rFonts w:eastAsia="Times New Roman"/>
                <w:sz w:val="22"/>
                <w:szCs w:val="22"/>
              </w:rPr>
              <w:t>.</w:t>
            </w:r>
            <w:r>
              <w:rPr>
                <w:rFonts w:eastAsia="Times New Roman"/>
                <w:sz w:val="22"/>
                <w:szCs w:val="22"/>
              </w:rPr>
              <w:t>38</w:t>
            </w:r>
          </w:p>
        </w:tc>
        <w:tc>
          <w:tcPr>
            <w:tcW w:w="1275" w:type="dxa"/>
          </w:tcPr>
          <w:p w:rsidR="00CF0727" w:rsidRPr="00603CC4" w:rsidRDefault="00CF0727" w:rsidP="000A009C">
            <w:pPr>
              <w:widowControl w:val="0"/>
              <w:tabs>
                <w:tab w:val="decimal" w:pos="525"/>
              </w:tabs>
              <w:adjustRightInd w:val="0"/>
              <w:spacing w:before="36" w:after="36"/>
              <w:ind w:left="-114" w:right="-108"/>
              <w:jc w:val="left"/>
              <w:textAlignment w:val="baseline"/>
              <w:rPr>
                <w:rFonts w:eastAsia="Times New Roman"/>
                <w:b/>
              </w:rPr>
            </w:pPr>
            <w:r w:rsidRPr="00603CC4">
              <w:rPr>
                <w:rFonts w:eastAsia="Times New Roman"/>
                <w:b/>
                <w:sz w:val="22"/>
                <w:szCs w:val="22"/>
              </w:rPr>
              <w:t>0.44</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Pohjois-Karjala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5</w:t>
            </w:r>
            <w:r w:rsidRPr="00167342">
              <w:rPr>
                <w:rFonts w:eastAsia="Times New Roman"/>
                <w:sz w:val="22"/>
                <w:szCs w:val="22"/>
              </w:rPr>
              <w:t>.</w:t>
            </w:r>
            <w:r>
              <w:rPr>
                <w:rFonts w:eastAsia="Times New Roman"/>
                <w:sz w:val="22"/>
                <w:szCs w:val="22"/>
              </w:rPr>
              <w:t>94</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2</w:t>
            </w:r>
            <w:r w:rsidRPr="00167342">
              <w:rPr>
                <w:rFonts w:eastAsia="Times New Roman"/>
                <w:sz w:val="22"/>
                <w:szCs w:val="22"/>
              </w:rPr>
              <w:t>.</w:t>
            </w:r>
            <w:r>
              <w:rPr>
                <w:rFonts w:eastAsia="Times New Roman"/>
                <w:sz w:val="22"/>
                <w:szCs w:val="22"/>
              </w:rPr>
              <w:t>51</w:t>
            </w:r>
          </w:p>
        </w:tc>
        <w:tc>
          <w:tcPr>
            <w:tcW w:w="1206" w:type="dxa"/>
            <w:vAlign w:val="bottom"/>
          </w:tcPr>
          <w:p w:rsidR="00CF0727" w:rsidRPr="00E96004" w:rsidRDefault="00CF0727" w:rsidP="000A009C">
            <w:pPr>
              <w:widowControl w:val="0"/>
              <w:tabs>
                <w:tab w:val="decimal" w:pos="432"/>
              </w:tabs>
              <w:adjustRightInd w:val="0"/>
              <w:spacing w:before="36" w:after="36"/>
              <w:ind w:left="-102" w:right="-108" w:hanging="12"/>
              <w:jc w:val="left"/>
              <w:textAlignment w:val="baseline"/>
              <w:rPr>
                <w:rFonts w:eastAsia="Times New Roman"/>
                <w:b/>
              </w:rPr>
            </w:pPr>
            <w:r w:rsidRPr="000F0970">
              <w:rPr>
                <w:rFonts w:eastAsia="Times New Roman"/>
                <w:sz w:val="22"/>
                <w:szCs w:val="22"/>
              </w:rPr>
              <w:sym w:font="Symbol" w:char="F02D"/>
            </w:r>
            <w:r>
              <w:rPr>
                <w:rFonts w:eastAsia="Times New Roman"/>
                <w:b/>
                <w:sz w:val="22"/>
                <w:szCs w:val="22"/>
              </w:rPr>
              <w:t>0.47</w:t>
            </w:r>
          </w:p>
        </w:tc>
        <w:tc>
          <w:tcPr>
            <w:tcW w:w="1252" w:type="dxa"/>
          </w:tcPr>
          <w:p w:rsidR="00CF0727" w:rsidRPr="00E96004" w:rsidRDefault="00CF0727" w:rsidP="000A009C">
            <w:pPr>
              <w:widowControl w:val="0"/>
              <w:tabs>
                <w:tab w:val="decimal" w:pos="492"/>
              </w:tabs>
              <w:adjustRightInd w:val="0"/>
              <w:spacing w:before="36" w:after="36"/>
              <w:ind w:left="-114" w:right="-108"/>
              <w:jc w:val="left"/>
              <w:textAlignment w:val="baseline"/>
              <w:rPr>
                <w:rFonts w:eastAsia="Times New Roman"/>
              </w:rPr>
            </w:pPr>
            <w:r w:rsidRPr="00E96004">
              <w:rPr>
                <w:rFonts w:eastAsia="Times New Roman"/>
                <w:sz w:val="22"/>
                <w:szCs w:val="22"/>
              </w:rPr>
              <w:sym w:font="Symbol" w:char="F02D"/>
            </w:r>
            <w:r>
              <w:rPr>
                <w:rFonts w:eastAsia="Times New Roman"/>
                <w:sz w:val="22"/>
                <w:szCs w:val="22"/>
              </w:rPr>
              <w:t>3</w:t>
            </w:r>
            <w:r w:rsidRPr="00E96004">
              <w:rPr>
                <w:rFonts w:eastAsia="Times New Roman"/>
                <w:sz w:val="22"/>
                <w:szCs w:val="22"/>
              </w:rPr>
              <w:t>.</w:t>
            </w:r>
            <w:r>
              <w:rPr>
                <w:rFonts w:eastAsia="Times New Roman"/>
                <w:sz w:val="22"/>
                <w:szCs w:val="22"/>
              </w:rPr>
              <w:t>02</w:t>
            </w:r>
          </w:p>
        </w:tc>
        <w:tc>
          <w:tcPr>
            <w:tcW w:w="1134" w:type="dxa"/>
          </w:tcPr>
          <w:p w:rsidR="00CF0727" w:rsidRPr="00E96004" w:rsidRDefault="00CF0727" w:rsidP="000A009C">
            <w:pPr>
              <w:widowControl w:val="0"/>
              <w:tabs>
                <w:tab w:val="decimal" w:pos="384"/>
              </w:tabs>
              <w:adjustRightInd w:val="0"/>
              <w:spacing w:before="36" w:after="36"/>
              <w:ind w:left="-114" w:right="-108"/>
              <w:jc w:val="left"/>
              <w:textAlignment w:val="baseline"/>
              <w:rPr>
                <w:rFonts w:eastAsia="Times New Roman"/>
              </w:rPr>
            </w:pPr>
            <w:r w:rsidRPr="00E96004">
              <w:rPr>
                <w:rFonts w:eastAsia="Times New Roman"/>
                <w:sz w:val="22"/>
                <w:szCs w:val="22"/>
              </w:rPr>
              <w:sym w:font="Symbol" w:char="F02D"/>
            </w:r>
            <w:r>
              <w:rPr>
                <w:rFonts w:eastAsia="Times New Roman"/>
                <w:sz w:val="22"/>
                <w:szCs w:val="22"/>
              </w:rPr>
              <w:t>5</w:t>
            </w:r>
            <w:r w:rsidRPr="00E96004">
              <w:rPr>
                <w:rFonts w:eastAsia="Times New Roman"/>
                <w:sz w:val="22"/>
                <w:szCs w:val="22"/>
              </w:rPr>
              <w:t>.</w:t>
            </w:r>
            <w:r>
              <w:rPr>
                <w:rFonts w:eastAsia="Times New Roman"/>
                <w:sz w:val="22"/>
                <w:szCs w:val="22"/>
              </w:rPr>
              <w:t>23</w:t>
            </w:r>
          </w:p>
        </w:tc>
        <w:tc>
          <w:tcPr>
            <w:tcW w:w="1275" w:type="dxa"/>
          </w:tcPr>
          <w:p w:rsidR="00CF0727" w:rsidRPr="00E96004" w:rsidRDefault="00CF0727" w:rsidP="000A009C">
            <w:pPr>
              <w:widowControl w:val="0"/>
              <w:tabs>
                <w:tab w:val="decimal" w:pos="525"/>
              </w:tabs>
              <w:adjustRightInd w:val="0"/>
              <w:spacing w:before="36" w:after="36"/>
              <w:ind w:left="-114" w:right="-108"/>
              <w:jc w:val="left"/>
              <w:textAlignment w:val="baseline"/>
              <w:rPr>
                <w:rFonts w:eastAsia="Times New Roman"/>
              </w:rPr>
            </w:pPr>
            <w:r w:rsidRPr="00E96004">
              <w:rPr>
                <w:rFonts w:eastAsia="Times New Roman"/>
                <w:sz w:val="22"/>
                <w:szCs w:val="22"/>
              </w:rPr>
              <w:sym w:font="Symbol" w:char="F02D"/>
            </w:r>
            <w:r>
              <w:rPr>
                <w:rFonts w:eastAsia="Times New Roman"/>
                <w:sz w:val="22"/>
                <w:szCs w:val="22"/>
              </w:rPr>
              <w:t>7</w:t>
            </w:r>
            <w:r w:rsidRPr="00E96004">
              <w:rPr>
                <w:rFonts w:eastAsia="Times New Roman"/>
                <w:sz w:val="22"/>
                <w:szCs w:val="22"/>
              </w:rPr>
              <w:t>.</w:t>
            </w:r>
            <w:r>
              <w:rPr>
                <w:rFonts w:eastAsia="Times New Roman"/>
                <w:sz w:val="22"/>
                <w:szCs w:val="22"/>
              </w:rPr>
              <w:t>15</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Etelä-Pohjanmaa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1</w:t>
            </w:r>
            <w:r w:rsidRPr="00167342">
              <w:rPr>
                <w:rFonts w:eastAsia="Times New Roman"/>
                <w:sz w:val="22"/>
                <w:szCs w:val="22"/>
              </w:rPr>
              <w:t>.</w:t>
            </w:r>
            <w:r>
              <w:rPr>
                <w:rFonts w:eastAsia="Times New Roman"/>
                <w:sz w:val="22"/>
                <w:szCs w:val="22"/>
              </w:rPr>
              <w:t>52</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sidRPr="00167342">
              <w:rPr>
                <w:rFonts w:eastAsia="Times New Roman"/>
                <w:b/>
                <w:sz w:val="22"/>
                <w:szCs w:val="22"/>
              </w:rPr>
              <w:sym w:font="Symbol" w:char="F02D"/>
            </w:r>
            <w:r w:rsidRPr="00167342">
              <w:rPr>
                <w:rFonts w:eastAsia="Times New Roman"/>
                <w:b/>
                <w:sz w:val="22"/>
                <w:szCs w:val="22"/>
              </w:rPr>
              <w:t>0.</w:t>
            </w:r>
            <w:r>
              <w:rPr>
                <w:rFonts w:eastAsia="Times New Roman"/>
                <w:b/>
                <w:sz w:val="22"/>
                <w:szCs w:val="22"/>
              </w:rPr>
              <w:t>98</w:t>
            </w:r>
          </w:p>
        </w:tc>
        <w:tc>
          <w:tcPr>
            <w:tcW w:w="1206" w:type="dxa"/>
            <w:vAlign w:val="bottom"/>
          </w:tcPr>
          <w:p w:rsidR="00CF0727" w:rsidRPr="000F0970" w:rsidRDefault="00CF0727" w:rsidP="000A009C">
            <w:pPr>
              <w:widowControl w:val="0"/>
              <w:tabs>
                <w:tab w:val="decimal" w:pos="432"/>
              </w:tabs>
              <w:adjustRightInd w:val="0"/>
              <w:spacing w:before="36" w:after="36"/>
              <w:ind w:left="-102" w:right="-108" w:hanging="12"/>
              <w:jc w:val="left"/>
              <w:textAlignment w:val="baseline"/>
              <w:rPr>
                <w:rFonts w:eastAsia="Times New Roman"/>
              </w:rPr>
            </w:pPr>
            <w:r w:rsidRPr="000F0970">
              <w:rPr>
                <w:rFonts w:eastAsia="Times New Roman"/>
                <w:sz w:val="22"/>
                <w:szCs w:val="22"/>
              </w:rPr>
              <w:sym w:font="Symbol" w:char="F02D"/>
            </w:r>
            <w:r>
              <w:rPr>
                <w:rFonts w:eastAsia="Times New Roman"/>
                <w:sz w:val="22"/>
                <w:szCs w:val="22"/>
              </w:rPr>
              <w:t>3</w:t>
            </w:r>
            <w:r w:rsidRPr="000F0970">
              <w:rPr>
                <w:rFonts w:eastAsia="Times New Roman"/>
                <w:sz w:val="22"/>
                <w:szCs w:val="22"/>
              </w:rPr>
              <w:t>.</w:t>
            </w:r>
            <w:r>
              <w:rPr>
                <w:rFonts w:eastAsia="Times New Roman"/>
                <w:sz w:val="22"/>
                <w:szCs w:val="22"/>
              </w:rPr>
              <w:t>13</w:t>
            </w:r>
          </w:p>
        </w:tc>
        <w:tc>
          <w:tcPr>
            <w:tcW w:w="1252"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4</w:t>
            </w:r>
            <w:r w:rsidRPr="00167342">
              <w:rPr>
                <w:rFonts w:eastAsia="Times New Roman"/>
                <w:sz w:val="22"/>
                <w:szCs w:val="22"/>
              </w:rPr>
              <w:t>.</w:t>
            </w:r>
            <w:r>
              <w:rPr>
                <w:rFonts w:eastAsia="Times New Roman"/>
                <w:sz w:val="22"/>
                <w:szCs w:val="22"/>
              </w:rPr>
              <w:t>96</w:t>
            </w:r>
          </w:p>
        </w:tc>
        <w:tc>
          <w:tcPr>
            <w:tcW w:w="1134" w:type="dxa"/>
          </w:tcPr>
          <w:p w:rsidR="00CF0727" w:rsidRPr="00167342" w:rsidRDefault="00CF0727" w:rsidP="000A009C">
            <w:pPr>
              <w:widowControl w:val="0"/>
              <w:tabs>
                <w:tab w:val="decimal" w:pos="384"/>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6</w:t>
            </w:r>
            <w:r w:rsidRPr="00167342">
              <w:rPr>
                <w:rFonts w:eastAsia="Times New Roman"/>
                <w:sz w:val="22"/>
                <w:szCs w:val="22"/>
              </w:rPr>
              <w:t>.</w:t>
            </w:r>
            <w:r>
              <w:rPr>
                <w:rFonts w:eastAsia="Times New Roman"/>
                <w:sz w:val="22"/>
                <w:szCs w:val="22"/>
              </w:rPr>
              <w:t>59</w:t>
            </w:r>
          </w:p>
        </w:tc>
        <w:tc>
          <w:tcPr>
            <w:tcW w:w="1275" w:type="dxa"/>
          </w:tcPr>
          <w:p w:rsidR="00CF0727" w:rsidRPr="00167342" w:rsidRDefault="00CF0727" w:rsidP="000A009C">
            <w:pPr>
              <w:widowControl w:val="0"/>
              <w:tabs>
                <w:tab w:val="decimal" w:pos="525"/>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8</w:t>
            </w:r>
            <w:r w:rsidRPr="00167342">
              <w:rPr>
                <w:rFonts w:eastAsia="Times New Roman"/>
                <w:sz w:val="22"/>
                <w:szCs w:val="22"/>
              </w:rPr>
              <w:t>.</w:t>
            </w:r>
            <w:r>
              <w:rPr>
                <w:rFonts w:eastAsia="Times New Roman"/>
                <w:sz w:val="22"/>
                <w:szCs w:val="22"/>
              </w:rPr>
              <w:t>12</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Kanta-Häme</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6</w:t>
            </w:r>
            <w:r w:rsidRPr="00167342">
              <w:rPr>
                <w:rFonts w:eastAsia="Times New Roman"/>
                <w:sz w:val="22"/>
                <w:szCs w:val="22"/>
              </w:rPr>
              <w:t>.</w:t>
            </w:r>
            <w:r>
              <w:rPr>
                <w:rFonts w:eastAsia="Times New Roman"/>
                <w:sz w:val="22"/>
                <w:szCs w:val="22"/>
              </w:rPr>
              <w:t>80</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sidRPr="00167342">
              <w:rPr>
                <w:rFonts w:eastAsia="Times New Roman"/>
                <w:sz w:val="22"/>
                <w:szCs w:val="22"/>
              </w:rPr>
              <w:t>3.</w:t>
            </w:r>
            <w:r>
              <w:rPr>
                <w:rFonts w:eastAsia="Times New Roman"/>
                <w:sz w:val="22"/>
                <w:szCs w:val="22"/>
              </w:rPr>
              <w:t>99</w:t>
            </w:r>
          </w:p>
        </w:tc>
        <w:tc>
          <w:tcPr>
            <w:tcW w:w="1206" w:type="dxa"/>
          </w:tcPr>
          <w:p w:rsidR="00CF0727" w:rsidRPr="00542C65" w:rsidRDefault="00CF0727" w:rsidP="000A009C">
            <w:pPr>
              <w:widowControl w:val="0"/>
              <w:tabs>
                <w:tab w:val="decimal" w:pos="432"/>
              </w:tabs>
              <w:adjustRightInd w:val="0"/>
              <w:spacing w:before="36" w:after="36"/>
              <w:ind w:left="-114" w:right="-108"/>
              <w:jc w:val="left"/>
              <w:textAlignment w:val="baseline"/>
              <w:rPr>
                <w:rFonts w:eastAsia="Times New Roman"/>
              </w:rPr>
            </w:pPr>
            <w:r w:rsidRPr="00542C65">
              <w:rPr>
                <w:rFonts w:eastAsia="Times New Roman"/>
                <w:sz w:val="22"/>
                <w:szCs w:val="22"/>
              </w:rPr>
              <w:t>1.49</w:t>
            </w:r>
          </w:p>
        </w:tc>
        <w:tc>
          <w:tcPr>
            <w:tcW w:w="1252" w:type="dxa"/>
          </w:tcPr>
          <w:p w:rsidR="00CF0727" w:rsidRPr="00244D99" w:rsidRDefault="00CF0727" w:rsidP="000A009C">
            <w:pPr>
              <w:widowControl w:val="0"/>
              <w:tabs>
                <w:tab w:val="decimal" w:pos="492"/>
              </w:tabs>
              <w:adjustRightInd w:val="0"/>
              <w:spacing w:before="36" w:after="36"/>
              <w:ind w:left="-114" w:right="-108"/>
              <w:jc w:val="left"/>
              <w:textAlignment w:val="baseline"/>
              <w:rPr>
                <w:rFonts w:eastAsia="Times New Roman"/>
                <w:b/>
              </w:rPr>
            </w:pPr>
            <w:r w:rsidRPr="00244D99">
              <w:rPr>
                <w:rFonts w:eastAsia="Times New Roman"/>
                <w:b/>
                <w:sz w:val="22"/>
                <w:szCs w:val="22"/>
              </w:rPr>
              <w:sym w:font="Symbol" w:char="F02D"/>
            </w:r>
            <w:r w:rsidRPr="00244D99">
              <w:rPr>
                <w:rFonts w:eastAsia="Times New Roman"/>
                <w:b/>
                <w:sz w:val="22"/>
                <w:szCs w:val="22"/>
              </w:rPr>
              <w:t>0.76</w:t>
            </w:r>
          </w:p>
        </w:tc>
        <w:tc>
          <w:tcPr>
            <w:tcW w:w="1134" w:type="dxa"/>
          </w:tcPr>
          <w:p w:rsidR="00CF0727" w:rsidRPr="00E34F1B" w:rsidRDefault="00CF0727" w:rsidP="000A009C">
            <w:pPr>
              <w:widowControl w:val="0"/>
              <w:tabs>
                <w:tab w:val="decimal" w:pos="384"/>
              </w:tabs>
              <w:adjustRightInd w:val="0"/>
              <w:spacing w:before="36" w:after="36"/>
              <w:ind w:left="-114" w:right="-108"/>
              <w:jc w:val="left"/>
              <w:textAlignment w:val="baseline"/>
              <w:rPr>
                <w:rFonts w:eastAsia="Times New Roman"/>
              </w:rPr>
            </w:pPr>
            <w:r w:rsidRPr="00E34F1B">
              <w:rPr>
                <w:rFonts w:eastAsia="Times New Roman"/>
                <w:sz w:val="22"/>
                <w:szCs w:val="22"/>
              </w:rPr>
              <w:sym w:font="Symbol" w:char="F02D"/>
            </w:r>
            <w:r>
              <w:rPr>
                <w:rFonts w:eastAsia="Times New Roman"/>
                <w:sz w:val="22"/>
                <w:szCs w:val="22"/>
              </w:rPr>
              <w:t>3</w:t>
            </w:r>
            <w:r w:rsidRPr="00E34F1B">
              <w:rPr>
                <w:rFonts w:eastAsia="Times New Roman"/>
                <w:sz w:val="22"/>
                <w:szCs w:val="22"/>
              </w:rPr>
              <w:t>.</w:t>
            </w:r>
            <w:r>
              <w:rPr>
                <w:rFonts w:eastAsia="Times New Roman"/>
                <w:sz w:val="22"/>
                <w:szCs w:val="22"/>
              </w:rPr>
              <w:t>18</w:t>
            </w:r>
          </w:p>
        </w:tc>
        <w:tc>
          <w:tcPr>
            <w:tcW w:w="1275" w:type="dxa"/>
          </w:tcPr>
          <w:p w:rsidR="00CF0727" w:rsidRPr="00E34F1B" w:rsidRDefault="00CF0727" w:rsidP="000A009C">
            <w:pPr>
              <w:widowControl w:val="0"/>
              <w:tabs>
                <w:tab w:val="decimal" w:pos="525"/>
              </w:tabs>
              <w:adjustRightInd w:val="0"/>
              <w:spacing w:before="36" w:after="36"/>
              <w:ind w:left="-114" w:right="-108"/>
              <w:jc w:val="left"/>
              <w:textAlignment w:val="baseline"/>
              <w:rPr>
                <w:rFonts w:eastAsia="Times New Roman"/>
              </w:rPr>
            </w:pPr>
            <w:r w:rsidRPr="00E34F1B">
              <w:rPr>
                <w:rFonts w:eastAsia="Times New Roman"/>
                <w:sz w:val="22"/>
                <w:szCs w:val="22"/>
              </w:rPr>
              <w:sym w:font="Symbol" w:char="F02D"/>
            </w:r>
            <w:r>
              <w:rPr>
                <w:rFonts w:eastAsia="Times New Roman"/>
                <w:sz w:val="22"/>
                <w:szCs w:val="22"/>
              </w:rPr>
              <w:t>5</w:t>
            </w:r>
            <w:r w:rsidRPr="00E34F1B">
              <w:rPr>
                <w:rFonts w:eastAsia="Times New Roman"/>
                <w:sz w:val="22"/>
                <w:szCs w:val="22"/>
              </w:rPr>
              <w:t>.</w:t>
            </w:r>
            <w:r>
              <w:rPr>
                <w:rFonts w:eastAsia="Times New Roman"/>
                <w:sz w:val="22"/>
                <w:szCs w:val="22"/>
              </w:rPr>
              <w:t>32</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Etelä-Karjala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5</w:t>
            </w:r>
            <w:r w:rsidRPr="00167342">
              <w:rPr>
                <w:rFonts w:eastAsia="Times New Roman"/>
                <w:sz w:val="22"/>
                <w:szCs w:val="22"/>
              </w:rPr>
              <w:t>.</w:t>
            </w:r>
            <w:r>
              <w:rPr>
                <w:rFonts w:eastAsia="Times New Roman"/>
                <w:sz w:val="22"/>
                <w:szCs w:val="22"/>
              </w:rPr>
              <w:t>72</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2</w:t>
            </w:r>
            <w:r w:rsidRPr="00167342">
              <w:rPr>
                <w:rFonts w:eastAsia="Times New Roman"/>
                <w:sz w:val="22"/>
                <w:szCs w:val="22"/>
              </w:rPr>
              <w:t>.</w:t>
            </w:r>
            <w:r>
              <w:rPr>
                <w:rFonts w:eastAsia="Times New Roman"/>
                <w:sz w:val="22"/>
                <w:szCs w:val="22"/>
              </w:rPr>
              <w:t>95</w:t>
            </w:r>
          </w:p>
        </w:tc>
        <w:tc>
          <w:tcPr>
            <w:tcW w:w="1206" w:type="dxa"/>
            <w:vAlign w:val="bottom"/>
          </w:tcPr>
          <w:p w:rsidR="00CF0727" w:rsidRPr="00167342" w:rsidRDefault="00CF0727" w:rsidP="000A009C">
            <w:pPr>
              <w:widowControl w:val="0"/>
              <w:tabs>
                <w:tab w:val="decimal" w:pos="432"/>
              </w:tabs>
              <w:adjustRightInd w:val="0"/>
              <w:spacing w:before="36" w:after="36"/>
              <w:ind w:left="-102" w:right="-108" w:hanging="12"/>
              <w:jc w:val="left"/>
              <w:textAlignment w:val="baseline"/>
              <w:rPr>
                <w:rFonts w:eastAsia="Times New Roman"/>
                <w:b/>
              </w:rPr>
            </w:pPr>
            <w:r>
              <w:rPr>
                <w:rFonts w:eastAsia="Times New Roman"/>
                <w:b/>
                <w:sz w:val="22"/>
                <w:szCs w:val="22"/>
              </w:rPr>
              <w:t>0</w:t>
            </w:r>
            <w:r w:rsidRPr="00167342">
              <w:rPr>
                <w:rFonts w:eastAsia="Times New Roman"/>
                <w:b/>
                <w:sz w:val="22"/>
                <w:szCs w:val="22"/>
              </w:rPr>
              <w:t>.</w:t>
            </w:r>
            <w:r>
              <w:rPr>
                <w:rFonts w:eastAsia="Times New Roman"/>
                <w:b/>
                <w:sz w:val="22"/>
                <w:szCs w:val="22"/>
              </w:rPr>
              <w:t>43</w:t>
            </w:r>
          </w:p>
        </w:tc>
        <w:tc>
          <w:tcPr>
            <w:tcW w:w="1252"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1</w:t>
            </w:r>
            <w:r w:rsidRPr="00167342">
              <w:rPr>
                <w:rFonts w:eastAsia="Times New Roman"/>
                <w:sz w:val="22"/>
                <w:szCs w:val="22"/>
              </w:rPr>
              <w:t>.</w:t>
            </w:r>
            <w:r>
              <w:rPr>
                <w:rFonts w:eastAsia="Times New Roman"/>
                <w:sz w:val="22"/>
                <w:szCs w:val="22"/>
              </w:rPr>
              <w:t>79</w:t>
            </w:r>
          </w:p>
        </w:tc>
        <w:tc>
          <w:tcPr>
            <w:tcW w:w="1134" w:type="dxa"/>
          </w:tcPr>
          <w:p w:rsidR="00CF0727" w:rsidRPr="00167342" w:rsidRDefault="00CF0727" w:rsidP="000A009C">
            <w:pPr>
              <w:widowControl w:val="0"/>
              <w:tabs>
                <w:tab w:val="decimal" w:pos="384"/>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3</w:t>
            </w:r>
            <w:r w:rsidRPr="00167342">
              <w:rPr>
                <w:rFonts w:eastAsia="Times New Roman"/>
                <w:sz w:val="22"/>
                <w:szCs w:val="22"/>
              </w:rPr>
              <w:t>.</w:t>
            </w:r>
            <w:r>
              <w:rPr>
                <w:rFonts w:eastAsia="Times New Roman"/>
                <w:sz w:val="22"/>
                <w:szCs w:val="22"/>
              </w:rPr>
              <w:t>69</w:t>
            </w:r>
          </w:p>
        </w:tc>
        <w:tc>
          <w:tcPr>
            <w:tcW w:w="1275" w:type="dxa"/>
          </w:tcPr>
          <w:p w:rsidR="00CF0727" w:rsidRPr="00167342" w:rsidRDefault="00CF0727" w:rsidP="000A009C">
            <w:pPr>
              <w:widowControl w:val="0"/>
              <w:tabs>
                <w:tab w:val="decimal" w:pos="525"/>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5</w:t>
            </w:r>
            <w:r w:rsidRPr="00167342">
              <w:rPr>
                <w:rFonts w:eastAsia="Times New Roman"/>
                <w:sz w:val="22"/>
                <w:szCs w:val="22"/>
              </w:rPr>
              <w:t>.</w:t>
            </w:r>
            <w:r>
              <w:rPr>
                <w:rFonts w:eastAsia="Times New Roman"/>
                <w:sz w:val="22"/>
                <w:szCs w:val="22"/>
              </w:rPr>
              <w:t>31</w:t>
            </w:r>
          </w:p>
        </w:tc>
      </w:tr>
      <w:tr w:rsidR="00CF0727" w:rsidRPr="00167342" w:rsidTr="000A009C">
        <w:trPr>
          <w:trHeight w:val="279"/>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Päijät-Häme</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4</w:t>
            </w:r>
            <w:r w:rsidRPr="00167342">
              <w:rPr>
                <w:rFonts w:eastAsia="Times New Roman"/>
                <w:sz w:val="22"/>
                <w:szCs w:val="22"/>
              </w:rPr>
              <w:t>.</w:t>
            </w:r>
            <w:r>
              <w:rPr>
                <w:rFonts w:eastAsia="Times New Roman"/>
                <w:sz w:val="22"/>
                <w:szCs w:val="22"/>
              </w:rPr>
              <w:t>93</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2</w:t>
            </w:r>
            <w:r w:rsidRPr="00167342">
              <w:rPr>
                <w:rFonts w:eastAsia="Times New Roman"/>
                <w:sz w:val="22"/>
                <w:szCs w:val="22"/>
              </w:rPr>
              <w:t>.</w:t>
            </w:r>
            <w:r>
              <w:rPr>
                <w:rFonts w:eastAsia="Times New Roman"/>
                <w:sz w:val="22"/>
                <w:szCs w:val="22"/>
              </w:rPr>
              <w:t>06</w:t>
            </w:r>
          </w:p>
        </w:tc>
        <w:tc>
          <w:tcPr>
            <w:tcW w:w="1206" w:type="dxa"/>
          </w:tcPr>
          <w:p w:rsidR="00CF0727" w:rsidRPr="00167342" w:rsidRDefault="00CF0727" w:rsidP="000A009C">
            <w:pPr>
              <w:widowControl w:val="0"/>
              <w:tabs>
                <w:tab w:val="decimal" w:pos="432"/>
              </w:tabs>
              <w:adjustRightInd w:val="0"/>
              <w:spacing w:before="36" w:after="36"/>
              <w:ind w:left="-114" w:right="-108"/>
              <w:jc w:val="left"/>
              <w:textAlignment w:val="baseline"/>
              <w:rPr>
                <w:rFonts w:eastAsia="Times New Roman"/>
              </w:rPr>
            </w:pPr>
            <w:r w:rsidRPr="00167342">
              <w:rPr>
                <w:rFonts w:eastAsia="Times New Roman"/>
                <w:b/>
                <w:sz w:val="22"/>
                <w:szCs w:val="22"/>
              </w:rPr>
              <w:sym w:font="Symbol" w:char="F02D"/>
            </w:r>
            <w:r w:rsidRPr="00167342">
              <w:rPr>
                <w:rFonts w:eastAsia="Times New Roman"/>
                <w:b/>
                <w:sz w:val="22"/>
                <w:szCs w:val="22"/>
              </w:rPr>
              <w:t>0.</w:t>
            </w:r>
            <w:r>
              <w:rPr>
                <w:rFonts w:eastAsia="Times New Roman"/>
                <w:b/>
                <w:sz w:val="22"/>
                <w:szCs w:val="22"/>
              </w:rPr>
              <w:t>45</w:t>
            </w:r>
          </w:p>
        </w:tc>
        <w:tc>
          <w:tcPr>
            <w:tcW w:w="1252"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2</w:t>
            </w:r>
            <w:r w:rsidRPr="00167342">
              <w:rPr>
                <w:rFonts w:eastAsia="Times New Roman"/>
                <w:sz w:val="22"/>
                <w:szCs w:val="22"/>
              </w:rPr>
              <w:t>.</w:t>
            </w:r>
            <w:r>
              <w:rPr>
                <w:rFonts w:eastAsia="Times New Roman"/>
                <w:sz w:val="22"/>
                <w:szCs w:val="22"/>
              </w:rPr>
              <w:t>75</w:t>
            </w:r>
          </w:p>
        </w:tc>
        <w:tc>
          <w:tcPr>
            <w:tcW w:w="1134" w:type="dxa"/>
          </w:tcPr>
          <w:p w:rsidR="00CF0727" w:rsidRPr="00167342" w:rsidRDefault="00CF0727" w:rsidP="000A009C">
            <w:pPr>
              <w:widowControl w:val="0"/>
              <w:tabs>
                <w:tab w:val="decimal" w:pos="384"/>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4</w:t>
            </w:r>
            <w:r w:rsidRPr="00167342">
              <w:rPr>
                <w:rFonts w:eastAsia="Times New Roman"/>
                <w:sz w:val="22"/>
                <w:szCs w:val="22"/>
              </w:rPr>
              <w:t>.</w:t>
            </w:r>
            <w:r>
              <w:rPr>
                <w:rFonts w:eastAsia="Times New Roman"/>
                <w:sz w:val="22"/>
                <w:szCs w:val="22"/>
              </w:rPr>
              <w:t>81</w:t>
            </w:r>
          </w:p>
        </w:tc>
        <w:tc>
          <w:tcPr>
            <w:tcW w:w="1275" w:type="dxa"/>
          </w:tcPr>
          <w:p w:rsidR="00CF0727" w:rsidRPr="00167342" w:rsidRDefault="00CF0727" w:rsidP="000A009C">
            <w:pPr>
              <w:widowControl w:val="0"/>
              <w:tabs>
                <w:tab w:val="decimal" w:pos="525"/>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6</w:t>
            </w:r>
            <w:r w:rsidRPr="00167342">
              <w:rPr>
                <w:rFonts w:eastAsia="Times New Roman"/>
                <w:sz w:val="22"/>
                <w:szCs w:val="22"/>
              </w:rPr>
              <w:t>.</w:t>
            </w:r>
            <w:r>
              <w:rPr>
                <w:rFonts w:eastAsia="Times New Roman"/>
                <w:sz w:val="22"/>
                <w:szCs w:val="22"/>
              </w:rPr>
              <w:t>64</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Pohjanmaa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6</w:t>
            </w:r>
            <w:r w:rsidRPr="00167342">
              <w:rPr>
                <w:rFonts w:eastAsia="Times New Roman"/>
                <w:sz w:val="22"/>
                <w:szCs w:val="22"/>
              </w:rPr>
              <w:t>.</w:t>
            </w:r>
            <w:r>
              <w:rPr>
                <w:rFonts w:eastAsia="Times New Roman"/>
                <w:sz w:val="22"/>
                <w:szCs w:val="22"/>
              </w:rPr>
              <w:t>62</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2</w:t>
            </w:r>
            <w:r w:rsidRPr="00167342">
              <w:rPr>
                <w:rFonts w:eastAsia="Times New Roman"/>
                <w:sz w:val="22"/>
                <w:szCs w:val="22"/>
              </w:rPr>
              <w:t>.</w:t>
            </w:r>
            <w:r>
              <w:rPr>
                <w:rFonts w:eastAsia="Times New Roman"/>
                <w:sz w:val="22"/>
                <w:szCs w:val="22"/>
              </w:rPr>
              <w:t>85</w:t>
            </w:r>
          </w:p>
        </w:tc>
        <w:tc>
          <w:tcPr>
            <w:tcW w:w="1206" w:type="dxa"/>
          </w:tcPr>
          <w:p w:rsidR="00CF0727" w:rsidRPr="00167342" w:rsidRDefault="00CF0727" w:rsidP="000A009C">
            <w:pPr>
              <w:widowControl w:val="0"/>
              <w:tabs>
                <w:tab w:val="decimal" w:pos="432"/>
              </w:tabs>
              <w:adjustRightInd w:val="0"/>
              <w:spacing w:before="36" w:after="36"/>
              <w:ind w:left="-114" w:right="-108"/>
              <w:jc w:val="left"/>
              <w:textAlignment w:val="baseline"/>
              <w:rPr>
                <w:rFonts w:eastAsia="Times New Roman"/>
              </w:rPr>
            </w:pPr>
            <w:r w:rsidRPr="00167342">
              <w:rPr>
                <w:rFonts w:eastAsia="Times New Roman"/>
                <w:b/>
                <w:sz w:val="22"/>
                <w:szCs w:val="22"/>
              </w:rPr>
              <w:sym w:font="Symbol" w:char="F02D"/>
            </w:r>
            <w:r w:rsidRPr="00167342">
              <w:rPr>
                <w:rFonts w:eastAsia="Times New Roman"/>
                <w:b/>
                <w:sz w:val="22"/>
                <w:szCs w:val="22"/>
              </w:rPr>
              <w:t>0.</w:t>
            </w:r>
            <w:r>
              <w:rPr>
                <w:rFonts w:eastAsia="Times New Roman"/>
                <w:b/>
                <w:sz w:val="22"/>
                <w:szCs w:val="22"/>
              </w:rPr>
              <w:t>56</w:t>
            </w:r>
          </w:p>
        </w:tc>
        <w:tc>
          <w:tcPr>
            <w:tcW w:w="1252"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3</w:t>
            </w:r>
            <w:r w:rsidRPr="00167342">
              <w:rPr>
                <w:rFonts w:eastAsia="Times New Roman"/>
                <w:sz w:val="22"/>
                <w:szCs w:val="22"/>
              </w:rPr>
              <w:t>.</w:t>
            </w:r>
            <w:r>
              <w:rPr>
                <w:rFonts w:eastAsia="Times New Roman"/>
                <w:sz w:val="22"/>
                <w:szCs w:val="22"/>
              </w:rPr>
              <w:t>52</w:t>
            </w:r>
          </w:p>
        </w:tc>
        <w:tc>
          <w:tcPr>
            <w:tcW w:w="1134" w:type="dxa"/>
          </w:tcPr>
          <w:p w:rsidR="00CF0727" w:rsidRPr="00167342" w:rsidRDefault="00CF0727" w:rsidP="000A009C">
            <w:pPr>
              <w:widowControl w:val="0"/>
              <w:tabs>
                <w:tab w:val="decimal" w:pos="384"/>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6</w:t>
            </w:r>
            <w:r w:rsidRPr="00167342">
              <w:rPr>
                <w:rFonts w:eastAsia="Times New Roman"/>
                <w:sz w:val="22"/>
                <w:szCs w:val="22"/>
              </w:rPr>
              <w:t>.</w:t>
            </w:r>
            <w:r>
              <w:rPr>
                <w:rFonts w:eastAsia="Times New Roman"/>
                <w:sz w:val="22"/>
                <w:szCs w:val="22"/>
              </w:rPr>
              <w:t>08</w:t>
            </w:r>
          </w:p>
        </w:tc>
        <w:tc>
          <w:tcPr>
            <w:tcW w:w="1275" w:type="dxa"/>
          </w:tcPr>
          <w:p w:rsidR="00CF0727" w:rsidRPr="00167342" w:rsidRDefault="00CF0727" w:rsidP="000A009C">
            <w:pPr>
              <w:widowControl w:val="0"/>
              <w:tabs>
                <w:tab w:val="decimal" w:pos="525"/>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8</w:t>
            </w:r>
            <w:r w:rsidRPr="00167342">
              <w:rPr>
                <w:rFonts w:eastAsia="Times New Roman"/>
                <w:sz w:val="22"/>
                <w:szCs w:val="22"/>
              </w:rPr>
              <w:t>.</w:t>
            </w:r>
            <w:r>
              <w:rPr>
                <w:rFonts w:eastAsia="Times New Roman"/>
                <w:sz w:val="22"/>
                <w:szCs w:val="22"/>
              </w:rPr>
              <w:t>23</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Lappi</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2</w:t>
            </w:r>
            <w:r w:rsidRPr="00167342">
              <w:rPr>
                <w:rFonts w:eastAsia="Times New Roman"/>
                <w:sz w:val="22"/>
                <w:szCs w:val="22"/>
              </w:rPr>
              <w:t>.</w:t>
            </w:r>
            <w:r>
              <w:rPr>
                <w:rFonts w:eastAsia="Times New Roman"/>
                <w:sz w:val="22"/>
                <w:szCs w:val="22"/>
              </w:rPr>
              <w:t>59</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sidRPr="00167342">
              <w:rPr>
                <w:rFonts w:eastAsia="Times New Roman"/>
                <w:b/>
                <w:sz w:val="22"/>
                <w:szCs w:val="22"/>
              </w:rPr>
              <w:t>0.</w:t>
            </w:r>
            <w:r>
              <w:rPr>
                <w:rFonts w:eastAsia="Times New Roman"/>
                <w:b/>
                <w:sz w:val="22"/>
                <w:szCs w:val="22"/>
              </w:rPr>
              <w:t>38</w:t>
            </w:r>
          </w:p>
        </w:tc>
        <w:tc>
          <w:tcPr>
            <w:tcW w:w="1206" w:type="dxa"/>
            <w:vAlign w:val="bottom"/>
          </w:tcPr>
          <w:p w:rsidR="00CF0727" w:rsidRPr="000F0970" w:rsidRDefault="00CF0727" w:rsidP="000A009C">
            <w:pPr>
              <w:widowControl w:val="0"/>
              <w:tabs>
                <w:tab w:val="decimal" w:pos="432"/>
              </w:tabs>
              <w:adjustRightInd w:val="0"/>
              <w:spacing w:before="36" w:after="36"/>
              <w:ind w:left="-102" w:right="-108" w:hanging="12"/>
              <w:jc w:val="left"/>
              <w:textAlignment w:val="baseline"/>
              <w:rPr>
                <w:rFonts w:eastAsia="Times New Roman"/>
              </w:rPr>
            </w:pPr>
            <w:r w:rsidRPr="000F0970">
              <w:rPr>
                <w:rFonts w:eastAsia="Times New Roman"/>
                <w:sz w:val="22"/>
                <w:szCs w:val="22"/>
              </w:rPr>
              <w:sym w:font="Symbol" w:char="F02D"/>
            </w:r>
            <w:r>
              <w:rPr>
                <w:rFonts w:eastAsia="Times New Roman"/>
                <w:sz w:val="22"/>
                <w:szCs w:val="22"/>
              </w:rPr>
              <w:t>1</w:t>
            </w:r>
            <w:r w:rsidRPr="000F0970">
              <w:rPr>
                <w:rFonts w:eastAsia="Times New Roman"/>
                <w:sz w:val="22"/>
                <w:szCs w:val="22"/>
              </w:rPr>
              <w:t>.</w:t>
            </w:r>
            <w:r>
              <w:rPr>
                <w:rFonts w:eastAsia="Times New Roman"/>
                <w:sz w:val="22"/>
                <w:szCs w:val="22"/>
              </w:rPr>
              <w:t>59</w:t>
            </w:r>
          </w:p>
        </w:tc>
        <w:tc>
          <w:tcPr>
            <w:tcW w:w="1252"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3</w:t>
            </w:r>
            <w:r w:rsidRPr="00167342">
              <w:rPr>
                <w:rFonts w:eastAsia="Times New Roman"/>
                <w:sz w:val="22"/>
                <w:szCs w:val="22"/>
              </w:rPr>
              <w:t>.</w:t>
            </w:r>
            <w:r>
              <w:rPr>
                <w:rFonts w:eastAsia="Times New Roman"/>
                <w:sz w:val="22"/>
                <w:szCs w:val="22"/>
              </w:rPr>
              <w:t>64</w:t>
            </w:r>
          </w:p>
        </w:tc>
        <w:tc>
          <w:tcPr>
            <w:tcW w:w="1134" w:type="dxa"/>
          </w:tcPr>
          <w:p w:rsidR="00CF0727" w:rsidRPr="00167342" w:rsidRDefault="00CF0727" w:rsidP="000A009C">
            <w:pPr>
              <w:widowControl w:val="0"/>
              <w:tabs>
                <w:tab w:val="decimal" w:pos="384"/>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5</w:t>
            </w:r>
            <w:r w:rsidRPr="00167342">
              <w:rPr>
                <w:rFonts w:eastAsia="Times New Roman"/>
                <w:sz w:val="22"/>
                <w:szCs w:val="22"/>
              </w:rPr>
              <w:t>.</w:t>
            </w:r>
            <w:r>
              <w:rPr>
                <w:rFonts w:eastAsia="Times New Roman"/>
                <w:sz w:val="22"/>
                <w:szCs w:val="22"/>
              </w:rPr>
              <w:t>61</w:t>
            </w:r>
          </w:p>
        </w:tc>
        <w:tc>
          <w:tcPr>
            <w:tcW w:w="1275" w:type="dxa"/>
          </w:tcPr>
          <w:p w:rsidR="00CF0727" w:rsidRPr="00167342" w:rsidRDefault="00CF0727" w:rsidP="000A009C">
            <w:pPr>
              <w:widowControl w:val="0"/>
              <w:tabs>
                <w:tab w:val="decimal" w:pos="525"/>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7</w:t>
            </w:r>
            <w:r w:rsidRPr="00167342">
              <w:rPr>
                <w:rFonts w:eastAsia="Times New Roman"/>
                <w:sz w:val="22"/>
                <w:szCs w:val="22"/>
              </w:rPr>
              <w:t>.</w:t>
            </w:r>
            <w:r>
              <w:rPr>
                <w:rFonts w:eastAsia="Times New Roman"/>
                <w:sz w:val="22"/>
                <w:szCs w:val="22"/>
              </w:rPr>
              <w:t>39</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Pohjois-Savo</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6</w:t>
            </w:r>
            <w:r w:rsidRPr="00167342">
              <w:rPr>
                <w:rFonts w:eastAsia="Times New Roman"/>
                <w:sz w:val="22"/>
                <w:szCs w:val="22"/>
              </w:rPr>
              <w:t>.</w:t>
            </w:r>
            <w:r>
              <w:rPr>
                <w:rFonts w:eastAsia="Times New Roman"/>
                <w:sz w:val="22"/>
                <w:szCs w:val="22"/>
              </w:rPr>
              <w:t>11</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2</w:t>
            </w:r>
            <w:r w:rsidRPr="00167342">
              <w:rPr>
                <w:rFonts w:eastAsia="Times New Roman"/>
                <w:sz w:val="22"/>
                <w:szCs w:val="22"/>
              </w:rPr>
              <w:t>.</w:t>
            </w:r>
            <w:r>
              <w:rPr>
                <w:rFonts w:eastAsia="Times New Roman"/>
                <w:sz w:val="22"/>
                <w:szCs w:val="22"/>
              </w:rPr>
              <w:t>79</w:t>
            </w:r>
          </w:p>
        </w:tc>
        <w:tc>
          <w:tcPr>
            <w:tcW w:w="1206" w:type="dxa"/>
          </w:tcPr>
          <w:p w:rsidR="00CF0727" w:rsidRPr="00167342" w:rsidRDefault="00CF0727" w:rsidP="000A009C">
            <w:pPr>
              <w:widowControl w:val="0"/>
              <w:tabs>
                <w:tab w:val="decimal" w:pos="432"/>
              </w:tabs>
              <w:adjustRightInd w:val="0"/>
              <w:spacing w:before="36" w:after="36"/>
              <w:ind w:left="-114" w:right="-108"/>
              <w:jc w:val="left"/>
              <w:textAlignment w:val="baseline"/>
              <w:rPr>
                <w:rFonts w:eastAsia="Times New Roman"/>
              </w:rPr>
            </w:pPr>
            <w:r w:rsidRPr="00167342">
              <w:rPr>
                <w:rFonts w:eastAsia="Times New Roman"/>
                <w:b/>
                <w:sz w:val="22"/>
                <w:szCs w:val="22"/>
              </w:rPr>
              <w:sym w:font="Symbol" w:char="F02D"/>
            </w:r>
            <w:r w:rsidRPr="00167342">
              <w:rPr>
                <w:rFonts w:eastAsia="Times New Roman"/>
                <w:b/>
                <w:sz w:val="22"/>
                <w:szCs w:val="22"/>
              </w:rPr>
              <w:t>0.</w:t>
            </w:r>
            <w:r>
              <w:rPr>
                <w:rFonts w:eastAsia="Times New Roman"/>
                <w:b/>
                <w:sz w:val="22"/>
                <w:szCs w:val="22"/>
              </w:rPr>
              <w:t>45</w:t>
            </w:r>
          </w:p>
        </w:tc>
        <w:tc>
          <w:tcPr>
            <w:tcW w:w="1252"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3</w:t>
            </w:r>
            <w:r w:rsidRPr="00167342">
              <w:rPr>
                <w:rFonts w:eastAsia="Times New Roman"/>
                <w:sz w:val="22"/>
                <w:szCs w:val="22"/>
              </w:rPr>
              <w:t>.</w:t>
            </w:r>
            <w:r>
              <w:rPr>
                <w:rFonts w:eastAsia="Times New Roman"/>
                <w:sz w:val="22"/>
                <w:szCs w:val="22"/>
              </w:rPr>
              <w:t>38</w:t>
            </w:r>
          </w:p>
        </w:tc>
        <w:tc>
          <w:tcPr>
            <w:tcW w:w="1134" w:type="dxa"/>
          </w:tcPr>
          <w:p w:rsidR="00CF0727" w:rsidRPr="00167342" w:rsidRDefault="00CF0727" w:rsidP="000A009C">
            <w:pPr>
              <w:widowControl w:val="0"/>
              <w:tabs>
                <w:tab w:val="decimal" w:pos="384"/>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5</w:t>
            </w:r>
            <w:r w:rsidRPr="00167342">
              <w:rPr>
                <w:rFonts w:eastAsia="Times New Roman"/>
                <w:sz w:val="22"/>
                <w:szCs w:val="22"/>
              </w:rPr>
              <w:t>.</w:t>
            </w:r>
            <w:r>
              <w:rPr>
                <w:rFonts w:eastAsia="Times New Roman"/>
                <w:sz w:val="22"/>
                <w:szCs w:val="22"/>
              </w:rPr>
              <w:t>87</w:t>
            </w:r>
          </w:p>
        </w:tc>
        <w:tc>
          <w:tcPr>
            <w:tcW w:w="1275" w:type="dxa"/>
          </w:tcPr>
          <w:p w:rsidR="00CF0727" w:rsidRPr="00167342" w:rsidRDefault="00CF0727" w:rsidP="000A009C">
            <w:pPr>
              <w:widowControl w:val="0"/>
              <w:tabs>
                <w:tab w:val="decimal" w:pos="525"/>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8</w:t>
            </w:r>
            <w:r w:rsidRPr="00167342">
              <w:rPr>
                <w:rFonts w:eastAsia="Times New Roman"/>
                <w:sz w:val="22"/>
                <w:szCs w:val="22"/>
              </w:rPr>
              <w:t>.</w:t>
            </w:r>
            <w:r>
              <w:rPr>
                <w:rFonts w:eastAsia="Times New Roman"/>
                <w:sz w:val="22"/>
                <w:szCs w:val="22"/>
              </w:rPr>
              <w:t>05</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Kymenlaakso</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7</w:t>
            </w:r>
            <w:r w:rsidRPr="00167342">
              <w:rPr>
                <w:rFonts w:eastAsia="Times New Roman"/>
                <w:sz w:val="22"/>
                <w:szCs w:val="22"/>
              </w:rPr>
              <w:t>.</w:t>
            </w:r>
            <w:r>
              <w:rPr>
                <w:rFonts w:eastAsia="Times New Roman"/>
                <w:sz w:val="22"/>
                <w:szCs w:val="22"/>
              </w:rPr>
              <w:t>62</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4</w:t>
            </w:r>
            <w:r w:rsidRPr="00167342">
              <w:rPr>
                <w:rFonts w:eastAsia="Times New Roman"/>
                <w:sz w:val="22"/>
                <w:szCs w:val="22"/>
              </w:rPr>
              <w:t>.</w:t>
            </w:r>
            <w:r>
              <w:rPr>
                <w:rFonts w:eastAsia="Times New Roman"/>
                <w:sz w:val="22"/>
                <w:szCs w:val="22"/>
              </w:rPr>
              <w:t>98</w:t>
            </w:r>
          </w:p>
        </w:tc>
        <w:tc>
          <w:tcPr>
            <w:tcW w:w="1206" w:type="dxa"/>
            <w:vAlign w:val="bottom"/>
          </w:tcPr>
          <w:p w:rsidR="00CF0727" w:rsidRPr="00542C65" w:rsidRDefault="00CF0727" w:rsidP="000A009C">
            <w:pPr>
              <w:widowControl w:val="0"/>
              <w:tabs>
                <w:tab w:val="decimal" w:pos="432"/>
              </w:tabs>
              <w:adjustRightInd w:val="0"/>
              <w:spacing w:before="36" w:after="36"/>
              <w:ind w:left="-102" w:right="-108" w:hanging="12"/>
              <w:jc w:val="left"/>
              <w:textAlignment w:val="baseline"/>
              <w:rPr>
                <w:rFonts w:eastAsia="Times New Roman"/>
              </w:rPr>
            </w:pPr>
            <w:r>
              <w:rPr>
                <w:rFonts w:eastAsia="Times New Roman"/>
                <w:sz w:val="22"/>
                <w:szCs w:val="22"/>
              </w:rPr>
              <w:t>2</w:t>
            </w:r>
            <w:r w:rsidRPr="00542C65">
              <w:rPr>
                <w:rFonts w:eastAsia="Times New Roman"/>
                <w:sz w:val="22"/>
                <w:szCs w:val="22"/>
              </w:rPr>
              <w:t>.</w:t>
            </w:r>
            <w:r>
              <w:rPr>
                <w:rFonts w:eastAsia="Times New Roman"/>
                <w:sz w:val="22"/>
                <w:szCs w:val="22"/>
              </w:rPr>
              <w:t>47</w:t>
            </w:r>
          </w:p>
        </w:tc>
        <w:tc>
          <w:tcPr>
            <w:tcW w:w="1252" w:type="dxa"/>
          </w:tcPr>
          <w:p w:rsidR="00CF0727" w:rsidRPr="00244D99" w:rsidRDefault="00CF0727" w:rsidP="000A009C">
            <w:pPr>
              <w:widowControl w:val="0"/>
              <w:tabs>
                <w:tab w:val="decimal" w:pos="492"/>
              </w:tabs>
              <w:adjustRightInd w:val="0"/>
              <w:spacing w:before="36" w:after="36"/>
              <w:ind w:left="-114" w:right="-108"/>
              <w:jc w:val="left"/>
              <w:textAlignment w:val="baseline"/>
              <w:rPr>
                <w:rFonts w:eastAsia="Times New Roman"/>
                <w:b/>
              </w:rPr>
            </w:pPr>
            <w:r w:rsidRPr="00244D99">
              <w:rPr>
                <w:rFonts w:eastAsia="Times New Roman"/>
                <w:b/>
                <w:sz w:val="22"/>
                <w:szCs w:val="22"/>
              </w:rPr>
              <w:t>0.24</w:t>
            </w:r>
          </w:p>
        </w:tc>
        <w:tc>
          <w:tcPr>
            <w:tcW w:w="1134" w:type="dxa"/>
            <w:vAlign w:val="bottom"/>
          </w:tcPr>
          <w:p w:rsidR="00CF0727" w:rsidRPr="00167342" w:rsidRDefault="00CF0727" w:rsidP="000A009C">
            <w:pPr>
              <w:widowControl w:val="0"/>
              <w:tabs>
                <w:tab w:val="decimal" w:pos="384"/>
              </w:tabs>
              <w:adjustRightInd w:val="0"/>
              <w:spacing w:before="36" w:after="36"/>
              <w:ind w:left="-108" w:right="-103"/>
              <w:jc w:val="left"/>
              <w:textAlignment w:val="baseline"/>
              <w:rPr>
                <w:rFonts w:eastAsia="Times New Roman"/>
              </w:rPr>
            </w:pPr>
            <w:r w:rsidRPr="00167342">
              <w:rPr>
                <w:rFonts w:eastAsia="Times New Roman"/>
                <w:sz w:val="22"/>
                <w:szCs w:val="22"/>
              </w:rPr>
              <w:sym w:font="Symbol" w:char="F02D"/>
            </w:r>
            <w:r>
              <w:rPr>
                <w:rFonts w:eastAsia="Times New Roman"/>
                <w:sz w:val="22"/>
                <w:szCs w:val="22"/>
              </w:rPr>
              <w:t>1</w:t>
            </w:r>
            <w:r w:rsidRPr="00167342">
              <w:rPr>
                <w:rFonts w:eastAsia="Times New Roman"/>
                <w:sz w:val="22"/>
                <w:szCs w:val="22"/>
              </w:rPr>
              <w:t>.</w:t>
            </w:r>
            <w:r>
              <w:rPr>
                <w:rFonts w:eastAsia="Times New Roman"/>
                <w:sz w:val="22"/>
                <w:szCs w:val="22"/>
              </w:rPr>
              <w:t>74</w:t>
            </w:r>
          </w:p>
        </w:tc>
        <w:tc>
          <w:tcPr>
            <w:tcW w:w="1275" w:type="dxa"/>
          </w:tcPr>
          <w:p w:rsidR="00CF0727" w:rsidRPr="00167342" w:rsidRDefault="00CF0727" w:rsidP="000A009C">
            <w:pPr>
              <w:widowControl w:val="0"/>
              <w:tabs>
                <w:tab w:val="decimal" w:pos="525"/>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3</w:t>
            </w:r>
            <w:r w:rsidRPr="00167342">
              <w:rPr>
                <w:rFonts w:eastAsia="Times New Roman"/>
                <w:sz w:val="22"/>
                <w:szCs w:val="22"/>
              </w:rPr>
              <w:t>.</w:t>
            </w:r>
            <w:r>
              <w:rPr>
                <w:rFonts w:eastAsia="Times New Roman"/>
                <w:sz w:val="22"/>
                <w:szCs w:val="22"/>
              </w:rPr>
              <w:t>53</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Keski-Suomi</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6</w:t>
            </w:r>
            <w:r w:rsidRPr="00167342">
              <w:rPr>
                <w:rFonts w:eastAsia="Times New Roman"/>
                <w:sz w:val="22"/>
                <w:szCs w:val="22"/>
              </w:rPr>
              <w:t>.</w:t>
            </w:r>
            <w:r>
              <w:rPr>
                <w:rFonts w:eastAsia="Times New Roman"/>
                <w:sz w:val="22"/>
                <w:szCs w:val="22"/>
              </w:rPr>
              <w:t>17</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3</w:t>
            </w:r>
            <w:r w:rsidRPr="00167342">
              <w:rPr>
                <w:rFonts w:eastAsia="Times New Roman"/>
                <w:sz w:val="22"/>
                <w:szCs w:val="22"/>
              </w:rPr>
              <w:t>.</w:t>
            </w:r>
            <w:r>
              <w:rPr>
                <w:rFonts w:eastAsia="Times New Roman"/>
                <w:sz w:val="22"/>
                <w:szCs w:val="22"/>
              </w:rPr>
              <w:t>42</w:t>
            </w:r>
          </w:p>
        </w:tc>
        <w:tc>
          <w:tcPr>
            <w:tcW w:w="1206" w:type="dxa"/>
            <w:vAlign w:val="bottom"/>
          </w:tcPr>
          <w:p w:rsidR="00CF0727" w:rsidRPr="00E96004" w:rsidRDefault="00CF0727" w:rsidP="000A009C">
            <w:pPr>
              <w:widowControl w:val="0"/>
              <w:tabs>
                <w:tab w:val="decimal" w:pos="432"/>
              </w:tabs>
              <w:adjustRightInd w:val="0"/>
              <w:spacing w:before="36" w:after="36"/>
              <w:ind w:left="-102" w:right="-108" w:hanging="12"/>
              <w:jc w:val="left"/>
              <w:textAlignment w:val="baseline"/>
              <w:rPr>
                <w:rFonts w:eastAsia="Times New Roman"/>
                <w:b/>
              </w:rPr>
            </w:pPr>
            <w:r>
              <w:rPr>
                <w:rFonts w:eastAsia="Times New Roman"/>
                <w:b/>
                <w:sz w:val="22"/>
                <w:szCs w:val="22"/>
              </w:rPr>
              <w:t>1.02</w:t>
            </w:r>
          </w:p>
        </w:tc>
        <w:tc>
          <w:tcPr>
            <w:tcW w:w="1252" w:type="dxa"/>
          </w:tcPr>
          <w:p w:rsidR="00CF0727" w:rsidRPr="00E96004" w:rsidRDefault="00CF0727" w:rsidP="000A009C">
            <w:pPr>
              <w:widowControl w:val="0"/>
              <w:tabs>
                <w:tab w:val="decimal" w:pos="492"/>
              </w:tabs>
              <w:adjustRightInd w:val="0"/>
              <w:spacing w:before="36" w:after="36"/>
              <w:ind w:left="-114" w:right="-108"/>
              <w:jc w:val="left"/>
              <w:textAlignment w:val="baseline"/>
              <w:rPr>
                <w:rFonts w:eastAsia="Times New Roman"/>
              </w:rPr>
            </w:pPr>
            <w:r w:rsidRPr="00E96004">
              <w:rPr>
                <w:rFonts w:eastAsia="Times New Roman"/>
                <w:sz w:val="22"/>
                <w:szCs w:val="22"/>
              </w:rPr>
              <w:sym w:font="Symbol" w:char="F02D"/>
            </w:r>
            <w:r>
              <w:rPr>
                <w:rFonts w:eastAsia="Times New Roman"/>
                <w:sz w:val="22"/>
                <w:szCs w:val="22"/>
              </w:rPr>
              <w:t>1</w:t>
            </w:r>
            <w:r w:rsidRPr="00E96004">
              <w:rPr>
                <w:rFonts w:eastAsia="Times New Roman"/>
                <w:sz w:val="22"/>
                <w:szCs w:val="22"/>
              </w:rPr>
              <w:t>.</w:t>
            </w:r>
            <w:r>
              <w:rPr>
                <w:rFonts w:eastAsia="Times New Roman"/>
                <w:sz w:val="22"/>
                <w:szCs w:val="22"/>
              </w:rPr>
              <w:t>29</w:t>
            </w:r>
          </w:p>
        </w:tc>
        <w:tc>
          <w:tcPr>
            <w:tcW w:w="1134" w:type="dxa"/>
            <w:vAlign w:val="bottom"/>
          </w:tcPr>
          <w:p w:rsidR="00CF0727" w:rsidRPr="00167342" w:rsidRDefault="00CF0727" w:rsidP="000A009C">
            <w:pPr>
              <w:widowControl w:val="0"/>
              <w:tabs>
                <w:tab w:val="decimal" w:pos="384"/>
              </w:tabs>
              <w:adjustRightInd w:val="0"/>
              <w:spacing w:before="36" w:after="36"/>
              <w:ind w:left="-108" w:right="-103"/>
              <w:jc w:val="left"/>
              <w:textAlignment w:val="baseline"/>
              <w:rPr>
                <w:rFonts w:eastAsia="Times New Roman"/>
              </w:rPr>
            </w:pPr>
            <w:r w:rsidRPr="00167342">
              <w:rPr>
                <w:rFonts w:eastAsia="Times New Roman"/>
                <w:sz w:val="22"/>
                <w:szCs w:val="22"/>
              </w:rPr>
              <w:sym w:font="Symbol" w:char="F02D"/>
            </w:r>
            <w:r>
              <w:rPr>
                <w:rFonts w:eastAsia="Times New Roman"/>
                <w:sz w:val="22"/>
                <w:szCs w:val="22"/>
              </w:rPr>
              <w:t>3</w:t>
            </w:r>
            <w:r w:rsidRPr="00E96004">
              <w:rPr>
                <w:rFonts w:eastAsia="Times New Roman"/>
                <w:sz w:val="22"/>
                <w:szCs w:val="22"/>
              </w:rPr>
              <w:t>.</w:t>
            </w:r>
            <w:r>
              <w:rPr>
                <w:rFonts w:eastAsia="Times New Roman"/>
                <w:sz w:val="22"/>
                <w:szCs w:val="22"/>
              </w:rPr>
              <w:t>57</w:t>
            </w:r>
          </w:p>
        </w:tc>
        <w:tc>
          <w:tcPr>
            <w:tcW w:w="1275" w:type="dxa"/>
          </w:tcPr>
          <w:p w:rsidR="00CF0727" w:rsidRPr="00167342" w:rsidRDefault="00CF0727" w:rsidP="000A009C">
            <w:pPr>
              <w:widowControl w:val="0"/>
              <w:tabs>
                <w:tab w:val="decimal" w:pos="525"/>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5</w:t>
            </w:r>
            <w:r w:rsidRPr="00E96004">
              <w:rPr>
                <w:rFonts w:eastAsia="Times New Roman"/>
                <w:sz w:val="22"/>
                <w:szCs w:val="22"/>
              </w:rPr>
              <w:t>.</w:t>
            </w:r>
            <w:r>
              <w:rPr>
                <w:rFonts w:eastAsia="Times New Roman"/>
                <w:sz w:val="22"/>
                <w:szCs w:val="22"/>
              </w:rPr>
              <w:t>60</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Satakunta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sidRPr="00167342">
              <w:rPr>
                <w:rFonts w:eastAsia="Times New Roman"/>
                <w:sz w:val="22"/>
                <w:szCs w:val="22"/>
              </w:rPr>
              <w:t>1</w:t>
            </w:r>
            <w:r>
              <w:rPr>
                <w:rFonts w:eastAsia="Times New Roman"/>
                <w:sz w:val="22"/>
                <w:szCs w:val="22"/>
              </w:rPr>
              <w:t>0</w:t>
            </w:r>
            <w:r w:rsidRPr="00167342">
              <w:rPr>
                <w:rFonts w:eastAsia="Times New Roman"/>
                <w:sz w:val="22"/>
                <w:szCs w:val="22"/>
              </w:rPr>
              <w:t>.</w:t>
            </w:r>
            <w:r>
              <w:rPr>
                <w:rFonts w:eastAsia="Times New Roman"/>
                <w:sz w:val="22"/>
                <w:szCs w:val="22"/>
              </w:rPr>
              <w:t>30</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7</w:t>
            </w:r>
            <w:r w:rsidRPr="00167342">
              <w:rPr>
                <w:rFonts w:eastAsia="Times New Roman"/>
                <w:sz w:val="22"/>
                <w:szCs w:val="22"/>
              </w:rPr>
              <w:t>.</w:t>
            </w:r>
            <w:r>
              <w:rPr>
                <w:rFonts w:eastAsia="Times New Roman"/>
                <w:sz w:val="22"/>
                <w:szCs w:val="22"/>
              </w:rPr>
              <w:t>0</w:t>
            </w:r>
            <w:r w:rsidRPr="00167342">
              <w:rPr>
                <w:rFonts w:eastAsia="Times New Roman"/>
                <w:sz w:val="22"/>
                <w:szCs w:val="22"/>
              </w:rPr>
              <w:t>9</w:t>
            </w:r>
          </w:p>
        </w:tc>
        <w:tc>
          <w:tcPr>
            <w:tcW w:w="1206" w:type="dxa"/>
            <w:vAlign w:val="bottom"/>
          </w:tcPr>
          <w:p w:rsidR="00CF0727" w:rsidRPr="00167342" w:rsidRDefault="00CF0727" w:rsidP="000A009C">
            <w:pPr>
              <w:widowControl w:val="0"/>
              <w:tabs>
                <w:tab w:val="decimal" w:pos="432"/>
              </w:tabs>
              <w:adjustRightInd w:val="0"/>
              <w:spacing w:before="36" w:after="36"/>
              <w:ind w:left="-102" w:right="-108" w:hanging="12"/>
              <w:jc w:val="left"/>
              <w:textAlignment w:val="baseline"/>
              <w:rPr>
                <w:rFonts w:eastAsia="Times New Roman"/>
              </w:rPr>
            </w:pPr>
            <w:r>
              <w:rPr>
                <w:rFonts w:eastAsia="Times New Roman"/>
                <w:sz w:val="22"/>
                <w:szCs w:val="22"/>
              </w:rPr>
              <w:t>4</w:t>
            </w:r>
            <w:r w:rsidRPr="00167342">
              <w:rPr>
                <w:rFonts w:eastAsia="Times New Roman"/>
                <w:sz w:val="22"/>
                <w:szCs w:val="22"/>
              </w:rPr>
              <w:t>.</w:t>
            </w:r>
            <w:r>
              <w:rPr>
                <w:rFonts w:eastAsia="Times New Roman"/>
                <w:sz w:val="22"/>
                <w:szCs w:val="22"/>
              </w:rPr>
              <w:t>27</w:t>
            </w:r>
          </w:p>
        </w:tc>
        <w:tc>
          <w:tcPr>
            <w:tcW w:w="1252" w:type="dxa"/>
          </w:tcPr>
          <w:p w:rsidR="00CF0727" w:rsidRPr="00603CC4" w:rsidRDefault="00CF0727" w:rsidP="000A009C">
            <w:pPr>
              <w:widowControl w:val="0"/>
              <w:tabs>
                <w:tab w:val="decimal" w:pos="492"/>
              </w:tabs>
              <w:adjustRightInd w:val="0"/>
              <w:spacing w:before="36" w:after="36"/>
              <w:ind w:left="-114" w:right="-108"/>
              <w:jc w:val="left"/>
              <w:textAlignment w:val="baseline"/>
              <w:rPr>
                <w:rFonts w:eastAsia="Times New Roman"/>
              </w:rPr>
            </w:pPr>
            <w:r>
              <w:rPr>
                <w:rFonts w:eastAsia="Times New Roman"/>
                <w:sz w:val="22"/>
                <w:szCs w:val="22"/>
              </w:rPr>
              <w:t>1</w:t>
            </w:r>
            <w:r w:rsidRPr="00603CC4">
              <w:rPr>
                <w:rFonts w:eastAsia="Times New Roman"/>
                <w:sz w:val="22"/>
                <w:szCs w:val="22"/>
              </w:rPr>
              <w:t>.</w:t>
            </w:r>
            <w:r>
              <w:rPr>
                <w:rFonts w:eastAsia="Times New Roman"/>
                <w:sz w:val="22"/>
                <w:szCs w:val="22"/>
              </w:rPr>
              <w:t>75</w:t>
            </w:r>
          </w:p>
        </w:tc>
        <w:tc>
          <w:tcPr>
            <w:tcW w:w="1134" w:type="dxa"/>
            <w:vAlign w:val="bottom"/>
          </w:tcPr>
          <w:p w:rsidR="00CF0727" w:rsidRPr="00A825AA" w:rsidRDefault="00CF0727" w:rsidP="000A009C">
            <w:pPr>
              <w:widowControl w:val="0"/>
              <w:tabs>
                <w:tab w:val="decimal" w:pos="384"/>
              </w:tabs>
              <w:adjustRightInd w:val="0"/>
              <w:spacing w:before="36" w:after="36"/>
              <w:ind w:left="-108" w:right="-103"/>
              <w:jc w:val="left"/>
              <w:textAlignment w:val="baseline"/>
              <w:rPr>
                <w:rFonts w:eastAsia="Times New Roman"/>
                <w:b/>
              </w:rPr>
            </w:pPr>
            <w:r w:rsidRPr="00A825AA">
              <w:rPr>
                <w:rFonts w:eastAsia="Times New Roman"/>
                <w:b/>
                <w:sz w:val="22"/>
                <w:szCs w:val="22"/>
              </w:rPr>
              <w:sym w:font="Symbol" w:char="F02D"/>
            </w:r>
            <w:r>
              <w:rPr>
                <w:rFonts w:eastAsia="Times New Roman"/>
                <w:b/>
                <w:sz w:val="22"/>
                <w:szCs w:val="22"/>
              </w:rPr>
              <w:t>0</w:t>
            </w:r>
            <w:r w:rsidRPr="00A825AA">
              <w:rPr>
                <w:rFonts w:eastAsia="Times New Roman"/>
                <w:b/>
                <w:sz w:val="22"/>
                <w:szCs w:val="22"/>
              </w:rPr>
              <w:t>.</w:t>
            </w:r>
            <w:r>
              <w:rPr>
                <w:rFonts w:eastAsia="Times New Roman"/>
                <w:b/>
                <w:sz w:val="22"/>
                <w:szCs w:val="22"/>
              </w:rPr>
              <w:t>5</w:t>
            </w:r>
            <w:r w:rsidRPr="00A825AA">
              <w:rPr>
                <w:rFonts w:eastAsia="Times New Roman"/>
                <w:b/>
                <w:sz w:val="22"/>
                <w:szCs w:val="22"/>
              </w:rPr>
              <w:t>6</w:t>
            </w:r>
          </w:p>
        </w:tc>
        <w:tc>
          <w:tcPr>
            <w:tcW w:w="1275" w:type="dxa"/>
          </w:tcPr>
          <w:p w:rsidR="00CF0727" w:rsidRPr="00167342" w:rsidRDefault="00CF0727" w:rsidP="000A009C">
            <w:pPr>
              <w:widowControl w:val="0"/>
              <w:tabs>
                <w:tab w:val="decimal" w:pos="525"/>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2</w:t>
            </w:r>
            <w:r w:rsidRPr="00167342">
              <w:rPr>
                <w:rFonts w:eastAsia="Times New Roman"/>
                <w:sz w:val="22"/>
                <w:szCs w:val="22"/>
              </w:rPr>
              <w:t>.</w:t>
            </w:r>
            <w:r>
              <w:rPr>
                <w:rFonts w:eastAsia="Times New Roman"/>
                <w:sz w:val="22"/>
                <w:szCs w:val="22"/>
              </w:rPr>
              <w:t>67</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Pohjois-Pohjanmaa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5</w:t>
            </w:r>
            <w:r w:rsidRPr="00167342">
              <w:rPr>
                <w:rFonts w:eastAsia="Times New Roman"/>
                <w:sz w:val="22"/>
                <w:szCs w:val="22"/>
              </w:rPr>
              <w:t>.</w:t>
            </w:r>
            <w:r>
              <w:rPr>
                <w:rFonts w:eastAsia="Times New Roman"/>
                <w:sz w:val="22"/>
                <w:szCs w:val="22"/>
              </w:rPr>
              <w:t>71</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3</w:t>
            </w:r>
            <w:r w:rsidRPr="00167342">
              <w:rPr>
                <w:rFonts w:eastAsia="Times New Roman"/>
                <w:sz w:val="22"/>
                <w:szCs w:val="22"/>
              </w:rPr>
              <w:t>.</w:t>
            </w:r>
            <w:r>
              <w:rPr>
                <w:rFonts w:eastAsia="Times New Roman"/>
                <w:sz w:val="22"/>
                <w:szCs w:val="22"/>
              </w:rPr>
              <w:t>02</w:t>
            </w:r>
          </w:p>
        </w:tc>
        <w:tc>
          <w:tcPr>
            <w:tcW w:w="1206" w:type="dxa"/>
            <w:vAlign w:val="bottom"/>
          </w:tcPr>
          <w:p w:rsidR="00CF0727" w:rsidRPr="009D5A31" w:rsidRDefault="00CF0727" w:rsidP="000A009C">
            <w:pPr>
              <w:widowControl w:val="0"/>
              <w:tabs>
                <w:tab w:val="decimal" w:pos="432"/>
              </w:tabs>
              <w:adjustRightInd w:val="0"/>
              <w:spacing w:before="36" w:after="36"/>
              <w:ind w:left="-102" w:right="-108" w:hanging="12"/>
              <w:jc w:val="left"/>
              <w:textAlignment w:val="baseline"/>
              <w:rPr>
                <w:rFonts w:eastAsia="Times New Roman"/>
                <w:b/>
              </w:rPr>
            </w:pPr>
            <w:r w:rsidRPr="009D5A31">
              <w:rPr>
                <w:rFonts w:eastAsia="Times New Roman"/>
                <w:b/>
                <w:sz w:val="22"/>
                <w:szCs w:val="22"/>
              </w:rPr>
              <w:t>0.</w:t>
            </w:r>
            <w:r>
              <w:rPr>
                <w:rFonts w:eastAsia="Times New Roman"/>
                <w:b/>
                <w:sz w:val="22"/>
                <w:szCs w:val="22"/>
              </w:rPr>
              <w:t>61</w:t>
            </w:r>
          </w:p>
        </w:tc>
        <w:tc>
          <w:tcPr>
            <w:tcW w:w="1252" w:type="dxa"/>
          </w:tcPr>
          <w:p w:rsidR="00CF0727" w:rsidRPr="009D5A31" w:rsidRDefault="00CF0727" w:rsidP="000A009C">
            <w:pPr>
              <w:widowControl w:val="0"/>
              <w:tabs>
                <w:tab w:val="decimal" w:pos="492"/>
              </w:tabs>
              <w:adjustRightInd w:val="0"/>
              <w:spacing w:before="36" w:after="36"/>
              <w:ind w:left="-114" w:right="-108"/>
              <w:jc w:val="left"/>
              <w:textAlignment w:val="baseline"/>
              <w:rPr>
                <w:rFonts w:eastAsia="Times New Roman"/>
              </w:rPr>
            </w:pPr>
            <w:r w:rsidRPr="009D5A31">
              <w:rPr>
                <w:rFonts w:eastAsia="Times New Roman"/>
                <w:sz w:val="22"/>
                <w:szCs w:val="22"/>
              </w:rPr>
              <w:sym w:font="Symbol" w:char="F02D"/>
            </w:r>
            <w:r>
              <w:rPr>
                <w:rFonts w:eastAsia="Times New Roman"/>
                <w:sz w:val="22"/>
                <w:szCs w:val="22"/>
              </w:rPr>
              <w:t>1</w:t>
            </w:r>
            <w:r w:rsidRPr="009D5A31">
              <w:rPr>
                <w:rFonts w:eastAsia="Times New Roman"/>
                <w:sz w:val="22"/>
                <w:szCs w:val="22"/>
              </w:rPr>
              <w:t>.</w:t>
            </w:r>
            <w:r>
              <w:rPr>
                <w:rFonts w:eastAsia="Times New Roman"/>
                <w:sz w:val="22"/>
                <w:szCs w:val="22"/>
              </w:rPr>
              <w:t>60</w:t>
            </w:r>
          </w:p>
        </w:tc>
        <w:tc>
          <w:tcPr>
            <w:tcW w:w="1134" w:type="dxa"/>
            <w:vAlign w:val="bottom"/>
          </w:tcPr>
          <w:p w:rsidR="00CF0727" w:rsidRPr="00167342" w:rsidRDefault="00CF0727" w:rsidP="000A009C">
            <w:pPr>
              <w:widowControl w:val="0"/>
              <w:tabs>
                <w:tab w:val="decimal" w:pos="384"/>
              </w:tabs>
              <w:adjustRightInd w:val="0"/>
              <w:spacing w:before="36" w:after="36"/>
              <w:ind w:left="-108" w:right="-103"/>
              <w:jc w:val="left"/>
              <w:textAlignment w:val="baseline"/>
              <w:rPr>
                <w:rFonts w:eastAsia="Times New Roman"/>
              </w:rPr>
            </w:pPr>
            <w:r w:rsidRPr="009D5A31">
              <w:rPr>
                <w:rFonts w:eastAsia="Times New Roman"/>
                <w:sz w:val="22"/>
                <w:szCs w:val="22"/>
              </w:rPr>
              <w:sym w:font="Symbol" w:char="F02D"/>
            </w:r>
            <w:r>
              <w:rPr>
                <w:rFonts w:eastAsia="Times New Roman"/>
                <w:sz w:val="22"/>
                <w:szCs w:val="22"/>
              </w:rPr>
              <w:t>3</w:t>
            </w:r>
            <w:r w:rsidRPr="009D5A31">
              <w:rPr>
                <w:rFonts w:eastAsia="Times New Roman"/>
                <w:sz w:val="22"/>
                <w:szCs w:val="22"/>
              </w:rPr>
              <w:t>.</w:t>
            </w:r>
            <w:r>
              <w:rPr>
                <w:rFonts w:eastAsia="Times New Roman"/>
                <w:sz w:val="22"/>
                <w:szCs w:val="22"/>
              </w:rPr>
              <w:t>65</w:t>
            </w:r>
          </w:p>
        </w:tc>
        <w:tc>
          <w:tcPr>
            <w:tcW w:w="1275" w:type="dxa"/>
          </w:tcPr>
          <w:p w:rsidR="00CF0727" w:rsidRPr="00167342" w:rsidRDefault="00CF0727" w:rsidP="000A009C">
            <w:pPr>
              <w:widowControl w:val="0"/>
              <w:tabs>
                <w:tab w:val="decimal" w:pos="525"/>
              </w:tabs>
              <w:adjustRightInd w:val="0"/>
              <w:spacing w:before="36" w:after="36"/>
              <w:ind w:left="-114" w:right="-108"/>
              <w:jc w:val="left"/>
              <w:textAlignment w:val="baseline"/>
              <w:rPr>
                <w:rFonts w:eastAsia="Times New Roman"/>
              </w:rPr>
            </w:pPr>
            <w:r w:rsidRPr="009D5A31">
              <w:rPr>
                <w:rFonts w:eastAsia="Times New Roman"/>
                <w:sz w:val="22"/>
                <w:szCs w:val="22"/>
              </w:rPr>
              <w:sym w:font="Symbol" w:char="F02D"/>
            </w:r>
            <w:r>
              <w:rPr>
                <w:rFonts w:eastAsia="Times New Roman"/>
                <w:sz w:val="22"/>
                <w:szCs w:val="22"/>
              </w:rPr>
              <w:t>5</w:t>
            </w:r>
            <w:r w:rsidRPr="009D5A31">
              <w:rPr>
                <w:rFonts w:eastAsia="Times New Roman"/>
                <w:sz w:val="22"/>
                <w:szCs w:val="22"/>
              </w:rPr>
              <w:t>.</w:t>
            </w:r>
            <w:r>
              <w:rPr>
                <w:rFonts w:eastAsia="Times New Roman"/>
                <w:sz w:val="22"/>
                <w:szCs w:val="22"/>
              </w:rPr>
              <w:t>60</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Pirkanmaa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sidRPr="00167342">
              <w:rPr>
                <w:rFonts w:eastAsia="Times New Roman"/>
                <w:sz w:val="22"/>
                <w:szCs w:val="22"/>
              </w:rPr>
              <w:t>1</w:t>
            </w:r>
            <w:r>
              <w:rPr>
                <w:rFonts w:eastAsia="Times New Roman"/>
                <w:sz w:val="22"/>
                <w:szCs w:val="22"/>
              </w:rPr>
              <w:t>2</w:t>
            </w:r>
            <w:r w:rsidRPr="00167342">
              <w:rPr>
                <w:rFonts w:eastAsia="Times New Roman"/>
                <w:sz w:val="22"/>
                <w:szCs w:val="22"/>
              </w:rPr>
              <w:t>.</w:t>
            </w:r>
            <w:r>
              <w:rPr>
                <w:rFonts w:eastAsia="Times New Roman"/>
                <w:sz w:val="22"/>
                <w:szCs w:val="22"/>
              </w:rPr>
              <w:t>19</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3</w:t>
            </w:r>
            <w:r w:rsidRPr="00167342">
              <w:rPr>
                <w:rFonts w:eastAsia="Times New Roman"/>
                <w:sz w:val="22"/>
                <w:szCs w:val="22"/>
              </w:rPr>
              <w:t>.</w:t>
            </w:r>
            <w:r>
              <w:rPr>
                <w:rFonts w:eastAsia="Times New Roman"/>
                <w:sz w:val="22"/>
                <w:szCs w:val="22"/>
              </w:rPr>
              <w:t>17</w:t>
            </w:r>
          </w:p>
        </w:tc>
        <w:tc>
          <w:tcPr>
            <w:tcW w:w="1206" w:type="dxa"/>
            <w:vAlign w:val="bottom"/>
          </w:tcPr>
          <w:p w:rsidR="00CF0727" w:rsidRPr="00167342" w:rsidRDefault="00CF0727" w:rsidP="000A009C">
            <w:pPr>
              <w:widowControl w:val="0"/>
              <w:tabs>
                <w:tab w:val="decimal" w:pos="432"/>
              </w:tabs>
              <w:adjustRightInd w:val="0"/>
              <w:spacing w:before="36" w:after="36"/>
              <w:ind w:left="-102" w:right="-108" w:hanging="12"/>
              <w:jc w:val="left"/>
              <w:textAlignment w:val="baseline"/>
              <w:rPr>
                <w:rFonts w:eastAsia="Times New Roman"/>
              </w:rPr>
            </w:pPr>
            <w:r>
              <w:rPr>
                <w:rFonts w:eastAsia="Times New Roman"/>
                <w:sz w:val="22"/>
                <w:szCs w:val="22"/>
              </w:rPr>
              <w:t>5</w:t>
            </w:r>
            <w:r w:rsidRPr="00167342">
              <w:rPr>
                <w:rFonts w:eastAsia="Times New Roman"/>
                <w:sz w:val="22"/>
                <w:szCs w:val="22"/>
              </w:rPr>
              <w:t>.</w:t>
            </w:r>
            <w:r>
              <w:rPr>
                <w:rFonts w:eastAsia="Times New Roman"/>
                <w:sz w:val="22"/>
                <w:szCs w:val="22"/>
              </w:rPr>
              <w:t>82</w:t>
            </w:r>
          </w:p>
        </w:tc>
        <w:tc>
          <w:tcPr>
            <w:tcW w:w="1252"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Pr>
                <w:rFonts w:eastAsia="Times New Roman"/>
                <w:sz w:val="22"/>
                <w:szCs w:val="22"/>
              </w:rPr>
              <w:t>3</w:t>
            </w:r>
            <w:r w:rsidRPr="00167342">
              <w:rPr>
                <w:rFonts w:eastAsia="Times New Roman"/>
                <w:sz w:val="22"/>
                <w:szCs w:val="22"/>
              </w:rPr>
              <w:t>.</w:t>
            </w:r>
            <w:r>
              <w:rPr>
                <w:rFonts w:eastAsia="Times New Roman"/>
                <w:sz w:val="22"/>
                <w:szCs w:val="22"/>
              </w:rPr>
              <w:t>13</w:t>
            </w:r>
          </w:p>
        </w:tc>
        <w:tc>
          <w:tcPr>
            <w:tcW w:w="1134" w:type="dxa"/>
            <w:vAlign w:val="bottom"/>
          </w:tcPr>
          <w:p w:rsidR="00CF0727" w:rsidRPr="003C0E7D" w:rsidRDefault="00CF0727" w:rsidP="000A009C">
            <w:pPr>
              <w:widowControl w:val="0"/>
              <w:tabs>
                <w:tab w:val="decimal" w:pos="384"/>
              </w:tabs>
              <w:adjustRightInd w:val="0"/>
              <w:spacing w:before="36" w:after="36"/>
              <w:ind w:left="-108" w:right="-103" w:hanging="7"/>
              <w:jc w:val="left"/>
              <w:textAlignment w:val="baseline"/>
              <w:rPr>
                <w:rFonts w:eastAsia="Times New Roman"/>
                <w:b/>
              </w:rPr>
            </w:pPr>
            <w:r w:rsidRPr="003C0E7D">
              <w:rPr>
                <w:rFonts w:eastAsia="Times New Roman"/>
                <w:b/>
                <w:sz w:val="22"/>
                <w:szCs w:val="22"/>
              </w:rPr>
              <w:t>0.</w:t>
            </w:r>
            <w:r>
              <w:rPr>
                <w:rFonts w:eastAsia="Times New Roman"/>
                <w:b/>
                <w:sz w:val="22"/>
                <w:szCs w:val="22"/>
              </w:rPr>
              <w:t>72</w:t>
            </w:r>
          </w:p>
        </w:tc>
        <w:tc>
          <w:tcPr>
            <w:tcW w:w="1275" w:type="dxa"/>
          </w:tcPr>
          <w:p w:rsidR="00CF0727" w:rsidRPr="003C0E7D" w:rsidRDefault="00CF0727" w:rsidP="000A009C">
            <w:pPr>
              <w:widowControl w:val="0"/>
              <w:tabs>
                <w:tab w:val="decimal" w:pos="525"/>
              </w:tabs>
              <w:adjustRightInd w:val="0"/>
              <w:spacing w:before="36" w:after="36"/>
              <w:ind w:left="-114" w:right="-108"/>
              <w:jc w:val="left"/>
              <w:textAlignment w:val="baseline"/>
              <w:rPr>
                <w:rFonts w:eastAsia="Times New Roman"/>
              </w:rPr>
            </w:pPr>
            <w:r w:rsidRPr="003C0E7D">
              <w:rPr>
                <w:rFonts w:eastAsia="Times New Roman"/>
                <w:sz w:val="22"/>
                <w:szCs w:val="22"/>
              </w:rPr>
              <w:sym w:font="Symbol" w:char="F02D"/>
            </w:r>
            <w:r>
              <w:rPr>
                <w:rFonts w:eastAsia="Times New Roman"/>
                <w:sz w:val="22"/>
                <w:szCs w:val="22"/>
              </w:rPr>
              <w:t>1</w:t>
            </w:r>
            <w:r w:rsidRPr="003C0E7D">
              <w:rPr>
                <w:rFonts w:eastAsia="Times New Roman"/>
                <w:sz w:val="22"/>
                <w:szCs w:val="22"/>
              </w:rPr>
              <w:t>.</w:t>
            </w:r>
            <w:r>
              <w:rPr>
                <w:rFonts w:eastAsia="Times New Roman"/>
                <w:sz w:val="22"/>
                <w:szCs w:val="22"/>
              </w:rPr>
              <w:t>44</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Varsinais-Suomi</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7</w:t>
            </w:r>
            <w:r w:rsidRPr="00167342">
              <w:rPr>
                <w:rFonts w:eastAsia="Times New Roman"/>
                <w:sz w:val="22"/>
                <w:szCs w:val="22"/>
              </w:rPr>
              <w:t>.</w:t>
            </w:r>
            <w:r>
              <w:rPr>
                <w:rFonts w:eastAsia="Times New Roman"/>
                <w:sz w:val="22"/>
                <w:szCs w:val="22"/>
              </w:rPr>
              <w:t>53</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4</w:t>
            </w:r>
            <w:r w:rsidRPr="00167342">
              <w:rPr>
                <w:rFonts w:eastAsia="Times New Roman"/>
                <w:sz w:val="22"/>
                <w:szCs w:val="22"/>
              </w:rPr>
              <w:t>.</w:t>
            </w:r>
            <w:r>
              <w:rPr>
                <w:rFonts w:eastAsia="Times New Roman"/>
                <w:sz w:val="22"/>
                <w:szCs w:val="22"/>
              </w:rPr>
              <w:t>8</w:t>
            </w:r>
            <w:r w:rsidRPr="00167342">
              <w:rPr>
                <w:rFonts w:eastAsia="Times New Roman"/>
                <w:sz w:val="22"/>
                <w:szCs w:val="22"/>
              </w:rPr>
              <w:t>7</w:t>
            </w:r>
          </w:p>
        </w:tc>
        <w:tc>
          <w:tcPr>
            <w:tcW w:w="1206" w:type="dxa"/>
            <w:vAlign w:val="bottom"/>
          </w:tcPr>
          <w:p w:rsidR="00CF0727" w:rsidRPr="00167342" w:rsidRDefault="00CF0727" w:rsidP="000A009C">
            <w:pPr>
              <w:widowControl w:val="0"/>
              <w:tabs>
                <w:tab w:val="decimal" w:pos="432"/>
              </w:tabs>
              <w:adjustRightInd w:val="0"/>
              <w:spacing w:before="36" w:after="36"/>
              <w:ind w:left="-102" w:right="-108" w:hanging="12"/>
              <w:jc w:val="left"/>
              <w:textAlignment w:val="baseline"/>
              <w:rPr>
                <w:rFonts w:eastAsia="Times New Roman"/>
              </w:rPr>
            </w:pPr>
            <w:r>
              <w:rPr>
                <w:rFonts w:eastAsia="Times New Roman"/>
                <w:sz w:val="22"/>
                <w:szCs w:val="22"/>
              </w:rPr>
              <w:t>2</w:t>
            </w:r>
            <w:r w:rsidRPr="00167342">
              <w:rPr>
                <w:rFonts w:eastAsia="Times New Roman"/>
                <w:sz w:val="22"/>
                <w:szCs w:val="22"/>
              </w:rPr>
              <w:t>.</w:t>
            </w:r>
            <w:r>
              <w:rPr>
                <w:rFonts w:eastAsia="Times New Roman"/>
                <w:sz w:val="22"/>
                <w:szCs w:val="22"/>
              </w:rPr>
              <w:t>46</w:t>
            </w:r>
          </w:p>
        </w:tc>
        <w:tc>
          <w:tcPr>
            <w:tcW w:w="1252"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b/>
              </w:rPr>
            </w:pPr>
            <w:r w:rsidRPr="00167342">
              <w:rPr>
                <w:rFonts w:eastAsia="Times New Roman"/>
                <w:b/>
                <w:sz w:val="22"/>
                <w:szCs w:val="22"/>
              </w:rPr>
              <w:t>0.</w:t>
            </w:r>
            <w:r>
              <w:rPr>
                <w:rFonts w:eastAsia="Times New Roman"/>
                <w:b/>
                <w:sz w:val="22"/>
                <w:szCs w:val="22"/>
              </w:rPr>
              <w:t>30</w:t>
            </w:r>
          </w:p>
        </w:tc>
        <w:tc>
          <w:tcPr>
            <w:tcW w:w="1134" w:type="dxa"/>
            <w:vAlign w:val="bottom"/>
          </w:tcPr>
          <w:p w:rsidR="00CF0727" w:rsidRPr="00167342" w:rsidRDefault="00CF0727" w:rsidP="000A009C">
            <w:pPr>
              <w:widowControl w:val="0"/>
              <w:tabs>
                <w:tab w:val="decimal" w:pos="384"/>
              </w:tabs>
              <w:adjustRightInd w:val="0"/>
              <w:spacing w:before="36" w:after="36"/>
              <w:ind w:left="-108" w:right="-103"/>
              <w:jc w:val="left"/>
              <w:textAlignment w:val="baseline"/>
              <w:rPr>
                <w:rFonts w:eastAsia="Times New Roman"/>
              </w:rPr>
            </w:pPr>
            <w:r w:rsidRPr="00167342">
              <w:rPr>
                <w:rFonts w:eastAsia="Times New Roman"/>
                <w:sz w:val="22"/>
                <w:szCs w:val="22"/>
              </w:rPr>
              <w:sym w:font="Symbol" w:char="F02D"/>
            </w:r>
            <w:r>
              <w:rPr>
                <w:rFonts w:eastAsia="Times New Roman"/>
                <w:sz w:val="22"/>
                <w:szCs w:val="22"/>
              </w:rPr>
              <w:t>1</w:t>
            </w:r>
            <w:r w:rsidRPr="00167342">
              <w:rPr>
                <w:rFonts w:eastAsia="Times New Roman"/>
                <w:sz w:val="22"/>
                <w:szCs w:val="22"/>
              </w:rPr>
              <w:t>.</w:t>
            </w:r>
            <w:r>
              <w:rPr>
                <w:rFonts w:eastAsia="Times New Roman"/>
                <w:sz w:val="22"/>
                <w:szCs w:val="22"/>
              </w:rPr>
              <w:t>72</w:t>
            </w:r>
          </w:p>
        </w:tc>
        <w:tc>
          <w:tcPr>
            <w:tcW w:w="1275" w:type="dxa"/>
          </w:tcPr>
          <w:p w:rsidR="00CF0727" w:rsidRPr="00167342" w:rsidRDefault="00CF0727" w:rsidP="000A009C">
            <w:pPr>
              <w:widowControl w:val="0"/>
              <w:tabs>
                <w:tab w:val="decimal" w:pos="525"/>
              </w:tabs>
              <w:adjustRightInd w:val="0"/>
              <w:spacing w:before="36" w:after="36"/>
              <w:ind w:left="-114" w:right="-108"/>
              <w:jc w:val="left"/>
              <w:textAlignment w:val="baseline"/>
              <w:rPr>
                <w:rFonts w:eastAsia="Times New Roman"/>
              </w:rPr>
            </w:pPr>
            <w:r w:rsidRPr="00167342">
              <w:rPr>
                <w:rFonts w:eastAsia="Times New Roman"/>
                <w:sz w:val="22"/>
                <w:szCs w:val="22"/>
              </w:rPr>
              <w:sym w:font="Symbol" w:char="F02D"/>
            </w:r>
            <w:r>
              <w:rPr>
                <w:rFonts w:eastAsia="Times New Roman"/>
                <w:sz w:val="22"/>
                <w:szCs w:val="22"/>
              </w:rPr>
              <w:t>3</w:t>
            </w:r>
            <w:r w:rsidRPr="00167342">
              <w:rPr>
                <w:rFonts w:eastAsia="Times New Roman"/>
                <w:sz w:val="22"/>
                <w:szCs w:val="22"/>
              </w:rPr>
              <w:t>.</w:t>
            </w:r>
            <w:r>
              <w:rPr>
                <w:rFonts w:eastAsia="Times New Roman"/>
                <w:sz w:val="22"/>
                <w:szCs w:val="22"/>
              </w:rPr>
              <w:t>59</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Uusimaa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3</w:t>
            </w:r>
            <w:r w:rsidRPr="00167342">
              <w:rPr>
                <w:rFonts w:eastAsia="Times New Roman"/>
                <w:sz w:val="22"/>
                <w:szCs w:val="22"/>
              </w:rPr>
              <w:t>.</w:t>
            </w:r>
            <w:r>
              <w:rPr>
                <w:rFonts w:eastAsia="Times New Roman"/>
                <w:sz w:val="22"/>
                <w:szCs w:val="22"/>
              </w:rPr>
              <w:t>60</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2</w:t>
            </w:r>
            <w:r w:rsidRPr="00167342">
              <w:rPr>
                <w:rFonts w:eastAsia="Times New Roman"/>
                <w:sz w:val="22"/>
                <w:szCs w:val="22"/>
              </w:rPr>
              <w:t>.</w:t>
            </w:r>
            <w:r>
              <w:rPr>
                <w:rFonts w:eastAsia="Times New Roman"/>
                <w:sz w:val="22"/>
                <w:szCs w:val="22"/>
              </w:rPr>
              <w:t>84</w:t>
            </w:r>
          </w:p>
        </w:tc>
        <w:tc>
          <w:tcPr>
            <w:tcW w:w="1206" w:type="dxa"/>
            <w:vAlign w:val="bottom"/>
          </w:tcPr>
          <w:p w:rsidR="00CF0727" w:rsidRPr="00542C65" w:rsidRDefault="00CF0727" w:rsidP="000A009C">
            <w:pPr>
              <w:widowControl w:val="0"/>
              <w:tabs>
                <w:tab w:val="decimal" w:pos="432"/>
              </w:tabs>
              <w:adjustRightInd w:val="0"/>
              <w:spacing w:before="36" w:after="36"/>
              <w:ind w:left="-102" w:right="-108" w:hanging="12"/>
              <w:jc w:val="left"/>
              <w:textAlignment w:val="baseline"/>
              <w:rPr>
                <w:rFonts w:eastAsia="Times New Roman"/>
              </w:rPr>
            </w:pPr>
            <w:r>
              <w:rPr>
                <w:rFonts w:eastAsia="Times New Roman"/>
                <w:sz w:val="22"/>
                <w:szCs w:val="22"/>
              </w:rPr>
              <w:t>2</w:t>
            </w:r>
            <w:r w:rsidRPr="00542C65">
              <w:rPr>
                <w:rFonts w:eastAsia="Times New Roman"/>
                <w:sz w:val="22"/>
                <w:szCs w:val="22"/>
              </w:rPr>
              <w:t>.</w:t>
            </w:r>
            <w:r>
              <w:rPr>
                <w:rFonts w:eastAsia="Times New Roman"/>
                <w:sz w:val="22"/>
                <w:szCs w:val="22"/>
              </w:rPr>
              <w:t>07</w:t>
            </w:r>
          </w:p>
        </w:tc>
        <w:tc>
          <w:tcPr>
            <w:tcW w:w="1252" w:type="dxa"/>
          </w:tcPr>
          <w:p w:rsidR="00CF0727" w:rsidRPr="00E96004" w:rsidRDefault="00CF0727" w:rsidP="000A009C">
            <w:pPr>
              <w:widowControl w:val="0"/>
              <w:tabs>
                <w:tab w:val="decimal" w:pos="492"/>
              </w:tabs>
              <w:adjustRightInd w:val="0"/>
              <w:spacing w:before="36" w:after="36"/>
              <w:ind w:left="-114" w:right="-108"/>
              <w:jc w:val="left"/>
              <w:textAlignment w:val="baseline"/>
              <w:rPr>
                <w:rFonts w:eastAsia="Times New Roman"/>
              </w:rPr>
            </w:pPr>
            <w:r>
              <w:rPr>
                <w:rFonts w:eastAsia="Times New Roman"/>
                <w:sz w:val="22"/>
                <w:szCs w:val="22"/>
              </w:rPr>
              <w:t>1</w:t>
            </w:r>
            <w:r w:rsidRPr="00E96004">
              <w:rPr>
                <w:rFonts w:eastAsia="Times New Roman"/>
                <w:sz w:val="22"/>
                <w:szCs w:val="22"/>
              </w:rPr>
              <w:t>.</w:t>
            </w:r>
            <w:r>
              <w:rPr>
                <w:rFonts w:eastAsia="Times New Roman"/>
                <w:sz w:val="22"/>
                <w:szCs w:val="22"/>
              </w:rPr>
              <w:t>28</w:t>
            </w:r>
          </w:p>
        </w:tc>
        <w:tc>
          <w:tcPr>
            <w:tcW w:w="1134" w:type="dxa"/>
            <w:vAlign w:val="bottom"/>
          </w:tcPr>
          <w:p w:rsidR="00CF0727" w:rsidRPr="00167342" w:rsidRDefault="00CF0727" w:rsidP="000A009C">
            <w:pPr>
              <w:widowControl w:val="0"/>
              <w:tabs>
                <w:tab w:val="decimal" w:pos="384"/>
              </w:tabs>
              <w:adjustRightInd w:val="0"/>
              <w:spacing w:before="36" w:after="36"/>
              <w:ind w:left="-108" w:right="-103"/>
              <w:jc w:val="left"/>
              <w:textAlignment w:val="baseline"/>
              <w:rPr>
                <w:rFonts w:eastAsia="Times New Roman"/>
              </w:rPr>
            </w:pPr>
            <w:r>
              <w:rPr>
                <w:rFonts w:eastAsia="Times New Roman"/>
                <w:sz w:val="22"/>
                <w:szCs w:val="22"/>
              </w:rPr>
              <w:t>0</w:t>
            </w:r>
            <w:r w:rsidRPr="00167342">
              <w:rPr>
                <w:rFonts w:eastAsia="Times New Roman"/>
                <w:sz w:val="22"/>
                <w:szCs w:val="22"/>
              </w:rPr>
              <w:t>.</w:t>
            </w:r>
            <w:r>
              <w:rPr>
                <w:rFonts w:eastAsia="Times New Roman"/>
                <w:sz w:val="22"/>
                <w:szCs w:val="22"/>
              </w:rPr>
              <w:t>50</w:t>
            </w:r>
          </w:p>
        </w:tc>
        <w:tc>
          <w:tcPr>
            <w:tcW w:w="1275" w:type="dxa"/>
          </w:tcPr>
          <w:p w:rsidR="00CF0727" w:rsidRPr="00603CC4" w:rsidRDefault="00CF0727" w:rsidP="000A009C">
            <w:pPr>
              <w:widowControl w:val="0"/>
              <w:tabs>
                <w:tab w:val="decimal" w:pos="525"/>
              </w:tabs>
              <w:adjustRightInd w:val="0"/>
              <w:spacing w:before="36" w:after="36"/>
              <w:ind w:left="-114" w:right="-108"/>
              <w:jc w:val="left"/>
              <w:textAlignment w:val="baseline"/>
              <w:rPr>
                <w:rFonts w:eastAsia="Times New Roman"/>
                <w:b/>
              </w:rPr>
            </w:pPr>
            <w:r w:rsidRPr="00603CC4">
              <w:rPr>
                <w:rFonts w:eastAsia="Times New Roman"/>
                <w:b/>
                <w:sz w:val="22"/>
                <w:szCs w:val="22"/>
              </w:rPr>
              <w:sym w:font="Symbol" w:char="F02D"/>
            </w:r>
            <w:r w:rsidRPr="00603CC4">
              <w:rPr>
                <w:rFonts w:eastAsia="Times New Roman"/>
                <w:b/>
                <w:sz w:val="22"/>
                <w:szCs w:val="22"/>
              </w:rPr>
              <w:t>0.26</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Pr>
                <w:rFonts w:eastAsia="Times New Roman"/>
                <w:sz w:val="22"/>
                <w:szCs w:val="22"/>
              </w:rPr>
              <w:t>Unweighted m</w:t>
            </w:r>
            <w:r w:rsidRPr="00167342">
              <w:rPr>
                <w:rFonts w:eastAsia="Times New Roman"/>
                <w:sz w:val="22"/>
                <w:szCs w:val="22"/>
              </w:rPr>
              <w:t>ean</w:t>
            </w:r>
          </w:p>
        </w:tc>
        <w:tc>
          <w:tcPr>
            <w:tcW w:w="1221" w:type="dxa"/>
            <w:vAlign w:val="bottom"/>
          </w:tcPr>
          <w:p w:rsidR="00CF0727" w:rsidRPr="00167342" w:rsidRDefault="00CF0727" w:rsidP="000A009C">
            <w:pPr>
              <w:widowControl w:val="0"/>
              <w:tabs>
                <w:tab w:val="decimal" w:pos="399"/>
              </w:tabs>
              <w:adjustRightInd w:val="0"/>
              <w:spacing w:before="36" w:after="36"/>
              <w:ind w:left="-79" w:right="-108"/>
              <w:jc w:val="left"/>
              <w:textAlignment w:val="baseline"/>
              <w:rPr>
                <w:rFonts w:eastAsia="Times New Roman"/>
                <w:bCs/>
              </w:rPr>
            </w:pPr>
            <w:r>
              <w:rPr>
                <w:rFonts w:eastAsia="Times New Roman"/>
                <w:bCs/>
                <w:sz w:val="22"/>
                <w:szCs w:val="22"/>
              </w:rPr>
              <w:t>5</w:t>
            </w:r>
            <w:r w:rsidRPr="00167342">
              <w:rPr>
                <w:rFonts w:eastAsia="Times New Roman"/>
                <w:bCs/>
                <w:sz w:val="22"/>
                <w:szCs w:val="22"/>
              </w:rPr>
              <w:t>.</w:t>
            </w:r>
            <w:r>
              <w:rPr>
                <w:rFonts w:eastAsia="Times New Roman"/>
                <w:bCs/>
                <w:sz w:val="22"/>
                <w:szCs w:val="22"/>
              </w:rPr>
              <w:t>72</w:t>
            </w:r>
          </w:p>
        </w:tc>
        <w:tc>
          <w:tcPr>
            <w:tcW w:w="1221" w:type="dxa"/>
            <w:vAlign w:val="bottom"/>
          </w:tcPr>
          <w:p w:rsidR="00CF0727" w:rsidRPr="00167342" w:rsidRDefault="00CF0727" w:rsidP="000A009C">
            <w:pPr>
              <w:widowControl w:val="0"/>
              <w:tabs>
                <w:tab w:val="decimal" w:pos="399"/>
              </w:tabs>
              <w:adjustRightInd w:val="0"/>
              <w:spacing w:before="36" w:after="36"/>
              <w:ind w:left="-79" w:right="-108"/>
              <w:jc w:val="left"/>
              <w:textAlignment w:val="baseline"/>
              <w:rPr>
                <w:rFonts w:eastAsia="Times New Roman"/>
                <w:bCs/>
              </w:rPr>
            </w:pPr>
            <w:r>
              <w:rPr>
                <w:rFonts w:eastAsia="Times New Roman"/>
                <w:bCs/>
                <w:sz w:val="22"/>
                <w:szCs w:val="22"/>
              </w:rPr>
              <w:t>2</w:t>
            </w:r>
            <w:r w:rsidRPr="00167342">
              <w:rPr>
                <w:rFonts w:eastAsia="Times New Roman"/>
                <w:bCs/>
                <w:sz w:val="22"/>
                <w:szCs w:val="22"/>
              </w:rPr>
              <w:t>.</w:t>
            </w:r>
            <w:r>
              <w:rPr>
                <w:rFonts w:eastAsia="Times New Roman"/>
                <w:bCs/>
                <w:sz w:val="22"/>
                <w:szCs w:val="22"/>
              </w:rPr>
              <w:t>62</w:t>
            </w:r>
          </w:p>
        </w:tc>
        <w:tc>
          <w:tcPr>
            <w:tcW w:w="1206" w:type="dxa"/>
            <w:vAlign w:val="bottom"/>
          </w:tcPr>
          <w:p w:rsidR="00CF0727" w:rsidRPr="00390ABD" w:rsidRDefault="00CF0727" w:rsidP="000A009C">
            <w:pPr>
              <w:widowControl w:val="0"/>
              <w:tabs>
                <w:tab w:val="decimal" w:pos="432"/>
              </w:tabs>
              <w:adjustRightInd w:val="0"/>
              <w:spacing w:before="36" w:after="36"/>
              <w:ind w:left="-102" w:right="-108" w:hanging="12"/>
              <w:jc w:val="left"/>
              <w:textAlignment w:val="baseline"/>
              <w:rPr>
                <w:rFonts w:eastAsia="Times New Roman"/>
                <w:b/>
                <w:bCs/>
              </w:rPr>
            </w:pPr>
            <w:r>
              <w:rPr>
                <w:rFonts w:eastAsia="Times New Roman"/>
                <w:b/>
                <w:bCs/>
                <w:sz w:val="22"/>
                <w:szCs w:val="22"/>
              </w:rPr>
              <w:t>0</w:t>
            </w:r>
            <w:r w:rsidRPr="00390ABD">
              <w:rPr>
                <w:rFonts w:eastAsia="Times New Roman"/>
                <w:b/>
                <w:bCs/>
                <w:sz w:val="22"/>
                <w:szCs w:val="22"/>
              </w:rPr>
              <w:t>.</w:t>
            </w:r>
            <w:r>
              <w:rPr>
                <w:rFonts w:eastAsia="Times New Roman"/>
                <w:b/>
                <w:bCs/>
                <w:sz w:val="22"/>
                <w:szCs w:val="22"/>
              </w:rPr>
              <w:t>39</w:t>
            </w:r>
          </w:p>
        </w:tc>
        <w:tc>
          <w:tcPr>
            <w:tcW w:w="1252" w:type="dxa"/>
            <w:vAlign w:val="bottom"/>
          </w:tcPr>
          <w:p w:rsidR="00CF0727" w:rsidRPr="00A214F0" w:rsidRDefault="00CF0727" w:rsidP="000A009C">
            <w:pPr>
              <w:widowControl w:val="0"/>
              <w:tabs>
                <w:tab w:val="decimal" w:pos="492"/>
              </w:tabs>
              <w:adjustRightInd w:val="0"/>
              <w:spacing w:before="36" w:after="36"/>
              <w:ind w:left="-108" w:right="-108"/>
              <w:jc w:val="left"/>
              <w:textAlignment w:val="baseline"/>
              <w:rPr>
                <w:rFonts w:eastAsia="Times New Roman"/>
                <w:bCs/>
              </w:rPr>
            </w:pPr>
            <w:r w:rsidRPr="00A214F0">
              <w:rPr>
                <w:rFonts w:eastAsia="Times New Roman"/>
                <w:bCs/>
                <w:sz w:val="22"/>
                <w:szCs w:val="22"/>
              </w:rPr>
              <w:sym w:font="Symbol" w:char="F02D"/>
            </w:r>
            <w:r>
              <w:rPr>
                <w:rFonts w:eastAsia="Times New Roman"/>
                <w:bCs/>
                <w:sz w:val="22"/>
                <w:szCs w:val="22"/>
              </w:rPr>
              <w:t>1</w:t>
            </w:r>
            <w:r w:rsidRPr="00A214F0">
              <w:rPr>
                <w:rFonts w:eastAsia="Times New Roman"/>
                <w:bCs/>
                <w:sz w:val="22"/>
                <w:szCs w:val="22"/>
              </w:rPr>
              <w:t>.</w:t>
            </w:r>
            <w:r>
              <w:rPr>
                <w:rFonts w:eastAsia="Times New Roman"/>
                <w:bCs/>
                <w:sz w:val="22"/>
                <w:szCs w:val="22"/>
              </w:rPr>
              <w:t>87</w:t>
            </w:r>
          </w:p>
        </w:tc>
        <w:tc>
          <w:tcPr>
            <w:tcW w:w="1134" w:type="dxa"/>
            <w:vAlign w:val="bottom"/>
          </w:tcPr>
          <w:p w:rsidR="00CF0727" w:rsidRPr="00A214F0" w:rsidRDefault="00CF0727" w:rsidP="000A009C">
            <w:pPr>
              <w:widowControl w:val="0"/>
              <w:tabs>
                <w:tab w:val="decimal" w:pos="384"/>
              </w:tabs>
              <w:adjustRightInd w:val="0"/>
              <w:spacing w:before="36" w:after="36"/>
              <w:ind w:left="-108" w:right="-108"/>
              <w:jc w:val="left"/>
              <w:textAlignment w:val="baseline"/>
              <w:rPr>
                <w:rFonts w:eastAsia="Times New Roman"/>
                <w:bCs/>
              </w:rPr>
            </w:pPr>
            <w:r w:rsidRPr="00A214F0">
              <w:rPr>
                <w:rFonts w:eastAsia="Times New Roman"/>
                <w:bCs/>
                <w:sz w:val="22"/>
                <w:szCs w:val="22"/>
              </w:rPr>
              <w:sym w:font="Symbol" w:char="F02D"/>
            </w:r>
            <w:r>
              <w:rPr>
                <w:rFonts w:eastAsia="Times New Roman"/>
                <w:bCs/>
                <w:sz w:val="22"/>
                <w:szCs w:val="22"/>
              </w:rPr>
              <w:t>3</w:t>
            </w:r>
            <w:r w:rsidRPr="00A214F0">
              <w:rPr>
                <w:rFonts w:eastAsia="Times New Roman"/>
                <w:bCs/>
                <w:sz w:val="22"/>
                <w:szCs w:val="22"/>
              </w:rPr>
              <w:t>.</w:t>
            </w:r>
            <w:r>
              <w:rPr>
                <w:rFonts w:eastAsia="Times New Roman"/>
                <w:bCs/>
                <w:sz w:val="22"/>
                <w:szCs w:val="22"/>
              </w:rPr>
              <w:t>90</w:t>
            </w:r>
          </w:p>
        </w:tc>
        <w:tc>
          <w:tcPr>
            <w:tcW w:w="1275" w:type="dxa"/>
            <w:vAlign w:val="bottom"/>
          </w:tcPr>
          <w:p w:rsidR="00CF0727" w:rsidRPr="00A214F0" w:rsidRDefault="00CF0727" w:rsidP="000A009C">
            <w:pPr>
              <w:widowControl w:val="0"/>
              <w:tabs>
                <w:tab w:val="decimal" w:pos="525"/>
              </w:tabs>
              <w:adjustRightInd w:val="0"/>
              <w:spacing w:before="36" w:after="36"/>
              <w:ind w:left="-108" w:right="-108"/>
              <w:jc w:val="left"/>
              <w:textAlignment w:val="baseline"/>
              <w:rPr>
                <w:rFonts w:eastAsia="Times New Roman"/>
                <w:bCs/>
              </w:rPr>
            </w:pPr>
            <w:r w:rsidRPr="00A214F0">
              <w:rPr>
                <w:rFonts w:eastAsia="Times New Roman"/>
                <w:bCs/>
                <w:sz w:val="22"/>
                <w:szCs w:val="22"/>
              </w:rPr>
              <w:sym w:font="Symbol" w:char="F02D"/>
            </w:r>
            <w:r>
              <w:rPr>
                <w:rFonts w:eastAsia="Times New Roman"/>
                <w:bCs/>
                <w:sz w:val="22"/>
                <w:szCs w:val="22"/>
              </w:rPr>
              <w:t>5</w:t>
            </w:r>
            <w:r w:rsidRPr="00A214F0">
              <w:rPr>
                <w:rFonts w:eastAsia="Times New Roman"/>
                <w:bCs/>
                <w:sz w:val="22"/>
                <w:szCs w:val="22"/>
              </w:rPr>
              <w:t>.</w:t>
            </w:r>
            <w:r>
              <w:rPr>
                <w:rFonts w:eastAsia="Times New Roman"/>
                <w:bCs/>
                <w:sz w:val="22"/>
                <w:szCs w:val="22"/>
              </w:rPr>
              <w:t>71</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Pr>
                <w:rFonts w:eastAsia="Times New Roman"/>
                <w:sz w:val="22"/>
                <w:szCs w:val="22"/>
              </w:rPr>
              <w:t>Weighted m</w:t>
            </w:r>
            <w:r w:rsidRPr="00167342">
              <w:rPr>
                <w:rFonts w:eastAsia="Times New Roman"/>
                <w:sz w:val="22"/>
                <w:szCs w:val="22"/>
              </w:rPr>
              <w:t>ean</w:t>
            </w:r>
          </w:p>
        </w:tc>
        <w:tc>
          <w:tcPr>
            <w:tcW w:w="1221" w:type="dxa"/>
            <w:vAlign w:val="bottom"/>
          </w:tcPr>
          <w:p w:rsidR="00CF0727" w:rsidRPr="00167342" w:rsidRDefault="00CF0727" w:rsidP="000A009C">
            <w:pPr>
              <w:widowControl w:val="0"/>
              <w:tabs>
                <w:tab w:val="decimal" w:pos="399"/>
              </w:tabs>
              <w:adjustRightInd w:val="0"/>
              <w:spacing w:before="36" w:after="36"/>
              <w:ind w:left="-79" w:right="-108"/>
              <w:jc w:val="left"/>
              <w:textAlignment w:val="baseline"/>
              <w:rPr>
                <w:rFonts w:eastAsia="Times New Roman"/>
                <w:bCs/>
              </w:rPr>
            </w:pPr>
            <w:r>
              <w:rPr>
                <w:rFonts w:eastAsia="Times New Roman"/>
                <w:bCs/>
                <w:sz w:val="22"/>
                <w:szCs w:val="22"/>
              </w:rPr>
              <w:t>5.95</w:t>
            </w:r>
          </w:p>
        </w:tc>
        <w:tc>
          <w:tcPr>
            <w:tcW w:w="1221" w:type="dxa"/>
            <w:vAlign w:val="bottom"/>
          </w:tcPr>
          <w:p w:rsidR="00CF0727" w:rsidRPr="00167342" w:rsidRDefault="00CF0727" w:rsidP="000A009C">
            <w:pPr>
              <w:widowControl w:val="0"/>
              <w:tabs>
                <w:tab w:val="decimal" w:pos="399"/>
              </w:tabs>
              <w:adjustRightInd w:val="0"/>
              <w:spacing w:before="36" w:after="36"/>
              <w:ind w:left="-79" w:right="-108"/>
              <w:jc w:val="left"/>
              <w:textAlignment w:val="baseline"/>
              <w:rPr>
                <w:rFonts w:eastAsia="Times New Roman"/>
                <w:bCs/>
              </w:rPr>
            </w:pPr>
            <w:r>
              <w:rPr>
                <w:rFonts w:eastAsia="Times New Roman"/>
                <w:bCs/>
                <w:sz w:val="22"/>
                <w:szCs w:val="22"/>
              </w:rPr>
              <w:t>3</w:t>
            </w:r>
            <w:r w:rsidRPr="00167342">
              <w:rPr>
                <w:rFonts w:eastAsia="Times New Roman"/>
                <w:bCs/>
                <w:sz w:val="22"/>
                <w:szCs w:val="22"/>
              </w:rPr>
              <w:t>.</w:t>
            </w:r>
            <w:r>
              <w:rPr>
                <w:rFonts w:eastAsia="Times New Roman"/>
                <w:bCs/>
                <w:sz w:val="22"/>
                <w:szCs w:val="22"/>
              </w:rPr>
              <w:t>23</w:t>
            </w:r>
          </w:p>
        </w:tc>
        <w:tc>
          <w:tcPr>
            <w:tcW w:w="1206" w:type="dxa"/>
            <w:vAlign w:val="bottom"/>
          </w:tcPr>
          <w:p w:rsidR="00CF0727" w:rsidRPr="00542C65" w:rsidRDefault="00CF0727" w:rsidP="000A009C">
            <w:pPr>
              <w:widowControl w:val="0"/>
              <w:tabs>
                <w:tab w:val="decimal" w:pos="432"/>
              </w:tabs>
              <w:adjustRightInd w:val="0"/>
              <w:spacing w:before="36" w:after="36"/>
              <w:ind w:left="-102" w:right="-108" w:hanging="12"/>
              <w:jc w:val="left"/>
              <w:textAlignment w:val="baseline"/>
              <w:rPr>
                <w:rFonts w:eastAsia="Times New Roman"/>
                <w:bCs/>
              </w:rPr>
            </w:pPr>
            <w:r>
              <w:rPr>
                <w:rFonts w:eastAsia="Times New Roman"/>
                <w:bCs/>
                <w:sz w:val="22"/>
                <w:szCs w:val="22"/>
              </w:rPr>
              <w:t>1</w:t>
            </w:r>
            <w:r w:rsidRPr="00542C65">
              <w:rPr>
                <w:rFonts w:eastAsia="Times New Roman"/>
                <w:bCs/>
                <w:sz w:val="22"/>
                <w:szCs w:val="22"/>
              </w:rPr>
              <w:t>.</w:t>
            </w:r>
            <w:r>
              <w:rPr>
                <w:rFonts w:eastAsia="Times New Roman"/>
                <w:bCs/>
                <w:sz w:val="22"/>
                <w:szCs w:val="22"/>
              </w:rPr>
              <w:t>59</w:t>
            </w:r>
          </w:p>
        </w:tc>
        <w:tc>
          <w:tcPr>
            <w:tcW w:w="1252" w:type="dxa"/>
            <w:vAlign w:val="bottom"/>
          </w:tcPr>
          <w:p w:rsidR="00CF0727" w:rsidRPr="00244D99" w:rsidRDefault="00CF0727" w:rsidP="000A009C">
            <w:pPr>
              <w:widowControl w:val="0"/>
              <w:tabs>
                <w:tab w:val="decimal" w:pos="492"/>
              </w:tabs>
              <w:adjustRightInd w:val="0"/>
              <w:spacing w:before="36" w:after="36"/>
              <w:ind w:left="-108" w:right="-108"/>
              <w:jc w:val="left"/>
              <w:textAlignment w:val="baseline"/>
              <w:rPr>
                <w:rFonts w:eastAsia="Times New Roman"/>
                <w:b/>
                <w:bCs/>
              </w:rPr>
            </w:pPr>
            <w:r w:rsidRPr="00244D99">
              <w:rPr>
                <w:rFonts w:eastAsia="Times New Roman"/>
                <w:b/>
                <w:bCs/>
                <w:sz w:val="22"/>
                <w:szCs w:val="22"/>
              </w:rPr>
              <w:sym w:font="Symbol" w:char="F02D"/>
            </w:r>
            <w:r w:rsidRPr="00244D99">
              <w:rPr>
                <w:rFonts w:eastAsia="Times New Roman"/>
                <w:b/>
                <w:bCs/>
                <w:sz w:val="22"/>
                <w:szCs w:val="22"/>
              </w:rPr>
              <w:t>0.30</w:t>
            </w:r>
          </w:p>
        </w:tc>
        <w:tc>
          <w:tcPr>
            <w:tcW w:w="1134" w:type="dxa"/>
            <w:vAlign w:val="bottom"/>
          </w:tcPr>
          <w:p w:rsidR="00CF0727" w:rsidRPr="00E34F1B" w:rsidRDefault="00CF0727" w:rsidP="000A009C">
            <w:pPr>
              <w:widowControl w:val="0"/>
              <w:tabs>
                <w:tab w:val="decimal" w:pos="384"/>
              </w:tabs>
              <w:adjustRightInd w:val="0"/>
              <w:spacing w:before="36" w:after="36"/>
              <w:ind w:left="-108" w:right="-108"/>
              <w:jc w:val="left"/>
              <w:textAlignment w:val="baseline"/>
              <w:rPr>
                <w:rFonts w:eastAsia="Times New Roman"/>
                <w:bCs/>
              </w:rPr>
            </w:pPr>
            <w:r w:rsidRPr="00E34F1B">
              <w:rPr>
                <w:rFonts w:eastAsia="Times New Roman"/>
                <w:bCs/>
                <w:sz w:val="22"/>
                <w:szCs w:val="22"/>
              </w:rPr>
              <w:sym w:font="Symbol" w:char="F02D"/>
            </w:r>
            <w:r>
              <w:rPr>
                <w:rFonts w:eastAsia="Times New Roman"/>
                <w:bCs/>
                <w:sz w:val="22"/>
                <w:szCs w:val="22"/>
              </w:rPr>
              <w:t>2</w:t>
            </w:r>
            <w:r w:rsidRPr="00E34F1B">
              <w:rPr>
                <w:rFonts w:eastAsia="Times New Roman"/>
                <w:bCs/>
                <w:sz w:val="22"/>
                <w:szCs w:val="22"/>
              </w:rPr>
              <w:t>.0</w:t>
            </w:r>
            <w:r>
              <w:rPr>
                <w:rFonts w:eastAsia="Times New Roman"/>
                <w:bCs/>
                <w:sz w:val="22"/>
                <w:szCs w:val="22"/>
              </w:rPr>
              <w:t>5</w:t>
            </w:r>
          </w:p>
        </w:tc>
        <w:tc>
          <w:tcPr>
            <w:tcW w:w="1275" w:type="dxa"/>
            <w:vAlign w:val="bottom"/>
          </w:tcPr>
          <w:p w:rsidR="00CF0727" w:rsidRPr="00E34F1B" w:rsidRDefault="00CF0727" w:rsidP="000A009C">
            <w:pPr>
              <w:widowControl w:val="0"/>
              <w:tabs>
                <w:tab w:val="decimal" w:pos="525"/>
              </w:tabs>
              <w:adjustRightInd w:val="0"/>
              <w:spacing w:before="36" w:after="36"/>
              <w:ind w:left="-108" w:right="-108"/>
              <w:jc w:val="left"/>
              <w:textAlignment w:val="baseline"/>
              <w:rPr>
                <w:rFonts w:eastAsia="Times New Roman"/>
                <w:bCs/>
              </w:rPr>
            </w:pPr>
            <w:r w:rsidRPr="00E34F1B">
              <w:rPr>
                <w:rFonts w:eastAsia="Times New Roman"/>
                <w:bCs/>
                <w:sz w:val="22"/>
                <w:szCs w:val="22"/>
              </w:rPr>
              <w:sym w:font="Symbol" w:char="F02D"/>
            </w:r>
            <w:r>
              <w:rPr>
                <w:rFonts w:eastAsia="Times New Roman"/>
                <w:bCs/>
                <w:sz w:val="22"/>
                <w:szCs w:val="22"/>
              </w:rPr>
              <w:t>3</w:t>
            </w:r>
            <w:r w:rsidRPr="00E34F1B">
              <w:rPr>
                <w:rFonts w:eastAsia="Times New Roman"/>
                <w:bCs/>
                <w:sz w:val="22"/>
                <w:szCs w:val="22"/>
              </w:rPr>
              <w:t>.</w:t>
            </w:r>
            <w:r>
              <w:rPr>
                <w:rFonts w:eastAsia="Times New Roman"/>
                <w:bCs/>
                <w:sz w:val="22"/>
                <w:szCs w:val="22"/>
              </w:rPr>
              <w:t>63</w:t>
            </w:r>
          </w:p>
        </w:tc>
      </w:tr>
    </w:tbl>
    <w:p w:rsidR="00CF0727" w:rsidRPr="00576EAA" w:rsidRDefault="00CF0727" w:rsidP="00CF0727">
      <w:pPr>
        <w:spacing w:before="120" w:line="360" w:lineRule="auto"/>
        <w:ind w:right="-6"/>
      </w:pPr>
      <w:r w:rsidRPr="00E875B7">
        <w:rPr>
          <w:i/>
        </w:rPr>
        <w:t>Note:</w:t>
      </w:r>
      <w:r>
        <w:t xml:space="preserve"> In this and in subsequent tables, minima are shown in bold type.</w:t>
      </w:r>
    </w:p>
    <w:p w:rsidR="00CF0727" w:rsidRDefault="00CF0727" w:rsidP="00CF0727">
      <w:pPr>
        <w:spacing w:after="120"/>
        <w:ind w:right="-6"/>
        <w:jc w:val="center"/>
        <w:rPr>
          <w:color w:val="000000"/>
          <w:szCs w:val="26"/>
        </w:rPr>
      </w:pPr>
      <w:r>
        <w:rPr>
          <w:color w:val="000000"/>
          <w:szCs w:val="26"/>
        </w:rPr>
        <w:br w:type="page"/>
      </w:r>
      <w:r w:rsidRPr="000E2676">
        <w:rPr>
          <w:b/>
          <w:color w:val="000000"/>
          <w:szCs w:val="26"/>
        </w:rPr>
        <w:lastRenderedPageBreak/>
        <w:t xml:space="preserve">Table </w:t>
      </w:r>
      <w:r>
        <w:rPr>
          <w:b/>
          <w:color w:val="000000"/>
          <w:szCs w:val="26"/>
        </w:rPr>
        <w:t>3</w:t>
      </w:r>
      <w:r>
        <w:rPr>
          <w:color w:val="000000"/>
          <w:szCs w:val="26"/>
        </w:rPr>
        <w:t xml:space="preserve">.  </w:t>
      </w:r>
      <w:r>
        <w:rPr>
          <w:i/>
          <w:color w:val="000000"/>
          <w:szCs w:val="26"/>
        </w:rPr>
        <w:t>Assessment of accuracy using different criteria</w:t>
      </w:r>
      <w:r w:rsidRPr="002A4545">
        <w:rPr>
          <w:i/>
          <w:color w:val="000000"/>
          <w:szCs w:val="26"/>
        </w:rPr>
        <w:t xml:space="preserve">: </w:t>
      </w:r>
      <w:r>
        <w:rPr>
          <w:i/>
          <w:color w:val="000000"/>
          <w:szCs w:val="26"/>
        </w:rPr>
        <w:t xml:space="preserve">sectoral output multipliers for 20 </w:t>
      </w:r>
      <w:r w:rsidRPr="00143220">
        <w:rPr>
          <w:i/>
          <w:color w:val="000000"/>
          <w:szCs w:val="26"/>
        </w:rPr>
        <w:t>Finnish regions in 199</w:t>
      </w:r>
      <w:r>
        <w:rPr>
          <w:i/>
          <w:color w:val="000000"/>
          <w:szCs w:val="26"/>
        </w:rPr>
        <w:t>5 (unweighted</w:t>
      </w:r>
      <w:r w:rsidRPr="00264820">
        <w:rPr>
          <w:i/>
          <w:color w:val="000000"/>
          <w:szCs w:val="26"/>
        </w:rPr>
        <w:t>)</w:t>
      </w:r>
    </w:p>
    <w:tbl>
      <w:tblPr>
        <w:tblW w:w="8882" w:type="dxa"/>
        <w:jc w:val="center"/>
        <w:tblInd w:w="2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BF"/>
      </w:tblPr>
      <w:tblGrid>
        <w:gridCol w:w="1701"/>
        <w:gridCol w:w="1221"/>
        <w:gridCol w:w="1134"/>
        <w:gridCol w:w="1134"/>
        <w:gridCol w:w="1134"/>
        <w:gridCol w:w="1327"/>
        <w:gridCol w:w="1231"/>
      </w:tblGrid>
      <w:tr w:rsidR="00CF0727" w:rsidTr="000A009C">
        <w:trPr>
          <w:trHeight w:val="375"/>
          <w:jc w:val="center"/>
        </w:trPr>
        <w:tc>
          <w:tcPr>
            <w:tcW w:w="1701" w:type="dxa"/>
            <w:vMerge w:val="restart"/>
          </w:tcPr>
          <w:p w:rsidR="00CF0727" w:rsidRPr="00C8591E" w:rsidRDefault="00CF0727" w:rsidP="000A009C">
            <w:pPr>
              <w:pStyle w:val="Normaali1"/>
              <w:spacing w:before="60" w:after="60" w:line="240" w:lineRule="auto"/>
              <w:ind w:left="5" w:right="125"/>
              <w:rPr>
                <w:rFonts w:ascii="Times New Roman" w:hAnsi="Times New Roman"/>
                <w:szCs w:val="24"/>
              </w:rPr>
            </w:pPr>
          </w:p>
          <w:p w:rsidR="00CF0727" w:rsidRPr="00C8591E" w:rsidRDefault="00CF0727" w:rsidP="000A009C">
            <w:pPr>
              <w:pStyle w:val="Normaali1"/>
              <w:spacing w:before="60" w:after="60" w:line="240" w:lineRule="auto"/>
              <w:ind w:left="-4" w:right="125"/>
              <w:rPr>
                <w:rFonts w:ascii="Times New Roman" w:hAnsi="Times New Roman"/>
                <w:szCs w:val="24"/>
              </w:rPr>
            </w:pPr>
            <w:r w:rsidRPr="00C8591E">
              <w:rPr>
                <w:rFonts w:ascii="Times New Roman" w:hAnsi="Times New Roman"/>
                <w:szCs w:val="24"/>
              </w:rPr>
              <w:t>Method</w:t>
            </w:r>
          </w:p>
        </w:tc>
        <w:tc>
          <w:tcPr>
            <w:tcW w:w="7181" w:type="dxa"/>
            <w:gridSpan w:val="6"/>
          </w:tcPr>
          <w:p w:rsidR="00CF0727" w:rsidRPr="00C8591E" w:rsidRDefault="00CF0727" w:rsidP="000A009C">
            <w:pPr>
              <w:pStyle w:val="Normaali1"/>
              <w:spacing w:before="60" w:after="60" w:line="240" w:lineRule="auto"/>
              <w:ind w:left="-37" w:right="284"/>
              <w:jc w:val="center"/>
              <w:rPr>
                <w:rFonts w:ascii="Times New Roman" w:hAnsi="Times New Roman"/>
                <w:szCs w:val="24"/>
              </w:rPr>
            </w:pPr>
            <w:r w:rsidRPr="00C8591E">
              <w:rPr>
                <w:rFonts w:ascii="Times New Roman" w:hAnsi="Times New Roman"/>
                <w:szCs w:val="24"/>
              </w:rPr>
              <w:t>Criterion</w:t>
            </w:r>
          </w:p>
        </w:tc>
      </w:tr>
      <w:tr w:rsidR="00CF0727" w:rsidTr="000A009C">
        <w:trPr>
          <w:trHeight w:val="375"/>
          <w:jc w:val="center"/>
        </w:trPr>
        <w:tc>
          <w:tcPr>
            <w:tcW w:w="1701" w:type="dxa"/>
            <w:vMerge/>
          </w:tcPr>
          <w:p w:rsidR="00CF0727" w:rsidRPr="00C8591E" w:rsidRDefault="00CF0727" w:rsidP="000A009C">
            <w:pPr>
              <w:pStyle w:val="Normaali1"/>
              <w:tabs>
                <w:tab w:val="left" w:pos="360"/>
                <w:tab w:val="left" w:pos="972"/>
              </w:tabs>
              <w:spacing w:before="60" w:after="60" w:line="240" w:lineRule="auto"/>
              <w:ind w:left="397" w:right="284"/>
              <w:rPr>
                <w:rFonts w:ascii="Times New Roman" w:hAnsi="Times New Roman"/>
                <w:szCs w:val="24"/>
              </w:rPr>
            </w:pPr>
          </w:p>
        </w:tc>
        <w:tc>
          <w:tcPr>
            <w:tcW w:w="1221" w:type="dxa"/>
          </w:tcPr>
          <w:p w:rsidR="00CF0727" w:rsidRPr="00C8591E" w:rsidRDefault="00CF0727" w:rsidP="000A009C">
            <w:pPr>
              <w:pStyle w:val="Normaali1"/>
              <w:spacing w:before="60" w:after="60" w:line="240" w:lineRule="auto"/>
              <w:ind w:right="26" w:hanging="5"/>
              <w:jc w:val="center"/>
              <w:rPr>
                <w:rFonts w:ascii="Times New Roman" w:hAnsi="Times New Roman"/>
                <w:szCs w:val="24"/>
              </w:rPr>
            </w:pPr>
            <w:r w:rsidRPr="00C8591E">
              <w:rPr>
                <w:rFonts w:ascii="Times New Roman" w:hAnsi="Times New Roman"/>
                <w:color w:val="000000"/>
                <w:szCs w:val="24"/>
              </w:rPr>
              <w:t>µ</w:t>
            </w:r>
            <w:r w:rsidRPr="00C8591E">
              <w:rPr>
                <w:rFonts w:ascii="Times New Roman" w:hAnsi="Times New Roman"/>
                <w:color w:val="000000"/>
                <w:szCs w:val="24"/>
                <w:vertAlign w:val="subscript"/>
              </w:rPr>
              <w:t>1</w:t>
            </w:r>
          </w:p>
        </w:tc>
        <w:tc>
          <w:tcPr>
            <w:tcW w:w="1134" w:type="dxa"/>
            <w:shd w:val="clear" w:color="auto" w:fill="auto"/>
          </w:tcPr>
          <w:p w:rsidR="00CF0727" w:rsidRPr="00580391" w:rsidRDefault="00CF0727" w:rsidP="000A009C">
            <w:pPr>
              <w:pStyle w:val="Normaali1"/>
              <w:spacing w:before="60" w:after="60" w:line="240" w:lineRule="auto"/>
              <w:ind w:left="-115" w:right="-115"/>
              <w:jc w:val="center"/>
              <w:rPr>
                <w:rFonts w:ascii="Times New Roman" w:hAnsi="Times New Roman"/>
                <w:szCs w:val="24"/>
              </w:rPr>
            </w:pPr>
            <w:r w:rsidRPr="00C8591E">
              <w:rPr>
                <w:rFonts w:ascii="Times New Roman" w:hAnsi="Times New Roman"/>
                <w:color w:val="000000"/>
                <w:szCs w:val="24"/>
              </w:rPr>
              <w:t>µ</w:t>
            </w:r>
            <w:r w:rsidRPr="00C8591E">
              <w:rPr>
                <w:rFonts w:ascii="Times New Roman" w:hAnsi="Times New Roman"/>
                <w:color w:val="000000"/>
                <w:szCs w:val="24"/>
                <w:vertAlign w:val="subscript"/>
              </w:rPr>
              <w:t>2</w:t>
            </w:r>
            <w:r>
              <w:rPr>
                <w:rFonts w:ascii="Times New Roman" w:hAnsi="Times New Roman"/>
                <w:color w:val="000000"/>
                <w:szCs w:val="24"/>
              </w:rPr>
              <w:t>*</w:t>
            </w:r>
          </w:p>
        </w:tc>
        <w:tc>
          <w:tcPr>
            <w:tcW w:w="1134" w:type="dxa"/>
          </w:tcPr>
          <w:p w:rsidR="00CF0727" w:rsidRPr="00C8591E" w:rsidRDefault="00CF0727" w:rsidP="000A009C">
            <w:pPr>
              <w:pStyle w:val="Normaali1"/>
              <w:spacing w:before="60" w:after="60" w:line="240" w:lineRule="auto"/>
              <w:ind w:right="26" w:hanging="5"/>
              <w:jc w:val="center"/>
              <w:rPr>
                <w:rFonts w:ascii="Times New Roman" w:hAnsi="Times New Roman"/>
                <w:szCs w:val="24"/>
              </w:rPr>
            </w:pPr>
            <w:r w:rsidRPr="00C8591E">
              <w:rPr>
                <w:rFonts w:ascii="Times New Roman" w:hAnsi="Times New Roman"/>
                <w:color w:val="000000"/>
                <w:szCs w:val="24"/>
              </w:rPr>
              <w:t>µ</w:t>
            </w:r>
            <w:r w:rsidRPr="00C8591E">
              <w:rPr>
                <w:rFonts w:ascii="Times New Roman" w:hAnsi="Times New Roman"/>
                <w:color w:val="000000"/>
                <w:szCs w:val="24"/>
                <w:vertAlign w:val="subscript"/>
              </w:rPr>
              <w:t>3</w:t>
            </w:r>
          </w:p>
        </w:tc>
        <w:tc>
          <w:tcPr>
            <w:tcW w:w="1134" w:type="dxa"/>
          </w:tcPr>
          <w:p w:rsidR="00CF0727" w:rsidRPr="00C8591E" w:rsidRDefault="00CF0727" w:rsidP="000A009C">
            <w:pPr>
              <w:pStyle w:val="Normaali1"/>
              <w:spacing w:before="60" w:after="60" w:line="240" w:lineRule="auto"/>
              <w:ind w:left="-115" w:right="-115"/>
              <w:jc w:val="center"/>
              <w:rPr>
                <w:rFonts w:ascii="Times New Roman" w:hAnsi="Times New Roman"/>
                <w:szCs w:val="24"/>
              </w:rPr>
            </w:pPr>
            <w:r w:rsidRPr="00C8591E">
              <w:rPr>
                <w:rFonts w:ascii="Times New Roman" w:hAnsi="Times New Roman"/>
                <w:color w:val="000000"/>
                <w:szCs w:val="24"/>
              </w:rPr>
              <w:t>µ</w:t>
            </w:r>
            <w:r w:rsidRPr="00C8591E">
              <w:rPr>
                <w:rFonts w:ascii="Times New Roman" w:hAnsi="Times New Roman"/>
                <w:color w:val="000000"/>
                <w:szCs w:val="24"/>
                <w:vertAlign w:val="subscript"/>
              </w:rPr>
              <w:t>4</w:t>
            </w:r>
          </w:p>
        </w:tc>
        <w:tc>
          <w:tcPr>
            <w:tcW w:w="1327" w:type="dxa"/>
          </w:tcPr>
          <w:p w:rsidR="00CF0727" w:rsidRPr="00C8591E" w:rsidRDefault="00CF0727" w:rsidP="000A009C">
            <w:pPr>
              <w:pStyle w:val="Normaali1"/>
              <w:spacing w:before="60" w:after="60" w:line="240" w:lineRule="auto"/>
              <w:ind w:right="26" w:hanging="5"/>
              <w:jc w:val="center"/>
              <w:rPr>
                <w:rFonts w:ascii="Times New Roman" w:hAnsi="Times New Roman"/>
                <w:szCs w:val="24"/>
              </w:rPr>
            </w:pPr>
            <w:r w:rsidRPr="00C8591E">
              <w:rPr>
                <w:rFonts w:ascii="Times New Roman" w:hAnsi="Times New Roman"/>
                <w:color w:val="000000"/>
                <w:szCs w:val="24"/>
              </w:rPr>
              <w:t>µ</w:t>
            </w:r>
            <w:r w:rsidRPr="00C8591E">
              <w:rPr>
                <w:rFonts w:ascii="Times New Roman" w:hAnsi="Times New Roman"/>
                <w:color w:val="000000"/>
                <w:szCs w:val="24"/>
                <w:vertAlign w:val="subscript"/>
              </w:rPr>
              <w:t>5</w:t>
            </w:r>
            <w:r w:rsidRPr="00C8591E">
              <w:rPr>
                <w:rFonts w:ascii="Times New Roman" w:hAnsi="Times New Roman"/>
                <w:color w:val="000000"/>
                <w:szCs w:val="24"/>
              </w:rPr>
              <w:t xml:space="preserve"> × 100</w:t>
            </w:r>
          </w:p>
        </w:tc>
        <w:tc>
          <w:tcPr>
            <w:tcW w:w="1231" w:type="dxa"/>
          </w:tcPr>
          <w:p w:rsidR="00CF0727" w:rsidRPr="00C8591E" w:rsidRDefault="00CF0727" w:rsidP="000A009C">
            <w:pPr>
              <w:pStyle w:val="Normaali1"/>
              <w:spacing w:before="60" w:after="60" w:line="240" w:lineRule="auto"/>
              <w:ind w:left="-115" w:right="-115"/>
              <w:jc w:val="center"/>
              <w:rPr>
                <w:rFonts w:ascii="Times New Roman" w:hAnsi="Times New Roman"/>
                <w:szCs w:val="24"/>
              </w:rPr>
            </w:pPr>
            <w:r w:rsidRPr="00C8591E">
              <w:rPr>
                <w:rFonts w:ascii="Times New Roman" w:hAnsi="Times New Roman"/>
                <w:color w:val="000000"/>
                <w:szCs w:val="24"/>
              </w:rPr>
              <w:t>s</w:t>
            </w:r>
            <w:r>
              <w:rPr>
                <w:rFonts w:ascii="Times New Roman" w:hAnsi="Times New Roman"/>
                <w:color w:val="000000"/>
                <w:szCs w:val="24"/>
              </w:rPr>
              <w:t>d</w:t>
            </w:r>
          </w:p>
        </w:tc>
      </w:tr>
      <w:tr w:rsidR="00CF0727" w:rsidTr="000A009C">
        <w:trPr>
          <w:jc w:val="center"/>
        </w:trPr>
        <w:tc>
          <w:tcPr>
            <w:tcW w:w="1701" w:type="dxa"/>
          </w:tcPr>
          <w:p w:rsidR="00CF0727" w:rsidRPr="00C8591E" w:rsidRDefault="00CF0727" w:rsidP="000A009C">
            <w:pPr>
              <w:pStyle w:val="Normaali1"/>
              <w:tabs>
                <w:tab w:val="left" w:pos="360"/>
                <w:tab w:val="left" w:pos="972"/>
              </w:tabs>
              <w:spacing w:before="60" w:after="60" w:line="240" w:lineRule="auto"/>
              <w:ind w:left="403" w:right="288" w:hanging="397"/>
              <w:rPr>
                <w:rFonts w:ascii="Times New Roman" w:hAnsi="Times New Roman"/>
                <w:szCs w:val="24"/>
              </w:rPr>
            </w:pPr>
            <w:r w:rsidRPr="00C8591E">
              <w:rPr>
                <w:rFonts w:ascii="Times New Roman" w:hAnsi="Times New Roman"/>
                <w:szCs w:val="24"/>
              </w:rPr>
              <w:t>SLQ</w:t>
            </w:r>
          </w:p>
        </w:tc>
        <w:tc>
          <w:tcPr>
            <w:tcW w:w="1221" w:type="dxa"/>
          </w:tcPr>
          <w:p w:rsidR="00CF0727" w:rsidRPr="00C8591E" w:rsidRDefault="00CF0727" w:rsidP="000A009C">
            <w:pPr>
              <w:pStyle w:val="Normaali1"/>
              <w:tabs>
                <w:tab w:val="decimal" w:pos="562"/>
              </w:tabs>
              <w:spacing w:before="60" w:after="60" w:line="240" w:lineRule="auto"/>
              <w:ind w:left="-115" w:right="-115"/>
              <w:jc w:val="left"/>
              <w:rPr>
                <w:rFonts w:ascii="Times New Roman" w:hAnsi="Times New Roman"/>
                <w:szCs w:val="24"/>
              </w:rPr>
            </w:pPr>
            <w:r>
              <w:rPr>
                <w:rFonts w:ascii="Times New Roman" w:hAnsi="Times New Roman"/>
                <w:szCs w:val="24"/>
              </w:rPr>
              <w:t>14.7</w:t>
            </w:r>
          </w:p>
        </w:tc>
        <w:tc>
          <w:tcPr>
            <w:tcW w:w="1134" w:type="dxa"/>
            <w:vAlign w:val="bottom"/>
          </w:tcPr>
          <w:p w:rsidR="00CF0727" w:rsidRPr="00C8591E" w:rsidRDefault="00CF0727" w:rsidP="000A009C">
            <w:pPr>
              <w:widowControl w:val="0"/>
              <w:tabs>
                <w:tab w:val="decimal" w:pos="452"/>
              </w:tabs>
              <w:adjustRightInd w:val="0"/>
              <w:spacing w:before="36" w:after="36"/>
              <w:ind w:left="-102" w:right="-108" w:hanging="12"/>
              <w:jc w:val="left"/>
              <w:textAlignment w:val="baseline"/>
              <w:rPr>
                <w:rFonts w:eastAsia="Times New Roman"/>
                <w:bCs/>
              </w:rPr>
            </w:pPr>
            <w:r>
              <w:rPr>
                <w:rFonts w:eastAsia="Times New Roman"/>
                <w:bCs/>
              </w:rPr>
              <w:t>5</w:t>
            </w:r>
            <w:r w:rsidRPr="00C8591E">
              <w:rPr>
                <w:rFonts w:eastAsia="Times New Roman"/>
                <w:bCs/>
              </w:rPr>
              <w:t>9.</w:t>
            </w:r>
            <w:r>
              <w:rPr>
                <w:rFonts w:eastAsia="Times New Roman"/>
                <w:bCs/>
              </w:rPr>
              <w:t>8</w:t>
            </w:r>
          </w:p>
        </w:tc>
        <w:tc>
          <w:tcPr>
            <w:tcW w:w="1134" w:type="dxa"/>
            <w:vAlign w:val="bottom"/>
          </w:tcPr>
          <w:p w:rsidR="00CF0727" w:rsidRPr="00C8591E"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14</w:t>
            </w:r>
            <w:r w:rsidRPr="00C8591E">
              <w:rPr>
                <w:rFonts w:eastAsia="Times New Roman"/>
                <w:bCs/>
              </w:rPr>
              <w:t>.</w:t>
            </w:r>
            <w:r>
              <w:rPr>
                <w:rFonts w:eastAsia="Times New Roman"/>
                <w:bCs/>
              </w:rPr>
              <w:t>2</w:t>
            </w:r>
          </w:p>
        </w:tc>
        <w:tc>
          <w:tcPr>
            <w:tcW w:w="1134" w:type="dxa"/>
            <w:vAlign w:val="bottom"/>
          </w:tcPr>
          <w:p w:rsidR="00CF0727" w:rsidRPr="00C8591E"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20</w:t>
            </w:r>
            <w:r w:rsidRPr="00C8591E">
              <w:rPr>
                <w:rFonts w:eastAsia="Times New Roman"/>
                <w:bCs/>
              </w:rPr>
              <w:t>.</w:t>
            </w:r>
            <w:r>
              <w:rPr>
                <w:rFonts w:eastAsia="Times New Roman"/>
                <w:bCs/>
              </w:rPr>
              <w:t>4</w:t>
            </w:r>
          </w:p>
        </w:tc>
        <w:tc>
          <w:tcPr>
            <w:tcW w:w="1327" w:type="dxa"/>
            <w:vAlign w:val="bottom"/>
          </w:tcPr>
          <w:p w:rsidR="00CF0727" w:rsidRPr="00C8591E" w:rsidRDefault="00CF0727" w:rsidP="000A009C">
            <w:pPr>
              <w:widowControl w:val="0"/>
              <w:tabs>
                <w:tab w:val="decimal" w:pos="577"/>
              </w:tabs>
              <w:adjustRightInd w:val="0"/>
              <w:spacing w:before="36" w:after="36"/>
              <w:ind w:left="-79" w:right="-108"/>
              <w:jc w:val="left"/>
              <w:textAlignment w:val="baseline"/>
              <w:rPr>
                <w:rFonts w:eastAsia="Times New Roman"/>
                <w:bCs/>
              </w:rPr>
            </w:pPr>
            <w:r>
              <w:rPr>
                <w:rFonts w:eastAsia="Times New Roman"/>
                <w:bCs/>
              </w:rPr>
              <w:t>15</w:t>
            </w:r>
            <w:r w:rsidRPr="00C8591E">
              <w:rPr>
                <w:rFonts w:eastAsia="Times New Roman"/>
                <w:bCs/>
              </w:rPr>
              <w:t>.</w:t>
            </w:r>
            <w:r>
              <w:rPr>
                <w:rFonts w:eastAsia="Times New Roman"/>
                <w:bCs/>
              </w:rPr>
              <w:t>7</w:t>
            </w:r>
          </w:p>
        </w:tc>
        <w:tc>
          <w:tcPr>
            <w:tcW w:w="1231"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sidRPr="00C8591E">
              <w:rPr>
                <w:rFonts w:ascii="Times New Roman" w:hAnsi="Times New Roman"/>
                <w:szCs w:val="24"/>
              </w:rPr>
              <w:t>0.</w:t>
            </w:r>
            <w:r>
              <w:rPr>
                <w:rFonts w:ascii="Times New Roman" w:hAnsi="Times New Roman"/>
                <w:szCs w:val="24"/>
              </w:rPr>
              <w:t>1</w:t>
            </w:r>
            <w:r w:rsidRPr="00C8591E">
              <w:rPr>
                <w:rFonts w:ascii="Times New Roman" w:hAnsi="Times New Roman"/>
                <w:szCs w:val="24"/>
              </w:rPr>
              <w:t>1</w:t>
            </w:r>
            <w:r>
              <w:rPr>
                <w:rFonts w:ascii="Times New Roman" w:hAnsi="Times New Roman"/>
                <w:szCs w:val="24"/>
              </w:rPr>
              <w:t>67</w:t>
            </w:r>
          </w:p>
        </w:tc>
      </w:tr>
      <w:tr w:rsidR="00CF0727" w:rsidTr="000A009C">
        <w:trPr>
          <w:jc w:val="center"/>
        </w:trPr>
        <w:tc>
          <w:tcPr>
            <w:tcW w:w="1701" w:type="dxa"/>
          </w:tcPr>
          <w:p w:rsidR="00CF0727" w:rsidRPr="00C8591E" w:rsidRDefault="00CF0727" w:rsidP="000A009C">
            <w:pPr>
              <w:pStyle w:val="Normaali1"/>
              <w:tabs>
                <w:tab w:val="left" w:pos="360"/>
                <w:tab w:val="left" w:pos="972"/>
              </w:tabs>
              <w:spacing w:before="60" w:after="60" w:line="240" w:lineRule="auto"/>
              <w:ind w:left="403" w:right="288" w:hanging="397"/>
              <w:rPr>
                <w:rFonts w:ascii="Times New Roman" w:hAnsi="Times New Roman"/>
                <w:szCs w:val="24"/>
              </w:rPr>
            </w:pPr>
            <w:r w:rsidRPr="00C8591E">
              <w:rPr>
                <w:rFonts w:ascii="Times New Roman" w:hAnsi="Times New Roman"/>
                <w:szCs w:val="24"/>
              </w:rPr>
              <w:t>CILQ</w:t>
            </w:r>
          </w:p>
        </w:tc>
        <w:tc>
          <w:tcPr>
            <w:tcW w:w="1221" w:type="dxa"/>
          </w:tcPr>
          <w:p w:rsidR="00CF0727" w:rsidRPr="00C8591E" w:rsidRDefault="00CF0727" w:rsidP="000A009C">
            <w:pPr>
              <w:pStyle w:val="Normaali1"/>
              <w:tabs>
                <w:tab w:val="decimal" w:pos="562"/>
              </w:tabs>
              <w:spacing w:before="60" w:after="60" w:line="240" w:lineRule="auto"/>
              <w:ind w:left="-115" w:right="-115"/>
              <w:jc w:val="left"/>
              <w:rPr>
                <w:rFonts w:ascii="Times New Roman" w:hAnsi="Times New Roman"/>
                <w:szCs w:val="24"/>
              </w:rPr>
            </w:pPr>
            <w:r>
              <w:rPr>
                <w:rFonts w:ascii="Times New Roman" w:hAnsi="Times New Roman"/>
                <w:szCs w:val="24"/>
              </w:rPr>
              <w:t>15.0</w:t>
            </w:r>
          </w:p>
        </w:tc>
        <w:tc>
          <w:tcPr>
            <w:tcW w:w="1134" w:type="dxa"/>
            <w:vAlign w:val="bottom"/>
          </w:tcPr>
          <w:p w:rsidR="00CF0727" w:rsidRPr="00C8591E" w:rsidRDefault="00CF0727" w:rsidP="000A009C">
            <w:pPr>
              <w:widowControl w:val="0"/>
              <w:tabs>
                <w:tab w:val="decimal" w:pos="452"/>
              </w:tabs>
              <w:adjustRightInd w:val="0"/>
              <w:spacing w:before="36" w:after="36"/>
              <w:ind w:left="-102" w:right="-108" w:hanging="12"/>
              <w:jc w:val="left"/>
              <w:textAlignment w:val="baseline"/>
              <w:rPr>
                <w:rFonts w:eastAsia="Times New Roman"/>
                <w:bCs/>
              </w:rPr>
            </w:pPr>
            <w:r>
              <w:rPr>
                <w:rFonts w:eastAsia="Times New Roman"/>
                <w:bCs/>
              </w:rPr>
              <w:t>63</w:t>
            </w:r>
            <w:r w:rsidRPr="00C8591E">
              <w:rPr>
                <w:rFonts w:eastAsia="Times New Roman"/>
                <w:bCs/>
              </w:rPr>
              <w:t>.</w:t>
            </w:r>
            <w:r>
              <w:rPr>
                <w:rFonts w:eastAsia="Times New Roman"/>
                <w:bCs/>
              </w:rPr>
              <w:t>3</w:t>
            </w:r>
          </w:p>
        </w:tc>
        <w:tc>
          <w:tcPr>
            <w:tcW w:w="1134" w:type="dxa"/>
            <w:vAlign w:val="bottom"/>
          </w:tcPr>
          <w:p w:rsidR="00CF0727" w:rsidRPr="00C8591E"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12</w:t>
            </w:r>
            <w:r w:rsidRPr="00C8591E">
              <w:rPr>
                <w:rFonts w:eastAsia="Times New Roman"/>
                <w:bCs/>
              </w:rPr>
              <w:t>.</w:t>
            </w:r>
            <w:r>
              <w:rPr>
                <w:rFonts w:eastAsia="Times New Roman"/>
                <w:bCs/>
              </w:rPr>
              <w:t>3</w:t>
            </w:r>
          </w:p>
        </w:tc>
        <w:tc>
          <w:tcPr>
            <w:tcW w:w="1134" w:type="dxa"/>
            <w:vAlign w:val="bottom"/>
          </w:tcPr>
          <w:p w:rsidR="00CF0727" w:rsidRPr="00C8591E"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19</w:t>
            </w:r>
            <w:r w:rsidRPr="00C8591E">
              <w:rPr>
                <w:rFonts w:eastAsia="Times New Roman"/>
                <w:bCs/>
              </w:rPr>
              <w:t>.</w:t>
            </w:r>
            <w:r>
              <w:rPr>
                <w:rFonts w:eastAsia="Times New Roman"/>
                <w:bCs/>
              </w:rPr>
              <w:t>9</w:t>
            </w:r>
          </w:p>
        </w:tc>
        <w:tc>
          <w:tcPr>
            <w:tcW w:w="1327" w:type="dxa"/>
            <w:vAlign w:val="bottom"/>
          </w:tcPr>
          <w:p w:rsidR="00CF0727" w:rsidRPr="00C8591E" w:rsidRDefault="00CF0727" w:rsidP="000A009C">
            <w:pPr>
              <w:widowControl w:val="0"/>
              <w:tabs>
                <w:tab w:val="decimal" w:pos="577"/>
              </w:tabs>
              <w:adjustRightInd w:val="0"/>
              <w:spacing w:before="36" w:after="36"/>
              <w:ind w:left="-79" w:right="-108"/>
              <w:jc w:val="left"/>
              <w:textAlignment w:val="baseline"/>
              <w:rPr>
                <w:rFonts w:eastAsia="Times New Roman"/>
                <w:bCs/>
              </w:rPr>
            </w:pPr>
            <w:r>
              <w:rPr>
                <w:rFonts w:eastAsia="Times New Roman"/>
                <w:bCs/>
              </w:rPr>
              <w:t>16</w:t>
            </w:r>
            <w:r w:rsidRPr="00C8591E">
              <w:rPr>
                <w:rFonts w:eastAsia="Times New Roman"/>
                <w:bCs/>
              </w:rPr>
              <w:t>.</w:t>
            </w:r>
            <w:r>
              <w:rPr>
                <w:rFonts w:eastAsia="Times New Roman"/>
                <w:bCs/>
              </w:rPr>
              <w:t>4</w:t>
            </w:r>
          </w:p>
        </w:tc>
        <w:tc>
          <w:tcPr>
            <w:tcW w:w="1231"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sidRPr="00C8591E">
              <w:rPr>
                <w:rFonts w:ascii="Times New Roman" w:hAnsi="Times New Roman"/>
                <w:szCs w:val="24"/>
              </w:rPr>
              <w:t>0.</w:t>
            </w:r>
            <w:r>
              <w:rPr>
                <w:rFonts w:ascii="Times New Roman" w:hAnsi="Times New Roman"/>
                <w:szCs w:val="24"/>
              </w:rPr>
              <w:t>1061</w:t>
            </w:r>
          </w:p>
        </w:tc>
      </w:tr>
      <w:tr w:rsidR="00CF0727" w:rsidTr="000A009C">
        <w:trPr>
          <w:jc w:val="center"/>
        </w:trPr>
        <w:tc>
          <w:tcPr>
            <w:tcW w:w="1701" w:type="dxa"/>
          </w:tcPr>
          <w:p w:rsidR="00CF0727" w:rsidRPr="00C8591E" w:rsidRDefault="00CF0727" w:rsidP="000A009C">
            <w:pPr>
              <w:pStyle w:val="Normaali1"/>
              <w:spacing w:before="60" w:after="60" w:line="240" w:lineRule="auto"/>
              <w:ind w:right="-84" w:firstLine="6"/>
              <w:rPr>
                <w:rFonts w:ascii="Times New Roman" w:hAnsi="Times New Roman"/>
                <w:szCs w:val="24"/>
              </w:rPr>
            </w:pPr>
            <w:r w:rsidRPr="00C8591E">
              <w:rPr>
                <w:rFonts w:ascii="Times New Roman" w:hAnsi="Times New Roman"/>
                <w:szCs w:val="24"/>
              </w:rPr>
              <w:t>FLQ (</w:t>
            </w:r>
            <w:r w:rsidRPr="00C8591E">
              <w:rPr>
                <w:rFonts w:ascii="Times New Roman" w:hAnsi="Times New Roman"/>
                <w:color w:val="000000"/>
                <w:szCs w:val="24"/>
                <w:lang w:val="en-GB"/>
              </w:rPr>
              <w:t>δ = 0.</w:t>
            </w:r>
            <w:r>
              <w:rPr>
                <w:rFonts w:ascii="Times New Roman" w:hAnsi="Times New Roman"/>
                <w:color w:val="000000"/>
                <w:szCs w:val="24"/>
                <w:lang w:val="en-GB"/>
              </w:rPr>
              <w:t>15</w:t>
            </w:r>
            <w:r w:rsidRPr="00C8591E">
              <w:rPr>
                <w:rFonts w:ascii="Times New Roman" w:hAnsi="Times New Roman"/>
                <w:szCs w:val="24"/>
              </w:rPr>
              <w:t>)</w:t>
            </w:r>
          </w:p>
        </w:tc>
        <w:tc>
          <w:tcPr>
            <w:tcW w:w="1221" w:type="dxa"/>
            <w:vAlign w:val="bottom"/>
          </w:tcPr>
          <w:p w:rsidR="00CF0727" w:rsidRPr="00C8591E" w:rsidRDefault="00CF0727" w:rsidP="000A009C">
            <w:pPr>
              <w:widowControl w:val="0"/>
              <w:tabs>
                <w:tab w:val="decimal" w:pos="562"/>
              </w:tabs>
              <w:adjustRightInd w:val="0"/>
              <w:spacing w:before="36" w:after="36"/>
              <w:ind w:left="-79" w:right="-108"/>
              <w:jc w:val="left"/>
              <w:textAlignment w:val="baseline"/>
              <w:rPr>
                <w:rFonts w:eastAsia="Times New Roman"/>
                <w:bCs/>
              </w:rPr>
            </w:pPr>
            <w:r>
              <w:rPr>
                <w:rFonts w:eastAsia="Times New Roman"/>
                <w:bCs/>
              </w:rPr>
              <w:t>5</w:t>
            </w:r>
            <w:r w:rsidRPr="00C8591E">
              <w:rPr>
                <w:rFonts w:eastAsia="Times New Roman"/>
                <w:bCs/>
              </w:rPr>
              <w:t>.</w:t>
            </w:r>
            <w:r>
              <w:rPr>
                <w:rFonts w:eastAsia="Times New Roman"/>
                <w:bCs/>
              </w:rPr>
              <w:t>7</w:t>
            </w:r>
          </w:p>
        </w:tc>
        <w:tc>
          <w:tcPr>
            <w:tcW w:w="1134" w:type="dxa"/>
            <w:vAlign w:val="bottom"/>
          </w:tcPr>
          <w:p w:rsidR="00CF0727" w:rsidRPr="00C8591E" w:rsidRDefault="00CF0727" w:rsidP="000A009C">
            <w:pPr>
              <w:widowControl w:val="0"/>
              <w:tabs>
                <w:tab w:val="decimal" w:pos="452"/>
              </w:tabs>
              <w:adjustRightInd w:val="0"/>
              <w:spacing w:before="36" w:after="36"/>
              <w:ind w:left="-102" w:right="-108" w:hanging="12"/>
              <w:jc w:val="left"/>
              <w:textAlignment w:val="baseline"/>
              <w:rPr>
                <w:rFonts w:eastAsia="Times New Roman"/>
                <w:bCs/>
              </w:rPr>
            </w:pPr>
            <w:r>
              <w:rPr>
                <w:rFonts w:eastAsia="Times New Roman"/>
                <w:bCs/>
              </w:rPr>
              <w:t>26.4</w:t>
            </w:r>
          </w:p>
        </w:tc>
        <w:tc>
          <w:tcPr>
            <w:tcW w:w="1134" w:type="dxa"/>
            <w:vAlign w:val="bottom"/>
          </w:tcPr>
          <w:p w:rsidR="00CF0727" w:rsidRPr="00C8591E"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3</w:t>
            </w:r>
            <w:r w:rsidRPr="00C8591E">
              <w:rPr>
                <w:rFonts w:eastAsia="Times New Roman"/>
                <w:bCs/>
              </w:rPr>
              <w:t>.</w:t>
            </w:r>
            <w:r>
              <w:rPr>
                <w:rFonts w:eastAsia="Times New Roman"/>
                <w:bCs/>
              </w:rPr>
              <w:t>4</w:t>
            </w:r>
          </w:p>
        </w:tc>
        <w:tc>
          <w:tcPr>
            <w:tcW w:w="1134" w:type="dxa"/>
            <w:vAlign w:val="bottom"/>
          </w:tcPr>
          <w:p w:rsidR="00CF0727" w:rsidRPr="00C8591E" w:rsidRDefault="00CF0727" w:rsidP="000A009C">
            <w:pPr>
              <w:widowControl w:val="0"/>
              <w:tabs>
                <w:tab w:val="decimal" w:pos="452"/>
              </w:tabs>
              <w:adjustRightInd w:val="0"/>
              <w:spacing w:before="36" w:after="36"/>
              <w:ind w:left="-108" w:right="-108"/>
              <w:jc w:val="left"/>
              <w:textAlignment w:val="baseline"/>
              <w:rPr>
                <w:rFonts w:eastAsia="Times New Roman"/>
                <w:bCs/>
              </w:rPr>
            </w:pPr>
            <w:r w:rsidRPr="00C8591E">
              <w:rPr>
                <w:rFonts w:eastAsia="Times New Roman"/>
                <w:bCs/>
              </w:rPr>
              <w:t>1</w:t>
            </w:r>
            <w:r>
              <w:rPr>
                <w:rFonts w:eastAsia="Times New Roman"/>
                <w:bCs/>
              </w:rPr>
              <w:t>3</w:t>
            </w:r>
            <w:r w:rsidRPr="00C8591E">
              <w:rPr>
                <w:rFonts w:eastAsia="Times New Roman"/>
                <w:bCs/>
              </w:rPr>
              <w:t>.</w:t>
            </w:r>
            <w:r>
              <w:rPr>
                <w:rFonts w:eastAsia="Times New Roman"/>
                <w:bCs/>
              </w:rPr>
              <w:t>1</w:t>
            </w:r>
          </w:p>
        </w:tc>
        <w:tc>
          <w:tcPr>
            <w:tcW w:w="1327" w:type="dxa"/>
            <w:vAlign w:val="bottom"/>
          </w:tcPr>
          <w:p w:rsidR="00CF0727" w:rsidRPr="00C8591E" w:rsidRDefault="00CF0727" w:rsidP="000A009C">
            <w:pPr>
              <w:widowControl w:val="0"/>
              <w:tabs>
                <w:tab w:val="decimal" w:pos="577"/>
              </w:tabs>
              <w:adjustRightInd w:val="0"/>
              <w:spacing w:before="36" w:after="36"/>
              <w:ind w:left="-79" w:right="-108"/>
              <w:jc w:val="left"/>
              <w:textAlignment w:val="baseline"/>
              <w:rPr>
                <w:rFonts w:eastAsia="Times New Roman"/>
                <w:bCs/>
              </w:rPr>
            </w:pPr>
            <w:r>
              <w:rPr>
                <w:rFonts w:eastAsia="Times New Roman"/>
                <w:bCs/>
              </w:rPr>
              <w:t>9</w:t>
            </w:r>
            <w:r w:rsidRPr="00C8591E">
              <w:rPr>
                <w:rFonts w:eastAsia="Times New Roman"/>
                <w:bCs/>
              </w:rPr>
              <w:t>.</w:t>
            </w:r>
            <w:r>
              <w:rPr>
                <w:rFonts w:eastAsia="Times New Roman"/>
                <w:bCs/>
              </w:rPr>
              <w:t>9</w:t>
            </w:r>
          </w:p>
        </w:tc>
        <w:tc>
          <w:tcPr>
            <w:tcW w:w="1231"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sidRPr="00C8591E">
              <w:rPr>
                <w:rFonts w:ascii="Times New Roman" w:hAnsi="Times New Roman"/>
                <w:szCs w:val="24"/>
              </w:rPr>
              <w:t>0.0</w:t>
            </w:r>
            <w:r>
              <w:rPr>
                <w:rFonts w:ascii="Times New Roman" w:hAnsi="Times New Roman"/>
                <w:szCs w:val="24"/>
              </w:rPr>
              <w:t>763</w:t>
            </w:r>
          </w:p>
        </w:tc>
      </w:tr>
      <w:tr w:rsidR="00CF0727" w:rsidTr="000A009C">
        <w:trPr>
          <w:jc w:val="center"/>
        </w:trPr>
        <w:tc>
          <w:tcPr>
            <w:tcW w:w="1701" w:type="dxa"/>
          </w:tcPr>
          <w:p w:rsidR="00CF0727" w:rsidRPr="00C8591E" w:rsidRDefault="00CF0727" w:rsidP="000A009C">
            <w:pPr>
              <w:pStyle w:val="Normaali1"/>
              <w:spacing w:before="60" w:after="60" w:line="240" w:lineRule="auto"/>
              <w:ind w:right="-84" w:firstLine="6"/>
              <w:rPr>
                <w:rFonts w:ascii="Times New Roman" w:hAnsi="Times New Roman"/>
                <w:szCs w:val="24"/>
              </w:rPr>
            </w:pPr>
            <w:r w:rsidRPr="00C8591E">
              <w:rPr>
                <w:rFonts w:ascii="Times New Roman" w:hAnsi="Times New Roman"/>
                <w:szCs w:val="24"/>
              </w:rPr>
              <w:t>FLQ (</w:t>
            </w:r>
            <w:r w:rsidRPr="00C8591E">
              <w:rPr>
                <w:rFonts w:ascii="Times New Roman" w:hAnsi="Times New Roman"/>
                <w:color w:val="000000"/>
                <w:szCs w:val="24"/>
                <w:lang w:val="en-GB"/>
              </w:rPr>
              <w:t>δ = 0.</w:t>
            </w:r>
            <w:r>
              <w:rPr>
                <w:rFonts w:ascii="Times New Roman" w:hAnsi="Times New Roman"/>
                <w:color w:val="000000"/>
                <w:szCs w:val="24"/>
                <w:lang w:val="en-GB"/>
              </w:rPr>
              <w:t>2</w:t>
            </w:r>
            <w:r w:rsidRPr="00C8591E">
              <w:rPr>
                <w:rFonts w:ascii="Times New Roman" w:hAnsi="Times New Roman"/>
                <w:szCs w:val="24"/>
              </w:rPr>
              <w:t>)</w:t>
            </w:r>
          </w:p>
        </w:tc>
        <w:tc>
          <w:tcPr>
            <w:tcW w:w="1221" w:type="dxa"/>
            <w:vAlign w:val="bottom"/>
          </w:tcPr>
          <w:p w:rsidR="00CF0727" w:rsidRPr="00C8591E" w:rsidRDefault="00CF0727" w:rsidP="000A009C">
            <w:pPr>
              <w:widowControl w:val="0"/>
              <w:tabs>
                <w:tab w:val="decimal" w:pos="562"/>
              </w:tabs>
              <w:adjustRightInd w:val="0"/>
              <w:spacing w:before="36" w:after="36"/>
              <w:ind w:left="-79" w:right="-108"/>
              <w:jc w:val="left"/>
              <w:textAlignment w:val="baseline"/>
              <w:rPr>
                <w:rFonts w:eastAsia="Times New Roman"/>
                <w:bCs/>
              </w:rPr>
            </w:pPr>
            <w:r>
              <w:rPr>
                <w:rFonts w:eastAsia="Times New Roman"/>
                <w:bCs/>
              </w:rPr>
              <w:t>2</w:t>
            </w:r>
            <w:r w:rsidRPr="00C8591E">
              <w:rPr>
                <w:rFonts w:eastAsia="Times New Roman"/>
                <w:bCs/>
              </w:rPr>
              <w:t>.</w:t>
            </w:r>
            <w:r>
              <w:rPr>
                <w:rFonts w:eastAsia="Times New Roman"/>
                <w:bCs/>
              </w:rPr>
              <w:t>6</w:t>
            </w:r>
          </w:p>
        </w:tc>
        <w:tc>
          <w:tcPr>
            <w:tcW w:w="1134" w:type="dxa"/>
            <w:vAlign w:val="bottom"/>
          </w:tcPr>
          <w:p w:rsidR="00CF0727" w:rsidRPr="00C8591E" w:rsidRDefault="00CF0727" w:rsidP="000A009C">
            <w:pPr>
              <w:widowControl w:val="0"/>
              <w:tabs>
                <w:tab w:val="decimal" w:pos="452"/>
              </w:tabs>
              <w:adjustRightInd w:val="0"/>
              <w:spacing w:before="36" w:after="36"/>
              <w:ind w:left="-102" w:right="-108" w:hanging="12"/>
              <w:jc w:val="left"/>
              <w:textAlignment w:val="baseline"/>
              <w:rPr>
                <w:rFonts w:eastAsia="Times New Roman"/>
                <w:bCs/>
              </w:rPr>
            </w:pPr>
            <w:r>
              <w:rPr>
                <w:rFonts w:eastAsia="Times New Roman"/>
                <w:bCs/>
              </w:rPr>
              <w:t>10.6</w:t>
            </w:r>
          </w:p>
        </w:tc>
        <w:tc>
          <w:tcPr>
            <w:tcW w:w="1134" w:type="dxa"/>
            <w:vAlign w:val="bottom"/>
          </w:tcPr>
          <w:p w:rsidR="00CF0727" w:rsidRPr="008E7B30" w:rsidRDefault="00CF0727" w:rsidP="000A009C">
            <w:pPr>
              <w:widowControl w:val="0"/>
              <w:tabs>
                <w:tab w:val="decimal" w:pos="452"/>
              </w:tabs>
              <w:adjustRightInd w:val="0"/>
              <w:spacing w:before="36" w:after="36"/>
              <w:ind w:left="-108" w:right="-108"/>
              <w:jc w:val="left"/>
              <w:textAlignment w:val="baseline"/>
              <w:rPr>
                <w:rFonts w:eastAsia="Times New Roman"/>
                <w:b/>
                <w:bCs/>
              </w:rPr>
            </w:pPr>
            <w:r w:rsidRPr="008E7B30">
              <w:rPr>
                <w:rFonts w:eastAsia="Times New Roman"/>
                <w:b/>
                <w:bCs/>
              </w:rPr>
              <w:t>0.5</w:t>
            </w:r>
          </w:p>
        </w:tc>
        <w:tc>
          <w:tcPr>
            <w:tcW w:w="1134" w:type="dxa"/>
            <w:vAlign w:val="bottom"/>
          </w:tcPr>
          <w:p w:rsidR="00CF0727" w:rsidRPr="008E7B30" w:rsidRDefault="00CF0727" w:rsidP="000A009C">
            <w:pPr>
              <w:widowControl w:val="0"/>
              <w:tabs>
                <w:tab w:val="decimal" w:pos="452"/>
              </w:tabs>
              <w:adjustRightInd w:val="0"/>
              <w:spacing w:before="36" w:after="36"/>
              <w:ind w:left="-108" w:right="-108"/>
              <w:jc w:val="left"/>
              <w:textAlignment w:val="baseline"/>
              <w:rPr>
                <w:rFonts w:eastAsia="Times New Roman"/>
                <w:b/>
                <w:bCs/>
              </w:rPr>
            </w:pPr>
            <w:r w:rsidRPr="008E7B30">
              <w:rPr>
                <w:rFonts w:eastAsia="Times New Roman"/>
                <w:b/>
                <w:bCs/>
              </w:rPr>
              <w:t>11.9</w:t>
            </w:r>
          </w:p>
        </w:tc>
        <w:tc>
          <w:tcPr>
            <w:tcW w:w="1327" w:type="dxa"/>
            <w:vAlign w:val="bottom"/>
          </w:tcPr>
          <w:p w:rsidR="00CF0727" w:rsidRPr="00C8591E" w:rsidRDefault="00CF0727" w:rsidP="000A009C">
            <w:pPr>
              <w:widowControl w:val="0"/>
              <w:tabs>
                <w:tab w:val="decimal" w:pos="577"/>
              </w:tabs>
              <w:adjustRightInd w:val="0"/>
              <w:spacing w:before="36" w:after="36"/>
              <w:ind w:left="-79" w:right="-108"/>
              <w:jc w:val="left"/>
              <w:textAlignment w:val="baseline"/>
              <w:rPr>
                <w:rFonts w:eastAsia="Times New Roman"/>
                <w:bCs/>
              </w:rPr>
            </w:pPr>
            <w:r>
              <w:rPr>
                <w:rFonts w:eastAsia="Times New Roman"/>
                <w:bCs/>
              </w:rPr>
              <w:t>8</w:t>
            </w:r>
            <w:r w:rsidRPr="00C8591E">
              <w:rPr>
                <w:rFonts w:eastAsia="Times New Roman"/>
                <w:bCs/>
              </w:rPr>
              <w:t>.</w:t>
            </w:r>
            <w:r>
              <w:rPr>
                <w:rFonts w:eastAsia="Times New Roman"/>
                <w:bCs/>
              </w:rPr>
              <w:t>5</w:t>
            </w:r>
          </w:p>
        </w:tc>
        <w:tc>
          <w:tcPr>
            <w:tcW w:w="1231"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sidRPr="00C8591E">
              <w:rPr>
                <w:rFonts w:ascii="Times New Roman" w:hAnsi="Times New Roman"/>
                <w:szCs w:val="24"/>
              </w:rPr>
              <w:t>0.06</w:t>
            </w:r>
            <w:r>
              <w:rPr>
                <w:rFonts w:ascii="Times New Roman" w:hAnsi="Times New Roman"/>
                <w:szCs w:val="24"/>
              </w:rPr>
              <w:t>82</w:t>
            </w:r>
          </w:p>
        </w:tc>
      </w:tr>
      <w:tr w:rsidR="00CF0727" w:rsidTr="000A009C">
        <w:trPr>
          <w:jc w:val="center"/>
        </w:trPr>
        <w:tc>
          <w:tcPr>
            <w:tcW w:w="1701" w:type="dxa"/>
          </w:tcPr>
          <w:p w:rsidR="00CF0727" w:rsidRPr="00C8591E" w:rsidRDefault="00CF0727" w:rsidP="000A009C">
            <w:pPr>
              <w:pStyle w:val="Normaali1"/>
              <w:spacing w:before="60" w:after="60" w:line="240" w:lineRule="auto"/>
              <w:ind w:left="-4" w:right="-84"/>
              <w:rPr>
                <w:rFonts w:ascii="Times New Roman" w:hAnsi="Times New Roman"/>
                <w:szCs w:val="24"/>
              </w:rPr>
            </w:pPr>
            <w:r w:rsidRPr="00C8591E">
              <w:rPr>
                <w:rFonts w:ascii="Times New Roman" w:hAnsi="Times New Roman"/>
                <w:szCs w:val="24"/>
              </w:rPr>
              <w:t>FLQ (</w:t>
            </w:r>
            <w:r w:rsidRPr="00C8591E">
              <w:rPr>
                <w:rFonts w:ascii="Times New Roman" w:hAnsi="Times New Roman"/>
                <w:color w:val="000000"/>
                <w:szCs w:val="24"/>
                <w:lang w:val="en-GB"/>
              </w:rPr>
              <w:t>δ = 0.</w:t>
            </w:r>
            <w:r>
              <w:rPr>
                <w:rFonts w:ascii="Times New Roman" w:hAnsi="Times New Roman"/>
                <w:color w:val="000000"/>
                <w:szCs w:val="24"/>
                <w:lang w:val="en-GB"/>
              </w:rPr>
              <w:t>2</w:t>
            </w:r>
            <w:r w:rsidRPr="00C8591E">
              <w:rPr>
                <w:rFonts w:ascii="Times New Roman" w:hAnsi="Times New Roman"/>
                <w:color w:val="000000"/>
                <w:szCs w:val="24"/>
                <w:lang w:val="en-GB"/>
              </w:rPr>
              <w:t>5</w:t>
            </w:r>
            <w:r w:rsidRPr="00C8591E">
              <w:rPr>
                <w:rFonts w:ascii="Times New Roman" w:hAnsi="Times New Roman"/>
                <w:szCs w:val="24"/>
              </w:rPr>
              <w:t>)</w:t>
            </w:r>
          </w:p>
        </w:tc>
        <w:tc>
          <w:tcPr>
            <w:tcW w:w="1221" w:type="dxa"/>
          </w:tcPr>
          <w:p w:rsidR="00CF0727" w:rsidRPr="00C86B4E" w:rsidRDefault="00CF0727" w:rsidP="000A009C">
            <w:pPr>
              <w:pStyle w:val="Normaali1"/>
              <w:tabs>
                <w:tab w:val="decimal" w:pos="562"/>
              </w:tabs>
              <w:spacing w:before="60" w:after="60" w:line="240" w:lineRule="auto"/>
              <w:ind w:left="-146" w:right="5" w:hanging="10"/>
              <w:jc w:val="left"/>
              <w:rPr>
                <w:rFonts w:ascii="Times New Roman" w:hAnsi="Times New Roman"/>
                <w:b/>
                <w:szCs w:val="24"/>
              </w:rPr>
            </w:pPr>
            <w:r w:rsidRPr="00C86B4E">
              <w:rPr>
                <w:rFonts w:ascii="Times New Roman" w:hAnsi="Times New Roman"/>
                <w:b/>
                <w:bCs/>
                <w:szCs w:val="24"/>
              </w:rPr>
              <w:t>0.</w:t>
            </w:r>
            <w:r>
              <w:rPr>
                <w:rFonts w:ascii="Times New Roman" w:hAnsi="Times New Roman"/>
                <w:b/>
                <w:bCs/>
                <w:szCs w:val="24"/>
              </w:rPr>
              <w:t>4</w:t>
            </w:r>
          </w:p>
        </w:tc>
        <w:tc>
          <w:tcPr>
            <w:tcW w:w="1134" w:type="dxa"/>
          </w:tcPr>
          <w:p w:rsidR="00CF0727" w:rsidRPr="00C86B4E" w:rsidRDefault="00CF0727" w:rsidP="000A009C">
            <w:pPr>
              <w:pStyle w:val="Normaali1"/>
              <w:tabs>
                <w:tab w:val="decimal" w:pos="452"/>
              </w:tabs>
              <w:spacing w:before="60" w:after="60" w:line="240" w:lineRule="auto"/>
              <w:ind w:left="-115" w:right="-115"/>
              <w:jc w:val="left"/>
              <w:rPr>
                <w:rFonts w:ascii="Times New Roman" w:hAnsi="Times New Roman"/>
                <w:b/>
                <w:szCs w:val="24"/>
              </w:rPr>
            </w:pPr>
            <w:r w:rsidRPr="00C86B4E">
              <w:rPr>
                <w:rFonts w:ascii="Times New Roman" w:hAnsi="Times New Roman"/>
                <w:b/>
                <w:bCs/>
                <w:szCs w:val="24"/>
              </w:rPr>
              <w:sym w:font="Symbol" w:char="F02D"/>
            </w:r>
            <w:r>
              <w:rPr>
                <w:rFonts w:ascii="Times New Roman" w:hAnsi="Times New Roman"/>
                <w:b/>
                <w:bCs/>
                <w:szCs w:val="24"/>
              </w:rPr>
              <w:t>0</w:t>
            </w:r>
            <w:r w:rsidRPr="00C86B4E">
              <w:rPr>
                <w:rFonts w:ascii="Times New Roman" w:hAnsi="Times New Roman"/>
                <w:b/>
                <w:szCs w:val="24"/>
              </w:rPr>
              <w:t>.7</w:t>
            </w:r>
          </w:p>
        </w:tc>
        <w:tc>
          <w:tcPr>
            <w:tcW w:w="1134" w:type="dxa"/>
          </w:tcPr>
          <w:p w:rsidR="00CF0727" w:rsidRPr="00C86B4E" w:rsidRDefault="00CF0727" w:rsidP="000A009C">
            <w:pPr>
              <w:pStyle w:val="Normaali1"/>
              <w:tabs>
                <w:tab w:val="decimal" w:pos="452"/>
              </w:tabs>
              <w:spacing w:before="60" w:after="60" w:line="240" w:lineRule="auto"/>
              <w:ind w:left="-146" w:right="5" w:hanging="10"/>
              <w:jc w:val="left"/>
              <w:rPr>
                <w:rFonts w:ascii="Times New Roman" w:hAnsi="Times New Roman"/>
                <w:b/>
                <w:szCs w:val="24"/>
              </w:rPr>
            </w:pPr>
            <w:r w:rsidRPr="00C86B4E">
              <w:rPr>
                <w:rFonts w:ascii="Times New Roman" w:hAnsi="Times New Roman"/>
                <w:b/>
                <w:bCs/>
                <w:szCs w:val="24"/>
              </w:rPr>
              <w:sym w:font="Symbol" w:char="F02D"/>
            </w:r>
            <w:r w:rsidRPr="008E7B30">
              <w:rPr>
                <w:rFonts w:ascii="Times New Roman" w:hAnsi="Times New Roman"/>
                <w:bCs/>
                <w:szCs w:val="24"/>
              </w:rPr>
              <w:t>1.</w:t>
            </w:r>
            <w:r>
              <w:rPr>
                <w:rFonts w:ascii="Times New Roman" w:hAnsi="Times New Roman"/>
                <w:bCs/>
                <w:szCs w:val="24"/>
              </w:rPr>
              <w:t>7</w:t>
            </w:r>
          </w:p>
        </w:tc>
        <w:tc>
          <w:tcPr>
            <w:tcW w:w="1134" w:type="dxa"/>
          </w:tcPr>
          <w:p w:rsidR="00CF0727" w:rsidRPr="008E7B30" w:rsidRDefault="00CF0727" w:rsidP="000A009C">
            <w:pPr>
              <w:pStyle w:val="Normaali1"/>
              <w:tabs>
                <w:tab w:val="decimal" w:pos="452"/>
              </w:tabs>
              <w:spacing w:before="60" w:after="60" w:line="240" w:lineRule="auto"/>
              <w:ind w:left="-146" w:right="5" w:hanging="10"/>
              <w:jc w:val="left"/>
              <w:rPr>
                <w:rFonts w:ascii="Times New Roman" w:hAnsi="Times New Roman"/>
                <w:szCs w:val="24"/>
              </w:rPr>
            </w:pPr>
            <w:r w:rsidRPr="008E7B30">
              <w:rPr>
                <w:rFonts w:ascii="Times New Roman" w:hAnsi="Times New Roman"/>
                <w:bCs/>
                <w:szCs w:val="24"/>
              </w:rPr>
              <w:t>1</w:t>
            </w:r>
            <w:r>
              <w:rPr>
                <w:rFonts w:ascii="Times New Roman" w:hAnsi="Times New Roman"/>
                <w:bCs/>
                <w:szCs w:val="24"/>
              </w:rPr>
              <w:t>1</w:t>
            </w:r>
            <w:r w:rsidRPr="008E7B30">
              <w:rPr>
                <w:rFonts w:ascii="Times New Roman" w:hAnsi="Times New Roman"/>
                <w:bCs/>
                <w:szCs w:val="24"/>
              </w:rPr>
              <w:t>.</w:t>
            </w:r>
            <w:r>
              <w:rPr>
                <w:rFonts w:ascii="Times New Roman" w:hAnsi="Times New Roman"/>
                <w:bCs/>
                <w:szCs w:val="24"/>
              </w:rPr>
              <w:t>9</w:t>
            </w:r>
          </w:p>
        </w:tc>
        <w:tc>
          <w:tcPr>
            <w:tcW w:w="1327" w:type="dxa"/>
          </w:tcPr>
          <w:p w:rsidR="00CF0727" w:rsidRPr="00BC3C62" w:rsidRDefault="00CF0727" w:rsidP="000A009C">
            <w:pPr>
              <w:pStyle w:val="Normaali1"/>
              <w:tabs>
                <w:tab w:val="decimal" w:pos="577"/>
              </w:tabs>
              <w:spacing w:before="60" w:after="60" w:line="240" w:lineRule="auto"/>
              <w:ind w:left="-146" w:right="5" w:hanging="10"/>
              <w:jc w:val="left"/>
              <w:rPr>
                <w:rFonts w:ascii="Times New Roman" w:hAnsi="Times New Roman"/>
                <w:szCs w:val="24"/>
              </w:rPr>
            </w:pPr>
            <w:r w:rsidRPr="00BC3C62">
              <w:rPr>
                <w:rFonts w:ascii="Times New Roman" w:hAnsi="Times New Roman"/>
                <w:bCs/>
                <w:szCs w:val="24"/>
              </w:rPr>
              <w:t>8.</w:t>
            </w:r>
            <w:r>
              <w:rPr>
                <w:rFonts w:ascii="Times New Roman" w:hAnsi="Times New Roman"/>
                <w:bCs/>
                <w:szCs w:val="24"/>
              </w:rPr>
              <w:t>2</w:t>
            </w:r>
          </w:p>
        </w:tc>
        <w:tc>
          <w:tcPr>
            <w:tcW w:w="1231" w:type="dxa"/>
          </w:tcPr>
          <w:p w:rsidR="00CF0727" w:rsidRPr="00C86B4E" w:rsidRDefault="00CF0727" w:rsidP="000A009C">
            <w:pPr>
              <w:pStyle w:val="Normaali1"/>
              <w:tabs>
                <w:tab w:val="right" w:pos="605"/>
              </w:tabs>
              <w:spacing w:before="60" w:after="60" w:line="240" w:lineRule="auto"/>
              <w:ind w:right="5"/>
              <w:jc w:val="center"/>
              <w:rPr>
                <w:rFonts w:ascii="Times New Roman" w:hAnsi="Times New Roman"/>
                <w:b/>
                <w:szCs w:val="24"/>
              </w:rPr>
            </w:pPr>
            <w:r w:rsidRPr="00C86B4E">
              <w:rPr>
                <w:rFonts w:ascii="Times New Roman" w:hAnsi="Times New Roman"/>
                <w:b/>
                <w:szCs w:val="24"/>
              </w:rPr>
              <w:t>0.0</w:t>
            </w:r>
            <w:r>
              <w:rPr>
                <w:rFonts w:ascii="Times New Roman" w:hAnsi="Times New Roman"/>
                <w:b/>
                <w:szCs w:val="24"/>
              </w:rPr>
              <w:t>673</w:t>
            </w:r>
          </w:p>
        </w:tc>
      </w:tr>
      <w:tr w:rsidR="00CF0727" w:rsidTr="000A009C">
        <w:trPr>
          <w:jc w:val="center"/>
        </w:trPr>
        <w:tc>
          <w:tcPr>
            <w:tcW w:w="1701" w:type="dxa"/>
          </w:tcPr>
          <w:p w:rsidR="00CF0727" w:rsidRPr="00C8591E" w:rsidRDefault="00CF0727" w:rsidP="000A009C">
            <w:pPr>
              <w:pStyle w:val="Normaali1"/>
              <w:spacing w:before="60" w:after="60" w:line="240" w:lineRule="auto"/>
              <w:ind w:left="-4" w:right="-115"/>
              <w:jc w:val="left"/>
              <w:rPr>
                <w:rFonts w:ascii="Times New Roman" w:hAnsi="Times New Roman"/>
                <w:szCs w:val="24"/>
              </w:rPr>
            </w:pPr>
            <w:r w:rsidRPr="00C8591E">
              <w:rPr>
                <w:rFonts w:ascii="Times New Roman" w:hAnsi="Times New Roman"/>
                <w:szCs w:val="24"/>
              </w:rPr>
              <w:t>FLQ (</w:t>
            </w:r>
            <w:r w:rsidRPr="00C8591E">
              <w:rPr>
                <w:rFonts w:ascii="Times New Roman" w:hAnsi="Times New Roman"/>
                <w:color w:val="000000"/>
                <w:szCs w:val="24"/>
                <w:lang w:val="en-GB"/>
              </w:rPr>
              <w:t>δ = 0.</w:t>
            </w:r>
            <w:r>
              <w:rPr>
                <w:rFonts w:ascii="Times New Roman" w:hAnsi="Times New Roman"/>
                <w:color w:val="000000"/>
                <w:szCs w:val="24"/>
                <w:lang w:val="en-GB"/>
              </w:rPr>
              <w:t>3</w:t>
            </w:r>
            <w:r w:rsidRPr="00C8591E">
              <w:rPr>
                <w:rFonts w:ascii="Times New Roman" w:hAnsi="Times New Roman"/>
                <w:szCs w:val="24"/>
              </w:rPr>
              <w:t>)</w:t>
            </w:r>
          </w:p>
        </w:tc>
        <w:tc>
          <w:tcPr>
            <w:tcW w:w="1221" w:type="dxa"/>
          </w:tcPr>
          <w:p w:rsidR="00CF0727" w:rsidRPr="00C8591E" w:rsidRDefault="00CF0727" w:rsidP="000A009C">
            <w:pPr>
              <w:pStyle w:val="Normaali1"/>
              <w:tabs>
                <w:tab w:val="decimal" w:pos="562"/>
              </w:tabs>
              <w:spacing w:before="60" w:after="60" w:line="240" w:lineRule="auto"/>
              <w:ind w:left="-115" w:right="-115"/>
              <w:jc w:val="left"/>
              <w:rPr>
                <w:rFonts w:ascii="Times New Roman" w:hAnsi="Times New Roman"/>
                <w:szCs w:val="24"/>
              </w:rPr>
            </w:pPr>
            <w:r w:rsidRPr="00C8591E">
              <w:rPr>
                <w:rFonts w:ascii="Times New Roman" w:hAnsi="Times New Roman"/>
                <w:bCs/>
                <w:szCs w:val="24"/>
              </w:rPr>
              <w:sym w:font="Symbol" w:char="F02D"/>
            </w:r>
            <w:r>
              <w:rPr>
                <w:rFonts w:ascii="Times New Roman" w:hAnsi="Times New Roman"/>
                <w:bCs/>
                <w:szCs w:val="24"/>
              </w:rPr>
              <w:t>1</w:t>
            </w:r>
            <w:r w:rsidRPr="00C8591E">
              <w:rPr>
                <w:rFonts w:ascii="Times New Roman" w:hAnsi="Times New Roman"/>
                <w:bCs/>
                <w:szCs w:val="24"/>
              </w:rPr>
              <w:t>.</w:t>
            </w:r>
            <w:r>
              <w:rPr>
                <w:rFonts w:ascii="Times New Roman" w:hAnsi="Times New Roman"/>
                <w:bCs/>
                <w:szCs w:val="24"/>
              </w:rPr>
              <w:t>9</w:t>
            </w:r>
          </w:p>
        </w:tc>
        <w:tc>
          <w:tcPr>
            <w:tcW w:w="1134" w:type="dxa"/>
          </w:tcPr>
          <w:p w:rsidR="00CF0727" w:rsidRPr="00C8591E" w:rsidRDefault="00CF0727" w:rsidP="000A009C">
            <w:pPr>
              <w:pStyle w:val="Normaali1"/>
              <w:tabs>
                <w:tab w:val="decimal" w:pos="452"/>
              </w:tabs>
              <w:spacing w:before="60" w:after="60" w:line="240" w:lineRule="auto"/>
              <w:ind w:left="-115" w:right="-115"/>
              <w:jc w:val="left"/>
              <w:rPr>
                <w:rFonts w:ascii="Times New Roman" w:hAnsi="Times New Roman"/>
                <w:szCs w:val="24"/>
              </w:rPr>
            </w:pPr>
            <w:r w:rsidRPr="00C8591E">
              <w:rPr>
                <w:rFonts w:ascii="Times New Roman" w:hAnsi="Times New Roman"/>
                <w:bCs/>
                <w:szCs w:val="24"/>
              </w:rPr>
              <w:sym w:font="Symbol" w:char="F02D"/>
            </w:r>
            <w:r>
              <w:rPr>
                <w:rFonts w:ascii="Times New Roman" w:hAnsi="Times New Roman"/>
                <w:szCs w:val="24"/>
              </w:rPr>
              <w:t>12.2</w:t>
            </w:r>
          </w:p>
        </w:tc>
        <w:tc>
          <w:tcPr>
            <w:tcW w:w="1134" w:type="dxa"/>
          </w:tcPr>
          <w:p w:rsidR="00CF0727" w:rsidRPr="00C8591E" w:rsidRDefault="00CF0727" w:rsidP="000A009C">
            <w:pPr>
              <w:pStyle w:val="Normaali1"/>
              <w:tabs>
                <w:tab w:val="decimal" w:pos="452"/>
              </w:tabs>
              <w:spacing w:before="60" w:after="60" w:line="240" w:lineRule="auto"/>
              <w:ind w:left="-115" w:right="-115"/>
              <w:jc w:val="left"/>
              <w:rPr>
                <w:rFonts w:ascii="Times New Roman" w:hAnsi="Times New Roman"/>
                <w:szCs w:val="24"/>
              </w:rPr>
            </w:pPr>
            <w:r w:rsidRPr="00C8591E">
              <w:rPr>
                <w:rFonts w:ascii="Times New Roman" w:hAnsi="Times New Roman"/>
                <w:bCs/>
                <w:szCs w:val="24"/>
              </w:rPr>
              <w:sym w:font="Symbol" w:char="F02D"/>
            </w:r>
            <w:r>
              <w:rPr>
                <w:rFonts w:ascii="Times New Roman" w:hAnsi="Times New Roman"/>
                <w:bCs/>
                <w:szCs w:val="24"/>
              </w:rPr>
              <w:t>3</w:t>
            </w:r>
            <w:r w:rsidRPr="00C8591E">
              <w:rPr>
                <w:rFonts w:ascii="Times New Roman" w:hAnsi="Times New Roman"/>
                <w:bCs/>
                <w:szCs w:val="24"/>
              </w:rPr>
              <w:t>.</w:t>
            </w:r>
            <w:r>
              <w:rPr>
                <w:rFonts w:ascii="Times New Roman" w:hAnsi="Times New Roman"/>
                <w:bCs/>
                <w:szCs w:val="24"/>
              </w:rPr>
              <w:t>7</w:t>
            </w:r>
          </w:p>
        </w:tc>
        <w:tc>
          <w:tcPr>
            <w:tcW w:w="1134" w:type="dxa"/>
          </w:tcPr>
          <w:p w:rsidR="00CF0727" w:rsidRPr="00C8591E" w:rsidRDefault="00CF0727" w:rsidP="000A009C">
            <w:pPr>
              <w:pStyle w:val="Normaali1"/>
              <w:tabs>
                <w:tab w:val="decimal" w:pos="452"/>
              </w:tabs>
              <w:spacing w:before="60" w:after="60" w:line="240" w:lineRule="auto"/>
              <w:ind w:left="-115" w:right="-115"/>
              <w:jc w:val="left"/>
              <w:rPr>
                <w:rFonts w:ascii="Times New Roman" w:hAnsi="Times New Roman"/>
                <w:szCs w:val="24"/>
              </w:rPr>
            </w:pPr>
            <w:r w:rsidRPr="00C8591E">
              <w:rPr>
                <w:rFonts w:ascii="Times New Roman" w:hAnsi="Times New Roman"/>
                <w:bCs/>
                <w:szCs w:val="24"/>
              </w:rPr>
              <w:t>1</w:t>
            </w:r>
            <w:r>
              <w:rPr>
                <w:rFonts w:ascii="Times New Roman" w:hAnsi="Times New Roman"/>
                <w:bCs/>
                <w:szCs w:val="24"/>
              </w:rPr>
              <w:t>2</w:t>
            </w:r>
            <w:r w:rsidRPr="00C8591E">
              <w:rPr>
                <w:rFonts w:ascii="Times New Roman" w:hAnsi="Times New Roman"/>
                <w:bCs/>
                <w:szCs w:val="24"/>
              </w:rPr>
              <w:t>.</w:t>
            </w:r>
            <w:r>
              <w:rPr>
                <w:rFonts w:ascii="Times New Roman" w:hAnsi="Times New Roman"/>
                <w:bCs/>
                <w:szCs w:val="24"/>
              </w:rPr>
              <w:t>3</w:t>
            </w:r>
          </w:p>
        </w:tc>
        <w:tc>
          <w:tcPr>
            <w:tcW w:w="1327" w:type="dxa"/>
          </w:tcPr>
          <w:p w:rsidR="00CF0727" w:rsidRPr="008E7B30" w:rsidRDefault="00CF0727" w:rsidP="000A009C">
            <w:pPr>
              <w:pStyle w:val="Normaali1"/>
              <w:tabs>
                <w:tab w:val="decimal" w:pos="577"/>
              </w:tabs>
              <w:spacing w:before="60" w:after="60" w:line="240" w:lineRule="auto"/>
              <w:ind w:left="-115" w:right="-115"/>
              <w:jc w:val="left"/>
              <w:rPr>
                <w:rFonts w:ascii="Times New Roman" w:hAnsi="Times New Roman"/>
                <w:b/>
                <w:szCs w:val="24"/>
              </w:rPr>
            </w:pPr>
            <w:r w:rsidRPr="008E7B30">
              <w:rPr>
                <w:rFonts w:ascii="Times New Roman" w:hAnsi="Times New Roman"/>
                <w:b/>
                <w:bCs/>
                <w:szCs w:val="24"/>
              </w:rPr>
              <w:t>8.1</w:t>
            </w:r>
          </w:p>
        </w:tc>
        <w:tc>
          <w:tcPr>
            <w:tcW w:w="1231"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sidRPr="00C8591E">
              <w:rPr>
                <w:rFonts w:ascii="Times New Roman" w:hAnsi="Times New Roman"/>
                <w:szCs w:val="24"/>
              </w:rPr>
              <w:t>0.06</w:t>
            </w:r>
            <w:r>
              <w:rPr>
                <w:rFonts w:ascii="Times New Roman" w:hAnsi="Times New Roman"/>
                <w:szCs w:val="24"/>
              </w:rPr>
              <w:t>8</w:t>
            </w:r>
            <w:r w:rsidRPr="00C8591E">
              <w:rPr>
                <w:rFonts w:ascii="Times New Roman" w:hAnsi="Times New Roman"/>
                <w:szCs w:val="24"/>
              </w:rPr>
              <w:t>0</w:t>
            </w:r>
          </w:p>
        </w:tc>
      </w:tr>
    </w:tbl>
    <w:p w:rsidR="00CF0727" w:rsidRDefault="00CF0727" w:rsidP="00CF0727">
      <w:pPr>
        <w:pStyle w:val="Normaali1"/>
        <w:spacing w:line="240" w:lineRule="auto"/>
        <w:rPr>
          <w:rFonts w:ascii="Times New Roman" w:hAnsi="Times New Roman"/>
          <w:color w:val="000000"/>
          <w:szCs w:val="26"/>
        </w:rPr>
      </w:pPr>
    </w:p>
    <w:p w:rsidR="00CF0727" w:rsidRDefault="00CF0727" w:rsidP="00CF0727">
      <w:pPr>
        <w:pStyle w:val="Normaali1"/>
        <w:spacing w:line="240" w:lineRule="auto"/>
        <w:rPr>
          <w:rFonts w:ascii="Times New Roman" w:hAnsi="Times New Roman"/>
          <w:color w:val="000000"/>
          <w:szCs w:val="26"/>
        </w:rPr>
      </w:pPr>
    </w:p>
    <w:p w:rsidR="00CF0727" w:rsidRDefault="00CF0727" w:rsidP="00CF0727">
      <w:pPr>
        <w:pStyle w:val="Normaali1"/>
        <w:spacing w:line="240" w:lineRule="auto"/>
        <w:rPr>
          <w:rFonts w:ascii="Times New Roman" w:hAnsi="Times New Roman"/>
          <w:color w:val="000000"/>
          <w:szCs w:val="26"/>
        </w:rPr>
      </w:pPr>
    </w:p>
    <w:p w:rsidR="00CF0727" w:rsidRPr="00C8591E" w:rsidRDefault="00CF0727" w:rsidP="00CF0727">
      <w:pPr>
        <w:pStyle w:val="Normaali1"/>
        <w:spacing w:line="240" w:lineRule="auto"/>
        <w:jc w:val="center"/>
        <w:rPr>
          <w:rFonts w:ascii="Times New Roman" w:hAnsi="Times New Roman"/>
          <w:i/>
          <w:color w:val="000000"/>
          <w:szCs w:val="26"/>
        </w:rPr>
      </w:pPr>
      <w:r w:rsidRPr="00C8591E">
        <w:rPr>
          <w:rFonts w:ascii="Times New Roman" w:hAnsi="Times New Roman"/>
          <w:b/>
          <w:color w:val="000000"/>
          <w:szCs w:val="26"/>
        </w:rPr>
        <w:t xml:space="preserve">Table </w:t>
      </w:r>
      <w:r>
        <w:rPr>
          <w:rFonts w:ascii="Times New Roman" w:hAnsi="Times New Roman"/>
          <w:b/>
          <w:color w:val="000000"/>
          <w:szCs w:val="26"/>
        </w:rPr>
        <w:t>4</w:t>
      </w:r>
      <w:r w:rsidRPr="00C8591E">
        <w:rPr>
          <w:rFonts w:ascii="Times New Roman" w:hAnsi="Times New Roman"/>
          <w:color w:val="000000"/>
          <w:szCs w:val="26"/>
        </w:rPr>
        <w:t xml:space="preserve">.  </w:t>
      </w:r>
      <w:r w:rsidRPr="00C8591E">
        <w:rPr>
          <w:rFonts w:ascii="Times New Roman" w:hAnsi="Times New Roman"/>
          <w:i/>
          <w:color w:val="000000"/>
          <w:szCs w:val="26"/>
        </w:rPr>
        <w:t>Mean absolute percentage differences from survey for the FLQ: sectoral output</w:t>
      </w:r>
    </w:p>
    <w:p w:rsidR="00CF0727" w:rsidRPr="00C8591E" w:rsidRDefault="00CF0727" w:rsidP="00CF0727">
      <w:pPr>
        <w:pStyle w:val="Normaali1"/>
        <w:spacing w:after="120" w:line="240" w:lineRule="auto"/>
        <w:jc w:val="center"/>
        <w:rPr>
          <w:rFonts w:ascii="Times New Roman" w:hAnsi="Times New Roman"/>
          <w:i/>
          <w:color w:val="000000"/>
          <w:szCs w:val="26"/>
        </w:rPr>
      </w:pPr>
      <w:r w:rsidRPr="00C8591E">
        <w:rPr>
          <w:rFonts w:ascii="Times New Roman" w:hAnsi="Times New Roman"/>
          <w:i/>
          <w:color w:val="000000"/>
          <w:szCs w:val="26"/>
        </w:rPr>
        <w:t>multipliers for 20 Finnish regions in 1995 (measure µ</w:t>
      </w:r>
      <w:r w:rsidRPr="00C8591E">
        <w:rPr>
          <w:rFonts w:ascii="Times New Roman" w:hAnsi="Times New Roman"/>
          <w:i/>
          <w:color w:val="000000"/>
          <w:szCs w:val="26"/>
          <w:vertAlign w:val="subscript"/>
        </w:rPr>
        <w:t>5</w:t>
      </w:r>
      <w:r w:rsidRPr="00C8591E">
        <w:rPr>
          <w:rFonts w:ascii="Times New Roman" w:hAnsi="Times New Roman"/>
          <w:i/>
          <w:color w:val="000000"/>
          <w:szCs w:val="26"/>
        </w:rPr>
        <w:t>×100)</w:t>
      </w:r>
    </w:p>
    <w:tbl>
      <w:tblPr>
        <w:tblW w:w="94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960"/>
        <w:gridCol w:w="1221"/>
        <w:gridCol w:w="1221"/>
        <w:gridCol w:w="1206"/>
        <w:gridCol w:w="1320"/>
        <w:gridCol w:w="1205"/>
        <w:gridCol w:w="1287"/>
      </w:tblGrid>
      <w:tr w:rsidR="00CF0727" w:rsidRPr="00167342" w:rsidTr="000A009C">
        <w:trPr>
          <w:trHeight w:val="248"/>
          <w:jc w:val="center"/>
        </w:trPr>
        <w:tc>
          <w:tcPr>
            <w:tcW w:w="1960" w:type="dxa"/>
            <w:vMerge w:val="restart"/>
            <w:vAlign w:val="bottom"/>
          </w:tcPr>
          <w:p w:rsidR="00CF0727" w:rsidRPr="00167342" w:rsidRDefault="00CF0727" w:rsidP="000A009C">
            <w:pPr>
              <w:widowControl w:val="0"/>
              <w:adjustRightInd w:val="0"/>
              <w:spacing w:line="360" w:lineRule="auto"/>
              <w:ind w:left="397" w:right="284"/>
              <w:textAlignment w:val="baseline"/>
              <w:rPr>
                <w:rFonts w:eastAsia="Times New Roman"/>
              </w:rPr>
            </w:pPr>
          </w:p>
        </w:tc>
        <w:tc>
          <w:tcPr>
            <w:tcW w:w="7460" w:type="dxa"/>
            <w:gridSpan w:val="6"/>
          </w:tcPr>
          <w:p w:rsidR="00CF0727" w:rsidRPr="00167342" w:rsidRDefault="00CF0727" w:rsidP="000A009C">
            <w:pPr>
              <w:widowControl w:val="0"/>
              <w:adjustRightInd w:val="0"/>
              <w:spacing w:before="120" w:after="120"/>
              <w:ind w:left="-113" w:right="-113"/>
              <w:jc w:val="center"/>
              <w:textAlignment w:val="baseline"/>
              <w:rPr>
                <w:rFonts w:eastAsia="Times New Roman"/>
              </w:rPr>
            </w:pPr>
            <w:r w:rsidRPr="00167342">
              <w:rPr>
                <w:rFonts w:eastAsia="Times New Roman"/>
              </w:rPr>
              <w:t xml:space="preserve">Value of </w:t>
            </w:r>
            <w:r w:rsidRPr="00167342">
              <w:rPr>
                <w:rFonts w:eastAsia="Times New Roman"/>
                <w:color w:val="000000"/>
              </w:rPr>
              <w:t>δ</w:t>
            </w:r>
          </w:p>
        </w:tc>
      </w:tr>
      <w:tr w:rsidR="00CF0727" w:rsidRPr="00167342" w:rsidTr="000A009C">
        <w:trPr>
          <w:trHeight w:val="247"/>
          <w:jc w:val="center"/>
        </w:trPr>
        <w:tc>
          <w:tcPr>
            <w:tcW w:w="1960" w:type="dxa"/>
            <w:vMerge/>
            <w:vAlign w:val="bottom"/>
          </w:tcPr>
          <w:p w:rsidR="00CF0727" w:rsidRPr="00167342" w:rsidRDefault="00CF0727" w:rsidP="000A009C">
            <w:pPr>
              <w:widowControl w:val="0"/>
              <w:adjustRightInd w:val="0"/>
              <w:spacing w:line="360" w:lineRule="auto"/>
              <w:ind w:left="397" w:right="284"/>
              <w:textAlignment w:val="baseline"/>
              <w:rPr>
                <w:rFonts w:eastAsia="Times New Roman"/>
              </w:rPr>
            </w:pPr>
          </w:p>
        </w:tc>
        <w:tc>
          <w:tcPr>
            <w:tcW w:w="1221" w:type="dxa"/>
            <w:vAlign w:val="bottom"/>
          </w:tcPr>
          <w:p w:rsidR="00CF0727" w:rsidRPr="00167342" w:rsidRDefault="00CF0727" w:rsidP="000A009C">
            <w:pPr>
              <w:widowControl w:val="0"/>
              <w:adjustRightInd w:val="0"/>
              <w:spacing w:before="120" w:after="120"/>
              <w:ind w:left="-115" w:right="-115"/>
              <w:jc w:val="center"/>
              <w:textAlignment w:val="baseline"/>
              <w:rPr>
                <w:rFonts w:eastAsia="Times New Roman"/>
              </w:rPr>
            </w:pPr>
            <w:r w:rsidRPr="00167342">
              <w:rPr>
                <w:rFonts w:eastAsia="Times New Roman"/>
                <w:sz w:val="22"/>
                <w:szCs w:val="22"/>
              </w:rPr>
              <w:t>0.</w:t>
            </w:r>
            <w:r>
              <w:rPr>
                <w:rFonts w:eastAsia="Times New Roman"/>
                <w:sz w:val="22"/>
                <w:szCs w:val="22"/>
              </w:rPr>
              <w:t>15</w:t>
            </w:r>
          </w:p>
        </w:tc>
        <w:tc>
          <w:tcPr>
            <w:tcW w:w="1221" w:type="dxa"/>
            <w:vAlign w:val="bottom"/>
          </w:tcPr>
          <w:p w:rsidR="00CF0727" w:rsidRPr="00167342" w:rsidRDefault="00CF0727" w:rsidP="000A009C">
            <w:pPr>
              <w:widowControl w:val="0"/>
              <w:adjustRightInd w:val="0"/>
              <w:spacing w:before="120" w:after="120"/>
              <w:ind w:left="-115" w:right="-115"/>
              <w:jc w:val="center"/>
              <w:textAlignment w:val="baseline"/>
              <w:rPr>
                <w:rFonts w:eastAsia="Times New Roman"/>
              </w:rPr>
            </w:pPr>
            <w:r w:rsidRPr="00167342">
              <w:rPr>
                <w:rFonts w:eastAsia="Times New Roman"/>
                <w:sz w:val="22"/>
                <w:szCs w:val="22"/>
              </w:rPr>
              <w:t>0.</w:t>
            </w:r>
            <w:r>
              <w:rPr>
                <w:rFonts w:eastAsia="Times New Roman"/>
                <w:sz w:val="22"/>
                <w:szCs w:val="22"/>
              </w:rPr>
              <w:t>2</w:t>
            </w:r>
          </w:p>
        </w:tc>
        <w:tc>
          <w:tcPr>
            <w:tcW w:w="1206" w:type="dxa"/>
            <w:vAlign w:val="bottom"/>
          </w:tcPr>
          <w:p w:rsidR="00CF0727" w:rsidRPr="00167342" w:rsidRDefault="00CF0727" w:rsidP="000A009C">
            <w:pPr>
              <w:widowControl w:val="0"/>
              <w:adjustRightInd w:val="0"/>
              <w:spacing w:before="120" w:after="120"/>
              <w:ind w:left="18"/>
              <w:jc w:val="center"/>
              <w:textAlignment w:val="baseline"/>
              <w:rPr>
                <w:rFonts w:eastAsia="Times New Roman"/>
              </w:rPr>
            </w:pPr>
            <w:r w:rsidRPr="00167342">
              <w:rPr>
                <w:rFonts w:eastAsia="Times New Roman"/>
                <w:sz w:val="22"/>
                <w:szCs w:val="22"/>
              </w:rPr>
              <w:t>0.</w:t>
            </w:r>
            <w:r>
              <w:rPr>
                <w:rFonts w:eastAsia="Times New Roman"/>
                <w:sz w:val="22"/>
                <w:szCs w:val="22"/>
              </w:rPr>
              <w:t>2</w:t>
            </w:r>
            <w:r w:rsidRPr="00167342">
              <w:rPr>
                <w:rFonts w:eastAsia="Times New Roman"/>
                <w:sz w:val="22"/>
                <w:szCs w:val="22"/>
              </w:rPr>
              <w:t>5</w:t>
            </w:r>
          </w:p>
        </w:tc>
        <w:tc>
          <w:tcPr>
            <w:tcW w:w="1320" w:type="dxa"/>
            <w:vAlign w:val="bottom"/>
          </w:tcPr>
          <w:p w:rsidR="00CF0727" w:rsidRPr="00167342" w:rsidRDefault="00CF0727" w:rsidP="000A009C">
            <w:pPr>
              <w:widowControl w:val="0"/>
              <w:adjustRightInd w:val="0"/>
              <w:spacing w:before="120" w:after="120"/>
              <w:ind w:left="-115" w:right="-115"/>
              <w:jc w:val="center"/>
              <w:textAlignment w:val="baseline"/>
              <w:rPr>
                <w:rFonts w:eastAsia="Times New Roman"/>
              </w:rPr>
            </w:pPr>
            <w:r w:rsidRPr="00167342">
              <w:rPr>
                <w:rFonts w:eastAsia="Times New Roman"/>
                <w:sz w:val="22"/>
                <w:szCs w:val="22"/>
              </w:rPr>
              <w:t>0.</w:t>
            </w:r>
            <w:r>
              <w:rPr>
                <w:rFonts w:eastAsia="Times New Roman"/>
                <w:sz w:val="22"/>
                <w:szCs w:val="22"/>
              </w:rPr>
              <w:t>3</w:t>
            </w:r>
          </w:p>
        </w:tc>
        <w:tc>
          <w:tcPr>
            <w:tcW w:w="1205" w:type="dxa"/>
          </w:tcPr>
          <w:p w:rsidR="00CF0727" w:rsidRPr="00167342" w:rsidRDefault="00CF0727" w:rsidP="000A009C">
            <w:pPr>
              <w:widowControl w:val="0"/>
              <w:adjustRightInd w:val="0"/>
              <w:spacing w:before="120" w:after="120"/>
              <w:ind w:left="-115" w:right="-115"/>
              <w:jc w:val="center"/>
              <w:textAlignment w:val="baseline"/>
              <w:rPr>
                <w:rFonts w:eastAsia="Times New Roman"/>
              </w:rPr>
            </w:pPr>
            <w:r w:rsidRPr="00167342">
              <w:rPr>
                <w:rFonts w:eastAsia="Times New Roman"/>
                <w:sz w:val="22"/>
                <w:szCs w:val="22"/>
              </w:rPr>
              <w:t>0.</w:t>
            </w:r>
            <w:r>
              <w:rPr>
                <w:rFonts w:eastAsia="Times New Roman"/>
                <w:sz w:val="22"/>
                <w:szCs w:val="22"/>
              </w:rPr>
              <w:t>3</w:t>
            </w:r>
            <w:r w:rsidRPr="00167342">
              <w:rPr>
                <w:rFonts w:eastAsia="Times New Roman"/>
                <w:sz w:val="22"/>
                <w:szCs w:val="22"/>
              </w:rPr>
              <w:t>5</w:t>
            </w:r>
          </w:p>
        </w:tc>
        <w:tc>
          <w:tcPr>
            <w:tcW w:w="1287" w:type="dxa"/>
            <w:vAlign w:val="bottom"/>
          </w:tcPr>
          <w:p w:rsidR="00CF0727" w:rsidRPr="00167342" w:rsidRDefault="00CF0727" w:rsidP="000A009C">
            <w:pPr>
              <w:widowControl w:val="0"/>
              <w:adjustRightInd w:val="0"/>
              <w:spacing w:before="120" w:after="120"/>
              <w:ind w:left="-115" w:right="-115"/>
              <w:jc w:val="center"/>
              <w:textAlignment w:val="baseline"/>
              <w:rPr>
                <w:rFonts w:eastAsia="Times New Roman"/>
              </w:rPr>
            </w:pPr>
            <w:r w:rsidRPr="00167342">
              <w:rPr>
                <w:rFonts w:eastAsia="Times New Roman"/>
                <w:sz w:val="22"/>
                <w:szCs w:val="22"/>
              </w:rPr>
              <w:t>0.</w:t>
            </w:r>
            <w:r>
              <w:rPr>
                <w:rFonts w:eastAsia="Times New Roman"/>
                <w:sz w:val="22"/>
                <w:szCs w:val="22"/>
              </w:rPr>
              <w:t>4</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Ahvenanmaa</w:t>
            </w:r>
          </w:p>
        </w:tc>
        <w:tc>
          <w:tcPr>
            <w:tcW w:w="1221" w:type="dxa"/>
            <w:vAlign w:val="bottom"/>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b/>
              </w:rPr>
            </w:pPr>
            <w:r>
              <w:rPr>
                <w:rFonts w:eastAsia="Times New Roman"/>
                <w:b/>
                <w:sz w:val="22"/>
                <w:szCs w:val="22"/>
              </w:rPr>
              <w:t>8.28</w:t>
            </w:r>
          </w:p>
        </w:tc>
        <w:tc>
          <w:tcPr>
            <w:tcW w:w="1221" w:type="dxa"/>
            <w:vAlign w:val="bottom"/>
          </w:tcPr>
          <w:p w:rsidR="00CF0727" w:rsidRPr="000811C6"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8</w:t>
            </w:r>
            <w:r w:rsidRPr="000811C6">
              <w:rPr>
                <w:rFonts w:eastAsia="Times New Roman"/>
                <w:sz w:val="22"/>
                <w:szCs w:val="22"/>
              </w:rPr>
              <w:t>.</w:t>
            </w:r>
            <w:r>
              <w:rPr>
                <w:rFonts w:eastAsia="Times New Roman"/>
                <w:sz w:val="22"/>
                <w:szCs w:val="22"/>
              </w:rPr>
              <w:t>78</w:t>
            </w:r>
          </w:p>
        </w:tc>
        <w:tc>
          <w:tcPr>
            <w:tcW w:w="1206" w:type="dxa"/>
            <w:vAlign w:val="bottom"/>
          </w:tcPr>
          <w:p w:rsidR="00CF0727" w:rsidRPr="00167342" w:rsidRDefault="00CF0727" w:rsidP="000A009C">
            <w:pPr>
              <w:widowControl w:val="0"/>
              <w:tabs>
                <w:tab w:val="decimal" w:pos="365"/>
              </w:tabs>
              <w:adjustRightInd w:val="0"/>
              <w:spacing w:before="36" w:after="36"/>
              <w:ind w:left="-102" w:right="-77"/>
              <w:jc w:val="left"/>
              <w:textAlignment w:val="baseline"/>
              <w:rPr>
                <w:rFonts w:eastAsia="Times New Roman"/>
              </w:rPr>
            </w:pPr>
            <w:r>
              <w:rPr>
                <w:rFonts w:eastAsia="Times New Roman"/>
                <w:sz w:val="22"/>
                <w:szCs w:val="22"/>
              </w:rPr>
              <w:t>9</w:t>
            </w:r>
            <w:r w:rsidRPr="00167342">
              <w:rPr>
                <w:rFonts w:eastAsia="Times New Roman"/>
                <w:sz w:val="22"/>
                <w:szCs w:val="22"/>
              </w:rPr>
              <w:t>.</w:t>
            </w:r>
            <w:r>
              <w:rPr>
                <w:rFonts w:eastAsia="Times New Roman"/>
                <w:sz w:val="22"/>
                <w:szCs w:val="22"/>
              </w:rPr>
              <w:t>71</w:t>
            </w:r>
          </w:p>
        </w:tc>
        <w:tc>
          <w:tcPr>
            <w:tcW w:w="1320" w:type="dxa"/>
            <w:vAlign w:val="bottom"/>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sidRPr="00167342">
              <w:rPr>
                <w:rFonts w:eastAsia="Times New Roman"/>
                <w:sz w:val="22"/>
                <w:szCs w:val="22"/>
              </w:rPr>
              <w:t>1</w:t>
            </w:r>
            <w:r>
              <w:rPr>
                <w:rFonts w:eastAsia="Times New Roman"/>
                <w:sz w:val="22"/>
                <w:szCs w:val="22"/>
              </w:rPr>
              <w:t>1</w:t>
            </w:r>
            <w:r w:rsidRPr="00167342">
              <w:rPr>
                <w:rFonts w:eastAsia="Times New Roman"/>
                <w:sz w:val="22"/>
                <w:szCs w:val="22"/>
              </w:rPr>
              <w:t>.</w:t>
            </w:r>
            <w:r>
              <w:rPr>
                <w:rFonts w:eastAsia="Times New Roman"/>
                <w:sz w:val="22"/>
                <w:szCs w:val="22"/>
              </w:rPr>
              <w:t>03</w:t>
            </w:r>
          </w:p>
        </w:tc>
        <w:tc>
          <w:tcPr>
            <w:tcW w:w="1205" w:type="dxa"/>
            <w:vAlign w:val="bottom"/>
          </w:tcPr>
          <w:p w:rsidR="00CF0727" w:rsidRPr="00167342" w:rsidRDefault="00CF0727" w:rsidP="000A009C">
            <w:pPr>
              <w:widowControl w:val="0"/>
              <w:tabs>
                <w:tab w:val="decimal" w:pos="372"/>
              </w:tabs>
              <w:adjustRightInd w:val="0"/>
              <w:spacing w:before="36" w:after="36"/>
              <w:ind w:left="-108" w:right="-103" w:hanging="7"/>
              <w:jc w:val="left"/>
              <w:textAlignment w:val="baseline"/>
              <w:rPr>
                <w:rFonts w:eastAsia="Times New Roman"/>
              </w:rPr>
            </w:pPr>
            <w:r>
              <w:rPr>
                <w:rFonts w:eastAsia="Times New Roman"/>
                <w:sz w:val="22"/>
                <w:szCs w:val="22"/>
              </w:rPr>
              <w:t>12.12</w:t>
            </w:r>
          </w:p>
        </w:tc>
        <w:tc>
          <w:tcPr>
            <w:tcW w:w="1287" w:type="dxa"/>
            <w:vAlign w:val="bottom"/>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13.18</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Keski-Pohjanmaa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9</w:t>
            </w:r>
            <w:r w:rsidRPr="00167342">
              <w:rPr>
                <w:rFonts w:eastAsia="Times New Roman"/>
                <w:sz w:val="22"/>
                <w:szCs w:val="22"/>
              </w:rPr>
              <w:t>.</w:t>
            </w:r>
            <w:r>
              <w:rPr>
                <w:rFonts w:eastAsia="Times New Roman"/>
                <w:sz w:val="22"/>
                <w:szCs w:val="22"/>
              </w:rPr>
              <w:t>40</w:t>
            </w:r>
          </w:p>
        </w:tc>
        <w:tc>
          <w:tcPr>
            <w:tcW w:w="1221" w:type="dxa"/>
          </w:tcPr>
          <w:p w:rsidR="00CF0727" w:rsidRPr="00CF40E4"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9</w:t>
            </w:r>
            <w:r w:rsidRPr="00CF40E4">
              <w:rPr>
                <w:rFonts w:eastAsia="Times New Roman"/>
                <w:sz w:val="22"/>
                <w:szCs w:val="22"/>
              </w:rPr>
              <w:t>.1</w:t>
            </w:r>
            <w:r>
              <w:rPr>
                <w:rFonts w:eastAsia="Times New Roman"/>
                <w:sz w:val="22"/>
                <w:szCs w:val="22"/>
              </w:rPr>
              <w:t>8</w:t>
            </w:r>
          </w:p>
        </w:tc>
        <w:tc>
          <w:tcPr>
            <w:tcW w:w="1206" w:type="dxa"/>
            <w:vAlign w:val="bottom"/>
          </w:tcPr>
          <w:p w:rsidR="00CF0727" w:rsidRPr="003828CF" w:rsidRDefault="00CF0727" w:rsidP="000A009C">
            <w:pPr>
              <w:widowControl w:val="0"/>
              <w:tabs>
                <w:tab w:val="decimal" w:pos="365"/>
              </w:tabs>
              <w:adjustRightInd w:val="0"/>
              <w:spacing w:before="36" w:after="36"/>
              <w:ind w:left="-102" w:right="-108" w:hanging="12"/>
              <w:jc w:val="left"/>
              <w:textAlignment w:val="baseline"/>
              <w:rPr>
                <w:rFonts w:eastAsia="Times New Roman"/>
                <w:b/>
              </w:rPr>
            </w:pPr>
            <w:r w:rsidRPr="003828CF">
              <w:rPr>
                <w:rFonts w:eastAsia="Times New Roman"/>
                <w:b/>
                <w:sz w:val="22"/>
                <w:szCs w:val="22"/>
              </w:rPr>
              <w:t>9.04</w:t>
            </w:r>
          </w:p>
        </w:tc>
        <w:tc>
          <w:tcPr>
            <w:tcW w:w="1320"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Pr>
                <w:rFonts w:eastAsia="Times New Roman"/>
                <w:sz w:val="22"/>
                <w:szCs w:val="22"/>
              </w:rPr>
              <w:t>9</w:t>
            </w:r>
            <w:r w:rsidRPr="00167342">
              <w:rPr>
                <w:rFonts w:eastAsia="Times New Roman"/>
                <w:sz w:val="22"/>
                <w:szCs w:val="22"/>
              </w:rPr>
              <w:t>.</w:t>
            </w:r>
            <w:r>
              <w:rPr>
                <w:rFonts w:eastAsia="Times New Roman"/>
                <w:sz w:val="22"/>
                <w:szCs w:val="22"/>
              </w:rPr>
              <w:t>19</w:t>
            </w:r>
          </w:p>
        </w:tc>
        <w:tc>
          <w:tcPr>
            <w:tcW w:w="1205" w:type="dxa"/>
            <w:vAlign w:val="bottom"/>
          </w:tcPr>
          <w:p w:rsidR="00CF0727" w:rsidRPr="00167342" w:rsidRDefault="00CF0727" w:rsidP="000A009C">
            <w:pPr>
              <w:widowControl w:val="0"/>
              <w:tabs>
                <w:tab w:val="decimal" w:pos="372"/>
              </w:tabs>
              <w:adjustRightInd w:val="0"/>
              <w:spacing w:before="36" w:after="36"/>
              <w:ind w:left="-108" w:right="-77"/>
              <w:jc w:val="left"/>
              <w:textAlignment w:val="baseline"/>
              <w:rPr>
                <w:rFonts w:eastAsia="Times New Roman"/>
              </w:rPr>
            </w:pPr>
            <w:r>
              <w:rPr>
                <w:rFonts w:eastAsia="Times New Roman"/>
                <w:sz w:val="22"/>
                <w:szCs w:val="22"/>
              </w:rPr>
              <w:t>10.35</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11.54</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Kainuu</w:t>
            </w:r>
          </w:p>
        </w:tc>
        <w:tc>
          <w:tcPr>
            <w:tcW w:w="1221" w:type="dxa"/>
          </w:tcPr>
          <w:p w:rsidR="00CF0727" w:rsidRPr="002C580A" w:rsidRDefault="00CF0727" w:rsidP="000A009C">
            <w:pPr>
              <w:widowControl w:val="0"/>
              <w:tabs>
                <w:tab w:val="decimal" w:pos="399"/>
              </w:tabs>
              <w:adjustRightInd w:val="0"/>
              <w:spacing w:before="36" w:after="36"/>
              <w:ind w:left="-113" w:right="-108"/>
              <w:jc w:val="left"/>
              <w:textAlignment w:val="baseline"/>
              <w:rPr>
                <w:rFonts w:eastAsia="Times New Roman"/>
                <w:b/>
              </w:rPr>
            </w:pPr>
            <w:r w:rsidRPr="002C580A">
              <w:rPr>
                <w:rFonts w:eastAsia="Times New Roman"/>
                <w:b/>
                <w:sz w:val="22"/>
                <w:szCs w:val="22"/>
              </w:rPr>
              <w:t>8.96</w:t>
            </w:r>
          </w:p>
        </w:tc>
        <w:tc>
          <w:tcPr>
            <w:tcW w:w="1221" w:type="dxa"/>
          </w:tcPr>
          <w:p w:rsidR="00CF0727" w:rsidRPr="00CF40E4" w:rsidRDefault="00CF0727" w:rsidP="000A009C">
            <w:pPr>
              <w:widowControl w:val="0"/>
              <w:tabs>
                <w:tab w:val="decimal" w:pos="399"/>
              </w:tabs>
              <w:adjustRightInd w:val="0"/>
              <w:spacing w:before="36" w:after="36"/>
              <w:ind w:left="-113" w:right="-108"/>
              <w:jc w:val="left"/>
              <w:textAlignment w:val="baseline"/>
              <w:rPr>
                <w:rFonts w:eastAsia="Times New Roman"/>
              </w:rPr>
            </w:pPr>
            <w:r>
              <w:rPr>
                <w:rFonts w:eastAsia="Times New Roman"/>
                <w:sz w:val="22"/>
                <w:szCs w:val="22"/>
              </w:rPr>
              <w:t>9</w:t>
            </w:r>
            <w:r w:rsidRPr="00CF40E4">
              <w:rPr>
                <w:rFonts w:eastAsia="Times New Roman"/>
                <w:sz w:val="22"/>
                <w:szCs w:val="22"/>
              </w:rPr>
              <w:t>.5</w:t>
            </w:r>
            <w:r>
              <w:rPr>
                <w:rFonts w:eastAsia="Times New Roman"/>
                <w:sz w:val="22"/>
                <w:szCs w:val="22"/>
              </w:rPr>
              <w:t>2</w:t>
            </w:r>
          </w:p>
        </w:tc>
        <w:tc>
          <w:tcPr>
            <w:tcW w:w="1206" w:type="dxa"/>
            <w:vAlign w:val="bottom"/>
          </w:tcPr>
          <w:p w:rsidR="00CF0727" w:rsidRPr="00900FAA" w:rsidRDefault="00CF0727" w:rsidP="000A009C">
            <w:pPr>
              <w:widowControl w:val="0"/>
              <w:tabs>
                <w:tab w:val="decimal" w:pos="365"/>
              </w:tabs>
              <w:adjustRightInd w:val="0"/>
              <w:spacing w:before="36" w:after="36"/>
              <w:ind w:left="-102" w:right="-108" w:hanging="12"/>
              <w:jc w:val="left"/>
              <w:textAlignment w:val="baseline"/>
              <w:rPr>
                <w:rFonts w:eastAsia="Times New Roman"/>
              </w:rPr>
            </w:pPr>
            <w:r>
              <w:rPr>
                <w:rFonts w:eastAsia="Times New Roman"/>
                <w:sz w:val="22"/>
                <w:szCs w:val="22"/>
              </w:rPr>
              <w:t>10</w:t>
            </w:r>
            <w:r w:rsidRPr="00900FAA">
              <w:rPr>
                <w:rFonts w:eastAsia="Times New Roman"/>
                <w:sz w:val="22"/>
                <w:szCs w:val="22"/>
              </w:rPr>
              <w:t>.</w:t>
            </w:r>
            <w:r>
              <w:rPr>
                <w:rFonts w:eastAsia="Times New Roman"/>
                <w:sz w:val="22"/>
                <w:szCs w:val="22"/>
              </w:rPr>
              <w:t>25</w:t>
            </w:r>
          </w:p>
        </w:tc>
        <w:tc>
          <w:tcPr>
            <w:tcW w:w="1320"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Pr>
                <w:rFonts w:eastAsia="Times New Roman"/>
                <w:sz w:val="22"/>
                <w:szCs w:val="22"/>
              </w:rPr>
              <w:t>11.02</w:t>
            </w:r>
          </w:p>
        </w:tc>
        <w:tc>
          <w:tcPr>
            <w:tcW w:w="1205" w:type="dxa"/>
            <w:vAlign w:val="bottom"/>
          </w:tcPr>
          <w:p w:rsidR="00CF0727" w:rsidRPr="00167342" w:rsidRDefault="00CF0727" w:rsidP="000A009C">
            <w:pPr>
              <w:widowControl w:val="0"/>
              <w:tabs>
                <w:tab w:val="decimal" w:pos="372"/>
              </w:tabs>
              <w:adjustRightInd w:val="0"/>
              <w:spacing w:before="36" w:after="36"/>
              <w:ind w:left="-108" w:right="-103"/>
              <w:jc w:val="left"/>
              <w:textAlignment w:val="baseline"/>
              <w:rPr>
                <w:rFonts w:eastAsia="Times New Roman"/>
              </w:rPr>
            </w:pPr>
            <w:r>
              <w:rPr>
                <w:rFonts w:eastAsia="Times New Roman"/>
                <w:sz w:val="22"/>
                <w:szCs w:val="22"/>
              </w:rPr>
              <w:t>11.74</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12.46</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Etelä-Savo</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8</w:t>
            </w:r>
            <w:r w:rsidRPr="00167342">
              <w:rPr>
                <w:rFonts w:eastAsia="Times New Roman"/>
                <w:sz w:val="22"/>
                <w:szCs w:val="22"/>
              </w:rPr>
              <w:t>.</w:t>
            </w:r>
            <w:r>
              <w:rPr>
                <w:rFonts w:eastAsia="Times New Roman"/>
                <w:sz w:val="22"/>
                <w:szCs w:val="22"/>
              </w:rPr>
              <w:t>87</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7</w:t>
            </w:r>
            <w:r w:rsidRPr="00167342">
              <w:rPr>
                <w:rFonts w:eastAsia="Times New Roman"/>
                <w:sz w:val="22"/>
                <w:szCs w:val="22"/>
              </w:rPr>
              <w:t>.</w:t>
            </w:r>
            <w:r>
              <w:rPr>
                <w:rFonts w:eastAsia="Times New Roman"/>
                <w:sz w:val="22"/>
                <w:szCs w:val="22"/>
              </w:rPr>
              <w:t>99</w:t>
            </w:r>
          </w:p>
        </w:tc>
        <w:tc>
          <w:tcPr>
            <w:tcW w:w="1206" w:type="dxa"/>
            <w:vAlign w:val="bottom"/>
          </w:tcPr>
          <w:p w:rsidR="00CF0727" w:rsidRPr="00167342" w:rsidRDefault="00CF0727" w:rsidP="000A009C">
            <w:pPr>
              <w:widowControl w:val="0"/>
              <w:tabs>
                <w:tab w:val="decimal" w:pos="365"/>
              </w:tabs>
              <w:adjustRightInd w:val="0"/>
              <w:spacing w:before="36" w:after="36"/>
              <w:ind w:left="-102" w:right="-108" w:hanging="11"/>
              <w:jc w:val="left"/>
              <w:textAlignment w:val="baseline"/>
              <w:rPr>
                <w:rFonts w:eastAsia="Times New Roman"/>
              </w:rPr>
            </w:pPr>
            <w:r>
              <w:rPr>
                <w:rFonts w:eastAsia="Times New Roman"/>
                <w:b/>
                <w:sz w:val="22"/>
                <w:szCs w:val="22"/>
              </w:rPr>
              <w:t>7</w:t>
            </w:r>
            <w:r w:rsidRPr="00167342">
              <w:rPr>
                <w:rFonts w:eastAsia="Times New Roman"/>
                <w:b/>
                <w:sz w:val="22"/>
                <w:szCs w:val="22"/>
              </w:rPr>
              <w:t>.</w:t>
            </w:r>
            <w:r>
              <w:rPr>
                <w:rFonts w:eastAsia="Times New Roman"/>
                <w:b/>
                <w:sz w:val="22"/>
                <w:szCs w:val="22"/>
              </w:rPr>
              <w:t>99</w:t>
            </w:r>
          </w:p>
        </w:tc>
        <w:tc>
          <w:tcPr>
            <w:tcW w:w="1320" w:type="dxa"/>
          </w:tcPr>
          <w:p w:rsidR="00CF0727" w:rsidRPr="00900FAA" w:rsidRDefault="00CF0727" w:rsidP="000A009C">
            <w:pPr>
              <w:widowControl w:val="0"/>
              <w:tabs>
                <w:tab w:val="decimal" w:pos="492"/>
              </w:tabs>
              <w:adjustRightInd w:val="0"/>
              <w:spacing w:before="36" w:after="36"/>
              <w:ind w:left="-114" w:right="-108"/>
              <w:jc w:val="left"/>
              <w:textAlignment w:val="baseline"/>
              <w:rPr>
                <w:rFonts w:eastAsia="Times New Roman"/>
              </w:rPr>
            </w:pPr>
            <w:r>
              <w:rPr>
                <w:rFonts w:eastAsia="Times New Roman"/>
                <w:sz w:val="22"/>
                <w:szCs w:val="22"/>
              </w:rPr>
              <w:t>8</w:t>
            </w:r>
            <w:r w:rsidRPr="00900FAA">
              <w:rPr>
                <w:rFonts w:eastAsia="Times New Roman"/>
                <w:sz w:val="22"/>
                <w:szCs w:val="22"/>
              </w:rPr>
              <w:t>.</w:t>
            </w:r>
            <w:r>
              <w:rPr>
                <w:rFonts w:eastAsia="Times New Roman"/>
                <w:sz w:val="22"/>
                <w:szCs w:val="22"/>
              </w:rPr>
              <w:t>13</w:t>
            </w:r>
          </w:p>
        </w:tc>
        <w:tc>
          <w:tcPr>
            <w:tcW w:w="1205" w:type="dxa"/>
            <w:vAlign w:val="bottom"/>
          </w:tcPr>
          <w:p w:rsidR="00CF0727" w:rsidRPr="00167342" w:rsidRDefault="00CF0727" w:rsidP="000A009C">
            <w:pPr>
              <w:widowControl w:val="0"/>
              <w:tabs>
                <w:tab w:val="decimal" w:pos="372"/>
              </w:tabs>
              <w:adjustRightInd w:val="0"/>
              <w:spacing w:before="36" w:after="36"/>
              <w:ind w:left="-108" w:right="-103"/>
              <w:jc w:val="left"/>
              <w:textAlignment w:val="baseline"/>
              <w:rPr>
                <w:rFonts w:eastAsia="Times New Roman"/>
              </w:rPr>
            </w:pPr>
            <w:r>
              <w:rPr>
                <w:rFonts w:eastAsia="Times New Roman"/>
                <w:sz w:val="22"/>
                <w:szCs w:val="22"/>
              </w:rPr>
              <w:t>8.95</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9.53</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Itä-Uusimaa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sidRPr="00167342">
              <w:rPr>
                <w:rFonts w:eastAsia="Times New Roman"/>
                <w:sz w:val="22"/>
                <w:szCs w:val="22"/>
              </w:rPr>
              <w:t>1</w:t>
            </w:r>
            <w:r>
              <w:rPr>
                <w:rFonts w:eastAsia="Times New Roman"/>
                <w:sz w:val="22"/>
                <w:szCs w:val="22"/>
              </w:rPr>
              <w:t>3</w:t>
            </w:r>
            <w:r w:rsidRPr="00167342">
              <w:rPr>
                <w:rFonts w:eastAsia="Times New Roman"/>
                <w:sz w:val="22"/>
                <w:szCs w:val="22"/>
              </w:rPr>
              <w:t>.</w:t>
            </w:r>
            <w:r>
              <w:rPr>
                <w:rFonts w:eastAsia="Times New Roman"/>
                <w:sz w:val="22"/>
                <w:szCs w:val="22"/>
              </w:rPr>
              <w:t>47</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11</w:t>
            </w:r>
            <w:r w:rsidRPr="00167342">
              <w:rPr>
                <w:rFonts w:eastAsia="Times New Roman"/>
                <w:sz w:val="22"/>
                <w:szCs w:val="22"/>
              </w:rPr>
              <w:t>.</w:t>
            </w:r>
            <w:r>
              <w:rPr>
                <w:rFonts w:eastAsia="Times New Roman"/>
                <w:sz w:val="22"/>
                <w:szCs w:val="22"/>
              </w:rPr>
              <w:t>19</w:t>
            </w:r>
          </w:p>
        </w:tc>
        <w:tc>
          <w:tcPr>
            <w:tcW w:w="1206" w:type="dxa"/>
            <w:vAlign w:val="bottom"/>
          </w:tcPr>
          <w:p w:rsidR="00CF0727" w:rsidRPr="00167342" w:rsidRDefault="00CF0727" w:rsidP="000A009C">
            <w:pPr>
              <w:widowControl w:val="0"/>
              <w:tabs>
                <w:tab w:val="decimal" w:pos="365"/>
              </w:tabs>
              <w:adjustRightInd w:val="0"/>
              <w:spacing w:before="36" w:after="36"/>
              <w:ind w:left="-102" w:right="-108" w:hanging="12"/>
              <w:jc w:val="left"/>
              <w:textAlignment w:val="baseline"/>
              <w:rPr>
                <w:rFonts w:eastAsia="Times New Roman"/>
              </w:rPr>
            </w:pPr>
            <w:r>
              <w:rPr>
                <w:rFonts w:eastAsia="Times New Roman"/>
                <w:sz w:val="22"/>
                <w:szCs w:val="22"/>
              </w:rPr>
              <w:t>9</w:t>
            </w:r>
            <w:r w:rsidRPr="00167342">
              <w:rPr>
                <w:rFonts w:eastAsia="Times New Roman"/>
                <w:sz w:val="22"/>
                <w:szCs w:val="22"/>
              </w:rPr>
              <w:t>.</w:t>
            </w:r>
            <w:r>
              <w:rPr>
                <w:rFonts w:eastAsia="Times New Roman"/>
                <w:sz w:val="22"/>
                <w:szCs w:val="22"/>
              </w:rPr>
              <w:t>10</w:t>
            </w:r>
          </w:p>
        </w:tc>
        <w:tc>
          <w:tcPr>
            <w:tcW w:w="1320" w:type="dxa"/>
          </w:tcPr>
          <w:p w:rsidR="00CF0727" w:rsidRPr="00B60A48" w:rsidRDefault="00CF0727" w:rsidP="000A009C">
            <w:pPr>
              <w:widowControl w:val="0"/>
              <w:tabs>
                <w:tab w:val="decimal" w:pos="492"/>
              </w:tabs>
              <w:adjustRightInd w:val="0"/>
              <w:spacing w:before="36" w:after="36"/>
              <w:ind w:left="-114" w:right="-108"/>
              <w:jc w:val="left"/>
              <w:textAlignment w:val="baseline"/>
              <w:rPr>
                <w:rFonts w:eastAsia="Times New Roman"/>
              </w:rPr>
            </w:pPr>
            <w:r>
              <w:rPr>
                <w:rFonts w:eastAsia="Times New Roman"/>
                <w:sz w:val="22"/>
                <w:szCs w:val="22"/>
              </w:rPr>
              <w:t>7</w:t>
            </w:r>
            <w:r w:rsidRPr="00B60A48">
              <w:rPr>
                <w:rFonts w:eastAsia="Times New Roman"/>
                <w:sz w:val="22"/>
                <w:szCs w:val="22"/>
              </w:rPr>
              <w:t>.</w:t>
            </w:r>
            <w:r>
              <w:rPr>
                <w:rFonts w:eastAsia="Times New Roman"/>
                <w:sz w:val="22"/>
                <w:szCs w:val="22"/>
              </w:rPr>
              <w:t>66</w:t>
            </w:r>
          </w:p>
        </w:tc>
        <w:tc>
          <w:tcPr>
            <w:tcW w:w="1205" w:type="dxa"/>
            <w:vAlign w:val="bottom"/>
          </w:tcPr>
          <w:p w:rsidR="00CF0727" w:rsidRPr="0063177B" w:rsidRDefault="00CF0727" w:rsidP="000A009C">
            <w:pPr>
              <w:widowControl w:val="0"/>
              <w:tabs>
                <w:tab w:val="decimal" w:pos="372"/>
              </w:tabs>
              <w:adjustRightInd w:val="0"/>
              <w:spacing w:before="36" w:after="36"/>
              <w:ind w:left="-108" w:right="-103"/>
              <w:jc w:val="left"/>
              <w:textAlignment w:val="baseline"/>
              <w:rPr>
                <w:rFonts w:eastAsia="Times New Roman"/>
              </w:rPr>
            </w:pPr>
            <w:r w:rsidRPr="0063177B">
              <w:rPr>
                <w:rFonts w:eastAsia="Times New Roman"/>
                <w:sz w:val="22"/>
                <w:szCs w:val="22"/>
              </w:rPr>
              <w:t>6.99</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b/>
                <w:sz w:val="22"/>
                <w:szCs w:val="22"/>
              </w:rPr>
              <w:t>6.79</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Pohjois-Karjala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10</w:t>
            </w:r>
            <w:r w:rsidRPr="00167342">
              <w:rPr>
                <w:rFonts w:eastAsia="Times New Roman"/>
                <w:sz w:val="22"/>
                <w:szCs w:val="22"/>
              </w:rPr>
              <w:t>.</w:t>
            </w:r>
            <w:r>
              <w:rPr>
                <w:rFonts w:eastAsia="Times New Roman"/>
                <w:sz w:val="22"/>
                <w:szCs w:val="22"/>
              </w:rPr>
              <w:t>41</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9</w:t>
            </w:r>
            <w:r w:rsidRPr="00167342">
              <w:rPr>
                <w:rFonts w:eastAsia="Times New Roman"/>
                <w:sz w:val="22"/>
                <w:szCs w:val="22"/>
              </w:rPr>
              <w:t>.</w:t>
            </w:r>
            <w:r>
              <w:rPr>
                <w:rFonts w:eastAsia="Times New Roman"/>
                <w:sz w:val="22"/>
                <w:szCs w:val="22"/>
              </w:rPr>
              <w:t>27</w:t>
            </w:r>
          </w:p>
        </w:tc>
        <w:tc>
          <w:tcPr>
            <w:tcW w:w="1206" w:type="dxa"/>
            <w:vAlign w:val="bottom"/>
          </w:tcPr>
          <w:p w:rsidR="00CF0727" w:rsidRPr="003828CF" w:rsidRDefault="00CF0727" w:rsidP="000A009C">
            <w:pPr>
              <w:widowControl w:val="0"/>
              <w:tabs>
                <w:tab w:val="decimal" w:pos="365"/>
              </w:tabs>
              <w:adjustRightInd w:val="0"/>
              <w:spacing w:before="36" w:after="36"/>
              <w:ind w:left="-102" w:right="-108" w:hanging="12"/>
              <w:jc w:val="left"/>
              <w:textAlignment w:val="baseline"/>
              <w:rPr>
                <w:rFonts w:eastAsia="Times New Roman"/>
                <w:b/>
              </w:rPr>
            </w:pPr>
            <w:r w:rsidRPr="003828CF">
              <w:rPr>
                <w:rFonts w:eastAsia="Times New Roman"/>
                <w:b/>
                <w:sz w:val="22"/>
                <w:szCs w:val="22"/>
              </w:rPr>
              <w:t>8.90</w:t>
            </w:r>
          </w:p>
        </w:tc>
        <w:tc>
          <w:tcPr>
            <w:tcW w:w="1320" w:type="dxa"/>
          </w:tcPr>
          <w:p w:rsidR="00CF0727" w:rsidRPr="005635EA" w:rsidRDefault="00CF0727" w:rsidP="000A009C">
            <w:pPr>
              <w:widowControl w:val="0"/>
              <w:tabs>
                <w:tab w:val="decimal" w:pos="492"/>
              </w:tabs>
              <w:adjustRightInd w:val="0"/>
              <w:spacing w:before="36" w:after="36"/>
              <w:ind w:left="-114" w:right="-108"/>
              <w:jc w:val="left"/>
              <w:textAlignment w:val="baseline"/>
              <w:rPr>
                <w:rFonts w:eastAsia="Times New Roman"/>
              </w:rPr>
            </w:pPr>
            <w:r w:rsidRPr="005635EA">
              <w:rPr>
                <w:rFonts w:eastAsia="Times New Roman"/>
                <w:sz w:val="22"/>
                <w:szCs w:val="22"/>
              </w:rPr>
              <w:t>9.05</w:t>
            </w:r>
          </w:p>
        </w:tc>
        <w:tc>
          <w:tcPr>
            <w:tcW w:w="1205" w:type="dxa"/>
            <w:vAlign w:val="bottom"/>
          </w:tcPr>
          <w:p w:rsidR="00CF0727" w:rsidRPr="00167342" w:rsidRDefault="00CF0727" w:rsidP="000A009C">
            <w:pPr>
              <w:widowControl w:val="0"/>
              <w:tabs>
                <w:tab w:val="decimal" w:pos="372"/>
              </w:tabs>
              <w:adjustRightInd w:val="0"/>
              <w:spacing w:before="36" w:after="36"/>
              <w:ind w:left="-108" w:right="-103"/>
              <w:jc w:val="left"/>
              <w:textAlignment w:val="baseline"/>
              <w:rPr>
                <w:rFonts w:eastAsia="Times New Roman"/>
              </w:rPr>
            </w:pPr>
            <w:r>
              <w:rPr>
                <w:rFonts w:eastAsia="Times New Roman"/>
                <w:sz w:val="22"/>
                <w:szCs w:val="22"/>
              </w:rPr>
              <w:t>9.33</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9.74</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Etelä-Pohjanmaa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7</w:t>
            </w:r>
            <w:r w:rsidRPr="00167342">
              <w:rPr>
                <w:rFonts w:eastAsia="Times New Roman"/>
                <w:sz w:val="22"/>
                <w:szCs w:val="22"/>
              </w:rPr>
              <w:t>.</w:t>
            </w:r>
            <w:r>
              <w:rPr>
                <w:rFonts w:eastAsia="Times New Roman"/>
                <w:sz w:val="22"/>
                <w:szCs w:val="22"/>
              </w:rPr>
              <w:t>98</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b/>
                <w:sz w:val="22"/>
                <w:szCs w:val="22"/>
              </w:rPr>
              <w:t>7</w:t>
            </w:r>
            <w:r w:rsidRPr="00167342">
              <w:rPr>
                <w:rFonts w:eastAsia="Times New Roman"/>
                <w:b/>
                <w:sz w:val="22"/>
                <w:szCs w:val="22"/>
              </w:rPr>
              <w:t>.</w:t>
            </w:r>
            <w:r>
              <w:rPr>
                <w:rFonts w:eastAsia="Times New Roman"/>
                <w:b/>
                <w:sz w:val="22"/>
                <w:szCs w:val="22"/>
              </w:rPr>
              <w:t>95</w:t>
            </w:r>
          </w:p>
        </w:tc>
        <w:tc>
          <w:tcPr>
            <w:tcW w:w="1206" w:type="dxa"/>
            <w:vAlign w:val="bottom"/>
          </w:tcPr>
          <w:p w:rsidR="00CF0727" w:rsidRPr="000F0970" w:rsidRDefault="00CF0727" w:rsidP="000A009C">
            <w:pPr>
              <w:widowControl w:val="0"/>
              <w:tabs>
                <w:tab w:val="decimal" w:pos="365"/>
              </w:tabs>
              <w:adjustRightInd w:val="0"/>
              <w:spacing w:before="36" w:after="36"/>
              <w:ind w:left="-102" w:right="-108" w:hanging="12"/>
              <w:jc w:val="left"/>
              <w:textAlignment w:val="baseline"/>
              <w:rPr>
                <w:rFonts w:eastAsia="Times New Roman"/>
              </w:rPr>
            </w:pPr>
            <w:r>
              <w:rPr>
                <w:rFonts w:eastAsia="Times New Roman"/>
                <w:sz w:val="22"/>
                <w:szCs w:val="22"/>
              </w:rPr>
              <w:t>8</w:t>
            </w:r>
            <w:r w:rsidRPr="000F0970">
              <w:rPr>
                <w:rFonts w:eastAsia="Times New Roman"/>
                <w:sz w:val="22"/>
                <w:szCs w:val="22"/>
              </w:rPr>
              <w:t>.</w:t>
            </w:r>
            <w:r>
              <w:rPr>
                <w:rFonts w:eastAsia="Times New Roman"/>
                <w:sz w:val="22"/>
                <w:szCs w:val="22"/>
              </w:rPr>
              <w:t>56</w:t>
            </w:r>
          </w:p>
        </w:tc>
        <w:tc>
          <w:tcPr>
            <w:tcW w:w="1320"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Pr>
                <w:rFonts w:eastAsia="Times New Roman"/>
                <w:sz w:val="22"/>
                <w:szCs w:val="22"/>
              </w:rPr>
              <w:t>9.09</w:t>
            </w:r>
          </w:p>
        </w:tc>
        <w:tc>
          <w:tcPr>
            <w:tcW w:w="1205" w:type="dxa"/>
            <w:vAlign w:val="bottom"/>
          </w:tcPr>
          <w:p w:rsidR="00CF0727" w:rsidRPr="00167342" w:rsidRDefault="00CF0727" w:rsidP="000A009C">
            <w:pPr>
              <w:widowControl w:val="0"/>
              <w:tabs>
                <w:tab w:val="decimal" w:pos="372"/>
              </w:tabs>
              <w:adjustRightInd w:val="0"/>
              <w:spacing w:before="36" w:after="36"/>
              <w:ind w:left="-108" w:right="-77"/>
              <w:jc w:val="left"/>
              <w:textAlignment w:val="baseline"/>
              <w:rPr>
                <w:rFonts w:eastAsia="Times New Roman"/>
              </w:rPr>
            </w:pPr>
            <w:r>
              <w:rPr>
                <w:rFonts w:eastAsia="Times New Roman"/>
                <w:sz w:val="22"/>
                <w:szCs w:val="22"/>
              </w:rPr>
              <w:t>9.81</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10.62</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Kanta-Häme</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12.27</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10</w:t>
            </w:r>
            <w:r w:rsidRPr="00167342">
              <w:rPr>
                <w:rFonts w:eastAsia="Times New Roman"/>
                <w:sz w:val="22"/>
                <w:szCs w:val="22"/>
              </w:rPr>
              <w:t>.</w:t>
            </w:r>
            <w:r>
              <w:rPr>
                <w:rFonts w:eastAsia="Times New Roman"/>
                <w:sz w:val="22"/>
                <w:szCs w:val="22"/>
              </w:rPr>
              <w:t>84</w:t>
            </w:r>
          </w:p>
        </w:tc>
        <w:tc>
          <w:tcPr>
            <w:tcW w:w="1206" w:type="dxa"/>
          </w:tcPr>
          <w:p w:rsidR="00CF0727" w:rsidRPr="00C64748" w:rsidRDefault="00CF0727" w:rsidP="000A009C">
            <w:pPr>
              <w:widowControl w:val="0"/>
              <w:tabs>
                <w:tab w:val="decimal" w:pos="365"/>
              </w:tabs>
              <w:adjustRightInd w:val="0"/>
              <w:spacing w:before="36" w:after="36"/>
              <w:ind w:left="-114" w:right="-108"/>
              <w:jc w:val="left"/>
              <w:textAlignment w:val="baseline"/>
              <w:rPr>
                <w:rFonts w:eastAsia="Times New Roman"/>
              </w:rPr>
            </w:pPr>
            <w:r>
              <w:rPr>
                <w:rFonts w:eastAsia="Times New Roman"/>
                <w:sz w:val="22"/>
                <w:szCs w:val="22"/>
              </w:rPr>
              <w:t>9</w:t>
            </w:r>
            <w:r w:rsidRPr="00C64748">
              <w:rPr>
                <w:rFonts w:eastAsia="Times New Roman"/>
                <w:sz w:val="22"/>
                <w:szCs w:val="22"/>
              </w:rPr>
              <w:t>.</w:t>
            </w:r>
            <w:r>
              <w:rPr>
                <w:rFonts w:eastAsia="Times New Roman"/>
                <w:sz w:val="22"/>
                <w:szCs w:val="22"/>
              </w:rPr>
              <w:t>84</w:t>
            </w:r>
          </w:p>
        </w:tc>
        <w:tc>
          <w:tcPr>
            <w:tcW w:w="1320" w:type="dxa"/>
          </w:tcPr>
          <w:p w:rsidR="00CF0727" w:rsidRPr="0063177B" w:rsidRDefault="00CF0727" w:rsidP="000A009C">
            <w:pPr>
              <w:widowControl w:val="0"/>
              <w:tabs>
                <w:tab w:val="decimal" w:pos="492"/>
              </w:tabs>
              <w:adjustRightInd w:val="0"/>
              <w:spacing w:before="36" w:after="36"/>
              <w:ind w:left="-114" w:right="-108"/>
              <w:jc w:val="left"/>
              <w:textAlignment w:val="baseline"/>
              <w:rPr>
                <w:rFonts w:eastAsia="Times New Roman"/>
              </w:rPr>
            </w:pPr>
            <w:r w:rsidRPr="0063177B">
              <w:rPr>
                <w:rFonts w:eastAsia="Times New Roman"/>
                <w:sz w:val="22"/>
                <w:szCs w:val="22"/>
              </w:rPr>
              <w:t>9.38</w:t>
            </w:r>
          </w:p>
        </w:tc>
        <w:tc>
          <w:tcPr>
            <w:tcW w:w="1205" w:type="dxa"/>
            <w:vAlign w:val="bottom"/>
          </w:tcPr>
          <w:p w:rsidR="00CF0727" w:rsidRPr="0063177B" w:rsidRDefault="00CF0727" w:rsidP="000A009C">
            <w:pPr>
              <w:widowControl w:val="0"/>
              <w:tabs>
                <w:tab w:val="decimal" w:pos="372"/>
              </w:tabs>
              <w:adjustRightInd w:val="0"/>
              <w:spacing w:before="36" w:after="36"/>
              <w:ind w:left="-108" w:right="-77"/>
              <w:jc w:val="left"/>
              <w:textAlignment w:val="baseline"/>
              <w:rPr>
                <w:rFonts w:eastAsia="Times New Roman"/>
                <w:b/>
              </w:rPr>
            </w:pPr>
            <w:r>
              <w:rPr>
                <w:rFonts w:eastAsia="Times New Roman"/>
                <w:b/>
                <w:sz w:val="22"/>
                <w:szCs w:val="22"/>
              </w:rPr>
              <w:t>9.14</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9.59</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Etelä-Karjala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8</w:t>
            </w:r>
            <w:r w:rsidRPr="00167342">
              <w:rPr>
                <w:rFonts w:eastAsia="Times New Roman"/>
                <w:sz w:val="22"/>
                <w:szCs w:val="22"/>
              </w:rPr>
              <w:t>.</w:t>
            </w:r>
            <w:r>
              <w:rPr>
                <w:rFonts w:eastAsia="Times New Roman"/>
                <w:sz w:val="22"/>
                <w:szCs w:val="22"/>
              </w:rPr>
              <w:t>09</w:t>
            </w:r>
          </w:p>
        </w:tc>
        <w:tc>
          <w:tcPr>
            <w:tcW w:w="1221" w:type="dxa"/>
          </w:tcPr>
          <w:p w:rsidR="00CF0727" w:rsidRPr="00CF40E4" w:rsidRDefault="00CF0727" w:rsidP="000A009C">
            <w:pPr>
              <w:widowControl w:val="0"/>
              <w:tabs>
                <w:tab w:val="decimal" w:pos="399"/>
              </w:tabs>
              <w:adjustRightInd w:val="0"/>
              <w:spacing w:before="36" w:after="36"/>
              <w:ind w:left="-114" w:right="-108"/>
              <w:jc w:val="left"/>
              <w:textAlignment w:val="baseline"/>
              <w:rPr>
                <w:rFonts w:eastAsia="Times New Roman"/>
                <w:b/>
              </w:rPr>
            </w:pPr>
            <w:r w:rsidRPr="00CF40E4">
              <w:rPr>
                <w:rFonts w:eastAsia="Times New Roman"/>
                <w:b/>
                <w:sz w:val="22"/>
                <w:szCs w:val="22"/>
              </w:rPr>
              <w:t>6.95</w:t>
            </w:r>
          </w:p>
        </w:tc>
        <w:tc>
          <w:tcPr>
            <w:tcW w:w="1206" w:type="dxa"/>
            <w:vAlign w:val="bottom"/>
          </w:tcPr>
          <w:p w:rsidR="00CF0727" w:rsidRPr="003828CF" w:rsidRDefault="00CF0727" w:rsidP="000A009C">
            <w:pPr>
              <w:widowControl w:val="0"/>
              <w:tabs>
                <w:tab w:val="decimal" w:pos="365"/>
              </w:tabs>
              <w:adjustRightInd w:val="0"/>
              <w:spacing w:before="36" w:after="36"/>
              <w:ind w:left="-102" w:right="-108" w:hanging="12"/>
              <w:jc w:val="left"/>
              <w:textAlignment w:val="baseline"/>
              <w:rPr>
                <w:rFonts w:eastAsia="Times New Roman"/>
              </w:rPr>
            </w:pPr>
            <w:r w:rsidRPr="003828CF">
              <w:rPr>
                <w:rFonts w:eastAsia="Times New Roman"/>
                <w:sz w:val="22"/>
                <w:szCs w:val="22"/>
              </w:rPr>
              <w:t>7.09</w:t>
            </w:r>
          </w:p>
        </w:tc>
        <w:tc>
          <w:tcPr>
            <w:tcW w:w="1320"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Pr>
                <w:rFonts w:eastAsia="Times New Roman"/>
                <w:sz w:val="22"/>
                <w:szCs w:val="22"/>
              </w:rPr>
              <w:t>7</w:t>
            </w:r>
            <w:r w:rsidRPr="00167342">
              <w:rPr>
                <w:rFonts w:eastAsia="Times New Roman"/>
                <w:sz w:val="22"/>
                <w:szCs w:val="22"/>
              </w:rPr>
              <w:t>.</w:t>
            </w:r>
            <w:r>
              <w:rPr>
                <w:rFonts w:eastAsia="Times New Roman"/>
                <w:sz w:val="22"/>
                <w:szCs w:val="22"/>
              </w:rPr>
              <w:t>47</w:t>
            </w:r>
          </w:p>
        </w:tc>
        <w:tc>
          <w:tcPr>
            <w:tcW w:w="1205" w:type="dxa"/>
            <w:vAlign w:val="bottom"/>
          </w:tcPr>
          <w:p w:rsidR="00CF0727" w:rsidRPr="00167342" w:rsidRDefault="00CF0727" w:rsidP="000A009C">
            <w:pPr>
              <w:widowControl w:val="0"/>
              <w:tabs>
                <w:tab w:val="decimal" w:pos="372"/>
              </w:tabs>
              <w:adjustRightInd w:val="0"/>
              <w:spacing w:before="36" w:after="36"/>
              <w:ind w:left="-108" w:right="-103"/>
              <w:jc w:val="left"/>
              <w:textAlignment w:val="baseline"/>
              <w:rPr>
                <w:rFonts w:eastAsia="Times New Roman"/>
              </w:rPr>
            </w:pPr>
            <w:r>
              <w:rPr>
                <w:rFonts w:eastAsia="Times New Roman"/>
                <w:sz w:val="22"/>
                <w:szCs w:val="22"/>
              </w:rPr>
              <w:t>7.95</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8.88</w:t>
            </w:r>
          </w:p>
        </w:tc>
      </w:tr>
      <w:tr w:rsidR="00CF0727" w:rsidRPr="00167342" w:rsidTr="000A009C">
        <w:trPr>
          <w:trHeight w:val="279"/>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Päijät-Häme</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9</w:t>
            </w:r>
            <w:r w:rsidRPr="00167342">
              <w:rPr>
                <w:rFonts w:eastAsia="Times New Roman"/>
                <w:sz w:val="22"/>
                <w:szCs w:val="22"/>
              </w:rPr>
              <w:t>.</w:t>
            </w:r>
            <w:r>
              <w:rPr>
                <w:rFonts w:eastAsia="Times New Roman"/>
                <w:sz w:val="22"/>
                <w:szCs w:val="22"/>
              </w:rPr>
              <w:t>57</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8</w:t>
            </w:r>
            <w:r w:rsidRPr="00167342">
              <w:rPr>
                <w:rFonts w:eastAsia="Times New Roman"/>
                <w:sz w:val="22"/>
                <w:szCs w:val="22"/>
              </w:rPr>
              <w:t>.</w:t>
            </w:r>
            <w:r>
              <w:rPr>
                <w:rFonts w:eastAsia="Times New Roman"/>
                <w:sz w:val="22"/>
                <w:szCs w:val="22"/>
              </w:rPr>
              <w:t>64</w:t>
            </w:r>
          </w:p>
        </w:tc>
        <w:tc>
          <w:tcPr>
            <w:tcW w:w="1206" w:type="dxa"/>
          </w:tcPr>
          <w:p w:rsidR="00CF0727" w:rsidRPr="003A0358" w:rsidRDefault="00CF0727" w:rsidP="000A009C">
            <w:pPr>
              <w:widowControl w:val="0"/>
              <w:tabs>
                <w:tab w:val="decimal" w:pos="365"/>
              </w:tabs>
              <w:adjustRightInd w:val="0"/>
              <w:spacing w:before="36" w:after="36"/>
              <w:ind w:left="-114" w:right="-108"/>
              <w:jc w:val="left"/>
              <w:textAlignment w:val="baseline"/>
              <w:rPr>
                <w:rFonts w:eastAsia="Times New Roman"/>
              </w:rPr>
            </w:pPr>
            <w:r>
              <w:rPr>
                <w:rFonts w:eastAsia="Times New Roman"/>
                <w:sz w:val="22"/>
                <w:szCs w:val="22"/>
              </w:rPr>
              <w:t>8</w:t>
            </w:r>
            <w:r w:rsidRPr="003A0358">
              <w:rPr>
                <w:rFonts w:eastAsia="Times New Roman"/>
                <w:sz w:val="22"/>
                <w:szCs w:val="22"/>
              </w:rPr>
              <w:t>.</w:t>
            </w:r>
            <w:r>
              <w:rPr>
                <w:rFonts w:eastAsia="Times New Roman"/>
                <w:sz w:val="22"/>
                <w:szCs w:val="22"/>
              </w:rPr>
              <w:t>18</w:t>
            </w:r>
          </w:p>
        </w:tc>
        <w:tc>
          <w:tcPr>
            <w:tcW w:w="1320" w:type="dxa"/>
          </w:tcPr>
          <w:p w:rsidR="00CF0727" w:rsidRPr="003A0358" w:rsidRDefault="00CF0727" w:rsidP="000A009C">
            <w:pPr>
              <w:widowControl w:val="0"/>
              <w:tabs>
                <w:tab w:val="decimal" w:pos="492"/>
              </w:tabs>
              <w:adjustRightInd w:val="0"/>
              <w:spacing w:before="36" w:after="36"/>
              <w:ind w:left="-114" w:right="-108"/>
              <w:jc w:val="left"/>
              <w:textAlignment w:val="baseline"/>
              <w:rPr>
                <w:rFonts w:eastAsia="Times New Roman"/>
                <w:b/>
              </w:rPr>
            </w:pPr>
            <w:r>
              <w:rPr>
                <w:rFonts w:eastAsia="Times New Roman"/>
                <w:b/>
                <w:sz w:val="22"/>
                <w:szCs w:val="22"/>
              </w:rPr>
              <w:t>7</w:t>
            </w:r>
            <w:r w:rsidRPr="003A0358">
              <w:rPr>
                <w:rFonts w:eastAsia="Times New Roman"/>
                <w:b/>
                <w:sz w:val="22"/>
                <w:szCs w:val="22"/>
              </w:rPr>
              <w:t>.</w:t>
            </w:r>
            <w:r>
              <w:rPr>
                <w:rFonts w:eastAsia="Times New Roman"/>
                <w:b/>
                <w:sz w:val="22"/>
                <w:szCs w:val="22"/>
              </w:rPr>
              <w:t>99</w:t>
            </w:r>
          </w:p>
        </w:tc>
        <w:tc>
          <w:tcPr>
            <w:tcW w:w="1205" w:type="dxa"/>
            <w:vAlign w:val="bottom"/>
          </w:tcPr>
          <w:p w:rsidR="00CF0727" w:rsidRPr="00167342" w:rsidRDefault="00CF0727" w:rsidP="000A009C">
            <w:pPr>
              <w:widowControl w:val="0"/>
              <w:tabs>
                <w:tab w:val="decimal" w:pos="372"/>
              </w:tabs>
              <w:adjustRightInd w:val="0"/>
              <w:spacing w:before="36" w:after="36"/>
              <w:ind w:left="-108" w:right="-77"/>
              <w:jc w:val="left"/>
              <w:textAlignment w:val="baseline"/>
              <w:rPr>
                <w:rFonts w:eastAsia="Times New Roman"/>
              </w:rPr>
            </w:pPr>
            <w:r>
              <w:rPr>
                <w:rFonts w:eastAsia="Times New Roman"/>
                <w:sz w:val="22"/>
                <w:szCs w:val="22"/>
              </w:rPr>
              <w:t>8.37</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9.23</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Pohjanmaa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10</w:t>
            </w:r>
            <w:r w:rsidRPr="00167342">
              <w:rPr>
                <w:rFonts w:eastAsia="Times New Roman"/>
                <w:sz w:val="22"/>
                <w:szCs w:val="22"/>
              </w:rPr>
              <w:t>.</w:t>
            </w:r>
            <w:r>
              <w:rPr>
                <w:rFonts w:eastAsia="Times New Roman"/>
                <w:sz w:val="22"/>
                <w:szCs w:val="22"/>
              </w:rPr>
              <w:t>95</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8</w:t>
            </w:r>
            <w:r w:rsidRPr="00167342">
              <w:rPr>
                <w:rFonts w:eastAsia="Times New Roman"/>
                <w:sz w:val="22"/>
                <w:szCs w:val="22"/>
              </w:rPr>
              <w:t>.</w:t>
            </w:r>
            <w:r>
              <w:rPr>
                <w:rFonts w:eastAsia="Times New Roman"/>
                <w:sz w:val="22"/>
                <w:szCs w:val="22"/>
              </w:rPr>
              <w:t>50</w:t>
            </w:r>
          </w:p>
        </w:tc>
        <w:tc>
          <w:tcPr>
            <w:tcW w:w="1206" w:type="dxa"/>
          </w:tcPr>
          <w:p w:rsidR="00CF0727" w:rsidRPr="003A0358" w:rsidRDefault="00CF0727" w:rsidP="000A009C">
            <w:pPr>
              <w:widowControl w:val="0"/>
              <w:tabs>
                <w:tab w:val="decimal" w:pos="365"/>
              </w:tabs>
              <w:adjustRightInd w:val="0"/>
              <w:spacing w:before="36" w:after="36"/>
              <w:ind w:left="-114" w:right="-108"/>
              <w:jc w:val="left"/>
              <w:textAlignment w:val="baseline"/>
              <w:rPr>
                <w:rFonts w:eastAsia="Times New Roman"/>
              </w:rPr>
            </w:pPr>
            <w:r>
              <w:rPr>
                <w:rFonts w:eastAsia="Times New Roman"/>
                <w:sz w:val="22"/>
                <w:szCs w:val="22"/>
              </w:rPr>
              <w:t>7</w:t>
            </w:r>
            <w:r w:rsidRPr="003A0358">
              <w:rPr>
                <w:rFonts w:eastAsia="Times New Roman"/>
                <w:sz w:val="22"/>
                <w:szCs w:val="22"/>
              </w:rPr>
              <w:t>.</w:t>
            </w:r>
            <w:r>
              <w:rPr>
                <w:rFonts w:eastAsia="Times New Roman"/>
                <w:sz w:val="22"/>
                <w:szCs w:val="22"/>
              </w:rPr>
              <w:t>18</w:t>
            </w:r>
          </w:p>
        </w:tc>
        <w:tc>
          <w:tcPr>
            <w:tcW w:w="1320" w:type="dxa"/>
          </w:tcPr>
          <w:p w:rsidR="00CF0727" w:rsidRPr="003A0358" w:rsidRDefault="00CF0727" w:rsidP="000A009C">
            <w:pPr>
              <w:widowControl w:val="0"/>
              <w:tabs>
                <w:tab w:val="decimal" w:pos="492"/>
              </w:tabs>
              <w:adjustRightInd w:val="0"/>
              <w:spacing w:before="36" w:after="36"/>
              <w:ind w:left="-114" w:right="-108"/>
              <w:jc w:val="left"/>
              <w:textAlignment w:val="baseline"/>
              <w:rPr>
                <w:rFonts w:eastAsia="Times New Roman"/>
                <w:b/>
              </w:rPr>
            </w:pPr>
            <w:r>
              <w:rPr>
                <w:rFonts w:eastAsia="Times New Roman"/>
                <w:b/>
                <w:sz w:val="22"/>
                <w:szCs w:val="22"/>
              </w:rPr>
              <w:t>6</w:t>
            </w:r>
            <w:r w:rsidRPr="003A0358">
              <w:rPr>
                <w:rFonts w:eastAsia="Times New Roman"/>
                <w:b/>
                <w:sz w:val="22"/>
                <w:szCs w:val="22"/>
              </w:rPr>
              <w:t>.</w:t>
            </w:r>
            <w:r>
              <w:rPr>
                <w:rFonts w:eastAsia="Times New Roman"/>
                <w:b/>
                <w:sz w:val="22"/>
                <w:szCs w:val="22"/>
              </w:rPr>
              <w:t>56</w:t>
            </w:r>
          </w:p>
        </w:tc>
        <w:tc>
          <w:tcPr>
            <w:tcW w:w="1205" w:type="dxa"/>
            <w:vAlign w:val="bottom"/>
          </w:tcPr>
          <w:p w:rsidR="00CF0727" w:rsidRPr="00167342" w:rsidRDefault="00CF0727" w:rsidP="000A009C">
            <w:pPr>
              <w:widowControl w:val="0"/>
              <w:tabs>
                <w:tab w:val="decimal" w:pos="372"/>
              </w:tabs>
              <w:adjustRightInd w:val="0"/>
              <w:spacing w:before="36" w:after="36"/>
              <w:ind w:left="-108" w:right="-77"/>
              <w:jc w:val="left"/>
              <w:textAlignment w:val="baseline"/>
              <w:rPr>
                <w:rFonts w:eastAsia="Times New Roman"/>
              </w:rPr>
            </w:pPr>
            <w:r>
              <w:rPr>
                <w:rFonts w:eastAsia="Times New Roman"/>
                <w:sz w:val="22"/>
                <w:szCs w:val="22"/>
              </w:rPr>
              <w:t>7.28</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9.07</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Lappi</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9</w:t>
            </w:r>
            <w:r w:rsidRPr="00167342">
              <w:rPr>
                <w:rFonts w:eastAsia="Times New Roman"/>
                <w:sz w:val="22"/>
                <w:szCs w:val="22"/>
              </w:rPr>
              <w:t>.</w:t>
            </w:r>
            <w:r>
              <w:rPr>
                <w:rFonts w:eastAsia="Times New Roman"/>
                <w:sz w:val="22"/>
                <w:szCs w:val="22"/>
              </w:rPr>
              <w:t>20</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b/>
                <w:sz w:val="22"/>
                <w:szCs w:val="22"/>
              </w:rPr>
              <w:t>8.72</w:t>
            </w:r>
          </w:p>
        </w:tc>
        <w:tc>
          <w:tcPr>
            <w:tcW w:w="1206" w:type="dxa"/>
            <w:vAlign w:val="bottom"/>
          </w:tcPr>
          <w:p w:rsidR="00CF0727" w:rsidRPr="000F0970" w:rsidRDefault="00CF0727" w:rsidP="000A009C">
            <w:pPr>
              <w:widowControl w:val="0"/>
              <w:tabs>
                <w:tab w:val="decimal" w:pos="365"/>
              </w:tabs>
              <w:adjustRightInd w:val="0"/>
              <w:spacing w:before="36" w:after="36"/>
              <w:ind w:left="-102" w:right="-108" w:hanging="12"/>
              <w:jc w:val="left"/>
              <w:textAlignment w:val="baseline"/>
              <w:rPr>
                <w:rFonts w:eastAsia="Times New Roman"/>
              </w:rPr>
            </w:pPr>
            <w:r>
              <w:rPr>
                <w:rFonts w:eastAsia="Times New Roman"/>
                <w:sz w:val="22"/>
                <w:szCs w:val="22"/>
              </w:rPr>
              <w:t>8</w:t>
            </w:r>
            <w:r w:rsidRPr="000F0970">
              <w:rPr>
                <w:rFonts w:eastAsia="Times New Roman"/>
                <w:sz w:val="22"/>
                <w:szCs w:val="22"/>
              </w:rPr>
              <w:t>.</w:t>
            </w:r>
            <w:r>
              <w:rPr>
                <w:rFonts w:eastAsia="Times New Roman"/>
                <w:sz w:val="22"/>
                <w:szCs w:val="22"/>
              </w:rPr>
              <w:t>88</w:t>
            </w:r>
          </w:p>
        </w:tc>
        <w:tc>
          <w:tcPr>
            <w:tcW w:w="1320"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Pr>
                <w:rFonts w:eastAsia="Times New Roman"/>
                <w:sz w:val="22"/>
                <w:szCs w:val="22"/>
              </w:rPr>
              <w:t>9</w:t>
            </w:r>
            <w:r w:rsidRPr="00167342">
              <w:rPr>
                <w:rFonts w:eastAsia="Times New Roman"/>
                <w:sz w:val="22"/>
                <w:szCs w:val="22"/>
              </w:rPr>
              <w:t>.</w:t>
            </w:r>
            <w:r>
              <w:rPr>
                <w:rFonts w:eastAsia="Times New Roman"/>
                <w:sz w:val="22"/>
                <w:szCs w:val="22"/>
              </w:rPr>
              <w:t>32</w:t>
            </w:r>
          </w:p>
        </w:tc>
        <w:tc>
          <w:tcPr>
            <w:tcW w:w="1205" w:type="dxa"/>
            <w:vAlign w:val="bottom"/>
          </w:tcPr>
          <w:p w:rsidR="00CF0727" w:rsidRPr="00167342" w:rsidRDefault="00CF0727" w:rsidP="000A009C">
            <w:pPr>
              <w:widowControl w:val="0"/>
              <w:tabs>
                <w:tab w:val="decimal" w:pos="372"/>
              </w:tabs>
              <w:adjustRightInd w:val="0"/>
              <w:spacing w:before="36" w:after="36"/>
              <w:ind w:left="-108" w:right="-77"/>
              <w:jc w:val="left"/>
              <w:textAlignment w:val="baseline"/>
              <w:rPr>
                <w:rFonts w:eastAsia="Times New Roman"/>
              </w:rPr>
            </w:pPr>
            <w:r>
              <w:rPr>
                <w:rFonts w:eastAsia="Times New Roman"/>
                <w:sz w:val="22"/>
                <w:szCs w:val="22"/>
              </w:rPr>
              <w:t>9.88</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10.52</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Pohjois-Savo</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8</w:t>
            </w:r>
            <w:r w:rsidRPr="00167342">
              <w:rPr>
                <w:rFonts w:eastAsia="Times New Roman"/>
                <w:sz w:val="22"/>
                <w:szCs w:val="22"/>
              </w:rPr>
              <w:t>.</w:t>
            </w:r>
            <w:r>
              <w:rPr>
                <w:rFonts w:eastAsia="Times New Roman"/>
                <w:sz w:val="22"/>
                <w:szCs w:val="22"/>
              </w:rPr>
              <w:t>89</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7</w:t>
            </w:r>
            <w:r w:rsidRPr="00167342">
              <w:rPr>
                <w:rFonts w:eastAsia="Times New Roman"/>
                <w:sz w:val="22"/>
                <w:szCs w:val="22"/>
              </w:rPr>
              <w:t>.</w:t>
            </w:r>
            <w:r>
              <w:rPr>
                <w:rFonts w:eastAsia="Times New Roman"/>
                <w:sz w:val="22"/>
                <w:szCs w:val="22"/>
              </w:rPr>
              <w:t>66</w:t>
            </w:r>
          </w:p>
        </w:tc>
        <w:tc>
          <w:tcPr>
            <w:tcW w:w="1206" w:type="dxa"/>
          </w:tcPr>
          <w:p w:rsidR="00CF0727" w:rsidRPr="00167342" w:rsidRDefault="00CF0727" w:rsidP="000A009C">
            <w:pPr>
              <w:widowControl w:val="0"/>
              <w:tabs>
                <w:tab w:val="decimal" w:pos="365"/>
              </w:tabs>
              <w:adjustRightInd w:val="0"/>
              <w:spacing w:before="36" w:after="36"/>
              <w:ind w:left="-114" w:right="-108"/>
              <w:jc w:val="left"/>
              <w:textAlignment w:val="baseline"/>
              <w:rPr>
                <w:rFonts w:eastAsia="Times New Roman"/>
              </w:rPr>
            </w:pPr>
            <w:r>
              <w:rPr>
                <w:rFonts w:eastAsia="Times New Roman"/>
                <w:b/>
                <w:sz w:val="22"/>
                <w:szCs w:val="22"/>
              </w:rPr>
              <w:t>7</w:t>
            </w:r>
            <w:r w:rsidRPr="00167342">
              <w:rPr>
                <w:rFonts w:eastAsia="Times New Roman"/>
                <w:b/>
                <w:sz w:val="22"/>
                <w:szCs w:val="22"/>
              </w:rPr>
              <w:t>.</w:t>
            </w:r>
            <w:r>
              <w:rPr>
                <w:rFonts w:eastAsia="Times New Roman"/>
                <w:b/>
                <w:sz w:val="22"/>
                <w:szCs w:val="22"/>
              </w:rPr>
              <w:t>46</w:t>
            </w:r>
          </w:p>
        </w:tc>
        <w:tc>
          <w:tcPr>
            <w:tcW w:w="1320"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Pr>
                <w:rFonts w:eastAsia="Times New Roman"/>
                <w:sz w:val="22"/>
                <w:szCs w:val="22"/>
              </w:rPr>
              <w:t>7</w:t>
            </w:r>
            <w:r w:rsidRPr="00167342">
              <w:rPr>
                <w:rFonts w:eastAsia="Times New Roman"/>
                <w:sz w:val="22"/>
                <w:szCs w:val="22"/>
              </w:rPr>
              <w:t>.</w:t>
            </w:r>
            <w:r>
              <w:rPr>
                <w:rFonts w:eastAsia="Times New Roman"/>
                <w:sz w:val="22"/>
                <w:szCs w:val="22"/>
              </w:rPr>
              <w:t>90</w:t>
            </w:r>
          </w:p>
        </w:tc>
        <w:tc>
          <w:tcPr>
            <w:tcW w:w="1205" w:type="dxa"/>
            <w:vAlign w:val="bottom"/>
          </w:tcPr>
          <w:p w:rsidR="00CF0727" w:rsidRPr="00167342" w:rsidRDefault="00CF0727" w:rsidP="000A009C">
            <w:pPr>
              <w:widowControl w:val="0"/>
              <w:tabs>
                <w:tab w:val="decimal" w:pos="372"/>
              </w:tabs>
              <w:adjustRightInd w:val="0"/>
              <w:spacing w:before="36" w:after="36"/>
              <w:ind w:left="-108" w:right="-77"/>
              <w:jc w:val="left"/>
              <w:textAlignment w:val="baseline"/>
              <w:rPr>
                <w:rFonts w:eastAsia="Times New Roman"/>
              </w:rPr>
            </w:pPr>
            <w:r>
              <w:rPr>
                <w:rFonts w:eastAsia="Times New Roman"/>
                <w:sz w:val="22"/>
                <w:szCs w:val="22"/>
              </w:rPr>
              <w:t>9.14</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10.35</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Kymenlaakso</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10</w:t>
            </w:r>
            <w:r w:rsidRPr="00167342">
              <w:rPr>
                <w:rFonts w:eastAsia="Times New Roman"/>
                <w:sz w:val="22"/>
                <w:szCs w:val="22"/>
              </w:rPr>
              <w:t>.</w:t>
            </w:r>
            <w:r>
              <w:rPr>
                <w:rFonts w:eastAsia="Times New Roman"/>
                <w:sz w:val="22"/>
                <w:szCs w:val="22"/>
              </w:rPr>
              <w:t>29</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8</w:t>
            </w:r>
            <w:r w:rsidRPr="00167342">
              <w:rPr>
                <w:rFonts w:eastAsia="Times New Roman"/>
                <w:sz w:val="22"/>
                <w:szCs w:val="22"/>
              </w:rPr>
              <w:t>.</w:t>
            </w:r>
            <w:r>
              <w:rPr>
                <w:rFonts w:eastAsia="Times New Roman"/>
                <w:sz w:val="22"/>
                <w:szCs w:val="22"/>
              </w:rPr>
              <w:t>97</w:t>
            </w:r>
          </w:p>
        </w:tc>
        <w:tc>
          <w:tcPr>
            <w:tcW w:w="1206" w:type="dxa"/>
            <w:vAlign w:val="bottom"/>
          </w:tcPr>
          <w:p w:rsidR="00CF0727" w:rsidRPr="004E79C1" w:rsidRDefault="00CF0727" w:rsidP="000A009C">
            <w:pPr>
              <w:widowControl w:val="0"/>
              <w:tabs>
                <w:tab w:val="decimal" w:pos="365"/>
              </w:tabs>
              <w:adjustRightInd w:val="0"/>
              <w:spacing w:before="36" w:after="36"/>
              <w:ind w:left="-102" w:right="-108" w:hanging="12"/>
              <w:jc w:val="left"/>
              <w:textAlignment w:val="baseline"/>
              <w:rPr>
                <w:rFonts w:eastAsia="Times New Roman"/>
              </w:rPr>
            </w:pPr>
            <w:r>
              <w:rPr>
                <w:rFonts w:eastAsia="Times New Roman"/>
                <w:sz w:val="22"/>
                <w:szCs w:val="22"/>
              </w:rPr>
              <w:t>8</w:t>
            </w:r>
            <w:r w:rsidRPr="004E79C1">
              <w:rPr>
                <w:rFonts w:eastAsia="Times New Roman"/>
                <w:sz w:val="22"/>
                <w:szCs w:val="22"/>
              </w:rPr>
              <w:t>.0</w:t>
            </w:r>
            <w:r>
              <w:rPr>
                <w:rFonts w:eastAsia="Times New Roman"/>
                <w:sz w:val="22"/>
                <w:szCs w:val="22"/>
              </w:rPr>
              <w:t>6</w:t>
            </w:r>
          </w:p>
        </w:tc>
        <w:tc>
          <w:tcPr>
            <w:tcW w:w="1320" w:type="dxa"/>
          </w:tcPr>
          <w:p w:rsidR="00CF0727" w:rsidRPr="0063177B" w:rsidRDefault="00CF0727" w:rsidP="000A009C">
            <w:pPr>
              <w:widowControl w:val="0"/>
              <w:tabs>
                <w:tab w:val="decimal" w:pos="492"/>
              </w:tabs>
              <w:adjustRightInd w:val="0"/>
              <w:spacing w:before="36" w:after="36"/>
              <w:ind w:left="-114" w:right="-108"/>
              <w:jc w:val="left"/>
              <w:textAlignment w:val="baseline"/>
              <w:rPr>
                <w:rFonts w:eastAsia="Times New Roman"/>
              </w:rPr>
            </w:pPr>
            <w:r w:rsidRPr="0063177B">
              <w:rPr>
                <w:rFonts w:eastAsia="Times New Roman"/>
                <w:sz w:val="22"/>
                <w:szCs w:val="22"/>
              </w:rPr>
              <w:t>7.81</w:t>
            </w:r>
          </w:p>
        </w:tc>
        <w:tc>
          <w:tcPr>
            <w:tcW w:w="1205" w:type="dxa"/>
            <w:vAlign w:val="bottom"/>
          </w:tcPr>
          <w:p w:rsidR="00CF0727" w:rsidRPr="0063177B" w:rsidRDefault="00CF0727" w:rsidP="000A009C">
            <w:pPr>
              <w:widowControl w:val="0"/>
              <w:tabs>
                <w:tab w:val="decimal" w:pos="372"/>
              </w:tabs>
              <w:adjustRightInd w:val="0"/>
              <w:spacing w:before="36" w:after="36"/>
              <w:ind w:left="-108" w:right="-103"/>
              <w:jc w:val="left"/>
              <w:textAlignment w:val="baseline"/>
              <w:rPr>
                <w:rFonts w:eastAsia="Times New Roman"/>
                <w:b/>
              </w:rPr>
            </w:pPr>
            <w:r>
              <w:rPr>
                <w:rFonts w:eastAsia="Times New Roman"/>
                <w:b/>
                <w:sz w:val="22"/>
                <w:szCs w:val="22"/>
              </w:rPr>
              <w:t>7.61</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7.90</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Keski-Suomi</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9</w:t>
            </w:r>
            <w:r w:rsidRPr="00167342">
              <w:rPr>
                <w:rFonts w:eastAsia="Times New Roman"/>
                <w:sz w:val="22"/>
                <w:szCs w:val="22"/>
              </w:rPr>
              <w:t>.</w:t>
            </w:r>
            <w:r>
              <w:rPr>
                <w:rFonts w:eastAsia="Times New Roman"/>
                <w:sz w:val="22"/>
                <w:szCs w:val="22"/>
              </w:rPr>
              <w:t>31</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8</w:t>
            </w:r>
            <w:r w:rsidRPr="00167342">
              <w:rPr>
                <w:rFonts w:eastAsia="Times New Roman"/>
                <w:sz w:val="22"/>
                <w:szCs w:val="22"/>
              </w:rPr>
              <w:t>.</w:t>
            </w:r>
            <w:r>
              <w:rPr>
                <w:rFonts w:eastAsia="Times New Roman"/>
                <w:sz w:val="22"/>
                <w:szCs w:val="22"/>
              </w:rPr>
              <w:t>08</w:t>
            </w:r>
          </w:p>
        </w:tc>
        <w:tc>
          <w:tcPr>
            <w:tcW w:w="1206" w:type="dxa"/>
            <w:vAlign w:val="bottom"/>
          </w:tcPr>
          <w:p w:rsidR="00CF0727" w:rsidRPr="00FD4ADA" w:rsidRDefault="00CF0727" w:rsidP="000A009C">
            <w:pPr>
              <w:widowControl w:val="0"/>
              <w:tabs>
                <w:tab w:val="decimal" w:pos="365"/>
              </w:tabs>
              <w:adjustRightInd w:val="0"/>
              <w:spacing w:before="36" w:after="36"/>
              <w:ind w:left="-102" w:right="-108" w:hanging="12"/>
              <w:jc w:val="left"/>
              <w:textAlignment w:val="baseline"/>
              <w:rPr>
                <w:rFonts w:eastAsia="Times New Roman"/>
              </w:rPr>
            </w:pPr>
            <w:r>
              <w:rPr>
                <w:rFonts w:eastAsia="Times New Roman"/>
                <w:sz w:val="22"/>
                <w:szCs w:val="22"/>
              </w:rPr>
              <w:t>7</w:t>
            </w:r>
            <w:r w:rsidRPr="00FD4ADA">
              <w:rPr>
                <w:rFonts w:eastAsia="Times New Roman"/>
                <w:sz w:val="22"/>
                <w:szCs w:val="22"/>
              </w:rPr>
              <w:t>.</w:t>
            </w:r>
            <w:r>
              <w:rPr>
                <w:rFonts w:eastAsia="Times New Roman"/>
                <w:sz w:val="22"/>
                <w:szCs w:val="22"/>
              </w:rPr>
              <w:t>3</w:t>
            </w:r>
            <w:r w:rsidRPr="00FD4ADA">
              <w:rPr>
                <w:rFonts w:eastAsia="Times New Roman"/>
                <w:sz w:val="22"/>
                <w:szCs w:val="22"/>
              </w:rPr>
              <w:t>4</w:t>
            </w:r>
          </w:p>
        </w:tc>
        <w:tc>
          <w:tcPr>
            <w:tcW w:w="1320" w:type="dxa"/>
          </w:tcPr>
          <w:p w:rsidR="00CF0727" w:rsidRPr="00441E5B" w:rsidRDefault="00CF0727" w:rsidP="000A009C">
            <w:pPr>
              <w:widowControl w:val="0"/>
              <w:tabs>
                <w:tab w:val="decimal" w:pos="492"/>
              </w:tabs>
              <w:adjustRightInd w:val="0"/>
              <w:spacing w:before="36" w:after="36"/>
              <w:ind w:left="-114" w:right="-108"/>
              <w:jc w:val="left"/>
              <w:textAlignment w:val="baseline"/>
              <w:rPr>
                <w:rFonts w:eastAsia="Times New Roman"/>
                <w:b/>
              </w:rPr>
            </w:pPr>
            <w:r>
              <w:rPr>
                <w:rFonts w:eastAsia="Times New Roman"/>
                <w:b/>
                <w:sz w:val="22"/>
                <w:szCs w:val="22"/>
              </w:rPr>
              <w:t>7</w:t>
            </w:r>
            <w:r w:rsidRPr="00441E5B">
              <w:rPr>
                <w:rFonts w:eastAsia="Times New Roman"/>
                <w:b/>
                <w:sz w:val="22"/>
                <w:szCs w:val="22"/>
              </w:rPr>
              <w:t>.</w:t>
            </w:r>
            <w:r>
              <w:rPr>
                <w:rFonts w:eastAsia="Times New Roman"/>
                <w:b/>
                <w:sz w:val="22"/>
                <w:szCs w:val="22"/>
              </w:rPr>
              <w:t>12</w:t>
            </w:r>
          </w:p>
        </w:tc>
        <w:tc>
          <w:tcPr>
            <w:tcW w:w="1205" w:type="dxa"/>
            <w:vAlign w:val="bottom"/>
          </w:tcPr>
          <w:p w:rsidR="00CF0727" w:rsidRPr="00167342" w:rsidRDefault="00CF0727" w:rsidP="000A009C">
            <w:pPr>
              <w:widowControl w:val="0"/>
              <w:tabs>
                <w:tab w:val="decimal" w:pos="372"/>
              </w:tabs>
              <w:adjustRightInd w:val="0"/>
              <w:spacing w:before="36" w:after="36"/>
              <w:ind w:left="-108" w:right="-103"/>
              <w:jc w:val="left"/>
              <w:textAlignment w:val="baseline"/>
              <w:rPr>
                <w:rFonts w:eastAsia="Times New Roman"/>
              </w:rPr>
            </w:pPr>
            <w:r>
              <w:rPr>
                <w:rFonts w:eastAsia="Times New Roman"/>
                <w:sz w:val="22"/>
                <w:szCs w:val="22"/>
              </w:rPr>
              <w:t>7.46</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8.55</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Satakunta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10.85</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8</w:t>
            </w:r>
            <w:r w:rsidRPr="00167342">
              <w:rPr>
                <w:rFonts w:eastAsia="Times New Roman"/>
                <w:sz w:val="22"/>
                <w:szCs w:val="22"/>
              </w:rPr>
              <w:t>.</w:t>
            </w:r>
            <w:r>
              <w:rPr>
                <w:rFonts w:eastAsia="Times New Roman"/>
                <w:sz w:val="22"/>
                <w:szCs w:val="22"/>
              </w:rPr>
              <w:t>24</w:t>
            </w:r>
          </w:p>
        </w:tc>
        <w:tc>
          <w:tcPr>
            <w:tcW w:w="1206" w:type="dxa"/>
            <w:vAlign w:val="bottom"/>
          </w:tcPr>
          <w:p w:rsidR="00CF0727" w:rsidRPr="00167342" w:rsidRDefault="00CF0727" w:rsidP="000A009C">
            <w:pPr>
              <w:widowControl w:val="0"/>
              <w:tabs>
                <w:tab w:val="decimal" w:pos="365"/>
              </w:tabs>
              <w:adjustRightInd w:val="0"/>
              <w:spacing w:before="36" w:after="36"/>
              <w:ind w:left="-102" w:right="-108" w:hanging="12"/>
              <w:jc w:val="left"/>
              <w:textAlignment w:val="baseline"/>
              <w:rPr>
                <w:rFonts w:eastAsia="Times New Roman"/>
              </w:rPr>
            </w:pPr>
            <w:r>
              <w:rPr>
                <w:rFonts w:eastAsia="Times New Roman"/>
                <w:sz w:val="22"/>
                <w:szCs w:val="22"/>
              </w:rPr>
              <w:t>6</w:t>
            </w:r>
            <w:r w:rsidRPr="00167342">
              <w:rPr>
                <w:rFonts w:eastAsia="Times New Roman"/>
                <w:sz w:val="22"/>
                <w:szCs w:val="22"/>
              </w:rPr>
              <w:t>.</w:t>
            </w:r>
            <w:r>
              <w:rPr>
                <w:rFonts w:eastAsia="Times New Roman"/>
                <w:sz w:val="22"/>
                <w:szCs w:val="22"/>
              </w:rPr>
              <w:t>34</w:t>
            </w:r>
          </w:p>
        </w:tc>
        <w:tc>
          <w:tcPr>
            <w:tcW w:w="1320" w:type="dxa"/>
          </w:tcPr>
          <w:p w:rsidR="00CF0727" w:rsidRPr="0063177B" w:rsidRDefault="00CF0727" w:rsidP="000A009C">
            <w:pPr>
              <w:widowControl w:val="0"/>
              <w:tabs>
                <w:tab w:val="decimal" w:pos="492"/>
              </w:tabs>
              <w:adjustRightInd w:val="0"/>
              <w:spacing w:before="36" w:after="36"/>
              <w:ind w:left="-114" w:right="-108"/>
              <w:jc w:val="left"/>
              <w:textAlignment w:val="baseline"/>
              <w:rPr>
                <w:rFonts w:eastAsia="Times New Roman"/>
              </w:rPr>
            </w:pPr>
            <w:r w:rsidRPr="0063177B">
              <w:rPr>
                <w:rFonts w:eastAsia="Times New Roman"/>
                <w:sz w:val="22"/>
                <w:szCs w:val="22"/>
              </w:rPr>
              <w:t>5.27</w:t>
            </w:r>
          </w:p>
        </w:tc>
        <w:tc>
          <w:tcPr>
            <w:tcW w:w="1205" w:type="dxa"/>
            <w:vAlign w:val="bottom"/>
          </w:tcPr>
          <w:p w:rsidR="00CF0727" w:rsidRPr="0063177B" w:rsidRDefault="00CF0727" w:rsidP="000A009C">
            <w:pPr>
              <w:widowControl w:val="0"/>
              <w:tabs>
                <w:tab w:val="decimal" w:pos="372"/>
              </w:tabs>
              <w:adjustRightInd w:val="0"/>
              <w:spacing w:before="36" w:after="36"/>
              <w:ind w:left="-108" w:right="-103"/>
              <w:jc w:val="left"/>
              <w:textAlignment w:val="baseline"/>
              <w:rPr>
                <w:rFonts w:eastAsia="Times New Roman"/>
                <w:b/>
              </w:rPr>
            </w:pPr>
            <w:r>
              <w:rPr>
                <w:rFonts w:eastAsia="Times New Roman"/>
                <w:b/>
                <w:sz w:val="22"/>
                <w:szCs w:val="22"/>
              </w:rPr>
              <w:t>5.10</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5.89</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Pohjois-Pohjanmaa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9</w:t>
            </w:r>
            <w:r w:rsidRPr="00167342">
              <w:rPr>
                <w:rFonts w:eastAsia="Times New Roman"/>
                <w:sz w:val="22"/>
                <w:szCs w:val="22"/>
              </w:rPr>
              <w:t>.</w:t>
            </w:r>
            <w:r>
              <w:rPr>
                <w:rFonts w:eastAsia="Times New Roman"/>
                <w:sz w:val="22"/>
                <w:szCs w:val="22"/>
              </w:rPr>
              <w:t>09</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7</w:t>
            </w:r>
            <w:r w:rsidRPr="00167342">
              <w:rPr>
                <w:rFonts w:eastAsia="Times New Roman"/>
                <w:sz w:val="22"/>
                <w:szCs w:val="22"/>
              </w:rPr>
              <w:t>.</w:t>
            </w:r>
            <w:r>
              <w:rPr>
                <w:rFonts w:eastAsia="Times New Roman"/>
                <w:sz w:val="22"/>
                <w:szCs w:val="22"/>
              </w:rPr>
              <w:t>74</w:t>
            </w:r>
          </w:p>
        </w:tc>
        <w:tc>
          <w:tcPr>
            <w:tcW w:w="1206" w:type="dxa"/>
            <w:vAlign w:val="bottom"/>
          </w:tcPr>
          <w:p w:rsidR="00CF0727" w:rsidRPr="003828CF" w:rsidRDefault="00CF0727" w:rsidP="000A009C">
            <w:pPr>
              <w:widowControl w:val="0"/>
              <w:tabs>
                <w:tab w:val="decimal" w:pos="365"/>
              </w:tabs>
              <w:adjustRightInd w:val="0"/>
              <w:spacing w:before="36" w:after="36"/>
              <w:ind w:left="-102" w:right="-108" w:hanging="12"/>
              <w:jc w:val="left"/>
              <w:textAlignment w:val="baseline"/>
              <w:rPr>
                <w:rFonts w:eastAsia="Times New Roman"/>
                <w:b/>
              </w:rPr>
            </w:pPr>
            <w:r w:rsidRPr="003828CF">
              <w:rPr>
                <w:rFonts w:eastAsia="Times New Roman"/>
                <w:b/>
                <w:sz w:val="22"/>
                <w:szCs w:val="22"/>
              </w:rPr>
              <w:t>7.08</w:t>
            </w:r>
          </w:p>
        </w:tc>
        <w:tc>
          <w:tcPr>
            <w:tcW w:w="1320" w:type="dxa"/>
          </w:tcPr>
          <w:p w:rsidR="00CF0727" w:rsidRPr="005635EA" w:rsidRDefault="00CF0727" w:rsidP="000A009C">
            <w:pPr>
              <w:widowControl w:val="0"/>
              <w:tabs>
                <w:tab w:val="decimal" w:pos="492"/>
              </w:tabs>
              <w:adjustRightInd w:val="0"/>
              <w:spacing w:before="36" w:after="36"/>
              <w:ind w:left="-114" w:right="-108"/>
              <w:jc w:val="left"/>
              <w:textAlignment w:val="baseline"/>
              <w:rPr>
                <w:rFonts w:eastAsia="Times New Roman"/>
              </w:rPr>
            </w:pPr>
            <w:r w:rsidRPr="005635EA">
              <w:rPr>
                <w:rFonts w:eastAsia="Times New Roman"/>
                <w:sz w:val="22"/>
                <w:szCs w:val="22"/>
              </w:rPr>
              <w:t>7.53</w:t>
            </w:r>
          </w:p>
        </w:tc>
        <w:tc>
          <w:tcPr>
            <w:tcW w:w="1205" w:type="dxa"/>
            <w:vAlign w:val="bottom"/>
          </w:tcPr>
          <w:p w:rsidR="00CF0727" w:rsidRPr="00167342" w:rsidRDefault="00CF0727" w:rsidP="000A009C">
            <w:pPr>
              <w:widowControl w:val="0"/>
              <w:tabs>
                <w:tab w:val="decimal" w:pos="372"/>
              </w:tabs>
              <w:adjustRightInd w:val="0"/>
              <w:spacing w:before="36" w:after="36"/>
              <w:ind w:left="-108" w:right="-103"/>
              <w:jc w:val="left"/>
              <w:textAlignment w:val="baseline"/>
              <w:rPr>
                <w:rFonts w:eastAsia="Times New Roman"/>
              </w:rPr>
            </w:pPr>
            <w:r>
              <w:rPr>
                <w:rFonts w:eastAsia="Times New Roman"/>
                <w:sz w:val="22"/>
                <w:szCs w:val="22"/>
              </w:rPr>
              <w:t>8.23</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8.98</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Pirkanmaa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sidRPr="00167342">
              <w:rPr>
                <w:rFonts w:eastAsia="Times New Roman"/>
                <w:sz w:val="22"/>
                <w:szCs w:val="22"/>
              </w:rPr>
              <w:t>1</w:t>
            </w:r>
            <w:r>
              <w:rPr>
                <w:rFonts w:eastAsia="Times New Roman"/>
                <w:sz w:val="22"/>
                <w:szCs w:val="22"/>
              </w:rPr>
              <w:t>2</w:t>
            </w:r>
            <w:r w:rsidRPr="00167342">
              <w:rPr>
                <w:rFonts w:eastAsia="Times New Roman"/>
                <w:sz w:val="22"/>
                <w:szCs w:val="22"/>
              </w:rPr>
              <w:t>.</w:t>
            </w:r>
            <w:r>
              <w:rPr>
                <w:rFonts w:eastAsia="Times New Roman"/>
                <w:sz w:val="22"/>
                <w:szCs w:val="22"/>
              </w:rPr>
              <w:t>87</w:t>
            </w:r>
          </w:p>
        </w:tc>
        <w:tc>
          <w:tcPr>
            <w:tcW w:w="1221" w:type="dxa"/>
          </w:tcPr>
          <w:p w:rsidR="00CF0727" w:rsidRPr="0063177B"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9</w:t>
            </w:r>
            <w:r w:rsidRPr="0063177B">
              <w:rPr>
                <w:rFonts w:eastAsia="Times New Roman"/>
                <w:sz w:val="22"/>
                <w:szCs w:val="22"/>
              </w:rPr>
              <w:t>.</w:t>
            </w:r>
            <w:r>
              <w:rPr>
                <w:rFonts w:eastAsia="Times New Roman"/>
                <w:sz w:val="22"/>
                <w:szCs w:val="22"/>
              </w:rPr>
              <w:t>94</w:t>
            </w:r>
          </w:p>
        </w:tc>
        <w:tc>
          <w:tcPr>
            <w:tcW w:w="1206" w:type="dxa"/>
            <w:vAlign w:val="bottom"/>
          </w:tcPr>
          <w:p w:rsidR="00CF0727" w:rsidRPr="00167342" w:rsidRDefault="00CF0727" w:rsidP="000A009C">
            <w:pPr>
              <w:widowControl w:val="0"/>
              <w:tabs>
                <w:tab w:val="decimal" w:pos="365"/>
              </w:tabs>
              <w:adjustRightInd w:val="0"/>
              <w:spacing w:before="36" w:after="36"/>
              <w:ind w:left="-102" w:right="-108" w:hanging="12"/>
              <w:jc w:val="left"/>
              <w:textAlignment w:val="baseline"/>
              <w:rPr>
                <w:rFonts w:eastAsia="Times New Roman"/>
              </w:rPr>
            </w:pPr>
            <w:r>
              <w:rPr>
                <w:rFonts w:eastAsia="Times New Roman"/>
                <w:sz w:val="22"/>
                <w:szCs w:val="22"/>
              </w:rPr>
              <w:t>7</w:t>
            </w:r>
            <w:r w:rsidRPr="00167342">
              <w:rPr>
                <w:rFonts w:eastAsia="Times New Roman"/>
                <w:sz w:val="22"/>
                <w:szCs w:val="22"/>
              </w:rPr>
              <w:t>.</w:t>
            </w:r>
            <w:r>
              <w:rPr>
                <w:rFonts w:eastAsia="Times New Roman"/>
                <w:sz w:val="22"/>
                <w:szCs w:val="22"/>
              </w:rPr>
              <w:t>55</w:t>
            </w:r>
          </w:p>
        </w:tc>
        <w:tc>
          <w:tcPr>
            <w:tcW w:w="1320" w:type="dxa"/>
          </w:tcPr>
          <w:p w:rsidR="00CF0727" w:rsidRPr="00167342" w:rsidRDefault="00CF0727" w:rsidP="000A009C">
            <w:pPr>
              <w:widowControl w:val="0"/>
              <w:tabs>
                <w:tab w:val="decimal" w:pos="492"/>
              </w:tabs>
              <w:adjustRightInd w:val="0"/>
              <w:spacing w:before="36" w:after="36"/>
              <w:ind w:left="-114" w:right="-108"/>
              <w:jc w:val="left"/>
              <w:textAlignment w:val="baseline"/>
              <w:rPr>
                <w:rFonts w:eastAsia="Times New Roman"/>
              </w:rPr>
            </w:pPr>
            <w:r>
              <w:rPr>
                <w:rFonts w:eastAsia="Times New Roman"/>
                <w:sz w:val="22"/>
                <w:szCs w:val="22"/>
              </w:rPr>
              <w:t>6</w:t>
            </w:r>
            <w:r w:rsidRPr="00167342">
              <w:rPr>
                <w:rFonts w:eastAsia="Times New Roman"/>
                <w:sz w:val="22"/>
                <w:szCs w:val="22"/>
              </w:rPr>
              <w:t>.</w:t>
            </w:r>
            <w:r>
              <w:rPr>
                <w:rFonts w:eastAsia="Times New Roman"/>
                <w:sz w:val="22"/>
                <w:szCs w:val="22"/>
              </w:rPr>
              <w:t>49</w:t>
            </w:r>
          </w:p>
        </w:tc>
        <w:tc>
          <w:tcPr>
            <w:tcW w:w="1205" w:type="dxa"/>
            <w:vAlign w:val="bottom"/>
          </w:tcPr>
          <w:p w:rsidR="00CF0727" w:rsidRPr="0063177B" w:rsidRDefault="00CF0727" w:rsidP="000A009C">
            <w:pPr>
              <w:widowControl w:val="0"/>
              <w:tabs>
                <w:tab w:val="decimal" w:pos="372"/>
              </w:tabs>
              <w:adjustRightInd w:val="0"/>
              <w:spacing w:before="36" w:after="36"/>
              <w:ind w:left="-108" w:right="-103" w:hanging="7"/>
              <w:jc w:val="left"/>
              <w:textAlignment w:val="baseline"/>
              <w:rPr>
                <w:rFonts w:eastAsia="Times New Roman"/>
                <w:b/>
              </w:rPr>
            </w:pPr>
            <w:r>
              <w:rPr>
                <w:rFonts w:eastAsia="Times New Roman"/>
                <w:b/>
                <w:sz w:val="22"/>
                <w:szCs w:val="22"/>
              </w:rPr>
              <w:t>6.07</w:t>
            </w:r>
          </w:p>
        </w:tc>
        <w:tc>
          <w:tcPr>
            <w:tcW w:w="1287" w:type="dxa"/>
          </w:tcPr>
          <w:p w:rsidR="00CF0727" w:rsidRPr="00A43B01" w:rsidRDefault="00CF0727" w:rsidP="000A009C">
            <w:pPr>
              <w:widowControl w:val="0"/>
              <w:tabs>
                <w:tab w:val="decimal" w:pos="487"/>
              </w:tabs>
              <w:adjustRightInd w:val="0"/>
              <w:spacing w:before="36" w:after="36"/>
              <w:ind w:left="-114" w:right="-108"/>
              <w:jc w:val="left"/>
              <w:textAlignment w:val="baseline"/>
              <w:rPr>
                <w:rFonts w:eastAsia="Times New Roman"/>
              </w:rPr>
            </w:pPr>
            <w:r w:rsidRPr="00A43B01">
              <w:rPr>
                <w:rFonts w:eastAsia="Times New Roman"/>
                <w:sz w:val="22"/>
                <w:szCs w:val="22"/>
              </w:rPr>
              <w:t>6.17</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Varsinais-Suomi</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sidRPr="00167342">
              <w:rPr>
                <w:rFonts w:eastAsia="Times New Roman"/>
                <w:sz w:val="22"/>
                <w:szCs w:val="22"/>
              </w:rPr>
              <w:t>1</w:t>
            </w:r>
            <w:r>
              <w:rPr>
                <w:rFonts w:eastAsia="Times New Roman"/>
                <w:sz w:val="22"/>
                <w:szCs w:val="22"/>
              </w:rPr>
              <w:t>0</w:t>
            </w:r>
            <w:r w:rsidRPr="00167342">
              <w:rPr>
                <w:rFonts w:eastAsia="Times New Roman"/>
                <w:sz w:val="22"/>
                <w:szCs w:val="22"/>
              </w:rPr>
              <w:t>.</w:t>
            </w:r>
            <w:r>
              <w:rPr>
                <w:rFonts w:eastAsia="Times New Roman"/>
                <w:sz w:val="22"/>
                <w:szCs w:val="22"/>
              </w:rPr>
              <w:t>90</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9</w:t>
            </w:r>
            <w:r w:rsidRPr="00167342">
              <w:rPr>
                <w:rFonts w:eastAsia="Times New Roman"/>
                <w:sz w:val="22"/>
                <w:szCs w:val="22"/>
              </w:rPr>
              <w:t>.</w:t>
            </w:r>
            <w:r>
              <w:rPr>
                <w:rFonts w:eastAsia="Times New Roman"/>
                <w:sz w:val="22"/>
                <w:szCs w:val="22"/>
              </w:rPr>
              <w:t>09</w:t>
            </w:r>
          </w:p>
        </w:tc>
        <w:tc>
          <w:tcPr>
            <w:tcW w:w="1206" w:type="dxa"/>
            <w:vAlign w:val="bottom"/>
          </w:tcPr>
          <w:p w:rsidR="00CF0727" w:rsidRPr="00167342" w:rsidRDefault="00CF0727" w:rsidP="000A009C">
            <w:pPr>
              <w:widowControl w:val="0"/>
              <w:tabs>
                <w:tab w:val="decimal" w:pos="365"/>
              </w:tabs>
              <w:adjustRightInd w:val="0"/>
              <w:spacing w:before="36" w:after="36"/>
              <w:ind w:left="-102" w:right="-108" w:hanging="12"/>
              <w:jc w:val="left"/>
              <w:textAlignment w:val="baseline"/>
              <w:rPr>
                <w:rFonts w:eastAsia="Times New Roman"/>
              </w:rPr>
            </w:pPr>
            <w:r>
              <w:rPr>
                <w:rFonts w:eastAsia="Times New Roman"/>
                <w:sz w:val="22"/>
                <w:szCs w:val="22"/>
              </w:rPr>
              <w:t>7</w:t>
            </w:r>
            <w:r w:rsidRPr="00167342">
              <w:rPr>
                <w:rFonts w:eastAsia="Times New Roman"/>
                <w:sz w:val="22"/>
                <w:szCs w:val="22"/>
              </w:rPr>
              <w:t>.</w:t>
            </w:r>
            <w:r>
              <w:rPr>
                <w:rFonts w:eastAsia="Times New Roman"/>
                <w:sz w:val="22"/>
                <w:szCs w:val="22"/>
              </w:rPr>
              <w:t>68</w:t>
            </w:r>
          </w:p>
        </w:tc>
        <w:tc>
          <w:tcPr>
            <w:tcW w:w="1320" w:type="dxa"/>
          </w:tcPr>
          <w:p w:rsidR="00CF0727" w:rsidRPr="0063177B" w:rsidRDefault="00CF0727" w:rsidP="000A009C">
            <w:pPr>
              <w:widowControl w:val="0"/>
              <w:tabs>
                <w:tab w:val="decimal" w:pos="492"/>
              </w:tabs>
              <w:adjustRightInd w:val="0"/>
              <w:spacing w:before="36" w:after="36"/>
              <w:ind w:left="-114" w:right="-108"/>
              <w:jc w:val="left"/>
              <w:textAlignment w:val="baseline"/>
              <w:rPr>
                <w:rFonts w:eastAsia="Times New Roman"/>
              </w:rPr>
            </w:pPr>
            <w:r w:rsidRPr="0063177B">
              <w:rPr>
                <w:rFonts w:eastAsia="Times New Roman"/>
                <w:sz w:val="22"/>
                <w:szCs w:val="22"/>
              </w:rPr>
              <w:t>7.18</w:t>
            </w:r>
          </w:p>
        </w:tc>
        <w:tc>
          <w:tcPr>
            <w:tcW w:w="1205" w:type="dxa"/>
            <w:vAlign w:val="bottom"/>
          </w:tcPr>
          <w:p w:rsidR="00CF0727" w:rsidRPr="0063177B" w:rsidRDefault="00CF0727" w:rsidP="000A009C">
            <w:pPr>
              <w:widowControl w:val="0"/>
              <w:tabs>
                <w:tab w:val="decimal" w:pos="372"/>
              </w:tabs>
              <w:adjustRightInd w:val="0"/>
              <w:spacing w:before="36" w:after="36"/>
              <w:ind w:left="-108" w:right="-103"/>
              <w:jc w:val="left"/>
              <w:textAlignment w:val="baseline"/>
              <w:rPr>
                <w:rFonts w:eastAsia="Times New Roman"/>
                <w:b/>
              </w:rPr>
            </w:pPr>
            <w:r>
              <w:rPr>
                <w:rFonts w:eastAsia="Times New Roman"/>
                <w:b/>
                <w:sz w:val="22"/>
                <w:szCs w:val="22"/>
              </w:rPr>
              <w:t>7.09</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7.64</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sidRPr="00167342">
              <w:rPr>
                <w:rFonts w:eastAsia="Times New Roman"/>
                <w:sz w:val="22"/>
                <w:szCs w:val="22"/>
              </w:rPr>
              <w:t>Uusimaa</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 xml:space="preserve"> 7</w:t>
            </w:r>
            <w:r w:rsidRPr="00167342">
              <w:rPr>
                <w:rFonts w:eastAsia="Times New Roman"/>
                <w:sz w:val="22"/>
                <w:szCs w:val="22"/>
              </w:rPr>
              <w:t>.</w:t>
            </w:r>
            <w:r>
              <w:rPr>
                <w:rFonts w:eastAsia="Times New Roman"/>
                <w:sz w:val="22"/>
                <w:szCs w:val="22"/>
              </w:rPr>
              <w:t>87</w:t>
            </w:r>
          </w:p>
        </w:tc>
        <w:tc>
          <w:tcPr>
            <w:tcW w:w="1221" w:type="dxa"/>
          </w:tcPr>
          <w:p w:rsidR="00CF0727" w:rsidRPr="00167342" w:rsidRDefault="00CF0727" w:rsidP="000A009C">
            <w:pPr>
              <w:widowControl w:val="0"/>
              <w:tabs>
                <w:tab w:val="decimal" w:pos="399"/>
              </w:tabs>
              <w:adjustRightInd w:val="0"/>
              <w:spacing w:before="36" w:after="36"/>
              <w:ind w:left="-114" w:right="-108"/>
              <w:jc w:val="left"/>
              <w:textAlignment w:val="baseline"/>
              <w:rPr>
                <w:rFonts w:eastAsia="Times New Roman"/>
              </w:rPr>
            </w:pPr>
            <w:r>
              <w:rPr>
                <w:rFonts w:eastAsia="Times New Roman"/>
                <w:sz w:val="22"/>
                <w:szCs w:val="22"/>
              </w:rPr>
              <w:t>7</w:t>
            </w:r>
            <w:r w:rsidRPr="00167342">
              <w:rPr>
                <w:rFonts w:eastAsia="Times New Roman"/>
                <w:sz w:val="22"/>
                <w:szCs w:val="22"/>
              </w:rPr>
              <w:t>.</w:t>
            </w:r>
            <w:r>
              <w:rPr>
                <w:rFonts w:eastAsia="Times New Roman"/>
                <w:sz w:val="22"/>
                <w:szCs w:val="22"/>
              </w:rPr>
              <w:t>77</w:t>
            </w:r>
          </w:p>
        </w:tc>
        <w:tc>
          <w:tcPr>
            <w:tcW w:w="1206" w:type="dxa"/>
            <w:vAlign w:val="bottom"/>
          </w:tcPr>
          <w:p w:rsidR="00CF0727" w:rsidRPr="002F67F1" w:rsidRDefault="00CF0727" w:rsidP="000A009C">
            <w:pPr>
              <w:widowControl w:val="0"/>
              <w:tabs>
                <w:tab w:val="decimal" w:pos="365"/>
              </w:tabs>
              <w:adjustRightInd w:val="0"/>
              <w:spacing w:before="36" w:after="36"/>
              <w:ind w:left="-102" w:right="-108" w:hanging="12"/>
              <w:jc w:val="left"/>
              <w:textAlignment w:val="baseline"/>
              <w:rPr>
                <w:rFonts w:eastAsia="Times New Roman"/>
              </w:rPr>
            </w:pPr>
            <w:r>
              <w:rPr>
                <w:rFonts w:eastAsia="Times New Roman"/>
                <w:sz w:val="22"/>
                <w:szCs w:val="22"/>
              </w:rPr>
              <w:t>7</w:t>
            </w:r>
            <w:r w:rsidRPr="002F67F1">
              <w:rPr>
                <w:rFonts w:eastAsia="Times New Roman"/>
                <w:sz w:val="22"/>
                <w:szCs w:val="22"/>
              </w:rPr>
              <w:t>.</w:t>
            </w:r>
            <w:r>
              <w:rPr>
                <w:rFonts w:eastAsia="Times New Roman"/>
                <w:sz w:val="22"/>
                <w:szCs w:val="22"/>
              </w:rPr>
              <w:t>71</w:t>
            </w:r>
          </w:p>
        </w:tc>
        <w:tc>
          <w:tcPr>
            <w:tcW w:w="1320" w:type="dxa"/>
          </w:tcPr>
          <w:p w:rsidR="00CF0727" w:rsidRPr="00E96004" w:rsidRDefault="00CF0727" w:rsidP="000A009C">
            <w:pPr>
              <w:widowControl w:val="0"/>
              <w:tabs>
                <w:tab w:val="decimal" w:pos="492"/>
              </w:tabs>
              <w:adjustRightInd w:val="0"/>
              <w:spacing w:before="36" w:after="36"/>
              <w:ind w:left="-114" w:right="-108"/>
              <w:jc w:val="left"/>
              <w:textAlignment w:val="baseline"/>
              <w:rPr>
                <w:rFonts w:eastAsia="Times New Roman"/>
              </w:rPr>
            </w:pPr>
            <w:r>
              <w:rPr>
                <w:rFonts w:eastAsia="Times New Roman"/>
                <w:sz w:val="22"/>
                <w:szCs w:val="22"/>
              </w:rPr>
              <w:t>7</w:t>
            </w:r>
            <w:r w:rsidRPr="00E96004">
              <w:rPr>
                <w:rFonts w:eastAsia="Times New Roman"/>
                <w:sz w:val="22"/>
                <w:szCs w:val="22"/>
              </w:rPr>
              <w:t>.</w:t>
            </w:r>
            <w:r>
              <w:rPr>
                <w:rFonts w:eastAsia="Times New Roman"/>
                <w:sz w:val="22"/>
                <w:szCs w:val="22"/>
              </w:rPr>
              <w:t>66</w:t>
            </w:r>
          </w:p>
        </w:tc>
        <w:tc>
          <w:tcPr>
            <w:tcW w:w="1205" w:type="dxa"/>
            <w:vAlign w:val="bottom"/>
          </w:tcPr>
          <w:p w:rsidR="00CF0727" w:rsidRPr="0063177B" w:rsidRDefault="00CF0727" w:rsidP="000A009C">
            <w:pPr>
              <w:widowControl w:val="0"/>
              <w:tabs>
                <w:tab w:val="decimal" w:pos="372"/>
              </w:tabs>
              <w:adjustRightInd w:val="0"/>
              <w:spacing w:before="36" w:after="36"/>
              <w:ind w:left="-108" w:right="-103"/>
              <w:jc w:val="left"/>
              <w:textAlignment w:val="baseline"/>
              <w:rPr>
                <w:rFonts w:eastAsia="Times New Roman"/>
                <w:b/>
              </w:rPr>
            </w:pPr>
            <w:r w:rsidRPr="0063177B">
              <w:rPr>
                <w:rFonts w:eastAsia="Times New Roman"/>
                <w:b/>
                <w:sz w:val="22"/>
                <w:szCs w:val="22"/>
              </w:rPr>
              <w:t>7.64</w:t>
            </w:r>
          </w:p>
        </w:tc>
        <w:tc>
          <w:tcPr>
            <w:tcW w:w="1287" w:type="dxa"/>
          </w:tcPr>
          <w:p w:rsidR="00CF0727" w:rsidRPr="00167342" w:rsidRDefault="00CF0727" w:rsidP="000A009C">
            <w:pPr>
              <w:widowControl w:val="0"/>
              <w:tabs>
                <w:tab w:val="decimal" w:pos="487"/>
              </w:tabs>
              <w:adjustRightInd w:val="0"/>
              <w:spacing w:before="36" w:after="36"/>
              <w:ind w:left="-114" w:right="-108"/>
              <w:jc w:val="left"/>
              <w:textAlignment w:val="baseline"/>
              <w:rPr>
                <w:rFonts w:eastAsia="Times New Roman"/>
              </w:rPr>
            </w:pPr>
            <w:r>
              <w:rPr>
                <w:rFonts w:eastAsia="Times New Roman"/>
                <w:sz w:val="22"/>
                <w:szCs w:val="22"/>
              </w:rPr>
              <w:t>7.67</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Pr>
                <w:rFonts w:eastAsia="Times New Roman"/>
                <w:sz w:val="22"/>
                <w:szCs w:val="22"/>
              </w:rPr>
              <w:t>Unweighted m</w:t>
            </w:r>
            <w:r w:rsidRPr="00167342">
              <w:rPr>
                <w:rFonts w:eastAsia="Times New Roman"/>
                <w:sz w:val="22"/>
                <w:szCs w:val="22"/>
              </w:rPr>
              <w:t>ean</w:t>
            </w:r>
          </w:p>
        </w:tc>
        <w:tc>
          <w:tcPr>
            <w:tcW w:w="1221" w:type="dxa"/>
            <w:vAlign w:val="bottom"/>
          </w:tcPr>
          <w:p w:rsidR="00CF0727" w:rsidRPr="00167342" w:rsidRDefault="00CF0727" w:rsidP="000A009C">
            <w:pPr>
              <w:widowControl w:val="0"/>
              <w:tabs>
                <w:tab w:val="decimal" w:pos="399"/>
              </w:tabs>
              <w:adjustRightInd w:val="0"/>
              <w:spacing w:before="36" w:after="36"/>
              <w:ind w:left="-79" w:right="-108"/>
              <w:jc w:val="left"/>
              <w:textAlignment w:val="baseline"/>
              <w:rPr>
                <w:rFonts w:eastAsia="Times New Roman"/>
                <w:bCs/>
              </w:rPr>
            </w:pPr>
            <w:r>
              <w:rPr>
                <w:rFonts w:eastAsia="Times New Roman"/>
                <w:bCs/>
                <w:sz w:val="22"/>
                <w:szCs w:val="22"/>
              </w:rPr>
              <w:t>9.88</w:t>
            </w:r>
          </w:p>
        </w:tc>
        <w:tc>
          <w:tcPr>
            <w:tcW w:w="1221" w:type="dxa"/>
            <w:vAlign w:val="bottom"/>
          </w:tcPr>
          <w:p w:rsidR="00CF0727" w:rsidRPr="00167342" w:rsidRDefault="00CF0727" w:rsidP="000A009C">
            <w:pPr>
              <w:widowControl w:val="0"/>
              <w:tabs>
                <w:tab w:val="decimal" w:pos="399"/>
              </w:tabs>
              <w:adjustRightInd w:val="0"/>
              <w:spacing w:before="36" w:after="36"/>
              <w:ind w:left="-79" w:right="-108"/>
              <w:jc w:val="left"/>
              <w:textAlignment w:val="baseline"/>
              <w:rPr>
                <w:rFonts w:eastAsia="Times New Roman"/>
                <w:bCs/>
              </w:rPr>
            </w:pPr>
            <w:r>
              <w:rPr>
                <w:rFonts w:eastAsia="Times New Roman"/>
                <w:bCs/>
                <w:sz w:val="22"/>
                <w:szCs w:val="22"/>
              </w:rPr>
              <w:t>8.54</w:t>
            </w:r>
          </w:p>
        </w:tc>
        <w:tc>
          <w:tcPr>
            <w:tcW w:w="1206" w:type="dxa"/>
            <w:vAlign w:val="bottom"/>
          </w:tcPr>
          <w:p w:rsidR="00CF0727" w:rsidRPr="003828CF" w:rsidRDefault="00CF0727" w:rsidP="000A009C">
            <w:pPr>
              <w:widowControl w:val="0"/>
              <w:tabs>
                <w:tab w:val="decimal" w:pos="365"/>
              </w:tabs>
              <w:adjustRightInd w:val="0"/>
              <w:spacing w:before="36" w:after="36"/>
              <w:ind w:left="-102" w:right="-108" w:hanging="12"/>
              <w:jc w:val="left"/>
              <w:textAlignment w:val="baseline"/>
              <w:rPr>
                <w:rFonts w:eastAsia="Times New Roman"/>
                <w:bCs/>
              </w:rPr>
            </w:pPr>
            <w:r w:rsidRPr="003828CF">
              <w:rPr>
                <w:rFonts w:eastAsia="Times New Roman"/>
                <w:bCs/>
                <w:sz w:val="22"/>
                <w:szCs w:val="22"/>
              </w:rPr>
              <w:t>8.20</w:t>
            </w:r>
          </w:p>
        </w:tc>
        <w:tc>
          <w:tcPr>
            <w:tcW w:w="1320" w:type="dxa"/>
            <w:vAlign w:val="bottom"/>
          </w:tcPr>
          <w:p w:rsidR="00CF0727" w:rsidRPr="005635EA" w:rsidRDefault="00CF0727" w:rsidP="000A009C">
            <w:pPr>
              <w:widowControl w:val="0"/>
              <w:tabs>
                <w:tab w:val="decimal" w:pos="492"/>
              </w:tabs>
              <w:adjustRightInd w:val="0"/>
              <w:spacing w:before="36" w:after="36"/>
              <w:ind w:left="-108" w:right="-108"/>
              <w:jc w:val="left"/>
              <w:textAlignment w:val="baseline"/>
              <w:rPr>
                <w:rFonts w:eastAsia="Times New Roman"/>
                <w:b/>
                <w:bCs/>
              </w:rPr>
            </w:pPr>
            <w:r w:rsidRPr="005635EA">
              <w:rPr>
                <w:rFonts w:eastAsia="Times New Roman"/>
                <w:b/>
                <w:bCs/>
                <w:sz w:val="22"/>
                <w:szCs w:val="22"/>
              </w:rPr>
              <w:t>8.14</w:t>
            </w:r>
          </w:p>
        </w:tc>
        <w:tc>
          <w:tcPr>
            <w:tcW w:w="1205" w:type="dxa"/>
            <w:vAlign w:val="bottom"/>
          </w:tcPr>
          <w:p w:rsidR="00CF0727" w:rsidRPr="00167342" w:rsidRDefault="00CF0727" w:rsidP="000A009C">
            <w:pPr>
              <w:widowControl w:val="0"/>
              <w:tabs>
                <w:tab w:val="decimal" w:pos="372"/>
              </w:tabs>
              <w:adjustRightInd w:val="0"/>
              <w:spacing w:before="36" w:after="36"/>
              <w:ind w:left="-108" w:right="-103" w:hanging="7"/>
              <w:jc w:val="left"/>
              <w:textAlignment w:val="baseline"/>
              <w:rPr>
                <w:rFonts w:eastAsia="Times New Roman"/>
              </w:rPr>
            </w:pPr>
            <w:r>
              <w:rPr>
                <w:rFonts w:eastAsia="Times New Roman"/>
                <w:sz w:val="22"/>
                <w:szCs w:val="22"/>
              </w:rPr>
              <w:t>8.51</w:t>
            </w:r>
          </w:p>
        </w:tc>
        <w:tc>
          <w:tcPr>
            <w:tcW w:w="1287" w:type="dxa"/>
            <w:vAlign w:val="bottom"/>
          </w:tcPr>
          <w:p w:rsidR="00CF0727" w:rsidRPr="00167342" w:rsidRDefault="00CF0727" w:rsidP="000A009C">
            <w:pPr>
              <w:widowControl w:val="0"/>
              <w:tabs>
                <w:tab w:val="decimal" w:pos="487"/>
              </w:tabs>
              <w:adjustRightInd w:val="0"/>
              <w:spacing w:before="36" w:after="36"/>
              <w:ind w:left="-113" w:right="-136"/>
              <w:jc w:val="left"/>
              <w:textAlignment w:val="baseline"/>
              <w:rPr>
                <w:rFonts w:eastAsia="Times New Roman"/>
                <w:bCs/>
              </w:rPr>
            </w:pPr>
            <w:r>
              <w:rPr>
                <w:rFonts w:eastAsia="Times New Roman"/>
                <w:bCs/>
                <w:sz w:val="22"/>
                <w:szCs w:val="22"/>
              </w:rPr>
              <w:t>9.22</w:t>
            </w:r>
          </w:p>
        </w:tc>
      </w:tr>
      <w:tr w:rsidR="00CF0727" w:rsidRPr="00167342" w:rsidTr="000A009C">
        <w:trPr>
          <w:jc w:val="center"/>
        </w:trPr>
        <w:tc>
          <w:tcPr>
            <w:tcW w:w="1960" w:type="dxa"/>
            <w:vAlign w:val="bottom"/>
          </w:tcPr>
          <w:p w:rsidR="00CF0727" w:rsidRPr="00167342" w:rsidRDefault="00CF0727" w:rsidP="000A009C">
            <w:pPr>
              <w:widowControl w:val="0"/>
              <w:adjustRightInd w:val="0"/>
              <w:spacing w:before="36" w:after="36"/>
              <w:textAlignment w:val="baseline"/>
              <w:rPr>
                <w:rFonts w:eastAsia="Times New Roman"/>
              </w:rPr>
            </w:pPr>
            <w:r>
              <w:rPr>
                <w:rFonts w:eastAsia="Times New Roman"/>
                <w:sz w:val="22"/>
                <w:szCs w:val="22"/>
              </w:rPr>
              <w:t>Weighted m</w:t>
            </w:r>
            <w:r w:rsidRPr="00167342">
              <w:rPr>
                <w:rFonts w:eastAsia="Times New Roman"/>
                <w:sz w:val="22"/>
                <w:szCs w:val="22"/>
              </w:rPr>
              <w:t>ean</w:t>
            </w:r>
          </w:p>
        </w:tc>
        <w:tc>
          <w:tcPr>
            <w:tcW w:w="1221" w:type="dxa"/>
            <w:vAlign w:val="bottom"/>
          </w:tcPr>
          <w:p w:rsidR="00CF0727" w:rsidRPr="00167342" w:rsidRDefault="00CF0727" w:rsidP="000A009C">
            <w:pPr>
              <w:widowControl w:val="0"/>
              <w:tabs>
                <w:tab w:val="decimal" w:pos="399"/>
              </w:tabs>
              <w:adjustRightInd w:val="0"/>
              <w:spacing w:before="36" w:after="36"/>
              <w:ind w:left="-79" w:right="-108"/>
              <w:jc w:val="left"/>
              <w:textAlignment w:val="baseline"/>
              <w:rPr>
                <w:rFonts w:eastAsia="Times New Roman"/>
                <w:bCs/>
              </w:rPr>
            </w:pPr>
            <w:r>
              <w:rPr>
                <w:rFonts w:eastAsia="Times New Roman"/>
                <w:bCs/>
                <w:sz w:val="22"/>
                <w:szCs w:val="22"/>
              </w:rPr>
              <w:t>9.58</w:t>
            </w:r>
          </w:p>
        </w:tc>
        <w:tc>
          <w:tcPr>
            <w:tcW w:w="1221" w:type="dxa"/>
            <w:vAlign w:val="bottom"/>
          </w:tcPr>
          <w:p w:rsidR="00CF0727" w:rsidRPr="00167342" w:rsidRDefault="00CF0727" w:rsidP="000A009C">
            <w:pPr>
              <w:widowControl w:val="0"/>
              <w:tabs>
                <w:tab w:val="decimal" w:pos="399"/>
              </w:tabs>
              <w:adjustRightInd w:val="0"/>
              <w:spacing w:before="36" w:after="36"/>
              <w:ind w:left="-79" w:right="-108"/>
              <w:jc w:val="left"/>
              <w:textAlignment w:val="baseline"/>
              <w:rPr>
                <w:rFonts w:eastAsia="Times New Roman"/>
                <w:bCs/>
              </w:rPr>
            </w:pPr>
            <w:r>
              <w:rPr>
                <w:rFonts w:eastAsia="Times New Roman"/>
                <w:bCs/>
                <w:sz w:val="22"/>
                <w:szCs w:val="22"/>
              </w:rPr>
              <w:t>8.15</w:t>
            </w:r>
          </w:p>
        </w:tc>
        <w:tc>
          <w:tcPr>
            <w:tcW w:w="1206" w:type="dxa"/>
            <w:vAlign w:val="bottom"/>
          </w:tcPr>
          <w:p w:rsidR="00CF0727" w:rsidRPr="00CE450C" w:rsidRDefault="00CF0727" w:rsidP="000A009C">
            <w:pPr>
              <w:widowControl w:val="0"/>
              <w:tabs>
                <w:tab w:val="decimal" w:pos="365"/>
              </w:tabs>
              <w:adjustRightInd w:val="0"/>
              <w:spacing w:before="36" w:after="36"/>
              <w:ind w:left="-102" w:right="-108" w:hanging="12"/>
              <w:jc w:val="left"/>
              <w:textAlignment w:val="baseline"/>
              <w:rPr>
                <w:rFonts w:eastAsia="Times New Roman"/>
                <w:bCs/>
              </w:rPr>
            </w:pPr>
            <w:r>
              <w:rPr>
                <w:rFonts w:eastAsia="Times New Roman"/>
                <w:bCs/>
                <w:sz w:val="22"/>
                <w:szCs w:val="22"/>
              </w:rPr>
              <w:t>7.81</w:t>
            </w:r>
          </w:p>
        </w:tc>
        <w:tc>
          <w:tcPr>
            <w:tcW w:w="1320" w:type="dxa"/>
            <w:vAlign w:val="bottom"/>
          </w:tcPr>
          <w:p w:rsidR="00CF0727" w:rsidRPr="00CE450C" w:rsidRDefault="00CF0727" w:rsidP="000A009C">
            <w:pPr>
              <w:widowControl w:val="0"/>
              <w:tabs>
                <w:tab w:val="decimal" w:pos="492"/>
              </w:tabs>
              <w:adjustRightInd w:val="0"/>
              <w:spacing w:before="36" w:after="36"/>
              <w:ind w:left="-108" w:right="-108"/>
              <w:jc w:val="left"/>
              <w:textAlignment w:val="baseline"/>
              <w:rPr>
                <w:rFonts w:eastAsia="Times New Roman"/>
                <w:b/>
                <w:bCs/>
              </w:rPr>
            </w:pPr>
            <w:r>
              <w:rPr>
                <w:rFonts w:eastAsia="Times New Roman"/>
                <w:b/>
                <w:bCs/>
                <w:sz w:val="22"/>
                <w:szCs w:val="22"/>
              </w:rPr>
              <w:t>7.63</w:t>
            </w:r>
          </w:p>
        </w:tc>
        <w:tc>
          <w:tcPr>
            <w:tcW w:w="1205" w:type="dxa"/>
            <w:vAlign w:val="bottom"/>
          </w:tcPr>
          <w:p w:rsidR="00CF0727" w:rsidRPr="00167342" w:rsidRDefault="00CF0727" w:rsidP="000A009C">
            <w:pPr>
              <w:widowControl w:val="0"/>
              <w:tabs>
                <w:tab w:val="decimal" w:pos="372"/>
              </w:tabs>
              <w:adjustRightInd w:val="0"/>
              <w:spacing w:before="36" w:after="36"/>
              <w:ind w:left="-108" w:right="-103" w:hanging="7"/>
              <w:jc w:val="left"/>
              <w:textAlignment w:val="baseline"/>
              <w:rPr>
                <w:rFonts w:eastAsia="Times New Roman"/>
              </w:rPr>
            </w:pPr>
            <w:r>
              <w:rPr>
                <w:rFonts w:eastAsia="Times New Roman"/>
                <w:sz w:val="22"/>
                <w:szCs w:val="22"/>
              </w:rPr>
              <w:t>7.80</w:t>
            </w:r>
          </w:p>
        </w:tc>
        <w:tc>
          <w:tcPr>
            <w:tcW w:w="1287" w:type="dxa"/>
            <w:vAlign w:val="bottom"/>
          </w:tcPr>
          <w:p w:rsidR="00CF0727" w:rsidRPr="00167342" w:rsidRDefault="00CF0727" w:rsidP="000A009C">
            <w:pPr>
              <w:widowControl w:val="0"/>
              <w:tabs>
                <w:tab w:val="decimal" w:pos="487"/>
              </w:tabs>
              <w:adjustRightInd w:val="0"/>
              <w:spacing w:before="36" w:after="36"/>
              <w:ind w:left="-113" w:right="-136"/>
              <w:jc w:val="left"/>
              <w:textAlignment w:val="baseline"/>
              <w:rPr>
                <w:rFonts w:eastAsia="Times New Roman"/>
                <w:bCs/>
              </w:rPr>
            </w:pPr>
            <w:r>
              <w:rPr>
                <w:rFonts w:eastAsia="Times New Roman"/>
                <w:bCs/>
                <w:sz w:val="22"/>
                <w:szCs w:val="22"/>
              </w:rPr>
              <w:t>8.29</w:t>
            </w:r>
          </w:p>
        </w:tc>
      </w:tr>
    </w:tbl>
    <w:p w:rsidR="00CF0727" w:rsidRDefault="00CF0727" w:rsidP="00CF0727">
      <w:pPr>
        <w:ind w:right="-6"/>
        <w:jc w:val="center"/>
        <w:rPr>
          <w:i/>
          <w:color w:val="000000"/>
          <w:szCs w:val="26"/>
        </w:rPr>
      </w:pPr>
      <w:r w:rsidRPr="000E2676">
        <w:rPr>
          <w:b/>
          <w:color w:val="000000"/>
          <w:szCs w:val="26"/>
        </w:rPr>
        <w:lastRenderedPageBreak/>
        <w:t xml:space="preserve">Table </w:t>
      </w:r>
      <w:r>
        <w:rPr>
          <w:b/>
          <w:color w:val="000000"/>
          <w:szCs w:val="26"/>
        </w:rPr>
        <w:t>5</w:t>
      </w:r>
      <w:r>
        <w:rPr>
          <w:color w:val="000000"/>
          <w:szCs w:val="26"/>
        </w:rPr>
        <w:t xml:space="preserve">.  </w:t>
      </w:r>
      <w:r>
        <w:rPr>
          <w:i/>
          <w:color w:val="000000"/>
          <w:szCs w:val="26"/>
        </w:rPr>
        <w:t>Mean absolute percentage differences from survey for the FLQ and AFLQ</w:t>
      </w:r>
      <w:r w:rsidRPr="002A4545">
        <w:rPr>
          <w:i/>
          <w:color w:val="000000"/>
          <w:szCs w:val="26"/>
        </w:rPr>
        <w:t xml:space="preserve">: </w:t>
      </w:r>
      <w:r>
        <w:rPr>
          <w:i/>
          <w:color w:val="000000"/>
          <w:szCs w:val="26"/>
        </w:rPr>
        <w:t>sectoral</w:t>
      </w:r>
    </w:p>
    <w:p w:rsidR="00CF0727" w:rsidRDefault="00CF0727" w:rsidP="00CF0727">
      <w:pPr>
        <w:spacing w:after="120"/>
        <w:ind w:right="-6"/>
        <w:jc w:val="center"/>
        <w:rPr>
          <w:i/>
          <w:color w:val="000000"/>
          <w:szCs w:val="26"/>
        </w:rPr>
      </w:pPr>
      <w:r>
        <w:rPr>
          <w:i/>
          <w:color w:val="000000"/>
          <w:szCs w:val="26"/>
        </w:rPr>
        <w:t xml:space="preserve">output multipliers for 20 </w:t>
      </w:r>
      <w:r w:rsidRPr="00143220">
        <w:rPr>
          <w:i/>
          <w:color w:val="000000"/>
          <w:szCs w:val="26"/>
        </w:rPr>
        <w:t>Finnish regions in 199</w:t>
      </w:r>
      <w:r>
        <w:rPr>
          <w:i/>
          <w:color w:val="000000"/>
          <w:szCs w:val="26"/>
        </w:rPr>
        <w:t xml:space="preserve">5 </w:t>
      </w:r>
      <w:r w:rsidRPr="00264820">
        <w:rPr>
          <w:i/>
          <w:color w:val="000000"/>
          <w:szCs w:val="26"/>
        </w:rPr>
        <w:t xml:space="preserve">(measure </w:t>
      </w:r>
      <w:r w:rsidRPr="00C8591E">
        <w:rPr>
          <w:i/>
          <w:color w:val="000000"/>
          <w:szCs w:val="26"/>
        </w:rPr>
        <w:t>µ</w:t>
      </w:r>
      <w:r w:rsidRPr="00C8591E">
        <w:rPr>
          <w:i/>
          <w:color w:val="000000"/>
          <w:szCs w:val="26"/>
          <w:vertAlign w:val="subscript"/>
        </w:rPr>
        <w:t>5</w:t>
      </w:r>
      <w:r w:rsidRPr="00C8591E">
        <w:rPr>
          <w:i/>
          <w:color w:val="000000"/>
          <w:szCs w:val="26"/>
        </w:rPr>
        <w:t>×100</w:t>
      </w:r>
      <w:r>
        <w:rPr>
          <w:i/>
          <w:color w:val="000000"/>
          <w:szCs w:val="26"/>
        </w:rPr>
        <w:t>, unweighted</w:t>
      </w:r>
      <w:r w:rsidRPr="00264820">
        <w:rPr>
          <w:i/>
          <w:color w:val="000000"/>
          <w:szCs w:val="26"/>
        </w:rPr>
        <w:t>)</w:t>
      </w:r>
    </w:p>
    <w:tbl>
      <w:tblPr>
        <w:tblW w:w="0" w:type="auto"/>
        <w:jc w:val="center"/>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BF"/>
      </w:tblPr>
      <w:tblGrid>
        <w:gridCol w:w="2532"/>
        <w:gridCol w:w="1134"/>
        <w:gridCol w:w="1134"/>
        <w:gridCol w:w="1134"/>
        <w:gridCol w:w="1134"/>
        <w:gridCol w:w="1148"/>
      </w:tblGrid>
      <w:tr w:rsidR="00CF0727" w:rsidTr="000A009C">
        <w:trPr>
          <w:trHeight w:val="375"/>
          <w:jc w:val="center"/>
        </w:trPr>
        <w:tc>
          <w:tcPr>
            <w:tcW w:w="2532" w:type="dxa"/>
            <w:vMerge w:val="restart"/>
          </w:tcPr>
          <w:p w:rsidR="00CF0727" w:rsidRPr="00C8591E" w:rsidRDefault="00CF0727" w:rsidP="000A009C">
            <w:pPr>
              <w:pStyle w:val="Normaali1"/>
              <w:spacing w:before="60" w:after="60" w:line="240" w:lineRule="auto"/>
              <w:ind w:left="5" w:right="125"/>
              <w:rPr>
                <w:rFonts w:ascii="Times New Roman" w:hAnsi="Times New Roman"/>
              </w:rPr>
            </w:pPr>
          </w:p>
          <w:p w:rsidR="00CF0727" w:rsidRPr="00C8591E" w:rsidRDefault="00CF0727" w:rsidP="000A009C">
            <w:pPr>
              <w:pStyle w:val="Normaali1"/>
              <w:spacing w:before="60" w:after="60" w:line="240" w:lineRule="auto"/>
              <w:ind w:left="-4" w:right="125"/>
              <w:rPr>
                <w:rFonts w:ascii="Times New Roman" w:hAnsi="Times New Roman"/>
              </w:rPr>
            </w:pPr>
            <w:r w:rsidRPr="00C8591E">
              <w:rPr>
                <w:rFonts w:ascii="Times New Roman" w:hAnsi="Times New Roman"/>
              </w:rPr>
              <w:t>Method</w:t>
            </w:r>
          </w:p>
        </w:tc>
        <w:tc>
          <w:tcPr>
            <w:tcW w:w="5684" w:type="dxa"/>
            <w:gridSpan w:val="5"/>
            <w:shd w:val="clear" w:color="auto" w:fill="auto"/>
          </w:tcPr>
          <w:p w:rsidR="00CF0727" w:rsidRPr="00C8591E" w:rsidRDefault="00CF0727" w:rsidP="000A009C">
            <w:pPr>
              <w:pStyle w:val="Normaali1"/>
              <w:spacing w:before="60" w:after="60" w:line="240" w:lineRule="auto"/>
              <w:ind w:left="-37" w:right="284"/>
              <w:jc w:val="center"/>
              <w:rPr>
                <w:rFonts w:ascii="Times New Roman" w:hAnsi="Times New Roman"/>
              </w:rPr>
            </w:pPr>
            <w:r w:rsidRPr="00C8591E">
              <w:rPr>
                <w:rFonts w:ascii="Times New Roman" w:hAnsi="Times New Roman"/>
              </w:rPr>
              <w:t xml:space="preserve">Value of </w:t>
            </w:r>
            <w:r w:rsidRPr="00C8591E">
              <w:rPr>
                <w:rFonts w:ascii="Times New Roman" w:hAnsi="Times New Roman"/>
                <w:color w:val="000000"/>
                <w:lang w:val="en-GB"/>
              </w:rPr>
              <w:t>δ</w:t>
            </w:r>
          </w:p>
        </w:tc>
      </w:tr>
      <w:tr w:rsidR="00CF0727" w:rsidTr="000A009C">
        <w:trPr>
          <w:trHeight w:val="375"/>
          <w:jc w:val="center"/>
        </w:trPr>
        <w:tc>
          <w:tcPr>
            <w:tcW w:w="2532" w:type="dxa"/>
            <w:vMerge/>
          </w:tcPr>
          <w:p w:rsidR="00CF0727" w:rsidRPr="00C8591E" w:rsidRDefault="00CF0727" w:rsidP="000A009C">
            <w:pPr>
              <w:pStyle w:val="Normaali1"/>
              <w:tabs>
                <w:tab w:val="left" w:pos="360"/>
                <w:tab w:val="left" w:pos="972"/>
              </w:tabs>
              <w:spacing w:before="60" w:after="60" w:line="240" w:lineRule="auto"/>
              <w:ind w:left="397" w:right="284"/>
              <w:rPr>
                <w:rFonts w:ascii="Times New Roman" w:hAnsi="Times New Roman"/>
              </w:rPr>
            </w:pPr>
          </w:p>
        </w:tc>
        <w:tc>
          <w:tcPr>
            <w:tcW w:w="1134" w:type="dxa"/>
            <w:shd w:val="clear" w:color="auto" w:fill="auto"/>
          </w:tcPr>
          <w:p w:rsidR="00CF0727" w:rsidRPr="00C8591E" w:rsidRDefault="00CF0727" w:rsidP="000A009C">
            <w:pPr>
              <w:pStyle w:val="Normaali1"/>
              <w:spacing w:before="60" w:after="60" w:line="240" w:lineRule="auto"/>
              <w:ind w:left="-115" w:right="-115"/>
              <w:jc w:val="center"/>
              <w:rPr>
                <w:rFonts w:ascii="Times New Roman" w:hAnsi="Times New Roman"/>
              </w:rPr>
            </w:pPr>
            <w:r w:rsidRPr="00C8591E">
              <w:rPr>
                <w:rFonts w:ascii="Times New Roman" w:hAnsi="Times New Roman"/>
                <w:color w:val="000000"/>
                <w:lang w:val="en-GB"/>
              </w:rPr>
              <w:t>0.1</w:t>
            </w:r>
            <w:r>
              <w:rPr>
                <w:rFonts w:ascii="Times New Roman" w:hAnsi="Times New Roman"/>
                <w:color w:val="000000"/>
                <w:lang w:val="en-GB"/>
              </w:rPr>
              <w:t>5</w:t>
            </w:r>
          </w:p>
        </w:tc>
        <w:tc>
          <w:tcPr>
            <w:tcW w:w="1134" w:type="dxa"/>
          </w:tcPr>
          <w:p w:rsidR="00CF0727" w:rsidRPr="00C8591E" w:rsidRDefault="00CF0727" w:rsidP="000A009C">
            <w:pPr>
              <w:pStyle w:val="Normaali1"/>
              <w:spacing w:before="60" w:after="60" w:line="240" w:lineRule="auto"/>
              <w:ind w:left="-115" w:right="-115"/>
              <w:jc w:val="center"/>
              <w:rPr>
                <w:rFonts w:ascii="Times New Roman" w:hAnsi="Times New Roman"/>
              </w:rPr>
            </w:pPr>
            <w:r w:rsidRPr="00C8591E">
              <w:rPr>
                <w:rFonts w:ascii="Times New Roman" w:hAnsi="Times New Roman"/>
                <w:color w:val="000000"/>
                <w:lang w:val="en-GB"/>
              </w:rPr>
              <w:t>0.</w:t>
            </w:r>
            <w:r>
              <w:rPr>
                <w:rFonts w:ascii="Times New Roman" w:hAnsi="Times New Roman"/>
                <w:color w:val="000000"/>
                <w:lang w:val="en-GB"/>
              </w:rPr>
              <w:t>2</w:t>
            </w:r>
          </w:p>
        </w:tc>
        <w:tc>
          <w:tcPr>
            <w:tcW w:w="1134" w:type="dxa"/>
          </w:tcPr>
          <w:p w:rsidR="00CF0727" w:rsidRPr="00C8591E" w:rsidRDefault="00CF0727" w:rsidP="000A009C">
            <w:pPr>
              <w:pStyle w:val="Normaali1"/>
              <w:spacing w:before="60" w:after="60" w:line="240" w:lineRule="auto"/>
              <w:ind w:left="5" w:right="5"/>
              <w:jc w:val="center"/>
              <w:rPr>
                <w:rFonts w:ascii="Times New Roman" w:hAnsi="Times New Roman"/>
              </w:rPr>
            </w:pPr>
            <w:r w:rsidRPr="00C8591E">
              <w:rPr>
                <w:rFonts w:ascii="Times New Roman" w:hAnsi="Times New Roman"/>
                <w:color w:val="000000"/>
                <w:lang w:val="en-GB"/>
              </w:rPr>
              <w:t>0.2</w:t>
            </w:r>
            <w:r>
              <w:rPr>
                <w:rFonts w:ascii="Times New Roman" w:hAnsi="Times New Roman"/>
                <w:color w:val="000000"/>
                <w:lang w:val="en-GB"/>
              </w:rPr>
              <w:t>5</w:t>
            </w:r>
          </w:p>
        </w:tc>
        <w:tc>
          <w:tcPr>
            <w:tcW w:w="1134" w:type="dxa"/>
          </w:tcPr>
          <w:p w:rsidR="00CF0727" w:rsidRPr="00C8591E" w:rsidRDefault="00CF0727" w:rsidP="000A009C">
            <w:pPr>
              <w:pStyle w:val="Normaali1"/>
              <w:spacing w:before="60" w:after="60" w:line="240" w:lineRule="auto"/>
              <w:ind w:left="403" w:right="-115" w:hanging="518"/>
              <w:jc w:val="center"/>
              <w:rPr>
                <w:rFonts w:ascii="Times New Roman" w:hAnsi="Times New Roman"/>
              </w:rPr>
            </w:pPr>
            <w:r w:rsidRPr="00C8591E">
              <w:rPr>
                <w:rFonts w:ascii="Times New Roman" w:hAnsi="Times New Roman"/>
                <w:color w:val="000000"/>
                <w:lang w:val="en-GB"/>
              </w:rPr>
              <w:t>0.</w:t>
            </w:r>
            <w:r>
              <w:rPr>
                <w:rFonts w:ascii="Times New Roman" w:hAnsi="Times New Roman"/>
                <w:color w:val="000000"/>
                <w:lang w:val="en-GB"/>
              </w:rPr>
              <w:t>3</w:t>
            </w:r>
          </w:p>
        </w:tc>
        <w:tc>
          <w:tcPr>
            <w:tcW w:w="1148" w:type="dxa"/>
          </w:tcPr>
          <w:p w:rsidR="00CF0727" w:rsidRPr="00C8591E" w:rsidRDefault="00CF0727" w:rsidP="000A009C">
            <w:pPr>
              <w:pStyle w:val="Normaali1"/>
              <w:spacing w:before="60" w:after="60" w:line="240" w:lineRule="auto"/>
              <w:ind w:left="403" w:right="-115" w:hanging="518"/>
              <w:jc w:val="center"/>
              <w:rPr>
                <w:rFonts w:ascii="Times New Roman" w:hAnsi="Times New Roman"/>
              </w:rPr>
            </w:pPr>
            <w:r w:rsidRPr="00C8591E">
              <w:rPr>
                <w:rFonts w:ascii="Times New Roman" w:hAnsi="Times New Roman"/>
                <w:color w:val="000000"/>
                <w:lang w:val="en-GB"/>
              </w:rPr>
              <w:t>0.3</w:t>
            </w:r>
            <w:r>
              <w:rPr>
                <w:rFonts w:ascii="Times New Roman" w:hAnsi="Times New Roman"/>
                <w:color w:val="000000"/>
                <w:lang w:val="en-GB"/>
              </w:rPr>
              <w:t>5</w:t>
            </w:r>
          </w:p>
        </w:tc>
      </w:tr>
      <w:tr w:rsidR="00CF0727" w:rsidTr="000A009C">
        <w:trPr>
          <w:jc w:val="center"/>
        </w:trPr>
        <w:tc>
          <w:tcPr>
            <w:tcW w:w="2532" w:type="dxa"/>
          </w:tcPr>
          <w:p w:rsidR="00CF0727" w:rsidRPr="00C8591E" w:rsidRDefault="00CF0727" w:rsidP="000A009C">
            <w:pPr>
              <w:pStyle w:val="Normaali1"/>
              <w:tabs>
                <w:tab w:val="left" w:pos="360"/>
                <w:tab w:val="left" w:pos="972"/>
              </w:tabs>
              <w:spacing w:before="60" w:after="60" w:line="240" w:lineRule="auto"/>
              <w:ind w:left="403" w:right="288" w:hanging="397"/>
              <w:jc w:val="left"/>
              <w:rPr>
                <w:rFonts w:ascii="Times New Roman" w:hAnsi="Times New Roman"/>
              </w:rPr>
            </w:pPr>
            <w:r w:rsidRPr="00C8591E">
              <w:rPr>
                <w:rFonts w:ascii="Times New Roman" w:hAnsi="Times New Roman"/>
              </w:rPr>
              <w:t>FLQ</w:t>
            </w:r>
          </w:p>
        </w:tc>
        <w:tc>
          <w:tcPr>
            <w:tcW w:w="1134" w:type="dxa"/>
          </w:tcPr>
          <w:p w:rsidR="00CF0727" w:rsidRPr="00C8591E" w:rsidRDefault="00CF0727" w:rsidP="000A009C">
            <w:pPr>
              <w:pStyle w:val="Normaali1"/>
              <w:spacing w:before="60" w:after="60" w:line="240" w:lineRule="auto"/>
              <w:ind w:left="-115" w:right="-115"/>
              <w:jc w:val="center"/>
              <w:rPr>
                <w:rFonts w:ascii="Times New Roman" w:hAnsi="Times New Roman"/>
              </w:rPr>
            </w:pPr>
            <w:r>
              <w:rPr>
                <w:rFonts w:ascii="Times New Roman" w:hAnsi="Times New Roman"/>
              </w:rPr>
              <w:t>9</w:t>
            </w:r>
            <w:r w:rsidRPr="00C8591E">
              <w:rPr>
                <w:rFonts w:ascii="Times New Roman" w:hAnsi="Times New Roman"/>
              </w:rPr>
              <w:t>.</w:t>
            </w:r>
            <w:r>
              <w:rPr>
                <w:rFonts w:ascii="Times New Roman" w:hAnsi="Times New Roman"/>
              </w:rPr>
              <w:t>9</w:t>
            </w:r>
          </w:p>
        </w:tc>
        <w:tc>
          <w:tcPr>
            <w:tcW w:w="1134" w:type="dxa"/>
          </w:tcPr>
          <w:p w:rsidR="00CF0727" w:rsidRPr="00C8591E" w:rsidRDefault="00CF0727" w:rsidP="000A009C">
            <w:pPr>
              <w:pStyle w:val="Normaali1"/>
              <w:spacing w:before="60" w:after="60" w:line="240" w:lineRule="auto"/>
              <w:ind w:right="5"/>
              <w:jc w:val="center"/>
              <w:rPr>
                <w:rFonts w:ascii="Times New Roman" w:hAnsi="Times New Roman"/>
              </w:rPr>
            </w:pPr>
            <w:r>
              <w:rPr>
                <w:rFonts w:ascii="Times New Roman" w:hAnsi="Times New Roman"/>
              </w:rPr>
              <w:t>8</w:t>
            </w:r>
            <w:r w:rsidRPr="00C8591E">
              <w:rPr>
                <w:rFonts w:ascii="Times New Roman" w:hAnsi="Times New Roman"/>
              </w:rPr>
              <w:t>.</w:t>
            </w:r>
            <w:r>
              <w:rPr>
                <w:rFonts w:ascii="Times New Roman" w:hAnsi="Times New Roman"/>
              </w:rPr>
              <w:t>5</w:t>
            </w:r>
          </w:p>
        </w:tc>
        <w:tc>
          <w:tcPr>
            <w:tcW w:w="1134" w:type="dxa"/>
          </w:tcPr>
          <w:p w:rsidR="00CF0727" w:rsidRPr="00C8591E" w:rsidRDefault="00CF0727" w:rsidP="000A009C">
            <w:pPr>
              <w:pStyle w:val="Normaali1"/>
              <w:tabs>
                <w:tab w:val="decimal" w:pos="452"/>
              </w:tabs>
              <w:spacing w:before="60" w:after="60" w:line="240" w:lineRule="auto"/>
              <w:ind w:right="5"/>
              <w:jc w:val="left"/>
              <w:rPr>
                <w:rFonts w:ascii="Times New Roman" w:hAnsi="Times New Roman"/>
              </w:rPr>
            </w:pPr>
            <w:r>
              <w:rPr>
                <w:rFonts w:ascii="Times New Roman" w:hAnsi="Times New Roman"/>
              </w:rPr>
              <w:t>8</w:t>
            </w:r>
            <w:r w:rsidRPr="00C8591E">
              <w:rPr>
                <w:rFonts w:ascii="Times New Roman" w:hAnsi="Times New Roman"/>
              </w:rPr>
              <w:t>.</w:t>
            </w:r>
            <w:r>
              <w:rPr>
                <w:rFonts w:ascii="Times New Roman" w:hAnsi="Times New Roman"/>
              </w:rPr>
              <w:t>2</w:t>
            </w:r>
          </w:p>
        </w:tc>
        <w:tc>
          <w:tcPr>
            <w:tcW w:w="1134" w:type="dxa"/>
          </w:tcPr>
          <w:p w:rsidR="00CF0727" w:rsidRPr="00C8591E" w:rsidRDefault="00CF0727" w:rsidP="000A009C">
            <w:pPr>
              <w:pStyle w:val="Normaali1"/>
              <w:tabs>
                <w:tab w:val="decimal" w:pos="452"/>
              </w:tabs>
              <w:spacing w:before="60" w:after="60" w:line="240" w:lineRule="auto"/>
              <w:ind w:right="5"/>
              <w:jc w:val="left"/>
              <w:rPr>
                <w:rFonts w:ascii="Times New Roman" w:hAnsi="Times New Roman"/>
              </w:rPr>
            </w:pPr>
            <w:r w:rsidRPr="00C8591E">
              <w:rPr>
                <w:rFonts w:ascii="Times New Roman" w:hAnsi="Times New Roman"/>
              </w:rPr>
              <w:t>8.</w:t>
            </w:r>
            <w:r>
              <w:rPr>
                <w:rFonts w:ascii="Times New Roman" w:hAnsi="Times New Roman"/>
              </w:rPr>
              <w:t>1</w:t>
            </w:r>
          </w:p>
        </w:tc>
        <w:tc>
          <w:tcPr>
            <w:tcW w:w="1148" w:type="dxa"/>
          </w:tcPr>
          <w:p w:rsidR="00CF0727" w:rsidRPr="00C8591E" w:rsidRDefault="00CF0727" w:rsidP="000A009C">
            <w:pPr>
              <w:pStyle w:val="Normaali1"/>
              <w:tabs>
                <w:tab w:val="decimal" w:pos="452"/>
              </w:tabs>
              <w:spacing w:before="60" w:after="60" w:line="240" w:lineRule="auto"/>
              <w:ind w:right="5"/>
              <w:jc w:val="left"/>
              <w:rPr>
                <w:rFonts w:ascii="Times New Roman" w:hAnsi="Times New Roman"/>
              </w:rPr>
            </w:pPr>
            <w:r>
              <w:rPr>
                <w:rFonts w:ascii="Times New Roman" w:hAnsi="Times New Roman"/>
              </w:rPr>
              <w:t>8.5</w:t>
            </w:r>
          </w:p>
        </w:tc>
      </w:tr>
      <w:tr w:rsidR="00CF0727" w:rsidTr="000A009C">
        <w:trPr>
          <w:jc w:val="center"/>
        </w:trPr>
        <w:tc>
          <w:tcPr>
            <w:tcW w:w="2532" w:type="dxa"/>
          </w:tcPr>
          <w:p w:rsidR="00CF0727" w:rsidRPr="00C8591E" w:rsidRDefault="00CF0727" w:rsidP="000A009C">
            <w:pPr>
              <w:pStyle w:val="Normaali1"/>
              <w:spacing w:before="60" w:after="60" w:line="240" w:lineRule="auto"/>
              <w:ind w:left="-4" w:right="26"/>
              <w:jc w:val="left"/>
              <w:rPr>
                <w:rFonts w:ascii="Times New Roman" w:hAnsi="Times New Roman"/>
              </w:rPr>
            </w:pPr>
            <w:r w:rsidRPr="00C8591E">
              <w:rPr>
                <w:rFonts w:ascii="Times New Roman" w:hAnsi="Times New Roman"/>
              </w:rPr>
              <w:t>AFLQ</w:t>
            </w:r>
            <w:r>
              <w:rPr>
                <w:rFonts w:ascii="Times New Roman" w:hAnsi="Times New Roman"/>
              </w:rPr>
              <w:t xml:space="preserve"> (column-based)</w:t>
            </w:r>
          </w:p>
        </w:tc>
        <w:tc>
          <w:tcPr>
            <w:tcW w:w="1134" w:type="dxa"/>
          </w:tcPr>
          <w:p w:rsidR="00CF0727" w:rsidRPr="00C8591E" w:rsidRDefault="00CF0727" w:rsidP="000A009C">
            <w:pPr>
              <w:pStyle w:val="Normaali1"/>
              <w:spacing w:before="60" w:after="60" w:line="240" w:lineRule="auto"/>
              <w:ind w:left="-115" w:right="-115"/>
              <w:jc w:val="center"/>
              <w:rPr>
                <w:rFonts w:ascii="Times New Roman" w:hAnsi="Times New Roman"/>
              </w:rPr>
            </w:pPr>
            <w:r>
              <w:rPr>
                <w:rFonts w:ascii="Times New Roman" w:hAnsi="Times New Roman"/>
              </w:rPr>
              <w:t>10</w:t>
            </w:r>
            <w:r w:rsidRPr="00C8591E">
              <w:rPr>
                <w:rFonts w:ascii="Times New Roman" w:hAnsi="Times New Roman"/>
              </w:rPr>
              <w:t>.</w:t>
            </w:r>
            <w:r>
              <w:rPr>
                <w:rFonts w:ascii="Times New Roman" w:hAnsi="Times New Roman"/>
              </w:rPr>
              <w:t>7</w:t>
            </w:r>
          </w:p>
        </w:tc>
        <w:tc>
          <w:tcPr>
            <w:tcW w:w="1134" w:type="dxa"/>
          </w:tcPr>
          <w:p w:rsidR="00CF0727" w:rsidRPr="00C8591E" w:rsidRDefault="00CF0727" w:rsidP="000A009C">
            <w:pPr>
              <w:pStyle w:val="Normaali1"/>
              <w:spacing w:before="60" w:after="60" w:line="240" w:lineRule="auto"/>
              <w:ind w:right="5"/>
              <w:jc w:val="center"/>
              <w:rPr>
                <w:rFonts w:ascii="Times New Roman" w:hAnsi="Times New Roman"/>
              </w:rPr>
            </w:pPr>
            <w:r>
              <w:rPr>
                <w:rFonts w:ascii="Times New Roman" w:hAnsi="Times New Roman"/>
              </w:rPr>
              <w:t>9</w:t>
            </w:r>
            <w:r w:rsidRPr="00C8591E">
              <w:rPr>
                <w:rFonts w:ascii="Times New Roman" w:hAnsi="Times New Roman"/>
              </w:rPr>
              <w:t>.</w:t>
            </w:r>
            <w:r>
              <w:rPr>
                <w:rFonts w:ascii="Times New Roman" w:hAnsi="Times New Roman"/>
              </w:rPr>
              <w:t>2</w:t>
            </w:r>
          </w:p>
        </w:tc>
        <w:tc>
          <w:tcPr>
            <w:tcW w:w="1134" w:type="dxa"/>
          </w:tcPr>
          <w:p w:rsidR="00CF0727" w:rsidRPr="00C8591E" w:rsidRDefault="00CF0727" w:rsidP="000A009C">
            <w:pPr>
              <w:pStyle w:val="Normaali1"/>
              <w:tabs>
                <w:tab w:val="decimal" w:pos="452"/>
              </w:tabs>
              <w:spacing w:before="60" w:after="60" w:line="240" w:lineRule="auto"/>
              <w:ind w:right="5"/>
              <w:jc w:val="left"/>
              <w:rPr>
                <w:rFonts w:ascii="Times New Roman" w:hAnsi="Times New Roman"/>
              </w:rPr>
            </w:pPr>
            <w:r>
              <w:rPr>
                <w:rFonts w:ascii="Times New Roman" w:hAnsi="Times New Roman"/>
              </w:rPr>
              <w:t>8</w:t>
            </w:r>
            <w:r w:rsidRPr="00C8591E">
              <w:rPr>
                <w:rFonts w:ascii="Times New Roman" w:hAnsi="Times New Roman"/>
              </w:rPr>
              <w:t>.</w:t>
            </w:r>
            <w:r>
              <w:rPr>
                <w:rFonts w:ascii="Times New Roman" w:hAnsi="Times New Roman"/>
              </w:rPr>
              <w:t>3</w:t>
            </w:r>
          </w:p>
        </w:tc>
        <w:tc>
          <w:tcPr>
            <w:tcW w:w="1134" w:type="dxa"/>
          </w:tcPr>
          <w:p w:rsidR="00CF0727" w:rsidRPr="00C8591E" w:rsidRDefault="00CF0727" w:rsidP="000A009C">
            <w:pPr>
              <w:pStyle w:val="Normaali1"/>
              <w:tabs>
                <w:tab w:val="decimal" w:pos="452"/>
              </w:tabs>
              <w:spacing w:before="60" w:after="60" w:line="240" w:lineRule="auto"/>
              <w:ind w:right="5"/>
              <w:jc w:val="left"/>
              <w:rPr>
                <w:rFonts w:ascii="Times New Roman" w:hAnsi="Times New Roman"/>
              </w:rPr>
            </w:pPr>
            <w:r>
              <w:rPr>
                <w:rFonts w:ascii="Times New Roman" w:hAnsi="Times New Roman"/>
              </w:rPr>
              <w:t>7</w:t>
            </w:r>
            <w:r w:rsidRPr="00C8591E">
              <w:rPr>
                <w:rFonts w:ascii="Times New Roman" w:hAnsi="Times New Roman"/>
              </w:rPr>
              <w:t>.</w:t>
            </w:r>
            <w:r>
              <w:rPr>
                <w:rFonts w:ascii="Times New Roman" w:hAnsi="Times New Roman"/>
              </w:rPr>
              <w:t>9</w:t>
            </w:r>
          </w:p>
        </w:tc>
        <w:tc>
          <w:tcPr>
            <w:tcW w:w="1148" w:type="dxa"/>
          </w:tcPr>
          <w:p w:rsidR="00CF0727" w:rsidRPr="00C8591E" w:rsidRDefault="00CF0727" w:rsidP="000A009C">
            <w:pPr>
              <w:pStyle w:val="Normaali1"/>
              <w:tabs>
                <w:tab w:val="decimal" w:pos="452"/>
              </w:tabs>
              <w:spacing w:before="60" w:after="60" w:line="240" w:lineRule="auto"/>
              <w:ind w:right="5"/>
              <w:jc w:val="left"/>
              <w:rPr>
                <w:rFonts w:ascii="Times New Roman" w:hAnsi="Times New Roman"/>
              </w:rPr>
            </w:pPr>
            <w:r>
              <w:rPr>
                <w:rFonts w:ascii="Times New Roman" w:hAnsi="Times New Roman"/>
              </w:rPr>
              <w:t>8.0</w:t>
            </w:r>
          </w:p>
        </w:tc>
      </w:tr>
      <w:tr w:rsidR="00CF0727" w:rsidTr="000A009C">
        <w:trPr>
          <w:jc w:val="center"/>
        </w:trPr>
        <w:tc>
          <w:tcPr>
            <w:tcW w:w="2532" w:type="dxa"/>
          </w:tcPr>
          <w:p w:rsidR="00CF0727" w:rsidRPr="00C8591E" w:rsidRDefault="00CF0727" w:rsidP="000A009C">
            <w:pPr>
              <w:pStyle w:val="Normaali1"/>
              <w:spacing w:before="60" w:after="60" w:line="240" w:lineRule="auto"/>
              <w:ind w:left="-4" w:right="-115"/>
              <w:jc w:val="left"/>
              <w:rPr>
                <w:rFonts w:ascii="Times New Roman" w:hAnsi="Times New Roman"/>
              </w:rPr>
            </w:pPr>
            <w:r w:rsidRPr="00C8591E">
              <w:rPr>
                <w:rFonts w:ascii="Times New Roman" w:hAnsi="Times New Roman"/>
              </w:rPr>
              <w:t>AFLQ (row-based)</w:t>
            </w:r>
          </w:p>
        </w:tc>
        <w:tc>
          <w:tcPr>
            <w:tcW w:w="1134" w:type="dxa"/>
          </w:tcPr>
          <w:p w:rsidR="00CF0727" w:rsidRPr="00C8591E" w:rsidRDefault="00CF0727" w:rsidP="000A009C">
            <w:pPr>
              <w:pStyle w:val="Normaali1"/>
              <w:spacing w:before="60" w:after="60" w:line="240" w:lineRule="auto"/>
              <w:ind w:left="-115" w:right="-115"/>
              <w:jc w:val="center"/>
              <w:rPr>
                <w:rFonts w:ascii="Times New Roman" w:hAnsi="Times New Roman"/>
              </w:rPr>
            </w:pPr>
            <w:r>
              <w:rPr>
                <w:rFonts w:ascii="Times New Roman" w:hAnsi="Times New Roman"/>
              </w:rPr>
              <w:t>10.3</w:t>
            </w:r>
          </w:p>
        </w:tc>
        <w:tc>
          <w:tcPr>
            <w:tcW w:w="1134" w:type="dxa"/>
          </w:tcPr>
          <w:p w:rsidR="00CF0727" w:rsidRPr="00C8591E" w:rsidRDefault="00CF0727" w:rsidP="000A009C">
            <w:pPr>
              <w:pStyle w:val="Normaali1"/>
              <w:spacing w:before="60" w:after="60" w:line="240" w:lineRule="auto"/>
              <w:ind w:right="5"/>
              <w:jc w:val="center"/>
              <w:rPr>
                <w:rFonts w:ascii="Times New Roman" w:hAnsi="Times New Roman"/>
              </w:rPr>
            </w:pPr>
            <w:r>
              <w:rPr>
                <w:rFonts w:ascii="Times New Roman" w:hAnsi="Times New Roman"/>
              </w:rPr>
              <w:t>9.0</w:t>
            </w:r>
          </w:p>
        </w:tc>
        <w:tc>
          <w:tcPr>
            <w:tcW w:w="1134" w:type="dxa"/>
          </w:tcPr>
          <w:p w:rsidR="00CF0727" w:rsidRPr="00C8591E" w:rsidRDefault="00CF0727" w:rsidP="000A009C">
            <w:pPr>
              <w:pStyle w:val="Normaali1"/>
              <w:tabs>
                <w:tab w:val="decimal" w:pos="452"/>
              </w:tabs>
              <w:spacing w:before="60" w:after="60" w:line="240" w:lineRule="auto"/>
              <w:ind w:right="5"/>
              <w:jc w:val="left"/>
              <w:rPr>
                <w:rFonts w:ascii="Times New Roman" w:hAnsi="Times New Roman"/>
              </w:rPr>
            </w:pPr>
            <w:r>
              <w:rPr>
                <w:rFonts w:ascii="Times New Roman" w:hAnsi="Times New Roman"/>
              </w:rPr>
              <w:t>8.3</w:t>
            </w:r>
          </w:p>
        </w:tc>
        <w:tc>
          <w:tcPr>
            <w:tcW w:w="1134" w:type="dxa"/>
          </w:tcPr>
          <w:p w:rsidR="00CF0727" w:rsidRPr="00C8591E" w:rsidRDefault="00CF0727" w:rsidP="000A009C">
            <w:pPr>
              <w:pStyle w:val="Normaali1"/>
              <w:tabs>
                <w:tab w:val="decimal" w:pos="452"/>
              </w:tabs>
              <w:spacing w:before="60" w:after="60" w:line="240" w:lineRule="auto"/>
              <w:ind w:right="5"/>
              <w:jc w:val="left"/>
              <w:rPr>
                <w:rFonts w:ascii="Times New Roman" w:hAnsi="Times New Roman"/>
              </w:rPr>
            </w:pPr>
            <w:r>
              <w:rPr>
                <w:rFonts w:ascii="Times New Roman" w:hAnsi="Times New Roman"/>
              </w:rPr>
              <w:t>8.0</w:t>
            </w:r>
          </w:p>
        </w:tc>
        <w:tc>
          <w:tcPr>
            <w:tcW w:w="1148" w:type="dxa"/>
          </w:tcPr>
          <w:p w:rsidR="00CF0727" w:rsidRPr="00C8591E" w:rsidRDefault="00CF0727" w:rsidP="000A009C">
            <w:pPr>
              <w:pStyle w:val="Normaali1"/>
              <w:tabs>
                <w:tab w:val="decimal" w:pos="452"/>
              </w:tabs>
              <w:spacing w:before="60" w:after="60" w:line="240" w:lineRule="auto"/>
              <w:ind w:right="5"/>
              <w:jc w:val="left"/>
              <w:rPr>
                <w:rFonts w:ascii="Times New Roman" w:hAnsi="Times New Roman"/>
              </w:rPr>
            </w:pPr>
            <w:r>
              <w:rPr>
                <w:rFonts w:ascii="Times New Roman" w:hAnsi="Times New Roman"/>
              </w:rPr>
              <w:t>8.0</w:t>
            </w:r>
          </w:p>
        </w:tc>
      </w:tr>
    </w:tbl>
    <w:p w:rsidR="00CF0727" w:rsidRDefault="00CF0727" w:rsidP="00CF0727">
      <w:pPr>
        <w:pStyle w:val="Normaali1"/>
        <w:spacing w:line="240" w:lineRule="auto"/>
        <w:rPr>
          <w:b/>
          <w:color w:val="000000"/>
          <w:szCs w:val="26"/>
        </w:rPr>
      </w:pPr>
    </w:p>
    <w:p w:rsidR="00CF0727" w:rsidRDefault="00CF0727" w:rsidP="00CF0727">
      <w:pPr>
        <w:pStyle w:val="Normaali1"/>
        <w:tabs>
          <w:tab w:val="left" w:pos="360"/>
        </w:tabs>
        <w:spacing w:line="240" w:lineRule="auto"/>
        <w:rPr>
          <w:b/>
          <w:color w:val="000000"/>
          <w:szCs w:val="26"/>
        </w:rPr>
      </w:pPr>
    </w:p>
    <w:p w:rsidR="00CF0727" w:rsidRPr="006E7856" w:rsidRDefault="00CF0727" w:rsidP="00CF0727">
      <w:pPr>
        <w:pStyle w:val="Normaali1"/>
        <w:tabs>
          <w:tab w:val="left" w:pos="360"/>
        </w:tabs>
        <w:spacing w:line="240" w:lineRule="auto"/>
        <w:rPr>
          <w:b/>
          <w:color w:val="000000"/>
          <w:szCs w:val="26"/>
        </w:rPr>
      </w:pPr>
    </w:p>
    <w:p w:rsidR="00CF0727" w:rsidRDefault="00CF0727" w:rsidP="00CF0727">
      <w:pPr>
        <w:spacing w:after="120"/>
        <w:ind w:right="-6"/>
        <w:jc w:val="center"/>
        <w:rPr>
          <w:i/>
          <w:color w:val="000000"/>
          <w:szCs w:val="26"/>
        </w:rPr>
      </w:pPr>
      <w:r w:rsidRPr="000E2676">
        <w:rPr>
          <w:b/>
          <w:color w:val="000000"/>
          <w:szCs w:val="26"/>
        </w:rPr>
        <w:t xml:space="preserve">Table </w:t>
      </w:r>
      <w:r>
        <w:rPr>
          <w:b/>
          <w:color w:val="000000"/>
          <w:szCs w:val="26"/>
        </w:rPr>
        <w:t>6</w:t>
      </w:r>
      <w:r>
        <w:rPr>
          <w:color w:val="000000"/>
          <w:szCs w:val="26"/>
        </w:rPr>
        <w:t xml:space="preserve">.  </w:t>
      </w:r>
      <w:r>
        <w:rPr>
          <w:i/>
          <w:color w:val="000000"/>
          <w:szCs w:val="26"/>
        </w:rPr>
        <w:t>Assessment of accuracy using different criteria</w:t>
      </w:r>
      <w:r w:rsidRPr="002A4545">
        <w:rPr>
          <w:i/>
          <w:color w:val="000000"/>
          <w:szCs w:val="26"/>
        </w:rPr>
        <w:t xml:space="preserve">: </w:t>
      </w:r>
      <w:r>
        <w:rPr>
          <w:i/>
          <w:color w:val="000000"/>
          <w:szCs w:val="26"/>
        </w:rPr>
        <w:t xml:space="preserve">input coefficients for 20 </w:t>
      </w:r>
      <w:r w:rsidRPr="00143220">
        <w:rPr>
          <w:i/>
          <w:color w:val="000000"/>
          <w:szCs w:val="26"/>
        </w:rPr>
        <w:t>Finnish regions in 199</w:t>
      </w:r>
      <w:r>
        <w:rPr>
          <w:i/>
          <w:color w:val="000000"/>
          <w:szCs w:val="26"/>
        </w:rPr>
        <w:t>5 (unweighted</w:t>
      </w:r>
      <w:r w:rsidRPr="00264820">
        <w:rPr>
          <w:i/>
          <w:color w:val="000000"/>
          <w:szCs w:val="26"/>
        </w:rPr>
        <w:t>)</w:t>
      </w:r>
    </w:p>
    <w:tbl>
      <w:tblPr>
        <w:tblW w:w="8882" w:type="dxa"/>
        <w:jc w:val="center"/>
        <w:tblInd w:w="2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BF"/>
      </w:tblPr>
      <w:tblGrid>
        <w:gridCol w:w="1701"/>
        <w:gridCol w:w="1221"/>
        <w:gridCol w:w="1259"/>
        <w:gridCol w:w="1276"/>
        <w:gridCol w:w="1275"/>
        <w:gridCol w:w="1134"/>
        <w:gridCol w:w="1016"/>
      </w:tblGrid>
      <w:tr w:rsidR="00CF0727" w:rsidTr="000A009C">
        <w:trPr>
          <w:trHeight w:val="375"/>
          <w:jc w:val="center"/>
        </w:trPr>
        <w:tc>
          <w:tcPr>
            <w:tcW w:w="1701" w:type="dxa"/>
            <w:vMerge w:val="restart"/>
          </w:tcPr>
          <w:p w:rsidR="00CF0727" w:rsidRPr="00C8591E" w:rsidRDefault="00CF0727" w:rsidP="000A009C">
            <w:pPr>
              <w:pStyle w:val="Normaali1"/>
              <w:spacing w:before="60" w:after="60" w:line="240" w:lineRule="auto"/>
              <w:ind w:left="5" w:right="125"/>
              <w:rPr>
                <w:rFonts w:ascii="Times New Roman" w:hAnsi="Times New Roman"/>
                <w:szCs w:val="24"/>
              </w:rPr>
            </w:pPr>
          </w:p>
          <w:p w:rsidR="00CF0727" w:rsidRPr="00C8591E" w:rsidRDefault="00CF0727" w:rsidP="000A009C">
            <w:pPr>
              <w:pStyle w:val="Normaali1"/>
              <w:spacing w:before="60" w:after="60" w:line="240" w:lineRule="auto"/>
              <w:ind w:left="-4" w:right="125"/>
              <w:rPr>
                <w:rFonts w:ascii="Times New Roman" w:hAnsi="Times New Roman"/>
                <w:szCs w:val="24"/>
              </w:rPr>
            </w:pPr>
            <w:r w:rsidRPr="00C8591E">
              <w:rPr>
                <w:rFonts w:ascii="Times New Roman" w:hAnsi="Times New Roman"/>
                <w:szCs w:val="24"/>
              </w:rPr>
              <w:t>Method</w:t>
            </w:r>
          </w:p>
        </w:tc>
        <w:tc>
          <w:tcPr>
            <w:tcW w:w="7181" w:type="dxa"/>
            <w:gridSpan w:val="6"/>
          </w:tcPr>
          <w:p w:rsidR="00CF0727" w:rsidRPr="00C8591E" w:rsidRDefault="00CF0727" w:rsidP="000A009C">
            <w:pPr>
              <w:pStyle w:val="Normaali1"/>
              <w:spacing w:before="60" w:after="60" w:line="240" w:lineRule="auto"/>
              <w:ind w:left="-37" w:right="284"/>
              <w:jc w:val="center"/>
              <w:rPr>
                <w:rFonts w:ascii="Times New Roman" w:hAnsi="Times New Roman"/>
                <w:szCs w:val="24"/>
              </w:rPr>
            </w:pPr>
            <w:r w:rsidRPr="00C8591E">
              <w:rPr>
                <w:rFonts w:ascii="Times New Roman" w:hAnsi="Times New Roman"/>
                <w:szCs w:val="24"/>
              </w:rPr>
              <w:t>Criterion</w:t>
            </w:r>
          </w:p>
        </w:tc>
      </w:tr>
      <w:tr w:rsidR="00CF0727" w:rsidTr="000A009C">
        <w:trPr>
          <w:trHeight w:val="375"/>
          <w:jc w:val="center"/>
        </w:trPr>
        <w:tc>
          <w:tcPr>
            <w:tcW w:w="1701" w:type="dxa"/>
            <w:vMerge/>
          </w:tcPr>
          <w:p w:rsidR="00CF0727" w:rsidRPr="00C8591E" w:rsidRDefault="00CF0727" w:rsidP="000A009C">
            <w:pPr>
              <w:pStyle w:val="Normaali1"/>
              <w:tabs>
                <w:tab w:val="left" w:pos="360"/>
                <w:tab w:val="left" w:pos="972"/>
              </w:tabs>
              <w:spacing w:before="60" w:after="60" w:line="240" w:lineRule="auto"/>
              <w:ind w:left="397" w:right="284"/>
              <w:rPr>
                <w:rFonts w:ascii="Times New Roman" w:hAnsi="Times New Roman"/>
                <w:szCs w:val="24"/>
              </w:rPr>
            </w:pPr>
          </w:p>
        </w:tc>
        <w:tc>
          <w:tcPr>
            <w:tcW w:w="1221" w:type="dxa"/>
          </w:tcPr>
          <w:p w:rsidR="00CF0727" w:rsidRPr="008C029F" w:rsidRDefault="00CF0727" w:rsidP="000A009C">
            <w:pPr>
              <w:pStyle w:val="Normaali1"/>
              <w:spacing w:before="60" w:after="60" w:line="240" w:lineRule="auto"/>
              <w:ind w:right="26" w:hanging="5"/>
              <w:jc w:val="center"/>
              <w:rPr>
                <w:rFonts w:ascii="Times New Roman" w:hAnsi="Times New Roman"/>
                <w:szCs w:val="24"/>
                <w:vertAlign w:val="superscript"/>
              </w:rPr>
            </w:pPr>
            <w:r>
              <w:rPr>
                <w:rFonts w:ascii="Times New Roman" w:hAnsi="Times New Roman"/>
                <w:color w:val="000000"/>
                <w:szCs w:val="24"/>
              </w:rPr>
              <w:t>γ</w:t>
            </w:r>
            <w:r w:rsidRPr="00C8591E">
              <w:rPr>
                <w:rFonts w:ascii="Times New Roman" w:hAnsi="Times New Roman"/>
                <w:color w:val="000000"/>
                <w:szCs w:val="24"/>
                <w:vertAlign w:val="subscript"/>
              </w:rPr>
              <w:t>1</w:t>
            </w:r>
            <w:r>
              <w:rPr>
                <w:rFonts w:ascii="Times New Roman" w:hAnsi="Times New Roman"/>
                <w:color w:val="000000"/>
                <w:szCs w:val="24"/>
              </w:rPr>
              <w:t xml:space="preserve"> </w:t>
            </w:r>
            <w:r w:rsidRPr="00C8591E">
              <w:rPr>
                <w:rFonts w:ascii="Times New Roman" w:hAnsi="Times New Roman"/>
                <w:color w:val="000000"/>
                <w:szCs w:val="24"/>
              </w:rPr>
              <w:t>× 10</w:t>
            </w:r>
            <w:r>
              <w:rPr>
                <w:rFonts w:ascii="Times New Roman" w:hAnsi="Times New Roman"/>
                <w:color w:val="000000"/>
                <w:szCs w:val="24"/>
                <w:vertAlign w:val="superscript"/>
              </w:rPr>
              <w:t>3</w:t>
            </w:r>
          </w:p>
        </w:tc>
        <w:tc>
          <w:tcPr>
            <w:tcW w:w="1259" w:type="dxa"/>
            <w:shd w:val="clear" w:color="auto" w:fill="auto"/>
          </w:tcPr>
          <w:p w:rsidR="00CF0727" w:rsidRPr="00580391" w:rsidRDefault="00CF0727" w:rsidP="000A009C">
            <w:pPr>
              <w:pStyle w:val="Normaali1"/>
              <w:spacing w:before="60" w:after="60" w:line="240" w:lineRule="auto"/>
              <w:ind w:left="-115" w:right="-115"/>
              <w:jc w:val="center"/>
              <w:rPr>
                <w:rFonts w:ascii="Times New Roman" w:hAnsi="Times New Roman"/>
                <w:szCs w:val="24"/>
              </w:rPr>
            </w:pPr>
            <w:r>
              <w:rPr>
                <w:rFonts w:ascii="Times New Roman" w:hAnsi="Times New Roman"/>
                <w:color w:val="000000"/>
                <w:szCs w:val="24"/>
              </w:rPr>
              <w:t xml:space="preserve">mse </w:t>
            </w:r>
            <w:r w:rsidRPr="00C8591E">
              <w:rPr>
                <w:rFonts w:ascii="Times New Roman" w:hAnsi="Times New Roman"/>
                <w:color w:val="000000"/>
                <w:szCs w:val="24"/>
              </w:rPr>
              <w:t>× 10</w:t>
            </w:r>
            <w:r>
              <w:rPr>
                <w:rFonts w:ascii="Times New Roman" w:hAnsi="Times New Roman"/>
                <w:color w:val="000000"/>
                <w:szCs w:val="24"/>
                <w:vertAlign w:val="superscript"/>
              </w:rPr>
              <w:t>3</w:t>
            </w:r>
          </w:p>
        </w:tc>
        <w:tc>
          <w:tcPr>
            <w:tcW w:w="1276" w:type="dxa"/>
          </w:tcPr>
          <w:p w:rsidR="00CF0727" w:rsidRPr="00C8591E" w:rsidRDefault="00CF0727" w:rsidP="000A009C">
            <w:pPr>
              <w:pStyle w:val="Normaali1"/>
              <w:spacing w:before="60" w:after="60" w:line="240" w:lineRule="auto"/>
              <w:ind w:right="26" w:hanging="5"/>
              <w:jc w:val="center"/>
              <w:rPr>
                <w:rFonts w:ascii="Times New Roman" w:hAnsi="Times New Roman"/>
                <w:szCs w:val="24"/>
              </w:rPr>
            </w:pPr>
            <w:r>
              <w:rPr>
                <w:rFonts w:ascii="Times New Roman" w:hAnsi="Times New Roman"/>
                <w:color w:val="000000"/>
                <w:szCs w:val="24"/>
              </w:rPr>
              <w:t>γ</w:t>
            </w:r>
            <w:r>
              <w:rPr>
                <w:rFonts w:ascii="Times New Roman" w:hAnsi="Times New Roman"/>
                <w:color w:val="000000"/>
                <w:szCs w:val="24"/>
                <w:vertAlign w:val="subscript"/>
              </w:rPr>
              <w:t>2</w:t>
            </w:r>
            <w:r>
              <w:rPr>
                <w:rFonts w:ascii="Times New Roman" w:hAnsi="Times New Roman"/>
                <w:color w:val="000000"/>
                <w:szCs w:val="24"/>
              </w:rPr>
              <w:t xml:space="preserve"> </w:t>
            </w:r>
            <w:r w:rsidRPr="00C8591E">
              <w:rPr>
                <w:rFonts w:ascii="Times New Roman" w:hAnsi="Times New Roman"/>
                <w:color w:val="000000"/>
                <w:szCs w:val="24"/>
              </w:rPr>
              <w:t>× 10</w:t>
            </w:r>
            <w:r>
              <w:rPr>
                <w:rFonts w:ascii="Times New Roman" w:hAnsi="Times New Roman"/>
                <w:color w:val="000000"/>
                <w:szCs w:val="24"/>
              </w:rPr>
              <w:t>0</w:t>
            </w:r>
          </w:p>
        </w:tc>
        <w:tc>
          <w:tcPr>
            <w:tcW w:w="1275" w:type="dxa"/>
          </w:tcPr>
          <w:p w:rsidR="00CF0727" w:rsidRPr="00C8591E" w:rsidRDefault="00CF0727" w:rsidP="000A009C">
            <w:pPr>
              <w:pStyle w:val="Normaali1"/>
              <w:spacing w:before="60" w:after="60" w:line="240" w:lineRule="auto"/>
              <w:ind w:left="-115" w:right="-115"/>
              <w:jc w:val="center"/>
              <w:rPr>
                <w:rFonts w:ascii="Times New Roman" w:hAnsi="Times New Roman"/>
                <w:szCs w:val="24"/>
              </w:rPr>
            </w:pPr>
            <w:r>
              <w:rPr>
                <w:rFonts w:ascii="Times New Roman" w:hAnsi="Times New Roman"/>
                <w:color w:val="000000"/>
                <w:szCs w:val="24"/>
              </w:rPr>
              <w:t>γ</w:t>
            </w:r>
            <w:r>
              <w:rPr>
                <w:rFonts w:ascii="Times New Roman" w:hAnsi="Times New Roman"/>
                <w:color w:val="000000"/>
                <w:szCs w:val="24"/>
                <w:vertAlign w:val="subscript"/>
              </w:rPr>
              <w:t>3</w:t>
            </w:r>
            <w:r>
              <w:rPr>
                <w:rFonts w:ascii="Times New Roman" w:hAnsi="Times New Roman"/>
                <w:color w:val="000000"/>
                <w:szCs w:val="24"/>
              </w:rPr>
              <w:t xml:space="preserve"> </w:t>
            </w:r>
            <w:r w:rsidRPr="00C8591E">
              <w:rPr>
                <w:rFonts w:ascii="Times New Roman" w:hAnsi="Times New Roman"/>
                <w:color w:val="000000"/>
                <w:szCs w:val="24"/>
              </w:rPr>
              <w:t>× 10</w:t>
            </w:r>
            <w:r>
              <w:rPr>
                <w:rFonts w:ascii="Times New Roman" w:hAnsi="Times New Roman"/>
                <w:color w:val="000000"/>
                <w:szCs w:val="24"/>
              </w:rPr>
              <w:t>0</w:t>
            </w:r>
          </w:p>
        </w:tc>
        <w:tc>
          <w:tcPr>
            <w:tcW w:w="1134" w:type="dxa"/>
          </w:tcPr>
          <w:p w:rsidR="00CF0727" w:rsidRPr="00C8591E" w:rsidRDefault="00CF0727" w:rsidP="000A009C">
            <w:pPr>
              <w:pStyle w:val="Normaali1"/>
              <w:spacing w:before="60" w:after="60" w:line="240" w:lineRule="auto"/>
              <w:ind w:right="26" w:hanging="5"/>
              <w:jc w:val="center"/>
              <w:rPr>
                <w:rFonts w:ascii="Times New Roman" w:hAnsi="Times New Roman"/>
                <w:szCs w:val="24"/>
              </w:rPr>
            </w:pPr>
            <w:r>
              <w:rPr>
                <w:rFonts w:ascii="Times New Roman" w:hAnsi="Times New Roman"/>
                <w:color w:val="000000"/>
                <w:szCs w:val="24"/>
              </w:rPr>
              <w:t>γ</w:t>
            </w:r>
            <w:r>
              <w:rPr>
                <w:rFonts w:ascii="Times New Roman" w:hAnsi="Times New Roman"/>
                <w:color w:val="000000"/>
                <w:szCs w:val="24"/>
                <w:vertAlign w:val="subscript"/>
              </w:rPr>
              <w:t>4</w:t>
            </w:r>
          </w:p>
        </w:tc>
        <w:tc>
          <w:tcPr>
            <w:tcW w:w="1016" w:type="dxa"/>
          </w:tcPr>
          <w:p w:rsidR="00CF0727" w:rsidRPr="00C8591E" w:rsidRDefault="00CF0727" w:rsidP="000A009C">
            <w:pPr>
              <w:pStyle w:val="Normaali1"/>
              <w:spacing w:before="60" w:after="60" w:line="240" w:lineRule="auto"/>
              <w:ind w:left="-115" w:right="-115"/>
              <w:jc w:val="center"/>
              <w:rPr>
                <w:rFonts w:ascii="Times New Roman" w:hAnsi="Times New Roman"/>
                <w:szCs w:val="24"/>
              </w:rPr>
            </w:pPr>
            <w:r>
              <w:rPr>
                <w:rFonts w:ascii="Times New Roman" w:hAnsi="Times New Roman"/>
                <w:color w:val="000000"/>
                <w:szCs w:val="24"/>
              </w:rPr>
              <w:t>γ</w:t>
            </w:r>
            <w:r>
              <w:rPr>
                <w:rFonts w:ascii="Times New Roman" w:hAnsi="Times New Roman"/>
                <w:color w:val="000000"/>
                <w:szCs w:val="24"/>
                <w:vertAlign w:val="subscript"/>
              </w:rPr>
              <w:t>5</w:t>
            </w:r>
          </w:p>
        </w:tc>
      </w:tr>
      <w:tr w:rsidR="00CF0727" w:rsidTr="000A009C">
        <w:trPr>
          <w:jc w:val="center"/>
        </w:trPr>
        <w:tc>
          <w:tcPr>
            <w:tcW w:w="1701" w:type="dxa"/>
          </w:tcPr>
          <w:p w:rsidR="00CF0727" w:rsidRPr="00C8591E" w:rsidRDefault="00CF0727" w:rsidP="000A009C">
            <w:pPr>
              <w:pStyle w:val="Normaali1"/>
              <w:tabs>
                <w:tab w:val="left" w:pos="360"/>
                <w:tab w:val="left" w:pos="972"/>
              </w:tabs>
              <w:spacing w:before="60" w:after="60" w:line="240" w:lineRule="auto"/>
              <w:ind w:left="403" w:right="288" w:hanging="397"/>
              <w:rPr>
                <w:rFonts w:ascii="Times New Roman" w:hAnsi="Times New Roman"/>
                <w:szCs w:val="24"/>
              </w:rPr>
            </w:pPr>
            <w:r w:rsidRPr="00C8591E">
              <w:rPr>
                <w:rFonts w:ascii="Times New Roman" w:hAnsi="Times New Roman"/>
                <w:szCs w:val="24"/>
              </w:rPr>
              <w:t>SLQ</w:t>
            </w:r>
          </w:p>
        </w:tc>
        <w:tc>
          <w:tcPr>
            <w:tcW w:w="1221" w:type="dxa"/>
          </w:tcPr>
          <w:p w:rsidR="00CF0727" w:rsidRPr="00C8591E" w:rsidRDefault="00CF0727" w:rsidP="000A009C">
            <w:pPr>
              <w:pStyle w:val="Normaali1"/>
              <w:tabs>
                <w:tab w:val="decimal" w:pos="380"/>
              </w:tabs>
              <w:spacing w:before="60" w:after="60" w:line="240" w:lineRule="auto"/>
              <w:ind w:left="-115" w:right="-115"/>
              <w:jc w:val="left"/>
              <w:rPr>
                <w:rFonts w:ascii="Times New Roman" w:hAnsi="Times New Roman"/>
                <w:szCs w:val="24"/>
              </w:rPr>
            </w:pPr>
            <w:r>
              <w:rPr>
                <w:rFonts w:ascii="Times New Roman" w:hAnsi="Times New Roman"/>
                <w:szCs w:val="24"/>
              </w:rPr>
              <w:t>2.905</w:t>
            </w:r>
          </w:p>
        </w:tc>
        <w:tc>
          <w:tcPr>
            <w:tcW w:w="1259" w:type="dxa"/>
          </w:tcPr>
          <w:p w:rsidR="00CF0727" w:rsidRPr="00293FD6" w:rsidRDefault="00CF0727" w:rsidP="000A009C">
            <w:pPr>
              <w:pStyle w:val="Normaali1"/>
              <w:tabs>
                <w:tab w:val="decimal" w:pos="380"/>
              </w:tabs>
              <w:spacing w:before="60" w:after="60" w:line="240" w:lineRule="auto"/>
              <w:ind w:left="-115" w:right="-115"/>
              <w:jc w:val="left"/>
              <w:rPr>
                <w:rFonts w:ascii="Times New Roman" w:hAnsi="Times New Roman"/>
                <w:szCs w:val="24"/>
              </w:rPr>
            </w:pPr>
            <w:r w:rsidRPr="00293FD6">
              <w:rPr>
                <w:rFonts w:ascii="Times New Roman" w:hAnsi="Times New Roman"/>
                <w:szCs w:val="24"/>
              </w:rPr>
              <w:t>0.331</w:t>
            </w:r>
          </w:p>
        </w:tc>
        <w:tc>
          <w:tcPr>
            <w:tcW w:w="1276"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sidRPr="00C8591E">
              <w:rPr>
                <w:rFonts w:ascii="Times New Roman" w:hAnsi="Times New Roman"/>
                <w:szCs w:val="24"/>
              </w:rPr>
              <w:t>0.</w:t>
            </w:r>
            <w:r>
              <w:rPr>
                <w:rFonts w:ascii="Times New Roman" w:hAnsi="Times New Roman"/>
                <w:szCs w:val="24"/>
              </w:rPr>
              <w:t>474</w:t>
            </w:r>
          </w:p>
        </w:tc>
        <w:tc>
          <w:tcPr>
            <w:tcW w:w="1275"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Pr>
                <w:rFonts w:ascii="Times New Roman" w:hAnsi="Times New Roman"/>
                <w:szCs w:val="24"/>
              </w:rPr>
              <w:t>2.986</w:t>
            </w:r>
          </w:p>
        </w:tc>
        <w:tc>
          <w:tcPr>
            <w:tcW w:w="1134" w:type="dxa"/>
            <w:vAlign w:val="bottom"/>
          </w:tcPr>
          <w:p w:rsidR="00CF0727" w:rsidRPr="00C8591E"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78</w:t>
            </w:r>
            <w:r w:rsidRPr="00C8591E">
              <w:rPr>
                <w:rFonts w:eastAsia="Times New Roman"/>
                <w:bCs/>
              </w:rPr>
              <w:t>.</w:t>
            </w:r>
            <w:r>
              <w:rPr>
                <w:rFonts w:eastAsia="Times New Roman"/>
                <w:bCs/>
              </w:rPr>
              <w:t>9</w:t>
            </w:r>
          </w:p>
        </w:tc>
        <w:tc>
          <w:tcPr>
            <w:tcW w:w="1016" w:type="dxa"/>
            <w:vAlign w:val="bottom"/>
          </w:tcPr>
          <w:p w:rsidR="00CF0727" w:rsidRPr="00C8591E"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75</w:t>
            </w:r>
            <w:r w:rsidRPr="00C8591E">
              <w:rPr>
                <w:rFonts w:eastAsia="Times New Roman"/>
                <w:bCs/>
              </w:rPr>
              <w:t>.</w:t>
            </w:r>
            <w:r>
              <w:rPr>
                <w:rFonts w:eastAsia="Times New Roman"/>
                <w:bCs/>
              </w:rPr>
              <w:t>3</w:t>
            </w:r>
          </w:p>
        </w:tc>
      </w:tr>
      <w:tr w:rsidR="00CF0727" w:rsidTr="000A009C">
        <w:trPr>
          <w:jc w:val="center"/>
        </w:trPr>
        <w:tc>
          <w:tcPr>
            <w:tcW w:w="1701" w:type="dxa"/>
          </w:tcPr>
          <w:p w:rsidR="00CF0727" w:rsidRPr="00C8591E" w:rsidRDefault="00CF0727" w:rsidP="000A009C">
            <w:pPr>
              <w:pStyle w:val="Normaali1"/>
              <w:tabs>
                <w:tab w:val="left" w:pos="360"/>
                <w:tab w:val="left" w:pos="972"/>
              </w:tabs>
              <w:spacing w:before="60" w:after="60" w:line="240" w:lineRule="auto"/>
              <w:ind w:left="403" w:right="288" w:hanging="397"/>
              <w:rPr>
                <w:rFonts w:ascii="Times New Roman" w:hAnsi="Times New Roman"/>
                <w:szCs w:val="24"/>
              </w:rPr>
            </w:pPr>
            <w:r w:rsidRPr="00C8591E">
              <w:rPr>
                <w:rFonts w:ascii="Times New Roman" w:hAnsi="Times New Roman"/>
                <w:szCs w:val="24"/>
              </w:rPr>
              <w:t>CILQ</w:t>
            </w:r>
          </w:p>
        </w:tc>
        <w:tc>
          <w:tcPr>
            <w:tcW w:w="1221" w:type="dxa"/>
          </w:tcPr>
          <w:p w:rsidR="00CF0727" w:rsidRPr="00C8591E" w:rsidRDefault="00CF0727" w:rsidP="000A009C">
            <w:pPr>
              <w:pStyle w:val="Normaali1"/>
              <w:tabs>
                <w:tab w:val="decimal" w:pos="380"/>
              </w:tabs>
              <w:spacing w:before="60" w:after="60" w:line="240" w:lineRule="auto"/>
              <w:ind w:left="-115" w:right="-115"/>
              <w:jc w:val="left"/>
              <w:rPr>
                <w:rFonts w:ascii="Times New Roman" w:hAnsi="Times New Roman"/>
                <w:szCs w:val="24"/>
              </w:rPr>
            </w:pPr>
            <w:r>
              <w:rPr>
                <w:rFonts w:ascii="Times New Roman" w:hAnsi="Times New Roman"/>
                <w:szCs w:val="24"/>
              </w:rPr>
              <w:t>3.119</w:t>
            </w:r>
          </w:p>
        </w:tc>
        <w:tc>
          <w:tcPr>
            <w:tcW w:w="1259" w:type="dxa"/>
          </w:tcPr>
          <w:p w:rsidR="00CF0727" w:rsidRDefault="00CF0727" w:rsidP="000A009C">
            <w:pPr>
              <w:pStyle w:val="Normaali1"/>
              <w:tabs>
                <w:tab w:val="decimal" w:pos="380"/>
              </w:tabs>
              <w:spacing w:before="60" w:after="60" w:line="240" w:lineRule="auto"/>
              <w:ind w:left="-115" w:right="-115"/>
              <w:jc w:val="left"/>
              <w:rPr>
                <w:rFonts w:ascii="Times New Roman" w:hAnsi="Times New Roman"/>
                <w:szCs w:val="24"/>
              </w:rPr>
            </w:pPr>
            <w:r>
              <w:rPr>
                <w:rFonts w:ascii="Times New Roman" w:hAnsi="Times New Roman"/>
                <w:szCs w:val="24"/>
              </w:rPr>
              <w:t>0.318</w:t>
            </w:r>
          </w:p>
        </w:tc>
        <w:tc>
          <w:tcPr>
            <w:tcW w:w="1276"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sidRPr="00C8591E">
              <w:rPr>
                <w:rFonts w:ascii="Times New Roman" w:hAnsi="Times New Roman"/>
                <w:szCs w:val="24"/>
              </w:rPr>
              <w:t>0.</w:t>
            </w:r>
            <w:r>
              <w:rPr>
                <w:rFonts w:ascii="Times New Roman" w:hAnsi="Times New Roman"/>
                <w:szCs w:val="24"/>
              </w:rPr>
              <w:t>510</w:t>
            </w:r>
          </w:p>
        </w:tc>
        <w:tc>
          <w:tcPr>
            <w:tcW w:w="1275"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Pr>
                <w:rFonts w:ascii="Times New Roman" w:hAnsi="Times New Roman"/>
                <w:szCs w:val="24"/>
              </w:rPr>
              <w:t>2.886</w:t>
            </w:r>
          </w:p>
        </w:tc>
        <w:tc>
          <w:tcPr>
            <w:tcW w:w="1134" w:type="dxa"/>
            <w:vAlign w:val="bottom"/>
          </w:tcPr>
          <w:p w:rsidR="00CF0727" w:rsidRPr="00C8591E"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85.2</w:t>
            </w:r>
          </w:p>
        </w:tc>
        <w:tc>
          <w:tcPr>
            <w:tcW w:w="1016" w:type="dxa"/>
            <w:vAlign w:val="bottom"/>
          </w:tcPr>
          <w:p w:rsidR="00CF0727" w:rsidRPr="00C8591E"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75.2</w:t>
            </w:r>
          </w:p>
        </w:tc>
      </w:tr>
      <w:tr w:rsidR="00CF0727" w:rsidTr="000A009C">
        <w:trPr>
          <w:jc w:val="center"/>
        </w:trPr>
        <w:tc>
          <w:tcPr>
            <w:tcW w:w="1701" w:type="dxa"/>
          </w:tcPr>
          <w:p w:rsidR="00CF0727" w:rsidRPr="00C8591E" w:rsidRDefault="00CF0727" w:rsidP="000A009C">
            <w:pPr>
              <w:pStyle w:val="Normaali1"/>
              <w:spacing w:before="60" w:after="60" w:line="240" w:lineRule="auto"/>
              <w:ind w:right="-84" w:firstLine="6"/>
              <w:rPr>
                <w:rFonts w:ascii="Times New Roman" w:hAnsi="Times New Roman"/>
                <w:szCs w:val="24"/>
              </w:rPr>
            </w:pPr>
            <w:r w:rsidRPr="00C8591E">
              <w:rPr>
                <w:rFonts w:ascii="Times New Roman" w:hAnsi="Times New Roman"/>
                <w:szCs w:val="24"/>
              </w:rPr>
              <w:t>FLQ (</w:t>
            </w:r>
            <w:r w:rsidRPr="00C8591E">
              <w:rPr>
                <w:rFonts w:ascii="Times New Roman" w:hAnsi="Times New Roman"/>
                <w:color w:val="000000"/>
                <w:szCs w:val="24"/>
                <w:lang w:val="en-GB"/>
              </w:rPr>
              <w:t>δ = 0.</w:t>
            </w:r>
            <w:r>
              <w:rPr>
                <w:rFonts w:ascii="Times New Roman" w:hAnsi="Times New Roman"/>
                <w:color w:val="000000"/>
                <w:szCs w:val="24"/>
                <w:lang w:val="en-GB"/>
              </w:rPr>
              <w:t>15</w:t>
            </w:r>
            <w:r w:rsidRPr="00C8591E">
              <w:rPr>
                <w:rFonts w:ascii="Times New Roman" w:hAnsi="Times New Roman"/>
                <w:szCs w:val="24"/>
              </w:rPr>
              <w:t>)</w:t>
            </w:r>
          </w:p>
        </w:tc>
        <w:tc>
          <w:tcPr>
            <w:tcW w:w="1221" w:type="dxa"/>
          </w:tcPr>
          <w:p w:rsidR="00CF0727" w:rsidRPr="00C8591E" w:rsidRDefault="00CF0727" w:rsidP="000A009C">
            <w:pPr>
              <w:pStyle w:val="Normaali1"/>
              <w:tabs>
                <w:tab w:val="decimal" w:pos="380"/>
              </w:tabs>
              <w:spacing w:before="60" w:after="60" w:line="240" w:lineRule="auto"/>
              <w:ind w:right="5"/>
              <w:rPr>
                <w:rFonts w:ascii="Times New Roman" w:hAnsi="Times New Roman"/>
                <w:szCs w:val="24"/>
              </w:rPr>
            </w:pPr>
            <w:r>
              <w:rPr>
                <w:rFonts w:ascii="Times New Roman" w:hAnsi="Times New Roman"/>
                <w:szCs w:val="24"/>
              </w:rPr>
              <w:t>1.293</w:t>
            </w:r>
          </w:p>
        </w:tc>
        <w:tc>
          <w:tcPr>
            <w:tcW w:w="1259" w:type="dxa"/>
            <w:vAlign w:val="bottom"/>
          </w:tcPr>
          <w:p w:rsidR="00CF0727" w:rsidRDefault="00CF0727" w:rsidP="000A009C">
            <w:pPr>
              <w:widowControl w:val="0"/>
              <w:tabs>
                <w:tab w:val="decimal" w:pos="380"/>
              </w:tabs>
              <w:adjustRightInd w:val="0"/>
              <w:spacing w:before="36" w:after="36"/>
              <w:ind w:left="-79" w:right="-108"/>
              <w:jc w:val="left"/>
              <w:textAlignment w:val="baseline"/>
              <w:rPr>
                <w:rFonts w:eastAsia="Times New Roman"/>
                <w:bCs/>
              </w:rPr>
            </w:pPr>
            <w:r>
              <w:rPr>
                <w:rFonts w:eastAsia="Times New Roman"/>
                <w:bCs/>
              </w:rPr>
              <w:t>0.265</w:t>
            </w:r>
          </w:p>
        </w:tc>
        <w:tc>
          <w:tcPr>
            <w:tcW w:w="1276"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sidRPr="00C8591E">
              <w:rPr>
                <w:rFonts w:ascii="Times New Roman" w:hAnsi="Times New Roman"/>
                <w:szCs w:val="24"/>
              </w:rPr>
              <w:t>0.</w:t>
            </w:r>
            <w:r>
              <w:rPr>
                <w:rFonts w:ascii="Times New Roman" w:hAnsi="Times New Roman"/>
                <w:szCs w:val="24"/>
              </w:rPr>
              <w:t>441</w:t>
            </w:r>
          </w:p>
        </w:tc>
        <w:tc>
          <w:tcPr>
            <w:tcW w:w="1275"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Pr>
                <w:rFonts w:ascii="Times New Roman" w:hAnsi="Times New Roman"/>
                <w:szCs w:val="24"/>
              </w:rPr>
              <w:t>2.770</w:t>
            </w:r>
          </w:p>
        </w:tc>
        <w:tc>
          <w:tcPr>
            <w:tcW w:w="1134" w:type="dxa"/>
            <w:vAlign w:val="bottom"/>
          </w:tcPr>
          <w:p w:rsidR="00CF0727" w:rsidRPr="00C8591E"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73.3</w:t>
            </w:r>
          </w:p>
        </w:tc>
        <w:tc>
          <w:tcPr>
            <w:tcW w:w="1016" w:type="dxa"/>
            <w:vAlign w:val="bottom"/>
          </w:tcPr>
          <w:p w:rsidR="00CF0727" w:rsidRPr="00C8591E"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67.6</w:t>
            </w:r>
          </w:p>
        </w:tc>
      </w:tr>
      <w:tr w:rsidR="00CF0727" w:rsidTr="000A009C">
        <w:trPr>
          <w:jc w:val="center"/>
        </w:trPr>
        <w:tc>
          <w:tcPr>
            <w:tcW w:w="1701" w:type="dxa"/>
          </w:tcPr>
          <w:p w:rsidR="00CF0727" w:rsidRPr="00C8591E" w:rsidRDefault="00CF0727" w:rsidP="000A009C">
            <w:pPr>
              <w:pStyle w:val="Normaali1"/>
              <w:spacing w:before="60" w:after="60" w:line="240" w:lineRule="auto"/>
              <w:ind w:right="-84" w:firstLine="6"/>
              <w:rPr>
                <w:rFonts w:ascii="Times New Roman" w:hAnsi="Times New Roman"/>
                <w:szCs w:val="24"/>
              </w:rPr>
            </w:pPr>
            <w:r w:rsidRPr="00C8591E">
              <w:rPr>
                <w:rFonts w:ascii="Times New Roman" w:hAnsi="Times New Roman"/>
                <w:szCs w:val="24"/>
              </w:rPr>
              <w:t>FLQ (</w:t>
            </w:r>
            <w:r w:rsidRPr="00C8591E">
              <w:rPr>
                <w:rFonts w:ascii="Times New Roman" w:hAnsi="Times New Roman"/>
                <w:color w:val="000000"/>
                <w:szCs w:val="24"/>
                <w:lang w:val="en-GB"/>
              </w:rPr>
              <w:t>δ = 0.</w:t>
            </w:r>
            <w:r>
              <w:rPr>
                <w:rFonts w:ascii="Times New Roman" w:hAnsi="Times New Roman"/>
                <w:color w:val="000000"/>
                <w:szCs w:val="24"/>
                <w:lang w:val="en-GB"/>
              </w:rPr>
              <w:t>2</w:t>
            </w:r>
            <w:r w:rsidRPr="00C8591E">
              <w:rPr>
                <w:rFonts w:ascii="Times New Roman" w:hAnsi="Times New Roman"/>
                <w:szCs w:val="24"/>
              </w:rPr>
              <w:t>)</w:t>
            </w:r>
          </w:p>
        </w:tc>
        <w:tc>
          <w:tcPr>
            <w:tcW w:w="1221" w:type="dxa"/>
          </w:tcPr>
          <w:p w:rsidR="00CF0727" w:rsidRPr="00C8591E" w:rsidRDefault="00CF0727" w:rsidP="000A009C">
            <w:pPr>
              <w:pStyle w:val="Normaali1"/>
              <w:tabs>
                <w:tab w:val="decimal" w:pos="380"/>
              </w:tabs>
              <w:spacing w:before="60" w:after="60" w:line="240" w:lineRule="auto"/>
              <w:ind w:right="5"/>
              <w:rPr>
                <w:rFonts w:ascii="Times New Roman" w:hAnsi="Times New Roman"/>
                <w:szCs w:val="24"/>
              </w:rPr>
            </w:pPr>
            <w:r>
              <w:rPr>
                <w:rFonts w:ascii="Times New Roman" w:hAnsi="Times New Roman"/>
                <w:szCs w:val="24"/>
              </w:rPr>
              <w:t>0.665</w:t>
            </w:r>
          </w:p>
        </w:tc>
        <w:tc>
          <w:tcPr>
            <w:tcW w:w="1259" w:type="dxa"/>
            <w:vAlign w:val="bottom"/>
          </w:tcPr>
          <w:p w:rsidR="00CF0727" w:rsidRPr="008515C9" w:rsidRDefault="00CF0727" w:rsidP="000A009C">
            <w:pPr>
              <w:widowControl w:val="0"/>
              <w:tabs>
                <w:tab w:val="decimal" w:pos="380"/>
              </w:tabs>
              <w:adjustRightInd w:val="0"/>
              <w:spacing w:before="36" w:after="36"/>
              <w:ind w:left="-79" w:right="-108"/>
              <w:jc w:val="left"/>
              <w:textAlignment w:val="baseline"/>
              <w:rPr>
                <w:rFonts w:eastAsia="Times New Roman"/>
                <w:b/>
                <w:bCs/>
              </w:rPr>
            </w:pPr>
            <w:r>
              <w:rPr>
                <w:rFonts w:eastAsia="Times New Roman"/>
                <w:b/>
                <w:bCs/>
              </w:rPr>
              <w:t>0.261</w:t>
            </w:r>
          </w:p>
        </w:tc>
        <w:tc>
          <w:tcPr>
            <w:tcW w:w="1276"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sidRPr="00C8591E">
              <w:rPr>
                <w:rFonts w:ascii="Times New Roman" w:hAnsi="Times New Roman"/>
                <w:szCs w:val="24"/>
              </w:rPr>
              <w:t>0.</w:t>
            </w:r>
            <w:r>
              <w:rPr>
                <w:rFonts w:ascii="Times New Roman" w:hAnsi="Times New Roman"/>
                <w:szCs w:val="24"/>
              </w:rPr>
              <w:t>428</w:t>
            </w:r>
          </w:p>
        </w:tc>
        <w:tc>
          <w:tcPr>
            <w:tcW w:w="1275" w:type="dxa"/>
          </w:tcPr>
          <w:p w:rsidR="00CF0727" w:rsidRPr="008515C9" w:rsidRDefault="00CF0727" w:rsidP="000A009C">
            <w:pPr>
              <w:pStyle w:val="Normaali1"/>
              <w:tabs>
                <w:tab w:val="right" w:pos="605"/>
              </w:tabs>
              <w:spacing w:before="60" w:after="60" w:line="240" w:lineRule="auto"/>
              <w:ind w:right="5"/>
              <w:jc w:val="center"/>
              <w:rPr>
                <w:rFonts w:ascii="Times New Roman" w:hAnsi="Times New Roman"/>
                <w:szCs w:val="24"/>
              </w:rPr>
            </w:pPr>
            <w:r w:rsidRPr="008515C9">
              <w:rPr>
                <w:rFonts w:ascii="Times New Roman" w:hAnsi="Times New Roman"/>
                <w:szCs w:val="24"/>
              </w:rPr>
              <w:t>2.846</w:t>
            </w:r>
          </w:p>
        </w:tc>
        <w:tc>
          <w:tcPr>
            <w:tcW w:w="1134" w:type="dxa"/>
            <w:vAlign w:val="bottom"/>
          </w:tcPr>
          <w:p w:rsidR="00CF0727" w:rsidRPr="00C8591E"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71.0</w:t>
            </w:r>
          </w:p>
        </w:tc>
        <w:tc>
          <w:tcPr>
            <w:tcW w:w="1016" w:type="dxa"/>
            <w:vAlign w:val="bottom"/>
          </w:tcPr>
          <w:p w:rsidR="00CF0727" w:rsidRPr="008515C9" w:rsidRDefault="00CF0727" w:rsidP="000A009C">
            <w:pPr>
              <w:widowControl w:val="0"/>
              <w:tabs>
                <w:tab w:val="decimal" w:pos="452"/>
              </w:tabs>
              <w:adjustRightInd w:val="0"/>
              <w:spacing w:before="36" w:after="36"/>
              <w:ind w:left="-108" w:right="-108"/>
              <w:jc w:val="left"/>
              <w:textAlignment w:val="baseline"/>
              <w:rPr>
                <w:rFonts w:eastAsia="Times New Roman"/>
                <w:b/>
                <w:bCs/>
              </w:rPr>
            </w:pPr>
            <w:r>
              <w:rPr>
                <w:rFonts w:eastAsia="Times New Roman"/>
                <w:b/>
                <w:bCs/>
              </w:rPr>
              <w:t>66.7</w:t>
            </w:r>
          </w:p>
        </w:tc>
      </w:tr>
      <w:tr w:rsidR="00CF0727" w:rsidTr="000A009C">
        <w:trPr>
          <w:jc w:val="center"/>
        </w:trPr>
        <w:tc>
          <w:tcPr>
            <w:tcW w:w="1701" w:type="dxa"/>
          </w:tcPr>
          <w:p w:rsidR="00CF0727" w:rsidRPr="00C8591E" w:rsidRDefault="00CF0727" w:rsidP="000A009C">
            <w:pPr>
              <w:pStyle w:val="Normaali1"/>
              <w:spacing w:before="60" w:after="60" w:line="240" w:lineRule="auto"/>
              <w:ind w:left="-4" w:right="-84"/>
              <w:rPr>
                <w:rFonts w:ascii="Times New Roman" w:hAnsi="Times New Roman"/>
                <w:szCs w:val="24"/>
              </w:rPr>
            </w:pPr>
            <w:r w:rsidRPr="00C8591E">
              <w:rPr>
                <w:rFonts w:ascii="Times New Roman" w:hAnsi="Times New Roman"/>
                <w:szCs w:val="24"/>
              </w:rPr>
              <w:t>FLQ (</w:t>
            </w:r>
            <w:r w:rsidRPr="00C8591E">
              <w:rPr>
                <w:rFonts w:ascii="Times New Roman" w:hAnsi="Times New Roman"/>
                <w:color w:val="000000"/>
                <w:szCs w:val="24"/>
                <w:lang w:val="en-GB"/>
              </w:rPr>
              <w:t>δ = 0.</w:t>
            </w:r>
            <w:r>
              <w:rPr>
                <w:rFonts w:ascii="Times New Roman" w:hAnsi="Times New Roman"/>
                <w:color w:val="000000"/>
                <w:szCs w:val="24"/>
                <w:lang w:val="en-GB"/>
              </w:rPr>
              <w:t>2</w:t>
            </w:r>
            <w:r w:rsidRPr="00C8591E">
              <w:rPr>
                <w:rFonts w:ascii="Times New Roman" w:hAnsi="Times New Roman"/>
                <w:color w:val="000000"/>
                <w:szCs w:val="24"/>
                <w:lang w:val="en-GB"/>
              </w:rPr>
              <w:t>5</w:t>
            </w:r>
            <w:r w:rsidRPr="00C8591E">
              <w:rPr>
                <w:rFonts w:ascii="Times New Roman" w:hAnsi="Times New Roman"/>
                <w:szCs w:val="24"/>
              </w:rPr>
              <w:t>)</w:t>
            </w:r>
          </w:p>
        </w:tc>
        <w:tc>
          <w:tcPr>
            <w:tcW w:w="1221" w:type="dxa"/>
          </w:tcPr>
          <w:p w:rsidR="00CF0727" w:rsidRPr="00117AA3" w:rsidRDefault="00CF0727" w:rsidP="000A009C">
            <w:pPr>
              <w:pStyle w:val="Normaali1"/>
              <w:tabs>
                <w:tab w:val="decimal" w:pos="380"/>
              </w:tabs>
              <w:spacing w:before="60" w:after="60" w:line="240" w:lineRule="auto"/>
              <w:ind w:right="5"/>
              <w:jc w:val="left"/>
              <w:rPr>
                <w:rFonts w:ascii="Times New Roman" w:hAnsi="Times New Roman"/>
                <w:b/>
                <w:szCs w:val="24"/>
              </w:rPr>
            </w:pPr>
            <w:r>
              <w:rPr>
                <w:rFonts w:ascii="Times New Roman" w:hAnsi="Times New Roman"/>
                <w:b/>
                <w:szCs w:val="24"/>
              </w:rPr>
              <w:t>0.062</w:t>
            </w:r>
          </w:p>
        </w:tc>
        <w:tc>
          <w:tcPr>
            <w:tcW w:w="1259" w:type="dxa"/>
          </w:tcPr>
          <w:p w:rsidR="00CF0727" w:rsidRPr="008515C9" w:rsidRDefault="00CF0727" w:rsidP="000A009C">
            <w:pPr>
              <w:pStyle w:val="Normaali1"/>
              <w:tabs>
                <w:tab w:val="decimal" w:pos="380"/>
              </w:tabs>
              <w:spacing w:before="60" w:after="60" w:line="240" w:lineRule="auto"/>
              <w:ind w:left="-146" w:right="5" w:hanging="10"/>
              <w:jc w:val="left"/>
              <w:rPr>
                <w:rFonts w:ascii="Times New Roman" w:hAnsi="Times New Roman"/>
                <w:szCs w:val="24"/>
              </w:rPr>
            </w:pPr>
            <w:r w:rsidRPr="008515C9">
              <w:rPr>
                <w:rFonts w:ascii="Times New Roman" w:hAnsi="Times New Roman"/>
                <w:szCs w:val="24"/>
              </w:rPr>
              <w:t>0</w:t>
            </w:r>
            <w:r>
              <w:rPr>
                <w:rFonts w:ascii="Times New Roman" w:hAnsi="Times New Roman"/>
                <w:szCs w:val="24"/>
              </w:rPr>
              <w:t>.267</w:t>
            </w:r>
          </w:p>
        </w:tc>
        <w:tc>
          <w:tcPr>
            <w:tcW w:w="1276"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sidRPr="00C8591E">
              <w:rPr>
                <w:rFonts w:ascii="Times New Roman" w:hAnsi="Times New Roman"/>
                <w:szCs w:val="24"/>
              </w:rPr>
              <w:t>0.</w:t>
            </w:r>
            <w:r>
              <w:rPr>
                <w:rFonts w:ascii="Times New Roman" w:hAnsi="Times New Roman"/>
                <w:szCs w:val="24"/>
              </w:rPr>
              <w:t>422</w:t>
            </w:r>
          </w:p>
        </w:tc>
        <w:tc>
          <w:tcPr>
            <w:tcW w:w="1275"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Pr>
                <w:rFonts w:ascii="Times New Roman" w:hAnsi="Times New Roman"/>
                <w:szCs w:val="24"/>
              </w:rPr>
              <w:t>2.996</w:t>
            </w:r>
          </w:p>
        </w:tc>
        <w:tc>
          <w:tcPr>
            <w:tcW w:w="1134" w:type="dxa"/>
          </w:tcPr>
          <w:p w:rsidR="00CF0727" w:rsidRPr="00C8591E" w:rsidRDefault="00CF0727" w:rsidP="000A009C">
            <w:pPr>
              <w:pStyle w:val="Normaali1"/>
              <w:tabs>
                <w:tab w:val="decimal" w:pos="452"/>
              </w:tabs>
              <w:spacing w:before="60" w:after="60" w:line="240" w:lineRule="auto"/>
              <w:ind w:left="-146" w:right="5" w:hanging="10"/>
              <w:jc w:val="left"/>
              <w:rPr>
                <w:rFonts w:ascii="Times New Roman" w:hAnsi="Times New Roman"/>
                <w:szCs w:val="24"/>
              </w:rPr>
            </w:pPr>
            <w:r>
              <w:rPr>
                <w:rFonts w:ascii="Times New Roman" w:hAnsi="Times New Roman"/>
                <w:szCs w:val="24"/>
              </w:rPr>
              <w:t>69.9</w:t>
            </w:r>
          </w:p>
        </w:tc>
        <w:tc>
          <w:tcPr>
            <w:tcW w:w="1016" w:type="dxa"/>
          </w:tcPr>
          <w:p w:rsidR="00CF0727" w:rsidRPr="008515C9" w:rsidRDefault="00CF0727" w:rsidP="000A009C">
            <w:pPr>
              <w:pStyle w:val="Normaali1"/>
              <w:tabs>
                <w:tab w:val="decimal" w:pos="452"/>
              </w:tabs>
              <w:spacing w:before="60" w:after="60" w:line="240" w:lineRule="auto"/>
              <w:ind w:left="-146" w:right="5" w:hanging="10"/>
              <w:jc w:val="left"/>
              <w:rPr>
                <w:rFonts w:ascii="Times New Roman" w:hAnsi="Times New Roman"/>
                <w:szCs w:val="24"/>
              </w:rPr>
            </w:pPr>
            <w:r>
              <w:rPr>
                <w:rFonts w:ascii="Times New Roman" w:hAnsi="Times New Roman"/>
                <w:szCs w:val="24"/>
              </w:rPr>
              <w:t>66.9</w:t>
            </w:r>
          </w:p>
        </w:tc>
      </w:tr>
      <w:tr w:rsidR="00CF0727" w:rsidTr="000A009C">
        <w:trPr>
          <w:jc w:val="center"/>
        </w:trPr>
        <w:tc>
          <w:tcPr>
            <w:tcW w:w="1701" w:type="dxa"/>
          </w:tcPr>
          <w:p w:rsidR="00CF0727" w:rsidRPr="00C8591E" w:rsidRDefault="00CF0727" w:rsidP="000A009C">
            <w:pPr>
              <w:pStyle w:val="Normaali1"/>
              <w:spacing w:before="60" w:after="60" w:line="240" w:lineRule="auto"/>
              <w:ind w:left="-4" w:right="-115"/>
              <w:jc w:val="left"/>
              <w:rPr>
                <w:rFonts w:ascii="Times New Roman" w:hAnsi="Times New Roman"/>
                <w:szCs w:val="24"/>
              </w:rPr>
            </w:pPr>
            <w:r w:rsidRPr="00C8591E">
              <w:rPr>
                <w:rFonts w:ascii="Times New Roman" w:hAnsi="Times New Roman"/>
                <w:szCs w:val="24"/>
              </w:rPr>
              <w:t>FLQ (</w:t>
            </w:r>
            <w:r w:rsidRPr="00C8591E">
              <w:rPr>
                <w:rFonts w:ascii="Times New Roman" w:hAnsi="Times New Roman"/>
                <w:color w:val="000000"/>
                <w:szCs w:val="24"/>
                <w:lang w:val="en-GB"/>
              </w:rPr>
              <w:t>δ = 0.</w:t>
            </w:r>
            <w:r>
              <w:rPr>
                <w:rFonts w:ascii="Times New Roman" w:hAnsi="Times New Roman"/>
                <w:color w:val="000000"/>
                <w:szCs w:val="24"/>
                <w:lang w:val="en-GB"/>
              </w:rPr>
              <w:t>3</w:t>
            </w:r>
            <w:r w:rsidRPr="00C8591E">
              <w:rPr>
                <w:rFonts w:ascii="Times New Roman" w:hAnsi="Times New Roman"/>
                <w:szCs w:val="24"/>
              </w:rPr>
              <w:t>)</w:t>
            </w:r>
          </w:p>
        </w:tc>
        <w:tc>
          <w:tcPr>
            <w:tcW w:w="1221" w:type="dxa"/>
          </w:tcPr>
          <w:p w:rsidR="00CF0727" w:rsidRPr="00C83B5C" w:rsidRDefault="00CF0727" w:rsidP="000A009C">
            <w:pPr>
              <w:pStyle w:val="Normaali1"/>
              <w:tabs>
                <w:tab w:val="decimal" w:pos="380"/>
              </w:tabs>
              <w:spacing w:before="60" w:after="60" w:line="240" w:lineRule="auto"/>
              <w:ind w:left="-115" w:right="-115"/>
              <w:jc w:val="left"/>
              <w:rPr>
                <w:rFonts w:ascii="Times New Roman" w:hAnsi="Times New Roman"/>
                <w:szCs w:val="24"/>
              </w:rPr>
            </w:pPr>
            <w:r w:rsidRPr="00C83B5C">
              <w:rPr>
                <w:rFonts w:ascii="Times New Roman" w:hAnsi="Times New Roman"/>
                <w:bCs/>
                <w:szCs w:val="24"/>
              </w:rPr>
              <w:sym w:font="Symbol" w:char="F02D"/>
            </w:r>
            <w:r w:rsidRPr="00C83B5C">
              <w:rPr>
                <w:rFonts w:ascii="Times New Roman" w:hAnsi="Times New Roman"/>
                <w:bCs/>
                <w:szCs w:val="24"/>
              </w:rPr>
              <w:t>0.514</w:t>
            </w:r>
          </w:p>
        </w:tc>
        <w:tc>
          <w:tcPr>
            <w:tcW w:w="1259" w:type="dxa"/>
          </w:tcPr>
          <w:p w:rsidR="00CF0727" w:rsidRDefault="00CF0727" w:rsidP="000A009C">
            <w:pPr>
              <w:pStyle w:val="Normaali1"/>
              <w:tabs>
                <w:tab w:val="decimal" w:pos="380"/>
              </w:tabs>
              <w:spacing w:before="60" w:after="60" w:line="240" w:lineRule="auto"/>
              <w:ind w:left="-115" w:right="-115"/>
              <w:jc w:val="left"/>
              <w:rPr>
                <w:rFonts w:ascii="Times New Roman" w:hAnsi="Times New Roman"/>
                <w:szCs w:val="24"/>
              </w:rPr>
            </w:pPr>
            <w:r>
              <w:rPr>
                <w:rFonts w:ascii="Times New Roman" w:hAnsi="Times New Roman"/>
                <w:szCs w:val="24"/>
              </w:rPr>
              <w:t>0.283</w:t>
            </w:r>
          </w:p>
        </w:tc>
        <w:tc>
          <w:tcPr>
            <w:tcW w:w="1276" w:type="dxa"/>
          </w:tcPr>
          <w:p w:rsidR="00CF0727" w:rsidRPr="00C83B5C" w:rsidRDefault="00CF0727" w:rsidP="000A009C">
            <w:pPr>
              <w:pStyle w:val="Normaali1"/>
              <w:tabs>
                <w:tab w:val="right" w:pos="605"/>
              </w:tabs>
              <w:spacing w:before="60" w:after="60" w:line="240" w:lineRule="auto"/>
              <w:ind w:right="5"/>
              <w:jc w:val="center"/>
              <w:rPr>
                <w:rFonts w:ascii="Times New Roman" w:hAnsi="Times New Roman"/>
                <w:b/>
                <w:szCs w:val="24"/>
              </w:rPr>
            </w:pPr>
            <w:r w:rsidRPr="00C83B5C">
              <w:rPr>
                <w:rFonts w:ascii="Times New Roman" w:hAnsi="Times New Roman"/>
                <w:b/>
                <w:szCs w:val="24"/>
              </w:rPr>
              <w:t>0.421</w:t>
            </w:r>
          </w:p>
        </w:tc>
        <w:tc>
          <w:tcPr>
            <w:tcW w:w="1275"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Pr>
                <w:rFonts w:ascii="Times New Roman" w:hAnsi="Times New Roman"/>
                <w:szCs w:val="24"/>
              </w:rPr>
              <w:t>3.184</w:t>
            </w:r>
          </w:p>
        </w:tc>
        <w:tc>
          <w:tcPr>
            <w:tcW w:w="1134" w:type="dxa"/>
          </w:tcPr>
          <w:p w:rsidR="00CF0727" w:rsidRPr="005047C1" w:rsidRDefault="00CF0727" w:rsidP="000A009C">
            <w:pPr>
              <w:pStyle w:val="Normaali1"/>
              <w:tabs>
                <w:tab w:val="decimal" w:pos="452"/>
              </w:tabs>
              <w:spacing w:before="60" w:after="60" w:line="240" w:lineRule="auto"/>
              <w:ind w:left="-115" w:right="-115"/>
              <w:jc w:val="left"/>
              <w:rPr>
                <w:rFonts w:ascii="Times New Roman" w:hAnsi="Times New Roman"/>
                <w:b/>
                <w:szCs w:val="24"/>
              </w:rPr>
            </w:pPr>
            <w:r>
              <w:rPr>
                <w:rFonts w:ascii="Times New Roman" w:hAnsi="Times New Roman"/>
                <w:b/>
                <w:szCs w:val="24"/>
              </w:rPr>
              <w:t>69.7</w:t>
            </w:r>
          </w:p>
        </w:tc>
        <w:tc>
          <w:tcPr>
            <w:tcW w:w="1016" w:type="dxa"/>
          </w:tcPr>
          <w:p w:rsidR="00CF0727" w:rsidRPr="00C8591E" w:rsidRDefault="00CF0727" w:rsidP="000A009C">
            <w:pPr>
              <w:pStyle w:val="Normaali1"/>
              <w:tabs>
                <w:tab w:val="decimal" w:pos="452"/>
              </w:tabs>
              <w:spacing w:before="60" w:after="60" w:line="240" w:lineRule="auto"/>
              <w:ind w:left="-115" w:right="-115"/>
              <w:jc w:val="left"/>
              <w:rPr>
                <w:rFonts w:ascii="Times New Roman" w:hAnsi="Times New Roman"/>
                <w:szCs w:val="24"/>
              </w:rPr>
            </w:pPr>
            <w:r>
              <w:rPr>
                <w:rFonts w:ascii="Times New Roman" w:hAnsi="Times New Roman"/>
                <w:szCs w:val="24"/>
              </w:rPr>
              <w:t>68.1</w:t>
            </w:r>
          </w:p>
        </w:tc>
      </w:tr>
      <w:tr w:rsidR="00CF0727" w:rsidTr="000A009C">
        <w:trPr>
          <w:jc w:val="center"/>
        </w:trPr>
        <w:tc>
          <w:tcPr>
            <w:tcW w:w="1701" w:type="dxa"/>
          </w:tcPr>
          <w:p w:rsidR="00CF0727" w:rsidRPr="00C8591E" w:rsidRDefault="00CF0727" w:rsidP="000A009C">
            <w:pPr>
              <w:pStyle w:val="Normaali1"/>
              <w:spacing w:before="60" w:after="60" w:line="240" w:lineRule="auto"/>
              <w:ind w:left="-4" w:right="-115"/>
              <w:jc w:val="left"/>
              <w:rPr>
                <w:rFonts w:ascii="Times New Roman" w:hAnsi="Times New Roman"/>
                <w:szCs w:val="24"/>
              </w:rPr>
            </w:pPr>
            <w:r w:rsidRPr="00C8591E">
              <w:rPr>
                <w:rFonts w:ascii="Times New Roman" w:hAnsi="Times New Roman"/>
                <w:szCs w:val="24"/>
              </w:rPr>
              <w:t>FLQ (</w:t>
            </w:r>
            <w:r w:rsidRPr="00C8591E">
              <w:rPr>
                <w:rFonts w:ascii="Times New Roman" w:hAnsi="Times New Roman"/>
                <w:color w:val="000000"/>
                <w:szCs w:val="24"/>
                <w:lang w:val="en-GB"/>
              </w:rPr>
              <w:t>δ = 0.</w:t>
            </w:r>
            <w:r>
              <w:rPr>
                <w:rFonts w:ascii="Times New Roman" w:hAnsi="Times New Roman"/>
                <w:color w:val="000000"/>
                <w:szCs w:val="24"/>
                <w:lang w:val="en-GB"/>
              </w:rPr>
              <w:t>35</w:t>
            </w:r>
            <w:r w:rsidRPr="00C8591E">
              <w:rPr>
                <w:rFonts w:ascii="Times New Roman" w:hAnsi="Times New Roman"/>
                <w:szCs w:val="24"/>
              </w:rPr>
              <w:t>)</w:t>
            </w:r>
          </w:p>
        </w:tc>
        <w:tc>
          <w:tcPr>
            <w:tcW w:w="1221" w:type="dxa"/>
          </w:tcPr>
          <w:p w:rsidR="00CF0727" w:rsidRPr="00C8591E" w:rsidRDefault="00CF0727" w:rsidP="000A009C">
            <w:pPr>
              <w:pStyle w:val="Normaali1"/>
              <w:tabs>
                <w:tab w:val="decimal" w:pos="380"/>
              </w:tabs>
              <w:spacing w:before="60" w:after="60" w:line="240" w:lineRule="auto"/>
              <w:ind w:left="-115" w:right="-115"/>
              <w:jc w:val="left"/>
              <w:rPr>
                <w:rFonts w:ascii="Times New Roman" w:hAnsi="Times New Roman"/>
                <w:szCs w:val="24"/>
              </w:rPr>
            </w:pPr>
            <w:r w:rsidRPr="00C83B5C">
              <w:rPr>
                <w:rFonts w:ascii="Times New Roman" w:hAnsi="Times New Roman"/>
                <w:bCs/>
                <w:szCs w:val="24"/>
              </w:rPr>
              <w:sym w:font="Symbol" w:char="F02D"/>
            </w:r>
            <w:r>
              <w:rPr>
                <w:rFonts w:ascii="Times New Roman" w:hAnsi="Times New Roman"/>
                <w:bCs/>
                <w:szCs w:val="24"/>
              </w:rPr>
              <w:t>1</w:t>
            </w:r>
            <w:r w:rsidRPr="00C83B5C">
              <w:rPr>
                <w:rFonts w:ascii="Times New Roman" w:hAnsi="Times New Roman"/>
                <w:bCs/>
                <w:szCs w:val="24"/>
              </w:rPr>
              <w:t>.</w:t>
            </w:r>
            <w:r>
              <w:rPr>
                <w:rFonts w:ascii="Times New Roman" w:hAnsi="Times New Roman"/>
                <w:bCs/>
                <w:szCs w:val="24"/>
              </w:rPr>
              <w:t>0</w:t>
            </w:r>
            <w:r w:rsidRPr="00C83B5C">
              <w:rPr>
                <w:rFonts w:ascii="Times New Roman" w:hAnsi="Times New Roman"/>
                <w:bCs/>
                <w:szCs w:val="24"/>
              </w:rPr>
              <w:t>5</w:t>
            </w:r>
            <w:r>
              <w:rPr>
                <w:rFonts w:ascii="Times New Roman" w:hAnsi="Times New Roman"/>
                <w:bCs/>
                <w:szCs w:val="24"/>
              </w:rPr>
              <w:t>7</w:t>
            </w:r>
          </w:p>
        </w:tc>
        <w:tc>
          <w:tcPr>
            <w:tcW w:w="1259" w:type="dxa"/>
          </w:tcPr>
          <w:p w:rsidR="00CF0727" w:rsidRDefault="00CF0727" w:rsidP="000A009C">
            <w:pPr>
              <w:pStyle w:val="Normaali1"/>
              <w:tabs>
                <w:tab w:val="decimal" w:pos="380"/>
              </w:tabs>
              <w:spacing w:before="60" w:after="60" w:line="240" w:lineRule="auto"/>
              <w:ind w:left="-115" w:right="-115"/>
              <w:jc w:val="left"/>
              <w:rPr>
                <w:rFonts w:ascii="Times New Roman" w:hAnsi="Times New Roman"/>
                <w:szCs w:val="24"/>
              </w:rPr>
            </w:pPr>
            <w:r>
              <w:rPr>
                <w:rFonts w:ascii="Times New Roman" w:hAnsi="Times New Roman"/>
                <w:szCs w:val="24"/>
              </w:rPr>
              <w:t>0.302</w:t>
            </w:r>
          </w:p>
        </w:tc>
        <w:tc>
          <w:tcPr>
            <w:tcW w:w="1276" w:type="dxa"/>
          </w:tcPr>
          <w:p w:rsidR="00CF0727" w:rsidRPr="00C83B5C" w:rsidRDefault="00CF0727" w:rsidP="000A009C">
            <w:pPr>
              <w:pStyle w:val="Normaali1"/>
              <w:tabs>
                <w:tab w:val="right" w:pos="605"/>
              </w:tabs>
              <w:spacing w:before="60" w:after="60" w:line="240" w:lineRule="auto"/>
              <w:ind w:right="5"/>
              <w:jc w:val="center"/>
              <w:rPr>
                <w:rFonts w:ascii="Times New Roman" w:hAnsi="Times New Roman"/>
                <w:szCs w:val="24"/>
              </w:rPr>
            </w:pPr>
            <w:r w:rsidRPr="00C83B5C">
              <w:rPr>
                <w:rFonts w:ascii="Times New Roman" w:hAnsi="Times New Roman"/>
                <w:szCs w:val="24"/>
              </w:rPr>
              <w:t>0.424</w:t>
            </w:r>
          </w:p>
        </w:tc>
        <w:tc>
          <w:tcPr>
            <w:tcW w:w="1275" w:type="dxa"/>
          </w:tcPr>
          <w:p w:rsidR="00CF0727" w:rsidRPr="00C8591E" w:rsidRDefault="00CF0727" w:rsidP="000A009C">
            <w:pPr>
              <w:pStyle w:val="Normaali1"/>
              <w:tabs>
                <w:tab w:val="right" w:pos="605"/>
              </w:tabs>
              <w:spacing w:before="60" w:after="60" w:line="240" w:lineRule="auto"/>
              <w:ind w:right="5"/>
              <w:jc w:val="center"/>
              <w:rPr>
                <w:rFonts w:ascii="Times New Roman" w:hAnsi="Times New Roman"/>
                <w:szCs w:val="24"/>
              </w:rPr>
            </w:pPr>
            <w:r>
              <w:rPr>
                <w:rFonts w:ascii="Times New Roman" w:hAnsi="Times New Roman"/>
                <w:szCs w:val="24"/>
              </w:rPr>
              <w:t>3.386</w:t>
            </w:r>
          </w:p>
        </w:tc>
        <w:tc>
          <w:tcPr>
            <w:tcW w:w="1134" w:type="dxa"/>
          </w:tcPr>
          <w:p w:rsidR="00CF0727" w:rsidRPr="008515C9" w:rsidRDefault="00CF0727" w:rsidP="000A009C">
            <w:pPr>
              <w:pStyle w:val="Normaali1"/>
              <w:tabs>
                <w:tab w:val="decimal" w:pos="452"/>
              </w:tabs>
              <w:spacing w:before="60" w:after="60" w:line="240" w:lineRule="auto"/>
              <w:ind w:left="-115" w:right="-115"/>
              <w:jc w:val="left"/>
              <w:rPr>
                <w:rFonts w:ascii="Times New Roman" w:hAnsi="Times New Roman"/>
                <w:szCs w:val="24"/>
              </w:rPr>
            </w:pPr>
            <w:r w:rsidRPr="008515C9">
              <w:rPr>
                <w:rFonts w:ascii="Times New Roman" w:hAnsi="Times New Roman"/>
                <w:szCs w:val="24"/>
              </w:rPr>
              <w:t>69.9</w:t>
            </w:r>
          </w:p>
        </w:tc>
        <w:tc>
          <w:tcPr>
            <w:tcW w:w="1016" w:type="dxa"/>
          </w:tcPr>
          <w:p w:rsidR="00CF0727" w:rsidRPr="00C8591E" w:rsidRDefault="00CF0727" w:rsidP="000A009C">
            <w:pPr>
              <w:pStyle w:val="Normaali1"/>
              <w:tabs>
                <w:tab w:val="decimal" w:pos="452"/>
              </w:tabs>
              <w:spacing w:before="60" w:after="60" w:line="240" w:lineRule="auto"/>
              <w:ind w:left="-115" w:right="-115"/>
              <w:jc w:val="left"/>
              <w:rPr>
                <w:rFonts w:ascii="Times New Roman" w:hAnsi="Times New Roman"/>
                <w:szCs w:val="24"/>
              </w:rPr>
            </w:pPr>
            <w:r>
              <w:rPr>
                <w:rFonts w:ascii="Times New Roman" w:hAnsi="Times New Roman"/>
                <w:szCs w:val="24"/>
              </w:rPr>
              <w:t>69.8</w:t>
            </w:r>
          </w:p>
        </w:tc>
      </w:tr>
    </w:tbl>
    <w:p w:rsidR="00CF0727" w:rsidRDefault="00CF0727" w:rsidP="00CF0727">
      <w:pPr>
        <w:pStyle w:val="Normaali1"/>
        <w:tabs>
          <w:tab w:val="left" w:pos="360"/>
        </w:tabs>
        <w:spacing w:line="240" w:lineRule="auto"/>
        <w:rPr>
          <w:b/>
          <w:color w:val="000000"/>
          <w:szCs w:val="26"/>
        </w:rPr>
      </w:pPr>
    </w:p>
    <w:p w:rsidR="00CF0727" w:rsidRDefault="00CF0727" w:rsidP="00CF0727">
      <w:pPr>
        <w:pStyle w:val="Normaali1"/>
        <w:tabs>
          <w:tab w:val="left" w:pos="360"/>
        </w:tabs>
        <w:spacing w:line="240" w:lineRule="auto"/>
        <w:rPr>
          <w:b/>
          <w:color w:val="000000"/>
          <w:szCs w:val="26"/>
        </w:rPr>
      </w:pPr>
    </w:p>
    <w:p w:rsidR="00CF0727" w:rsidRDefault="00CF0727" w:rsidP="00CF0727">
      <w:pPr>
        <w:pStyle w:val="Normaali1"/>
        <w:tabs>
          <w:tab w:val="left" w:pos="360"/>
        </w:tabs>
        <w:spacing w:line="240" w:lineRule="auto"/>
        <w:rPr>
          <w:b/>
          <w:color w:val="000000"/>
          <w:szCs w:val="26"/>
        </w:rPr>
      </w:pPr>
    </w:p>
    <w:p w:rsidR="00CF0727" w:rsidRDefault="00CF0727" w:rsidP="00CF0727">
      <w:pPr>
        <w:ind w:right="-6"/>
        <w:jc w:val="center"/>
        <w:rPr>
          <w:i/>
          <w:color w:val="000000"/>
          <w:szCs w:val="26"/>
        </w:rPr>
      </w:pPr>
      <w:r>
        <w:rPr>
          <w:b/>
          <w:color w:val="000000"/>
          <w:szCs w:val="26"/>
        </w:rPr>
        <w:t>Table 7</w:t>
      </w:r>
      <w:r>
        <w:rPr>
          <w:color w:val="000000"/>
          <w:szCs w:val="26"/>
        </w:rPr>
        <w:t xml:space="preserve">.  </w:t>
      </w:r>
      <w:r>
        <w:rPr>
          <w:i/>
          <w:color w:val="000000"/>
          <w:szCs w:val="26"/>
        </w:rPr>
        <w:t>Decomposition of mean squared error (mse): input coefficients</w:t>
      </w:r>
    </w:p>
    <w:p w:rsidR="00CF0727" w:rsidRDefault="00CF0727" w:rsidP="00CF0727">
      <w:pPr>
        <w:spacing w:after="120"/>
        <w:ind w:right="-6"/>
        <w:jc w:val="center"/>
        <w:rPr>
          <w:i/>
          <w:color w:val="000000"/>
          <w:szCs w:val="26"/>
        </w:rPr>
      </w:pPr>
      <w:r>
        <w:rPr>
          <w:i/>
          <w:color w:val="000000"/>
          <w:szCs w:val="26"/>
        </w:rPr>
        <w:t>for 20 Finnish regions in 1995 (unweighted)</w:t>
      </w:r>
    </w:p>
    <w:tbl>
      <w:tblPr>
        <w:tblW w:w="7493" w:type="dxa"/>
        <w:jc w:val="center"/>
        <w:tblInd w:w="27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15" w:type="dxa"/>
          <w:right w:w="115" w:type="dxa"/>
        </w:tblCellMar>
        <w:tblLook w:val="00BF"/>
      </w:tblPr>
      <w:tblGrid>
        <w:gridCol w:w="1702"/>
        <w:gridCol w:w="1501"/>
        <w:gridCol w:w="1305"/>
        <w:gridCol w:w="1418"/>
        <w:gridCol w:w="1567"/>
      </w:tblGrid>
      <w:tr w:rsidR="00CF0727" w:rsidTr="000A009C">
        <w:trPr>
          <w:trHeight w:val="375"/>
          <w:jc w:val="center"/>
        </w:trPr>
        <w:tc>
          <w:tcPr>
            <w:tcW w:w="1702" w:type="dxa"/>
            <w:vMerge w:val="restart"/>
            <w:tcBorders>
              <w:top w:val="double" w:sz="4" w:space="0" w:color="auto"/>
              <w:left w:val="double" w:sz="4" w:space="0" w:color="auto"/>
              <w:bottom w:val="single" w:sz="4" w:space="0" w:color="auto"/>
              <w:right w:val="single" w:sz="4" w:space="0" w:color="auto"/>
            </w:tcBorders>
          </w:tcPr>
          <w:p w:rsidR="00CF0727" w:rsidRDefault="00CF0727" w:rsidP="000A009C">
            <w:pPr>
              <w:pStyle w:val="Normaali1"/>
              <w:spacing w:before="60" w:after="60" w:line="240" w:lineRule="auto"/>
              <w:ind w:left="5" w:right="125"/>
              <w:rPr>
                <w:rFonts w:ascii="Times New Roman" w:hAnsi="Times New Roman"/>
                <w:szCs w:val="24"/>
              </w:rPr>
            </w:pPr>
          </w:p>
          <w:p w:rsidR="00CF0727" w:rsidRDefault="00CF0727" w:rsidP="000A009C">
            <w:pPr>
              <w:pStyle w:val="Normaali1"/>
              <w:spacing w:before="60" w:after="60" w:line="240" w:lineRule="auto"/>
              <w:ind w:left="-4" w:right="125"/>
              <w:rPr>
                <w:rFonts w:ascii="Times New Roman" w:hAnsi="Times New Roman"/>
                <w:szCs w:val="24"/>
              </w:rPr>
            </w:pPr>
            <w:r>
              <w:rPr>
                <w:rFonts w:ascii="Times New Roman" w:hAnsi="Times New Roman"/>
                <w:szCs w:val="24"/>
              </w:rPr>
              <w:t>Method</w:t>
            </w:r>
          </w:p>
        </w:tc>
        <w:tc>
          <w:tcPr>
            <w:tcW w:w="1501" w:type="dxa"/>
            <w:tcBorders>
              <w:top w:val="double" w:sz="4" w:space="0" w:color="auto"/>
              <w:left w:val="single" w:sz="4" w:space="0" w:color="auto"/>
              <w:bottom w:val="single" w:sz="4" w:space="0" w:color="auto"/>
              <w:right w:val="single" w:sz="4" w:space="0" w:color="auto"/>
            </w:tcBorders>
          </w:tcPr>
          <w:p w:rsidR="00CF0727" w:rsidRDefault="00CF0727" w:rsidP="000A009C">
            <w:pPr>
              <w:pStyle w:val="Normaali1"/>
              <w:spacing w:before="60" w:after="60" w:line="240" w:lineRule="auto"/>
              <w:ind w:left="-37" w:right="284"/>
              <w:jc w:val="center"/>
              <w:rPr>
                <w:rFonts w:ascii="Times New Roman" w:hAnsi="Times New Roman"/>
                <w:szCs w:val="24"/>
              </w:rPr>
            </w:pPr>
          </w:p>
        </w:tc>
        <w:tc>
          <w:tcPr>
            <w:tcW w:w="4290" w:type="dxa"/>
            <w:gridSpan w:val="3"/>
            <w:tcBorders>
              <w:top w:val="double" w:sz="4" w:space="0" w:color="auto"/>
              <w:left w:val="single" w:sz="4" w:space="0" w:color="auto"/>
              <w:bottom w:val="single" w:sz="4" w:space="0" w:color="auto"/>
              <w:right w:val="double" w:sz="4" w:space="0" w:color="auto"/>
            </w:tcBorders>
            <w:hideMark/>
          </w:tcPr>
          <w:p w:rsidR="00CF0727" w:rsidRDefault="00CF0727" w:rsidP="000A009C">
            <w:pPr>
              <w:pStyle w:val="Normaali1"/>
              <w:spacing w:before="60" w:after="60" w:line="240" w:lineRule="auto"/>
              <w:ind w:left="-37" w:right="284"/>
              <w:jc w:val="center"/>
              <w:rPr>
                <w:rFonts w:ascii="Times New Roman" w:hAnsi="Times New Roman"/>
                <w:szCs w:val="24"/>
              </w:rPr>
            </w:pPr>
            <w:r>
              <w:rPr>
                <w:rFonts w:ascii="Times New Roman" w:hAnsi="Times New Roman"/>
                <w:szCs w:val="24"/>
              </w:rPr>
              <w:t>Source of error</w:t>
            </w:r>
          </w:p>
        </w:tc>
      </w:tr>
      <w:tr w:rsidR="00CF0727" w:rsidTr="000A009C">
        <w:trPr>
          <w:trHeight w:val="375"/>
          <w:jc w:val="center"/>
        </w:trPr>
        <w:tc>
          <w:tcPr>
            <w:tcW w:w="1702" w:type="dxa"/>
            <w:vMerge/>
            <w:tcBorders>
              <w:top w:val="double" w:sz="4" w:space="0" w:color="auto"/>
              <w:left w:val="double" w:sz="4" w:space="0" w:color="auto"/>
              <w:bottom w:val="single" w:sz="4" w:space="0" w:color="auto"/>
              <w:right w:val="single" w:sz="4" w:space="0" w:color="auto"/>
            </w:tcBorders>
            <w:vAlign w:val="center"/>
            <w:hideMark/>
          </w:tcPr>
          <w:p w:rsidR="00CF0727" w:rsidRDefault="00CF0727" w:rsidP="000A009C">
            <w:pPr>
              <w:jc w:val="left"/>
              <w:rPr>
                <w:rFonts w:eastAsia="Times New Roman"/>
                <w:lang w:val="fi-FI" w:eastAsia="fi-FI"/>
              </w:rPr>
            </w:pPr>
          </w:p>
        </w:tc>
        <w:tc>
          <w:tcPr>
            <w:tcW w:w="1501" w:type="dxa"/>
            <w:tcBorders>
              <w:top w:val="single" w:sz="4" w:space="0" w:color="auto"/>
              <w:left w:val="single" w:sz="4" w:space="0" w:color="auto"/>
              <w:bottom w:val="single" w:sz="4" w:space="0" w:color="auto"/>
              <w:right w:val="single" w:sz="4" w:space="0" w:color="auto"/>
            </w:tcBorders>
          </w:tcPr>
          <w:p w:rsidR="00CF0727" w:rsidRDefault="00CF0727" w:rsidP="000A009C">
            <w:pPr>
              <w:pStyle w:val="Normaali1"/>
              <w:spacing w:before="60" w:after="60" w:line="240" w:lineRule="auto"/>
              <w:ind w:right="26" w:hanging="5"/>
              <w:jc w:val="center"/>
              <w:rPr>
                <w:rFonts w:ascii="Times New Roman" w:hAnsi="Times New Roman"/>
                <w:szCs w:val="24"/>
              </w:rPr>
            </w:pPr>
            <w:r w:rsidRPr="009506F8">
              <w:rPr>
                <w:rFonts w:ascii="Times New Roman" w:hAnsi="Times New Roman"/>
                <w:szCs w:val="24"/>
              </w:rPr>
              <w:t xml:space="preserve">mse </w:t>
            </w:r>
            <w:r w:rsidRPr="00C8591E">
              <w:rPr>
                <w:rFonts w:ascii="Times New Roman" w:hAnsi="Times New Roman"/>
                <w:color w:val="000000"/>
                <w:szCs w:val="24"/>
              </w:rPr>
              <w:t>× 10</w:t>
            </w:r>
            <w:r>
              <w:rPr>
                <w:rFonts w:ascii="Times New Roman" w:hAnsi="Times New Roman"/>
                <w:color w:val="000000"/>
                <w:szCs w:val="24"/>
                <w:vertAlign w:val="superscript"/>
              </w:rPr>
              <w:t>3</w:t>
            </w:r>
          </w:p>
        </w:tc>
        <w:tc>
          <w:tcPr>
            <w:tcW w:w="1305" w:type="dxa"/>
            <w:tcBorders>
              <w:top w:val="single" w:sz="4" w:space="0" w:color="auto"/>
              <w:left w:val="single" w:sz="4" w:space="0" w:color="auto"/>
              <w:bottom w:val="single" w:sz="4" w:space="0" w:color="auto"/>
              <w:right w:val="single" w:sz="4" w:space="0" w:color="auto"/>
            </w:tcBorders>
            <w:hideMark/>
          </w:tcPr>
          <w:p w:rsidR="00CF0727" w:rsidRDefault="00CF0727" w:rsidP="000A009C">
            <w:pPr>
              <w:pStyle w:val="Normaali1"/>
              <w:spacing w:before="60" w:after="60" w:line="240" w:lineRule="auto"/>
              <w:ind w:right="26" w:hanging="5"/>
              <w:jc w:val="center"/>
              <w:rPr>
                <w:rFonts w:ascii="Times New Roman" w:hAnsi="Times New Roman"/>
                <w:szCs w:val="24"/>
              </w:rPr>
            </w:pPr>
            <w:r>
              <w:rPr>
                <w:rFonts w:ascii="Times New Roman" w:hAnsi="Times New Roman"/>
                <w:szCs w:val="24"/>
              </w:rPr>
              <w:t>Bias</w:t>
            </w:r>
          </w:p>
        </w:tc>
        <w:tc>
          <w:tcPr>
            <w:tcW w:w="1418" w:type="dxa"/>
            <w:tcBorders>
              <w:top w:val="single" w:sz="4" w:space="0" w:color="auto"/>
              <w:left w:val="single" w:sz="4" w:space="0" w:color="auto"/>
              <w:bottom w:val="single" w:sz="4" w:space="0" w:color="auto"/>
              <w:right w:val="single" w:sz="4" w:space="0" w:color="auto"/>
            </w:tcBorders>
            <w:hideMark/>
          </w:tcPr>
          <w:p w:rsidR="00CF0727" w:rsidRDefault="00CF0727" w:rsidP="000A009C">
            <w:pPr>
              <w:pStyle w:val="Normaali1"/>
              <w:spacing w:before="60" w:after="60" w:line="240" w:lineRule="auto"/>
              <w:ind w:right="26" w:hanging="5"/>
              <w:jc w:val="center"/>
              <w:rPr>
                <w:rFonts w:ascii="Times New Roman" w:hAnsi="Times New Roman"/>
                <w:szCs w:val="24"/>
              </w:rPr>
            </w:pPr>
            <w:r>
              <w:rPr>
                <w:rFonts w:ascii="Times New Roman" w:hAnsi="Times New Roman"/>
                <w:szCs w:val="24"/>
              </w:rPr>
              <w:t>Variance</w:t>
            </w:r>
          </w:p>
        </w:tc>
        <w:tc>
          <w:tcPr>
            <w:tcW w:w="1567" w:type="dxa"/>
            <w:tcBorders>
              <w:top w:val="single" w:sz="4" w:space="0" w:color="auto"/>
              <w:left w:val="single" w:sz="4" w:space="0" w:color="auto"/>
              <w:bottom w:val="single" w:sz="4" w:space="0" w:color="auto"/>
              <w:right w:val="double" w:sz="4" w:space="0" w:color="auto"/>
            </w:tcBorders>
            <w:hideMark/>
          </w:tcPr>
          <w:p w:rsidR="00CF0727" w:rsidRDefault="00CF0727" w:rsidP="000A009C">
            <w:pPr>
              <w:pStyle w:val="Normaali1"/>
              <w:spacing w:before="60" w:after="60" w:line="240" w:lineRule="auto"/>
              <w:ind w:left="-115" w:right="-115"/>
              <w:jc w:val="center"/>
              <w:rPr>
                <w:rFonts w:ascii="Times New Roman" w:hAnsi="Times New Roman"/>
                <w:szCs w:val="24"/>
              </w:rPr>
            </w:pPr>
            <w:r>
              <w:rPr>
                <w:rFonts w:ascii="Times New Roman" w:hAnsi="Times New Roman"/>
                <w:szCs w:val="24"/>
              </w:rPr>
              <w:t>Covariance</w:t>
            </w:r>
          </w:p>
        </w:tc>
      </w:tr>
      <w:tr w:rsidR="00CF0727" w:rsidTr="000A009C">
        <w:trPr>
          <w:jc w:val="center"/>
        </w:trPr>
        <w:tc>
          <w:tcPr>
            <w:tcW w:w="1702" w:type="dxa"/>
            <w:tcBorders>
              <w:top w:val="single" w:sz="4" w:space="0" w:color="auto"/>
              <w:left w:val="double" w:sz="4" w:space="0" w:color="auto"/>
              <w:bottom w:val="single" w:sz="4" w:space="0" w:color="auto"/>
              <w:right w:val="single" w:sz="4" w:space="0" w:color="auto"/>
            </w:tcBorders>
            <w:hideMark/>
          </w:tcPr>
          <w:p w:rsidR="00CF0727" w:rsidRDefault="00CF0727" w:rsidP="000A009C">
            <w:pPr>
              <w:pStyle w:val="Normaali1"/>
              <w:tabs>
                <w:tab w:val="left" w:pos="360"/>
                <w:tab w:val="left" w:pos="972"/>
              </w:tabs>
              <w:spacing w:before="60" w:after="60" w:line="240" w:lineRule="auto"/>
              <w:ind w:left="403" w:right="288" w:hanging="397"/>
              <w:rPr>
                <w:rFonts w:ascii="Times New Roman" w:hAnsi="Times New Roman"/>
                <w:szCs w:val="24"/>
              </w:rPr>
            </w:pPr>
            <w:r>
              <w:rPr>
                <w:rFonts w:ascii="Times New Roman" w:hAnsi="Times New Roman"/>
                <w:szCs w:val="24"/>
              </w:rPr>
              <w:t>SLQ</w:t>
            </w:r>
          </w:p>
        </w:tc>
        <w:tc>
          <w:tcPr>
            <w:tcW w:w="1501" w:type="dxa"/>
            <w:tcBorders>
              <w:top w:val="single" w:sz="4" w:space="0" w:color="auto"/>
              <w:left w:val="single" w:sz="4" w:space="0" w:color="auto"/>
              <w:bottom w:val="single" w:sz="4" w:space="0" w:color="auto"/>
              <w:right w:val="single" w:sz="4" w:space="0" w:color="auto"/>
            </w:tcBorders>
          </w:tcPr>
          <w:p w:rsidR="00CF0727" w:rsidRDefault="00CF0727" w:rsidP="000A009C">
            <w:pPr>
              <w:pStyle w:val="Normaali1"/>
              <w:tabs>
                <w:tab w:val="decimal" w:pos="380"/>
              </w:tabs>
              <w:spacing w:before="60" w:after="60" w:line="240" w:lineRule="auto"/>
              <w:ind w:left="-115" w:right="-115"/>
              <w:jc w:val="left"/>
              <w:rPr>
                <w:rFonts w:ascii="Times New Roman" w:hAnsi="Times New Roman"/>
                <w:szCs w:val="24"/>
              </w:rPr>
            </w:pPr>
            <w:r>
              <w:rPr>
                <w:rFonts w:ascii="Times New Roman" w:hAnsi="Times New Roman"/>
                <w:szCs w:val="24"/>
              </w:rPr>
              <w:t>0.3310</w:t>
            </w:r>
          </w:p>
        </w:tc>
        <w:tc>
          <w:tcPr>
            <w:tcW w:w="1305" w:type="dxa"/>
            <w:tcBorders>
              <w:top w:val="single" w:sz="4" w:space="0" w:color="auto"/>
              <w:left w:val="single" w:sz="4" w:space="0" w:color="auto"/>
              <w:bottom w:val="single" w:sz="4" w:space="0" w:color="auto"/>
              <w:right w:val="single" w:sz="4" w:space="0" w:color="auto"/>
            </w:tcBorders>
            <w:hideMark/>
          </w:tcPr>
          <w:p w:rsidR="00CF0727" w:rsidRDefault="00CF0727" w:rsidP="000A009C">
            <w:pPr>
              <w:pStyle w:val="Normaali1"/>
              <w:tabs>
                <w:tab w:val="decimal" w:pos="380"/>
              </w:tabs>
              <w:spacing w:before="60" w:after="60" w:line="240" w:lineRule="auto"/>
              <w:ind w:left="-115" w:right="-115"/>
              <w:jc w:val="left"/>
              <w:rPr>
                <w:rFonts w:ascii="Times New Roman" w:hAnsi="Times New Roman"/>
                <w:szCs w:val="24"/>
              </w:rPr>
            </w:pPr>
            <w:r>
              <w:rPr>
                <w:rFonts w:ascii="Times New Roman" w:hAnsi="Times New Roman"/>
                <w:szCs w:val="24"/>
              </w:rPr>
              <w:t>0.0100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0.0702</w:t>
            </w:r>
          </w:p>
        </w:tc>
        <w:tc>
          <w:tcPr>
            <w:tcW w:w="1567"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0.2508</w:t>
            </w:r>
          </w:p>
        </w:tc>
      </w:tr>
      <w:tr w:rsidR="00CF0727" w:rsidTr="000A009C">
        <w:trPr>
          <w:jc w:val="center"/>
        </w:trPr>
        <w:tc>
          <w:tcPr>
            <w:tcW w:w="1702" w:type="dxa"/>
            <w:tcBorders>
              <w:top w:val="single" w:sz="4" w:space="0" w:color="auto"/>
              <w:left w:val="double" w:sz="4" w:space="0" w:color="auto"/>
              <w:bottom w:val="single" w:sz="4" w:space="0" w:color="auto"/>
              <w:right w:val="single" w:sz="4" w:space="0" w:color="auto"/>
            </w:tcBorders>
            <w:hideMark/>
          </w:tcPr>
          <w:p w:rsidR="00CF0727" w:rsidRDefault="00CF0727" w:rsidP="000A009C">
            <w:pPr>
              <w:pStyle w:val="Normaali1"/>
              <w:tabs>
                <w:tab w:val="left" w:pos="360"/>
                <w:tab w:val="left" w:pos="972"/>
              </w:tabs>
              <w:spacing w:before="60" w:after="60" w:line="240" w:lineRule="auto"/>
              <w:ind w:left="403" w:right="288" w:hanging="397"/>
              <w:rPr>
                <w:rFonts w:ascii="Times New Roman" w:hAnsi="Times New Roman"/>
                <w:szCs w:val="24"/>
              </w:rPr>
            </w:pPr>
            <w:r>
              <w:rPr>
                <w:rFonts w:ascii="Times New Roman" w:hAnsi="Times New Roman"/>
                <w:szCs w:val="24"/>
              </w:rPr>
              <w:t>CILQ</w:t>
            </w:r>
          </w:p>
        </w:tc>
        <w:tc>
          <w:tcPr>
            <w:tcW w:w="1501" w:type="dxa"/>
            <w:tcBorders>
              <w:top w:val="single" w:sz="4" w:space="0" w:color="auto"/>
              <w:left w:val="single" w:sz="4" w:space="0" w:color="auto"/>
              <w:bottom w:val="single" w:sz="4" w:space="0" w:color="auto"/>
              <w:right w:val="single" w:sz="4" w:space="0" w:color="auto"/>
            </w:tcBorders>
          </w:tcPr>
          <w:p w:rsidR="00CF0727" w:rsidRDefault="00CF0727" w:rsidP="000A009C">
            <w:pPr>
              <w:pStyle w:val="Normaali1"/>
              <w:tabs>
                <w:tab w:val="decimal" w:pos="380"/>
              </w:tabs>
              <w:spacing w:before="60" w:after="60" w:line="240" w:lineRule="auto"/>
              <w:ind w:left="-115" w:right="-115"/>
              <w:jc w:val="left"/>
              <w:rPr>
                <w:rFonts w:ascii="Times New Roman" w:hAnsi="Times New Roman"/>
                <w:szCs w:val="24"/>
              </w:rPr>
            </w:pPr>
            <w:r>
              <w:rPr>
                <w:rFonts w:ascii="Times New Roman" w:hAnsi="Times New Roman"/>
                <w:szCs w:val="24"/>
              </w:rPr>
              <w:t>0.3179</w:t>
            </w:r>
          </w:p>
        </w:tc>
        <w:tc>
          <w:tcPr>
            <w:tcW w:w="1305" w:type="dxa"/>
            <w:tcBorders>
              <w:top w:val="single" w:sz="4" w:space="0" w:color="auto"/>
              <w:left w:val="single" w:sz="4" w:space="0" w:color="auto"/>
              <w:bottom w:val="single" w:sz="4" w:space="0" w:color="auto"/>
              <w:right w:val="single" w:sz="4" w:space="0" w:color="auto"/>
            </w:tcBorders>
            <w:hideMark/>
          </w:tcPr>
          <w:p w:rsidR="00CF0727" w:rsidRDefault="00CF0727" w:rsidP="000A009C">
            <w:pPr>
              <w:pStyle w:val="Normaali1"/>
              <w:tabs>
                <w:tab w:val="decimal" w:pos="380"/>
              </w:tabs>
              <w:spacing w:before="60" w:after="60" w:line="240" w:lineRule="auto"/>
              <w:ind w:left="-115" w:right="-115"/>
              <w:jc w:val="left"/>
              <w:rPr>
                <w:rFonts w:ascii="Times New Roman" w:hAnsi="Times New Roman"/>
                <w:szCs w:val="24"/>
              </w:rPr>
            </w:pPr>
            <w:r>
              <w:rPr>
                <w:rFonts w:ascii="Times New Roman" w:hAnsi="Times New Roman"/>
                <w:szCs w:val="24"/>
              </w:rPr>
              <w:t>0.0109</w:t>
            </w:r>
          </w:p>
        </w:tc>
        <w:tc>
          <w:tcPr>
            <w:tcW w:w="1418"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0.0651</w:t>
            </w:r>
          </w:p>
        </w:tc>
        <w:tc>
          <w:tcPr>
            <w:tcW w:w="1567"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0.2419</w:t>
            </w:r>
          </w:p>
        </w:tc>
      </w:tr>
      <w:tr w:rsidR="00CF0727" w:rsidTr="000A009C">
        <w:trPr>
          <w:jc w:val="center"/>
        </w:trPr>
        <w:tc>
          <w:tcPr>
            <w:tcW w:w="1702" w:type="dxa"/>
            <w:tcBorders>
              <w:top w:val="single" w:sz="4" w:space="0" w:color="auto"/>
              <w:left w:val="double" w:sz="4" w:space="0" w:color="auto"/>
              <w:bottom w:val="single" w:sz="4" w:space="0" w:color="auto"/>
              <w:right w:val="single" w:sz="4" w:space="0" w:color="auto"/>
            </w:tcBorders>
            <w:hideMark/>
          </w:tcPr>
          <w:p w:rsidR="00CF0727" w:rsidRDefault="00CF0727" w:rsidP="000A009C">
            <w:pPr>
              <w:pStyle w:val="Normaali1"/>
              <w:spacing w:before="60" w:after="60" w:line="240" w:lineRule="auto"/>
              <w:ind w:right="-84" w:firstLine="6"/>
              <w:rPr>
                <w:rFonts w:ascii="Times New Roman" w:hAnsi="Times New Roman"/>
                <w:szCs w:val="24"/>
              </w:rPr>
            </w:pPr>
            <w:r>
              <w:rPr>
                <w:rFonts w:ascii="Times New Roman" w:hAnsi="Times New Roman"/>
                <w:szCs w:val="24"/>
              </w:rPr>
              <w:t>FLQ (</w:t>
            </w:r>
            <w:r>
              <w:rPr>
                <w:rFonts w:ascii="Times New Roman" w:hAnsi="Times New Roman"/>
                <w:color w:val="000000"/>
                <w:szCs w:val="24"/>
                <w:lang w:val="en-GB"/>
              </w:rPr>
              <w:t>δ = 0.15</w:t>
            </w:r>
            <w:r>
              <w:rPr>
                <w:rFonts w:ascii="Times New Roman" w:hAnsi="Times New Roman"/>
                <w:szCs w:val="24"/>
              </w:rPr>
              <w:t>)</w:t>
            </w:r>
          </w:p>
        </w:tc>
        <w:tc>
          <w:tcPr>
            <w:tcW w:w="1501" w:type="dxa"/>
            <w:tcBorders>
              <w:top w:val="single" w:sz="4" w:space="0" w:color="auto"/>
              <w:left w:val="single" w:sz="4" w:space="0" w:color="auto"/>
              <w:bottom w:val="single" w:sz="4" w:space="0" w:color="auto"/>
              <w:right w:val="single" w:sz="4" w:space="0" w:color="auto"/>
            </w:tcBorders>
            <w:vAlign w:val="bottom"/>
          </w:tcPr>
          <w:p w:rsidR="00CF0727" w:rsidRDefault="00CF0727" w:rsidP="000A009C">
            <w:pPr>
              <w:widowControl w:val="0"/>
              <w:tabs>
                <w:tab w:val="decimal" w:pos="380"/>
              </w:tabs>
              <w:adjustRightInd w:val="0"/>
              <w:spacing w:before="36" w:after="36"/>
              <w:ind w:left="-79" w:right="-108"/>
              <w:jc w:val="left"/>
              <w:textAlignment w:val="baseline"/>
              <w:rPr>
                <w:rFonts w:eastAsia="Times New Roman"/>
                <w:bCs/>
              </w:rPr>
            </w:pPr>
            <w:r>
              <w:rPr>
                <w:rFonts w:eastAsia="Times New Roman"/>
                <w:bCs/>
              </w:rPr>
              <w:t>0.2652</w:t>
            </w:r>
          </w:p>
        </w:tc>
        <w:tc>
          <w:tcPr>
            <w:tcW w:w="1305"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0"/>
              </w:tabs>
              <w:adjustRightInd w:val="0"/>
              <w:spacing w:before="36" w:after="36"/>
              <w:ind w:left="-79" w:right="-108"/>
              <w:jc w:val="left"/>
              <w:textAlignment w:val="baseline"/>
              <w:rPr>
                <w:rFonts w:eastAsia="Times New Roman"/>
                <w:bCs/>
              </w:rPr>
            </w:pPr>
            <w:r>
              <w:rPr>
                <w:rFonts w:eastAsia="Times New Roman"/>
                <w:bCs/>
              </w:rPr>
              <w:t>0.0026</w:t>
            </w:r>
          </w:p>
        </w:tc>
        <w:tc>
          <w:tcPr>
            <w:tcW w:w="1418" w:type="dxa"/>
            <w:tcBorders>
              <w:top w:val="single" w:sz="4" w:space="0" w:color="auto"/>
              <w:left w:val="single" w:sz="4" w:space="0" w:color="auto"/>
              <w:bottom w:val="single" w:sz="4" w:space="0" w:color="auto"/>
              <w:right w:val="single" w:sz="4" w:space="0" w:color="auto"/>
            </w:tcBorders>
            <w:vAlign w:val="bottom"/>
            <w:hideMark/>
          </w:tcPr>
          <w:p w:rsidR="00CF0727" w:rsidRPr="001D7720" w:rsidRDefault="00CF0727" w:rsidP="000A009C">
            <w:pPr>
              <w:widowControl w:val="0"/>
              <w:tabs>
                <w:tab w:val="decimal" w:pos="452"/>
              </w:tabs>
              <w:adjustRightInd w:val="0"/>
              <w:spacing w:before="36" w:after="36"/>
              <w:ind w:left="-108" w:right="-108"/>
              <w:jc w:val="left"/>
              <w:textAlignment w:val="baseline"/>
              <w:rPr>
                <w:rFonts w:eastAsia="Times New Roman"/>
                <w:b/>
                <w:bCs/>
              </w:rPr>
            </w:pPr>
            <w:r>
              <w:rPr>
                <w:rFonts w:eastAsia="Times New Roman"/>
                <w:b/>
                <w:bCs/>
              </w:rPr>
              <w:t>0.0300</w:t>
            </w:r>
          </w:p>
        </w:tc>
        <w:tc>
          <w:tcPr>
            <w:tcW w:w="1567"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0.2327</w:t>
            </w:r>
          </w:p>
        </w:tc>
      </w:tr>
      <w:tr w:rsidR="00CF0727" w:rsidTr="000A009C">
        <w:trPr>
          <w:jc w:val="center"/>
        </w:trPr>
        <w:tc>
          <w:tcPr>
            <w:tcW w:w="1702" w:type="dxa"/>
            <w:tcBorders>
              <w:top w:val="single" w:sz="4" w:space="0" w:color="auto"/>
              <w:left w:val="double" w:sz="4" w:space="0" w:color="auto"/>
              <w:bottom w:val="single" w:sz="4" w:space="0" w:color="auto"/>
              <w:right w:val="single" w:sz="4" w:space="0" w:color="auto"/>
            </w:tcBorders>
            <w:hideMark/>
          </w:tcPr>
          <w:p w:rsidR="00CF0727" w:rsidRDefault="00CF0727" w:rsidP="000A009C">
            <w:pPr>
              <w:pStyle w:val="Normaali1"/>
              <w:spacing w:before="60" w:after="60" w:line="240" w:lineRule="auto"/>
              <w:ind w:right="-84" w:firstLine="6"/>
              <w:rPr>
                <w:rFonts w:ascii="Times New Roman" w:hAnsi="Times New Roman"/>
                <w:szCs w:val="24"/>
              </w:rPr>
            </w:pPr>
            <w:r>
              <w:rPr>
                <w:rFonts w:ascii="Times New Roman" w:hAnsi="Times New Roman"/>
                <w:szCs w:val="24"/>
              </w:rPr>
              <w:t>FLQ (</w:t>
            </w:r>
            <w:r>
              <w:rPr>
                <w:rFonts w:ascii="Times New Roman" w:hAnsi="Times New Roman"/>
                <w:color w:val="000000"/>
                <w:szCs w:val="24"/>
                <w:lang w:val="en-GB"/>
              </w:rPr>
              <w:t>δ = 0.2</w:t>
            </w:r>
            <w:r>
              <w:rPr>
                <w:rFonts w:ascii="Times New Roman" w:hAnsi="Times New Roman"/>
                <w:szCs w:val="24"/>
              </w:rPr>
              <w:t>)</w:t>
            </w:r>
          </w:p>
        </w:tc>
        <w:tc>
          <w:tcPr>
            <w:tcW w:w="1501" w:type="dxa"/>
            <w:tcBorders>
              <w:top w:val="single" w:sz="4" w:space="0" w:color="auto"/>
              <w:left w:val="single" w:sz="4" w:space="0" w:color="auto"/>
              <w:bottom w:val="single" w:sz="4" w:space="0" w:color="auto"/>
              <w:right w:val="single" w:sz="4" w:space="0" w:color="auto"/>
            </w:tcBorders>
            <w:vAlign w:val="bottom"/>
          </w:tcPr>
          <w:p w:rsidR="00CF0727" w:rsidRPr="008515C9" w:rsidRDefault="00CF0727" w:rsidP="000A009C">
            <w:pPr>
              <w:widowControl w:val="0"/>
              <w:tabs>
                <w:tab w:val="decimal" w:pos="380"/>
              </w:tabs>
              <w:adjustRightInd w:val="0"/>
              <w:spacing w:before="36" w:after="36"/>
              <w:ind w:left="-79" w:right="-108"/>
              <w:jc w:val="left"/>
              <w:textAlignment w:val="baseline"/>
              <w:rPr>
                <w:rFonts w:eastAsia="Times New Roman"/>
                <w:b/>
                <w:bCs/>
              </w:rPr>
            </w:pPr>
            <w:r>
              <w:rPr>
                <w:rFonts w:eastAsia="Times New Roman"/>
                <w:b/>
                <w:bCs/>
              </w:rPr>
              <w:t>0.2615</w:t>
            </w:r>
          </w:p>
        </w:tc>
        <w:tc>
          <w:tcPr>
            <w:tcW w:w="1305"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0"/>
              </w:tabs>
              <w:adjustRightInd w:val="0"/>
              <w:spacing w:before="36" w:after="36"/>
              <w:ind w:left="-79" w:right="-108"/>
              <w:jc w:val="left"/>
              <w:textAlignment w:val="baseline"/>
              <w:rPr>
                <w:rFonts w:eastAsia="Times New Roman"/>
                <w:bCs/>
              </w:rPr>
            </w:pPr>
            <w:r>
              <w:rPr>
                <w:rFonts w:eastAsia="Times New Roman"/>
                <w:bCs/>
              </w:rPr>
              <w:t>0.0012</w:t>
            </w:r>
          </w:p>
        </w:tc>
        <w:tc>
          <w:tcPr>
            <w:tcW w:w="1418"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0.0346</w:t>
            </w:r>
          </w:p>
        </w:tc>
        <w:tc>
          <w:tcPr>
            <w:tcW w:w="1567"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452"/>
              </w:tabs>
              <w:adjustRightInd w:val="0"/>
              <w:spacing w:before="36" w:after="36"/>
              <w:ind w:left="-108" w:right="-108"/>
              <w:jc w:val="left"/>
              <w:textAlignment w:val="baseline"/>
              <w:rPr>
                <w:rFonts w:eastAsia="Times New Roman"/>
                <w:bCs/>
              </w:rPr>
            </w:pPr>
            <w:r>
              <w:rPr>
                <w:rFonts w:eastAsia="Times New Roman"/>
                <w:bCs/>
              </w:rPr>
              <w:t>0.2257</w:t>
            </w:r>
          </w:p>
        </w:tc>
      </w:tr>
      <w:tr w:rsidR="00CF0727" w:rsidTr="000A009C">
        <w:trPr>
          <w:jc w:val="center"/>
        </w:trPr>
        <w:tc>
          <w:tcPr>
            <w:tcW w:w="1702" w:type="dxa"/>
            <w:tcBorders>
              <w:top w:val="single" w:sz="4" w:space="0" w:color="auto"/>
              <w:left w:val="double" w:sz="4" w:space="0" w:color="auto"/>
              <w:bottom w:val="single" w:sz="4" w:space="0" w:color="auto"/>
              <w:right w:val="single" w:sz="4" w:space="0" w:color="auto"/>
            </w:tcBorders>
            <w:hideMark/>
          </w:tcPr>
          <w:p w:rsidR="00CF0727" w:rsidRDefault="00CF0727" w:rsidP="000A009C">
            <w:pPr>
              <w:pStyle w:val="Normaali1"/>
              <w:spacing w:before="60" w:after="60" w:line="240" w:lineRule="auto"/>
              <w:ind w:left="-4" w:right="-84"/>
              <w:rPr>
                <w:rFonts w:ascii="Times New Roman" w:hAnsi="Times New Roman"/>
                <w:szCs w:val="24"/>
              </w:rPr>
            </w:pPr>
            <w:r>
              <w:rPr>
                <w:rFonts w:ascii="Times New Roman" w:hAnsi="Times New Roman"/>
                <w:szCs w:val="24"/>
              </w:rPr>
              <w:t>FLQ (</w:t>
            </w:r>
            <w:r>
              <w:rPr>
                <w:rFonts w:ascii="Times New Roman" w:hAnsi="Times New Roman"/>
                <w:color w:val="000000"/>
                <w:szCs w:val="24"/>
                <w:lang w:val="en-GB"/>
              </w:rPr>
              <w:t>δ = 0.25</w:t>
            </w:r>
            <w:r>
              <w:rPr>
                <w:rFonts w:ascii="Times New Roman" w:hAnsi="Times New Roman"/>
                <w:szCs w:val="24"/>
              </w:rPr>
              <w:t>)</w:t>
            </w:r>
          </w:p>
        </w:tc>
        <w:tc>
          <w:tcPr>
            <w:tcW w:w="1501" w:type="dxa"/>
            <w:tcBorders>
              <w:top w:val="single" w:sz="4" w:space="0" w:color="auto"/>
              <w:left w:val="single" w:sz="4" w:space="0" w:color="auto"/>
              <w:bottom w:val="single" w:sz="4" w:space="0" w:color="auto"/>
              <w:right w:val="single" w:sz="4" w:space="0" w:color="auto"/>
            </w:tcBorders>
          </w:tcPr>
          <w:p w:rsidR="00CF0727" w:rsidRPr="008515C9" w:rsidRDefault="00CF0727" w:rsidP="000A009C">
            <w:pPr>
              <w:pStyle w:val="Normaali1"/>
              <w:tabs>
                <w:tab w:val="decimal" w:pos="380"/>
              </w:tabs>
              <w:spacing w:before="60" w:after="60" w:line="240" w:lineRule="auto"/>
              <w:ind w:left="-146" w:right="5" w:hanging="10"/>
              <w:jc w:val="left"/>
              <w:rPr>
                <w:rFonts w:ascii="Times New Roman" w:hAnsi="Times New Roman"/>
                <w:szCs w:val="24"/>
              </w:rPr>
            </w:pPr>
            <w:r w:rsidRPr="008515C9">
              <w:rPr>
                <w:rFonts w:ascii="Times New Roman" w:hAnsi="Times New Roman"/>
                <w:szCs w:val="24"/>
              </w:rPr>
              <w:t>0</w:t>
            </w:r>
            <w:r>
              <w:rPr>
                <w:rFonts w:ascii="Times New Roman" w:hAnsi="Times New Roman"/>
                <w:szCs w:val="24"/>
              </w:rPr>
              <w:t>.2674</w:t>
            </w:r>
          </w:p>
        </w:tc>
        <w:tc>
          <w:tcPr>
            <w:tcW w:w="1305" w:type="dxa"/>
            <w:tcBorders>
              <w:top w:val="single" w:sz="4" w:space="0" w:color="auto"/>
              <w:left w:val="single" w:sz="4" w:space="0" w:color="auto"/>
              <w:bottom w:val="single" w:sz="4" w:space="0" w:color="auto"/>
              <w:right w:val="single" w:sz="4" w:space="0" w:color="auto"/>
            </w:tcBorders>
            <w:hideMark/>
          </w:tcPr>
          <w:p w:rsidR="00CF0727" w:rsidRPr="001D7720" w:rsidRDefault="00CF0727" w:rsidP="000A009C">
            <w:pPr>
              <w:pStyle w:val="Normaali1"/>
              <w:tabs>
                <w:tab w:val="decimal" w:pos="380"/>
              </w:tabs>
              <w:spacing w:before="60" w:after="60" w:line="240" w:lineRule="auto"/>
              <w:ind w:left="-146" w:right="5" w:hanging="10"/>
              <w:jc w:val="left"/>
              <w:rPr>
                <w:rFonts w:ascii="Times New Roman" w:hAnsi="Times New Roman"/>
                <w:b/>
                <w:szCs w:val="24"/>
              </w:rPr>
            </w:pPr>
            <w:r>
              <w:rPr>
                <w:rFonts w:ascii="Times New Roman" w:hAnsi="Times New Roman"/>
                <w:b/>
                <w:szCs w:val="24"/>
              </w:rPr>
              <w:t>0.0008</w:t>
            </w:r>
          </w:p>
        </w:tc>
        <w:tc>
          <w:tcPr>
            <w:tcW w:w="1418" w:type="dxa"/>
            <w:tcBorders>
              <w:top w:val="single" w:sz="4" w:space="0" w:color="auto"/>
              <w:left w:val="single" w:sz="4" w:space="0" w:color="auto"/>
              <w:bottom w:val="single" w:sz="4" w:space="0" w:color="auto"/>
              <w:right w:val="single" w:sz="4" w:space="0" w:color="auto"/>
            </w:tcBorders>
            <w:hideMark/>
          </w:tcPr>
          <w:p w:rsidR="00CF0727" w:rsidRDefault="00CF0727" w:rsidP="000A009C">
            <w:pPr>
              <w:pStyle w:val="Normaali1"/>
              <w:tabs>
                <w:tab w:val="decimal" w:pos="452"/>
              </w:tabs>
              <w:spacing w:before="60" w:after="60" w:line="240" w:lineRule="auto"/>
              <w:ind w:left="-146" w:right="5" w:hanging="10"/>
              <w:jc w:val="left"/>
              <w:rPr>
                <w:rFonts w:ascii="Times New Roman" w:hAnsi="Times New Roman"/>
                <w:szCs w:val="24"/>
              </w:rPr>
            </w:pPr>
            <w:r>
              <w:rPr>
                <w:rFonts w:ascii="Times New Roman" w:hAnsi="Times New Roman"/>
                <w:szCs w:val="24"/>
              </w:rPr>
              <w:t>0.0489</w:t>
            </w:r>
          </w:p>
        </w:tc>
        <w:tc>
          <w:tcPr>
            <w:tcW w:w="1567" w:type="dxa"/>
            <w:tcBorders>
              <w:top w:val="single" w:sz="4" w:space="0" w:color="auto"/>
              <w:left w:val="single" w:sz="4" w:space="0" w:color="auto"/>
              <w:bottom w:val="single" w:sz="4" w:space="0" w:color="auto"/>
              <w:right w:val="double" w:sz="4" w:space="0" w:color="auto"/>
            </w:tcBorders>
            <w:hideMark/>
          </w:tcPr>
          <w:p w:rsidR="00CF0727" w:rsidRDefault="00CF0727" w:rsidP="000A009C">
            <w:pPr>
              <w:pStyle w:val="Normaali1"/>
              <w:tabs>
                <w:tab w:val="decimal" w:pos="452"/>
              </w:tabs>
              <w:spacing w:before="60" w:after="60" w:line="240" w:lineRule="auto"/>
              <w:ind w:left="-146" w:right="5" w:hanging="10"/>
              <w:jc w:val="left"/>
              <w:rPr>
                <w:rFonts w:ascii="Times New Roman" w:hAnsi="Times New Roman"/>
                <w:szCs w:val="24"/>
              </w:rPr>
            </w:pPr>
            <w:r>
              <w:rPr>
                <w:rFonts w:ascii="Times New Roman" w:hAnsi="Times New Roman"/>
                <w:szCs w:val="24"/>
              </w:rPr>
              <w:t>0.2178</w:t>
            </w:r>
          </w:p>
        </w:tc>
      </w:tr>
      <w:tr w:rsidR="00CF0727" w:rsidTr="000A009C">
        <w:trPr>
          <w:jc w:val="center"/>
        </w:trPr>
        <w:tc>
          <w:tcPr>
            <w:tcW w:w="1702" w:type="dxa"/>
            <w:tcBorders>
              <w:top w:val="single" w:sz="4" w:space="0" w:color="auto"/>
              <w:left w:val="double" w:sz="4" w:space="0" w:color="auto"/>
              <w:bottom w:val="single" w:sz="4" w:space="0" w:color="auto"/>
              <w:right w:val="single" w:sz="4" w:space="0" w:color="auto"/>
            </w:tcBorders>
            <w:hideMark/>
          </w:tcPr>
          <w:p w:rsidR="00CF0727" w:rsidRDefault="00CF0727" w:rsidP="000A009C">
            <w:pPr>
              <w:pStyle w:val="Normaali1"/>
              <w:spacing w:before="60" w:after="60" w:line="240" w:lineRule="auto"/>
              <w:ind w:left="-4" w:right="-115"/>
              <w:jc w:val="left"/>
              <w:rPr>
                <w:rFonts w:ascii="Times New Roman" w:hAnsi="Times New Roman"/>
                <w:szCs w:val="24"/>
              </w:rPr>
            </w:pPr>
            <w:r>
              <w:rPr>
                <w:rFonts w:ascii="Times New Roman" w:hAnsi="Times New Roman"/>
                <w:szCs w:val="24"/>
              </w:rPr>
              <w:t>FLQ (</w:t>
            </w:r>
            <w:r>
              <w:rPr>
                <w:rFonts w:ascii="Times New Roman" w:hAnsi="Times New Roman"/>
                <w:color w:val="000000"/>
                <w:szCs w:val="24"/>
                <w:lang w:val="en-GB"/>
              </w:rPr>
              <w:t>δ = 0.3</w:t>
            </w:r>
            <w:r>
              <w:rPr>
                <w:rFonts w:ascii="Times New Roman" w:hAnsi="Times New Roman"/>
                <w:szCs w:val="24"/>
              </w:rPr>
              <w:t>)</w:t>
            </w:r>
          </w:p>
        </w:tc>
        <w:tc>
          <w:tcPr>
            <w:tcW w:w="1501" w:type="dxa"/>
            <w:tcBorders>
              <w:top w:val="single" w:sz="4" w:space="0" w:color="auto"/>
              <w:left w:val="single" w:sz="4" w:space="0" w:color="auto"/>
              <w:bottom w:val="single" w:sz="4" w:space="0" w:color="auto"/>
              <w:right w:val="single" w:sz="4" w:space="0" w:color="auto"/>
            </w:tcBorders>
          </w:tcPr>
          <w:p w:rsidR="00CF0727" w:rsidRDefault="00CF0727" w:rsidP="000A009C">
            <w:pPr>
              <w:pStyle w:val="Normaali1"/>
              <w:tabs>
                <w:tab w:val="decimal" w:pos="380"/>
              </w:tabs>
              <w:spacing w:before="60" w:after="60" w:line="240" w:lineRule="auto"/>
              <w:ind w:left="-115" w:right="-115"/>
              <w:jc w:val="left"/>
              <w:rPr>
                <w:rFonts w:ascii="Times New Roman" w:hAnsi="Times New Roman"/>
                <w:szCs w:val="24"/>
              </w:rPr>
            </w:pPr>
            <w:r>
              <w:rPr>
                <w:rFonts w:ascii="Times New Roman" w:hAnsi="Times New Roman"/>
                <w:szCs w:val="24"/>
              </w:rPr>
              <w:t>0.2827</w:t>
            </w:r>
          </w:p>
        </w:tc>
        <w:tc>
          <w:tcPr>
            <w:tcW w:w="1305" w:type="dxa"/>
            <w:tcBorders>
              <w:top w:val="single" w:sz="4" w:space="0" w:color="auto"/>
              <w:left w:val="single" w:sz="4" w:space="0" w:color="auto"/>
              <w:bottom w:val="single" w:sz="4" w:space="0" w:color="auto"/>
              <w:right w:val="single" w:sz="4" w:space="0" w:color="auto"/>
            </w:tcBorders>
            <w:hideMark/>
          </w:tcPr>
          <w:p w:rsidR="00CF0727" w:rsidRDefault="00CF0727" w:rsidP="000A009C">
            <w:pPr>
              <w:pStyle w:val="Normaali1"/>
              <w:tabs>
                <w:tab w:val="decimal" w:pos="380"/>
              </w:tabs>
              <w:spacing w:before="60" w:after="60" w:line="240" w:lineRule="auto"/>
              <w:ind w:left="-115" w:right="-115"/>
              <w:jc w:val="left"/>
              <w:rPr>
                <w:rFonts w:ascii="Times New Roman" w:hAnsi="Times New Roman"/>
                <w:szCs w:val="24"/>
              </w:rPr>
            </w:pPr>
            <w:r>
              <w:rPr>
                <w:rFonts w:ascii="Times New Roman" w:hAnsi="Times New Roman"/>
                <w:szCs w:val="24"/>
              </w:rPr>
              <w:t>0.0011</w:t>
            </w:r>
          </w:p>
        </w:tc>
        <w:tc>
          <w:tcPr>
            <w:tcW w:w="1418" w:type="dxa"/>
            <w:tcBorders>
              <w:top w:val="single" w:sz="4" w:space="0" w:color="auto"/>
              <w:left w:val="single" w:sz="4" w:space="0" w:color="auto"/>
              <w:bottom w:val="single" w:sz="4" w:space="0" w:color="auto"/>
              <w:right w:val="single" w:sz="4" w:space="0" w:color="auto"/>
            </w:tcBorders>
            <w:hideMark/>
          </w:tcPr>
          <w:p w:rsidR="00CF0727" w:rsidRDefault="00CF0727" w:rsidP="000A009C">
            <w:pPr>
              <w:pStyle w:val="Normaali1"/>
              <w:tabs>
                <w:tab w:val="decimal" w:pos="452"/>
              </w:tabs>
              <w:spacing w:before="60" w:after="60" w:line="240" w:lineRule="auto"/>
              <w:ind w:left="-115" w:right="-115"/>
              <w:jc w:val="left"/>
              <w:rPr>
                <w:rFonts w:ascii="Times New Roman" w:hAnsi="Times New Roman"/>
                <w:szCs w:val="24"/>
              </w:rPr>
            </w:pPr>
            <w:r>
              <w:rPr>
                <w:rFonts w:ascii="Times New Roman" w:hAnsi="Times New Roman"/>
                <w:szCs w:val="24"/>
              </w:rPr>
              <w:t>0.0728</w:t>
            </w:r>
          </w:p>
        </w:tc>
        <w:tc>
          <w:tcPr>
            <w:tcW w:w="1567" w:type="dxa"/>
            <w:tcBorders>
              <w:top w:val="single" w:sz="4" w:space="0" w:color="auto"/>
              <w:left w:val="single" w:sz="4" w:space="0" w:color="auto"/>
              <w:bottom w:val="single" w:sz="4" w:space="0" w:color="auto"/>
              <w:right w:val="double" w:sz="4" w:space="0" w:color="auto"/>
            </w:tcBorders>
            <w:hideMark/>
          </w:tcPr>
          <w:p w:rsidR="00CF0727" w:rsidRPr="00020C47" w:rsidRDefault="00CF0727" w:rsidP="000A009C">
            <w:pPr>
              <w:pStyle w:val="Normaali1"/>
              <w:tabs>
                <w:tab w:val="decimal" w:pos="452"/>
              </w:tabs>
              <w:spacing w:before="60" w:after="60" w:line="240" w:lineRule="auto"/>
              <w:ind w:left="-115" w:right="-115"/>
              <w:jc w:val="left"/>
              <w:rPr>
                <w:rFonts w:ascii="Times New Roman" w:hAnsi="Times New Roman"/>
                <w:szCs w:val="24"/>
              </w:rPr>
            </w:pPr>
            <w:r w:rsidRPr="00020C47">
              <w:rPr>
                <w:rFonts w:ascii="Times New Roman" w:hAnsi="Times New Roman"/>
                <w:szCs w:val="24"/>
              </w:rPr>
              <w:t>0.2088</w:t>
            </w:r>
          </w:p>
        </w:tc>
      </w:tr>
      <w:tr w:rsidR="00CF0727" w:rsidTr="000A009C">
        <w:trPr>
          <w:jc w:val="center"/>
        </w:trPr>
        <w:tc>
          <w:tcPr>
            <w:tcW w:w="1702" w:type="dxa"/>
            <w:tcBorders>
              <w:top w:val="single" w:sz="4" w:space="0" w:color="auto"/>
              <w:left w:val="double" w:sz="4" w:space="0" w:color="auto"/>
              <w:bottom w:val="double" w:sz="4" w:space="0" w:color="auto"/>
              <w:right w:val="single" w:sz="4" w:space="0" w:color="auto"/>
            </w:tcBorders>
            <w:hideMark/>
          </w:tcPr>
          <w:p w:rsidR="00CF0727" w:rsidRDefault="00CF0727" w:rsidP="000A009C">
            <w:pPr>
              <w:pStyle w:val="Normaali1"/>
              <w:spacing w:before="60" w:after="60" w:line="240" w:lineRule="auto"/>
              <w:ind w:left="-4" w:right="-115"/>
              <w:jc w:val="left"/>
              <w:rPr>
                <w:rFonts w:ascii="Times New Roman" w:hAnsi="Times New Roman"/>
                <w:szCs w:val="24"/>
              </w:rPr>
            </w:pPr>
            <w:r>
              <w:rPr>
                <w:rFonts w:ascii="Times New Roman" w:hAnsi="Times New Roman"/>
                <w:szCs w:val="24"/>
              </w:rPr>
              <w:t>FLQ (</w:t>
            </w:r>
            <w:r>
              <w:rPr>
                <w:rFonts w:ascii="Times New Roman" w:hAnsi="Times New Roman"/>
                <w:color w:val="000000"/>
                <w:szCs w:val="24"/>
                <w:lang w:val="en-GB"/>
              </w:rPr>
              <w:t>δ = 0.35</w:t>
            </w:r>
            <w:r>
              <w:rPr>
                <w:rFonts w:ascii="Times New Roman" w:hAnsi="Times New Roman"/>
                <w:szCs w:val="24"/>
              </w:rPr>
              <w:t>)</w:t>
            </w:r>
          </w:p>
        </w:tc>
        <w:tc>
          <w:tcPr>
            <w:tcW w:w="1501" w:type="dxa"/>
            <w:tcBorders>
              <w:top w:val="single" w:sz="4" w:space="0" w:color="auto"/>
              <w:left w:val="single" w:sz="4" w:space="0" w:color="auto"/>
              <w:bottom w:val="double" w:sz="4" w:space="0" w:color="auto"/>
              <w:right w:val="single" w:sz="4" w:space="0" w:color="auto"/>
            </w:tcBorders>
          </w:tcPr>
          <w:p w:rsidR="00CF0727" w:rsidRDefault="00CF0727" w:rsidP="000A009C">
            <w:pPr>
              <w:pStyle w:val="Normaali1"/>
              <w:tabs>
                <w:tab w:val="decimal" w:pos="380"/>
              </w:tabs>
              <w:spacing w:before="60" w:after="60" w:line="240" w:lineRule="auto"/>
              <w:ind w:left="-115" w:right="-115"/>
              <w:jc w:val="left"/>
              <w:rPr>
                <w:rFonts w:ascii="Times New Roman" w:hAnsi="Times New Roman"/>
                <w:szCs w:val="24"/>
              </w:rPr>
            </w:pPr>
            <w:r>
              <w:rPr>
                <w:rFonts w:ascii="Times New Roman" w:hAnsi="Times New Roman"/>
                <w:szCs w:val="24"/>
              </w:rPr>
              <w:t>0.3023</w:t>
            </w:r>
          </w:p>
        </w:tc>
        <w:tc>
          <w:tcPr>
            <w:tcW w:w="1305" w:type="dxa"/>
            <w:tcBorders>
              <w:top w:val="single" w:sz="4" w:space="0" w:color="auto"/>
              <w:left w:val="single" w:sz="4" w:space="0" w:color="auto"/>
              <w:bottom w:val="double" w:sz="4" w:space="0" w:color="auto"/>
              <w:right w:val="single" w:sz="4" w:space="0" w:color="auto"/>
            </w:tcBorders>
            <w:hideMark/>
          </w:tcPr>
          <w:p w:rsidR="00CF0727" w:rsidRDefault="00CF0727" w:rsidP="000A009C">
            <w:pPr>
              <w:pStyle w:val="Normaali1"/>
              <w:tabs>
                <w:tab w:val="decimal" w:pos="380"/>
              </w:tabs>
              <w:spacing w:before="60" w:after="60" w:line="240" w:lineRule="auto"/>
              <w:ind w:left="-115" w:right="-115"/>
              <w:jc w:val="left"/>
              <w:rPr>
                <w:rFonts w:ascii="Times New Roman" w:hAnsi="Times New Roman"/>
                <w:szCs w:val="24"/>
              </w:rPr>
            </w:pPr>
            <w:r>
              <w:rPr>
                <w:rFonts w:ascii="Times New Roman" w:hAnsi="Times New Roman"/>
                <w:szCs w:val="24"/>
              </w:rPr>
              <w:t>0.0021</w:t>
            </w:r>
          </w:p>
        </w:tc>
        <w:tc>
          <w:tcPr>
            <w:tcW w:w="1418" w:type="dxa"/>
            <w:tcBorders>
              <w:top w:val="single" w:sz="4" w:space="0" w:color="auto"/>
              <w:left w:val="single" w:sz="4" w:space="0" w:color="auto"/>
              <w:bottom w:val="double" w:sz="4" w:space="0" w:color="auto"/>
              <w:right w:val="single" w:sz="4" w:space="0" w:color="auto"/>
            </w:tcBorders>
            <w:hideMark/>
          </w:tcPr>
          <w:p w:rsidR="00CF0727" w:rsidRDefault="00CF0727" w:rsidP="000A009C">
            <w:pPr>
              <w:pStyle w:val="Normaali1"/>
              <w:tabs>
                <w:tab w:val="decimal" w:pos="452"/>
              </w:tabs>
              <w:spacing w:before="60" w:after="60" w:line="240" w:lineRule="auto"/>
              <w:ind w:left="-115" w:right="-115"/>
              <w:jc w:val="left"/>
              <w:rPr>
                <w:rFonts w:ascii="Times New Roman" w:hAnsi="Times New Roman"/>
                <w:szCs w:val="24"/>
              </w:rPr>
            </w:pPr>
            <w:r>
              <w:rPr>
                <w:rFonts w:ascii="Times New Roman" w:hAnsi="Times New Roman"/>
                <w:szCs w:val="24"/>
              </w:rPr>
              <w:t>0.1026</w:t>
            </w:r>
          </w:p>
        </w:tc>
        <w:tc>
          <w:tcPr>
            <w:tcW w:w="1567" w:type="dxa"/>
            <w:tcBorders>
              <w:top w:val="single" w:sz="4" w:space="0" w:color="auto"/>
              <w:left w:val="single" w:sz="4" w:space="0" w:color="auto"/>
              <w:bottom w:val="double" w:sz="4" w:space="0" w:color="auto"/>
              <w:right w:val="double" w:sz="4" w:space="0" w:color="auto"/>
            </w:tcBorders>
            <w:hideMark/>
          </w:tcPr>
          <w:p w:rsidR="00CF0727" w:rsidRPr="003B5ED7" w:rsidRDefault="00CF0727" w:rsidP="000A009C">
            <w:pPr>
              <w:pStyle w:val="Normaali1"/>
              <w:tabs>
                <w:tab w:val="decimal" w:pos="452"/>
              </w:tabs>
              <w:spacing w:before="60" w:after="60" w:line="240" w:lineRule="auto"/>
              <w:ind w:left="-115" w:right="-115"/>
              <w:jc w:val="left"/>
              <w:rPr>
                <w:rFonts w:ascii="Times New Roman" w:hAnsi="Times New Roman"/>
                <w:b/>
                <w:szCs w:val="24"/>
              </w:rPr>
            </w:pPr>
            <w:r>
              <w:rPr>
                <w:rFonts w:ascii="Times New Roman" w:hAnsi="Times New Roman"/>
                <w:b/>
                <w:szCs w:val="24"/>
              </w:rPr>
              <w:t>0.1976</w:t>
            </w:r>
          </w:p>
        </w:tc>
      </w:tr>
    </w:tbl>
    <w:p w:rsidR="00CF0727" w:rsidRDefault="00CF0727" w:rsidP="00CF0727">
      <w:pPr>
        <w:rPr>
          <w:b/>
          <w:color w:val="000000"/>
          <w:szCs w:val="26"/>
        </w:rPr>
      </w:pPr>
    </w:p>
    <w:p w:rsidR="00CF0727" w:rsidRDefault="00CF0727" w:rsidP="00CF0727">
      <w:pPr>
        <w:jc w:val="center"/>
        <w:rPr>
          <w:i/>
          <w:color w:val="000000"/>
          <w:szCs w:val="26"/>
        </w:rPr>
      </w:pPr>
      <w:r>
        <w:rPr>
          <w:b/>
          <w:color w:val="000000"/>
          <w:szCs w:val="26"/>
        </w:rPr>
        <w:br w:type="page"/>
      </w:r>
      <w:r>
        <w:rPr>
          <w:b/>
          <w:lang w:val="en-US"/>
        </w:rPr>
        <w:lastRenderedPageBreak/>
        <w:t>Table 8</w:t>
      </w:r>
      <w:r>
        <w:rPr>
          <w:lang w:val="en-US"/>
        </w:rPr>
        <w:t xml:space="preserve">.  </w:t>
      </w:r>
      <w:r w:rsidRPr="00140D46">
        <w:rPr>
          <w:i/>
          <w:lang w:val="en-US"/>
        </w:rPr>
        <w:t xml:space="preserve">Regressions of regional on national </w:t>
      </w:r>
      <w:r w:rsidRPr="00140D46">
        <w:rPr>
          <w:i/>
          <w:color w:val="000000"/>
          <w:szCs w:val="26"/>
        </w:rPr>
        <w:t>sums of</w:t>
      </w:r>
      <w:r>
        <w:rPr>
          <w:i/>
          <w:color w:val="000000"/>
          <w:szCs w:val="26"/>
        </w:rPr>
        <w:t xml:space="preserve"> </w:t>
      </w:r>
      <w:r w:rsidRPr="00140D46">
        <w:rPr>
          <w:i/>
          <w:color w:val="000000"/>
          <w:szCs w:val="26"/>
        </w:rPr>
        <w:t>intermediate</w:t>
      </w:r>
    </w:p>
    <w:p w:rsidR="00CF0727" w:rsidRDefault="00CF0727" w:rsidP="00CF0727">
      <w:pPr>
        <w:spacing w:after="120"/>
        <w:jc w:val="center"/>
        <w:rPr>
          <w:color w:val="000000"/>
          <w:szCs w:val="26"/>
        </w:rPr>
      </w:pPr>
      <w:r w:rsidRPr="00140D46">
        <w:rPr>
          <w:i/>
          <w:color w:val="000000"/>
          <w:szCs w:val="26"/>
        </w:rPr>
        <w:t>input coefficients</w:t>
      </w:r>
      <w:r>
        <w:rPr>
          <w:i/>
          <w:color w:val="000000"/>
          <w:szCs w:val="26"/>
        </w:rPr>
        <w:t xml:space="preserve"> for 20 Finnish regions in 1995</w:t>
      </w:r>
    </w:p>
    <w:tbl>
      <w:tblPr>
        <w:tblpPr w:leftFromText="187" w:rightFromText="187" w:vertAnchor="text" w:tblpXSpec="center" w:tblpY="1"/>
        <w:tblOverlap w:val="never"/>
        <w:tblW w:w="747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2028"/>
        <w:gridCol w:w="1766"/>
        <w:gridCol w:w="1701"/>
        <w:gridCol w:w="850"/>
        <w:gridCol w:w="1134"/>
      </w:tblGrid>
      <w:tr w:rsidR="00CF0727" w:rsidTr="000A009C">
        <w:trPr>
          <w:trHeight w:val="672"/>
        </w:trPr>
        <w:tc>
          <w:tcPr>
            <w:tcW w:w="2028" w:type="dxa"/>
            <w:tcBorders>
              <w:top w:val="double" w:sz="4" w:space="0" w:color="auto"/>
              <w:left w:val="double" w:sz="4" w:space="0" w:color="auto"/>
              <w:bottom w:val="single" w:sz="4" w:space="0" w:color="auto"/>
              <w:right w:val="single" w:sz="4" w:space="0" w:color="auto"/>
            </w:tcBorders>
          </w:tcPr>
          <w:p w:rsidR="00CF0727" w:rsidRDefault="00CF0727" w:rsidP="000A009C">
            <w:pPr>
              <w:widowControl w:val="0"/>
              <w:adjustRightInd w:val="0"/>
              <w:spacing w:before="60"/>
              <w:textAlignment w:val="baseline"/>
              <w:rPr>
                <w:rFonts w:eastAsia="Times New Roman"/>
                <w:color w:val="FFFFFF"/>
              </w:rPr>
            </w:pPr>
          </w:p>
        </w:tc>
        <w:tc>
          <w:tcPr>
            <w:tcW w:w="1766" w:type="dxa"/>
            <w:tcBorders>
              <w:top w:val="double" w:sz="4" w:space="0" w:color="auto"/>
              <w:left w:val="single" w:sz="4" w:space="0" w:color="auto"/>
              <w:bottom w:val="single" w:sz="4" w:space="0" w:color="auto"/>
              <w:right w:val="single" w:sz="4" w:space="0" w:color="auto"/>
            </w:tcBorders>
            <w:hideMark/>
          </w:tcPr>
          <w:p w:rsidR="00CF0727" w:rsidRPr="00E61161" w:rsidRDefault="00CF0727" w:rsidP="000A009C">
            <w:pPr>
              <w:widowControl w:val="0"/>
              <w:adjustRightInd w:val="0"/>
              <w:spacing w:before="90"/>
              <w:jc w:val="center"/>
              <w:textAlignment w:val="baseline"/>
              <w:rPr>
                <w:rFonts w:eastAsia="Times New Roman"/>
              </w:rPr>
            </w:pPr>
            <w:r>
              <w:rPr>
                <w:rFonts w:eastAsia="Times New Roman"/>
                <w:sz w:val="22"/>
                <w:szCs w:val="22"/>
              </w:rPr>
              <w:t>Intercept (</w:t>
            </w:r>
            <w:r w:rsidRPr="00E96372">
              <w:rPr>
                <w:spacing w:val="-2"/>
              </w:rPr>
              <w:t>|</w:t>
            </w:r>
            <w:r>
              <w:rPr>
                <w:i/>
                <w:spacing w:val="-2"/>
              </w:rPr>
              <w:t>t</w:t>
            </w:r>
            <w:r w:rsidRPr="00E96372">
              <w:rPr>
                <w:spacing w:val="-2"/>
              </w:rPr>
              <w:t>|</w:t>
            </w:r>
            <w:r>
              <w:rPr>
                <w:rFonts w:eastAsia="Times New Roman"/>
                <w:sz w:val="22"/>
                <w:szCs w:val="22"/>
              </w:rPr>
              <w:t>)</w:t>
            </w:r>
          </w:p>
        </w:tc>
        <w:tc>
          <w:tcPr>
            <w:tcW w:w="1701" w:type="dxa"/>
            <w:tcBorders>
              <w:top w:val="double" w:sz="4" w:space="0" w:color="auto"/>
              <w:left w:val="single" w:sz="4" w:space="0" w:color="auto"/>
              <w:bottom w:val="single" w:sz="4" w:space="0" w:color="auto"/>
              <w:right w:val="single" w:sz="4" w:space="0" w:color="auto"/>
            </w:tcBorders>
            <w:hideMark/>
          </w:tcPr>
          <w:p w:rsidR="00CF0727" w:rsidRDefault="00CF0727" w:rsidP="000A009C">
            <w:pPr>
              <w:widowControl w:val="0"/>
              <w:adjustRightInd w:val="0"/>
              <w:spacing w:before="90"/>
              <w:jc w:val="center"/>
              <w:textAlignment w:val="baseline"/>
              <w:rPr>
                <w:rFonts w:eastAsia="Times New Roman"/>
              </w:rPr>
            </w:pPr>
            <w:r>
              <w:rPr>
                <w:rFonts w:eastAsia="Times New Roman"/>
                <w:sz w:val="22"/>
                <w:szCs w:val="22"/>
              </w:rPr>
              <w:t>Slope (</w:t>
            </w:r>
            <w:r w:rsidRPr="00E96372">
              <w:rPr>
                <w:spacing w:val="-2"/>
              </w:rPr>
              <w:t>|</w:t>
            </w:r>
            <w:r>
              <w:rPr>
                <w:i/>
                <w:spacing w:val="-2"/>
              </w:rPr>
              <w:t>t</w:t>
            </w:r>
            <w:r w:rsidRPr="00E96372">
              <w:rPr>
                <w:spacing w:val="-2"/>
              </w:rPr>
              <w:t>|</w:t>
            </w:r>
            <w:r>
              <w:rPr>
                <w:rFonts w:eastAsia="Times New Roman"/>
                <w:sz w:val="22"/>
                <w:szCs w:val="22"/>
              </w:rPr>
              <w:t>)</w:t>
            </w:r>
          </w:p>
        </w:tc>
        <w:tc>
          <w:tcPr>
            <w:tcW w:w="850" w:type="dxa"/>
            <w:tcBorders>
              <w:top w:val="double" w:sz="4" w:space="0" w:color="auto"/>
              <w:left w:val="single" w:sz="4" w:space="0" w:color="auto"/>
              <w:right w:val="single" w:sz="4" w:space="0" w:color="auto"/>
            </w:tcBorders>
          </w:tcPr>
          <w:p w:rsidR="00CF0727" w:rsidRDefault="00CF0727" w:rsidP="000A009C">
            <w:pPr>
              <w:widowControl w:val="0"/>
              <w:adjustRightInd w:val="0"/>
              <w:spacing w:before="90"/>
              <w:jc w:val="center"/>
              <w:textAlignment w:val="baseline"/>
              <w:rPr>
                <w:rFonts w:eastAsia="Times New Roman"/>
              </w:rPr>
            </w:pPr>
            <w:r>
              <w:rPr>
                <w:rFonts w:eastAsia="Times New Roman"/>
              </w:rPr>
              <w:t>n</w:t>
            </w:r>
          </w:p>
        </w:tc>
        <w:tc>
          <w:tcPr>
            <w:tcW w:w="1134" w:type="dxa"/>
            <w:tcBorders>
              <w:top w:val="double" w:sz="4" w:space="0" w:color="auto"/>
              <w:left w:val="single" w:sz="4" w:space="0" w:color="auto"/>
              <w:bottom w:val="single" w:sz="4" w:space="0" w:color="auto"/>
              <w:right w:val="double" w:sz="4" w:space="0" w:color="auto"/>
            </w:tcBorders>
            <w:hideMark/>
          </w:tcPr>
          <w:p w:rsidR="00CF0727" w:rsidRPr="00E61161" w:rsidRDefault="00CF0727" w:rsidP="000A009C">
            <w:pPr>
              <w:widowControl w:val="0"/>
              <w:adjustRightInd w:val="0"/>
              <w:spacing w:before="90"/>
              <w:jc w:val="center"/>
              <w:textAlignment w:val="baseline"/>
              <w:rPr>
                <w:rFonts w:eastAsia="Times New Roman"/>
                <w:vertAlign w:val="superscript"/>
              </w:rPr>
            </w:pPr>
            <w:r>
              <w:rPr>
                <w:rFonts w:eastAsia="Times New Roman"/>
              </w:rPr>
              <w:t>R</w:t>
            </w:r>
            <w:r>
              <w:rPr>
                <w:rFonts w:eastAsia="Times New Roman"/>
                <w:vertAlign w:val="superscript"/>
              </w:rPr>
              <w:t>2</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Ahvenanmaa</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Pr>
                <w:rFonts w:eastAsia="Times New Roman"/>
                <w:sz w:val="22"/>
                <w:szCs w:val="22"/>
              </w:rPr>
              <w:t>0.055 (1.16)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0.840 (1.45)</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adjustRightInd w:val="0"/>
              <w:spacing w:before="60" w:after="60"/>
              <w:jc w:val="center"/>
              <w:textAlignment w:val="baseline"/>
              <w:rPr>
                <w:rFonts w:eastAsia="Times New Roman"/>
              </w:rPr>
            </w:pPr>
            <w:r>
              <w:rPr>
                <w:rFonts w:eastAsia="Times New Roman"/>
                <w:sz w:val="22"/>
                <w:szCs w:val="22"/>
              </w:rPr>
              <w:t>37</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0.621</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Keski-Pohjanmaa</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sidRPr="000811C6">
              <w:rPr>
                <w:rFonts w:eastAsia="Times New Roman"/>
                <w:sz w:val="22"/>
                <w:szCs w:val="22"/>
              </w:rPr>
              <w:sym w:font="Symbol" w:char="F02D"/>
            </w:r>
            <w:r>
              <w:rPr>
                <w:rFonts w:eastAsia="Times New Roman"/>
                <w:sz w:val="22"/>
                <w:szCs w:val="22"/>
              </w:rPr>
              <w:t>0.059 (1.67)</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1.124 (1.50)</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37</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0.842</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Kainuu</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sidRPr="000811C6">
              <w:rPr>
                <w:rFonts w:eastAsia="Times New Roman"/>
                <w:sz w:val="22"/>
                <w:szCs w:val="22"/>
              </w:rPr>
              <w:sym w:font="Symbol" w:char="F02D"/>
            </w:r>
            <w:r>
              <w:rPr>
                <w:rFonts w:eastAsia="Times New Roman"/>
                <w:sz w:val="22"/>
                <w:szCs w:val="22"/>
              </w:rPr>
              <w:t>0.016 (0.40)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0.985 (0.16)</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36</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0.775</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Etelä-Savo</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sidRPr="000811C6">
              <w:rPr>
                <w:rFonts w:eastAsia="Times New Roman"/>
                <w:sz w:val="22"/>
                <w:szCs w:val="22"/>
              </w:rPr>
              <w:sym w:font="Symbol" w:char="F02D"/>
            </w:r>
            <w:r>
              <w:rPr>
                <w:rFonts w:eastAsia="Times New Roman"/>
                <w:sz w:val="22"/>
                <w:szCs w:val="22"/>
              </w:rPr>
              <w:t>0.010 (0.26)</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0.954 (0.54)</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36</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0.788</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Pr="00140D46" w:rsidRDefault="00CF0727" w:rsidP="000A009C">
            <w:pPr>
              <w:widowControl w:val="0"/>
              <w:adjustRightInd w:val="0"/>
              <w:spacing w:before="60" w:after="60"/>
              <w:textAlignment w:val="baseline"/>
              <w:rPr>
                <w:rFonts w:eastAsia="Times New Roman"/>
              </w:rPr>
            </w:pPr>
            <w:r w:rsidRPr="00140D46">
              <w:rPr>
                <w:rFonts w:eastAsia="Times New Roman"/>
                <w:sz w:val="22"/>
                <w:szCs w:val="22"/>
              </w:rPr>
              <w:t>Itä-Uusimaa</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Pr="00140D46" w:rsidRDefault="00CF0727" w:rsidP="000A009C">
            <w:pPr>
              <w:widowControl w:val="0"/>
              <w:tabs>
                <w:tab w:val="decimal" w:pos="382"/>
              </w:tabs>
              <w:adjustRightInd w:val="0"/>
              <w:spacing w:before="60" w:after="60"/>
              <w:jc w:val="left"/>
              <w:textAlignment w:val="baseline"/>
              <w:rPr>
                <w:rFonts w:eastAsia="Times New Roman"/>
              </w:rPr>
            </w:pPr>
            <w:r w:rsidRPr="00140D46">
              <w:rPr>
                <w:rFonts w:eastAsia="Times New Roman"/>
                <w:sz w:val="22"/>
                <w:szCs w:val="22"/>
              </w:rPr>
              <w:t>0.070 (2.4</w:t>
            </w:r>
            <w:r>
              <w:rPr>
                <w:rFonts w:eastAsia="Times New Roman"/>
                <w:sz w:val="22"/>
                <w:szCs w:val="22"/>
              </w:rPr>
              <w:t>4</w:t>
            </w:r>
            <w:r w:rsidRPr="00140D46">
              <w:rPr>
                <w:rFonts w:eastAsia="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Pr="00140D46" w:rsidRDefault="00CF0727" w:rsidP="000A009C">
            <w:pPr>
              <w:widowControl w:val="0"/>
              <w:tabs>
                <w:tab w:val="decimal" w:pos="317"/>
              </w:tabs>
              <w:adjustRightInd w:val="0"/>
              <w:spacing w:before="60" w:after="60"/>
              <w:jc w:val="left"/>
              <w:textAlignment w:val="baseline"/>
              <w:rPr>
                <w:rFonts w:eastAsia="Times New Roman"/>
              </w:rPr>
            </w:pPr>
            <w:r w:rsidRPr="00140D46">
              <w:rPr>
                <w:rFonts w:eastAsia="Times New Roman"/>
                <w:sz w:val="22"/>
                <w:szCs w:val="22"/>
              </w:rPr>
              <w:t>0.769 (</w:t>
            </w:r>
            <w:r>
              <w:rPr>
                <w:rFonts w:eastAsia="Times New Roman"/>
                <w:sz w:val="22"/>
                <w:szCs w:val="22"/>
              </w:rPr>
              <w:t>3</w:t>
            </w:r>
            <w:r w:rsidRPr="00140D46">
              <w:rPr>
                <w:rFonts w:eastAsia="Times New Roman"/>
                <w:sz w:val="22"/>
                <w:szCs w:val="22"/>
              </w:rPr>
              <w:t>.</w:t>
            </w:r>
            <w:r>
              <w:rPr>
                <w:rFonts w:eastAsia="Times New Roman"/>
                <w:sz w:val="22"/>
                <w:szCs w:val="22"/>
              </w:rPr>
              <w:t>49</w:t>
            </w:r>
            <w:r w:rsidRPr="00140D46">
              <w:rPr>
                <w:rFonts w:eastAsia="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CF0727" w:rsidRPr="00140D46"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37</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Pr="00140D46" w:rsidRDefault="00CF0727" w:rsidP="000A009C">
            <w:pPr>
              <w:widowControl w:val="0"/>
              <w:tabs>
                <w:tab w:val="decimal" w:pos="317"/>
              </w:tabs>
              <w:adjustRightInd w:val="0"/>
              <w:spacing w:before="60" w:after="60"/>
              <w:jc w:val="left"/>
              <w:textAlignment w:val="baseline"/>
              <w:rPr>
                <w:rFonts w:eastAsia="Times New Roman"/>
              </w:rPr>
            </w:pPr>
            <w:r w:rsidRPr="00140D46">
              <w:rPr>
                <w:rFonts w:eastAsia="Times New Roman"/>
                <w:sz w:val="22"/>
                <w:szCs w:val="22"/>
              </w:rPr>
              <w:t>0.793</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Pohjois-Karjala</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sidRPr="000811C6">
              <w:rPr>
                <w:rFonts w:eastAsia="Times New Roman"/>
                <w:sz w:val="22"/>
                <w:szCs w:val="22"/>
              </w:rPr>
              <w:sym w:font="Symbol" w:char="F02D"/>
            </w:r>
            <w:r>
              <w:rPr>
                <w:rFonts w:eastAsia="Times New Roman"/>
                <w:sz w:val="22"/>
                <w:szCs w:val="22"/>
              </w:rPr>
              <w:t>0.187 (4.44)</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1.422 (4.36)</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36</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0.864</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Etelä-Pohjanmaa</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sidRPr="000811C6">
              <w:rPr>
                <w:rFonts w:eastAsia="Times New Roman"/>
                <w:sz w:val="22"/>
                <w:szCs w:val="22"/>
              </w:rPr>
              <w:sym w:font="Symbol" w:char="F02D"/>
            </w:r>
            <w:r>
              <w:rPr>
                <w:rFonts w:eastAsia="Times New Roman"/>
                <w:sz w:val="22"/>
                <w:szCs w:val="22"/>
              </w:rPr>
              <w:t>0.066 (2.28)</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1.139 (2.10)</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36</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0.898</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Kanta-Häme</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sidRPr="000811C6">
              <w:rPr>
                <w:rFonts w:eastAsia="Times New Roman"/>
                <w:sz w:val="22"/>
                <w:szCs w:val="22"/>
              </w:rPr>
              <w:sym w:font="Symbol" w:char="F02D"/>
            </w:r>
            <w:r>
              <w:rPr>
                <w:rFonts w:eastAsia="Times New Roman"/>
                <w:sz w:val="22"/>
                <w:szCs w:val="22"/>
              </w:rPr>
              <w:t>0.049 (1.35)</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1.085 (1.01)</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37</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0.827</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Etelä-Karjala</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sidRPr="000811C6">
              <w:rPr>
                <w:rFonts w:eastAsia="Times New Roman"/>
                <w:sz w:val="22"/>
                <w:szCs w:val="22"/>
              </w:rPr>
              <w:sym w:font="Symbol" w:char="F02D"/>
            </w:r>
            <w:r>
              <w:rPr>
                <w:rFonts w:eastAsia="Times New Roman"/>
                <w:sz w:val="22"/>
                <w:szCs w:val="22"/>
              </w:rPr>
              <w:t>0.071 (2.60)</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1.133 (2.13)</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36</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0.906</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Päijät-Häme</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sidRPr="000811C6">
              <w:rPr>
                <w:rFonts w:eastAsia="Times New Roman"/>
                <w:sz w:val="22"/>
                <w:szCs w:val="22"/>
              </w:rPr>
              <w:sym w:font="Symbol" w:char="F02D"/>
            </w:r>
            <w:r>
              <w:rPr>
                <w:rFonts w:eastAsia="Times New Roman"/>
                <w:sz w:val="22"/>
                <w:szCs w:val="22"/>
              </w:rPr>
              <w:t>0.005 (0.14)</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1.008 (0.11)</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36</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0.825</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Pohjanmaa</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Pr>
                <w:rFonts w:eastAsia="Times New Roman"/>
                <w:sz w:val="22"/>
                <w:szCs w:val="22"/>
              </w:rPr>
              <w:t>0.052 (1.12)</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0.899 (0.93)</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37</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0.663</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Lappi</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sidRPr="000811C6">
              <w:rPr>
                <w:rFonts w:eastAsia="Times New Roman"/>
                <w:sz w:val="22"/>
                <w:szCs w:val="22"/>
              </w:rPr>
              <w:sym w:font="Symbol" w:char="F02D"/>
            </w:r>
            <w:r>
              <w:rPr>
                <w:rFonts w:eastAsia="Times New Roman"/>
                <w:sz w:val="22"/>
                <w:szCs w:val="22"/>
              </w:rPr>
              <w:t>0.095 (2.79)</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1.220 (2.77)</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37</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0.871</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Pohjois-Savo</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sidRPr="000811C6">
              <w:rPr>
                <w:rFonts w:eastAsia="Times New Roman"/>
                <w:sz w:val="22"/>
                <w:szCs w:val="22"/>
              </w:rPr>
              <w:sym w:font="Symbol" w:char="F02D"/>
            </w:r>
            <w:r>
              <w:rPr>
                <w:rFonts w:eastAsia="Times New Roman"/>
                <w:sz w:val="22"/>
                <w:szCs w:val="22"/>
              </w:rPr>
              <w:t>0.074 (2.46)</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1.190 (2.73)</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36</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Pr="007E384B"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0.896</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Kymenlaakso</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Pr>
                <w:rFonts w:eastAsia="Times New Roman"/>
                <w:sz w:val="22"/>
                <w:szCs w:val="22"/>
              </w:rPr>
              <w:t>0.003 (0.07)</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0.955 (0.46)</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37</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0.732</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Keski-Suomi</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sidRPr="000811C6">
              <w:rPr>
                <w:rFonts w:eastAsia="Times New Roman"/>
                <w:sz w:val="22"/>
                <w:szCs w:val="22"/>
              </w:rPr>
              <w:sym w:font="Symbol" w:char="F02D"/>
            </w:r>
            <w:r>
              <w:rPr>
                <w:rFonts w:eastAsia="Times New Roman"/>
                <w:sz w:val="22"/>
                <w:szCs w:val="22"/>
              </w:rPr>
              <w:t>0.061 (1.60)</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1.140 (1.61)</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36</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0.835</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Pr="00CF6009" w:rsidRDefault="00CF0727" w:rsidP="000A009C">
            <w:pPr>
              <w:widowControl w:val="0"/>
              <w:adjustRightInd w:val="0"/>
              <w:spacing w:before="60" w:after="60"/>
              <w:textAlignment w:val="baseline"/>
              <w:rPr>
                <w:rFonts w:eastAsia="Times New Roman"/>
              </w:rPr>
            </w:pPr>
            <w:r w:rsidRPr="00CF6009">
              <w:rPr>
                <w:rFonts w:eastAsia="Times New Roman"/>
                <w:sz w:val="22"/>
                <w:szCs w:val="22"/>
              </w:rPr>
              <w:t>Satakunta</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Pr="00CF6009" w:rsidRDefault="00CF0727" w:rsidP="000A009C">
            <w:pPr>
              <w:widowControl w:val="0"/>
              <w:tabs>
                <w:tab w:val="decimal" w:pos="382"/>
              </w:tabs>
              <w:adjustRightInd w:val="0"/>
              <w:spacing w:before="60" w:after="60"/>
              <w:jc w:val="left"/>
              <w:textAlignment w:val="baseline"/>
              <w:rPr>
                <w:rFonts w:eastAsia="Times New Roman"/>
              </w:rPr>
            </w:pPr>
            <w:r w:rsidRPr="00CF6009">
              <w:rPr>
                <w:rFonts w:eastAsia="Times New Roman"/>
                <w:sz w:val="22"/>
                <w:szCs w:val="22"/>
              </w:rPr>
              <w:t>0.018 (0.61)</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Pr="00CF6009" w:rsidRDefault="00CF0727" w:rsidP="000A009C">
            <w:pPr>
              <w:widowControl w:val="0"/>
              <w:tabs>
                <w:tab w:val="decimal" w:pos="317"/>
              </w:tabs>
              <w:adjustRightInd w:val="0"/>
              <w:spacing w:before="60" w:after="60"/>
              <w:jc w:val="left"/>
              <w:textAlignment w:val="baseline"/>
              <w:rPr>
                <w:rFonts w:eastAsia="Times New Roman"/>
              </w:rPr>
            </w:pPr>
            <w:r w:rsidRPr="00CF6009">
              <w:rPr>
                <w:rFonts w:eastAsia="Times New Roman"/>
                <w:sz w:val="22"/>
                <w:szCs w:val="22"/>
              </w:rPr>
              <w:t>0.910 (1</w:t>
            </w:r>
            <w:r>
              <w:rPr>
                <w:rFonts w:eastAsia="Times New Roman"/>
                <w:sz w:val="22"/>
                <w:szCs w:val="22"/>
              </w:rPr>
              <w:t>.</w:t>
            </w:r>
            <w:r w:rsidRPr="00CF6009">
              <w:rPr>
                <w:rFonts w:eastAsia="Times New Roman"/>
                <w:sz w:val="22"/>
                <w:szCs w:val="22"/>
              </w:rPr>
              <w:t>3</w:t>
            </w:r>
            <w:r>
              <w:rPr>
                <w:rFonts w:eastAsia="Times New Roman"/>
                <w:sz w:val="22"/>
                <w:szCs w:val="22"/>
              </w:rPr>
              <w:t>5</w:t>
            </w:r>
            <w:r w:rsidRPr="00CF6009">
              <w:rPr>
                <w:rFonts w:eastAsia="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CF0727" w:rsidRPr="00CF6009"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37</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Pr="00CF6009" w:rsidRDefault="00CF0727" w:rsidP="000A009C">
            <w:pPr>
              <w:widowControl w:val="0"/>
              <w:tabs>
                <w:tab w:val="decimal" w:pos="317"/>
              </w:tabs>
              <w:adjustRightInd w:val="0"/>
              <w:spacing w:before="60" w:after="60"/>
              <w:jc w:val="left"/>
              <w:textAlignment w:val="baseline"/>
              <w:rPr>
                <w:rFonts w:eastAsia="Times New Roman"/>
              </w:rPr>
            </w:pPr>
            <w:r w:rsidRPr="00CF6009">
              <w:rPr>
                <w:rFonts w:eastAsia="Times New Roman"/>
                <w:sz w:val="22"/>
                <w:szCs w:val="22"/>
              </w:rPr>
              <w:t>0.842</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Pohjois-Pohjanmaa</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82"/>
              </w:tabs>
              <w:adjustRightInd w:val="0"/>
              <w:spacing w:before="60" w:after="60"/>
              <w:jc w:val="left"/>
              <w:textAlignment w:val="baseline"/>
              <w:rPr>
                <w:rFonts w:eastAsia="Times New Roman"/>
              </w:rPr>
            </w:pPr>
            <w:r w:rsidRPr="000811C6">
              <w:rPr>
                <w:rFonts w:eastAsia="Times New Roman"/>
                <w:sz w:val="22"/>
                <w:szCs w:val="22"/>
              </w:rPr>
              <w:sym w:font="Symbol" w:char="F02D"/>
            </w:r>
            <w:r>
              <w:rPr>
                <w:rFonts w:eastAsia="Times New Roman"/>
                <w:sz w:val="22"/>
                <w:szCs w:val="22"/>
              </w:rPr>
              <w:t>0.036 (0.98)</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1.110 (1.29)</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37</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Default="00CF0727" w:rsidP="000A009C">
            <w:pPr>
              <w:widowControl w:val="0"/>
              <w:tabs>
                <w:tab w:val="decimal" w:pos="317"/>
              </w:tabs>
              <w:adjustRightInd w:val="0"/>
              <w:spacing w:before="60" w:after="60"/>
              <w:jc w:val="left"/>
              <w:textAlignment w:val="baseline"/>
              <w:rPr>
                <w:rFonts w:eastAsia="Times New Roman"/>
              </w:rPr>
            </w:pPr>
            <w:r>
              <w:rPr>
                <w:rFonts w:eastAsia="Times New Roman"/>
                <w:sz w:val="22"/>
                <w:szCs w:val="22"/>
              </w:rPr>
              <w:t>0.828</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Default="00CF0727" w:rsidP="000A009C">
            <w:pPr>
              <w:widowControl w:val="0"/>
              <w:adjustRightInd w:val="0"/>
              <w:spacing w:before="60" w:after="60"/>
              <w:textAlignment w:val="baseline"/>
              <w:rPr>
                <w:rFonts w:eastAsia="Times New Roman"/>
              </w:rPr>
            </w:pPr>
            <w:r>
              <w:rPr>
                <w:rFonts w:eastAsia="Times New Roman"/>
                <w:sz w:val="22"/>
                <w:szCs w:val="22"/>
              </w:rPr>
              <w:t>Pirkanmaa</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Pr="00A97BCF" w:rsidRDefault="00CF0727" w:rsidP="000A009C">
            <w:pPr>
              <w:widowControl w:val="0"/>
              <w:tabs>
                <w:tab w:val="decimal" w:pos="382"/>
              </w:tabs>
              <w:adjustRightInd w:val="0"/>
              <w:spacing w:before="60" w:after="60"/>
              <w:jc w:val="left"/>
              <w:textAlignment w:val="baseline"/>
              <w:rPr>
                <w:rFonts w:eastAsia="Times New Roman"/>
                <w:b/>
              </w:rPr>
            </w:pPr>
            <w:r w:rsidRPr="000811C6">
              <w:rPr>
                <w:rFonts w:eastAsia="Times New Roman"/>
                <w:sz w:val="22"/>
                <w:szCs w:val="22"/>
              </w:rPr>
              <w:sym w:font="Symbol" w:char="F02D"/>
            </w:r>
            <w:r>
              <w:rPr>
                <w:rFonts w:eastAsia="Times New Roman"/>
                <w:sz w:val="22"/>
                <w:szCs w:val="22"/>
              </w:rPr>
              <w:t>0.011 (0.46)</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Pr="00D93DD3" w:rsidRDefault="00CF0727" w:rsidP="000A009C">
            <w:pPr>
              <w:widowControl w:val="0"/>
              <w:tabs>
                <w:tab w:val="decimal" w:pos="317"/>
              </w:tabs>
              <w:adjustRightInd w:val="0"/>
              <w:spacing w:before="60" w:after="60"/>
              <w:jc w:val="left"/>
              <w:textAlignment w:val="baseline"/>
              <w:rPr>
                <w:rFonts w:eastAsia="Times New Roman"/>
                <w:b/>
              </w:rPr>
            </w:pPr>
            <w:r>
              <w:rPr>
                <w:rFonts w:eastAsia="Times New Roman"/>
                <w:sz w:val="22"/>
                <w:szCs w:val="22"/>
              </w:rPr>
              <w:t>1.014 (0.24)</w:t>
            </w:r>
          </w:p>
        </w:tc>
        <w:tc>
          <w:tcPr>
            <w:tcW w:w="850" w:type="dxa"/>
            <w:tcBorders>
              <w:top w:val="single" w:sz="4" w:space="0" w:color="auto"/>
              <w:left w:val="single" w:sz="4" w:space="0" w:color="auto"/>
              <w:bottom w:val="single" w:sz="4" w:space="0" w:color="auto"/>
              <w:right w:val="single" w:sz="4" w:space="0" w:color="auto"/>
            </w:tcBorders>
          </w:tcPr>
          <w:p w:rsidR="00CF0727"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36</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Pr="00A97BCF" w:rsidRDefault="00CF0727" w:rsidP="000A009C">
            <w:pPr>
              <w:widowControl w:val="0"/>
              <w:tabs>
                <w:tab w:val="decimal" w:pos="317"/>
              </w:tabs>
              <w:adjustRightInd w:val="0"/>
              <w:spacing w:before="60" w:after="60"/>
              <w:jc w:val="left"/>
              <w:textAlignment w:val="baseline"/>
              <w:rPr>
                <w:rFonts w:eastAsia="Times New Roman"/>
                <w:b/>
              </w:rPr>
            </w:pPr>
            <w:r>
              <w:rPr>
                <w:rFonts w:eastAsia="Times New Roman"/>
                <w:sz w:val="22"/>
                <w:szCs w:val="22"/>
              </w:rPr>
              <w:t>0.901</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Pr="00140D46" w:rsidRDefault="00CF0727" w:rsidP="000A009C">
            <w:pPr>
              <w:widowControl w:val="0"/>
              <w:adjustRightInd w:val="0"/>
              <w:spacing w:before="60" w:after="60"/>
              <w:textAlignment w:val="baseline"/>
              <w:rPr>
                <w:rFonts w:eastAsia="Times New Roman"/>
              </w:rPr>
            </w:pPr>
            <w:r w:rsidRPr="00140D46">
              <w:rPr>
                <w:rFonts w:eastAsia="Times New Roman"/>
                <w:sz w:val="22"/>
                <w:szCs w:val="22"/>
              </w:rPr>
              <w:t>Varsinais-Suomi</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Pr="00140D46" w:rsidRDefault="00CF0727" w:rsidP="000A009C">
            <w:pPr>
              <w:widowControl w:val="0"/>
              <w:tabs>
                <w:tab w:val="decimal" w:pos="382"/>
              </w:tabs>
              <w:adjustRightInd w:val="0"/>
              <w:spacing w:before="60" w:after="60"/>
              <w:jc w:val="left"/>
              <w:textAlignment w:val="baseline"/>
              <w:rPr>
                <w:rFonts w:eastAsia="Times New Roman"/>
              </w:rPr>
            </w:pPr>
            <w:r w:rsidRPr="00140D46">
              <w:rPr>
                <w:rFonts w:eastAsia="Times New Roman"/>
                <w:sz w:val="22"/>
                <w:szCs w:val="22"/>
              </w:rPr>
              <w:t>0.052 (1.81)</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Pr="00140D46" w:rsidRDefault="00CF0727" w:rsidP="000A009C">
            <w:pPr>
              <w:widowControl w:val="0"/>
              <w:tabs>
                <w:tab w:val="decimal" w:pos="317"/>
              </w:tabs>
              <w:adjustRightInd w:val="0"/>
              <w:spacing w:before="60" w:after="60"/>
              <w:jc w:val="left"/>
              <w:textAlignment w:val="baseline"/>
              <w:rPr>
                <w:rFonts w:eastAsia="Times New Roman"/>
              </w:rPr>
            </w:pPr>
            <w:r w:rsidRPr="00140D46">
              <w:rPr>
                <w:rFonts w:eastAsia="Times New Roman"/>
                <w:sz w:val="22"/>
                <w:szCs w:val="22"/>
              </w:rPr>
              <w:t>0.849 (2.</w:t>
            </w:r>
            <w:r>
              <w:rPr>
                <w:rFonts w:eastAsia="Times New Roman"/>
                <w:sz w:val="22"/>
                <w:szCs w:val="22"/>
              </w:rPr>
              <w:t>25</w:t>
            </w:r>
            <w:r w:rsidRPr="00140D46">
              <w:rPr>
                <w:rFonts w:eastAsia="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CF0727" w:rsidRPr="00140D46"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37</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Pr="00140D46" w:rsidRDefault="00CF0727" w:rsidP="000A009C">
            <w:pPr>
              <w:widowControl w:val="0"/>
              <w:tabs>
                <w:tab w:val="decimal" w:pos="317"/>
              </w:tabs>
              <w:adjustRightInd w:val="0"/>
              <w:spacing w:before="60" w:after="60"/>
              <w:jc w:val="left"/>
              <w:textAlignment w:val="baseline"/>
              <w:rPr>
                <w:rFonts w:eastAsia="Times New Roman"/>
              </w:rPr>
            </w:pPr>
            <w:r w:rsidRPr="00140D46">
              <w:rPr>
                <w:rFonts w:eastAsia="Times New Roman"/>
                <w:sz w:val="22"/>
                <w:szCs w:val="22"/>
              </w:rPr>
              <w:t>0.821</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Pr="00140D46" w:rsidRDefault="00CF0727" w:rsidP="000A009C">
            <w:pPr>
              <w:widowControl w:val="0"/>
              <w:adjustRightInd w:val="0"/>
              <w:spacing w:before="60" w:after="60"/>
              <w:textAlignment w:val="baseline"/>
              <w:rPr>
                <w:rFonts w:eastAsia="Times New Roman"/>
              </w:rPr>
            </w:pPr>
            <w:r w:rsidRPr="00140D46">
              <w:rPr>
                <w:rFonts w:eastAsia="Times New Roman"/>
                <w:sz w:val="22"/>
                <w:szCs w:val="22"/>
              </w:rPr>
              <w:t>Uusimaa</w:t>
            </w:r>
          </w:p>
        </w:tc>
        <w:tc>
          <w:tcPr>
            <w:tcW w:w="1766" w:type="dxa"/>
            <w:tcBorders>
              <w:top w:val="single" w:sz="4" w:space="0" w:color="auto"/>
              <w:left w:val="single" w:sz="4" w:space="0" w:color="auto"/>
              <w:bottom w:val="single" w:sz="4" w:space="0" w:color="auto"/>
              <w:right w:val="single" w:sz="4" w:space="0" w:color="auto"/>
            </w:tcBorders>
            <w:vAlign w:val="bottom"/>
            <w:hideMark/>
          </w:tcPr>
          <w:p w:rsidR="00CF0727" w:rsidRPr="00140D46" w:rsidRDefault="00CF0727" w:rsidP="000A009C">
            <w:pPr>
              <w:widowControl w:val="0"/>
              <w:tabs>
                <w:tab w:val="decimal" w:pos="382"/>
              </w:tabs>
              <w:adjustRightInd w:val="0"/>
              <w:spacing w:before="60" w:after="60"/>
              <w:jc w:val="left"/>
              <w:textAlignment w:val="baseline"/>
              <w:rPr>
                <w:rFonts w:eastAsia="Times New Roman"/>
              </w:rPr>
            </w:pPr>
            <w:r w:rsidRPr="00140D46">
              <w:rPr>
                <w:rFonts w:eastAsia="Times New Roman"/>
                <w:sz w:val="22"/>
                <w:szCs w:val="22"/>
              </w:rPr>
              <w:t>0.073 (2.7</w:t>
            </w:r>
            <w:r>
              <w:rPr>
                <w:rFonts w:eastAsia="Times New Roman"/>
                <w:sz w:val="22"/>
                <w:szCs w:val="22"/>
              </w:rPr>
              <w:t>8</w:t>
            </w:r>
            <w:r w:rsidRPr="00140D46">
              <w:rPr>
                <w:rFonts w:eastAsia="Times New Roman"/>
                <w:sz w:val="22"/>
                <w:szCs w:val="22"/>
              </w:rPr>
              <w:t>)</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Pr="00140D46" w:rsidRDefault="00CF0727" w:rsidP="000A009C">
            <w:pPr>
              <w:widowControl w:val="0"/>
              <w:tabs>
                <w:tab w:val="decimal" w:pos="317"/>
              </w:tabs>
              <w:adjustRightInd w:val="0"/>
              <w:spacing w:before="60" w:after="60"/>
              <w:jc w:val="left"/>
              <w:textAlignment w:val="baseline"/>
              <w:rPr>
                <w:rFonts w:eastAsia="Times New Roman"/>
              </w:rPr>
            </w:pPr>
            <w:r w:rsidRPr="00140D46">
              <w:rPr>
                <w:rFonts w:eastAsia="Times New Roman"/>
                <w:sz w:val="22"/>
                <w:szCs w:val="22"/>
              </w:rPr>
              <w:t>0.843 (</w:t>
            </w:r>
            <w:r>
              <w:rPr>
                <w:rFonts w:eastAsia="Times New Roman"/>
                <w:sz w:val="22"/>
                <w:szCs w:val="22"/>
              </w:rPr>
              <w:t>2</w:t>
            </w:r>
            <w:r w:rsidRPr="00140D46">
              <w:rPr>
                <w:rFonts w:eastAsia="Times New Roman"/>
                <w:sz w:val="22"/>
                <w:szCs w:val="22"/>
              </w:rPr>
              <w:t>.</w:t>
            </w:r>
            <w:r>
              <w:rPr>
                <w:rFonts w:eastAsia="Times New Roman"/>
                <w:sz w:val="22"/>
                <w:szCs w:val="22"/>
              </w:rPr>
              <w:t>57</w:t>
            </w:r>
            <w:r w:rsidRPr="00140D46">
              <w:rPr>
                <w:rFonts w:eastAsia="Times New Roman"/>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CF0727" w:rsidRPr="00140D46" w:rsidRDefault="00CF0727" w:rsidP="000A009C">
            <w:pPr>
              <w:widowControl w:val="0"/>
              <w:tabs>
                <w:tab w:val="decimal" w:pos="317"/>
              </w:tabs>
              <w:adjustRightInd w:val="0"/>
              <w:spacing w:before="60" w:after="60"/>
              <w:jc w:val="center"/>
              <w:textAlignment w:val="baseline"/>
              <w:rPr>
                <w:rFonts w:eastAsia="Times New Roman"/>
              </w:rPr>
            </w:pPr>
            <w:r>
              <w:rPr>
                <w:rFonts w:eastAsia="Times New Roman"/>
                <w:sz w:val="22"/>
                <w:szCs w:val="22"/>
              </w:rPr>
              <w:t>37</w:t>
            </w: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Pr="00140D46" w:rsidRDefault="00CF0727" w:rsidP="000A009C">
            <w:pPr>
              <w:widowControl w:val="0"/>
              <w:tabs>
                <w:tab w:val="decimal" w:pos="317"/>
              </w:tabs>
              <w:adjustRightInd w:val="0"/>
              <w:spacing w:before="60" w:after="60"/>
              <w:jc w:val="left"/>
              <w:textAlignment w:val="baseline"/>
              <w:rPr>
                <w:rFonts w:eastAsia="Times New Roman"/>
              </w:rPr>
            </w:pPr>
            <w:r w:rsidRPr="00140D46">
              <w:rPr>
                <w:rFonts w:eastAsia="Times New Roman"/>
                <w:sz w:val="22"/>
                <w:szCs w:val="22"/>
              </w:rPr>
              <w:t>0.846</w:t>
            </w:r>
          </w:p>
        </w:tc>
      </w:tr>
      <w:tr w:rsidR="00CF0727" w:rsidTr="000A009C">
        <w:tc>
          <w:tcPr>
            <w:tcW w:w="2028" w:type="dxa"/>
            <w:tcBorders>
              <w:top w:val="single" w:sz="4" w:space="0" w:color="auto"/>
              <w:left w:val="double" w:sz="4" w:space="0" w:color="auto"/>
              <w:bottom w:val="single" w:sz="4" w:space="0" w:color="auto"/>
              <w:right w:val="single" w:sz="4" w:space="0" w:color="auto"/>
            </w:tcBorders>
            <w:vAlign w:val="bottom"/>
            <w:hideMark/>
          </w:tcPr>
          <w:p w:rsidR="00CF0727" w:rsidRPr="002D4389" w:rsidRDefault="00CF0727" w:rsidP="000A009C">
            <w:pPr>
              <w:widowControl w:val="0"/>
              <w:adjustRightInd w:val="0"/>
              <w:spacing w:before="60" w:after="60"/>
              <w:textAlignment w:val="baseline"/>
              <w:rPr>
                <w:rFonts w:eastAsia="Times New Roman"/>
                <w:b/>
                <w:vertAlign w:val="superscript"/>
              </w:rPr>
            </w:pPr>
            <w:r>
              <w:rPr>
                <w:rFonts w:eastAsia="Times New Roman"/>
                <w:sz w:val="22"/>
                <w:szCs w:val="22"/>
              </w:rPr>
              <w:t>Unweighted mean</w:t>
            </w:r>
          </w:p>
        </w:tc>
        <w:tc>
          <w:tcPr>
            <w:tcW w:w="1766" w:type="dxa"/>
            <w:tcBorders>
              <w:top w:val="single" w:sz="4" w:space="0" w:color="auto"/>
              <w:left w:val="single" w:sz="4" w:space="0" w:color="auto"/>
              <w:bottom w:val="single" w:sz="4" w:space="0" w:color="auto"/>
              <w:right w:val="single" w:sz="4" w:space="0" w:color="auto"/>
            </w:tcBorders>
            <w:hideMark/>
          </w:tcPr>
          <w:p w:rsidR="00CF0727" w:rsidRPr="00131980" w:rsidRDefault="00CF0727" w:rsidP="000A009C">
            <w:pPr>
              <w:widowControl w:val="0"/>
              <w:tabs>
                <w:tab w:val="decimal" w:pos="382"/>
              </w:tabs>
              <w:adjustRightInd w:val="0"/>
              <w:spacing w:before="120" w:after="60"/>
              <w:jc w:val="left"/>
              <w:textAlignment w:val="baseline"/>
              <w:rPr>
                <w:rFonts w:eastAsia="Times New Roman"/>
              </w:rPr>
            </w:pPr>
            <w:r w:rsidRPr="00131980">
              <w:rPr>
                <w:rFonts w:eastAsia="Times New Roman"/>
                <w:sz w:val="22"/>
                <w:szCs w:val="22"/>
              </w:rPr>
              <w:sym w:font="Symbol" w:char="F02D"/>
            </w:r>
            <w:r w:rsidRPr="00131980">
              <w:rPr>
                <w:rFonts w:eastAsia="Times New Roman"/>
                <w:sz w:val="22"/>
                <w:szCs w:val="22"/>
              </w:rPr>
              <w:t>0.021</w:t>
            </w:r>
          </w:p>
        </w:tc>
        <w:tc>
          <w:tcPr>
            <w:tcW w:w="1701" w:type="dxa"/>
            <w:tcBorders>
              <w:top w:val="single" w:sz="4" w:space="0" w:color="auto"/>
              <w:left w:val="single" w:sz="4" w:space="0" w:color="auto"/>
              <w:bottom w:val="single" w:sz="4" w:space="0" w:color="auto"/>
              <w:right w:val="single" w:sz="4" w:space="0" w:color="auto"/>
            </w:tcBorders>
            <w:vAlign w:val="bottom"/>
            <w:hideMark/>
          </w:tcPr>
          <w:p w:rsidR="00CF0727" w:rsidRPr="00131980" w:rsidRDefault="00CF0727" w:rsidP="000A009C">
            <w:pPr>
              <w:widowControl w:val="0"/>
              <w:tabs>
                <w:tab w:val="decimal" w:pos="317"/>
              </w:tabs>
              <w:adjustRightInd w:val="0"/>
              <w:spacing w:after="60"/>
              <w:jc w:val="left"/>
              <w:textAlignment w:val="baseline"/>
              <w:rPr>
                <w:rFonts w:eastAsia="Times New Roman"/>
                <w:b/>
              </w:rPr>
            </w:pPr>
            <w:r w:rsidRPr="00131980">
              <w:rPr>
                <w:rFonts w:eastAsia="Times New Roman"/>
                <w:sz w:val="22"/>
                <w:szCs w:val="22"/>
              </w:rPr>
              <w:t>1.029</w:t>
            </w:r>
          </w:p>
        </w:tc>
        <w:tc>
          <w:tcPr>
            <w:tcW w:w="850" w:type="dxa"/>
            <w:tcBorders>
              <w:top w:val="single" w:sz="4" w:space="0" w:color="auto"/>
              <w:left w:val="single" w:sz="4" w:space="0" w:color="auto"/>
              <w:bottom w:val="single" w:sz="4" w:space="0" w:color="auto"/>
              <w:right w:val="single" w:sz="4" w:space="0" w:color="auto"/>
            </w:tcBorders>
          </w:tcPr>
          <w:p w:rsidR="00CF0727" w:rsidRPr="000C1819" w:rsidRDefault="00CF0727" w:rsidP="000A009C">
            <w:pPr>
              <w:widowControl w:val="0"/>
              <w:tabs>
                <w:tab w:val="decimal" w:pos="317"/>
              </w:tabs>
              <w:adjustRightInd w:val="0"/>
              <w:spacing w:before="60" w:after="60"/>
              <w:jc w:val="center"/>
              <w:textAlignment w:val="baseline"/>
              <w:rPr>
                <w:rFonts w:eastAsia="Times New Roman"/>
              </w:rPr>
            </w:pPr>
          </w:p>
        </w:tc>
        <w:tc>
          <w:tcPr>
            <w:tcW w:w="1134" w:type="dxa"/>
            <w:tcBorders>
              <w:top w:val="single" w:sz="4" w:space="0" w:color="auto"/>
              <w:left w:val="single" w:sz="4" w:space="0" w:color="auto"/>
              <w:bottom w:val="single" w:sz="4" w:space="0" w:color="auto"/>
              <w:right w:val="double" w:sz="4" w:space="0" w:color="auto"/>
            </w:tcBorders>
            <w:vAlign w:val="bottom"/>
            <w:hideMark/>
          </w:tcPr>
          <w:p w:rsidR="00CF0727" w:rsidRPr="000C1819" w:rsidRDefault="00CF0727" w:rsidP="000A009C">
            <w:pPr>
              <w:widowControl w:val="0"/>
              <w:tabs>
                <w:tab w:val="decimal" w:pos="317"/>
              </w:tabs>
              <w:adjustRightInd w:val="0"/>
              <w:spacing w:before="60" w:after="60"/>
              <w:jc w:val="left"/>
              <w:textAlignment w:val="baseline"/>
              <w:rPr>
                <w:rFonts w:eastAsia="Times New Roman"/>
              </w:rPr>
            </w:pPr>
          </w:p>
        </w:tc>
      </w:tr>
      <w:tr w:rsidR="00CF0727" w:rsidTr="000A009C">
        <w:tc>
          <w:tcPr>
            <w:tcW w:w="2028" w:type="dxa"/>
            <w:tcBorders>
              <w:top w:val="single" w:sz="4" w:space="0" w:color="auto"/>
              <w:left w:val="double" w:sz="4" w:space="0" w:color="auto"/>
              <w:bottom w:val="double" w:sz="4" w:space="0" w:color="auto"/>
              <w:right w:val="single" w:sz="4" w:space="0" w:color="auto"/>
            </w:tcBorders>
            <w:vAlign w:val="bottom"/>
            <w:hideMark/>
          </w:tcPr>
          <w:p w:rsidR="00CF0727" w:rsidRPr="002D4389" w:rsidRDefault="00CF0727" w:rsidP="000A009C">
            <w:pPr>
              <w:widowControl w:val="0"/>
              <w:adjustRightInd w:val="0"/>
              <w:spacing w:before="60" w:after="60"/>
              <w:textAlignment w:val="baseline"/>
              <w:rPr>
                <w:rFonts w:eastAsia="Times New Roman"/>
                <w:vertAlign w:val="superscript"/>
              </w:rPr>
            </w:pPr>
            <w:r>
              <w:rPr>
                <w:rFonts w:eastAsia="Times New Roman"/>
                <w:sz w:val="22"/>
                <w:szCs w:val="22"/>
              </w:rPr>
              <w:t>Weighted mean</w:t>
            </w:r>
          </w:p>
        </w:tc>
        <w:tc>
          <w:tcPr>
            <w:tcW w:w="1766" w:type="dxa"/>
            <w:tcBorders>
              <w:top w:val="single" w:sz="4" w:space="0" w:color="auto"/>
              <w:left w:val="single" w:sz="4" w:space="0" w:color="auto"/>
              <w:bottom w:val="double" w:sz="4" w:space="0" w:color="auto"/>
              <w:right w:val="single" w:sz="4" w:space="0" w:color="auto"/>
            </w:tcBorders>
            <w:hideMark/>
          </w:tcPr>
          <w:p w:rsidR="00CF0727" w:rsidRPr="00131980" w:rsidRDefault="00CF0727" w:rsidP="000A009C">
            <w:pPr>
              <w:widowControl w:val="0"/>
              <w:tabs>
                <w:tab w:val="decimal" w:pos="382"/>
              </w:tabs>
              <w:adjustRightInd w:val="0"/>
              <w:spacing w:before="120" w:after="60"/>
              <w:jc w:val="left"/>
              <w:textAlignment w:val="baseline"/>
              <w:rPr>
                <w:rFonts w:eastAsia="Times New Roman"/>
                <w:b/>
              </w:rPr>
            </w:pPr>
            <w:r w:rsidRPr="00131980">
              <w:rPr>
                <w:rFonts w:eastAsia="Times New Roman"/>
                <w:sz w:val="22"/>
                <w:szCs w:val="22"/>
              </w:rPr>
              <w:t>0.007</w:t>
            </w:r>
          </w:p>
        </w:tc>
        <w:tc>
          <w:tcPr>
            <w:tcW w:w="1701" w:type="dxa"/>
            <w:tcBorders>
              <w:top w:val="single" w:sz="4" w:space="0" w:color="auto"/>
              <w:left w:val="single" w:sz="4" w:space="0" w:color="auto"/>
              <w:bottom w:val="double" w:sz="4" w:space="0" w:color="auto"/>
              <w:right w:val="single" w:sz="4" w:space="0" w:color="auto"/>
            </w:tcBorders>
            <w:vAlign w:val="bottom"/>
            <w:hideMark/>
          </w:tcPr>
          <w:p w:rsidR="00CF0727" w:rsidRPr="00131980" w:rsidRDefault="00CF0727" w:rsidP="000A009C">
            <w:pPr>
              <w:widowControl w:val="0"/>
              <w:tabs>
                <w:tab w:val="decimal" w:pos="317"/>
              </w:tabs>
              <w:adjustRightInd w:val="0"/>
              <w:spacing w:after="60"/>
              <w:jc w:val="left"/>
              <w:textAlignment w:val="baseline"/>
              <w:rPr>
                <w:rFonts w:eastAsia="Times New Roman"/>
                <w:b/>
              </w:rPr>
            </w:pPr>
            <w:r w:rsidRPr="00131980">
              <w:rPr>
                <w:rFonts w:eastAsia="Times New Roman"/>
                <w:sz w:val="22"/>
                <w:szCs w:val="22"/>
              </w:rPr>
              <w:t>0.975</w:t>
            </w:r>
          </w:p>
        </w:tc>
        <w:tc>
          <w:tcPr>
            <w:tcW w:w="850" w:type="dxa"/>
            <w:tcBorders>
              <w:top w:val="single" w:sz="4" w:space="0" w:color="auto"/>
              <w:left w:val="single" w:sz="4" w:space="0" w:color="auto"/>
              <w:bottom w:val="double" w:sz="4" w:space="0" w:color="auto"/>
              <w:right w:val="single" w:sz="4" w:space="0" w:color="auto"/>
            </w:tcBorders>
          </w:tcPr>
          <w:p w:rsidR="00CF0727" w:rsidRPr="000C1819" w:rsidRDefault="00CF0727" w:rsidP="000A009C">
            <w:pPr>
              <w:widowControl w:val="0"/>
              <w:tabs>
                <w:tab w:val="decimal" w:pos="317"/>
              </w:tabs>
              <w:adjustRightInd w:val="0"/>
              <w:spacing w:before="60" w:after="60"/>
              <w:jc w:val="center"/>
              <w:textAlignment w:val="baseline"/>
              <w:rPr>
                <w:rFonts w:eastAsia="Times New Roman"/>
              </w:rPr>
            </w:pPr>
          </w:p>
        </w:tc>
        <w:tc>
          <w:tcPr>
            <w:tcW w:w="1134" w:type="dxa"/>
            <w:tcBorders>
              <w:top w:val="single" w:sz="4" w:space="0" w:color="auto"/>
              <w:left w:val="single" w:sz="4" w:space="0" w:color="auto"/>
              <w:bottom w:val="double" w:sz="4" w:space="0" w:color="auto"/>
              <w:right w:val="double" w:sz="4" w:space="0" w:color="auto"/>
            </w:tcBorders>
            <w:vAlign w:val="bottom"/>
            <w:hideMark/>
          </w:tcPr>
          <w:p w:rsidR="00CF0727" w:rsidRPr="000C1819" w:rsidRDefault="00CF0727" w:rsidP="000A009C">
            <w:pPr>
              <w:widowControl w:val="0"/>
              <w:tabs>
                <w:tab w:val="decimal" w:pos="317"/>
              </w:tabs>
              <w:adjustRightInd w:val="0"/>
              <w:spacing w:before="60" w:after="60"/>
              <w:jc w:val="left"/>
              <w:textAlignment w:val="baseline"/>
              <w:rPr>
                <w:rFonts w:eastAsia="Times New Roman"/>
              </w:rPr>
            </w:pPr>
          </w:p>
        </w:tc>
      </w:tr>
    </w:tbl>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Default="00CF0727" w:rsidP="00CF0727"/>
    <w:p w:rsidR="00CF0727" w:rsidRPr="002D4389" w:rsidRDefault="00CF0727" w:rsidP="00CF0727">
      <w:pPr>
        <w:ind w:left="993" w:right="946"/>
      </w:pPr>
      <w:r w:rsidRPr="00131980">
        <w:rPr>
          <w:i/>
        </w:rPr>
        <w:t>Notes:</w:t>
      </w:r>
      <w:r>
        <w:t xml:space="preserve">  H</w:t>
      </w:r>
      <w:r>
        <w:rPr>
          <w:vertAlign w:val="subscript"/>
        </w:rPr>
        <w:t>0</w:t>
      </w:r>
      <w:r>
        <w:t xml:space="preserve"> is α = 0 for the intercept and β = 1 for the slope.  The critical value of </w:t>
      </w:r>
      <w:r>
        <w:rPr>
          <w:i/>
        </w:rPr>
        <w:t>t</w:t>
      </w:r>
      <w:r>
        <w:t xml:space="preserve"> at the 5% level (two-tailed test) is approximately 2.03.</w:t>
      </w:r>
    </w:p>
    <w:p w:rsidR="00CF0727" w:rsidRPr="00EE1266" w:rsidRDefault="00CF0727" w:rsidP="00CF0727">
      <w:pPr>
        <w:tabs>
          <w:tab w:val="left" w:pos="1080"/>
        </w:tabs>
        <w:ind w:right="866"/>
      </w:pPr>
    </w:p>
    <w:p w:rsidR="00285428" w:rsidRDefault="00285428">
      <w:pPr>
        <w:spacing w:after="200" w:line="276" w:lineRule="auto"/>
        <w:jc w:val="left"/>
      </w:pPr>
      <w:r>
        <w:br w:type="page"/>
      </w:r>
    </w:p>
    <w:p w:rsidR="00450774" w:rsidRDefault="00450774" w:rsidP="00450774">
      <w:pPr>
        <w:jc w:val="left"/>
      </w:pPr>
    </w:p>
    <w:p w:rsidR="00450774" w:rsidRDefault="00450774" w:rsidP="00450774">
      <w:pPr>
        <w:jc w:val="left"/>
      </w:pPr>
    </w:p>
    <w:p w:rsidR="00450774" w:rsidRPr="009F55BE" w:rsidRDefault="00450774" w:rsidP="00450774">
      <w:pPr>
        <w:jc w:val="left"/>
        <w:rPr>
          <w:sz w:val="20"/>
        </w:rPr>
      </w:pPr>
    </w:p>
    <w:p w:rsidR="00450774" w:rsidRPr="00955BB3" w:rsidRDefault="00450774" w:rsidP="00450774">
      <w:pPr>
        <w:jc w:val="left"/>
        <w:rPr>
          <w:sz w:val="20"/>
          <w:lang w:val="fi-FI"/>
        </w:rPr>
      </w:pPr>
      <w:r>
        <w:rPr>
          <w:noProof/>
          <w:lang w:eastAsia="en-GB"/>
        </w:rPr>
        <w:drawing>
          <wp:anchor distT="0" distB="0" distL="114300" distR="114300" simplePos="0" relativeHeight="251659264" behindDoc="0" locked="0" layoutInCell="1" allowOverlap="0">
            <wp:simplePos x="0" y="0"/>
            <wp:positionH relativeFrom="column">
              <wp:align>left</wp:align>
            </wp:positionH>
            <wp:positionV relativeFrom="paragraph">
              <wp:posOffset>6350</wp:posOffset>
            </wp:positionV>
            <wp:extent cx="2921000" cy="3464560"/>
            <wp:effectExtent l="19050" t="0" r="0" b="0"/>
            <wp:wrapSquare wrapText="right"/>
            <wp:docPr id="2" name="Picture 2" descr="maakunta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akunta_04"/>
                    <pic:cNvPicPr>
                      <a:picLocks noChangeAspect="1" noChangeArrowheads="1"/>
                    </pic:cNvPicPr>
                  </pic:nvPicPr>
                  <pic:blipFill>
                    <a:blip r:embed="rId114" cstate="print"/>
                    <a:srcRect/>
                    <a:stretch>
                      <a:fillRect/>
                    </a:stretch>
                  </pic:blipFill>
                  <pic:spPr bwMode="auto">
                    <a:xfrm>
                      <a:off x="0" y="0"/>
                      <a:ext cx="2921000" cy="3464560"/>
                    </a:xfrm>
                    <a:prstGeom prst="rect">
                      <a:avLst/>
                    </a:prstGeom>
                    <a:noFill/>
                    <a:ln w="9525">
                      <a:noFill/>
                      <a:miter lim="800000"/>
                      <a:headEnd/>
                      <a:tailEnd/>
                    </a:ln>
                  </pic:spPr>
                </pic:pic>
              </a:graphicData>
            </a:graphic>
          </wp:anchor>
        </w:drawing>
      </w:r>
      <w:r w:rsidRPr="00955BB3">
        <w:rPr>
          <w:sz w:val="20"/>
          <w:lang w:val="fi-FI"/>
        </w:rPr>
        <w:t>01= Uusimaa</w:t>
      </w:r>
    </w:p>
    <w:p w:rsidR="00450774" w:rsidRPr="00955BB3" w:rsidRDefault="00450774" w:rsidP="00450774">
      <w:pPr>
        <w:jc w:val="left"/>
        <w:rPr>
          <w:sz w:val="20"/>
          <w:lang w:val="fi-FI"/>
        </w:rPr>
      </w:pPr>
      <w:r w:rsidRPr="00955BB3">
        <w:rPr>
          <w:sz w:val="20"/>
          <w:lang w:val="fi-FI"/>
        </w:rPr>
        <w:t>02= Varsinais-Suomi</w:t>
      </w:r>
    </w:p>
    <w:p w:rsidR="00450774" w:rsidRPr="00955BB3" w:rsidRDefault="00450774" w:rsidP="00450774">
      <w:pPr>
        <w:jc w:val="left"/>
        <w:rPr>
          <w:sz w:val="20"/>
          <w:lang w:val="fi-FI"/>
        </w:rPr>
      </w:pPr>
      <w:r w:rsidRPr="00955BB3">
        <w:rPr>
          <w:sz w:val="20"/>
          <w:lang w:val="fi-FI"/>
        </w:rPr>
        <w:t>04= Satakunta</w:t>
      </w:r>
    </w:p>
    <w:p w:rsidR="00450774" w:rsidRPr="00955BB3" w:rsidRDefault="00450774" w:rsidP="00450774">
      <w:pPr>
        <w:jc w:val="left"/>
        <w:rPr>
          <w:sz w:val="20"/>
          <w:lang w:val="fi-FI"/>
        </w:rPr>
      </w:pPr>
      <w:r w:rsidRPr="00955BB3">
        <w:rPr>
          <w:sz w:val="20"/>
          <w:lang w:val="fi-FI"/>
        </w:rPr>
        <w:t>05= Kanta-Häme</w:t>
      </w:r>
    </w:p>
    <w:p w:rsidR="00450774" w:rsidRPr="00955BB3" w:rsidRDefault="00450774" w:rsidP="00450774">
      <w:pPr>
        <w:jc w:val="left"/>
        <w:rPr>
          <w:sz w:val="20"/>
          <w:lang w:val="fi-FI"/>
        </w:rPr>
      </w:pPr>
      <w:r w:rsidRPr="00955BB3">
        <w:rPr>
          <w:sz w:val="20"/>
          <w:lang w:val="fi-FI"/>
        </w:rPr>
        <w:t>06= Pirkanmaa</w:t>
      </w:r>
    </w:p>
    <w:p w:rsidR="00450774" w:rsidRPr="00955BB3" w:rsidRDefault="00450774" w:rsidP="00450774">
      <w:pPr>
        <w:jc w:val="left"/>
        <w:rPr>
          <w:sz w:val="20"/>
          <w:lang w:val="fi-FI"/>
        </w:rPr>
      </w:pPr>
      <w:r w:rsidRPr="00955BB3">
        <w:rPr>
          <w:sz w:val="20"/>
          <w:lang w:val="fi-FI"/>
        </w:rPr>
        <w:t>07= Päijät-Häme</w:t>
      </w:r>
    </w:p>
    <w:p w:rsidR="00450774" w:rsidRPr="00955BB3" w:rsidRDefault="00450774" w:rsidP="00450774">
      <w:pPr>
        <w:jc w:val="left"/>
        <w:rPr>
          <w:sz w:val="20"/>
          <w:lang w:val="fi-FI"/>
        </w:rPr>
      </w:pPr>
      <w:r w:rsidRPr="00955BB3">
        <w:rPr>
          <w:sz w:val="20"/>
          <w:lang w:val="fi-FI"/>
        </w:rPr>
        <w:t>08= Kymenlaakso</w:t>
      </w:r>
    </w:p>
    <w:p w:rsidR="00450774" w:rsidRPr="00955BB3" w:rsidRDefault="00450774" w:rsidP="00450774">
      <w:pPr>
        <w:jc w:val="left"/>
        <w:rPr>
          <w:sz w:val="20"/>
          <w:lang w:val="fi-FI"/>
        </w:rPr>
      </w:pPr>
      <w:r w:rsidRPr="00955BB3">
        <w:rPr>
          <w:sz w:val="20"/>
          <w:lang w:val="fi-FI"/>
        </w:rPr>
        <w:t>09= Etelä-Karjala</w:t>
      </w:r>
    </w:p>
    <w:p w:rsidR="00450774" w:rsidRPr="00955BB3" w:rsidRDefault="00450774" w:rsidP="00450774">
      <w:pPr>
        <w:jc w:val="left"/>
        <w:rPr>
          <w:sz w:val="20"/>
          <w:lang w:val="fi-FI"/>
        </w:rPr>
      </w:pPr>
      <w:r w:rsidRPr="00955BB3">
        <w:rPr>
          <w:sz w:val="20"/>
          <w:lang w:val="fi-FI"/>
        </w:rPr>
        <w:t>10= Etelä-Savo</w:t>
      </w:r>
    </w:p>
    <w:p w:rsidR="00450774" w:rsidRPr="00955BB3" w:rsidRDefault="00450774" w:rsidP="00450774">
      <w:pPr>
        <w:jc w:val="left"/>
        <w:rPr>
          <w:sz w:val="20"/>
          <w:lang w:val="fi-FI"/>
        </w:rPr>
      </w:pPr>
      <w:r w:rsidRPr="00955BB3">
        <w:rPr>
          <w:sz w:val="20"/>
          <w:lang w:val="fi-FI"/>
        </w:rPr>
        <w:t>11= Pohjois-Savo</w:t>
      </w:r>
    </w:p>
    <w:p w:rsidR="00450774" w:rsidRPr="00955BB3" w:rsidRDefault="00450774" w:rsidP="00450774">
      <w:pPr>
        <w:jc w:val="left"/>
        <w:rPr>
          <w:sz w:val="20"/>
          <w:lang w:val="fi-FI"/>
        </w:rPr>
      </w:pPr>
      <w:r w:rsidRPr="00955BB3">
        <w:rPr>
          <w:sz w:val="20"/>
          <w:lang w:val="fi-FI"/>
        </w:rPr>
        <w:t>12= Pohjois-Karjala</w:t>
      </w:r>
    </w:p>
    <w:p w:rsidR="00450774" w:rsidRPr="00955BB3" w:rsidRDefault="00450774" w:rsidP="00450774">
      <w:pPr>
        <w:jc w:val="left"/>
        <w:rPr>
          <w:sz w:val="20"/>
          <w:lang w:val="fi-FI"/>
        </w:rPr>
      </w:pPr>
      <w:r w:rsidRPr="00955BB3">
        <w:rPr>
          <w:sz w:val="20"/>
          <w:lang w:val="fi-FI"/>
        </w:rPr>
        <w:t>13= Keski-Suomi</w:t>
      </w:r>
    </w:p>
    <w:p w:rsidR="00450774" w:rsidRPr="00955BB3" w:rsidRDefault="00450774" w:rsidP="00450774">
      <w:pPr>
        <w:jc w:val="left"/>
        <w:rPr>
          <w:sz w:val="20"/>
          <w:lang w:val="fi-FI"/>
        </w:rPr>
      </w:pPr>
      <w:r w:rsidRPr="00955BB3">
        <w:rPr>
          <w:sz w:val="20"/>
          <w:lang w:val="fi-FI"/>
        </w:rPr>
        <w:t>14= Etelä-Pohjanmaa</w:t>
      </w:r>
    </w:p>
    <w:p w:rsidR="00450774" w:rsidRPr="00955BB3" w:rsidRDefault="00450774" w:rsidP="00450774">
      <w:pPr>
        <w:jc w:val="left"/>
        <w:rPr>
          <w:sz w:val="20"/>
          <w:lang w:val="fi-FI"/>
        </w:rPr>
      </w:pPr>
      <w:r w:rsidRPr="00955BB3">
        <w:rPr>
          <w:sz w:val="20"/>
          <w:lang w:val="fi-FI"/>
        </w:rPr>
        <w:t>15= Pohjanmaa</w:t>
      </w:r>
    </w:p>
    <w:p w:rsidR="00450774" w:rsidRPr="00955BB3" w:rsidRDefault="00450774" w:rsidP="00450774">
      <w:pPr>
        <w:jc w:val="left"/>
        <w:rPr>
          <w:sz w:val="20"/>
          <w:lang w:val="fi-FI"/>
        </w:rPr>
      </w:pPr>
      <w:r w:rsidRPr="00955BB3">
        <w:rPr>
          <w:sz w:val="20"/>
          <w:lang w:val="fi-FI"/>
        </w:rPr>
        <w:t>16= Keski-Pohjanmaa</w:t>
      </w:r>
    </w:p>
    <w:p w:rsidR="00450774" w:rsidRPr="00955BB3" w:rsidRDefault="00450774" w:rsidP="00450774">
      <w:pPr>
        <w:jc w:val="left"/>
        <w:rPr>
          <w:sz w:val="20"/>
          <w:lang w:val="fi-FI"/>
        </w:rPr>
      </w:pPr>
      <w:r w:rsidRPr="00955BB3">
        <w:rPr>
          <w:sz w:val="20"/>
          <w:lang w:val="fi-FI"/>
        </w:rPr>
        <w:t>17= Pohjois-Pohjanmaa</w:t>
      </w:r>
    </w:p>
    <w:p w:rsidR="00450774" w:rsidRPr="00955BB3" w:rsidRDefault="00450774" w:rsidP="00450774">
      <w:pPr>
        <w:jc w:val="left"/>
        <w:rPr>
          <w:sz w:val="20"/>
          <w:lang w:val="fi-FI"/>
        </w:rPr>
      </w:pPr>
      <w:r w:rsidRPr="00955BB3">
        <w:rPr>
          <w:sz w:val="20"/>
          <w:lang w:val="fi-FI"/>
        </w:rPr>
        <w:t>18= Kainuu</w:t>
      </w:r>
    </w:p>
    <w:p w:rsidR="00450774" w:rsidRPr="00955BB3" w:rsidRDefault="00450774" w:rsidP="00450774">
      <w:pPr>
        <w:jc w:val="left"/>
        <w:rPr>
          <w:sz w:val="20"/>
          <w:lang w:val="fi-FI"/>
        </w:rPr>
      </w:pPr>
      <w:r w:rsidRPr="00955BB3">
        <w:rPr>
          <w:sz w:val="20"/>
          <w:lang w:val="fi-FI"/>
        </w:rPr>
        <w:t>19= Lappi</w:t>
      </w:r>
    </w:p>
    <w:p w:rsidR="00450774" w:rsidRPr="00955BB3" w:rsidRDefault="00450774" w:rsidP="00450774">
      <w:pPr>
        <w:jc w:val="left"/>
        <w:rPr>
          <w:sz w:val="20"/>
          <w:lang w:val="fi-FI"/>
        </w:rPr>
      </w:pPr>
      <w:r w:rsidRPr="00955BB3">
        <w:rPr>
          <w:sz w:val="20"/>
          <w:lang w:val="fi-FI"/>
        </w:rPr>
        <w:t>20= Itä-Uusimaa</w:t>
      </w:r>
    </w:p>
    <w:p w:rsidR="00450774" w:rsidRPr="0031177C" w:rsidRDefault="00450774" w:rsidP="00450774">
      <w:pPr>
        <w:jc w:val="left"/>
        <w:rPr>
          <w:sz w:val="20"/>
        </w:rPr>
      </w:pPr>
      <w:r w:rsidRPr="0031177C">
        <w:rPr>
          <w:sz w:val="20"/>
        </w:rPr>
        <w:t xml:space="preserve">21= </w:t>
      </w:r>
      <w:smartTag w:uri="urn:schemas-microsoft-com:office:smarttags" w:element="place">
        <w:r w:rsidRPr="0031177C">
          <w:rPr>
            <w:sz w:val="20"/>
          </w:rPr>
          <w:t>Ahvenanmaa</w:t>
        </w:r>
      </w:smartTag>
      <w:r w:rsidRPr="0031177C">
        <w:rPr>
          <w:sz w:val="20"/>
        </w:rPr>
        <w:br w:type="textWrapping" w:clear="all"/>
      </w:r>
    </w:p>
    <w:p w:rsidR="00450774" w:rsidRPr="0031177C" w:rsidRDefault="00450774" w:rsidP="00450774">
      <w:pPr>
        <w:jc w:val="left"/>
        <w:rPr>
          <w:sz w:val="20"/>
        </w:rPr>
      </w:pPr>
    </w:p>
    <w:p w:rsidR="00450774" w:rsidRPr="00514DF0" w:rsidRDefault="00450774" w:rsidP="00450774">
      <w:pPr>
        <w:jc w:val="center"/>
        <w:rPr>
          <w:color w:val="000000"/>
          <w:szCs w:val="26"/>
        </w:rPr>
      </w:pPr>
      <w:r w:rsidRPr="00514DF0">
        <w:rPr>
          <w:b/>
          <w:color w:val="000000"/>
          <w:szCs w:val="26"/>
        </w:rPr>
        <w:t>Figure 1</w:t>
      </w:r>
      <w:r w:rsidRPr="00514DF0">
        <w:rPr>
          <w:color w:val="000000"/>
          <w:szCs w:val="26"/>
        </w:rPr>
        <w:t>.</w:t>
      </w:r>
      <w:r>
        <w:rPr>
          <w:color w:val="000000"/>
          <w:szCs w:val="26"/>
        </w:rPr>
        <w:t xml:space="preserve"> </w:t>
      </w:r>
      <w:r w:rsidRPr="00514DF0">
        <w:rPr>
          <w:color w:val="000000"/>
          <w:szCs w:val="26"/>
        </w:rPr>
        <w:t xml:space="preserve"> Finnish regions. </w:t>
      </w:r>
      <w:r>
        <w:rPr>
          <w:color w:val="000000"/>
          <w:szCs w:val="26"/>
        </w:rPr>
        <w:t xml:space="preserve"> </w:t>
      </w:r>
      <w:r w:rsidRPr="00514DF0">
        <w:rPr>
          <w:color w:val="000000"/>
          <w:szCs w:val="26"/>
        </w:rPr>
        <w:t xml:space="preserve">Source: Statistics </w:t>
      </w:r>
      <w:smartTag w:uri="urn:schemas-microsoft-com:office:smarttags" w:element="country-region">
        <w:smartTag w:uri="urn:schemas-microsoft-com:office:smarttags" w:element="place">
          <w:r w:rsidRPr="00514DF0">
            <w:rPr>
              <w:color w:val="000000"/>
              <w:szCs w:val="26"/>
            </w:rPr>
            <w:t>Finland</w:t>
          </w:r>
        </w:smartTag>
      </w:smartTag>
    </w:p>
    <w:p w:rsidR="00450774" w:rsidRDefault="00450774" w:rsidP="00450774">
      <w:pPr>
        <w:ind w:right="-3"/>
        <w:rPr>
          <w:szCs w:val="26"/>
        </w:rPr>
      </w:pPr>
    </w:p>
    <w:p w:rsidR="00450774" w:rsidRDefault="00450774" w:rsidP="00450774">
      <w:pPr>
        <w:jc w:val="left"/>
      </w:pPr>
      <w:r>
        <w:br w:type="page"/>
      </w:r>
    </w:p>
    <w:p w:rsidR="00A501AA" w:rsidRDefault="00A501AA" w:rsidP="006A0C47">
      <w:pPr>
        <w:spacing w:line="480" w:lineRule="auto"/>
        <w:ind w:left="426" w:hanging="426"/>
      </w:pPr>
    </w:p>
    <w:p w:rsidR="00120049" w:rsidRDefault="00120049" w:rsidP="00120049">
      <w:r>
        <w:rPr>
          <w:noProof/>
          <w:lang w:eastAsia="en-GB"/>
        </w:rPr>
        <w:object w:dxaOrig="9045" w:dyaOrig="6750">
          <v:shape id="_x0000_i1083" type="#_x0000_t75" style="width:415.5pt;height:309.75pt" o:ole="">
            <v:imagedata r:id="rId115" o:title=""/>
          </v:shape>
          <o:OLEObject Type="Embed" ProgID="Word.Picture.8" ShapeID="_x0000_i1083" DrawAspect="Content" ObjectID="_1354515193" r:id="rId116"/>
        </w:object>
      </w:r>
    </w:p>
    <w:p w:rsidR="00120049" w:rsidRDefault="00120049" w:rsidP="009E1B9E">
      <w:pPr>
        <w:ind w:left="425" w:hanging="425"/>
      </w:pPr>
    </w:p>
    <w:p w:rsidR="00363D78" w:rsidRDefault="00363D78" w:rsidP="00363D78">
      <w:pPr>
        <w:tabs>
          <w:tab w:val="left" w:pos="1134"/>
        </w:tabs>
      </w:pPr>
      <w:r>
        <w:rPr>
          <w:b/>
          <w:bCs/>
        </w:rPr>
        <w:t>Figure 2.</w:t>
      </w:r>
      <w:r>
        <w:rPr>
          <w:b/>
          <w:bCs/>
        </w:rPr>
        <w:tab/>
      </w:r>
      <w:r>
        <w:t>Estimates of domestic import propensities produced by the survey and by</w:t>
      </w:r>
    </w:p>
    <w:p w:rsidR="00363D78" w:rsidRDefault="00363D78" w:rsidP="00363D78">
      <w:pPr>
        <w:ind w:left="720" w:firstLine="414"/>
      </w:pPr>
      <w:r>
        <w:t>LQ-based methods</w:t>
      </w:r>
    </w:p>
    <w:p w:rsidR="00120049" w:rsidRDefault="00120049" w:rsidP="006A0C47">
      <w:pPr>
        <w:spacing w:line="480" w:lineRule="auto"/>
        <w:ind w:left="426" w:hanging="426"/>
      </w:pPr>
    </w:p>
    <w:sectPr w:rsidR="00120049" w:rsidSect="000A009C">
      <w:footerReference w:type="even" r:id="rId117"/>
      <w:footerReference w:type="default" r:id="rId118"/>
      <w:pgSz w:w="11906" w:h="1683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11E" w:rsidRDefault="0006711E" w:rsidP="00B74373">
      <w:r>
        <w:separator/>
      </w:r>
    </w:p>
  </w:endnote>
  <w:endnote w:type="continuationSeparator" w:id="0">
    <w:p w:rsidR="0006711E" w:rsidRDefault="0006711E" w:rsidP="00B74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utch">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GoudyOlSt BT">
    <w:charset w:val="00"/>
    <w:family w:val="roman"/>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5344"/>
      <w:docPartObj>
        <w:docPartGallery w:val="Page Numbers (Bottom of Page)"/>
        <w:docPartUnique/>
      </w:docPartObj>
    </w:sdtPr>
    <w:sdtContent>
      <w:p w:rsidR="000A009C" w:rsidRDefault="00DF7C33" w:rsidP="00B74373">
        <w:pPr>
          <w:pStyle w:val="Footer"/>
          <w:jc w:val="center"/>
        </w:pPr>
        <w:fldSimple w:instr=" PAGE   \* MERGEFORMAT ">
          <w:r w:rsidR="00805C37">
            <w:rPr>
              <w:noProof/>
            </w:rPr>
            <w:t>1</w:t>
          </w:r>
        </w:fldSimple>
      </w:p>
    </w:sdtContent>
  </w:sdt>
  <w:p w:rsidR="000A009C" w:rsidRDefault="000A00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9C" w:rsidRDefault="00DF7C33" w:rsidP="000A009C">
    <w:pPr>
      <w:pStyle w:val="Footer"/>
      <w:framePr w:wrap="around" w:vAnchor="text" w:hAnchor="margin" w:xAlign="center" w:y="1"/>
      <w:rPr>
        <w:rStyle w:val="PageNumber"/>
      </w:rPr>
    </w:pPr>
    <w:r>
      <w:rPr>
        <w:rStyle w:val="PageNumber"/>
      </w:rPr>
      <w:fldChar w:fldCharType="begin"/>
    </w:r>
    <w:r w:rsidR="000A009C">
      <w:rPr>
        <w:rStyle w:val="PageNumber"/>
      </w:rPr>
      <w:instrText xml:space="preserve">PAGE  </w:instrText>
    </w:r>
    <w:r>
      <w:rPr>
        <w:rStyle w:val="PageNumber"/>
      </w:rPr>
      <w:fldChar w:fldCharType="end"/>
    </w:r>
  </w:p>
  <w:p w:rsidR="000A009C" w:rsidRDefault="000A00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9C" w:rsidRDefault="00DF7C33" w:rsidP="000A009C">
    <w:pPr>
      <w:pStyle w:val="Footer"/>
      <w:framePr w:wrap="around" w:vAnchor="text" w:hAnchor="margin" w:xAlign="center" w:y="1"/>
      <w:rPr>
        <w:rStyle w:val="PageNumber"/>
      </w:rPr>
    </w:pPr>
    <w:r>
      <w:rPr>
        <w:rStyle w:val="PageNumber"/>
      </w:rPr>
      <w:fldChar w:fldCharType="begin"/>
    </w:r>
    <w:r w:rsidR="000A009C">
      <w:rPr>
        <w:rStyle w:val="PageNumber"/>
      </w:rPr>
      <w:instrText xml:space="preserve">PAGE  </w:instrText>
    </w:r>
    <w:r>
      <w:rPr>
        <w:rStyle w:val="PageNumber"/>
      </w:rPr>
      <w:fldChar w:fldCharType="separate"/>
    </w:r>
    <w:r w:rsidR="000A009C">
      <w:rPr>
        <w:rStyle w:val="PageNumber"/>
        <w:noProof/>
      </w:rPr>
      <w:t>2</w:t>
    </w:r>
    <w:r>
      <w:rPr>
        <w:rStyle w:val="PageNumber"/>
      </w:rPr>
      <w:fldChar w:fldCharType="end"/>
    </w:r>
  </w:p>
  <w:p w:rsidR="000A009C" w:rsidRDefault="000A009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9C" w:rsidRDefault="00DF7C33" w:rsidP="000A009C">
    <w:pPr>
      <w:pStyle w:val="Footer"/>
      <w:framePr w:wrap="around" w:vAnchor="text" w:hAnchor="margin" w:xAlign="center" w:y="1"/>
      <w:rPr>
        <w:rStyle w:val="PageNumber"/>
      </w:rPr>
    </w:pPr>
    <w:r>
      <w:rPr>
        <w:rStyle w:val="PageNumber"/>
      </w:rPr>
      <w:fldChar w:fldCharType="begin"/>
    </w:r>
    <w:r w:rsidR="000A009C">
      <w:rPr>
        <w:rStyle w:val="PageNumber"/>
      </w:rPr>
      <w:instrText xml:space="preserve">PAGE  </w:instrText>
    </w:r>
    <w:r>
      <w:rPr>
        <w:rStyle w:val="PageNumber"/>
      </w:rPr>
      <w:fldChar w:fldCharType="end"/>
    </w:r>
  </w:p>
  <w:p w:rsidR="000A009C" w:rsidRDefault="000A009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09C" w:rsidRDefault="00DF7C33" w:rsidP="000A009C">
    <w:pPr>
      <w:pStyle w:val="Footer"/>
      <w:framePr w:wrap="around" w:vAnchor="text" w:hAnchor="margin" w:xAlign="center" w:y="1"/>
      <w:rPr>
        <w:rStyle w:val="PageNumber"/>
      </w:rPr>
    </w:pPr>
    <w:r>
      <w:rPr>
        <w:rStyle w:val="PageNumber"/>
      </w:rPr>
      <w:fldChar w:fldCharType="begin"/>
    </w:r>
    <w:r w:rsidR="000A009C">
      <w:rPr>
        <w:rStyle w:val="PageNumber"/>
      </w:rPr>
      <w:instrText xml:space="preserve">PAGE  </w:instrText>
    </w:r>
    <w:r>
      <w:rPr>
        <w:rStyle w:val="PageNumber"/>
      </w:rPr>
      <w:fldChar w:fldCharType="separate"/>
    </w:r>
    <w:r w:rsidR="00805C37">
      <w:rPr>
        <w:rStyle w:val="PageNumber"/>
        <w:noProof/>
      </w:rPr>
      <w:t>48</w:t>
    </w:r>
    <w:r>
      <w:rPr>
        <w:rStyle w:val="PageNumber"/>
      </w:rPr>
      <w:fldChar w:fldCharType="end"/>
    </w:r>
  </w:p>
  <w:p w:rsidR="000A009C" w:rsidRDefault="000A00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11E" w:rsidRDefault="0006711E" w:rsidP="00B74373">
      <w:r>
        <w:separator/>
      </w:r>
    </w:p>
  </w:footnote>
  <w:footnote w:type="continuationSeparator" w:id="0">
    <w:p w:rsidR="0006711E" w:rsidRDefault="0006711E" w:rsidP="00B743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1932"/>
    <w:multiLevelType w:val="hybridMultilevel"/>
    <w:tmpl w:val="8BDC0454"/>
    <w:lvl w:ilvl="0" w:tplc="0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8D713C2"/>
    <w:multiLevelType w:val="hybridMultilevel"/>
    <w:tmpl w:val="158AD30C"/>
    <w:lvl w:ilvl="0" w:tplc="13A891FC">
      <w:start w:val="1"/>
      <w:numFmt w:val="decimal"/>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40314F"/>
    <w:multiLevelType w:val="hybridMultilevel"/>
    <w:tmpl w:val="2FD44778"/>
    <w:lvl w:ilvl="0" w:tplc="46FECA3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9451E3"/>
    <w:multiLevelType w:val="hybridMultilevel"/>
    <w:tmpl w:val="2BC0DE0A"/>
    <w:lvl w:ilvl="0" w:tplc="A81257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580364"/>
    <w:multiLevelType w:val="hybridMultilevel"/>
    <w:tmpl w:val="00E8399E"/>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nsid w:val="591308D6"/>
    <w:multiLevelType w:val="hybridMultilevel"/>
    <w:tmpl w:val="213A0AA2"/>
    <w:lvl w:ilvl="0" w:tplc="04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814036A"/>
    <w:multiLevelType w:val="hybridMultilevel"/>
    <w:tmpl w:val="67B874DC"/>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nsid w:val="73FF4724"/>
    <w:multiLevelType w:val="hybridMultilevel"/>
    <w:tmpl w:val="109A58FC"/>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0F18A8"/>
    <w:multiLevelType w:val="hybridMultilevel"/>
    <w:tmpl w:val="CEFC3BEC"/>
    <w:lvl w:ilvl="0" w:tplc="797871B6">
      <w:start w:val="23"/>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95D03"/>
    <w:rsid w:val="00005A99"/>
    <w:rsid w:val="00010055"/>
    <w:rsid w:val="0001470A"/>
    <w:rsid w:val="0001595A"/>
    <w:rsid w:val="0002296A"/>
    <w:rsid w:val="00027468"/>
    <w:rsid w:val="00034E51"/>
    <w:rsid w:val="000435BC"/>
    <w:rsid w:val="000554CB"/>
    <w:rsid w:val="000574AC"/>
    <w:rsid w:val="0006711E"/>
    <w:rsid w:val="000A009C"/>
    <w:rsid w:val="000A647B"/>
    <w:rsid w:val="000B765D"/>
    <w:rsid w:val="000C0152"/>
    <w:rsid w:val="000D0C49"/>
    <w:rsid w:val="000E1EA6"/>
    <w:rsid w:val="000F304A"/>
    <w:rsid w:val="0010178C"/>
    <w:rsid w:val="001162E7"/>
    <w:rsid w:val="001166A7"/>
    <w:rsid w:val="00120049"/>
    <w:rsid w:val="0013732F"/>
    <w:rsid w:val="001433A3"/>
    <w:rsid w:val="0014346C"/>
    <w:rsid w:val="0014528A"/>
    <w:rsid w:val="00147A79"/>
    <w:rsid w:val="00151C8B"/>
    <w:rsid w:val="00157A7B"/>
    <w:rsid w:val="00164511"/>
    <w:rsid w:val="0016761C"/>
    <w:rsid w:val="00167BC5"/>
    <w:rsid w:val="001907F1"/>
    <w:rsid w:val="001967B4"/>
    <w:rsid w:val="00197F1E"/>
    <w:rsid w:val="001A223C"/>
    <w:rsid w:val="001B573A"/>
    <w:rsid w:val="001D22FD"/>
    <w:rsid w:val="001D56FC"/>
    <w:rsid w:val="001D6F1C"/>
    <w:rsid w:val="001F18D8"/>
    <w:rsid w:val="001F18F6"/>
    <w:rsid w:val="001F5F8E"/>
    <w:rsid w:val="0020453A"/>
    <w:rsid w:val="0021275E"/>
    <w:rsid w:val="00224A37"/>
    <w:rsid w:val="00233C08"/>
    <w:rsid w:val="002451E6"/>
    <w:rsid w:val="00253C12"/>
    <w:rsid w:val="00272BD6"/>
    <w:rsid w:val="0028006A"/>
    <w:rsid w:val="00285428"/>
    <w:rsid w:val="0029114E"/>
    <w:rsid w:val="002A60D7"/>
    <w:rsid w:val="002B77A7"/>
    <w:rsid w:val="002C6451"/>
    <w:rsid w:val="002D1A77"/>
    <w:rsid w:val="002E0A9B"/>
    <w:rsid w:val="003023AF"/>
    <w:rsid w:val="00307147"/>
    <w:rsid w:val="0031773C"/>
    <w:rsid w:val="003278B6"/>
    <w:rsid w:val="00333737"/>
    <w:rsid w:val="00335784"/>
    <w:rsid w:val="003373D7"/>
    <w:rsid w:val="0034524C"/>
    <w:rsid w:val="0035578A"/>
    <w:rsid w:val="00361A08"/>
    <w:rsid w:val="0036254D"/>
    <w:rsid w:val="00363D78"/>
    <w:rsid w:val="00367828"/>
    <w:rsid w:val="00394A68"/>
    <w:rsid w:val="003A441E"/>
    <w:rsid w:val="003D7F6A"/>
    <w:rsid w:val="003E3946"/>
    <w:rsid w:val="003E4C0E"/>
    <w:rsid w:val="003E7B02"/>
    <w:rsid w:val="003F6D34"/>
    <w:rsid w:val="003F72DA"/>
    <w:rsid w:val="0041535F"/>
    <w:rsid w:val="004235B4"/>
    <w:rsid w:val="0044567F"/>
    <w:rsid w:val="00450774"/>
    <w:rsid w:val="00451E84"/>
    <w:rsid w:val="00454323"/>
    <w:rsid w:val="0045465B"/>
    <w:rsid w:val="00455C45"/>
    <w:rsid w:val="00463378"/>
    <w:rsid w:val="00476CD7"/>
    <w:rsid w:val="004778EB"/>
    <w:rsid w:val="00480013"/>
    <w:rsid w:val="00487FE8"/>
    <w:rsid w:val="004A6BEA"/>
    <w:rsid w:val="004B02B6"/>
    <w:rsid w:val="004B2862"/>
    <w:rsid w:val="004B4820"/>
    <w:rsid w:val="004B777B"/>
    <w:rsid w:val="004C1405"/>
    <w:rsid w:val="004D0778"/>
    <w:rsid w:val="004F47BF"/>
    <w:rsid w:val="004F48A7"/>
    <w:rsid w:val="00500963"/>
    <w:rsid w:val="0050311E"/>
    <w:rsid w:val="00504E49"/>
    <w:rsid w:val="00510784"/>
    <w:rsid w:val="00513788"/>
    <w:rsid w:val="00513E73"/>
    <w:rsid w:val="005231A7"/>
    <w:rsid w:val="00524054"/>
    <w:rsid w:val="0052423B"/>
    <w:rsid w:val="00542A9E"/>
    <w:rsid w:val="00543421"/>
    <w:rsid w:val="00547805"/>
    <w:rsid w:val="0055692F"/>
    <w:rsid w:val="00556A49"/>
    <w:rsid w:val="00562D8F"/>
    <w:rsid w:val="00570CDF"/>
    <w:rsid w:val="00570D24"/>
    <w:rsid w:val="00580632"/>
    <w:rsid w:val="0059608E"/>
    <w:rsid w:val="005A14F1"/>
    <w:rsid w:val="005B4185"/>
    <w:rsid w:val="005C5459"/>
    <w:rsid w:val="005E77AE"/>
    <w:rsid w:val="005F3FAF"/>
    <w:rsid w:val="00600699"/>
    <w:rsid w:val="00600E82"/>
    <w:rsid w:val="0060602E"/>
    <w:rsid w:val="00610310"/>
    <w:rsid w:val="00610DA6"/>
    <w:rsid w:val="006153C0"/>
    <w:rsid w:val="0062631E"/>
    <w:rsid w:val="006545DA"/>
    <w:rsid w:val="00655519"/>
    <w:rsid w:val="00665452"/>
    <w:rsid w:val="00672A4D"/>
    <w:rsid w:val="00681853"/>
    <w:rsid w:val="006A0C47"/>
    <w:rsid w:val="006A4FD1"/>
    <w:rsid w:val="006B72F8"/>
    <w:rsid w:val="006C0394"/>
    <w:rsid w:val="006C141E"/>
    <w:rsid w:val="006D0DA6"/>
    <w:rsid w:val="006D4BED"/>
    <w:rsid w:val="006E196B"/>
    <w:rsid w:val="006E398A"/>
    <w:rsid w:val="006F55DE"/>
    <w:rsid w:val="00706383"/>
    <w:rsid w:val="00714B90"/>
    <w:rsid w:val="00714F88"/>
    <w:rsid w:val="00742266"/>
    <w:rsid w:val="00744057"/>
    <w:rsid w:val="0075025D"/>
    <w:rsid w:val="00756589"/>
    <w:rsid w:val="00757B33"/>
    <w:rsid w:val="00777C99"/>
    <w:rsid w:val="00795BC1"/>
    <w:rsid w:val="00797A7F"/>
    <w:rsid w:val="007A42BE"/>
    <w:rsid w:val="007A53AE"/>
    <w:rsid w:val="007C0360"/>
    <w:rsid w:val="007D356C"/>
    <w:rsid w:val="007D60BB"/>
    <w:rsid w:val="007E7D3B"/>
    <w:rsid w:val="007F3E5B"/>
    <w:rsid w:val="007F66EB"/>
    <w:rsid w:val="00800C1F"/>
    <w:rsid w:val="00803A92"/>
    <w:rsid w:val="00805C37"/>
    <w:rsid w:val="00806E97"/>
    <w:rsid w:val="008104B5"/>
    <w:rsid w:val="00834850"/>
    <w:rsid w:val="00843088"/>
    <w:rsid w:val="0085012B"/>
    <w:rsid w:val="00871095"/>
    <w:rsid w:val="00893B41"/>
    <w:rsid w:val="008A02AB"/>
    <w:rsid w:val="008C110B"/>
    <w:rsid w:val="008D5548"/>
    <w:rsid w:val="008D73D2"/>
    <w:rsid w:val="008F3BEA"/>
    <w:rsid w:val="008F3BF6"/>
    <w:rsid w:val="0091367F"/>
    <w:rsid w:val="00913B74"/>
    <w:rsid w:val="009213F1"/>
    <w:rsid w:val="00925A24"/>
    <w:rsid w:val="00936810"/>
    <w:rsid w:val="00937057"/>
    <w:rsid w:val="0094004F"/>
    <w:rsid w:val="00943612"/>
    <w:rsid w:val="0094771D"/>
    <w:rsid w:val="00950777"/>
    <w:rsid w:val="00963527"/>
    <w:rsid w:val="00963F52"/>
    <w:rsid w:val="00966DA4"/>
    <w:rsid w:val="00980B62"/>
    <w:rsid w:val="00982BC8"/>
    <w:rsid w:val="00996263"/>
    <w:rsid w:val="009A1C60"/>
    <w:rsid w:val="009A33FC"/>
    <w:rsid w:val="009B3194"/>
    <w:rsid w:val="009B41C8"/>
    <w:rsid w:val="009B625A"/>
    <w:rsid w:val="009E1B9E"/>
    <w:rsid w:val="009F2D42"/>
    <w:rsid w:val="009F48B9"/>
    <w:rsid w:val="00A07FDC"/>
    <w:rsid w:val="00A13335"/>
    <w:rsid w:val="00A14B95"/>
    <w:rsid w:val="00A24F42"/>
    <w:rsid w:val="00A35489"/>
    <w:rsid w:val="00A4058A"/>
    <w:rsid w:val="00A426A8"/>
    <w:rsid w:val="00A44A84"/>
    <w:rsid w:val="00A501AA"/>
    <w:rsid w:val="00A638CB"/>
    <w:rsid w:val="00A77964"/>
    <w:rsid w:val="00A8089D"/>
    <w:rsid w:val="00A85696"/>
    <w:rsid w:val="00A86395"/>
    <w:rsid w:val="00A8669A"/>
    <w:rsid w:val="00A97597"/>
    <w:rsid w:val="00A97D6B"/>
    <w:rsid w:val="00AA1576"/>
    <w:rsid w:val="00AA425E"/>
    <w:rsid w:val="00AA5DA6"/>
    <w:rsid w:val="00AC6F14"/>
    <w:rsid w:val="00AC7486"/>
    <w:rsid w:val="00AD2093"/>
    <w:rsid w:val="00AD5FD0"/>
    <w:rsid w:val="00B21BD3"/>
    <w:rsid w:val="00B31A99"/>
    <w:rsid w:val="00B34BD3"/>
    <w:rsid w:val="00B35EA6"/>
    <w:rsid w:val="00B4686A"/>
    <w:rsid w:val="00B46B0B"/>
    <w:rsid w:val="00B6686C"/>
    <w:rsid w:val="00B673DC"/>
    <w:rsid w:val="00B67514"/>
    <w:rsid w:val="00B74373"/>
    <w:rsid w:val="00B760C6"/>
    <w:rsid w:val="00B77606"/>
    <w:rsid w:val="00B82C61"/>
    <w:rsid w:val="00B91D39"/>
    <w:rsid w:val="00B9440E"/>
    <w:rsid w:val="00B94BF2"/>
    <w:rsid w:val="00B95D03"/>
    <w:rsid w:val="00B97488"/>
    <w:rsid w:val="00BA47E4"/>
    <w:rsid w:val="00BB69CC"/>
    <w:rsid w:val="00BC3402"/>
    <w:rsid w:val="00BD6AC8"/>
    <w:rsid w:val="00BE1474"/>
    <w:rsid w:val="00BE161F"/>
    <w:rsid w:val="00BE2B8F"/>
    <w:rsid w:val="00BF0679"/>
    <w:rsid w:val="00C0384F"/>
    <w:rsid w:val="00C33D6F"/>
    <w:rsid w:val="00C364B4"/>
    <w:rsid w:val="00C451EB"/>
    <w:rsid w:val="00C46A38"/>
    <w:rsid w:val="00C530A2"/>
    <w:rsid w:val="00C56F24"/>
    <w:rsid w:val="00C57493"/>
    <w:rsid w:val="00C624B1"/>
    <w:rsid w:val="00C80C3E"/>
    <w:rsid w:val="00C97201"/>
    <w:rsid w:val="00CA5554"/>
    <w:rsid w:val="00CC1340"/>
    <w:rsid w:val="00CC3158"/>
    <w:rsid w:val="00CC3511"/>
    <w:rsid w:val="00CC5427"/>
    <w:rsid w:val="00CD2ACF"/>
    <w:rsid w:val="00CE0E1E"/>
    <w:rsid w:val="00CF0727"/>
    <w:rsid w:val="00CF0977"/>
    <w:rsid w:val="00CF19E7"/>
    <w:rsid w:val="00CF1BE0"/>
    <w:rsid w:val="00CF2A55"/>
    <w:rsid w:val="00CF318D"/>
    <w:rsid w:val="00CF6847"/>
    <w:rsid w:val="00CF73B4"/>
    <w:rsid w:val="00CF7C5B"/>
    <w:rsid w:val="00D06215"/>
    <w:rsid w:val="00D101EF"/>
    <w:rsid w:val="00D231E9"/>
    <w:rsid w:val="00D32729"/>
    <w:rsid w:val="00D32744"/>
    <w:rsid w:val="00D411ED"/>
    <w:rsid w:val="00D67885"/>
    <w:rsid w:val="00D76DA9"/>
    <w:rsid w:val="00DA3F9A"/>
    <w:rsid w:val="00DD407E"/>
    <w:rsid w:val="00DE02D8"/>
    <w:rsid w:val="00DE318A"/>
    <w:rsid w:val="00DF1F52"/>
    <w:rsid w:val="00DF5777"/>
    <w:rsid w:val="00DF7C33"/>
    <w:rsid w:val="00E23681"/>
    <w:rsid w:val="00E25CA7"/>
    <w:rsid w:val="00E270F0"/>
    <w:rsid w:val="00E37C3C"/>
    <w:rsid w:val="00E77B41"/>
    <w:rsid w:val="00E800CD"/>
    <w:rsid w:val="00E834A3"/>
    <w:rsid w:val="00E93D9D"/>
    <w:rsid w:val="00E95252"/>
    <w:rsid w:val="00E97288"/>
    <w:rsid w:val="00EA62F6"/>
    <w:rsid w:val="00EC30F5"/>
    <w:rsid w:val="00EC4919"/>
    <w:rsid w:val="00EC56B6"/>
    <w:rsid w:val="00EC5760"/>
    <w:rsid w:val="00ED0B1F"/>
    <w:rsid w:val="00ED1E7E"/>
    <w:rsid w:val="00ED526C"/>
    <w:rsid w:val="00ED5FE9"/>
    <w:rsid w:val="00EE0F07"/>
    <w:rsid w:val="00EE18EE"/>
    <w:rsid w:val="00EE47BC"/>
    <w:rsid w:val="00EE6202"/>
    <w:rsid w:val="00EF1BF6"/>
    <w:rsid w:val="00EF53BD"/>
    <w:rsid w:val="00EF6161"/>
    <w:rsid w:val="00F01AB4"/>
    <w:rsid w:val="00F02432"/>
    <w:rsid w:val="00F05186"/>
    <w:rsid w:val="00F17D09"/>
    <w:rsid w:val="00F22A5E"/>
    <w:rsid w:val="00F23C75"/>
    <w:rsid w:val="00F40F3F"/>
    <w:rsid w:val="00F44EAC"/>
    <w:rsid w:val="00F85058"/>
    <w:rsid w:val="00F87650"/>
    <w:rsid w:val="00F935A5"/>
    <w:rsid w:val="00F972C2"/>
    <w:rsid w:val="00FA236D"/>
    <w:rsid w:val="00FB62C9"/>
    <w:rsid w:val="00FC0B5C"/>
    <w:rsid w:val="00FC4EC7"/>
    <w:rsid w:val="00FC4FCB"/>
    <w:rsid w:val="00FC764E"/>
    <w:rsid w:val="00FD000E"/>
    <w:rsid w:val="00FD1291"/>
    <w:rsid w:val="00FE05CA"/>
    <w:rsid w:val="00FF0327"/>
    <w:rsid w:val="00FF71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D03"/>
    <w:pPr>
      <w:spacing w:after="0" w:line="240" w:lineRule="auto"/>
      <w:jc w:val="both"/>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CF0727"/>
    <w:pPr>
      <w:widowControl w:val="0"/>
      <w:adjustRightInd w:val="0"/>
      <w:spacing w:before="240" w:line="360" w:lineRule="auto"/>
      <w:ind w:left="397" w:right="284"/>
      <w:textAlignment w:val="baseline"/>
      <w:outlineLvl w:val="0"/>
    </w:pPr>
    <w:rPr>
      <w:rFonts w:ascii="Arial" w:eastAsia="Times New Roman" w:hAnsi="Arial"/>
      <w:b/>
      <w:szCs w:val="20"/>
      <w:u w:val="single"/>
      <w:lang w:val="fi-FI" w:eastAsia="fi-FI"/>
    </w:rPr>
  </w:style>
  <w:style w:type="paragraph" w:styleId="Heading2">
    <w:name w:val="heading 2"/>
    <w:basedOn w:val="Normal"/>
    <w:next w:val="Normal"/>
    <w:link w:val="Heading2Char"/>
    <w:qFormat/>
    <w:rsid w:val="00CF0727"/>
    <w:pPr>
      <w:widowControl w:val="0"/>
      <w:adjustRightInd w:val="0"/>
      <w:spacing w:before="120" w:line="360" w:lineRule="auto"/>
      <w:ind w:left="397" w:right="284"/>
      <w:textAlignment w:val="baseline"/>
      <w:outlineLvl w:val="1"/>
    </w:pPr>
    <w:rPr>
      <w:rFonts w:ascii="Arial" w:eastAsia="Times New Roman" w:hAnsi="Arial"/>
      <w:b/>
      <w:szCs w:val="20"/>
      <w:lang w:val="fi-FI" w:eastAsia="fi-FI"/>
    </w:rPr>
  </w:style>
  <w:style w:type="paragraph" w:styleId="Heading3">
    <w:name w:val="heading 3"/>
    <w:basedOn w:val="Normal"/>
    <w:next w:val="NormalIndent"/>
    <w:link w:val="Heading3Char"/>
    <w:qFormat/>
    <w:rsid w:val="00CF0727"/>
    <w:pPr>
      <w:widowControl w:val="0"/>
      <w:adjustRightInd w:val="0"/>
      <w:spacing w:line="360" w:lineRule="auto"/>
      <w:ind w:left="652" w:right="284"/>
      <w:textAlignment w:val="baseline"/>
      <w:outlineLvl w:val="2"/>
    </w:pPr>
    <w:rPr>
      <w:rFonts w:eastAsia="Times New Roman"/>
      <w:b/>
      <w:szCs w:val="20"/>
      <w:lang w:val="fi-FI" w:eastAsia="fi-FI"/>
    </w:rPr>
  </w:style>
  <w:style w:type="paragraph" w:styleId="Heading4">
    <w:name w:val="heading 4"/>
    <w:basedOn w:val="Normal"/>
    <w:next w:val="NormalIndent"/>
    <w:link w:val="Heading4Char"/>
    <w:qFormat/>
    <w:rsid w:val="00CF0727"/>
    <w:pPr>
      <w:widowControl w:val="0"/>
      <w:adjustRightInd w:val="0"/>
      <w:spacing w:line="360" w:lineRule="auto"/>
      <w:ind w:left="652" w:right="284"/>
      <w:textAlignment w:val="baseline"/>
      <w:outlineLvl w:val="3"/>
    </w:pPr>
    <w:rPr>
      <w:rFonts w:eastAsia="Times New Roman"/>
      <w:szCs w:val="20"/>
      <w:u w:val="single"/>
      <w:lang w:val="fi-FI" w:eastAsia="fi-FI"/>
    </w:rPr>
  </w:style>
  <w:style w:type="paragraph" w:styleId="Heading5">
    <w:name w:val="heading 5"/>
    <w:basedOn w:val="Normal"/>
    <w:next w:val="NormalIndent"/>
    <w:link w:val="Heading5Char"/>
    <w:qFormat/>
    <w:rsid w:val="00CF0727"/>
    <w:pPr>
      <w:widowControl w:val="0"/>
      <w:adjustRightInd w:val="0"/>
      <w:spacing w:line="360" w:lineRule="auto"/>
      <w:ind w:left="1304" w:right="284"/>
      <w:textAlignment w:val="baseline"/>
      <w:outlineLvl w:val="4"/>
    </w:pPr>
    <w:rPr>
      <w:rFonts w:eastAsia="Times New Roman"/>
      <w:b/>
      <w:sz w:val="20"/>
      <w:szCs w:val="20"/>
      <w:lang w:val="fi-FI" w:eastAsia="fi-FI"/>
    </w:rPr>
  </w:style>
  <w:style w:type="paragraph" w:styleId="Heading6">
    <w:name w:val="heading 6"/>
    <w:basedOn w:val="Normal"/>
    <w:next w:val="NormalIndent"/>
    <w:link w:val="Heading6Char"/>
    <w:qFormat/>
    <w:rsid w:val="00CF0727"/>
    <w:pPr>
      <w:widowControl w:val="0"/>
      <w:adjustRightInd w:val="0"/>
      <w:spacing w:line="360" w:lineRule="auto"/>
      <w:ind w:left="1304" w:right="284"/>
      <w:textAlignment w:val="baseline"/>
      <w:outlineLvl w:val="5"/>
    </w:pPr>
    <w:rPr>
      <w:rFonts w:eastAsia="Times New Roman"/>
      <w:sz w:val="20"/>
      <w:szCs w:val="20"/>
      <w:u w:val="single"/>
      <w:lang w:val="fi-FI" w:eastAsia="fi-FI"/>
    </w:rPr>
  </w:style>
  <w:style w:type="paragraph" w:styleId="Heading7">
    <w:name w:val="heading 7"/>
    <w:basedOn w:val="Normal"/>
    <w:next w:val="NormalIndent"/>
    <w:link w:val="Heading7Char"/>
    <w:qFormat/>
    <w:rsid w:val="00CF0727"/>
    <w:pPr>
      <w:widowControl w:val="0"/>
      <w:adjustRightInd w:val="0"/>
      <w:spacing w:line="360" w:lineRule="auto"/>
      <w:ind w:left="1304" w:right="284"/>
      <w:textAlignment w:val="baseline"/>
      <w:outlineLvl w:val="6"/>
    </w:pPr>
    <w:rPr>
      <w:rFonts w:eastAsia="Times New Roman"/>
      <w:i/>
      <w:sz w:val="20"/>
      <w:szCs w:val="20"/>
      <w:lang w:val="fi-FI" w:eastAsia="fi-FI"/>
    </w:rPr>
  </w:style>
  <w:style w:type="paragraph" w:styleId="Heading8">
    <w:name w:val="heading 8"/>
    <w:basedOn w:val="Normal"/>
    <w:next w:val="NormalIndent"/>
    <w:link w:val="Heading8Char"/>
    <w:qFormat/>
    <w:rsid w:val="00CF0727"/>
    <w:pPr>
      <w:widowControl w:val="0"/>
      <w:adjustRightInd w:val="0"/>
      <w:spacing w:line="360" w:lineRule="auto"/>
      <w:ind w:left="1304" w:right="284"/>
      <w:textAlignment w:val="baseline"/>
      <w:outlineLvl w:val="7"/>
    </w:pPr>
    <w:rPr>
      <w:rFonts w:eastAsia="Times New Roman"/>
      <w:i/>
      <w:sz w:val="20"/>
      <w:szCs w:val="20"/>
      <w:lang w:val="fi-FI" w:eastAsia="fi-FI"/>
    </w:rPr>
  </w:style>
  <w:style w:type="paragraph" w:styleId="Heading9">
    <w:name w:val="heading 9"/>
    <w:basedOn w:val="Normal"/>
    <w:next w:val="NormalIndent"/>
    <w:link w:val="Heading9Char"/>
    <w:qFormat/>
    <w:rsid w:val="00CF0727"/>
    <w:pPr>
      <w:widowControl w:val="0"/>
      <w:adjustRightInd w:val="0"/>
      <w:spacing w:line="360" w:lineRule="auto"/>
      <w:ind w:left="1304" w:right="284"/>
      <w:textAlignment w:val="baseline"/>
      <w:outlineLvl w:val="8"/>
    </w:pPr>
    <w:rPr>
      <w:rFonts w:eastAsia="Times New Roman"/>
      <w:i/>
      <w:sz w:val="20"/>
      <w:szCs w:val="20"/>
      <w:lang w:val="fi-FI"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ali1">
    <w:name w:val="Normaali1"/>
    <w:uiPriority w:val="99"/>
    <w:rsid w:val="00B95D03"/>
    <w:pPr>
      <w:widowControl w:val="0"/>
      <w:adjustRightInd w:val="0"/>
      <w:spacing w:after="0" w:line="360" w:lineRule="auto"/>
      <w:jc w:val="both"/>
      <w:textAlignment w:val="baseline"/>
    </w:pPr>
    <w:rPr>
      <w:rFonts w:ascii="Dutch" w:eastAsia="Times New Roman" w:hAnsi="Dutch" w:cs="Times New Roman"/>
      <w:sz w:val="24"/>
      <w:szCs w:val="20"/>
      <w:lang w:val="fi-FI" w:eastAsia="fi-FI"/>
    </w:rPr>
  </w:style>
  <w:style w:type="paragraph" w:styleId="Header">
    <w:name w:val="header"/>
    <w:basedOn w:val="Normal"/>
    <w:link w:val="HeaderChar"/>
    <w:unhideWhenUsed/>
    <w:rsid w:val="00B95D03"/>
    <w:pPr>
      <w:tabs>
        <w:tab w:val="center" w:pos="4680"/>
        <w:tab w:val="right" w:pos="9360"/>
      </w:tabs>
    </w:pPr>
  </w:style>
  <w:style w:type="character" w:customStyle="1" w:styleId="HeaderChar">
    <w:name w:val="Header Char"/>
    <w:basedOn w:val="DefaultParagraphFont"/>
    <w:link w:val="Header"/>
    <w:rsid w:val="00B95D03"/>
    <w:rPr>
      <w:rFonts w:ascii="Times New Roman" w:eastAsia="SimSun" w:hAnsi="Times New Roman" w:cs="Times New Roman"/>
      <w:sz w:val="24"/>
      <w:szCs w:val="24"/>
      <w:lang w:eastAsia="zh-CN"/>
    </w:rPr>
  </w:style>
  <w:style w:type="paragraph" w:styleId="Footer">
    <w:name w:val="footer"/>
    <w:basedOn w:val="Normal"/>
    <w:link w:val="FooterChar"/>
    <w:unhideWhenUsed/>
    <w:rsid w:val="00B95D03"/>
    <w:pPr>
      <w:tabs>
        <w:tab w:val="center" w:pos="4680"/>
        <w:tab w:val="right" w:pos="9360"/>
      </w:tabs>
    </w:pPr>
  </w:style>
  <w:style w:type="character" w:customStyle="1" w:styleId="FooterChar">
    <w:name w:val="Footer Char"/>
    <w:basedOn w:val="DefaultParagraphFont"/>
    <w:link w:val="Footer"/>
    <w:rsid w:val="00B95D03"/>
    <w:rPr>
      <w:rFonts w:ascii="Times New Roman" w:eastAsia="SimSun" w:hAnsi="Times New Roman" w:cs="Times New Roman"/>
      <w:sz w:val="24"/>
      <w:szCs w:val="24"/>
      <w:lang w:eastAsia="zh-CN"/>
    </w:rPr>
  </w:style>
  <w:style w:type="paragraph" w:styleId="ListParagraph">
    <w:name w:val="List Paragraph"/>
    <w:basedOn w:val="Normal"/>
    <w:uiPriority w:val="34"/>
    <w:qFormat/>
    <w:rsid w:val="00B95D03"/>
    <w:pPr>
      <w:ind w:left="720"/>
      <w:contextualSpacing/>
    </w:pPr>
  </w:style>
  <w:style w:type="character" w:styleId="PlaceholderText">
    <w:name w:val="Placeholder Text"/>
    <w:basedOn w:val="DefaultParagraphFont"/>
    <w:uiPriority w:val="99"/>
    <w:semiHidden/>
    <w:rsid w:val="00B95D03"/>
    <w:rPr>
      <w:color w:val="808080"/>
    </w:rPr>
  </w:style>
  <w:style w:type="paragraph" w:styleId="BalloonText">
    <w:name w:val="Balloon Text"/>
    <w:basedOn w:val="Normal"/>
    <w:link w:val="BalloonTextChar"/>
    <w:semiHidden/>
    <w:unhideWhenUsed/>
    <w:rsid w:val="00B95D03"/>
    <w:rPr>
      <w:rFonts w:ascii="Tahoma" w:hAnsi="Tahoma" w:cs="Tahoma"/>
      <w:sz w:val="16"/>
      <w:szCs w:val="16"/>
    </w:rPr>
  </w:style>
  <w:style w:type="character" w:customStyle="1" w:styleId="BalloonTextChar">
    <w:name w:val="Balloon Text Char"/>
    <w:basedOn w:val="DefaultParagraphFont"/>
    <w:link w:val="BalloonText"/>
    <w:semiHidden/>
    <w:rsid w:val="00B95D03"/>
    <w:rPr>
      <w:rFonts w:ascii="Tahoma" w:eastAsia="SimSun" w:hAnsi="Tahoma" w:cs="Tahoma"/>
      <w:sz w:val="16"/>
      <w:szCs w:val="16"/>
      <w:lang w:eastAsia="zh-CN"/>
    </w:rPr>
  </w:style>
  <w:style w:type="character" w:styleId="Hyperlink">
    <w:name w:val="Hyperlink"/>
    <w:basedOn w:val="DefaultParagraphFont"/>
    <w:rsid w:val="00B95D03"/>
    <w:rPr>
      <w:color w:val="0000FF"/>
      <w:u w:val="single"/>
    </w:rPr>
  </w:style>
  <w:style w:type="character" w:customStyle="1" w:styleId="Heading1Char">
    <w:name w:val="Heading 1 Char"/>
    <w:basedOn w:val="DefaultParagraphFont"/>
    <w:link w:val="Heading1"/>
    <w:rsid w:val="00CF0727"/>
    <w:rPr>
      <w:rFonts w:ascii="Arial" w:eastAsia="Times New Roman" w:hAnsi="Arial" w:cs="Times New Roman"/>
      <w:b/>
      <w:sz w:val="24"/>
      <w:szCs w:val="20"/>
      <w:u w:val="single"/>
      <w:lang w:val="fi-FI" w:eastAsia="fi-FI"/>
    </w:rPr>
  </w:style>
  <w:style w:type="character" w:customStyle="1" w:styleId="Heading2Char">
    <w:name w:val="Heading 2 Char"/>
    <w:basedOn w:val="DefaultParagraphFont"/>
    <w:link w:val="Heading2"/>
    <w:rsid w:val="00CF0727"/>
    <w:rPr>
      <w:rFonts w:ascii="Arial" w:eastAsia="Times New Roman" w:hAnsi="Arial" w:cs="Times New Roman"/>
      <w:b/>
      <w:sz w:val="24"/>
      <w:szCs w:val="20"/>
      <w:lang w:val="fi-FI" w:eastAsia="fi-FI"/>
    </w:rPr>
  </w:style>
  <w:style w:type="character" w:customStyle="1" w:styleId="Heading3Char">
    <w:name w:val="Heading 3 Char"/>
    <w:basedOn w:val="DefaultParagraphFont"/>
    <w:link w:val="Heading3"/>
    <w:rsid w:val="00CF0727"/>
    <w:rPr>
      <w:rFonts w:ascii="Times New Roman" w:eastAsia="Times New Roman" w:hAnsi="Times New Roman" w:cs="Times New Roman"/>
      <w:b/>
      <w:sz w:val="24"/>
      <w:szCs w:val="20"/>
      <w:lang w:val="fi-FI" w:eastAsia="fi-FI"/>
    </w:rPr>
  </w:style>
  <w:style w:type="character" w:customStyle="1" w:styleId="Heading4Char">
    <w:name w:val="Heading 4 Char"/>
    <w:basedOn w:val="DefaultParagraphFont"/>
    <w:link w:val="Heading4"/>
    <w:rsid w:val="00CF0727"/>
    <w:rPr>
      <w:rFonts w:ascii="Times New Roman" w:eastAsia="Times New Roman" w:hAnsi="Times New Roman" w:cs="Times New Roman"/>
      <w:sz w:val="24"/>
      <w:szCs w:val="20"/>
      <w:u w:val="single"/>
      <w:lang w:val="fi-FI" w:eastAsia="fi-FI"/>
    </w:rPr>
  </w:style>
  <w:style w:type="character" w:customStyle="1" w:styleId="Heading5Char">
    <w:name w:val="Heading 5 Char"/>
    <w:basedOn w:val="DefaultParagraphFont"/>
    <w:link w:val="Heading5"/>
    <w:rsid w:val="00CF0727"/>
    <w:rPr>
      <w:rFonts w:ascii="Times New Roman" w:eastAsia="Times New Roman" w:hAnsi="Times New Roman" w:cs="Times New Roman"/>
      <w:b/>
      <w:sz w:val="20"/>
      <w:szCs w:val="20"/>
      <w:lang w:val="fi-FI" w:eastAsia="fi-FI"/>
    </w:rPr>
  </w:style>
  <w:style w:type="character" w:customStyle="1" w:styleId="Heading6Char">
    <w:name w:val="Heading 6 Char"/>
    <w:basedOn w:val="DefaultParagraphFont"/>
    <w:link w:val="Heading6"/>
    <w:rsid w:val="00CF0727"/>
    <w:rPr>
      <w:rFonts w:ascii="Times New Roman" w:eastAsia="Times New Roman" w:hAnsi="Times New Roman" w:cs="Times New Roman"/>
      <w:sz w:val="20"/>
      <w:szCs w:val="20"/>
      <w:u w:val="single"/>
      <w:lang w:val="fi-FI" w:eastAsia="fi-FI"/>
    </w:rPr>
  </w:style>
  <w:style w:type="character" w:customStyle="1" w:styleId="Heading7Char">
    <w:name w:val="Heading 7 Char"/>
    <w:basedOn w:val="DefaultParagraphFont"/>
    <w:link w:val="Heading7"/>
    <w:rsid w:val="00CF0727"/>
    <w:rPr>
      <w:rFonts w:ascii="Times New Roman" w:eastAsia="Times New Roman" w:hAnsi="Times New Roman" w:cs="Times New Roman"/>
      <w:i/>
      <w:sz w:val="20"/>
      <w:szCs w:val="20"/>
      <w:lang w:val="fi-FI" w:eastAsia="fi-FI"/>
    </w:rPr>
  </w:style>
  <w:style w:type="character" w:customStyle="1" w:styleId="Heading8Char">
    <w:name w:val="Heading 8 Char"/>
    <w:basedOn w:val="DefaultParagraphFont"/>
    <w:link w:val="Heading8"/>
    <w:rsid w:val="00CF0727"/>
    <w:rPr>
      <w:rFonts w:ascii="Times New Roman" w:eastAsia="Times New Roman" w:hAnsi="Times New Roman" w:cs="Times New Roman"/>
      <w:i/>
      <w:sz w:val="20"/>
      <w:szCs w:val="20"/>
      <w:lang w:val="fi-FI" w:eastAsia="fi-FI"/>
    </w:rPr>
  </w:style>
  <w:style w:type="character" w:customStyle="1" w:styleId="Heading9Char">
    <w:name w:val="Heading 9 Char"/>
    <w:basedOn w:val="DefaultParagraphFont"/>
    <w:link w:val="Heading9"/>
    <w:rsid w:val="00CF0727"/>
    <w:rPr>
      <w:rFonts w:ascii="Times New Roman" w:eastAsia="Times New Roman" w:hAnsi="Times New Roman" w:cs="Times New Roman"/>
      <w:i/>
      <w:sz w:val="20"/>
      <w:szCs w:val="20"/>
      <w:lang w:val="fi-FI" w:eastAsia="fi-FI"/>
    </w:rPr>
  </w:style>
  <w:style w:type="character" w:styleId="FootnoteReference">
    <w:name w:val="footnote reference"/>
    <w:basedOn w:val="DefaultParagraphFont"/>
    <w:semiHidden/>
    <w:rsid w:val="00CF0727"/>
    <w:rPr>
      <w:position w:val="6"/>
      <w:sz w:val="16"/>
    </w:rPr>
  </w:style>
  <w:style w:type="paragraph" w:styleId="FootnoteText">
    <w:name w:val="footnote text"/>
    <w:basedOn w:val="Normal"/>
    <w:link w:val="FootnoteTextChar"/>
    <w:semiHidden/>
    <w:rsid w:val="00CF0727"/>
    <w:pPr>
      <w:widowControl w:val="0"/>
      <w:adjustRightInd w:val="0"/>
      <w:spacing w:line="360" w:lineRule="auto"/>
      <w:ind w:left="397" w:right="284"/>
      <w:textAlignment w:val="baseline"/>
    </w:pPr>
    <w:rPr>
      <w:rFonts w:ascii="Palatino" w:eastAsia="Times New Roman" w:hAnsi="Palatino"/>
      <w:sz w:val="20"/>
      <w:szCs w:val="20"/>
      <w:lang w:val="fi-FI" w:eastAsia="fi-FI"/>
    </w:rPr>
  </w:style>
  <w:style w:type="character" w:customStyle="1" w:styleId="FootnoteTextChar">
    <w:name w:val="Footnote Text Char"/>
    <w:basedOn w:val="DefaultParagraphFont"/>
    <w:link w:val="FootnoteText"/>
    <w:semiHidden/>
    <w:rsid w:val="00CF0727"/>
    <w:rPr>
      <w:rFonts w:ascii="Palatino" w:eastAsia="Times New Roman" w:hAnsi="Palatino" w:cs="Times New Roman"/>
      <w:sz w:val="20"/>
      <w:szCs w:val="20"/>
      <w:lang w:val="fi-FI" w:eastAsia="fi-FI"/>
    </w:rPr>
  </w:style>
  <w:style w:type="character" w:styleId="PageNumber">
    <w:name w:val="page number"/>
    <w:basedOn w:val="DefaultParagraphFont"/>
    <w:rsid w:val="00CF0727"/>
  </w:style>
  <w:style w:type="table" w:styleId="TableGrid">
    <w:name w:val="Table Grid"/>
    <w:basedOn w:val="TableNormal"/>
    <w:rsid w:val="00CF0727"/>
    <w:pPr>
      <w:widowControl w:val="0"/>
      <w:adjustRightInd w:val="0"/>
      <w:spacing w:after="0" w:line="360" w:lineRule="auto"/>
      <w:ind w:left="397" w:right="284"/>
      <w:jc w:val="both"/>
      <w:textAlignment w:val="baseline"/>
    </w:pPr>
    <w:rPr>
      <w:rFonts w:ascii="Times New Roman" w:eastAsia="Times New Roman" w:hAnsi="Times New Roman" w:cs="Times New Roman"/>
      <w:sz w:val="20"/>
      <w:szCs w:val="20"/>
      <w:lang w:eastAsia="fi-F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rsid w:val="00CF0727"/>
    <w:pPr>
      <w:widowControl w:val="0"/>
      <w:adjustRightInd w:val="0"/>
      <w:spacing w:line="360" w:lineRule="auto"/>
      <w:ind w:left="1304" w:right="284"/>
      <w:textAlignment w:val="baseline"/>
    </w:pPr>
    <w:rPr>
      <w:rFonts w:ascii="Palatino" w:eastAsia="Times New Roman" w:hAnsi="Palatino"/>
      <w:szCs w:val="20"/>
      <w:lang w:val="fi-FI" w:eastAsia="fi-FI"/>
    </w:rPr>
  </w:style>
  <w:style w:type="character" w:styleId="LineNumber">
    <w:name w:val="line number"/>
    <w:basedOn w:val="DefaultParagraphFont"/>
    <w:rsid w:val="00CF0727"/>
  </w:style>
  <w:style w:type="paragraph" w:customStyle="1" w:styleId="kulttutk">
    <w:name w:val="kulttutk"/>
    <w:basedOn w:val="Normal"/>
    <w:rsid w:val="00CF0727"/>
    <w:pPr>
      <w:widowControl w:val="0"/>
      <w:adjustRightInd w:val="0"/>
      <w:spacing w:line="320" w:lineRule="atLeast"/>
      <w:ind w:left="397" w:firstLine="510"/>
      <w:textAlignment w:val="baseline"/>
    </w:pPr>
    <w:rPr>
      <w:rFonts w:ascii="GoudyOlSt BT" w:eastAsia="Times New Roman" w:hAnsi="GoudyOlSt BT"/>
      <w:szCs w:val="20"/>
      <w:lang w:val="fi-FI" w:eastAsia="fi-FI"/>
    </w:rPr>
  </w:style>
  <w:style w:type="paragraph" w:customStyle="1" w:styleId="kultsis">
    <w:name w:val="kultsis"/>
    <w:basedOn w:val="Normal"/>
    <w:rsid w:val="00CF0727"/>
    <w:pPr>
      <w:widowControl w:val="0"/>
      <w:adjustRightInd w:val="0"/>
      <w:spacing w:line="280" w:lineRule="atLeast"/>
      <w:ind w:left="851"/>
      <w:textAlignment w:val="baseline"/>
    </w:pPr>
    <w:rPr>
      <w:rFonts w:ascii="GoudyOlSt BT" w:eastAsia="Times New Roman" w:hAnsi="GoudyOlSt BT"/>
      <w:sz w:val="22"/>
      <w:szCs w:val="20"/>
      <w:lang w:val="fi-FI" w:eastAsia="fi-FI"/>
    </w:rPr>
  </w:style>
  <w:style w:type="paragraph" w:customStyle="1" w:styleId="kuvaots">
    <w:name w:val="kuvaots"/>
    <w:basedOn w:val="kulttutk"/>
    <w:rsid w:val="00CF0727"/>
    <w:pPr>
      <w:tabs>
        <w:tab w:val="left" w:pos="567"/>
        <w:tab w:val="left" w:pos="3686"/>
        <w:tab w:val="left" w:pos="6379"/>
      </w:tabs>
      <w:ind w:firstLine="0"/>
    </w:pPr>
  </w:style>
  <w:style w:type="paragraph" w:customStyle="1" w:styleId="Tyyli1">
    <w:name w:val="Tyyli1"/>
    <w:basedOn w:val="Normal"/>
    <w:rsid w:val="00CF0727"/>
    <w:pPr>
      <w:widowControl w:val="0"/>
      <w:adjustRightInd w:val="0"/>
      <w:spacing w:line="360" w:lineRule="auto"/>
      <w:ind w:left="397" w:right="284"/>
      <w:jc w:val="center"/>
      <w:textAlignment w:val="baseline"/>
    </w:pPr>
    <w:rPr>
      <w:rFonts w:ascii="Palatino" w:eastAsia="Times New Roman" w:hAnsi="Palatino"/>
      <w:b/>
      <w:sz w:val="40"/>
      <w:szCs w:val="20"/>
      <w:lang w:val="fi-FI" w:eastAsia="fi-FI"/>
    </w:rPr>
  </w:style>
  <w:style w:type="paragraph" w:styleId="BlockText">
    <w:name w:val="Block Text"/>
    <w:basedOn w:val="Normal"/>
    <w:rsid w:val="00CF0727"/>
    <w:pPr>
      <w:widowControl w:val="0"/>
      <w:tabs>
        <w:tab w:val="left" w:pos="284"/>
        <w:tab w:val="left" w:pos="709"/>
      </w:tabs>
      <w:adjustRightInd w:val="0"/>
      <w:spacing w:line="360" w:lineRule="auto"/>
      <w:ind w:left="1072" w:right="284" w:hanging="363"/>
      <w:textAlignment w:val="baseline"/>
    </w:pPr>
    <w:rPr>
      <w:rFonts w:ascii="Palatino" w:eastAsia="Times New Roman" w:hAnsi="Palatino"/>
      <w:szCs w:val="20"/>
      <w:lang w:val="fi-FI" w:eastAsia="fi-FI"/>
    </w:rPr>
  </w:style>
  <w:style w:type="paragraph" w:styleId="BodyTextIndent">
    <w:name w:val="Body Text Indent"/>
    <w:basedOn w:val="Normal"/>
    <w:link w:val="BodyTextIndentChar"/>
    <w:rsid w:val="00CF0727"/>
    <w:pPr>
      <w:widowControl w:val="0"/>
      <w:tabs>
        <w:tab w:val="left" w:pos="733"/>
        <w:tab w:val="left" w:pos="2443"/>
        <w:tab w:val="left" w:pos="3747"/>
        <w:tab w:val="left" w:pos="5051"/>
        <w:tab w:val="left" w:pos="6355"/>
        <w:tab w:val="left" w:pos="7659"/>
      </w:tabs>
      <w:adjustRightInd w:val="0"/>
      <w:spacing w:line="360" w:lineRule="auto"/>
      <w:ind w:right="-11"/>
      <w:textAlignment w:val="baseline"/>
    </w:pPr>
    <w:rPr>
      <w:rFonts w:eastAsia="Times New Roman"/>
      <w:snapToGrid w:val="0"/>
      <w:szCs w:val="20"/>
      <w:lang w:val="fi-FI" w:eastAsia="fi-FI"/>
    </w:rPr>
  </w:style>
  <w:style w:type="character" w:customStyle="1" w:styleId="BodyTextIndentChar">
    <w:name w:val="Body Text Indent Char"/>
    <w:basedOn w:val="DefaultParagraphFont"/>
    <w:link w:val="BodyTextIndent"/>
    <w:rsid w:val="00CF0727"/>
    <w:rPr>
      <w:rFonts w:ascii="Times New Roman" w:eastAsia="Times New Roman" w:hAnsi="Times New Roman" w:cs="Times New Roman"/>
      <w:snapToGrid w:val="0"/>
      <w:sz w:val="24"/>
      <w:szCs w:val="20"/>
      <w:lang w:val="fi-FI" w:eastAsia="fi-FI"/>
    </w:rPr>
  </w:style>
  <w:style w:type="paragraph" w:styleId="BodyText">
    <w:name w:val="Body Text"/>
    <w:basedOn w:val="Normal"/>
    <w:link w:val="BodyTextChar"/>
    <w:rsid w:val="00CF0727"/>
    <w:pPr>
      <w:widowControl w:val="0"/>
      <w:adjustRightInd w:val="0"/>
      <w:spacing w:line="360" w:lineRule="auto"/>
      <w:ind w:right="284"/>
      <w:textAlignment w:val="baseline"/>
    </w:pPr>
    <w:rPr>
      <w:rFonts w:ascii="Palatino" w:eastAsia="Times New Roman" w:hAnsi="Palatino"/>
      <w:szCs w:val="20"/>
      <w:lang w:val="fi-FI" w:eastAsia="fi-FI"/>
    </w:rPr>
  </w:style>
  <w:style w:type="character" w:customStyle="1" w:styleId="BodyTextChar">
    <w:name w:val="Body Text Char"/>
    <w:basedOn w:val="DefaultParagraphFont"/>
    <w:link w:val="BodyText"/>
    <w:rsid w:val="00CF0727"/>
    <w:rPr>
      <w:rFonts w:ascii="Palatino" w:eastAsia="Times New Roman" w:hAnsi="Palatino" w:cs="Times New Roman"/>
      <w:sz w:val="24"/>
      <w:szCs w:val="20"/>
      <w:lang w:val="fi-FI" w:eastAsia="fi-FI"/>
    </w:rPr>
  </w:style>
  <w:style w:type="paragraph" w:styleId="PlainText">
    <w:name w:val="Plain Text"/>
    <w:basedOn w:val="Normal"/>
    <w:link w:val="PlainTextChar"/>
    <w:rsid w:val="00CF0727"/>
    <w:pPr>
      <w:widowControl w:val="0"/>
      <w:adjustRightInd w:val="0"/>
      <w:jc w:val="left"/>
      <w:textAlignment w:val="baseline"/>
    </w:pPr>
    <w:rPr>
      <w:rFonts w:ascii="Courier New" w:eastAsia="Times New Roman" w:hAnsi="Courier New"/>
      <w:sz w:val="20"/>
      <w:szCs w:val="20"/>
      <w:lang w:val="fi-FI" w:eastAsia="fi-FI"/>
    </w:rPr>
  </w:style>
  <w:style w:type="character" w:customStyle="1" w:styleId="PlainTextChar">
    <w:name w:val="Plain Text Char"/>
    <w:basedOn w:val="DefaultParagraphFont"/>
    <w:link w:val="PlainText"/>
    <w:rsid w:val="00CF0727"/>
    <w:rPr>
      <w:rFonts w:ascii="Courier New" w:eastAsia="Times New Roman" w:hAnsi="Courier New" w:cs="Times New Roman"/>
      <w:sz w:val="20"/>
      <w:szCs w:val="20"/>
      <w:lang w:val="fi-FI" w:eastAsia="fi-FI"/>
    </w:rPr>
  </w:style>
  <w:style w:type="paragraph" w:styleId="BodyText2">
    <w:name w:val="Body Text 2"/>
    <w:basedOn w:val="Normal"/>
    <w:link w:val="BodyText2Char"/>
    <w:rsid w:val="00CF0727"/>
    <w:pPr>
      <w:widowControl w:val="0"/>
      <w:adjustRightInd w:val="0"/>
      <w:ind w:right="284"/>
      <w:jc w:val="center"/>
      <w:textAlignment w:val="baseline"/>
    </w:pPr>
    <w:rPr>
      <w:rFonts w:ascii="Palatino" w:eastAsia="Times New Roman" w:hAnsi="Palatino"/>
      <w:b/>
      <w:sz w:val="20"/>
      <w:szCs w:val="20"/>
      <w:lang w:val="fi-FI" w:eastAsia="fi-FI"/>
    </w:rPr>
  </w:style>
  <w:style w:type="character" w:customStyle="1" w:styleId="BodyText2Char">
    <w:name w:val="Body Text 2 Char"/>
    <w:basedOn w:val="DefaultParagraphFont"/>
    <w:link w:val="BodyText2"/>
    <w:rsid w:val="00CF0727"/>
    <w:rPr>
      <w:rFonts w:ascii="Palatino" w:eastAsia="Times New Roman" w:hAnsi="Palatino" w:cs="Times New Roman"/>
      <w:b/>
      <w:sz w:val="20"/>
      <w:szCs w:val="20"/>
      <w:lang w:val="fi-FI" w:eastAsia="fi-FI"/>
    </w:rPr>
  </w:style>
  <w:style w:type="paragraph" w:styleId="BodyText3">
    <w:name w:val="Body Text 3"/>
    <w:basedOn w:val="Normal"/>
    <w:link w:val="BodyText3Char"/>
    <w:rsid w:val="00CF0727"/>
    <w:pPr>
      <w:widowControl w:val="0"/>
      <w:adjustRightInd w:val="0"/>
      <w:ind w:right="284"/>
      <w:textAlignment w:val="baseline"/>
    </w:pPr>
    <w:rPr>
      <w:rFonts w:ascii="Palatino" w:eastAsia="Times New Roman" w:hAnsi="Palatino"/>
      <w:b/>
      <w:sz w:val="20"/>
      <w:szCs w:val="20"/>
      <w:lang w:val="fi-FI" w:eastAsia="fi-FI"/>
    </w:rPr>
  </w:style>
  <w:style w:type="character" w:customStyle="1" w:styleId="BodyText3Char">
    <w:name w:val="Body Text 3 Char"/>
    <w:basedOn w:val="DefaultParagraphFont"/>
    <w:link w:val="BodyText3"/>
    <w:rsid w:val="00CF0727"/>
    <w:rPr>
      <w:rFonts w:ascii="Palatino" w:eastAsia="Times New Roman" w:hAnsi="Palatino" w:cs="Times New Roman"/>
      <w:b/>
      <w:sz w:val="20"/>
      <w:szCs w:val="20"/>
      <w:lang w:val="fi-FI" w:eastAsia="fi-FI"/>
    </w:rPr>
  </w:style>
  <w:style w:type="paragraph" w:customStyle="1" w:styleId="Normaali3">
    <w:name w:val="Normaali3"/>
    <w:rsid w:val="00CF0727"/>
    <w:pPr>
      <w:widowControl w:val="0"/>
      <w:adjustRightInd w:val="0"/>
      <w:spacing w:after="0" w:line="360" w:lineRule="atLeast"/>
      <w:jc w:val="both"/>
      <w:textAlignment w:val="baseline"/>
    </w:pPr>
    <w:rPr>
      <w:rFonts w:ascii="Times New Roman" w:eastAsia="Times New Roman" w:hAnsi="Times New Roman" w:cs="Times New Roman"/>
      <w:sz w:val="20"/>
      <w:szCs w:val="20"/>
      <w:lang w:val="fi-FI" w:eastAsia="fi-FI"/>
    </w:rPr>
  </w:style>
  <w:style w:type="character" w:customStyle="1" w:styleId="Kappaleenoletusfontti2">
    <w:name w:val="Kappaleen oletusfontti2"/>
    <w:rsid w:val="00CF0727"/>
    <w:rPr>
      <w:sz w:val="20"/>
    </w:rPr>
  </w:style>
  <w:style w:type="paragraph" w:customStyle="1" w:styleId="Otsikko31">
    <w:name w:val="Otsikko 31"/>
    <w:basedOn w:val="Normaali1"/>
    <w:next w:val="Normaali1"/>
    <w:rsid w:val="00CF0727"/>
    <w:pPr>
      <w:keepNext/>
      <w:spacing w:before="240" w:after="60"/>
    </w:pPr>
    <w:rPr>
      <w:rFonts w:ascii="Arial" w:hAnsi="Arial"/>
    </w:rPr>
  </w:style>
  <w:style w:type="character" w:customStyle="1" w:styleId="Kappaleenoletusfontti1">
    <w:name w:val="Kappaleen oletusfontti1"/>
    <w:rsid w:val="00CF0727"/>
    <w:rPr>
      <w:sz w:val="20"/>
    </w:rPr>
  </w:style>
  <w:style w:type="paragraph" w:customStyle="1" w:styleId="Sisennettyleipteksti">
    <w:name w:val="Sisennetty leip?teksti"/>
    <w:basedOn w:val="Normaali1"/>
    <w:rsid w:val="00CF0727"/>
    <w:pPr>
      <w:ind w:left="1304"/>
    </w:pPr>
  </w:style>
  <w:style w:type="paragraph" w:customStyle="1" w:styleId="Sisennettyleipteksti2">
    <w:name w:val="Sisennetty leip?teksti 2"/>
    <w:basedOn w:val="Normaali1"/>
    <w:rsid w:val="00CF0727"/>
    <w:pPr>
      <w:ind w:left="1304"/>
    </w:pPr>
    <w:rPr>
      <w:sz w:val="20"/>
    </w:rPr>
  </w:style>
  <w:style w:type="paragraph" w:customStyle="1" w:styleId="Leipteksti">
    <w:name w:val="Leip?teksti"/>
    <w:basedOn w:val="Normaali1"/>
    <w:rsid w:val="00CF0727"/>
    <w:pPr>
      <w:ind w:right="1133"/>
    </w:pPr>
  </w:style>
  <w:style w:type="paragraph" w:customStyle="1" w:styleId="Leipteksti2">
    <w:name w:val="Leip?teksti 2"/>
    <w:basedOn w:val="Normaali1"/>
    <w:rsid w:val="00CF0727"/>
  </w:style>
  <w:style w:type="paragraph" w:customStyle="1" w:styleId="Sisennettyleipteksti3">
    <w:name w:val="Sisennetty leip?teksti 3"/>
    <w:basedOn w:val="Normaali1"/>
    <w:rsid w:val="00CF0727"/>
    <w:pPr>
      <w:ind w:left="1304"/>
    </w:pPr>
    <w:rPr>
      <w:sz w:val="20"/>
    </w:rPr>
  </w:style>
  <w:style w:type="paragraph" w:customStyle="1" w:styleId="Leipteksti3">
    <w:name w:val="Leip?teksti 3"/>
    <w:basedOn w:val="Normaali1"/>
    <w:rsid w:val="00CF0727"/>
    <w:pPr>
      <w:ind w:right="1133"/>
    </w:pPr>
  </w:style>
  <w:style w:type="paragraph" w:customStyle="1" w:styleId="Yltunniste">
    <w:name w:val="Yl?tunniste"/>
    <w:basedOn w:val="Normaali1"/>
    <w:rsid w:val="00CF0727"/>
    <w:pPr>
      <w:tabs>
        <w:tab w:val="center" w:pos="4819"/>
        <w:tab w:val="right" w:pos="9638"/>
      </w:tabs>
    </w:pPr>
  </w:style>
  <w:style w:type="paragraph" w:customStyle="1" w:styleId="Yltunniste1">
    <w:name w:val="Yl?tunniste1"/>
    <w:basedOn w:val="Normaali3"/>
    <w:rsid w:val="00CF0727"/>
    <w:pPr>
      <w:tabs>
        <w:tab w:val="center" w:pos="4153"/>
        <w:tab w:val="right" w:pos="8306"/>
      </w:tabs>
    </w:pPr>
  </w:style>
  <w:style w:type="paragraph" w:customStyle="1" w:styleId="Leipteksti22">
    <w:name w:val="Leip?teksti 22"/>
    <w:basedOn w:val="Normaali3"/>
    <w:rsid w:val="00CF0727"/>
    <w:pPr>
      <w:spacing w:line="360" w:lineRule="auto"/>
    </w:pPr>
    <w:rPr>
      <w:rFonts w:ascii="Dutch" w:hAnsi="Dutch"/>
      <w:sz w:val="24"/>
    </w:rPr>
  </w:style>
  <w:style w:type="paragraph" w:customStyle="1" w:styleId="Sisennettyleipteksti31">
    <w:name w:val="Sisennetty leip?teksti 31"/>
    <w:basedOn w:val="Normaali3"/>
    <w:rsid w:val="00CF0727"/>
    <w:pPr>
      <w:spacing w:line="360" w:lineRule="auto"/>
      <w:ind w:left="1304"/>
    </w:pPr>
    <w:rPr>
      <w:rFonts w:ascii="Dutch" w:hAnsi="Dutch"/>
    </w:rPr>
  </w:style>
  <w:style w:type="paragraph" w:customStyle="1" w:styleId="Sisennettyleipteksti21">
    <w:name w:val="Sisennetty leip?teksti 21"/>
    <w:basedOn w:val="Normaali3"/>
    <w:rsid w:val="00CF0727"/>
    <w:pPr>
      <w:spacing w:line="360" w:lineRule="auto"/>
      <w:ind w:left="1304"/>
    </w:pPr>
    <w:rPr>
      <w:rFonts w:ascii="Dutch" w:hAnsi="Dutch"/>
    </w:rPr>
  </w:style>
  <w:style w:type="paragraph" w:customStyle="1" w:styleId="Leipteksti0">
    <w:name w:val="LeipŠteksti"/>
    <w:basedOn w:val="Normal"/>
    <w:rsid w:val="00CF0727"/>
    <w:pPr>
      <w:widowControl w:val="0"/>
      <w:adjustRightInd w:val="0"/>
      <w:spacing w:line="360" w:lineRule="auto"/>
      <w:jc w:val="left"/>
      <w:textAlignment w:val="baseline"/>
    </w:pPr>
    <w:rPr>
      <w:rFonts w:ascii="Dutch" w:eastAsia="Times New Roman" w:hAnsi="Dutch"/>
      <w:szCs w:val="20"/>
      <w:lang w:val="fi-FI" w:eastAsia="fi-FI"/>
    </w:rPr>
  </w:style>
  <w:style w:type="paragraph" w:customStyle="1" w:styleId="Normaali2">
    <w:name w:val="Normaali2"/>
    <w:rsid w:val="00CF0727"/>
    <w:pPr>
      <w:widowControl w:val="0"/>
      <w:adjustRightInd w:val="0"/>
      <w:spacing w:after="0" w:line="360" w:lineRule="atLeast"/>
      <w:jc w:val="both"/>
      <w:textAlignment w:val="baseline"/>
    </w:pPr>
    <w:rPr>
      <w:rFonts w:ascii="Times New Roman" w:eastAsia="Times New Roman" w:hAnsi="Times New Roman" w:cs="Times New Roman"/>
      <w:sz w:val="20"/>
      <w:szCs w:val="20"/>
      <w:lang w:val="fi-FI" w:eastAsia="fi-FI"/>
    </w:rPr>
  </w:style>
  <w:style w:type="paragraph" w:customStyle="1" w:styleId="Leipteksti21">
    <w:name w:val="Leip?teksti 21"/>
    <w:basedOn w:val="Normaali2"/>
    <w:rsid w:val="00CF0727"/>
    <w:pPr>
      <w:spacing w:line="360" w:lineRule="auto"/>
    </w:pPr>
    <w:rPr>
      <w:rFonts w:ascii="Dutch" w:hAnsi="Dutch"/>
      <w:sz w:val="24"/>
    </w:rPr>
  </w:style>
  <w:style w:type="paragraph" w:customStyle="1" w:styleId="Sisennettyleipteksti20">
    <w:name w:val="Sisennetty leipŠteksti 2"/>
    <w:basedOn w:val="Normal"/>
    <w:rsid w:val="00CF0727"/>
    <w:pPr>
      <w:widowControl w:val="0"/>
      <w:adjustRightInd w:val="0"/>
      <w:ind w:left="1304"/>
      <w:jc w:val="left"/>
      <w:textAlignment w:val="baseline"/>
    </w:pPr>
    <w:rPr>
      <w:rFonts w:ascii="Dutch" w:eastAsia="Times New Roman" w:hAnsi="Dutch"/>
      <w:sz w:val="20"/>
      <w:szCs w:val="20"/>
      <w:lang w:val="fi-FI" w:eastAsia="fi-FI"/>
    </w:rPr>
  </w:style>
  <w:style w:type="paragraph" w:customStyle="1" w:styleId="Leipteksti20">
    <w:name w:val="LeipŠteksti 2"/>
    <w:basedOn w:val="Normal"/>
    <w:rsid w:val="00CF0727"/>
    <w:pPr>
      <w:widowControl w:val="0"/>
      <w:adjustRightInd w:val="0"/>
      <w:spacing w:line="360" w:lineRule="auto"/>
      <w:ind w:right="-2"/>
      <w:textAlignment w:val="baseline"/>
    </w:pPr>
    <w:rPr>
      <w:rFonts w:ascii="Dutch" w:eastAsia="Times New Roman" w:hAnsi="Dutch"/>
      <w:szCs w:val="20"/>
      <w:lang w:val="fi-FI" w:eastAsia="fi-FI"/>
    </w:rPr>
  </w:style>
  <w:style w:type="paragraph" w:customStyle="1" w:styleId="rluettelo">
    <w:name w:val="rluettelo"/>
    <w:basedOn w:val="ListBullet"/>
    <w:autoRedefine/>
    <w:rsid w:val="00CF0727"/>
    <w:pPr>
      <w:widowControl/>
      <w:tabs>
        <w:tab w:val="clear" w:pos="360"/>
      </w:tabs>
      <w:adjustRightInd/>
      <w:spacing w:line="340" w:lineRule="exact"/>
      <w:ind w:left="0" w:right="0"/>
      <w:textAlignment w:val="auto"/>
    </w:pPr>
    <w:rPr>
      <w:rFonts w:ascii="Times New Roman" w:hAnsi="Times New Roman"/>
      <w:i/>
      <w:color w:val="000000"/>
      <w:sz w:val="26"/>
    </w:rPr>
  </w:style>
  <w:style w:type="paragraph" w:styleId="ListBullet">
    <w:name w:val="List Bullet"/>
    <w:basedOn w:val="Normal"/>
    <w:autoRedefine/>
    <w:rsid w:val="00CF0727"/>
    <w:pPr>
      <w:widowControl w:val="0"/>
      <w:tabs>
        <w:tab w:val="num" w:pos="360"/>
      </w:tabs>
      <w:adjustRightInd w:val="0"/>
      <w:spacing w:line="360" w:lineRule="auto"/>
      <w:ind w:left="397" w:right="284"/>
      <w:textAlignment w:val="baseline"/>
    </w:pPr>
    <w:rPr>
      <w:rFonts w:ascii="Palatino" w:eastAsia="Times New Roman" w:hAnsi="Palatino"/>
      <w:szCs w:val="20"/>
      <w:lang w:val="fi-FI" w:eastAsia="fi-FI"/>
    </w:rPr>
  </w:style>
  <w:style w:type="character" w:styleId="FollowedHyperlink">
    <w:name w:val="FollowedHyperlink"/>
    <w:basedOn w:val="DefaultParagraphFont"/>
    <w:rsid w:val="00CF0727"/>
    <w:rPr>
      <w:color w:val="800080"/>
      <w:u w:val="single"/>
    </w:rPr>
  </w:style>
</w:styles>
</file>

<file path=word/webSettings.xml><?xml version="1.0" encoding="utf-8"?>
<w:webSettings xmlns:r="http://schemas.openxmlformats.org/officeDocument/2006/relationships" xmlns:w="http://schemas.openxmlformats.org/wordprocessingml/2006/main">
  <w:divs>
    <w:div w:id="48825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footer" Target="footer4.xml"/><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oleObject" Target="embeddings/oleObject20.bin"/><Relationship Id="rId63" Type="http://schemas.openxmlformats.org/officeDocument/2006/relationships/image" Target="media/image24.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37.wmf"/><Relationship Id="rId112" Type="http://schemas.openxmlformats.org/officeDocument/2006/relationships/footer" Target="footer2.xml"/><Relationship Id="rId16" Type="http://schemas.openxmlformats.org/officeDocument/2006/relationships/image" Target="media/image4.wmf"/><Relationship Id="rId107" Type="http://schemas.openxmlformats.org/officeDocument/2006/relationships/oleObject" Target="embeddings/oleObject56.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6.bin"/><Relationship Id="rId79" Type="http://schemas.openxmlformats.org/officeDocument/2006/relationships/image" Target="media/image32.wmf"/><Relationship Id="rId87" Type="http://schemas.openxmlformats.org/officeDocument/2006/relationships/image" Target="media/image36.wmf"/><Relationship Id="rId102" Type="http://schemas.openxmlformats.org/officeDocument/2006/relationships/oleObject" Target="embeddings/oleObject51.bin"/><Relationship Id="rId110" Type="http://schemas.openxmlformats.org/officeDocument/2006/relationships/hyperlink" Target="http://www.nordregio.se/EJSD/index.html" TargetMode="External"/><Relationship Id="rId115" Type="http://schemas.openxmlformats.org/officeDocument/2006/relationships/image" Target="media/image44.wmf"/><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oleObject" Target="embeddings/oleObject47.bin"/><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56" Type="http://schemas.openxmlformats.org/officeDocument/2006/relationships/oleObject" Target="embeddings/oleObject26.bin"/><Relationship Id="rId64" Type="http://schemas.openxmlformats.org/officeDocument/2006/relationships/oleObject" Target="embeddings/oleObject31.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image" Target="media/image42.wmf"/><Relationship Id="rId105" Type="http://schemas.openxmlformats.org/officeDocument/2006/relationships/oleObject" Target="embeddings/oleObject54.bin"/><Relationship Id="rId113" Type="http://schemas.openxmlformats.org/officeDocument/2006/relationships/footer" Target="footer3.xml"/><Relationship Id="rId118" Type="http://schemas.openxmlformats.org/officeDocument/2006/relationships/footer" Target="footer5.xml"/><Relationship Id="rId8" Type="http://schemas.openxmlformats.org/officeDocument/2006/relationships/hyperlink" Target="mailto:tony.flegg@uwe.ac.uk" TargetMode="External"/><Relationship Id="rId51" Type="http://schemas.openxmlformats.org/officeDocument/2006/relationships/oleObject" Target="embeddings/oleObject23.bin"/><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35.wmf"/><Relationship Id="rId93" Type="http://schemas.openxmlformats.org/officeDocument/2006/relationships/oleObject" Target="embeddings/oleObject46.bin"/><Relationship Id="rId98" Type="http://schemas.openxmlformats.org/officeDocument/2006/relationships/image" Target="media/image41.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8.bin"/><Relationship Id="rId67" Type="http://schemas.openxmlformats.org/officeDocument/2006/relationships/image" Target="media/image26.wmf"/><Relationship Id="rId103" Type="http://schemas.openxmlformats.org/officeDocument/2006/relationships/oleObject" Target="embeddings/oleObject52.bin"/><Relationship Id="rId108" Type="http://schemas.openxmlformats.org/officeDocument/2006/relationships/oleObject" Target="embeddings/oleObject57.bin"/><Relationship Id="rId116" Type="http://schemas.openxmlformats.org/officeDocument/2006/relationships/oleObject" Target="embeddings/oleObject59.bin"/><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image" Target="media/image21.wmf"/><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43.bin"/><Relationship Id="rId91" Type="http://schemas.openxmlformats.org/officeDocument/2006/relationships/oleObject" Target="embeddings/oleObject45.bin"/><Relationship Id="rId96" Type="http://schemas.openxmlformats.org/officeDocument/2006/relationships/image" Target="media/image40.wmf"/><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oleObject" Target="embeddings/oleObject55.bin"/><Relationship Id="rId114" Type="http://schemas.openxmlformats.org/officeDocument/2006/relationships/image" Target="media/image43.png"/><Relationship Id="rId119"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image" Target="media/image20.wmf"/><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8.bin"/><Relationship Id="rId81" Type="http://schemas.openxmlformats.org/officeDocument/2006/relationships/image" Target="media/image33.wmf"/><Relationship Id="rId86" Type="http://schemas.openxmlformats.org/officeDocument/2006/relationships/oleObject" Target="embeddings/oleObject42.bin"/><Relationship Id="rId94" Type="http://schemas.openxmlformats.org/officeDocument/2006/relationships/image" Target="media/image39.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settings" Target="settings.xml"/><Relationship Id="rId9" Type="http://schemas.openxmlformats.org/officeDocument/2006/relationships/hyperlink" Target="mailto:timo.j.tohmo@econ.jyu.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oleObject" Target="embeddings/oleObject58.bin"/><Relationship Id="rId34" Type="http://schemas.openxmlformats.org/officeDocument/2006/relationships/oleObject" Target="embeddings/oleObject13.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oleObject" Target="embeddings/oleObject48.bin"/><Relationship Id="rId104" Type="http://schemas.openxmlformats.org/officeDocument/2006/relationships/oleObject" Target="embeddings/oleObject53.bin"/><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8.wmf"/><Relationship Id="rId92" Type="http://schemas.openxmlformats.org/officeDocument/2006/relationships/image" Target="media/image38.wmf"/><Relationship Id="rId2" Type="http://schemas.openxmlformats.org/officeDocument/2006/relationships/numbering" Target="numbering.xml"/><Relationship Id="rId2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AF50-FA1D-45B0-848B-40B499F64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13692</Words>
  <Characters>78047</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91556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Anna Lawson</cp:lastModifiedBy>
  <cp:revision>2</cp:revision>
  <cp:lastPrinted>2010-10-27T19:07:00Z</cp:lastPrinted>
  <dcterms:created xsi:type="dcterms:W3CDTF">2010-12-22T09:25:00Z</dcterms:created>
  <dcterms:modified xsi:type="dcterms:W3CDTF">2010-12-22T09:25:00Z</dcterms:modified>
</cp:coreProperties>
</file>