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1A" w:rsidRPr="00457C68" w:rsidRDefault="00A42E1A" w:rsidP="00AF0FCD">
      <w:pPr>
        <w:jc w:val="both"/>
        <w:rPr>
          <w:rFonts w:ascii="Times New Roman" w:hAnsi="Times New Roman" w:cs="Times New Roman"/>
          <w:b/>
        </w:rPr>
      </w:pPr>
      <w:r w:rsidRPr="00457C68">
        <w:rPr>
          <w:rFonts w:ascii="Times New Roman" w:hAnsi="Times New Roman" w:cs="Times New Roman"/>
          <w:b/>
        </w:rPr>
        <w:t>EDTORIAL</w:t>
      </w:r>
    </w:p>
    <w:p w:rsidR="0019553F" w:rsidRDefault="0019553F" w:rsidP="00AF0FCD">
      <w:pPr>
        <w:jc w:val="both"/>
        <w:rPr>
          <w:rFonts w:ascii="Times New Roman" w:hAnsi="Times New Roman" w:cs="Times New Roman"/>
          <w:b/>
        </w:rPr>
      </w:pPr>
    </w:p>
    <w:p w:rsidR="0098365B" w:rsidRPr="00457C68" w:rsidRDefault="00B664F5" w:rsidP="00AF0FCD">
      <w:pPr>
        <w:jc w:val="both"/>
        <w:rPr>
          <w:rFonts w:ascii="Times New Roman" w:hAnsi="Times New Roman" w:cs="Times New Roman"/>
          <w:b/>
        </w:rPr>
      </w:pPr>
      <w:r w:rsidRPr="00457C68">
        <w:rPr>
          <w:rFonts w:ascii="Times New Roman" w:hAnsi="Times New Roman" w:cs="Times New Roman"/>
          <w:b/>
        </w:rPr>
        <w:t>TOWN MOUSE AND COUNTRY MOUSE</w:t>
      </w:r>
      <w:r w:rsidR="009600CB">
        <w:rPr>
          <w:rFonts w:ascii="Times New Roman" w:hAnsi="Times New Roman" w:cs="Times New Roman"/>
          <w:b/>
        </w:rPr>
        <w:t>: A FABLE FOR THE TWENTY FIRST CENTU</w:t>
      </w:r>
      <w:bookmarkStart w:id="0" w:name="_GoBack"/>
      <w:bookmarkEnd w:id="0"/>
      <w:r w:rsidR="009600CB">
        <w:rPr>
          <w:rFonts w:ascii="Times New Roman" w:hAnsi="Times New Roman" w:cs="Times New Roman"/>
          <w:b/>
        </w:rPr>
        <w:t>RY</w:t>
      </w:r>
      <w:r w:rsidR="00FB51D2">
        <w:rPr>
          <w:rFonts w:ascii="Times New Roman" w:hAnsi="Times New Roman" w:cs="Times New Roman"/>
          <w:b/>
        </w:rPr>
        <w:t>?</w:t>
      </w:r>
    </w:p>
    <w:p w:rsidR="00B664F5" w:rsidRPr="00457C68" w:rsidRDefault="00B664F5" w:rsidP="00AF0FCD">
      <w:pPr>
        <w:jc w:val="both"/>
        <w:rPr>
          <w:rFonts w:ascii="Times New Roman" w:hAnsi="Times New Roman" w:cs="Times New Roman"/>
          <w:b/>
        </w:rPr>
      </w:pPr>
    </w:p>
    <w:p w:rsidR="00914BE6" w:rsidRPr="00457C68" w:rsidRDefault="00B664F5" w:rsidP="00AF0FCD">
      <w:pPr>
        <w:jc w:val="both"/>
        <w:rPr>
          <w:rFonts w:ascii="Times New Roman" w:hAnsi="Times New Roman" w:cs="Times New Roman"/>
        </w:rPr>
      </w:pPr>
      <w:r w:rsidRPr="00457C68">
        <w:rPr>
          <w:rFonts w:ascii="Times New Roman" w:hAnsi="Times New Roman" w:cs="Times New Roman"/>
        </w:rPr>
        <w:t>Are you a town mouse or a country mouse? That is the question asked of the reader in the eponymous fable of Aesop.</w:t>
      </w:r>
      <w:r w:rsidR="00533333">
        <w:rPr>
          <w:rStyle w:val="FootnoteReference"/>
          <w:rFonts w:ascii="Times New Roman" w:hAnsi="Times New Roman" w:cs="Times New Roman"/>
        </w:rPr>
        <w:footnoteReference w:id="1"/>
      </w:r>
      <w:r w:rsidRPr="00457C68">
        <w:rPr>
          <w:rFonts w:ascii="Times New Roman" w:hAnsi="Times New Roman" w:cs="Times New Roman"/>
        </w:rPr>
        <w:t xml:space="preserve"> If you are a successful town m</w:t>
      </w:r>
      <w:r w:rsidR="00533333">
        <w:rPr>
          <w:rFonts w:ascii="Times New Roman" w:hAnsi="Times New Roman" w:cs="Times New Roman"/>
        </w:rPr>
        <w:t>ouse, your life will be opulent</w:t>
      </w:r>
      <w:r w:rsidRPr="00457C68">
        <w:rPr>
          <w:rFonts w:ascii="Times New Roman" w:hAnsi="Times New Roman" w:cs="Times New Roman"/>
        </w:rPr>
        <w:t xml:space="preserve"> but risky. If</w:t>
      </w:r>
      <w:r w:rsidR="00914BE6" w:rsidRPr="00457C68">
        <w:rPr>
          <w:rFonts w:ascii="Times New Roman" w:hAnsi="Times New Roman" w:cs="Times New Roman"/>
        </w:rPr>
        <w:t xml:space="preserve"> you are a </w:t>
      </w:r>
      <w:r w:rsidR="00E13A5B" w:rsidRPr="00457C68">
        <w:rPr>
          <w:rFonts w:ascii="Times New Roman" w:hAnsi="Times New Roman" w:cs="Times New Roman"/>
        </w:rPr>
        <w:t xml:space="preserve">successful </w:t>
      </w:r>
      <w:r w:rsidR="00914BE6" w:rsidRPr="00457C68">
        <w:rPr>
          <w:rFonts w:ascii="Times New Roman" w:hAnsi="Times New Roman" w:cs="Times New Roman"/>
        </w:rPr>
        <w:t xml:space="preserve">country mouse, </w:t>
      </w:r>
      <w:r w:rsidR="00E13A5B" w:rsidRPr="00457C68">
        <w:rPr>
          <w:rFonts w:ascii="Times New Roman" w:hAnsi="Times New Roman" w:cs="Times New Roman"/>
        </w:rPr>
        <w:t>your life will be</w:t>
      </w:r>
      <w:r w:rsidRPr="00457C68">
        <w:rPr>
          <w:rFonts w:ascii="Times New Roman" w:hAnsi="Times New Roman" w:cs="Times New Roman"/>
        </w:rPr>
        <w:t xml:space="preserve"> humble but the grass is green. </w:t>
      </w:r>
      <w:r w:rsidR="00AE5D6E">
        <w:rPr>
          <w:rFonts w:ascii="Times New Roman" w:hAnsi="Times New Roman" w:cs="Times New Roman"/>
        </w:rPr>
        <w:t xml:space="preserve">According to </w:t>
      </w:r>
      <w:r w:rsidR="00FB51D2">
        <w:rPr>
          <w:rFonts w:ascii="Times New Roman" w:hAnsi="Times New Roman" w:cs="Times New Roman"/>
        </w:rPr>
        <w:t xml:space="preserve">Linda </w:t>
      </w:r>
      <w:r w:rsidR="00533333">
        <w:rPr>
          <w:rFonts w:ascii="Times New Roman" w:hAnsi="Times New Roman" w:cs="Times New Roman"/>
        </w:rPr>
        <w:t>Gibbs</w:t>
      </w:r>
      <w:r w:rsidR="00AE5D6E">
        <w:rPr>
          <w:rFonts w:ascii="Times New Roman" w:hAnsi="Times New Roman" w:cs="Times New Roman"/>
        </w:rPr>
        <w:t>’ translation, the moral</w:t>
      </w:r>
      <w:r w:rsidR="00FB51D2">
        <w:rPr>
          <w:rFonts w:ascii="Times New Roman" w:hAnsi="Times New Roman" w:cs="Times New Roman"/>
        </w:rPr>
        <w:t xml:space="preserve"> of the story</w:t>
      </w:r>
      <w:r w:rsidR="00AE5D6E">
        <w:rPr>
          <w:rFonts w:ascii="Times New Roman" w:hAnsi="Times New Roman" w:cs="Times New Roman"/>
        </w:rPr>
        <w:t xml:space="preserve"> is that</w:t>
      </w:r>
      <w:r w:rsidR="00533333">
        <w:rPr>
          <w:rFonts w:ascii="Times New Roman" w:hAnsi="Times New Roman" w:cs="Times New Roman"/>
        </w:rPr>
        <w:t xml:space="preserve"> ‘it is better to live in self-sufficient poverty than to be tormented by the worries of wealth</w:t>
      </w:r>
      <w:r w:rsidR="0019553F">
        <w:rPr>
          <w:rFonts w:ascii="Times New Roman" w:hAnsi="Times New Roman" w:cs="Times New Roman"/>
        </w:rPr>
        <w:t>’. But</w:t>
      </w:r>
      <w:r w:rsidR="00670E16">
        <w:rPr>
          <w:rFonts w:ascii="Times New Roman" w:hAnsi="Times New Roman" w:cs="Times New Roman"/>
        </w:rPr>
        <w:t xml:space="preserve"> it</w:t>
      </w:r>
      <w:r w:rsidR="00533333">
        <w:rPr>
          <w:rFonts w:ascii="Times New Roman" w:hAnsi="Times New Roman" w:cs="Times New Roman"/>
        </w:rPr>
        <w:t xml:space="preserve"> can also be read </w:t>
      </w:r>
      <w:r w:rsidR="00680A6F">
        <w:rPr>
          <w:rFonts w:ascii="Times New Roman" w:hAnsi="Times New Roman" w:cs="Times New Roman"/>
        </w:rPr>
        <w:t xml:space="preserve">as a tale of geographical </w:t>
      </w:r>
      <w:r w:rsidR="00533333">
        <w:rPr>
          <w:rFonts w:ascii="Times New Roman" w:hAnsi="Times New Roman" w:cs="Times New Roman"/>
        </w:rPr>
        <w:t>recipro</w:t>
      </w:r>
      <w:r w:rsidR="00680A6F">
        <w:rPr>
          <w:rFonts w:ascii="Times New Roman" w:hAnsi="Times New Roman" w:cs="Times New Roman"/>
        </w:rPr>
        <w:t>city</w:t>
      </w:r>
      <w:r w:rsidR="00611F07">
        <w:rPr>
          <w:rFonts w:ascii="Times New Roman" w:hAnsi="Times New Roman" w:cs="Times New Roman"/>
        </w:rPr>
        <w:t>.</w:t>
      </w:r>
      <w:r w:rsidR="00611F07">
        <w:rPr>
          <w:rStyle w:val="FootnoteReference"/>
          <w:rFonts w:ascii="Times New Roman" w:hAnsi="Times New Roman" w:cs="Times New Roman"/>
        </w:rPr>
        <w:footnoteReference w:id="2"/>
      </w:r>
      <w:r w:rsidR="00923E78">
        <w:rPr>
          <w:rFonts w:ascii="Times New Roman" w:hAnsi="Times New Roman" w:cs="Times New Roman"/>
        </w:rPr>
        <w:t xml:space="preserve"> That is to say, it </w:t>
      </w:r>
      <w:r w:rsidR="00BE0A19">
        <w:rPr>
          <w:rFonts w:ascii="Times New Roman" w:hAnsi="Times New Roman" w:cs="Times New Roman"/>
        </w:rPr>
        <w:t xml:space="preserve">is about the imperative of </w:t>
      </w:r>
      <w:r w:rsidR="00FB51D2">
        <w:rPr>
          <w:rFonts w:ascii="Times New Roman" w:hAnsi="Times New Roman" w:cs="Times New Roman"/>
        </w:rPr>
        <w:t>town and the</w:t>
      </w:r>
      <w:r w:rsidR="00BE0A19">
        <w:rPr>
          <w:rFonts w:ascii="Times New Roman" w:hAnsi="Times New Roman" w:cs="Times New Roman"/>
        </w:rPr>
        <w:t xml:space="preserve"> country</w:t>
      </w:r>
      <w:r w:rsidR="00923E78">
        <w:rPr>
          <w:rFonts w:ascii="Times New Roman" w:hAnsi="Times New Roman" w:cs="Times New Roman"/>
        </w:rPr>
        <w:t xml:space="preserve"> </w:t>
      </w:r>
      <w:r w:rsidR="00AE5D6E">
        <w:rPr>
          <w:rFonts w:ascii="Times New Roman" w:hAnsi="Times New Roman" w:cs="Times New Roman"/>
        </w:rPr>
        <w:t>respect</w:t>
      </w:r>
      <w:r w:rsidR="00BE0A19">
        <w:rPr>
          <w:rFonts w:ascii="Times New Roman" w:hAnsi="Times New Roman" w:cs="Times New Roman"/>
        </w:rPr>
        <w:t>ing</w:t>
      </w:r>
      <w:r w:rsidR="00AE5D6E">
        <w:rPr>
          <w:rFonts w:ascii="Times New Roman" w:hAnsi="Times New Roman" w:cs="Times New Roman"/>
        </w:rPr>
        <w:t xml:space="preserve"> each other’</w:t>
      </w:r>
      <w:r w:rsidR="00AF0FCD">
        <w:rPr>
          <w:rFonts w:ascii="Times New Roman" w:hAnsi="Times New Roman" w:cs="Times New Roman"/>
        </w:rPr>
        <w:t xml:space="preserve">s </w:t>
      </w:r>
      <w:r w:rsidR="00AF0FCD" w:rsidRPr="00AF0FCD">
        <w:rPr>
          <w:rFonts w:ascii="Times New Roman" w:hAnsi="Times New Roman" w:cs="Times New Roman"/>
          <w:i/>
        </w:rPr>
        <w:t>difference</w:t>
      </w:r>
      <w:r w:rsidR="00AE5D6E">
        <w:rPr>
          <w:rFonts w:ascii="Times New Roman" w:hAnsi="Times New Roman" w:cs="Times New Roman"/>
        </w:rPr>
        <w:t xml:space="preserve">. </w:t>
      </w:r>
      <w:r w:rsidR="00680A6F">
        <w:rPr>
          <w:rFonts w:ascii="Times New Roman" w:hAnsi="Times New Roman" w:cs="Times New Roman"/>
        </w:rPr>
        <w:t xml:space="preserve"> </w:t>
      </w:r>
      <w:r w:rsidR="00611F07">
        <w:rPr>
          <w:rFonts w:ascii="Times New Roman" w:hAnsi="Times New Roman" w:cs="Times New Roman"/>
        </w:rPr>
        <w:t xml:space="preserve">This editorial addresses what </w:t>
      </w:r>
      <w:r w:rsidR="00AE5D6E">
        <w:rPr>
          <w:rFonts w:ascii="Times New Roman" w:hAnsi="Times New Roman" w:cs="Times New Roman"/>
        </w:rPr>
        <w:t xml:space="preserve">modern </w:t>
      </w:r>
      <w:r w:rsidR="00E13A5B" w:rsidRPr="00457C68">
        <w:rPr>
          <w:rFonts w:ascii="Times New Roman" w:hAnsi="Times New Roman" w:cs="Times New Roman"/>
        </w:rPr>
        <w:t>environmental policy and law learn from this</w:t>
      </w:r>
      <w:r w:rsidR="00AE5D6E">
        <w:rPr>
          <w:rFonts w:ascii="Times New Roman" w:hAnsi="Times New Roman" w:cs="Times New Roman"/>
        </w:rPr>
        <w:t xml:space="preserve"> ancient wisdom</w:t>
      </w:r>
      <w:r w:rsidR="00E13A5B" w:rsidRPr="00457C68">
        <w:rPr>
          <w:rFonts w:ascii="Times New Roman" w:hAnsi="Times New Roman" w:cs="Times New Roman"/>
        </w:rPr>
        <w:t xml:space="preserve">, </w:t>
      </w:r>
      <w:r w:rsidR="00611F07">
        <w:rPr>
          <w:rFonts w:ascii="Times New Roman" w:hAnsi="Times New Roman" w:cs="Times New Roman"/>
        </w:rPr>
        <w:t>culminating in a discussion of Christine Metcalfe’s complaint under the Aarhus Convention regarding the UK’s renewable energy policy.</w:t>
      </w:r>
      <w:r w:rsidR="00611F07" w:rsidRPr="00B03928">
        <w:rPr>
          <w:rStyle w:val="FootnoteReference"/>
          <w:rFonts w:ascii="Times New Roman" w:hAnsi="Times New Roman" w:cs="Times New Roman"/>
        </w:rPr>
        <w:footnoteReference w:id="3"/>
      </w:r>
    </w:p>
    <w:p w:rsidR="00914BE6" w:rsidRPr="00457C68" w:rsidRDefault="00914BE6" w:rsidP="00AF0FCD">
      <w:pPr>
        <w:jc w:val="both"/>
        <w:rPr>
          <w:rFonts w:ascii="Times New Roman" w:hAnsi="Times New Roman" w:cs="Times New Roman"/>
        </w:rPr>
      </w:pPr>
    </w:p>
    <w:p w:rsidR="00EF0430" w:rsidRDefault="006A5411" w:rsidP="00AF0FCD">
      <w:pPr>
        <w:jc w:val="both"/>
        <w:rPr>
          <w:rFonts w:ascii="Times New Roman" w:hAnsi="Times New Roman" w:cs="Times New Roman"/>
        </w:rPr>
      </w:pPr>
      <w:r w:rsidRPr="00457C68">
        <w:rPr>
          <w:rFonts w:ascii="Times New Roman" w:hAnsi="Times New Roman" w:cs="Times New Roman"/>
        </w:rPr>
        <w:t>R</w:t>
      </w:r>
      <w:r w:rsidR="00923E78">
        <w:rPr>
          <w:rFonts w:ascii="Times New Roman" w:hAnsi="Times New Roman" w:cs="Times New Roman"/>
        </w:rPr>
        <w:t>especting</w:t>
      </w:r>
      <w:r w:rsidR="00914BE6" w:rsidRPr="00457C68">
        <w:rPr>
          <w:rFonts w:ascii="Times New Roman" w:hAnsi="Times New Roman" w:cs="Times New Roman"/>
        </w:rPr>
        <w:t xml:space="preserve"> </w:t>
      </w:r>
      <w:r w:rsidR="00AF0FCD">
        <w:rPr>
          <w:rFonts w:ascii="Times New Roman" w:hAnsi="Times New Roman" w:cs="Times New Roman"/>
        </w:rPr>
        <w:t xml:space="preserve">the </w:t>
      </w:r>
      <w:r w:rsidR="00914BE6" w:rsidRPr="00457C68">
        <w:rPr>
          <w:rFonts w:ascii="Times New Roman" w:hAnsi="Times New Roman" w:cs="Times New Roman"/>
        </w:rPr>
        <w:t xml:space="preserve">difference </w:t>
      </w:r>
      <w:r w:rsidR="00533333">
        <w:rPr>
          <w:rFonts w:ascii="Times New Roman" w:hAnsi="Times New Roman" w:cs="Times New Roman"/>
        </w:rPr>
        <w:t xml:space="preserve">between town and country </w:t>
      </w:r>
      <w:r w:rsidR="00AF0FCD">
        <w:rPr>
          <w:rFonts w:ascii="Times New Roman" w:hAnsi="Times New Roman" w:cs="Times New Roman"/>
        </w:rPr>
        <w:t xml:space="preserve">as per this fable </w:t>
      </w:r>
      <w:r w:rsidR="00611F07">
        <w:rPr>
          <w:rFonts w:ascii="Times New Roman" w:hAnsi="Times New Roman" w:cs="Times New Roman"/>
        </w:rPr>
        <w:t xml:space="preserve">was quite feasible in </w:t>
      </w:r>
      <w:r w:rsidR="00AE5D6E">
        <w:rPr>
          <w:rFonts w:ascii="Times New Roman" w:hAnsi="Times New Roman" w:cs="Times New Roman"/>
        </w:rPr>
        <w:t xml:space="preserve">the </w:t>
      </w:r>
      <w:r w:rsidR="003A2418">
        <w:rPr>
          <w:rFonts w:ascii="Times New Roman" w:hAnsi="Times New Roman" w:cs="Times New Roman"/>
        </w:rPr>
        <w:t xml:space="preserve">classical </w:t>
      </w:r>
      <w:r w:rsidR="00611F07">
        <w:rPr>
          <w:rFonts w:ascii="Times New Roman" w:hAnsi="Times New Roman" w:cs="Times New Roman"/>
        </w:rPr>
        <w:t xml:space="preserve">agrarian society when Aesop was moralizing. In ancient Greece </w:t>
      </w:r>
      <w:proofErr w:type="gramStart"/>
      <w:r w:rsidR="00611F07">
        <w:rPr>
          <w:rFonts w:ascii="Times New Roman" w:hAnsi="Times New Roman" w:cs="Times New Roman"/>
        </w:rPr>
        <w:t>is was</w:t>
      </w:r>
      <w:proofErr w:type="gramEnd"/>
      <w:r w:rsidR="00611F07">
        <w:rPr>
          <w:rFonts w:ascii="Times New Roman" w:hAnsi="Times New Roman" w:cs="Times New Roman"/>
        </w:rPr>
        <w:t xml:space="preserve"> possible for</w:t>
      </w:r>
      <w:r w:rsidR="00923E78">
        <w:rPr>
          <w:rFonts w:ascii="Times New Roman" w:hAnsi="Times New Roman" w:cs="Times New Roman"/>
        </w:rPr>
        <w:t xml:space="preserve"> town and country to co-exist in harmony</w:t>
      </w:r>
      <w:r w:rsidR="00AF0FCD">
        <w:rPr>
          <w:rFonts w:ascii="Times New Roman" w:hAnsi="Times New Roman" w:cs="Times New Roman"/>
        </w:rPr>
        <w:t xml:space="preserve">, </w:t>
      </w:r>
      <w:r w:rsidR="00611F07">
        <w:rPr>
          <w:rFonts w:ascii="Times New Roman" w:hAnsi="Times New Roman" w:cs="Times New Roman"/>
        </w:rPr>
        <w:t xml:space="preserve">on a viably stable </w:t>
      </w:r>
      <w:r w:rsidR="00AF0FCD">
        <w:rPr>
          <w:rFonts w:ascii="Times New Roman" w:hAnsi="Times New Roman" w:cs="Times New Roman"/>
        </w:rPr>
        <w:t>‘each to her own’</w:t>
      </w:r>
      <w:r w:rsidR="00914BE6" w:rsidRPr="00457C68">
        <w:rPr>
          <w:rFonts w:ascii="Times New Roman" w:hAnsi="Times New Roman" w:cs="Times New Roman"/>
        </w:rPr>
        <w:t xml:space="preserve"> </w:t>
      </w:r>
      <w:r w:rsidR="00611F07">
        <w:rPr>
          <w:rFonts w:ascii="Times New Roman" w:hAnsi="Times New Roman" w:cs="Times New Roman"/>
        </w:rPr>
        <w:t>basis.</w:t>
      </w:r>
      <w:r w:rsidR="00914BE6" w:rsidRPr="00457C68">
        <w:rPr>
          <w:rFonts w:ascii="Times New Roman" w:hAnsi="Times New Roman" w:cs="Times New Roman"/>
        </w:rPr>
        <w:t xml:space="preserve"> </w:t>
      </w:r>
      <w:r w:rsidR="00FB51D2">
        <w:rPr>
          <w:rFonts w:ascii="Times New Roman" w:hAnsi="Times New Roman" w:cs="Times New Roman"/>
        </w:rPr>
        <w:t>The</w:t>
      </w:r>
      <w:r w:rsidR="003A2418">
        <w:rPr>
          <w:rFonts w:ascii="Times New Roman" w:hAnsi="Times New Roman" w:cs="Times New Roman"/>
        </w:rPr>
        <w:t xml:space="preserve"> difficulties</w:t>
      </w:r>
      <w:r w:rsidR="00533333">
        <w:rPr>
          <w:rFonts w:ascii="Times New Roman" w:hAnsi="Times New Roman" w:cs="Times New Roman"/>
        </w:rPr>
        <w:t xml:space="preserve"> </w:t>
      </w:r>
      <w:r w:rsidR="00BE0A19">
        <w:rPr>
          <w:rFonts w:ascii="Times New Roman" w:hAnsi="Times New Roman" w:cs="Times New Roman"/>
        </w:rPr>
        <w:t>a</w:t>
      </w:r>
      <w:r w:rsidR="00AF0FCD">
        <w:rPr>
          <w:rFonts w:ascii="Times New Roman" w:hAnsi="Times New Roman" w:cs="Times New Roman"/>
        </w:rPr>
        <w:t>rose with industrialization</w:t>
      </w:r>
      <w:r w:rsidR="00611F07">
        <w:rPr>
          <w:rFonts w:ascii="Times New Roman" w:hAnsi="Times New Roman" w:cs="Times New Roman"/>
        </w:rPr>
        <w:t>, beginning with Britain in the late eighteenth century</w:t>
      </w:r>
      <w:r w:rsidR="00FB51D2">
        <w:rPr>
          <w:rFonts w:ascii="Times New Roman" w:hAnsi="Times New Roman" w:cs="Times New Roman"/>
        </w:rPr>
        <w:t>.</w:t>
      </w:r>
      <w:r w:rsidR="003A2418">
        <w:rPr>
          <w:rFonts w:ascii="Times New Roman" w:hAnsi="Times New Roman" w:cs="Times New Roman"/>
        </w:rPr>
        <w:t xml:space="preserve"> </w:t>
      </w:r>
      <w:r w:rsidR="00BE0A19">
        <w:rPr>
          <w:rFonts w:ascii="Times New Roman" w:hAnsi="Times New Roman" w:cs="Times New Roman"/>
        </w:rPr>
        <w:t>The e</w:t>
      </w:r>
      <w:r w:rsidR="00AE5D6E">
        <w:rPr>
          <w:rFonts w:ascii="Times New Roman" w:hAnsi="Times New Roman" w:cs="Times New Roman"/>
        </w:rPr>
        <w:t xml:space="preserve">xpanding </w:t>
      </w:r>
      <w:r w:rsidR="00533333">
        <w:rPr>
          <w:rFonts w:ascii="Times New Roman" w:hAnsi="Times New Roman" w:cs="Times New Roman"/>
        </w:rPr>
        <w:t>town</w:t>
      </w:r>
      <w:r w:rsidR="00BE0A19">
        <w:rPr>
          <w:rFonts w:ascii="Times New Roman" w:hAnsi="Times New Roman" w:cs="Times New Roman"/>
        </w:rPr>
        <w:t>s</w:t>
      </w:r>
      <w:r w:rsidR="00533333">
        <w:rPr>
          <w:rFonts w:ascii="Times New Roman" w:hAnsi="Times New Roman" w:cs="Times New Roman"/>
        </w:rPr>
        <w:t xml:space="preserve"> </w:t>
      </w:r>
      <w:r w:rsidR="00923E78">
        <w:rPr>
          <w:rFonts w:ascii="Times New Roman" w:hAnsi="Times New Roman" w:cs="Times New Roman"/>
        </w:rPr>
        <w:t xml:space="preserve">of the first industrial nation </w:t>
      </w:r>
      <w:r w:rsidR="00611F07">
        <w:rPr>
          <w:rFonts w:ascii="Times New Roman" w:hAnsi="Times New Roman" w:cs="Times New Roman"/>
        </w:rPr>
        <w:t>demand intensification of agriculture in the</w:t>
      </w:r>
      <w:r w:rsidR="00BE0A19">
        <w:rPr>
          <w:rFonts w:ascii="Times New Roman" w:hAnsi="Times New Roman" w:cs="Times New Roman"/>
        </w:rPr>
        <w:t xml:space="preserve"> country</w:t>
      </w:r>
      <w:r w:rsidR="00611F07">
        <w:rPr>
          <w:rFonts w:ascii="Times New Roman" w:hAnsi="Times New Roman" w:cs="Times New Roman"/>
        </w:rPr>
        <w:t xml:space="preserve"> which the latter</w:t>
      </w:r>
      <w:r w:rsidR="00BE0A19">
        <w:rPr>
          <w:rFonts w:ascii="Times New Roman" w:hAnsi="Times New Roman" w:cs="Times New Roman"/>
        </w:rPr>
        <w:t xml:space="preserve">, though able, was </w:t>
      </w:r>
      <w:r w:rsidR="00BE0A19" w:rsidRPr="00BE0A19">
        <w:rPr>
          <w:rFonts w:ascii="Times New Roman" w:hAnsi="Times New Roman" w:cs="Times New Roman"/>
          <w:i/>
        </w:rPr>
        <w:t>unwilling</w:t>
      </w:r>
      <w:r w:rsidR="00AF0FCD">
        <w:rPr>
          <w:rFonts w:ascii="Times New Roman" w:hAnsi="Times New Roman" w:cs="Times New Roman"/>
        </w:rPr>
        <w:t xml:space="preserve"> to </w:t>
      </w:r>
      <w:r w:rsidR="00611F07">
        <w:rPr>
          <w:rFonts w:ascii="Times New Roman" w:hAnsi="Times New Roman" w:cs="Times New Roman"/>
        </w:rPr>
        <w:t>supply</w:t>
      </w:r>
      <w:r w:rsidR="00AF0FCD">
        <w:rPr>
          <w:rFonts w:ascii="Times New Roman" w:hAnsi="Times New Roman" w:cs="Times New Roman"/>
        </w:rPr>
        <w:t xml:space="preserve">. </w:t>
      </w:r>
      <w:proofErr w:type="spellStart"/>
      <w:r w:rsidR="00AF0FCD">
        <w:rPr>
          <w:rFonts w:ascii="Times New Roman" w:hAnsi="Times New Roman" w:cs="Times New Roman"/>
        </w:rPr>
        <w:t>Captialist</w:t>
      </w:r>
      <w:proofErr w:type="spellEnd"/>
      <w:r w:rsidR="00AF0FCD">
        <w:rPr>
          <w:rFonts w:ascii="Times New Roman" w:hAnsi="Times New Roman" w:cs="Times New Roman"/>
        </w:rPr>
        <w:t xml:space="preserve"> t</w:t>
      </w:r>
      <w:r w:rsidR="003A2418">
        <w:rPr>
          <w:rFonts w:ascii="Times New Roman" w:hAnsi="Times New Roman" w:cs="Times New Roman"/>
        </w:rPr>
        <w:t xml:space="preserve">enant </w:t>
      </w:r>
      <w:r w:rsidR="00BE0A19">
        <w:rPr>
          <w:rFonts w:ascii="Times New Roman" w:hAnsi="Times New Roman" w:cs="Times New Roman"/>
        </w:rPr>
        <w:t xml:space="preserve">farmers were </w:t>
      </w:r>
      <w:r w:rsidR="00BA6C9D">
        <w:rPr>
          <w:rFonts w:ascii="Times New Roman" w:hAnsi="Times New Roman" w:cs="Times New Roman"/>
        </w:rPr>
        <w:t xml:space="preserve">typically </w:t>
      </w:r>
      <w:r w:rsidR="00BE0A19">
        <w:rPr>
          <w:rFonts w:ascii="Times New Roman" w:hAnsi="Times New Roman" w:cs="Times New Roman"/>
        </w:rPr>
        <w:t>happy</w:t>
      </w:r>
      <w:r w:rsidR="00BA6C9D">
        <w:rPr>
          <w:rFonts w:ascii="Times New Roman" w:hAnsi="Times New Roman" w:cs="Times New Roman"/>
        </w:rPr>
        <w:t xml:space="preserve"> enough</w:t>
      </w:r>
      <w:r w:rsidR="00BE0A19">
        <w:rPr>
          <w:rFonts w:ascii="Times New Roman" w:hAnsi="Times New Roman" w:cs="Times New Roman"/>
        </w:rPr>
        <w:t xml:space="preserve"> to </w:t>
      </w:r>
      <w:r w:rsidR="00AE5D6E">
        <w:rPr>
          <w:rFonts w:ascii="Times New Roman" w:hAnsi="Times New Roman" w:cs="Times New Roman"/>
        </w:rPr>
        <w:t>work harder to cultivate more land</w:t>
      </w:r>
      <w:r w:rsidR="00AF0FCD">
        <w:rPr>
          <w:rFonts w:ascii="Times New Roman" w:hAnsi="Times New Roman" w:cs="Times New Roman"/>
        </w:rPr>
        <w:t xml:space="preserve"> in return for greater profit</w:t>
      </w:r>
      <w:r w:rsidR="00AE5D6E">
        <w:rPr>
          <w:rFonts w:ascii="Times New Roman" w:hAnsi="Times New Roman" w:cs="Times New Roman"/>
        </w:rPr>
        <w:t>, but</w:t>
      </w:r>
      <w:r w:rsidR="00BE0A19">
        <w:rPr>
          <w:rFonts w:ascii="Times New Roman" w:hAnsi="Times New Roman" w:cs="Times New Roman"/>
        </w:rPr>
        <w:t xml:space="preserve"> patrician landlords </w:t>
      </w:r>
      <w:r w:rsidR="00AF0FCD">
        <w:rPr>
          <w:rFonts w:ascii="Times New Roman" w:hAnsi="Times New Roman" w:cs="Times New Roman"/>
        </w:rPr>
        <w:t xml:space="preserve">said ‘no’. </w:t>
      </w:r>
      <w:r w:rsidR="00BA6C9D">
        <w:rPr>
          <w:rFonts w:ascii="Times New Roman" w:hAnsi="Times New Roman" w:cs="Times New Roman"/>
        </w:rPr>
        <w:t>Landlords perceived themselves as t</w:t>
      </w:r>
      <w:r w:rsidR="00BE0A19">
        <w:rPr>
          <w:rFonts w:ascii="Times New Roman" w:hAnsi="Times New Roman" w:cs="Times New Roman"/>
        </w:rPr>
        <w:t>rustees of ancestral acres</w:t>
      </w:r>
      <w:r w:rsidR="00BA6C9D">
        <w:rPr>
          <w:rFonts w:ascii="Times New Roman" w:hAnsi="Times New Roman" w:cs="Times New Roman"/>
        </w:rPr>
        <w:t xml:space="preserve"> whose diverse greenery was not to be sacrificed for </w:t>
      </w:r>
      <w:r w:rsidR="00AE5D6E">
        <w:rPr>
          <w:rFonts w:ascii="Times New Roman" w:hAnsi="Times New Roman" w:cs="Times New Roman"/>
        </w:rPr>
        <w:t xml:space="preserve">material </w:t>
      </w:r>
      <w:proofErr w:type="gramStart"/>
      <w:r w:rsidR="00AE5D6E">
        <w:rPr>
          <w:rFonts w:ascii="Times New Roman" w:hAnsi="Times New Roman" w:cs="Times New Roman"/>
        </w:rPr>
        <w:t>wealth</w:t>
      </w:r>
      <w:r w:rsidR="00BA6C9D">
        <w:rPr>
          <w:rFonts w:ascii="Times New Roman" w:hAnsi="Times New Roman" w:cs="Times New Roman"/>
        </w:rPr>
        <w:t>.</w:t>
      </w:r>
      <w:r w:rsidR="00AE5D6E">
        <w:rPr>
          <w:rFonts w:ascii="Times New Roman" w:hAnsi="Times New Roman" w:cs="Times New Roman"/>
        </w:rPr>
        <w:t>,</w:t>
      </w:r>
      <w:proofErr w:type="gramEnd"/>
      <w:r w:rsidR="00DE7C29">
        <w:rPr>
          <w:rFonts w:ascii="Times New Roman" w:hAnsi="Times New Roman" w:cs="Times New Roman"/>
        </w:rPr>
        <w:t xml:space="preserve"> </w:t>
      </w:r>
      <w:r w:rsidR="003A2418">
        <w:rPr>
          <w:rFonts w:ascii="Times New Roman" w:hAnsi="Times New Roman" w:cs="Times New Roman"/>
        </w:rPr>
        <w:t>refused to sacrifice ‘unproductive’ hedges,</w:t>
      </w:r>
      <w:r w:rsidR="00AD5F9F" w:rsidRPr="00457C68">
        <w:rPr>
          <w:rFonts w:ascii="Times New Roman" w:hAnsi="Times New Roman" w:cs="Times New Roman"/>
        </w:rPr>
        <w:t xml:space="preserve"> </w:t>
      </w:r>
      <w:r w:rsidR="00533333">
        <w:rPr>
          <w:rFonts w:ascii="Times New Roman" w:hAnsi="Times New Roman" w:cs="Times New Roman"/>
        </w:rPr>
        <w:t>woodland and un</w:t>
      </w:r>
      <w:r w:rsidR="00DE7C29">
        <w:rPr>
          <w:rFonts w:ascii="Times New Roman" w:hAnsi="Times New Roman" w:cs="Times New Roman"/>
        </w:rPr>
        <w:t>improved pasture</w:t>
      </w:r>
      <w:r w:rsidR="003A2418">
        <w:rPr>
          <w:rFonts w:ascii="Times New Roman" w:hAnsi="Times New Roman" w:cs="Times New Roman"/>
        </w:rPr>
        <w:t>.</w:t>
      </w:r>
      <w:r w:rsidR="00BE0A19">
        <w:rPr>
          <w:rStyle w:val="FootnoteReference"/>
          <w:rFonts w:ascii="Times New Roman" w:hAnsi="Times New Roman" w:cs="Times New Roman"/>
        </w:rPr>
        <w:footnoteReference w:id="4"/>
      </w:r>
      <w:r w:rsidR="00BE0A19" w:rsidRPr="00D33ACB">
        <w:rPr>
          <w:sz w:val="20"/>
          <w:szCs w:val="20"/>
        </w:rPr>
        <w:t xml:space="preserve"> </w:t>
      </w:r>
    </w:p>
    <w:p w:rsidR="00EF0430" w:rsidRDefault="00EF0430" w:rsidP="00AF0FCD">
      <w:pPr>
        <w:jc w:val="both"/>
        <w:rPr>
          <w:rFonts w:ascii="Times New Roman" w:hAnsi="Times New Roman" w:cs="Times New Roman"/>
        </w:rPr>
      </w:pPr>
    </w:p>
    <w:p w:rsidR="00BE0A19" w:rsidRDefault="00DE7C29" w:rsidP="00AF0FCD">
      <w:pPr>
        <w:jc w:val="both"/>
        <w:rPr>
          <w:rFonts w:ascii="Times New Roman" w:hAnsi="Times New Roman" w:cs="Times New Roman"/>
        </w:rPr>
      </w:pPr>
      <w:r>
        <w:rPr>
          <w:rFonts w:ascii="Times New Roman" w:hAnsi="Times New Roman" w:cs="Times New Roman"/>
        </w:rPr>
        <w:t xml:space="preserve">Rural </w:t>
      </w:r>
      <w:r w:rsidR="003A2418">
        <w:rPr>
          <w:rFonts w:ascii="Times New Roman" w:hAnsi="Times New Roman" w:cs="Times New Roman"/>
        </w:rPr>
        <w:t xml:space="preserve">landlords in turn </w:t>
      </w:r>
      <w:r>
        <w:rPr>
          <w:rFonts w:ascii="Times New Roman" w:hAnsi="Times New Roman" w:cs="Times New Roman"/>
        </w:rPr>
        <w:t>complained about</w:t>
      </w:r>
      <w:r w:rsidR="00EF0430">
        <w:rPr>
          <w:rFonts w:ascii="Times New Roman" w:hAnsi="Times New Roman" w:cs="Times New Roman"/>
        </w:rPr>
        <w:t xml:space="preserve"> the</w:t>
      </w:r>
      <w:r w:rsidR="00BE0A19">
        <w:rPr>
          <w:rFonts w:ascii="Times New Roman" w:hAnsi="Times New Roman" w:cs="Times New Roman"/>
        </w:rPr>
        <w:t xml:space="preserve"> lack of reciprocity in the</w:t>
      </w:r>
      <w:r w:rsidR="00EF0430">
        <w:rPr>
          <w:rFonts w:ascii="Times New Roman" w:hAnsi="Times New Roman" w:cs="Times New Roman"/>
        </w:rPr>
        <w:t xml:space="preserve"> </w:t>
      </w:r>
      <w:r w:rsidR="00AD5F9F" w:rsidRPr="00457C68">
        <w:rPr>
          <w:rFonts w:ascii="Times New Roman" w:hAnsi="Times New Roman" w:cs="Times New Roman"/>
        </w:rPr>
        <w:t>changing intensity of</w:t>
      </w:r>
      <w:r w:rsidR="006A5411" w:rsidRPr="00457C68">
        <w:rPr>
          <w:rFonts w:ascii="Times New Roman" w:hAnsi="Times New Roman" w:cs="Times New Roman"/>
        </w:rPr>
        <w:t xml:space="preserve"> urban industry</w:t>
      </w:r>
      <w:r w:rsidR="00AD5F9F" w:rsidRPr="00457C68">
        <w:rPr>
          <w:rFonts w:ascii="Times New Roman" w:hAnsi="Times New Roman" w:cs="Times New Roman"/>
        </w:rPr>
        <w:t xml:space="preserve">. </w:t>
      </w:r>
      <w:r w:rsidR="00216614" w:rsidRPr="00457C68">
        <w:rPr>
          <w:rFonts w:ascii="Times New Roman" w:hAnsi="Times New Roman" w:cs="Times New Roman"/>
        </w:rPr>
        <w:t>Ever</w:t>
      </w:r>
      <w:r w:rsidR="006A5411" w:rsidRPr="00457C68">
        <w:rPr>
          <w:rFonts w:ascii="Times New Roman" w:hAnsi="Times New Roman" w:cs="Times New Roman"/>
        </w:rPr>
        <w:t xml:space="preserve"> tall</w:t>
      </w:r>
      <w:r w:rsidR="00216614" w:rsidRPr="00457C68">
        <w:rPr>
          <w:rFonts w:ascii="Times New Roman" w:hAnsi="Times New Roman" w:cs="Times New Roman"/>
        </w:rPr>
        <w:t>er</w:t>
      </w:r>
      <w:r w:rsidR="006A5411" w:rsidRPr="00457C68">
        <w:rPr>
          <w:rFonts w:ascii="Times New Roman" w:hAnsi="Times New Roman" w:cs="Times New Roman"/>
        </w:rPr>
        <w:t xml:space="preserve"> chimneys and long</w:t>
      </w:r>
      <w:r w:rsidR="00FB51D2">
        <w:rPr>
          <w:rFonts w:ascii="Times New Roman" w:hAnsi="Times New Roman" w:cs="Times New Roman"/>
        </w:rPr>
        <w:t>er</w:t>
      </w:r>
      <w:r w:rsidR="006A5411" w:rsidRPr="00457C68">
        <w:rPr>
          <w:rFonts w:ascii="Times New Roman" w:hAnsi="Times New Roman" w:cs="Times New Roman"/>
        </w:rPr>
        <w:t xml:space="preserve"> outfalls </w:t>
      </w:r>
      <w:r>
        <w:rPr>
          <w:rFonts w:ascii="Times New Roman" w:hAnsi="Times New Roman" w:cs="Times New Roman"/>
        </w:rPr>
        <w:t xml:space="preserve">on the outskirts of towns </w:t>
      </w:r>
      <w:r w:rsidR="00216614" w:rsidRPr="00457C68">
        <w:rPr>
          <w:rFonts w:ascii="Times New Roman" w:hAnsi="Times New Roman" w:cs="Times New Roman"/>
        </w:rPr>
        <w:t xml:space="preserve">carried </w:t>
      </w:r>
      <w:r w:rsidR="00E13A5B" w:rsidRPr="00457C68">
        <w:rPr>
          <w:rFonts w:ascii="Times New Roman" w:hAnsi="Times New Roman" w:cs="Times New Roman"/>
        </w:rPr>
        <w:t xml:space="preserve">pollutants </w:t>
      </w:r>
      <w:r w:rsidR="00FB51D2">
        <w:rPr>
          <w:rFonts w:ascii="Times New Roman" w:hAnsi="Times New Roman" w:cs="Times New Roman"/>
        </w:rPr>
        <w:t>(</w:t>
      </w:r>
      <w:r w:rsidR="00E13A5B" w:rsidRPr="00457C68">
        <w:rPr>
          <w:rFonts w:ascii="Times New Roman" w:hAnsi="Times New Roman" w:cs="Times New Roman"/>
        </w:rPr>
        <w:t>which had previously remained at close urban quarters</w:t>
      </w:r>
      <w:r w:rsidR="00FB51D2">
        <w:rPr>
          <w:rFonts w:ascii="Times New Roman" w:hAnsi="Times New Roman" w:cs="Times New Roman"/>
        </w:rPr>
        <w:t xml:space="preserve">) great distances beyond. The effect was to kill </w:t>
      </w:r>
      <w:r w:rsidR="00655E9A" w:rsidRPr="00457C68">
        <w:rPr>
          <w:rFonts w:ascii="Times New Roman" w:hAnsi="Times New Roman" w:cs="Times New Roman"/>
        </w:rPr>
        <w:t xml:space="preserve">cherished </w:t>
      </w:r>
      <w:r w:rsidR="00670E16">
        <w:rPr>
          <w:rFonts w:ascii="Times New Roman" w:hAnsi="Times New Roman" w:cs="Times New Roman"/>
        </w:rPr>
        <w:t>vegetation an</w:t>
      </w:r>
      <w:r w:rsidR="00FB51D2">
        <w:rPr>
          <w:rFonts w:ascii="Times New Roman" w:hAnsi="Times New Roman" w:cs="Times New Roman"/>
        </w:rPr>
        <w:t xml:space="preserve">d pollute </w:t>
      </w:r>
      <w:r w:rsidR="00655E9A" w:rsidRPr="00457C68">
        <w:rPr>
          <w:rFonts w:ascii="Times New Roman" w:hAnsi="Times New Roman" w:cs="Times New Roman"/>
        </w:rPr>
        <w:t xml:space="preserve">sacred </w:t>
      </w:r>
      <w:r w:rsidR="006A5411" w:rsidRPr="00457C68">
        <w:rPr>
          <w:rFonts w:ascii="Times New Roman" w:hAnsi="Times New Roman" w:cs="Times New Roman"/>
        </w:rPr>
        <w:t>watercourses.</w:t>
      </w:r>
      <w:r w:rsidR="00FB51D2">
        <w:rPr>
          <w:rFonts w:ascii="Times New Roman" w:hAnsi="Times New Roman" w:cs="Times New Roman"/>
        </w:rPr>
        <w:t xml:space="preserve"> </w:t>
      </w:r>
      <w:r w:rsidR="00AF0FCD">
        <w:rPr>
          <w:rFonts w:ascii="Times New Roman" w:hAnsi="Times New Roman" w:cs="Times New Roman"/>
        </w:rPr>
        <w:t xml:space="preserve">It is easy to raise a </w:t>
      </w:r>
      <w:r w:rsidR="00BA6C9D">
        <w:rPr>
          <w:rFonts w:ascii="Times New Roman" w:hAnsi="Times New Roman" w:cs="Times New Roman"/>
        </w:rPr>
        <w:t>‘</w:t>
      </w:r>
      <w:r w:rsidR="00AF0FCD">
        <w:rPr>
          <w:rFonts w:ascii="Times New Roman" w:hAnsi="Times New Roman" w:cs="Times New Roman"/>
        </w:rPr>
        <w:t>modern eyebrow</w:t>
      </w:r>
      <w:r w:rsidR="00BA6C9D">
        <w:rPr>
          <w:rFonts w:ascii="Times New Roman" w:hAnsi="Times New Roman" w:cs="Times New Roman"/>
        </w:rPr>
        <w:t>’</w:t>
      </w:r>
      <w:r w:rsidR="00AF0FCD">
        <w:rPr>
          <w:rFonts w:ascii="Times New Roman" w:hAnsi="Times New Roman" w:cs="Times New Roman"/>
        </w:rPr>
        <w:t xml:space="preserve"> at the sentimentality of elite rura</w:t>
      </w:r>
      <w:r w:rsidR="00BA6C9D">
        <w:rPr>
          <w:rFonts w:ascii="Times New Roman" w:hAnsi="Times New Roman" w:cs="Times New Roman"/>
        </w:rPr>
        <w:t>l attitudes to the environment</w:t>
      </w:r>
      <w:r w:rsidR="00AF0FCD">
        <w:rPr>
          <w:rFonts w:ascii="Times New Roman" w:hAnsi="Times New Roman" w:cs="Times New Roman"/>
        </w:rPr>
        <w:t xml:space="preserve"> but the romance of nature was taken highly seriously by</w:t>
      </w:r>
      <w:r w:rsidR="00C406CB">
        <w:rPr>
          <w:rFonts w:ascii="Times New Roman" w:hAnsi="Times New Roman" w:cs="Times New Roman"/>
        </w:rPr>
        <w:t xml:space="preserve"> the nation’s rural ‘haves’.</w:t>
      </w:r>
      <w:r w:rsidR="00AF0FCD">
        <w:rPr>
          <w:rFonts w:ascii="Times New Roman" w:hAnsi="Times New Roman" w:cs="Times New Roman"/>
        </w:rPr>
        <w:t xml:space="preserve"> </w:t>
      </w:r>
    </w:p>
    <w:p w:rsidR="00EF0430" w:rsidRDefault="00EF0430" w:rsidP="00AF0FCD">
      <w:pPr>
        <w:jc w:val="both"/>
        <w:rPr>
          <w:rFonts w:ascii="Times New Roman" w:hAnsi="Times New Roman" w:cs="Times New Roman"/>
        </w:rPr>
      </w:pPr>
    </w:p>
    <w:p w:rsidR="003A2418" w:rsidRDefault="00BA6C9D" w:rsidP="00AF0FCD">
      <w:pPr>
        <w:jc w:val="both"/>
        <w:rPr>
          <w:rFonts w:ascii="Times New Roman" w:hAnsi="Times New Roman" w:cs="Times New Roman"/>
        </w:rPr>
      </w:pPr>
      <w:r>
        <w:rPr>
          <w:rFonts w:ascii="Times New Roman" w:hAnsi="Times New Roman" w:cs="Times New Roman"/>
        </w:rPr>
        <w:t xml:space="preserve">Indeed, it was the dominance of a romantic idea of the countryside which </w:t>
      </w:r>
      <w:proofErr w:type="gramStart"/>
      <w:r>
        <w:rPr>
          <w:rFonts w:ascii="Times New Roman" w:hAnsi="Times New Roman" w:cs="Times New Roman"/>
        </w:rPr>
        <w:t xml:space="preserve">ensured </w:t>
      </w:r>
      <w:r w:rsidR="00FB51D2">
        <w:rPr>
          <w:rFonts w:ascii="Times New Roman" w:hAnsi="Times New Roman" w:cs="Times New Roman"/>
        </w:rPr>
        <w:t xml:space="preserve"> </w:t>
      </w:r>
      <w:r>
        <w:rPr>
          <w:rFonts w:ascii="Times New Roman" w:hAnsi="Times New Roman" w:cs="Times New Roman"/>
        </w:rPr>
        <w:t>that</w:t>
      </w:r>
      <w:proofErr w:type="gramEnd"/>
      <w:r>
        <w:rPr>
          <w:rFonts w:ascii="Times New Roman" w:hAnsi="Times New Roman" w:cs="Times New Roman"/>
        </w:rPr>
        <w:t xml:space="preserve"> this early conflict between town and country over the environment was won by the country.</w:t>
      </w:r>
      <w:r w:rsidR="008B2A2D" w:rsidRPr="00457C68">
        <w:rPr>
          <w:rFonts w:ascii="Times New Roman" w:hAnsi="Times New Roman" w:cs="Times New Roman"/>
        </w:rPr>
        <w:t xml:space="preserve"> </w:t>
      </w:r>
      <w:r w:rsidR="00EF0430">
        <w:rPr>
          <w:rFonts w:ascii="Times New Roman" w:hAnsi="Times New Roman" w:cs="Times New Roman"/>
        </w:rPr>
        <w:t xml:space="preserve">As </w:t>
      </w:r>
      <w:r w:rsidR="00DE7C29">
        <w:rPr>
          <w:rFonts w:ascii="Times New Roman" w:hAnsi="Times New Roman" w:cs="Times New Roman"/>
        </w:rPr>
        <w:t xml:space="preserve">Martin </w:t>
      </w:r>
      <w:r w:rsidR="003A2418">
        <w:rPr>
          <w:rFonts w:ascii="Times New Roman" w:hAnsi="Times New Roman" w:cs="Times New Roman"/>
        </w:rPr>
        <w:t>Wiener explains, from the 1840s:</w:t>
      </w:r>
    </w:p>
    <w:p w:rsidR="003A2418" w:rsidRDefault="003A2418" w:rsidP="00AF0FCD">
      <w:pPr>
        <w:jc w:val="both"/>
        <w:rPr>
          <w:rFonts w:ascii="Times New Roman" w:hAnsi="Times New Roman" w:cs="Times New Roman"/>
        </w:rPr>
      </w:pPr>
    </w:p>
    <w:p w:rsidR="003A2418" w:rsidRDefault="008E6744" w:rsidP="00AF0FCD">
      <w:pPr>
        <w:ind w:left="72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idealization of material growth and technical innovation that had been emerging received a check, and was more and more pushed back by contrary ideals of stability, tranquility and closeness to </w:t>
      </w:r>
      <w:r w:rsidR="003A2418">
        <w:rPr>
          <w:rFonts w:ascii="Times New Roman" w:hAnsi="Times New Roman" w:cs="Times New Roman"/>
        </w:rPr>
        <w:t>the past, and “non-materialism”</w:t>
      </w:r>
      <w:r>
        <w:rPr>
          <w:rFonts w:ascii="Times New Roman" w:hAnsi="Times New Roman" w:cs="Times New Roman"/>
        </w:rPr>
        <w:t>.</w:t>
      </w:r>
      <w:r>
        <w:rPr>
          <w:rStyle w:val="FootnoteReference"/>
          <w:rFonts w:ascii="Times New Roman" w:hAnsi="Times New Roman" w:cs="Times New Roman"/>
        </w:rPr>
        <w:footnoteReference w:id="5"/>
      </w:r>
      <w:r w:rsidR="007E0F92">
        <w:rPr>
          <w:rFonts w:ascii="Times New Roman" w:hAnsi="Times New Roman" w:cs="Times New Roman"/>
        </w:rPr>
        <w:t xml:space="preserve"> </w:t>
      </w:r>
    </w:p>
    <w:p w:rsidR="003A2418" w:rsidRDefault="003A2418" w:rsidP="00AF0FCD">
      <w:pPr>
        <w:jc w:val="both"/>
        <w:rPr>
          <w:rFonts w:ascii="Times New Roman" w:hAnsi="Times New Roman" w:cs="Times New Roman"/>
        </w:rPr>
      </w:pPr>
    </w:p>
    <w:p w:rsidR="00BE0A19" w:rsidRDefault="00BA6C9D" w:rsidP="00AF0FCD">
      <w:pPr>
        <w:jc w:val="both"/>
        <w:rPr>
          <w:rFonts w:ascii="Times New Roman" w:hAnsi="Times New Roman" w:cs="Times New Roman"/>
        </w:rPr>
      </w:pPr>
      <w:proofErr w:type="gramStart"/>
      <w:r>
        <w:rPr>
          <w:rFonts w:ascii="Times New Roman" w:hAnsi="Times New Roman" w:cs="Times New Roman"/>
        </w:rPr>
        <w:t xml:space="preserve">Wiener </w:t>
      </w:r>
      <w:proofErr w:type="spellStart"/>
      <w:r>
        <w:rPr>
          <w:rFonts w:ascii="Times New Roman" w:hAnsi="Times New Roman" w:cs="Times New Roman"/>
        </w:rPr>
        <w:t>constrasts</w:t>
      </w:r>
      <w:proofErr w:type="spellEnd"/>
      <w:r>
        <w:rPr>
          <w:rFonts w:ascii="Times New Roman" w:hAnsi="Times New Roman" w:cs="Times New Roman"/>
        </w:rPr>
        <w:t xml:space="preserve"> the politics of Britain at this time with that elsewhere in Europe and indeed North America, arguing that </w:t>
      </w:r>
      <w:r w:rsidR="00C406CB">
        <w:rPr>
          <w:rFonts w:ascii="Times New Roman" w:hAnsi="Times New Roman" w:cs="Times New Roman"/>
        </w:rPr>
        <w:t>‘</w:t>
      </w:r>
      <w:r w:rsidR="00C406CB" w:rsidRPr="00457C68">
        <w:rPr>
          <w:rFonts w:ascii="Times New Roman" w:hAnsi="Times New Roman" w:cs="Times New Roman"/>
        </w:rPr>
        <w:t>the</w:t>
      </w:r>
      <w:r w:rsidR="002E1813">
        <w:rPr>
          <w:rFonts w:ascii="Times New Roman" w:hAnsi="Times New Roman" w:cs="Times New Roman"/>
        </w:rPr>
        <w:t xml:space="preserve"> countryside</w:t>
      </w:r>
      <w:r w:rsidR="00C406CB">
        <w:rPr>
          <w:rFonts w:ascii="Times New Roman" w:hAnsi="Times New Roman" w:cs="Times New Roman"/>
        </w:rPr>
        <w:t xml:space="preserve"> in England played a far more positive and less divisive role’.</w:t>
      </w:r>
      <w:proofErr w:type="gramEnd"/>
      <w:r w:rsidR="00C406CB">
        <w:rPr>
          <w:rStyle w:val="FootnoteReference"/>
          <w:rFonts w:ascii="Times New Roman" w:hAnsi="Times New Roman" w:cs="Times New Roman"/>
        </w:rPr>
        <w:footnoteReference w:id="6"/>
      </w:r>
      <w:r>
        <w:rPr>
          <w:rFonts w:ascii="Times New Roman" w:hAnsi="Times New Roman" w:cs="Times New Roman"/>
        </w:rPr>
        <w:t xml:space="preserve"> This is reflected in foundational common laws and statutes which combined to broadly adequately protect against pollution and conserve wild species and country habitats.</w:t>
      </w:r>
      <w:r w:rsidR="003A2418">
        <w:rPr>
          <w:rStyle w:val="FootnoteReference"/>
          <w:rFonts w:ascii="Times New Roman" w:hAnsi="Times New Roman" w:cs="Times New Roman"/>
        </w:rPr>
        <w:footnoteReference w:id="7"/>
      </w:r>
      <w:r w:rsidR="008B5D86" w:rsidRPr="00457C68">
        <w:rPr>
          <w:rFonts w:ascii="Times New Roman" w:hAnsi="Times New Roman" w:cs="Times New Roman"/>
        </w:rPr>
        <w:t xml:space="preserve"> </w:t>
      </w:r>
    </w:p>
    <w:p w:rsidR="00C406CB" w:rsidRDefault="00C406CB" w:rsidP="00AF0FCD">
      <w:pPr>
        <w:jc w:val="both"/>
        <w:rPr>
          <w:rFonts w:ascii="Times New Roman" w:hAnsi="Times New Roman" w:cs="Times New Roman"/>
        </w:rPr>
      </w:pPr>
    </w:p>
    <w:p w:rsidR="00D457BC" w:rsidRDefault="00D457BC" w:rsidP="00AF0FCD">
      <w:pPr>
        <w:jc w:val="both"/>
        <w:rPr>
          <w:rFonts w:ascii="Times New Roman" w:hAnsi="Times New Roman" w:cs="Times New Roman"/>
        </w:rPr>
      </w:pPr>
      <w:r>
        <w:rPr>
          <w:rFonts w:ascii="Times New Roman" w:hAnsi="Times New Roman" w:cs="Times New Roman"/>
        </w:rPr>
        <w:t xml:space="preserve">There are numerous </w:t>
      </w:r>
      <w:r w:rsidR="00BE0A19">
        <w:rPr>
          <w:rFonts w:ascii="Times New Roman" w:hAnsi="Times New Roman" w:cs="Times New Roman"/>
        </w:rPr>
        <w:t xml:space="preserve">current disputes which highlight </w:t>
      </w:r>
      <w:r>
        <w:rPr>
          <w:rFonts w:ascii="Times New Roman" w:hAnsi="Times New Roman" w:cs="Times New Roman"/>
        </w:rPr>
        <w:t>the continuing challenge of respecting the difference between town and cou</w:t>
      </w:r>
      <w:r w:rsidR="00BA6C9D">
        <w:rPr>
          <w:rFonts w:ascii="Times New Roman" w:hAnsi="Times New Roman" w:cs="Times New Roman"/>
        </w:rPr>
        <w:t>ntry. Pylons, urban link roads,</w:t>
      </w:r>
      <w:r w:rsidRPr="00457C68">
        <w:rPr>
          <w:rFonts w:ascii="Times New Roman" w:hAnsi="Times New Roman" w:cs="Times New Roman"/>
        </w:rPr>
        <w:t xml:space="preserve"> </w:t>
      </w:r>
      <w:r>
        <w:rPr>
          <w:rFonts w:ascii="Times New Roman" w:hAnsi="Times New Roman" w:cs="Times New Roman"/>
        </w:rPr>
        <w:t>gleaming (or gl</w:t>
      </w:r>
      <w:r w:rsidRPr="00457C68">
        <w:rPr>
          <w:rFonts w:ascii="Times New Roman" w:hAnsi="Times New Roman" w:cs="Times New Roman"/>
        </w:rPr>
        <w:t>aring</w:t>
      </w:r>
      <w:r>
        <w:rPr>
          <w:rFonts w:ascii="Times New Roman" w:hAnsi="Times New Roman" w:cs="Times New Roman"/>
        </w:rPr>
        <w:t>)</w:t>
      </w:r>
      <w:r w:rsidRPr="00457C68">
        <w:rPr>
          <w:rFonts w:ascii="Times New Roman" w:hAnsi="Times New Roman" w:cs="Times New Roman"/>
        </w:rPr>
        <w:t xml:space="preserve"> solar infrastructure</w:t>
      </w:r>
      <w:r>
        <w:rPr>
          <w:rFonts w:ascii="Times New Roman" w:hAnsi="Times New Roman" w:cs="Times New Roman"/>
        </w:rPr>
        <w:t>, and housing estates</w:t>
      </w:r>
      <w:r w:rsidR="00C406CB">
        <w:rPr>
          <w:rFonts w:ascii="Times New Roman" w:hAnsi="Times New Roman" w:cs="Times New Roman"/>
        </w:rPr>
        <w:t>,</w:t>
      </w:r>
      <w:r>
        <w:rPr>
          <w:rFonts w:ascii="Times New Roman" w:hAnsi="Times New Roman" w:cs="Times New Roman"/>
        </w:rPr>
        <w:t xml:space="preserve"> are </w:t>
      </w:r>
      <w:r w:rsidR="00C406CB">
        <w:rPr>
          <w:rFonts w:ascii="Times New Roman" w:hAnsi="Times New Roman" w:cs="Times New Roman"/>
        </w:rPr>
        <w:t xml:space="preserve">foremost among </w:t>
      </w:r>
      <w:r>
        <w:rPr>
          <w:rFonts w:ascii="Times New Roman" w:hAnsi="Times New Roman" w:cs="Times New Roman"/>
        </w:rPr>
        <w:t xml:space="preserve">the twenty-first century equivalent of the </w:t>
      </w:r>
      <w:r w:rsidR="00C406CB">
        <w:rPr>
          <w:rFonts w:ascii="Times New Roman" w:hAnsi="Times New Roman" w:cs="Times New Roman"/>
        </w:rPr>
        <w:t xml:space="preserve">smoking </w:t>
      </w:r>
      <w:r>
        <w:rPr>
          <w:rFonts w:ascii="Times New Roman" w:hAnsi="Times New Roman" w:cs="Times New Roman"/>
        </w:rPr>
        <w:t>factory and</w:t>
      </w:r>
      <w:r w:rsidR="00C406CB">
        <w:rPr>
          <w:rFonts w:ascii="Times New Roman" w:hAnsi="Times New Roman" w:cs="Times New Roman"/>
        </w:rPr>
        <w:t xml:space="preserve"> leaking </w:t>
      </w:r>
      <w:r>
        <w:rPr>
          <w:rFonts w:ascii="Times New Roman" w:hAnsi="Times New Roman" w:cs="Times New Roman"/>
        </w:rPr>
        <w:t xml:space="preserve">town drainage undertaking. </w:t>
      </w:r>
      <w:r w:rsidR="00E525FD">
        <w:rPr>
          <w:rFonts w:ascii="Times New Roman" w:hAnsi="Times New Roman" w:cs="Times New Roman"/>
        </w:rPr>
        <w:t>But it is wind turbine development that is</w:t>
      </w:r>
      <w:r w:rsidR="00BA6C9D">
        <w:rPr>
          <w:rFonts w:ascii="Times New Roman" w:hAnsi="Times New Roman" w:cs="Times New Roman"/>
        </w:rPr>
        <w:t xml:space="preserve"> probably the most controversial. In </w:t>
      </w:r>
      <w:r w:rsidR="00E525FD">
        <w:rPr>
          <w:rFonts w:ascii="Times New Roman" w:hAnsi="Times New Roman" w:cs="Times New Roman"/>
        </w:rPr>
        <w:t>a</w:t>
      </w:r>
      <w:r w:rsidR="00BA6C9D">
        <w:rPr>
          <w:rFonts w:ascii="Times New Roman" w:hAnsi="Times New Roman" w:cs="Times New Roman"/>
        </w:rPr>
        <w:t xml:space="preserve"> </w:t>
      </w:r>
      <w:proofErr w:type="spellStart"/>
      <w:r w:rsidR="00BA6C9D">
        <w:rPr>
          <w:rFonts w:ascii="Times New Roman" w:hAnsi="Times New Roman" w:cs="Times New Roman"/>
        </w:rPr>
        <w:t>defence</w:t>
      </w:r>
      <w:proofErr w:type="spellEnd"/>
      <w:r w:rsidR="00BA6C9D">
        <w:rPr>
          <w:rFonts w:ascii="Times New Roman" w:hAnsi="Times New Roman" w:cs="Times New Roman"/>
        </w:rPr>
        <w:t xml:space="preserve"> of Government policy in th</w:t>
      </w:r>
      <w:r w:rsidR="000358D0">
        <w:rPr>
          <w:rFonts w:ascii="Times New Roman" w:hAnsi="Times New Roman" w:cs="Times New Roman"/>
        </w:rPr>
        <w:t xml:space="preserve">is field published in The Guardian, George </w:t>
      </w:r>
      <w:proofErr w:type="spellStart"/>
      <w:r w:rsidR="000358D0">
        <w:rPr>
          <w:rFonts w:ascii="Times New Roman" w:hAnsi="Times New Roman" w:cs="Times New Roman"/>
        </w:rPr>
        <w:t>Monbiot</w:t>
      </w:r>
      <w:proofErr w:type="spellEnd"/>
      <w:r w:rsidR="000358D0">
        <w:rPr>
          <w:rFonts w:ascii="Times New Roman" w:hAnsi="Times New Roman" w:cs="Times New Roman"/>
        </w:rPr>
        <w:t xml:space="preserve"> express disbelief in the </w:t>
      </w:r>
      <w:r w:rsidR="00BA6C9D">
        <w:rPr>
          <w:rFonts w:ascii="Times New Roman" w:hAnsi="Times New Roman" w:cs="Times New Roman"/>
        </w:rPr>
        <w:t xml:space="preserve">‘perverse’ </w:t>
      </w:r>
      <w:r w:rsidR="000358D0">
        <w:rPr>
          <w:rFonts w:ascii="Times New Roman" w:hAnsi="Times New Roman" w:cs="Times New Roman"/>
        </w:rPr>
        <w:t xml:space="preserve">reality </w:t>
      </w:r>
      <w:r w:rsidR="00BA6C9D">
        <w:rPr>
          <w:rFonts w:ascii="Times New Roman" w:hAnsi="Times New Roman" w:cs="Times New Roman"/>
        </w:rPr>
        <w:t>that a thermal power station is likely to attract less opposition than</w:t>
      </w:r>
      <w:r w:rsidR="000358D0">
        <w:rPr>
          <w:rFonts w:ascii="Times New Roman" w:hAnsi="Times New Roman" w:cs="Times New Roman"/>
        </w:rPr>
        <w:t xml:space="preserve"> a spray of large wind turbines.</w:t>
      </w:r>
      <w:r w:rsidR="000358D0">
        <w:rPr>
          <w:rStyle w:val="FootnoteReference"/>
          <w:rFonts w:ascii="Times New Roman" w:hAnsi="Times New Roman" w:cs="Times New Roman"/>
        </w:rPr>
        <w:footnoteReference w:id="8"/>
      </w:r>
      <w:r w:rsidR="00BA6C9D">
        <w:rPr>
          <w:rFonts w:ascii="Times New Roman" w:hAnsi="Times New Roman" w:cs="Times New Roman"/>
        </w:rPr>
        <w:t xml:space="preserve"> </w:t>
      </w:r>
    </w:p>
    <w:p w:rsidR="00BA6C9D" w:rsidRDefault="00BA6C9D" w:rsidP="00AF0FCD">
      <w:pPr>
        <w:jc w:val="both"/>
        <w:rPr>
          <w:rFonts w:ascii="Times New Roman" w:hAnsi="Times New Roman" w:cs="Times New Roman"/>
        </w:rPr>
      </w:pPr>
    </w:p>
    <w:p w:rsidR="00EA0B60" w:rsidRDefault="00EE28ED" w:rsidP="00AF0FCD">
      <w:pPr>
        <w:jc w:val="both"/>
        <w:rPr>
          <w:rFonts w:ascii="Times New Roman" w:hAnsi="Times New Roman" w:cs="Times New Roman"/>
        </w:rPr>
      </w:pPr>
      <w:r>
        <w:rPr>
          <w:rFonts w:ascii="Times New Roman" w:hAnsi="Times New Roman" w:cs="Times New Roman"/>
        </w:rPr>
        <w:t>A good illustration of the variety of concerns that can help make sense of public opposition</w:t>
      </w:r>
      <w:r w:rsidR="00D457BC">
        <w:rPr>
          <w:rFonts w:ascii="Times New Roman" w:hAnsi="Times New Roman" w:cs="Times New Roman"/>
        </w:rPr>
        <w:t xml:space="preserve"> is the ‘David and Goliath’</w:t>
      </w:r>
      <w:r w:rsidR="00AD187B">
        <w:rPr>
          <w:rStyle w:val="FootnoteReference"/>
          <w:rFonts w:ascii="Times New Roman" w:hAnsi="Times New Roman" w:cs="Times New Roman"/>
        </w:rPr>
        <w:footnoteReference w:id="9"/>
      </w:r>
      <w:r w:rsidR="00D457BC">
        <w:rPr>
          <w:rFonts w:ascii="Times New Roman" w:hAnsi="Times New Roman" w:cs="Times New Roman"/>
        </w:rPr>
        <w:t xml:space="preserve"> struggle between Christine Metcalfe and the Scottish, UK and European wind industry (and its governmental underwriters).</w:t>
      </w:r>
      <w:r w:rsidR="00611F07">
        <w:rPr>
          <w:rStyle w:val="FootnoteReference"/>
          <w:rFonts w:ascii="Times New Roman" w:hAnsi="Times New Roman" w:cs="Times New Roman"/>
        </w:rPr>
        <w:footnoteReference w:id="10"/>
      </w:r>
      <w:r w:rsidR="00D457BC">
        <w:rPr>
          <w:rFonts w:ascii="Times New Roman" w:hAnsi="Times New Roman" w:cs="Times New Roman"/>
        </w:rPr>
        <w:t xml:space="preserve"> </w:t>
      </w:r>
      <w:proofErr w:type="gramStart"/>
      <w:r w:rsidR="00D457BC">
        <w:rPr>
          <w:rFonts w:ascii="Times New Roman" w:hAnsi="Times New Roman" w:cs="Times New Roman"/>
        </w:rPr>
        <w:t xml:space="preserve">This </w:t>
      </w:r>
      <w:r w:rsidR="00EA0B60">
        <w:rPr>
          <w:rFonts w:ascii="Times New Roman" w:hAnsi="Times New Roman" w:cs="Times New Roman"/>
        </w:rPr>
        <w:t>a</w:t>
      </w:r>
      <w:proofErr w:type="gramEnd"/>
      <w:r w:rsidR="00EA0B60">
        <w:rPr>
          <w:rFonts w:ascii="Times New Roman" w:hAnsi="Times New Roman" w:cs="Times New Roman"/>
        </w:rPr>
        <w:t xml:space="preserve"> dispute </w:t>
      </w:r>
      <w:r w:rsidR="00D36A3A">
        <w:rPr>
          <w:rFonts w:ascii="Times New Roman" w:hAnsi="Times New Roman" w:cs="Times New Roman"/>
        </w:rPr>
        <w:t>– one of a growing number involving the UK</w:t>
      </w:r>
      <w:r>
        <w:rPr>
          <w:rFonts w:ascii="Times New Roman" w:hAnsi="Times New Roman" w:cs="Times New Roman"/>
        </w:rPr>
        <w:t xml:space="preserve"> on an array of issues</w:t>
      </w:r>
      <w:r w:rsidR="00D36A3A">
        <w:rPr>
          <w:rFonts w:ascii="Times New Roman" w:hAnsi="Times New Roman" w:cs="Times New Roman"/>
        </w:rPr>
        <w:t xml:space="preserve"> - </w:t>
      </w:r>
      <w:r w:rsidR="00EA0B60">
        <w:rPr>
          <w:rFonts w:ascii="Times New Roman" w:hAnsi="Times New Roman" w:cs="Times New Roman"/>
        </w:rPr>
        <w:t xml:space="preserve">that is currently before the Aarhus Convention Compliance Committee. </w:t>
      </w:r>
      <w:r>
        <w:rPr>
          <w:rFonts w:ascii="Times New Roman" w:hAnsi="Times New Roman" w:cs="Times New Roman"/>
        </w:rPr>
        <w:t>Metcalfe and others objected to an application for planning permission for</w:t>
      </w:r>
      <w:r w:rsidR="00D457BC">
        <w:rPr>
          <w:rFonts w:ascii="Times New Roman" w:hAnsi="Times New Roman" w:cs="Times New Roman"/>
        </w:rPr>
        <w:t xml:space="preserve"> the</w:t>
      </w:r>
      <w:r w:rsidR="00D457BC" w:rsidRPr="00B03928">
        <w:rPr>
          <w:rFonts w:ascii="Times New Roman" w:hAnsi="Times New Roman" w:cs="Times New Roman"/>
        </w:rPr>
        <w:t xml:space="preserve"> </w:t>
      </w:r>
      <w:proofErr w:type="spellStart"/>
      <w:r w:rsidR="00D457BC" w:rsidRPr="00B03928">
        <w:rPr>
          <w:rFonts w:ascii="Times New Roman" w:hAnsi="Times New Roman" w:cs="Times New Roman"/>
        </w:rPr>
        <w:t>Carraig</w:t>
      </w:r>
      <w:proofErr w:type="spellEnd"/>
      <w:r w:rsidR="00D457BC" w:rsidRPr="00B03928">
        <w:rPr>
          <w:rFonts w:ascii="Times New Roman" w:hAnsi="Times New Roman" w:cs="Times New Roman"/>
        </w:rPr>
        <w:t xml:space="preserve"> </w:t>
      </w:r>
      <w:proofErr w:type="spellStart"/>
      <w:r w:rsidR="00D457BC" w:rsidRPr="00B03928">
        <w:rPr>
          <w:rFonts w:ascii="Times New Roman" w:hAnsi="Times New Roman" w:cs="Times New Roman"/>
        </w:rPr>
        <w:t>Gheal</w:t>
      </w:r>
      <w:proofErr w:type="spellEnd"/>
      <w:r w:rsidR="00D457BC" w:rsidRPr="00B03928">
        <w:rPr>
          <w:rFonts w:ascii="Times New Roman" w:hAnsi="Times New Roman" w:cs="Times New Roman"/>
        </w:rPr>
        <w:t xml:space="preserve"> wind farm, </w:t>
      </w:r>
      <w:r>
        <w:rPr>
          <w:rFonts w:ascii="Times New Roman" w:hAnsi="Times New Roman" w:cs="Times New Roman"/>
        </w:rPr>
        <w:t xml:space="preserve">in Argyll, Scotland. </w:t>
      </w:r>
      <w:r w:rsidR="00EA0B60">
        <w:rPr>
          <w:rFonts w:ascii="Times New Roman" w:hAnsi="Times New Roman" w:cs="Times New Roman"/>
        </w:rPr>
        <w:t xml:space="preserve">The </w:t>
      </w:r>
      <w:r>
        <w:rPr>
          <w:rFonts w:ascii="Times New Roman" w:hAnsi="Times New Roman" w:cs="Times New Roman"/>
        </w:rPr>
        <w:t xml:space="preserve">proposed </w:t>
      </w:r>
      <w:r w:rsidR="00EA0B60">
        <w:rPr>
          <w:rFonts w:ascii="Times New Roman" w:hAnsi="Times New Roman" w:cs="Times New Roman"/>
        </w:rPr>
        <w:t>development</w:t>
      </w:r>
      <w:r w:rsidR="00D457BC">
        <w:rPr>
          <w:rFonts w:ascii="Times New Roman" w:hAnsi="Times New Roman" w:cs="Times New Roman"/>
        </w:rPr>
        <w:t xml:space="preserve"> consists of twenty turbines, ranging from 65 to 80 meters in height, in a remote hillside spot where eagles nest.</w:t>
      </w:r>
      <w:r w:rsidR="00EA0B60">
        <w:rPr>
          <w:rFonts w:ascii="Times New Roman" w:hAnsi="Times New Roman" w:cs="Times New Roman"/>
        </w:rPr>
        <w:t xml:space="preserve"> </w:t>
      </w:r>
      <w:r>
        <w:rPr>
          <w:rFonts w:ascii="Times New Roman" w:hAnsi="Times New Roman" w:cs="Times New Roman"/>
        </w:rPr>
        <w:t xml:space="preserve">Having lost at the planning stage (the turbines are now under construction), Metcalfe has redefined the complaint as one of the ineffectiveness of public participation in environmental policy making, and specifically the </w:t>
      </w:r>
      <w:r w:rsidR="00EA0B60">
        <w:rPr>
          <w:rFonts w:ascii="Times New Roman" w:hAnsi="Times New Roman" w:cs="Times New Roman"/>
        </w:rPr>
        <w:t xml:space="preserve">presumption in </w:t>
      </w:r>
      <w:proofErr w:type="spellStart"/>
      <w:r w:rsidR="00EA0B60">
        <w:rPr>
          <w:rFonts w:ascii="Times New Roman" w:hAnsi="Times New Roman" w:cs="Times New Roman"/>
        </w:rPr>
        <w:t>favour</w:t>
      </w:r>
      <w:proofErr w:type="spellEnd"/>
      <w:r w:rsidR="00EA0B60">
        <w:rPr>
          <w:rFonts w:ascii="Times New Roman" w:hAnsi="Times New Roman" w:cs="Times New Roman"/>
        </w:rPr>
        <w:t xml:space="preserve"> of renewable energy.</w:t>
      </w:r>
    </w:p>
    <w:p w:rsidR="00D457BC" w:rsidRDefault="00D457BC" w:rsidP="00AF0FCD">
      <w:pPr>
        <w:jc w:val="both"/>
        <w:rPr>
          <w:rFonts w:ascii="Times New Roman" w:hAnsi="Times New Roman" w:cs="Times New Roman"/>
        </w:rPr>
      </w:pPr>
    </w:p>
    <w:p w:rsidR="00EE28ED" w:rsidRDefault="00D457BC" w:rsidP="002E1813">
      <w:pPr>
        <w:jc w:val="both"/>
        <w:rPr>
          <w:rFonts w:ascii="Times New Roman" w:hAnsi="Times New Roman" w:cs="Times New Roman"/>
        </w:rPr>
      </w:pPr>
      <w:r w:rsidRPr="00457C68">
        <w:rPr>
          <w:rFonts w:ascii="Times New Roman" w:hAnsi="Times New Roman" w:cs="Times New Roman"/>
        </w:rPr>
        <w:t xml:space="preserve">The </w:t>
      </w:r>
      <w:r w:rsidR="00EE28ED">
        <w:rPr>
          <w:rFonts w:ascii="Times New Roman" w:hAnsi="Times New Roman" w:cs="Times New Roman"/>
        </w:rPr>
        <w:t>chief complaint</w:t>
      </w:r>
      <w:r w:rsidR="009D3880">
        <w:rPr>
          <w:rFonts w:ascii="Times New Roman" w:hAnsi="Times New Roman" w:cs="Times New Roman"/>
        </w:rPr>
        <w:t xml:space="preserve"> </w:t>
      </w:r>
      <w:r w:rsidR="00EA0B60">
        <w:rPr>
          <w:rFonts w:ascii="Times New Roman" w:hAnsi="Times New Roman" w:cs="Times New Roman"/>
        </w:rPr>
        <w:t xml:space="preserve">is that </w:t>
      </w:r>
      <w:r>
        <w:rPr>
          <w:rFonts w:ascii="Times New Roman" w:hAnsi="Times New Roman" w:cs="Times New Roman"/>
        </w:rPr>
        <w:t>the authorities have</w:t>
      </w:r>
      <w:r w:rsidRPr="00457C68">
        <w:rPr>
          <w:rFonts w:ascii="Times New Roman" w:hAnsi="Times New Roman" w:cs="Times New Roman"/>
        </w:rPr>
        <w:t xml:space="preserve"> not gathered </w:t>
      </w:r>
      <w:r>
        <w:rPr>
          <w:rFonts w:ascii="Times New Roman" w:hAnsi="Times New Roman" w:cs="Times New Roman"/>
        </w:rPr>
        <w:t xml:space="preserve">or disseminated </w:t>
      </w:r>
      <w:r w:rsidR="00EE28ED">
        <w:rPr>
          <w:rFonts w:ascii="Times New Roman" w:hAnsi="Times New Roman" w:cs="Times New Roman"/>
        </w:rPr>
        <w:t>information in support of the government’s claim that wind energy results in substantial carbon savings, and that the public have been misled into believing this matter is settled.</w:t>
      </w:r>
      <w:r w:rsidRPr="00457C68">
        <w:rPr>
          <w:rFonts w:ascii="Times New Roman" w:hAnsi="Times New Roman" w:cs="Times New Roman"/>
        </w:rPr>
        <w:t xml:space="preserve"> </w:t>
      </w:r>
      <w:r w:rsidR="00FE38F5">
        <w:rPr>
          <w:rFonts w:ascii="Times New Roman" w:hAnsi="Times New Roman" w:cs="Times New Roman"/>
        </w:rPr>
        <w:t>Under Article 5.1, the UK must ensure tha</w:t>
      </w:r>
      <w:r w:rsidR="002E1813">
        <w:rPr>
          <w:rFonts w:ascii="Times New Roman" w:hAnsi="Times New Roman" w:cs="Times New Roman"/>
        </w:rPr>
        <w:t>t</w:t>
      </w:r>
      <w:r w:rsidR="00FE38F5">
        <w:rPr>
          <w:rFonts w:ascii="Times New Roman" w:hAnsi="Times New Roman" w:cs="Times New Roman"/>
        </w:rPr>
        <w:t xml:space="preserve"> </w:t>
      </w:r>
      <w:r w:rsidR="009D3880">
        <w:rPr>
          <w:rFonts w:ascii="Times New Roman" w:hAnsi="Times New Roman" w:cs="Times New Roman"/>
        </w:rPr>
        <w:t>‘</w:t>
      </w:r>
      <w:r w:rsidR="002E1813">
        <w:rPr>
          <w:rFonts w:ascii="Times New Roman" w:hAnsi="Times New Roman" w:cs="Times New Roman"/>
        </w:rPr>
        <w:t xml:space="preserve">[planning] </w:t>
      </w:r>
      <w:r w:rsidR="00FE38F5">
        <w:rPr>
          <w:rFonts w:ascii="Times New Roman" w:hAnsi="Times New Roman" w:cs="Times New Roman"/>
        </w:rPr>
        <w:t>authorities possess up to date information which is relevant to their functions</w:t>
      </w:r>
      <w:r w:rsidR="009D3880">
        <w:rPr>
          <w:rFonts w:ascii="Times New Roman" w:hAnsi="Times New Roman" w:cs="Times New Roman"/>
        </w:rPr>
        <w:t>’</w:t>
      </w:r>
      <w:r w:rsidR="00FE38F5">
        <w:rPr>
          <w:rFonts w:ascii="Times New Roman" w:hAnsi="Times New Roman" w:cs="Times New Roman"/>
        </w:rPr>
        <w:t>.</w:t>
      </w:r>
      <w:r w:rsidR="00EE28ED" w:rsidRPr="00EE28ED">
        <w:rPr>
          <w:rFonts w:ascii="Times New Roman" w:hAnsi="Times New Roman" w:cs="Times New Roman"/>
        </w:rPr>
        <w:t xml:space="preserve"> </w:t>
      </w:r>
      <w:r w:rsidR="00EE28ED">
        <w:rPr>
          <w:rFonts w:ascii="Times New Roman" w:hAnsi="Times New Roman" w:cs="Times New Roman"/>
        </w:rPr>
        <w:t>It is alleged that there is no information on the effect on carbon emissions of the</w:t>
      </w:r>
      <w:r w:rsidR="00EE28ED" w:rsidRPr="00457C68">
        <w:rPr>
          <w:rFonts w:ascii="Times New Roman" w:hAnsi="Times New Roman" w:cs="Times New Roman"/>
        </w:rPr>
        <w:t xml:space="preserve"> </w:t>
      </w:r>
      <w:r w:rsidR="00EE28ED" w:rsidRPr="00EC7435">
        <w:rPr>
          <w:rFonts w:ascii="Times New Roman" w:hAnsi="Times New Roman" w:cs="Times New Roman"/>
          <w:i/>
        </w:rPr>
        <w:t xml:space="preserve">intermittent </w:t>
      </w:r>
      <w:r w:rsidR="00EE28ED" w:rsidRPr="00457C68">
        <w:rPr>
          <w:rFonts w:ascii="Times New Roman" w:hAnsi="Times New Roman" w:cs="Times New Roman"/>
        </w:rPr>
        <w:t xml:space="preserve">nature of </w:t>
      </w:r>
      <w:proofErr w:type="gramStart"/>
      <w:r w:rsidR="00EE28ED" w:rsidRPr="00457C68">
        <w:rPr>
          <w:rFonts w:ascii="Times New Roman" w:hAnsi="Times New Roman" w:cs="Times New Roman"/>
        </w:rPr>
        <w:lastRenderedPageBreak/>
        <w:t>wind</w:t>
      </w:r>
      <w:proofErr w:type="gramEnd"/>
      <w:r w:rsidR="00EE28ED">
        <w:rPr>
          <w:rFonts w:ascii="Times New Roman" w:hAnsi="Times New Roman" w:cs="Times New Roman"/>
        </w:rPr>
        <w:t xml:space="preserve"> energy. Wind energy requires a thermal back up, and the ‘stop-start’ of doing so, it is contended, generates greater volumes of carbon emissions than a ‘smooth running’ thermal infrastructure.</w:t>
      </w:r>
    </w:p>
    <w:p w:rsidR="00EE28ED" w:rsidRDefault="00EE28ED" w:rsidP="002E1813">
      <w:pPr>
        <w:jc w:val="both"/>
        <w:rPr>
          <w:rFonts w:ascii="Times New Roman" w:hAnsi="Times New Roman" w:cs="Times New Roman"/>
        </w:rPr>
      </w:pPr>
    </w:p>
    <w:p w:rsidR="00EE28ED" w:rsidRDefault="00EA0B60" w:rsidP="002E1813">
      <w:pPr>
        <w:jc w:val="both"/>
        <w:rPr>
          <w:rFonts w:ascii="Times New Roman" w:hAnsi="Times New Roman" w:cs="Times New Roman"/>
        </w:rPr>
      </w:pPr>
      <w:r>
        <w:rPr>
          <w:rFonts w:ascii="Times New Roman" w:hAnsi="Times New Roman" w:cs="Times New Roman"/>
        </w:rPr>
        <w:t xml:space="preserve"> DEFRA’s </w:t>
      </w:r>
      <w:proofErr w:type="spellStart"/>
      <w:r>
        <w:rPr>
          <w:rFonts w:ascii="Times New Roman" w:hAnsi="Times New Roman" w:cs="Times New Roman"/>
        </w:rPr>
        <w:t>defence</w:t>
      </w:r>
      <w:proofErr w:type="spellEnd"/>
      <w:r>
        <w:rPr>
          <w:rFonts w:ascii="Times New Roman" w:hAnsi="Times New Roman" w:cs="Times New Roman"/>
        </w:rPr>
        <w:t xml:space="preserve"> is </w:t>
      </w:r>
      <w:r w:rsidR="00FE38F5">
        <w:rPr>
          <w:rFonts w:ascii="Times New Roman" w:hAnsi="Times New Roman" w:cs="Times New Roman"/>
        </w:rPr>
        <w:t xml:space="preserve">that the relevant authorities </w:t>
      </w:r>
      <w:r w:rsidR="00FE38F5" w:rsidRPr="009D3880">
        <w:rPr>
          <w:rFonts w:ascii="Times New Roman" w:hAnsi="Times New Roman" w:cs="Times New Roman"/>
          <w:i/>
        </w:rPr>
        <w:t>do</w:t>
      </w:r>
      <w:r w:rsidR="009D3880">
        <w:rPr>
          <w:rFonts w:ascii="Times New Roman" w:hAnsi="Times New Roman" w:cs="Times New Roman"/>
        </w:rPr>
        <w:t xml:space="preserve"> have the requisite information</w:t>
      </w:r>
      <w:r w:rsidR="002E1813">
        <w:rPr>
          <w:rFonts w:ascii="Times New Roman" w:hAnsi="Times New Roman" w:cs="Times New Roman"/>
        </w:rPr>
        <w:t>. In particular, it</w:t>
      </w:r>
      <w:r w:rsidR="009D3880">
        <w:rPr>
          <w:rFonts w:ascii="Times New Roman" w:hAnsi="Times New Roman" w:cs="Times New Roman"/>
        </w:rPr>
        <w:t xml:space="preserve"> is claimed that</w:t>
      </w:r>
      <w:r>
        <w:rPr>
          <w:rFonts w:ascii="Times New Roman" w:hAnsi="Times New Roman" w:cs="Times New Roman"/>
        </w:rPr>
        <w:t xml:space="preserve"> ‘</w:t>
      </w:r>
      <w:proofErr w:type="spellStart"/>
      <w:r>
        <w:rPr>
          <w:rFonts w:ascii="Times New Roman" w:hAnsi="Times New Roman" w:cs="Times New Roman"/>
        </w:rPr>
        <w:t>modelling</w:t>
      </w:r>
      <w:proofErr w:type="spellEnd"/>
      <w:r>
        <w:rPr>
          <w:rFonts w:ascii="Times New Roman" w:hAnsi="Times New Roman" w:cs="Times New Roman"/>
        </w:rPr>
        <w:t xml:space="preserve"> and studi</w:t>
      </w:r>
      <w:r w:rsidRPr="00457C68">
        <w:rPr>
          <w:rFonts w:ascii="Times New Roman" w:hAnsi="Times New Roman" w:cs="Times New Roman"/>
        </w:rPr>
        <w:t>es hav</w:t>
      </w:r>
      <w:r>
        <w:rPr>
          <w:rFonts w:ascii="Times New Roman" w:hAnsi="Times New Roman" w:cs="Times New Roman"/>
        </w:rPr>
        <w:t>e</w:t>
      </w:r>
      <w:r w:rsidRPr="00457C68">
        <w:rPr>
          <w:rFonts w:ascii="Times New Roman" w:hAnsi="Times New Roman" w:cs="Times New Roman"/>
        </w:rPr>
        <w:t xml:space="preserve"> shown </w:t>
      </w:r>
      <w:r w:rsidRPr="00C71747">
        <w:rPr>
          <w:rFonts w:ascii="Times New Roman" w:hAnsi="Times New Roman" w:cs="Times New Roman"/>
          <w:i/>
        </w:rPr>
        <w:t xml:space="preserve">definitively </w:t>
      </w:r>
      <w:r w:rsidRPr="00457C68">
        <w:rPr>
          <w:rFonts w:ascii="Times New Roman" w:hAnsi="Times New Roman" w:cs="Times New Roman"/>
        </w:rPr>
        <w:t>that the generation of energy from renewable sources does not gene</w:t>
      </w:r>
      <w:r>
        <w:rPr>
          <w:rFonts w:ascii="Times New Roman" w:hAnsi="Times New Roman" w:cs="Times New Roman"/>
        </w:rPr>
        <w:t xml:space="preserve">rate greenhouse gas emissions to </w:t>
      </w:r>
      <w:r w:rsidRPr="00457C68">
        <w:rPr>
          <w:rFonts w:ascii="Times New Roman" w:hAnsi="Times New Roman" w:cs="Times New Roman"/>
        </w:rPr>
        <w:t xml:space="preserve">the </w:t>
      </w:r>
      <w:r w:rsidRPr="00812309">
        <w:rPr>
          <w:rFonts w:ascii="Times New Roman" w:hAnsi="Times New Roman" w:cs="Times New Roman"/>
        </w:rPr>
        <w:t>extent that generating energy from traditional thermal sources does.’</w:t>
      </w:r>
      <w:r w:rsidRPr="00812309">
        <w:rPr>
          <w:rStyle w:val="FootnoteReference"/>
          <w:rFonts w:ascii="Times New Roman" w:hAnsi="Times New Roman" w:cs="Times New Roman"/>
        </w:rPr>
        <w:footnoteReference w:id="11"/>
      </w:r>
      <w:r w:rsidRPr="00812309">
        <w:rPr>
          <w:rFonts w:ascii="Times New Roman" w:hAnsi="Times New Roman" w:cs="Times New Roman"/>
        </w:rPr>
        <w:t xml:space="preserve">  The authority that is cited </w:t>
      </w:r>
      <w:r w:rsidR="009D3880" w:rsidRPr="00812309">
        <w:rPr>
          <w:rFonts w:ascii="Times New Roman" w:hAnsi="Times New Roman" w:cs="Times New Roman"/>
        </w:rPr>
        <w:t xml:space="preserve">as supporting the government position </w:t>
      </w:r>
      <w:r w:rsidRPr="00812309">
        <w:rPr>
          <w:rFonts w:ascii="Times New Roman" w:hAnsi="Times New Roman" w:cs="Times New Roman"/>
        </w:rPr>
        <w:t>is the UK Energy Research Centre’s on-going review of over two hundred studies of this issue.</w:t>
      </w:r>
      <w:r w:rsidRPr="00812309">
        <w:rPr>
          <w:rStyle w:val="FootnoteReference"/>
          <w:rFonts w:ascii="Times New Roman" w:hAnsi="Times New Roman" w:cs="Times New Roman"/>
        </w:rPr>
        <w:footnoteReference w:id="12"/>
      </w:r>
      <w:r w:rsidRPr="00812309">
        <w:rPr>
          <w:rFonts w:ascii="Times New Roman" w:hAnsi="Times New Roman" w:cs="Times New Roman"/>
        </w:rPr>
        <w:t xml:space="preserve"> </w:t>
      </w:r>
    </w:p>
    <w:p w:rsidR="00EE28ED" w:rsidRDefault="00EE28ED" w:rsidP="002E1813">
      <w:pPr>
        <w:jc w:val="both"/>
        <w:rPr>
          <w:rFonts w:ascii="Times New Roman" w:hAnsi="Times New Roman" w:cs="Times New Roman"/>
        </w:rPr>
      </w:pPr>
    </w:p>
    <w:p w:rsidR="00EA0B60" w:rsidRPr="00812309" w:rsidRDefault="00EA0B60" w:rsidP="002E1813">
      <w:pPr>
        <w:jc w:val="both"/>
        <w:rPr>
          <w:rFonts w:ascii="Times New Roman" w:hAnsi="Times New Roman" w:cs="Times New Roman"/>
        </w:rPr>
      </w:pPr>
      <w:r w:rsidRPr="00812309">
        <w:rPr>
          <w:rFonts w:ascii="Times New Roman" w:hAnsi="Times New Roman" w:cs="Times New Roman"/>
        </w:rPr>
        <w:t>The Ce</w:t>
      </w:r>
      <w:r w:rsidR="00EE28ED">
        <w:rPr>
          <w:rFonts w:ascii="Times New Roman" w:hAnsi="Times New Roman" w:cs="Times New Roman"/>
        </w:rPr>
        <w:t>ntre, which consists of leading science academics</w:t>
      </w:r>
      <w:r w:rsidRPr="00812309">
        <w:rPr>
          <w:rFonts w:ascii="Times New Roman" w:hAnsi="Times New Roman" w:cs="Times New Roman"/>
        </w:rPr>
        <w:t xml:space="preserve"> associated with low carbon energy</w:t>
      </w:r>
      <w:r w:rsidR="009D3880" w:rsidRPr="00812309">
        <w:rPr>
          <w:rFonts w:ascii="Times New Roman" w:hAnsi="Times New Roman" w:cs="Times New Roman"/>
        </w:rPr>
        <w:t xml:space="preserve"> research</w:t>
      </w:r>
      <w:r w:rsidRPr="00812309">
        <w:rPr>
          <w:rFonts w:ascii="Times New Roman" w:hAnsi="Times New Roman" w:cs="Times New Roman"/>
        </w:rPr>
        <w:t>, acknowledges that, as more energy is supplied from renewable sources, the output in fossil fuel power stations would</w:t>
      </w:r>
      <w:r w:rsidR="009D3880" w:rsidRPr="00812309">
        <w:rPr>
          <w:rFonts w:ascii="Times New Roman" w:hAnsi="Times New Roman" w:cs="Times New Roman"/>
        </w:rPr>
        <w:t xml:space="preserve"> indeed</w:t>
      </w:r>
      <w:r w:rsidRPr="00812309">
        <w:rPr>
          <w:rFonts w:ascii="Times New Roman" w:hAnsi="Times New Roman" w:cs="Times New Roman"/>
        </w:rPr>
        <w:t xml:space="preserve"> need to be adjusted more regularly (to deal with fluctuations in output). </w:t>
      </w:r>
      <w:r w:rsidR="00EE28ED">
        <w:rPr>
          <w:rFonts w:ascii="Times New Roman" w:hAnsi="Times New Roman" w:cs="Times New Roman"/>
        </w:rPr>
        <w:t>The evidence thus comes some way to meeting Metcalfe’s concern. But</w:t>
      </w:r>
      <w:r w:rsidRPr="00812309">
        <w:rPr>
          <w:rFonts w:ascii="Times New Roman" w:hAnsi="Times New Roman" w:cs="Times New Roman"/>
        </w:rPr>
        <w:t xml:space="preserve"> it is concluded that ‘any losses this results in will be small compared to savings in emissions’.</w:t>
      </w:r>
      <w:r w:rsidRPr="00812309">
        <w:rPr>
          <w:rStyle w:val="FootnoteReference"/>
          <w:rFonts w:ascii="Times New Roman" w:hAnsi="Times New Roman" w:cs="Times New Roman"/>
        </w:rPr>
        <w:footnoteReference w:id="13"/>
      </w:r>
    </w:p>
    <w:p w:rsidR="00EA0B60" w:rsidRPr="00812309" w:rsidRDefault="00EA0B60" w:rsidP="002E1813">
      <w:pPr>
        <w:jc w:val="both"/>
        <w:rPr>
          <w:rFonts w:ascii="Times New Roman" w:hAnsi="Times New Roman" w:cs="Times New Roman"/>
        </w:rPr>
      </w:pPr>
    </w:p>
    <w:p w:rsidR="00EA0B60" w:rsidRPr="00812309" w:rsidRDefault="00EA0B60" w:rsidP="002E1813">
      <w:pPr>
        <w:jc w:val="both"/>
        <w:rPr>
          <w:rFonts w:ascii="Times New Roman" w:hAnsi="Times New Roman" w:cs="Times New Roman"/>
        </w:rPr>
      </w:pPr>
      <w:r w:rsidRPr="00812309">
        <w:rPr>
          <w:rFonts w:ascii="Times New Roman" w:hAnsi="Times New Roman" w:cs="Times New Roman"/>
        </w:rPr>
        <w:t xml:space="preserve">It is unlikely that the Compliance Committee will investigate the merits of this technical conclusion. It will surely be satisfied that the </w:t>
      </w:r>
      <w:proofErr w:type="spellStart"/>
      <w:r w:rsidRPr="00812309">
        <w:rPr>
          <w:rFonts w:ascii="Times New Roman" w:hAnsi="Times New Roman" w:cs="Times New Roman"/>
        </w:rPr>
        <w:t>renewables</w:t>
      </w:r>
      <w:proofErr w:type="spellEnd"/>
      <w:r w:rsidRPr="00812309">
        <w:rPr>
          <w:rFonts w:ascii="Times New Roman" w:hAnsi="Times New Roman" w:cs="Times New Roman"/>
        </w:rPr>
        <w:t xml:space="preserve"> policy of authorities has, as DEFRA asserts, a prima facie evidential basis such as to discharge the relevant obligations under the </w:t>
      </w:r>
      <w:r w:rsidR="009D3880" w:rsidRPr="00812309">
        <w:rPr>
          <w:rFonts w:ascii="Times New Roman" w:hAnsi="Times New Roman" w:cs="Times New Roman"/>
        </w:rPr>
        <w:t xml:space="preserve">‘information pillar’ of the </w:t>
      </w:r>
      <w:r w:rsidRPr="00812309">
        <w:rPr>
          <w:rFonts w:ascii="Times New Roman" w:hAnsi="Times New Roman" w:cs="Times New Roman"/>
        </w:rPr>
        <w:t>Convention. It can tentatively be specu</w:t>
      </w:r>
      <w:r w:rsidR="00EE28ED">
        <w:rPr>
          <w:rFonts w:ascii="Times New Roman" w:hAnsi="Times New Roman" w:cs="Times New Roman"/>
        </w:rPr>
        <w:t xml:space="preserve">lated that the </w:t>
      </w:r>
      <w:proofErr w:type="spellStart"/>
      <w:r w:rsidR="00EE28ED">
        <w:rPr>
          <w:rFonts w:ascii="Times New Roman" w:hAnsi="Times New Roman" w:cs="Times New Roman"/>
        </w:rPr>
        <w:t>defence</w:t>
      </w:r>
      <w:proofErr w:type="spellEnd"/>
      <w:r w:rsidR="00EE28ED">
        <w:rPr>
          <w:rFonts w:ascii="Times New Roman" w:hAnsi="Times New Roman" w:cs="Times New Roman"/>
        </w:rPr>
        <w:t xml:space="preserve"> is sound and Metcalfe’s complaint will be difficult to uphold.</w:t>
      </w:r>
    </w:p>
    <w:p w:rsidR="00EA0B60" w:rsidRPr="00812309" w:rsidRDefault="00EA0B60" w:rsidP="002E1813">
      <w:pPr>
        <w:jc w:val="both"/>
        <w:rPr>
          <w:rFonts w:ascii="Times New Roman" w:hAnsi="Times New Roman" w:cs="Times New Roman"/>
        </w:rPr>
      </w:pPr>
    </w:p>
    <w:p w:rsidR="00A12483" w:rsidRDefault="002E1813" w:rsidP="002E1813">
      <w:pPr>
        <w:jc w:val="both"/>
        <w:rPr>
          <w:rFonts w:ascii="Times New Roman" w:hAnsi="Times New Roman" w:cs="Times New Roman"/>
        </w:rPr>
      </w:pPr>
      <w:r>
        <w:rPr>
          <w:rFonts w:ascii="Times New Roman" w:hAnsi="Times New Roman" w:cs="Times New Roman"/>
        </w:rPr>
        <w:t>But that</w:t>
      </w:r>
      <w:r w:rsidR="00AB6BE0">
        <w:rPr>
          <w:rFonts w:ascii="Times New Roman" w:hAnsi="Times New Roman" w:cs="Times New Roman"/>
        </w:rPr>
        <w:t xml:space="preserve"> leaves un</w:t>
      </w:r>
      <w:r w:rsidR="009D3880" w:rsidRPr="00812309">
        <w:rPr>
          <w:rFonts w:ascii="Times New Roman" w:hAnsi="Times New Roman" w:cs="Times New Roman"/>
        </w:rPr>
        <w:t xml:space="preserve">resolved </w:t>
      </w:r>
      <w:r w:rsidR="00AB6BE0">
        <w:rPr>
          <w:rFonts w:ascii="Times New Roman" w:hAnsi="Times New Roman" w:cs="Times New Roman"/>
        </w:rPr>
        <w:t>Metcalfe’s</w:t>
      </w:r>
      <w:r>
        <w:rPr>
          <w:rFonts w:ascii="Times New Roman" w:hAnsi="Times New Roman" w:cs="Times New Roman"/>
        </w:rPr>
        <w:t xml:space="preserve"> fundamental </w:t>
      </w:r>
      <w:r w:rsidR="00AB6BE0">
        <w:rPr>
          <w:rFonts w:ascii="Times New Roman" w:hAnsi="Times New Roman" w:cs="Times New Roman"/>
        </w:rPr>
        <w:t xml:space="preserve">planning objections. </w:t>
      </w:r>
      <w:r w:rsidR="00A12483">
        <w:rPr>
          <w:rFonts w:ascii="Times New Roman" w:hAnsi="Times New Roman" w:cs="Times New Roman"/>
        </w:rPr>
        <w:t>Although this</w:t>
      </w:r>
      <w:r w:rsidR="00FE38F5" w:rsidRPr="00812309">
        <w:rPr>
          <w:rFonts w:ascii="Times New Roman" w:hAnsi="Times New Roman" w:cs="Times New Roman"/>
        </w:rPr>
        <w:t xml:space="preserve"> </w:t>
      </w:r>
      <w:r w:rsidR="00AB6BE0">
        <w:rPr>
          <w:rFonts w:ascii="Times New Roman" w:hAnsi="Times New Roman" w:cs="Times New Roman"/>
        </w:rPr>
        <w:t xml:space="preserve">Aarhus complaint </w:t>
      </w:r>
      <w:r w:rsidR="00FE38F5" w:rsidRPr="00812309">
        <w:rPr>
          <w:rFonts w:ascii="Times New Roman" w:hAnsi="Times New Roman" w:cs="Times New Roman"/>
        </w:rPr>
        <w:t>is formulated</w:t>
      </w:r>
      <w:r w:rsidR="009D3880" w:rsidRPr="00812309">
        <w:rPr>
          <w:rFonts w:ascii="Times New Roman" w:hAnsi="Times New Roman" w:cs="Times New Roman"/>
        </w:rPr>
        <w:t xml:space="preserve"> as an attempt to</w:t>
      </w:r>
      <w:r w:rsidR="00FE38F5" w:rsidRPr="00812309">
        <w:rPr>
          <w:rFonts w:ascii="Times New Roman" w:hAnsi="Times New Roman" w:cs="Times New Roman"/>
        </w:rPr>
        <w:t xml:space="preserve"> tackle the aggregate level of greenhou</w:t>
      </w:r>
      <w:r w:rsidR="009D3880" w:rsidRPr="00812309">
        <w:rPr>
          <w:rFonts w:ascii="Times New Roman" w:hAnsi="Times New Roman" w:cs="Times New Roman"/>
        </w:rPr>
        <w:t>se gas emissions</w:t>
      </w:r>
      <w:r>
        <w:rPr>
          <w:rFonts w:ascii="Times New Roman" w:hAnsi="Times New Roman" w:cs="Times New Roman"/>
        </w:rPr>
        <w:t xml:space="preserve"> across </w:t>
      </w:r>
      <w:proofErr w:type="spellStart"/>
      <w:r>
        <w:rPr>
          <w:rFonts w:ascii="Times New Roman" w:hAnsi="Times New Roman" w:cs="Times New Roman"/>
        </w:rPr>
        <w:t>neighbourhood</w:t>
      </w:r>
      <w:proofErr w:type="spellEnd"/>
      <w:r>
        <w:rPr>
          <w:rFonts w:ascii="Times New Roman" w:hAnsi="Times New Roman" w:cs="Times New Roman"/>
        </w:rPr>
        <w:t xml:space="preserve"> boundaries</w:t>
      </w:r>
      <w:r w:rsidR="009D3880" w:rsidRPr="00812309">
        <w:rPr>
          <w:rFonts w:ascii="Times New Roman" w:hAnsi="Times New Roman" w:cs="Times New Roman"/>
        </w:rPr>
        <w:t xml:space="preserve"> (by ensuring that the true scale of carbon emissions from </w:t>
      </w:r>
      <w:proofErr w:type="spellStart"/>
      <w:r w:rsidR="009D3880" w:rsidRPr="00812309">
        <w:rPr>
          <w:rFonts w:ascii="Times New Roman" w:hAnsi="Times New Roman" w:cs="Times New Roman"/>
        </w:rPr>
        <w:t>renewables</w:t>
      </w:r>
      <w:proofErr w:type="spellEnd"/>
      <w:r w:rsidR="00812309">
        <w:rPr>
          <w:rFonts w:ascii="Times New Roman" w:hAnsi="Times New Roman" w:cs="Times New Roman"/>
        </w:rPr>
        <w:t xml:space="preserve"> is</w:t>
      </w:r>
      <w:r w:rsidR="009D3880" w:rsidRPr="00812309">
        <w:rPr>
          <w:rFonts w:ascii="Times New Roman" w:hAnsi="Times New Roman" w:cs="Times New Roman"/>
        </w:rPr>
        <w:t xml:space="preserve"> not hidden)</w:t>
      </w:r>
      <w:r w:rsidR="00FE38F5" w:rsidRPr="00812309">
        <w:rPr>
          <w:rFonts w:ascii="Times New Roman" w:hAnsi="Times New Roman" w:cs="Times New Roman"/>
        </w:rPr>
        <w:t>,</w:t>
      </w:r>
      <w:r w:rsidR="009D3880" w:rsidRPr="00812309">
        <w:rPr>
          <w:rFonts w:ascii="Times New Roman" w:hAnsi="Times New Roman" w:cs="Times New Roman"/>
        </w:rPr>
        <w:t xml:space="preserve"> </w:t>
      </w:r>
      <w:r w:rsidR="00AB6BE0">
        <w:rPr>
          <w:rFonts w:ascii="Times New Roman" w:hAnsi="Times New Roman" w:cs="Times New Roman"/>
        </w:rPr>
        <w:t xml:space="preserve">her deeper concern is with the </w:t>
      </w:r>
      <w:r w:rsidR="00AB6BE0" w:rsidRPr="00AB6BE0">
        <w:rPr>
          <w:rFonts w:ascii="Times New Roman" w:hAnsi="Times New Roman" w:cs="Times New Roman"/>
          <w:i/>
        </w:rPr>
        <w:t>distribution</w:t>
      </w:r>
      <w:r w:rsidR="00AB6BE0">
        <w:rPr>
          <w:rFonts w:ascii="Times New Roman" w:hAnsi="Times New Roman" w:cs="Times New Roman"/>
        </w:rPr>
        <w:t xml:space="preserve"> of the impact of energy policies</w:t>
      </w:r>
      <w:r w:rsidR="00A12483">
        <w:rPr>
          <w:rFonts w:ascii="Times New Roman" w:hAnsi="Times New Roman" w:cs="Times New Roman"/>
        </w:rPr>
        <w:t>.</w:t>
      </w:r>
      <w:r w:rsidR="00AB6BE0">
        <w:rPr>
          <w:rFonts w:ascii="Times New Roman" w:hAnsi="Times New Roman" w:cs="Times New Roman"/>
        </w:rPr>
        <w:t xml:space="preserve"> </w:t>
      </w:r>
      <w:r w:rsidR="00A12483">
        <w:rPr>
          <w:rFonts w:ascii="Times New Roman" w:hAnsi="Times New Roman" w:cs="Times New Roman"/>
        </w:rPr>
        <w:t>It is the town which is energy hungry, yet the country which is expected to pay the environmental price.</w:t>
      </w:r>
    </w:p>
    <w:p w:rsidR="009D3880" w:rsidRPr="00812309" w:rsidRDefault="00A12483" w:rsidP="002E1813">
      <w:pPr>
        <w:jc w:val="both"/>
        <w:rPr>
          <w:rFonts w:ascii="Times New Roman" w:hAnsi="Times New Roman" w:cs="Times New Roman"/>
        </w:rPr>
      </w:pPr>
      <w:r w:rsidRPr="00812309">
        <w:rPr>
          <w:rFonts w:ascii="Times New Roman" w:hAnsi="Times New Roman" w:cs="Times New Roman"/>
        </w:rPr>
        <w:t xml:space="preserve"> </w:t>
      </w:r>
    </w:p>
    <w:p w:rsidR="00AB6BE0" w:rsidRDefault="00AB6BE0" w:rsidP="00AB6BE0">
      <w:pPr>
        <w:jc w:val="both"/>
      </w:pPr>
      <w:r>
        <w:rPr>
          <w:rFonts w:ascii="Times New Roman" w:hAnsi="Times New Roman" w:cs="Times New Roman"/>
        </w:rPr>
        <w:t>Applying</w:t>
      </w:r>
      <w:r w:rsidR="002E1813">
        <w:rPr>
          <w:rFonts w:ascii="Times New Roman" w:hAnsi="Times New Roman" w:cs="Times New Roman"/>
        </w:rPr>
        <w:t xml:space="preserve"> Aesop’s notion of </w:t>
      </w:r>
      <w:r>
        <w:rPr>
          <w:rFonts w:ascii="Times New Roman" w:hAnsi="Times New Roman" w:cs="Times New Roman"/>
        </w:rPr>
        <w:t xml:space="preserve">distributive </w:t>
      </w:r>
      <w:r w:rsidR="002E1813">
        <w:rPr>
          <w:rFonts w:ascii="Times New Roman" w:hAnsi="Times New Roman" w:cs="Times New Roman"/>
        </w:rPr>
        <w:t>justice, there is no reason</w:t>
      </w:r>
      <w:r w:rsidR="00A05A92" w:rsidRPr="00812309">
        <w:rPr>
          <w:rFonts w:ascii="Times New Roman" w:hAnsi="Times New Roman" w:cs="Times New Roman"/>
        </w:rPr>
        <w:t xml:space="preserve"> why </w:t>
      </w:r>
      <w:r w:rsidR="00FE3900" w:rsidRPr="00812309">
        <w:rPr>
          <w:rFonts w:ascii="Times New Roman" w:hAnsi="Times New Roman" w:cs="Times New Roman"/>
        </w:rPr>
        <w:t>it is legitimate for u</w:t>
      </w:r>
      <w:r w:rsidR="00AF0FCD" w:rsidRPr="00812309">
        <w:rPr>
          <w:rFonts w:ascii="Times New Roman" w:hAnsi="Times New Roman" w:cs="Times New Roman"/>
        </w:rPr>
        <w:t>rban populations -</w:t>
      </w:r>
      <w:r w:rsidR="00FE3900" w:rsidRPr="00812309">
        <w:rPr>
          <w:rFonts w:ascii="Times New Roman" w:hAnsi="Times New Roman" w:cs="Times New Roman"/>
        </w:rPr>
        <w:t xml:space="preserve"> which consume energy in g</w:t>
      </w:r>
      <w:r w:rsidR="00AF0FCD" w:rsidRPr="00812309">
        <w:rPr>
          <w:rFonts w:ascii="Times New Roman" w:hAnsi="Times New Roman" w:cs="Times New Roman"/>
        </w:rPr>
        <w:t>reater quantity than rural ones - to impose an excessive burden on rural populations</w:t>
      </w:r>
      <w:r>
        <w:rPr>
          <w:rFonts w:ascii="Times New Roman" w:hAnsi="Times New Roman" w:cs="Times New Roman"/>
        </w:rPr>
        <w:t xml:space="preserve"> through an industrialization of the countryside that is almost all take and little give</w:t>
      </w:r>
      <w:r w:rsidR="00AF0FCD" w:rsidRPr="00812309">
        <w:rPr>
          <w:rFonts w:ascii="Times New Roman" w:hAnsi="Times New Roman" w:cs="Times New Roman"/>
        </w:rPr>
        <w:t>.</w:t>
      </w:r>
      <w:r w:rsidRPr="00AB6BE0">
        <w:t xml:space="preserve"> </w:t>
      </w:r>
      <w:r>
        <w:t xml:space="preserve">A detailed analysis in terms of relevant discrimination law is beyond the scope of this editorial.  However, to the </w:t>
      </w:r>
      <w:r w:rsidR="00A12483">
        <w:t xml:space="preserve">(uncertain) </w:t>
      </w:r>
      <w:r>
        <w:t>extent that there exists a broadly t</w:t>
      </w:r>
      <w:r w:rsidR="00A12483">
        <w:t>imeless rural populace whose identity is</w:t>
      </w:r>
      <w:r>
        <w:t xml:space="preserve"> </w:t>
      </w:r>
      <w:r w:rsidR="00A12483">
        <w:t>fundamentally bound up with</w:t>
      </w:r>
      <w:r>
        <w:t xml:space="preserve"> green and pleasant surroundings, as in the past, then that is</w:t>
      </w:r>
      <w:r w:rsidR="00A12483">
        <w:t xml:space="preserve"> a starting point.</w:t>
      </w:r>
      <w:r>
        <w:t xml:space="preserve"> </w:t>
      </w:r>
      <w:r w:rsidR="00A12483">
        <w:t>Freedom from discrimination in the enjoyment of the right to a home within the parameters of article 14 and 8 of the European Convention on Human Rights could, in principle, be engaged.</w:t>
      </w:r>
    </w:p>
    <w:p w:rsidR="00AB6BE0" w:rsidRDefault="00AB6BE0" w:rsidP="00AB6BE0">
      <w:pPr>
        <w:jc w:val="both"/>
      </w:pPr>
    </w:p>
    <w:p w:rsidR="000E2E30" w:rsidRDefault="00AB6BE0" w:rsidP="00AB6BE0">
      <w:pPr>
        <w:jc w:val="both"/>
        <w:rPr>
          <w:lang w:val="en-GB"/>
        </w:rPr>
      </w:pPr>
      <w:r>
        <w:t>Looked at from that perspective</w:t>
      </w:r>
      <w:r w:rsidR="00A12483">
        <w:t>,</w:t>
      </w:r>
      <w:r>
        <w:t xml:space="preserve"> public opposition is not </w:t>
      </w:r>
      <w:r w:rsidR="00A12483">
        <w:t xml:space="preserve">so </w:t>
      </w:r>
      <w:r>
        <w:t>perverse. On the contrary,</w:t>
      </w:r>
      <w:r w:rsidRPr="00AB6BE0">
        <w:rPr>
          <w:lang w:val="en-GB"/>
        </w:rPr>
        <w:t xml:space="preserve"> </w:t>
      </w:r>
      <w:r w:rsidR="000E2E30">
        <w:rPr>
          <w:lang w:val="en-GB"/>
        </w:rPr>
        <w:t xml:space="preserve">it is illuminating to reflect on the analysis of </w:t>
      </w:r>
      <w:r w:rsidRPr="00812309">
        <w:rPr>
          <w:lang w:val="en-GB"/>
        </w:rPr>
        <w:t>Earl of Morley,</w:t>
      </w:r>
      <w:r>
        <w:rPr>
          <w:lang w:val="en-GB"/>
        </w:rPr>
        <w:t xml:space="preserve"> in</w:t>
      </w:r>
      <w:r w:rsidR="000E2E30">
        <w:rPr>
          <w:lang w:val="en-GB"/>
        </w:rPr>
        <w:t xml:space="preserve"> a debate about the </w:t>
      </w:r>
      <w:proofErr w:type="spellStart"/>
      <w:r w:rsidR="000E2E30">
        <w:rPr>
          <w:lang w:val="en-GB"/>
        </w:rPr>
        <w:t>siting</w:t>
      </w:r>
      <w:proofErr w:type="spellEnd"/>
      <w:r w:rsidR="000E2E30">
        <w:rPr>
          <w:lang w:val="en-GB"/>
        </w:rPr>
        <w:t xml:space="preserve"> of the</w:t>
      </w:r>
      <w:r w:rsidRPr="00812309">
        <w:rPr>
          <w:lang w:val="en-GB"/>
        </w:rPr>
        <w:t xml:space="preserve"> first </w:t>
      </w:r>
      <w:r w:rsidR="000E2E30">
        <w:rPr>
          <w:lang w:val="en-GB"/>
        </w:rPr>
        <w:t xml:space="preserve">wave of </w:t>
      </w:r>
      <w:r w:rsidRPr="00812309">
        <w:rPr>
          <w:lang w:val="en-GB"/>
        </w:rPr>
        <w:t>fossil fuel power stations</w:t>
      </w:r>
      <w:r w:rsidR="000E2E30">
        <w:rPr>
          <w:lang w:val="en-GB"/>
        </w:rPr>
        <w:t xml:space="preserve"> late in the nineteenth century. The</w:t>
      </w:r>
      <w:r w:rsidR="00A12483">
        <w:rPr>
          <w:lang w:val="en-GB"/>
        </w:rPr>
        <w:t>se</w:t>
      </w:r>
      <w:r w:rsidR="000E2E30">
        <w:rPr>
          <w:lang w:val="en-GB"/>
        </w:rPr>
        <w:t xml:space="preserve"> power stations were intended to supply the town with electricity</w:t>
      </w:r>
      <w:r w:rsidR="00A12483">
        <w:rPr>
          <w:lang w:val="en-GB"/>
        </w:rPr>
        <w:t>.</w:t>
      </w:r>
      <w:r w:rsidR="000E2E30">
        <w:rPr>
          <w:lang w:val="en-GB"/>
        </w:rPr>
        <w:t xml:space="preserve"> </w:t>
      </w:r>
      <w:r w:rsidR="00A12483">
        <w:rPr>
          <w:lang w:val="en-GB"/>
        </w:rPr>
        <w:t>T</w:t>
      </w:r>
      <w:r w:rsidR="000E2E30">
        <w:rPr>
          <w:lang w:val="en-GB"/>
        </w:rPr>
        <w:t xml:space="preserve">ownsfolk did not wish to be exposed to acid gas emissions. </w:t>
      </w:r>
      <w:r w:rsidR="00A12483">
        <w:rPr>
          <w:lang w:val="en-GB"/>
        </w:rPr>
        <w:t>In response,</w:t>
      </w:r>
      <w:r w:rsidR="000E2E30">
        <w:rPr>
          <w:lang w:val="en-GB"/>
        </w:rPr>
        <w:t xml:space="preserve"> the industry’s </w:t>
      </w:r>
      <w:r w:rsidR="00A12483">
        <w:rPr>
          <w:lang w:val="en-GB"/>
        </w:rPr>
        <w:t>suggested</w:t>
      </w:r>
      <w:r w:rsidR="000E2E30">
        <w:rPr>
          <w:lang w:val="en-GB"/>
        </w:rPr>
        <w:t xml:space="preserve"> </w:t>
      </w:r>
      <w:proofErr w:type="spellStart"/>
      <w:r w:rsidR="000E2E30">
        <w:rPr>
          <w:lang w:val="en-GB"/>
        </w:rPr>
        <w:t>siting</w:t>
      </w:r>
      <w:proofErr w:type="spellEnd"/>
      <w:r w:rsidR="000E2E30">
        <w:rPr>
          <w:lang w:val="en-GB"/>
        </w:rPr>
        <w:t xml:space="preserve"> power stations remotely, in less populous ru</w:t>
      </w:r>
      <w:r w:rsidR="00A12483">
        <w:rPr>
          <w:lang w:val="en-GB"/>
        </w:rPr>
        <w:t xml:space="preserve">ral areas. </w:t>
      </w:r>
      <w:r w:rsidR="000E2E30">
        <w:rPr>
          <w:lang w:val="en-GB"/>
        </w:rPr>
        <w:t xml:space="preserve"> </w:t>
      </w:r>
      <w:proofErr w:type="spellStart"/>
      <w:r w:rsidR="000E2E30">
        <w:rPr>
          <w:lang w:val="en-GB"/>
        </w:rPr>
        <w:t>Morely</w:t>
      </w:r>
      <w:proofErr w:type="spellEnd"/>
      <w:r w:rsidR="000E2E30">
        <w:rPr>
          <w:lang w:val="en-GB"/>
        </w:rPr>
        <w:t xml:space="preserve"> </w:t>
      </w:r>
      <w:r w:rsidR="004A2E7D">
        <w:rPr>
          <w:lang w:val="en-GB"/>
        </w:rPr>
        <w:t>disagreed, asking</w:t>
      </w:r>
      <w:r w:rsidR="000E2E30">
        <w:rPr>
          <w:lang w:val="en-GB"/>
        </w:rPr>
        <w:t xml:space="preserve">: </w:t>
      </w:r>
      <w:r w:rsidR="000E2E30" w:rsidRPr="00812309">
        <w:rPr>
          <w:lang w:val="en-GB"/>
        </w:rPr>
        <w:t>‘is it quite fair on the outside district to have all of the annoyance of what one may called an electrical factory, without all of the advantages of the supply.’</w:t>
      </w:r>
      <w:r w:rsidR="000E2E30" w:rsidRPr="00812309">
        <w:rPr>
          <w:rStyle w:val="FootnoteReference"/>
          <w:lang w:val="en-GB"/>
        </w:rPr>
        <w:footnoteReference w:id="14"/>
      </w:r>
    </w:p>
    <w:p w:rsidR="000E2E30" w:rsidRDefault="000E2E30" w:rsidP="00AB6BE0">
      <w:pPr>
        <w:jc w:val="both"/>
        <w:rPr>
          <w:lang w:val="en-GB"/>
        </w:rPr>
      </w:pPr>
    </w:p>
    <w:p w:rsidR="004A2E7D" w:rsidRDefault="004A2E7D" w:rsidP="00AB6BE0">
      <w:pPr>
        <w:jc w:val="both"/>
        <w:rPr>
          <w:lang w:val="en-GB"/>
        </w:rPr>
      </w:pPr>
      <w:proofErr w:type="gramStart"/>
      <w:r>
        <w:rPr>
          <w:lang w:val="en-GB"/>
        </w:rPr>
        <w:t>Ben Pontin and Marie-Claire Smith.</w:t>
      </w:r>
      <w:proofErr w:type="gramEnd"/>
    </w:p>
    <w:p w:rsidR="00232FE1" w:rsidRDefault="00232FE1" w:rsidP="002E1813">
      <w:pPr>
        <w:jc w:val="both"/>
      </w:pPr>
    </w:p>
    <w:sectPr w:rsidR="00232FE1" w:rsidSect="0098365B">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80" w:rsidRDefault="002C0080" w:rsidP="009962D5">
      <w:r>
        <w:separator/>
      </w:r>
    </w:p>
  </w:endnote>
  <w:endnote w:type="continuationSeparator" w:id="0">
    <w:p w:rsidR="002C0080" w:rsidRDefault="002C0080" w:rsidP="009962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80" w:rsidRDefault="002C0080" w:rsidP="009962D5">
      <w:r>
        <w:separator/>
      </w:r>
    </w:p>
  </w:footnote>
  <w:footnote w:type="continuationSeparator" w:id="0">
    <w:p w:rsidR="002C0080" w:rsidRDefault="002C0080" w:rsidP="009962D5">
      <w:r>
        <w:continuationSeparator/>
      </w:r>
    </w:p>
  </w:footnote>
  <w:footnote w:id="1">
    <w:p w:rsidR="009E69B7" w:rsidRPr="00D33ACB" w:rsidRDefault="009E69B7">
      <w:pPr>
        <w:pStyle w:val="FootnoteText"/>
        <w:rPr>
          <w:sz w:val="20"/>
          <w:szCs w:val="20"/>
        </w:rPr>
      </w:pPr>
      <w:r w:rsidRPr="00D33ACB">
        <w:rPr>
          <w:rStyle w:val="FootnoteReference"/>
          <w:sz w:val="20"/>
          <w:szCs w:val="20"/>
        </w:rPr>
        <w:footnoteRef/>
      </w:r>
      <w:r w:rsidRPr="00D33ACB">
        <w:rPr>
          <w:sz w:val="20"/>
          <w:szCs w:val="20"/>
        </w:rPr>
        <w:t xml:space="preserve"> </w:t>
      </w:r>
      <w:r w:rsidRPr="00D33ACB">
        <w:rPr>
          <w:i/>
          <w:sz w:val="20"/>
          <w:szCs w:val="20"/>
        </w:rPr>
        <w:t>Aesop’s Fables, a new translation by Linda Gibbs</w:t>
      </w:r>
      <w:r w:rsidRPr="00D33ACB">
        <w:rPr>
          <w:sz w:val="20"/>
          <w:szCs w:val="20"/>
        </w:rPr>
        <w:t xml:space="preserve"> (Oxford University Press, 2002)</w:t>
      </w:r>
    </w:p>
  </w:footnote>
  <w:footnote w:id="2">
    <w:p w:rsidR="00611F07" w:rsidRPr="00611F07" w:rsidRDefault="00611F07">
      <w:pPr>
        <w:pStyle w:val="FootnoteText"/>
        <w:rPr>
          <w:lang w:val="en-GB"/>
        </w:rPr>
      </w:pPr>
      <w:r>
        <w:rPr>
          <w:rStyle w:val="FootnoteReference"/>
        </w:rPr>
        <w:footnoteRef/>
      </w:r>
      <w:r>
        <w:t xml:space="preserve"> </w:t>
      </w:r>
      <w:r w:rsidRPr="00611F07">
        <w:rPr>
          <w:sz w:val="20"/>
          <w:szCs w:val="20"/>
          <w:lang w:val="en-GB"/>
        </w:rPr>
        <w:t xml:space="preserve">Beatrix Potter, </w:t>
      </w:r>
      <w:r w:rsidRPr="00611F07">
        <w:rPr>
          <w:i/>
          <w:sz w:val="20"/>
          <w:szCs w:val="20"/>
          <w:lang w:val="en-GB"/>
        </w:rPr>
        <w:t>Tale of Johnny Town Mouse</w:t>
      </w:r>
      <w:r w:rsidRPr="00611F07">
        <w:rPr>
          <w:sz w:val="20"/>
          <w:szCs w:val="20"/>
          <w:lang w:val="en-GB"/>
        </w:rPr>
        <w:t xml:space="preserve"> (</w:t>
      </w:r>
      <w:r>
        <w:rPr>
          <w:sz w:val="20"/>
          <w:szCs w:val="20"/>
          <w:lang w:val="en-GB"/>
        </w:rPr>
        <w:t xml:space="preserve">Frederick Warne and Co, </w:t>
      </w:r>
      <w:r w:rsidRPr="00611F07">
        <w:rPr>
          <w:sz w:val="20"/>
          <w:szCs w:val="20"/>
          <w:lang w:val="en-GB"/>
        </w:rPr>
        <w:t>1918)</w:t>
      </w:r>
    </w:p>
  </w:footnote>
  <w:footnote w:id="3">
    <w:p w:rsidR="00611F07" w:rsidRPr="00D33ACB" w:rsidRDefault="00611F07" w:rsidP="00611F07">
      <w:pPr>
        <w:pStyle w:val="FootnoteText"/>
        <w:rPr>
          <w:sz w:val="20"/>
          <w:szCs w:val="20"/>
        </w:rPr>
      </w:pPr>
      <w:r w:rsidRPr="00D33ACB">
        <w:rPr>
          <w:rStyle w:val="FootnoteReference"/>
          <w:sz w:val="20"/>
          <w:szCs w:val="20"/>
        </w:rPr>
        <w:footnoteRef/>
      </w:r>
      <w:r w:rsidRPr="00D33ACB">
        <w:rPr>
          <w:sz w:val="20"/>
          <w:szCs w:val="20"/>
        </w:rPr>
        <w:t xml:space="preserve"> </w:t>
      </w:r>
      <w:proofErr w:type="gramStart"/>
      <w:r w:rsidRPr="00C406CB">
        <w:rPr>
          <w:i/>
          <w:sz w:val="20"/>
          <w:szCs w:val="20"/>
        </w:rPr>
        <w:t>Metcalfe v UK and EU</w:t>
      </w:r>
      <w:r>
        <w:rPr>
          <w:sz w:val="20"/>
          <w:szCs w:val="20"/>
        </w:rPr>
        <w:t xml:space="preserve"> (Communication to the Aarhus Convention Compliance Committee) </w:t>
      </w:r>
      <w:r w:rsidRPr="00D33ACB">
        <w:rPr>
          <w:rFonts w:ascii="Cambria" w:hAnsi="Cambria" w:cs="Cambria"/>
          <w:sz w:val="20"/>
          <w:szCs w:val="20"/>
        </w:rPr>
        <w:t xml:space="preserve">CCC/CC/2012/68 </w:t>
      </w:r>
      <w:hyperlink r:id="rId1" w:history="1">
        <w:r w:rsidRPr="00900A69">
          <w:rPr>
            <w:rStyle w:val="Hyperlink"/>
            <w:rFonts w:ascii="Cambria" w:hAnsi="Cambria" w:cs="Cambria"/>
            <w:sz w:val="20"/>
            <w:szCs w:val="20"/>
          </w:rPr>
          <w:t>http://www.unece.org/environmental-policy/treaties/public-participation/aarhus-convention/envpptfwg/envppcc/envpppubcom/european-union-and-united-kingdom-acccc201268.html</w:t>
        </w:r>
      </w:hyperlink>
      <w:r>
        <w:rPr>
          <w:rFonts w:ascii="Cambria" w:hAnsi="Cambria" w:cs="Cambria"/>
          <w:sz w:val="20"/>
          <w:szCs w:val="20"/>
        </w:rPr>
        <w:t>.</w:t>
      </w:r>
      <w:proofErr w:type="gramEnd"/>
      <w:r>
        <w:rPr>
          <w:rFonts w:ascii="Cambria" w:hAnsi="Cambria" w:cs="Cambria"/>
          <w:sz w:val="20"/>
          <w:szCs w:val="20"/>
        </w:rPr>
        <w:t xml:space="preserve"> The complaint was held admissible in March 2012. A decision is expect in March 2013.</w:t>
      </w:r>
    </w:p>
  </w:footnote>
  <w:footnote w:id="4">
    <w:p w:rsidR="00BE0A19" w:rsidRPr="00BE0A19" w:rsidRDefault="00BE0A19">
      <w:pPr>
        <w:pStyle w:val="FootnoteText"/>
        <w:rPr>
          <w:lang w:val="en-GB"/>
        </w:rPr>
      </w:pPr>
      <w:r>
        <w:rPr>
          <w:rStyle w:val="FootnoteReference"/>
        </w:rPr>
        <w:footnoteRef/>
      </w:r>
      <w:r>
        <w:t xml:space="preserve"> </w:t>
      </w:r>
      <w:r w:rsidR="0057703C">
        <w:rPr>
          <w:sz w:val="20"/>
          <w:szCs w:val="20"/>
        </w:rPr>
        <w:t xml:space="preserve">See </w:t>
      </w:r>
      <w:r w:rsidRPr="00D33ACB">
        <w:rPr>
          <w:sz w:val="20"/>
          <w:szCs w:val="20"/>
        </w:rPr>
        <w:t xml:space="preserve">Vogel, </w:t>
      </w:r>
      <w:r w:rsidRPr="006D42F1">
        <w:rPr>
          <w:i/>
          <w:sz w:val="20"/>
          <w:szCs w:val="20"/>
        </w:rPr>
        <w:t xml:space="preserve">National Styles of </w:t>
      </w:r>
      <w:proofErr w:type="gramStart"/>
      <w:r w:rsidRPr="006D42F1">
        <w:rPr>
          <w:i/>
          <w:sz w:val="20"/>
          <w:szCs w:val="20"/>
        </w:rPr>
        <w:t>Regulation</w:t>
      </w:r>
      <w:r>
        <w:rPr>
          <w:sz w:val="20"/>
          <w:szCs w:val="20"/>
        </w:rPr>
        <w:t>(</w:t>
      </w:r>
      <w:proofErr w:type="gramEnd"/>
      <w:r>
        <w:rPr>
          <w:sz w:val="20"/>
          <w:szCs w:val="20"/>
        </w:rPr>
        <w:t>Ithaca, 1986), 33 (‘The British upper and upper middle classes came to regard…preserving undeveloped land…from commercial exploitation [as] a way for the nation to preserve not simply a vital part of its heritage but its moral and social character’).</w:t>
      </w:r>
    </w:p>
  </w:footnote>
  <w:footnote w:id="5">
    <w:p w:rsidR="009E69B7" w:rsidRPr="00D33ACB" w:rsidRDefault="009E69B7">
      <w:pPr>
        <w:pStyle w:val="FootnoteText"/>
        <w:rPr>
          <w:sz w:val="20"/>
          <w:szCs w:val="20"/>
        </w:rPr>
      </w:pPr>
      <w:r w:rsidRPr="00D33ACB">
        <w:rPr>
          <w:rStyle w:val="FootnoteReference"/>
          <w:sz w:val="20"/>
          <w:szCs w:val="20"/>
        </w:rPr>
        <w:footnoteRef/>
      </w:r>
      <w:r w:rsidRPr="00D33ACB">
        <w:rPr>
          <w:sz w:val="20"/>
          <w:szCs w:val="20"/>
        </w:rPr>
        <w:t xml:space="preserve"> </w:t>
      </w:r>
      <w:r w:rsidR="00C4794C" w:rsidRPr="00D33ACB">
        <w:rPr>
          <w:sz w:val="20"/>
          <w:szCs w:val="20"/>
        </w:rPr>
        <w:t xml:space="preserve">M </w:t>
      </w:r>
      <w:r w:rsidRPr="00D33ACB">
        <w:rPr>
          <w:sz w:val="20"/>
          <w:szCs w:val="20"/>
        </w:rPr>
        <w:t>Wiener,</w:t>
      </w:r>
      <w:r w:rsidR="00C4794C" w:rsidRPr="00D33ACB">
        <w:rPr>
          <w:sz w:val="20"/>
          <w:szCs w:val="20"/>
        </w:rPr>
        <w:t xml:space="preserve"> </w:t>
      </w:r>
      <w:r w:rsidR="00C4794C" w:rsidRPr="00D33ACB">
        <w:rPr>
          <w:i/>
          <w:sz w:val="20"/>
          <w:szCs w:val="20"/>
        </w:rPr>
        <w:t>English Culture and the Decline of the Industrial Spirit</w:t>
      </w:r>
      <w:r w:rsidR="00C4794C" w:rsidRPr="00D33ACB">
        <w:rPr>
          <w:sz w:val="20"/>
          <w:szCs w:val="20"/>
        </w:rPr>
        <w:t xml:space="preserve"> (Cambridge University Press, 1981),</w:t>
      </w:r>
      <w:r w:rsidRPr="00D33ACB">
        <w:rPr>
          <w:sz w:val="20"/>
          <w:szCs w:val="20"/>
        </w:rPr>
        <w:t xml:space="preserve"> 6</w:t>
      </w:r>
    </w:p>
  </w:footnote>
  <w:footnote w:id="6">
    <w:p w:rsidR="00C406CB" w:rsidRPr="00D33ACB" w:rsidRDefault="00C406CB" w:rsidP="00C406CB">
      <w:pPr>
        <w:pStyle w:val="FootnoteText"/>
        <w:rPr>
          <w:sz w:val="20"/>
          <w:szCs w:val="20"/>
        </w:rPr>
      </w:pPr>
      <w:r w:rsidRPr="00D33ACB">
        <w:rPr>
          <w:rStyle w:val="FootnoteReference"/>
          <w:sz w:val="20"/>
          <w:szCs w:val="20"/>
        </w:rPr>
        <w:footnoteRef/>
      </w:r>
      <w:r w:rsidRPr="00D33ACB">
        <w:rPr>
          <w:sz w:val="20"/>
          <w:szCs w:val="20"/>
        </w:rPr>
        <w:t xml:space="preserve"> </w:t>
      </w:r>
      <w:proofErr w:type="gramStart"/>
      <w:r w:rsidRPr="00D33ACB">
        <w:rPr>
          <w:sz w:val="20"/>
          <w:szCs w:val="20"/>
        </w:rPr>
        <w:t>Wiener, n 2, 49.</w:t>
      </w:r>
      <w:proofErr w:type="gramEnd"/>
      <w:r w:rsidRPr="00D33ACB">
        <w:rPr>
          <w:sz w:val="20"/>
          <w:szCs w:val="20"/>
        </w:rPr>
        <w:t xml:space="preserve">  He comments that the countryside elsewhere was ‘tainted by barbarism or idiocy’, which is a reference in particular to nineteenth century Germany and France. </w:t>
      </w:r>
    </w:p>
  </w:footnote>
  <w:footnote w:id="7">
    <w:p w:rsidR="003A2418" w:rsidRPr="00D33ACB" w:rsidRDefault="003A2418">
      <w:pPr>
        <w:pStyle w:val="FootnoteText"/>
        <w:rPr>
          <w:sz w:val="20"/>
          <w:szCs w:val="20"/>
          <w:lang w:val="en-GB"/>
        </w:rPr>
      </w:pPr>
      <w:r w:rsidRPr="00D33ACB">
        <w:rPr>
          <w:rStyle w:val="FootnoteReference"/>
          <w:sz w:val="20"/>
          <w:szCs w:val="20"/>
        </w:rPr>
        <w:footnoteRef/>
      </w:r>
      <w:r w:rsidRPr="00D33ACB">
        <w:rPr>
          <w:sz w:val="20"/>
          <w:szCs w:val="20"/>
        </w:rPr>
        <w:t xml:space="preserve"> B </w:t>
      </w:r>
      <w:r w:rsidRPr="00D33ACB">
        <w:rPr>
          <w:sz w:val="20"/>
          <w:szCs w:val="20"/>
          <w:lang w:val="en-GB"/>
        </w:rPr>
        <w:t xml:space="preserve">Pontin, ‘Nuisance Law and the Industrial Revolution: A Reinterpretation of Doctrine and Institutional Competence’ (2012) </w:t>
      </w:r>
      <w:r w:rsidR="00C568E4">
        <w:rPr>
          <w:sz w:val="20"/>
          <w:szCs w:val="20"/>
          <w:lang w:val="en-GB"/>
        </w:rPr>
        <w:t xml:space="preserve">75 </w:t>
      </w:r>
      <w:r w:rsidRPr="00D33ACB">
        <w:rPr>
          <w:sz w:val="20"/>
          <w:szCs w:val="20"/>
          <w:lang w:val="en-GB"/>
        </w:rPr>
        <w:t xml:space="preserve">Modern Law Review </w:t>
      </w:r>
      <w:r w:rsidR="00C568E4">
        <w:rPr>
          <w:sz w:val="20"/>
          <w:szCs w:val="20"/>
          <w:lang w:val="en-GB"/>
        </w:rPr>
        <w:t>1010</w:t>
      </w:r>
    </w:p>
  </w:footnote>
  <w:footnote w:id="8">
    <w:p w:rsidR="000358D0" w:rsidRPr="000358D0" w:rsidRDefault="000358D0">
      <w:pPr>
        <w:pStyle w:val="FootnoteText"/>
        <w:rPr>
          <w:sz w:val="20"/>
          <w:szCs w:val="20"/>
          <w:lang w:val="en-GB"/>
        </w:rPr>
      </w:pPr>
      <w:r w:rsidRPr="000358D0">
        <w:rPr>
          <w:rStyle w:val="FootnoteReference"/>
          <w:sz w:val="20"/>
          <w:szCs w:val="20"/>
        </w:rPr>
        <w:footnoteRef/>
      </w:r>
      <w:r w:rsidRPr="000358D0">
        <w:rPr>
          <w:sz w:val="20"/>
          <w:szCs w:val="20"/>
        </w:rPr>
        <w:t xml:space="preserve"> </w:t>
      </w:r>
      <w:proofErr w:type="gramStart"/>
      <w:r>
        <w:rPr>
          <w:sz w:val="20"/>
          <w:szCs w:val="20"/>
        </w:rPr>
        <w:t xml:space="preserve">The Guardian, 5 February 2013 (see </w:t>
      </w:r>
      <w:hyperlink r:id="rId2" w:history="1">
        <w:r w:rsidRPr="00900A69">
          <w:rPr>
            <w:rStyle w:val="Hyperlink"/>
            <w:sz w:val="20"/>
            <w:szCs w:val="20"/>
          </w:rPr>
          <w:t>http://www.monbiot.com/2013/02/04/out-of-steam/</w:t>
        </w:r>
      </w:hyperlink>
      <w:r>
        <w:rPr>
          <w:sz w:val="20"/>
          <w:szCs w:val="20"/>
        </w:rPr>
        <w:t>).</w:t>
      </w:r>
      <w:proofErr w:type="gramEnd"/>
    </w:p>
  </w:footnote>
  <w:footnote w:id="9">
    <w:p w:rsidR="00AD187B" w:rsidRPr="00D33ACB" w:rsidRDefault="00AD187B" w:rsidP="00AD187B">
      <w:pPr>
        <w:pStyle w:val="FootnoteText"/>
        <w:rPr>
          <w:sz w:val="20"/>
          <w:szCs w:val="20"/>
          <w:lang w:val="en-GB"/>
        </w:rPr>
      </w:pPr>
      <w:r w:rsidRPr="00D33ACB">
        <w:rPr>
          <w:rStyle w:val="FootnoteReference"/>
          <w:sz w:val="20"/>
          <w:szCs w:val="20"/>
        </w:rPr>
        <w:footnoteRef/>
      </w:r>
      <w:r w:rsidRPr="00D33ACB">
        <w:rPr>
          <w:sz w:val="20"/>
          <w:szCs w:val="20"/>
        </w:rPr>
        <w:t xml:space="preserve"> http://forargyll.com/2012/12/argyll-community-council-takes-windfarm-complaint-to-un-in-geneva/</w:t>
      </w:r>
    </w:p>
  </w:footnote>
  <w:footnote w:id="10">
    <w:p w:rsidR="00611F07" w:rsidRPr="00611F07" w:rsidRDefault="00611F07">
      <w:pPr>
        <w:pStyle w:val="FootnoteText"/>
        <w:rPr>
          <w:lang w:val="en-GB"/>
        </w:rPr>
      </w:pPr>
      <w:r>
        <w:rPr>
          <w:rStyle w:val="FootnoteReference"/>
        </w:rPr>
        <w:footnoteRef/>
      </w:r>
      <w:r>
        <w:t xml:space="preserve"> </w:t>
      </w:r>
      <w:proofErr w:type="gramStart"/>
      <w:r>
        <w:rPr>
          <w:lang w:val="en-GB"/>
        </w:rPr>
        <w:t>n</w:t>
      </w:r>
      <w:proofErr w:type="gramEnd"/>
      <w:r>
        <w:rPr>
          <w:lang w:val="en-GB"/>
        </w:rPr>
        <w:t xml:space="preserve"> 1.</w:t>
      </w:r>
    </w:p>
  </w:footnote>
  <w:footnote w:id="11">
    <w:p w:rsidR="00EA0B60" w:rsidRPr="00D33ACB" w:rsidRDefault="00EA0B60" w:rsidP="00EA0B60">
      <w:pPr>
        <w:pStyle w:val="FootnoteText"/>
        <w:rPr>
          <w:sz w:val="20"/>
          <w:szCs w:val="20"/>
        </w:rPr>
      </w:pPr>
      <w:r w:rsidRPr="00D33ACB">
        <w:rPr>
          <w:rStyle w:val="FootnoteReference"/>
          <w:sz w:val="20"/>
          <w:szCs w:val="20"/>
        </w:rPr>
        <w:footnoteRef/>
      </w:r>
      <w:r w:rsidRPr="00D33ACB">
        <w:rPr>
          <w:sz w:val="20"/>
          <w:szCs w:val="20"/>
        </w:rPr>
        <w:t xml:space="preserve"> DEFRA letter to the Compl</w:t>
      </w:r>
      <w:r>
        <w:rPr>
          <w:sz w:val="20"/>
          <w:szCs w:val="20"/>
        </w:rPr>
        <w:t xml:space="preserve">iance Committee, 8 October 2012 [emphasis added] </w:t>
      </w:r>
      <w:r w:rsidRPr="00D33ACB">
        <w:rPr>
          <w:sz w:val="20"/>
          <w:szCs w:val="20"/>
        </w:rPr>
        <w:t>(http://www.unece.org/fileadmin/DAM/env/pp/compliance/C2012-68/Communication_with_Party/frUKC68_Response_08102012/frUKC68_Response_08102012.pdf).</w:t>
      </w:r>
    </w:p>
  </w:footnote>
  <w:footnote w:id="12">
    <w:p w:rsidR="00EA0B60" w:rsidRPr="00D33ACB" w:rsidRDefault="00EA0B60" w:rsidP="00EA0B60">
      <w:pPr>
        <w:pStyle w:val="FootnoteText"/>
        <w:rPr>
          <w:sz w:val="20"/>
          <w:szCs w:val="20"/>
        </w:rPr>
      </w:pPr>
      <w:r w:rsidRPr="00D33ACB">
        <w:rPr>
          <w:rStyle w:val="FootnoteReference"/>
          <w:sz w:val="20"/>
          <w:szCs w:val="20"/>
        </w:rPr>
        <w:footnoteRef/>
      </w:r>
      <w:r w:rsidRPr="00D33ACB">
        <w:rPr>
          <w:sz w:val="20"/>
          <w:szCs w:val="20"/>
        </w:rPr>
        <w:t xml:space="preserve">The UKERC is a multi-university collaboration, </w:t>
      </w:r>
      <w:r>
        <w:rPr>
          <w:sz w:val="20"/>
          <w:szCs w:val="20"/>
        </w:rPr>
        <w:t xml:space="preserve">the on-going review of which is at </w:t>
      </w:r>
      <w:r w:rsidRPr="00D33ACB">
        <w:rPr>
          <w:sz w:val="20"/>
          <w:szCs w:val="20"/>
        </w:rPr>
        <w:t>http://www.ukerc.ac.uk/support/tikiindex.php?page=0604INtermittencyrelease</w:t>
      </w:r>
    </w:p>
  </w:footnote>
  <w:footnote w:id="13">
    <w:p w:rsidR="00EA0B60" w:rsidRPr="00D33ACB" w:rsidRDefault="00EA0B60" w:rsidP="00EA0B60">
      <w:pPr>
        <w:pStyle w:val="FootnoteText"/>
        <w:rPr>
          <w:sz w:val="20"/>
          <w:szCs w:val="20"/>
          <w:lang w:val="en-GB"/>
        </w:rPr>
      </w:pPr>
      <w:r w:rsidRPr="00D33ACB">
        <w:rPr>
          <w:rStyle w:val="FootnoteReference"/>
          <w:sz w:val="20"/>
          <w:szCs w:val="20"/>
        </w:rPr>
        <w:footnoteRef/>
      </w:r>
      <w:r w:rsidRPr="00D33ACB">
        <w:rPr>
          <w:sz w:val="20"/>
          <w:szCs w:val="20"/>
        </w:rPr>
        <w:t xml:space="preserve"> </w:t>
      </w:r>
      <w:r w:rsidRPr="00D33ACB">
        <w:rPr>
          <w:sz w:val="20"/>
          <w:szCs w:val="20"/>
          <w:lang w:val="en-GB"/>
        </w:rPr>
        <w:t>Ibid.</w:t>
      </w:r>
    </w:p>
  </w:footnote>
  <w:footnote w:id="14">
    <w:p w:rsidR="000E2E30" w:rsidRPr="00AF0FCD" w:rsidRDefault="000E2E30" w:rsidP="000E2E30">
      <w:pPr>
        <w:pStyle w:val="FootnoteText"/>
        <w:rPr>
          <w:lang w:val="en-GB"/>
        </w:rPr>
      </w:pPr>
      <w:r>
        <w:rPr>
          <w:rStyle w:val="FootnoteReference"/>
        </w:rPr>
        <w:footnoteRef/>
      </w:r>
      <w:r w:rsidRPr="00A12483">
        <w:rPr>
          <w:b/>
        </w:rPr>
        <w:t xml:space="preserve"> </w:t>
      </w:r>
      <w:r w:rsidR="00A12483" w:rsidRPr="00A12483">
        <w:rPr>
          <w:rStyle w:val="Strong"/>
          <w:rFonts w:ascii="Times New Roman" w:hAnsi="Times New Roman" w:cs="Times New Roman"/>
          <w:b w:val="0"/>
          <w:color w:val="000000"/>
          <w:sz w:val="20"/>
          <w:szCs w:val="20"/>
        </w:rPr>
        <w:t>Report from the Joint Select Committee of the House of Lords and the House of Commons, on electrical energy (generating sta</w:t>
      </w:r>
      <w:r w:rsidR="00A12483">
        <w:rPr>
          <w:rStyle w:val="Strong"/>
          <w:rFonts w:ascii="Times New Roman" w:hAnsi="Times New Roman" w:cs="Times New Roman"/>
          <w:b w:val="0"/>
          <w:color w:val="000000"/>
          <w:sz w:val="20"/>
          <w:szCs w:val="20"/>
        </w:rPr>
        <w:t xml:space="preserve">tions and supply (1898) (PP IX), </w:t>
      </w:r>
      <w:r w:rsidRPr="00A12483">
        <w:rPr>
          <w:lang w:val="en-GB"/>
        </w:rPr>
        <w:t>Q 203.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B664F5"/>
    <w:rsid w:val="000358D0"/>
    <w:rsid w:val="000B2002"/>
    <w:rsid w:val="000B3108"/>
    <w:rsid w:val="000C08AF"/>
    <w:rsid w:val="000E2E30"/>
    <w:rsid w:val="00142337"/>
    <w:rsid w:val="0019553F"/>
    <w:rsid w:val="001D305D"/>
    <w:rsid w:val="001E6DE6"/>
    <w:rsid w:val="00216614"/>
    <w:rsid w:val="00232FE1"/>
    <w:rsid w:val="002567D7"/>
    <w:rsid w:val="0027419D"/>
    <w:rsid w:val="00282E95"/>
    <w:rsid w:val="002C0080"/>
    <w:rsid w:val="002E1813"/>
    <w:rsid w:val="003A2418"/>
    <w:rsid w:val="00457C68"/>
    <w:rsid w:val="00460F63"/>
    <w:rsid w:val="00470495"/>
    <w:rsid w:val="004A2E7D"/>
    <w:rsid w:val="004B62AA"/>
    <w:rsid w:val="004D4DAF"/>
    <w:rsid w:val="0052799B"/>
    <w:rsid w:val="00533333"/>
    <w:rsid w:val="0057703C"/>
    <w:rsid w:val="006027D7"/>
    <w:rsid w:val="00611F07"/>
    <w:rsid w:val="00655E9A"/>
    <w:rsid w:val="00670E16"/>
    <w:rsid w:val="00680A6F"/>
    <w:rsid w:val="006A00B1"/>
    <w:rsid w:val="006A5411"/>
    <w:rsid w:val="006C49C5"/>
    <w:rsid w:val="006D42F1"/>
    <w:rsid w:val="006F286B"/>
    <w:rsid w:val="007247C1"/>
    <w:rsid w:val="007721A8"/>
    <w:rsid w:val="007E0F92"/>
    <w:rsid w:val="00803276"/>
    <w:rsid w:val="00812309"/>
    <w:rsid w:val="0084385A"/>
    <w:rsid w:val="008A3C6B"/>
    <w:rsid w:val="008B2A2D"/>
    <w:rsid w:val="008B3F7E"/>
    <w:rsid w:val="008B5D86"/>
    <w:rsid w:val="008E6744"/>
    <w:rsid w:val="00914BE6"/>
    <w:rsid w:val="00923E78"/>
    <w:rsid w:val="00952C67"/>
    <w:rsid w:val="009600CB"/>
    <w:rsid w:val="009606CF"/>
    <w:rsid w:val="009638CF"/>
    <w:rsid w:val="0098365B"/>
    <w:rsid w:val="009962D5"/>
    <w:rsid w:val="009D3880"/>
    <w:rsid w:val="009E69B7"/>
    <w:rsid w:val="009F033C"/>
    <w:rsid w:val="00A05A92"/>
    <w:rsid w:val="00A10C11"/>
    <w:rsid w:val="00A12483"/>
    <w:rsid w:val="00A42E1A"/>
    <w:rsid w:val="00AB6BE0"/>
    <w:rsid w:val="00AD187B"/>
    <w:rsid w:val="00AD5F9F"/>
    <w:rsid w:val="00AE5D6E"/>
    <w:rsid w:val="00AF0FCD"/>
    <w:rsid w:val="00B03928"/>
    <w:rsid w:val="00B24F58"/>
    <w:rsid w:val="00B664F5"/>
    <w:rsid w:val="00BA4EBA"/>
    <w:rsid w:val="00BA6C9D"/>
    <w:rsid w:val="00BB3B64"/>
    <w:rsid w:val="00BE0A19"/>
    <w:rsid w:val="00C406CB"/>
    <w:rsid w:val="00C40F64"/>
    <w:rsid w:val="00C4794C"/>
    <w:rsid w:val="00C568E4"/>
    <w:rsid w:val="00C71747"/>
    <w:rsid w:val="00C93476"/>
    <w:rsid w:val="00C97023"/>
    <w:rsid w:val="00CA4432"/>
    <w:rsid w:val="00CA7DBA"/>
    <w:rsid w:val="00D33ACB"/>
    <w:rsid w:val="00D36A3A"/>
    <w:rsid w:val="00D457BC"/>
    <w:rsid w:val="00DE7C29"/>
    <w:rsid w:val="00E13A5B"/>
    <w:rsid w:val="00E4281A"/>
    <w:rsid w:val="00E525FD"/>
    <w:rsid w:val="00E75CE1"/>
    <w:rsid w:val="00E775B7"/>
    <w:rsid w:val="00EA0B60"/>
    <w:rsid w:val="00EB2432"/>
    <w:rsid w:val="00EC7435"/>
    <w:rsid w:val="00EE28ED"/>
    <w:rsid w:val="00EF0430"/>
    <w:rsid w:val="00F00E57"/>
    <w:rsid w:val="00F151A9"/>
    <w:rsid w:val="00FB51D2"/>
    <w:rsid w:val="00FE38F5"/>
    <w:rsid w:val="00FE3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62D5"/>
  </w:style>
  <w:style w:type="character" w:customStyle="1" w:styleId="FootnoteTextChar">
    <w:name w:val="Footnote Text Char"/>
    <w:basedOn w:val="DefaultParagraphFont"/>
    <w:link w:val="FootnoteText"/>
    <w:uiPriority w:val="99"/>
    <w:rsid w:val="009962D5"/>
  </w:style>
  <w:style w:type="character" w:styleId="FootnoteReference">
    <w:name w:val="footnote reference"/>
    <w:basedOn w:val="DefaultParagraphFont"/>
    <w:uiPriority w:val="99"/>
    <w:unhideWhenUsed/>
    <w:rsid w:val="009962D5"/>
    <w:rPr>
      <w:vertAlign w:val="superscript"/>
    </w:rPr>
  </w:style>
  <w:style w:type="paragraph" w:styleId="BalloonText">
    <w:name w:val="Balloon Text"/>
    <w:basedOn w:val="Normal"/>
    <w:link w:val="BalloonTextChar"/>
    <w:uiPriority w:val="99"/>
    <w:semiHidden/>
    <w:unhideWhenUsed/>
    <w:rsid w:val="000C08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8AF"/>
    <w:rPr>
      <w:rFonts w:ascii="Lucida Grande" w:hAnsi="Lucida Grande" w:cs="Lucida Grande"/>
      <w:sz w:val="18"/>
      <w:szCs w:val="18"/>
    </w:rPr>
  </w:style>
  <w:style w:type="character" w:styleId="Hyperlink">
    <w:name w:val="Hyperlink"/>
    <w:basedOn w:val="DefaultParagraphFont"/>
    <w:uiPriority w:val="99"/>
    <w:unhideWhenUsed/>
    <w:rsid w:val="00611F07"/>
    <w:rPr>
      <w:color w:val="0000FF" w:themeColor="hyperlink"/>
      <w:u w:val="single"/>
    </w:rPr>
  </w:style>
  <w:style w:type="character" w:styleId="Strong">
    <w:name w:val="Strong"/>
    <w:basedOn w:val="DefaultParagraphFont"/>
    <w:uiPriority w:val="22"/>
    <w:qFormat/>
    <w:rsid w:val="00A124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62D5"/>
  </w:style>
  <w:style w:type="character" w:customStyle="1" w:styleId="FootnoteTextChar">
    <w:name w:val="Footnote Text Char"/>
    <w:basedOn w:val="DefaultParagraphFont"/>
    <w:link w:val="FootnoteText"/>
    <w:uiPriority w:val="99"/>
    <w:rsid w:val="009962D5"/>
  </w:style>
  <w:style w:type="character" w:styleId="FootnoteReference">
    <w:name w:val="footnote reference"/>
    <w:basedOn w:val="DefaultParagraphFont"/>
    <w:uiPriority w:val="99"/>
    <w:unhideWhenUsed/>
    <w:rsid w:val="009962D5"/>
    <w:rPr>
      <w:vertAlign w:val="superscript"/>
    </w:rPr>
  </w:style>
  <w:style w:type="paragraph" w:styleId="BalloonText">
    <w:name w:val="Balloon Text"/>
    <w:basedOn w:val="Normal"/>
    <w:link w:val="BalloonTextChar"/>
    <w:uiPriority w:val="99"/>
    <w:semiHidden/>
    <w:unhideWhenUsed/>
    <w:rsid w:val="000C08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8A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monbiot.com/2013/02/04/out-of-steam/" TargetMode="External"/><Relationship Id="rId1" Type="http://schemas.openxmlformats.org/officeDocument/2006/relationships/hyperlink" Target="http://www.unece.org/environmental-policy/treaties/public-participation/aarhus-convention/envpptfwg/envppcc/envpppubcom/european-union-and-united-kingdom-acccc2012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C3C3-A263-4F17-90CD-1A98229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Pontin</dc:creator>
  <cp:lastModifiedBy>Benjamin Pontin</cp:lastModifiedBy>
  <cp:revision>6</cp:revision>
  <cp:lastPrinted>2013-02-06T09:58:00Z</cp:lastPrinted>
  <dcterms:created xsi:type="dcterms:W3CDTF">2013-02-05T12:38:00Z</dcterms:created>
  <dcterms:modified xsi:type="dcterms:W3CDTF">2013-02-06T11:00:00Z</dcterms:modified>
</cp:coreProperties>
</file>