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6642" w14:textId="77777777" w:rsidR="00F9309B" w:rsidRPr="00F9309B" w:rsidRDefault="00F9309B" w:rsidP="00F9309B">
      <w:pPr>
        <w:pStyle w:val="ParaAttribute1"/>
        <w:spacing w:line="480" w:lineRule="auto"/>
        <w:rPr>
          <w:sz w:val="24"/>
          <w:szCs w:val="24"/>
          <w:u w:val="single"/>
        </w:rPr>
      </w:pPr>
      <w:r w:rsidRPr="00F9309B">
        <w:rPr>
          <w:rStyle w:val="CharAttribute0"/>
          <w:rFonts w:eastAsia="Batang"/>
          <w:szCs w:val="24"/>
          <w:u w:val="single"/>
        </w:rPr>
        <w:t>Abstract</w:t>
      </w:r>
    </w:p>
    <w:p w14:paraId="6176AB4C" w14:textId="46E41545" w:rsidR="00F9309B" w:rsidRPr="00F9309B" w:rsidRDefault="00F9309B" w:rsidP="00F9309B">
      <w:pPr>
        <w:pStyle w:val="ParaAttribute1"/>
        <w:spacing w:line="480" w:lineRule="auto"/>
        <w:rPr>
          <w:sz w:val="24"/>
          <w:szCs w:val="24"/>
        </w:rPr>
      </w:pPr>
      <w:r w:rsidRPr="00F9309B">
        <w:rPr>
          <w:rStyle w:val="CharAttribute4"/>
          <w:rFonts w:eastAsia="Batang"/>
          <w:szCs w:val="24"/>
        </w:rPr>
        <w:t xml:space="preserve">The financial crisis has attracted comment from a wide variety of academics; Niall Ferguson is one such example, a historian commenting on a legal issue. Ferguson called for the jailing of bankers in his Reith lecturers for Radio 4 in 2012; such a measure will find support with many commentators and would fit within a deterrence based approach to regulating the financial system. This paper seeks to compare the deterrence based and compliance based approaches, assessing their application in the UK and the US. The approaches are defined based on research by Aires and Braithwaite, as well as </w:t>
      </w:r>
      <w:proofErr w:type="spellStart"/>
      <w:r w:rsidRPr="00F9309B">
        <w:rPr>
          <w:rStyle w:val="CharAttribute4"/>
          <w:rFonts w:eastAsia="Batang"/>
          <w:szCs w:val="24"/>
        </w:rPr>
        <w:t>Dalvinder</w:t>
      </w:r>
      <w:proofErr w:type="spellEnd"/>
      <w:r w:rsidRPr="00F9309B">
        <w:rPr>
          <w:rStyle w:val="CharAttribute4"/>
          <w:rFonts w:eastAsia="Batang"/>
          <w:szCs w:val="24"/>
        </w:rPr>
        <w:t xml:space="preserve"> Singh; both approaches are considered in turn and </w:t>
      </w:r>
      <w:r w:rsidRPr="00F9309B">
        <w:rPr>
          <w:rStyle w:val="CharAttribute6"/>
          <w:rFonts w:eastAsia="Batang"/>
          <w:szCs w:val="24"/>
        </w:rPr>
        <w:t xml:space="preserve">a combination of the two approaches can then be identified within the UK and US. </w:t>
      </w:r>
      <w:r w:rsidRPr="00F9309B">
        <w:rPr>
          <w:rStyle w:val="CharAttribute7"/>
          <w:rFonts w:eastAsia="Batang"/>
          <w:szCs w:val="24"/>
        </w:rPr>
        <w:t>Recent examples of enforcement are used to demonstrate the approaches in practice, identifying both the advantages and disadvantages. On assessment the paper concludes that no one approach should be adopted, both should be implemented in moderation in order to gain the most advantage from each. It will also be argued that the enforcement measures in place are unfulfilling and that a wider range of sanctions should be sought.</w:t>
      </w:r>
    </w:p>
    <w:p w14:paraId="3710CD69" w14:textId="1AA50AB7" w:rsidR="00F9309B" w:rsidRPr="00F9309B" w:rsidRDefault="00F9309B" w:rsidP="00F9309B">
      <w:pPr>
        <w:pStyle w:val="NoSpacing"/>
        <w:rPr>
          <w:rStyle w:val="CharAttribute1"/>
          <w:rFonts w:eastAsia="Batang"/>
          <w:szCs w:val="24"/>
          <w:u w:val="single"/>
        </w:rPr>
      </w:pPr>
      <w:r w:rsidRPr="00F9309B">
        <w:rPr>
          <w:rStyle w:val="CharAttribute1"/>
          <w:rFonts w:eastAsia="Batang"/>
          <w:szCs w:val="24"/>
          <w:u w:val="single"/>
        </w:rPr>
        <w:t>Introduction</w:t>
      </w:r>
    </w:p>
    <w:p w14:paraId="61472F12" w14:textId="4D37838A" w:rsidR="00566C9C" w:rsidRDefault="00F9309B" w:rsidP="00F9309B">
      <w:pPr>
        <w:pStyle w:val="NoSpacing"/>
        <w:rPr>
          <w:rStyle w:val="CharAttribute1"/>
          <w:rFonts w:eastAsia="Batang"/>
          <w:szCs w:val="24"/>
        </w:rPr>
      </w:pPr>
      <w:r>
        <w:rPr>
          <w:rStyle w:val="CharAttribute1"/>
          <w:rFonts w:eastAsia="Batang"/>
          <w:szCs w:val="24"/>
        </w:rPr>
        <w:t xml:space="preserve"> </w:t>
      </w:r>
      <w:r w:rsidR="00B15407">
        <w:rPr>
          <w:rStyle w:val="CharAttribute1"/>
          <w:rFonts w:eastAsia="Batang"/>
          <w:szCs w:val="24"/>
        </w:rPr>
        <w:t>“A complex financial world will be made less fragile only by simplicity of regulation and strength of enforcement.”</w:t>
      </w:r>
      <w:r w:rsidR="00B15407">
        <w:rPr>
          <w:rStyle w:val="CharAttribute3"/>
          <w:rFonts w:eastAsia="Batang"/>
        </w:rPr>
        <w:footnoteReference w:id="1"/>
      </w:r>
      <w:r w:rsidR="00B15407">
        <w:rPr>
          <w:rStyle w:val="CharAttribute1"/>
          <w:rFonts w:eastAsia="Batang"/>
          <w:szCs w:val="24"/>
        </w:rPr>
        <w:t xml:space="preserve"> </w:t>
      </w:r>
      <w:r w:rsidR="00D45853">
        <w:rPr>
          <w:rStyle w:val="CharAttribute1"/>
          <w:rFonts w:eastAsia="Batang"/>
          <w:szCs w:val="24"/>
        </w:rPr>
        <w:t xml:space="preserve">These are the words of Niall Ferguson, from one of the Reith Lectures he gave for BBC Radio 4 in 2012. </w:t>
      </w:r>
      <w:r w:rsidR="00E96C34">
        <w:rPr>
          <w:rStyle w:val="CharAttribute1"/>
          <w:rFonts w:eastAsia="Batang"/>
          <w:szCs w:val="24"/>
        </w:rPr>
        <w:t xml:space="preserve">The political nature of banking regulation and its impact on the economy draws out the opinions of many public figures from a wide range of specialties. A </w:t>
      </w:r>
      <w:r w:rsidR="006F72F7">
        <w:rPr>
          <w:rStyle w:val="CharAttribute1"/>
          <w:rFonts w:eastAsia="Batang"/>
          <w:szCs w:val="24"/>
        </w:rPr>
        <w:t xml:space="preserve">journalist and </w:t>
      </w:r>
      <w:r w:rsidR="00C25639">
        <w:rPr>
          <w:rStyle w:val="CharAttribute1"/>
          <w:rFonts w:eastAsia="Batang"/>
          <w:szCs w:val="24"/>
        </w:rPr>
        <w:t xml:space="preserve">a </w:t>
      </w:r>
      <w:r w:rsidR="006F72F7">
        <w:rPr>
          <w:rStyle w:val="CharAttribute1"/>
          <w:rFonts w:eastAsia="Batang"/>
          <w:szCs w:val="24"/>
        </w:rPr>
        <w:t>historian, Ferguson is not a principle source of legal authority, but he does make a persuasive argument, delivered in a concise and reasoned manner.</w:t>
      </w:r>
      <w:r w:rsidR="00E96C34">
        <w:rPr>
          <w:rStyle w:val="CharAttribute1"/>
          <w:rFonts w:eastAsia="Batang"/>
          <w:szCs w:val="24"/>
        </w:rPr>
        <w:t xml:space="preserve"> </w:t>
      </w:r>
    </w:p>
    <w:p w14:paraId="29830ADC" w14:textId="77777777" w:rsidR="00566C9C" w:rsidRDefault="00566C9C" w:rsidP="00F9309B">
      <w:pPr>
        <w:pStyle w:val="NoSpacing"/>
        <w:rPr>
          <w:rStyle w:val="CharAttribute1"/>
          <w:rFonts w:eastAsia="Batang"/>
          <w:szCs w:val="24"/>
        </w:rPr>
      </w:pPr>
    </w:p>
    <w:p w14:paraId="7FEBCA15" w14:textId="02E5A860" w:rsidR="00B15407" w:rsidRPr="006F72F7" w:rsidRDefault="00B15407" w:rsidP="00F9309B">
      <w:pPr>
        <w:pStyle w:val="NoSpacing"/>
        <w:rPr>
          <w:rFonts w:eastAsia="Batang"/>
          <w:szCs w:val="24"/>
        </w:rPr>
      </w:pPr>
      <w:r>
        <w:rPr>
          <w:rStyle w:val="CharAttribute1"/>
          <w:rFonts w:eastAsia="Batang"/>
          <w:szCs w:val="24"/>
        </w:rPr>
        <w:t>On the face of it, it is hard to disagree with Niall Ferguson’s statement; it is illogical to insist on over complexity and a weak enforcement strategy. Ferguson advocates the use of prison sentences and argues this prospect should be a “clear and present danger in the minds of today’s bankers”</w:t>
      </w:r>
      <w:r>
        <w:rPr>
          <w:rStyle w:val="CharAttribute3"/>
          <w:rFonts w:eastAsia="Batang"/>
        </w:rPr>
        <w:footnoteReference w:id="2"/>
      </w:r>
      <w:r>
        <w:rPr>
          <w:rStyle w:val="CharAttribute1"/>
          <w:rFonts w:eastAsia="Batang"/>
          <w:szCs w:val="24"/>
        </w:rPr>
        <w:t xml:space="preserve"> as a consequence of transgressions. This type of regulation would fall into the ‘deterre</w:t>
      </w:r>
      <w:r w:rsidR="00B2031E">
        <w:rPr>
          <w:rStyle w:val="CharAttribute1"/>
          <w:rFonts w:eastAsia="Batang"/>
          <w:szCs w:val="24"/>
        </w:rPr>
        <w:t>nce’ model under the split identified by Reiss</w:t>
      </w:r>
      <w:r>
        <w:rPr>
          <w:rStyle w:val="CharAttribute1"/>
          <w:rFonts w:eastAsia="Batang"/>
          <w:szCs w:val="24"/>
        </w:rPr>
        <w:t>.</w:t>
      </w:r>
      <w:r>
        <w:rPr>
          <w:rStyle w:val="CharAttribute3"/>
          <w:rFonts w:eastAsia="Batang"/>
        </w:rPr>
        <w:footnoteReference w:id="3"/>
      </w:r>
      <w:r>
        <w:rPr>
          <w:rStyle w:val="CharAttribute1"/>
          <w:rFonts w:eastAsia="Batang"/>
          <w:szCs w:val="24"/>
        </w:rPr>
        <w:t xml:space="preserve"> </w:t>
      </w:r>
    </w:p>
    <w:p w14:paraId="13B47E51" w14:textId="77777777" w:rsidR="00B15407" w:rsidRDefault="00B15407" w:rsidP="009956B9">
      <w:pPr>
        <w:pStyle w:val="NoSpacing"/>
      </w:pPr>
    </w:p>
    <w:p w14:paraId="0E5EB87A" w14:textId="77777777" w:rsidR="001336AA" w:rsidRDefault="00B15407" w:rsidP="009956B9">
      <w:pPr>
        <w:pStyle w:val="NoSpacing"/>
        <w:rPr>
          <w:rStyle w:val="CharAttribute5"/>
          <w:rFonts w:eastAsia="Batang"/>
          <w:szCs w:val="24"/>
        </w:rPr>
      </w:pPr>
      <w:r>
        <w:rPr>
          <w:rStyle w:val="CharAttribute4"/>
          <w:rFonts w:eastAsia="Batang"/>
          <w:szCs w:val="24"/>
        </w:rPr>
        <w:t>In order to assess the effec</w:t>
      </w:r>
      <w:r w:rsidR="00B2031E">
        <w:rPr>
          <w:rStyle w:val="CharAttribute4"/>
          <w:rFonts w:eastAsia="Batang"/>
          <w:szCs w:val="24"/>
        </w:rPr>
        <w:t xml:space="preserve">tiveness of regulation, the two </w:t>
      </w:r>
      <w:r>
        <w:rPr>
          <w:rStyle w:val="CharAttribute4"/>
          <w:rFonts w:eastAsia="Batang"/>
          <w:szCs w:val="24"/>
        </w:rPr>
        <w:t>b</w:t>
      </w:r>
      <w:r w:rsidR="00B2031E">
        <w:rPr>
          <w:rStyle w:val="CharAttribute4"/>
          <w:rFonts w:eastAsia="Batang"/>
          <w:szCs w:val="24"/>
        </w:rPr>
        <w:t>roa</w:t>
      </w:r>
      <w:r>
        <w:rPr>
          <w:rStyle w:val="CharAttribute4"/>
          <w:rFonts w:eastAsia="Batang"/>
          <w:szCs w:val="24"/>
        </w:rPr>
        <w:t>d models and their implications must be discussed.</w:t>
      </w:r>
      <w:r w:rsidR="007621D4">
        <w:rPr>
          <w:rStyle w:val="CharAttribute4"/>
          <w:rFonts w:eastAsia="Batang"/>
          <w:szCs w:val="24"/>
        </w:rPr>
        <w:t xml:space="preserve"> The specific issue of adverse publicity will be </w:t>
      </w:r>
      <w:r w:rsidR="00CD6093">
        <w:rPr>
          <w:rStyle w:val="CharAttribute4"/>
          <w:rFonts w:eastAsia="Batang"/>
          <w:szCs w:val="24"/>
        </w:rPr>
        <w:t>explored;</w:t>
      </w:r>
      <w:r w:rsidR="007621D4">
        <w:rPr>
          <w:rStyle w:val="CharAttribute4"/>
          <w:rFonts w:eastAsia="Batang"/>
          <w:szCs w:val="24"/>
        </w:rPr>
        <w:t xml:space="preserve"> this is pertinent to financial regulation because of its effect on confidence.</w:t>
      </w:r>
      <w:r>
        <w:rPr>
          <w:rStyle w:val="CharAttribute4"/>
          <w:rFonts w:eastAsia="Batang"/>
          <w:szCs w:val="24"/>
        </w:rPr>
        <w:t xml:space="preserve"> From this discussion the </w:t>
      </w:r>
      <w:r w:rsidRPr="001336AA">
        <w:rPr>
          <w:rStyle w:val="CharAttribute4"/>
          <w:rFonts w:eastAsia="Batang"/>
          <w:szCs w:val="24"/>
        </w:rPr>
        <w:t xml:space="preserve">strategy in the UK can be identified and compared to that of the US and </w:t>
      </w:r>
      <w:r w:rsidR="00A54B48" w:rsidRPr="001336AA">
        <w:rPr>
          <w:rStyle w:val="CharAttribute4"/>
          <w:rFonts w:eastAsia="Batang"/>
          <w:szCs w:val="24"/>
        </w:rPr>
        <w:t>international initiatives</w:t>
      </w:r>
      <w:r w:rsidR="001336AA">
        <w:rPr>
          <w:rStyle w:val="CharAttribute4"/>
          <w:rFonts w:eastAsia="Batang"/>
          <w:szCs w:val="24"/>
        </w:rPr>
        <w:t xml:space="preserve">. Using </w:t>
      </w:r>
      <w:r w:rsidR="002767FB">
        <w:rPr>
          <w:rStyle w:val="CharAttribute4"/>
          <w:rFonts w:eastAsia="Batang"/>
          <w:szCs w:val="24"/>
        </w:rPr>
        <w:t>these</w:t>
      </w:r>
      <w:r w:rsidR="001336AA">
        <w:rPr>
          <w:rStyle w:val="CharAttribute4"/>
          <w:rFonts w:eastAsia="Batang"/>
          <w:szCs w:val="24"/>
        </w:rPr>
        <w:t xml:space="preserve"> comparisons and the relev</w:t>
      </w:r>
      <w:r w:rsidR="00B2031E">
        <w:rPr>
          <w:rStyle w:val="CharAttribute4"/>
          <w:rFonts w:eastAsia="Batang"/>
          <w:szCs w:val="24"/>
        </w:rPr>
        <w:t>ant theory behind the approaches</w:t>
      </w:r>
      <w:r w:rsidR="001336AA">
        <w:rPr>
          <w:rStyle w:val="CharAttribute4"/>
          <w:rFonts w:eastAsia="Batang"/>
          <w:szCs w:val="24"/>
        </w:rPr>
        <w:t xml:space="preserve"> it will be argued</w:t>
      </w:r>
      <w:r w:rsidR="00B2031E">
        <w:rPr>
          <w:rStyle w:val="CharAttribute4"/>
          <w:rFonts w:eastAsia="Batang"/>
          <w:szCs w:val="24"/>
        </w:rPr>
        <w:t xml:space="preserve"> a balance of the two approaches</w:t>
      </w:r>
      <w:r w:rsidR="001336AA">
        <w:rPr>
          <w:rStyle w:val="CharAttribute4"/>
          <w:rFonts w:eastAsia="Batang"/>
          <w:szCs w:val="24"/>
        </w:rPr>
        <w:t xml:space="preserve"> is required to create the optimum regulatory environment.</w:t>
      </w:r>
    </w:p>
    <w:p w14:paraId="62D7EBFF" w14:textId="77777777" w:rsidR="002E49AD" w:rsidRDefault="001336AA" w:rsidP="009956B9">
      <w:pPr>
        <w:pStyle w:val="NoSpacing"/>
        <w:rPr>
          <w:u w:val="single"/>
        </w:rPr>
      </w:pPr>
      <w:r>
        <w:rPr>
          <w:u w:val="single"/>
        </w:rPr>
        <w:t xml:space="preserve"> </w:t>
      </w:r>
    </w:p>
    <w:p w14:paraId="10858103" w14:textId="77777777" w:rsidR="007621D4" w:rsidRPr="007621D4" w:rsidRDefault="007621D4" w:rsidP="009956B9">
      <w:pPr>
        <w:pStyle w:val="NoSpacing"/>
        <w:rPr>
          <w:u w:val="single"/>
        </w:rPr>
      </w:pPr>
      <w:r>
        <w:rPr>
          <w:u w:val="single"/>
        </w:rPr>
        <w:t>Models of Regulation</w:t>
      </w:r>
    </w:p>
    <w:p w14:paraId="6CB30EBA" w14:textId="77777777" w:rsidR="00B15407" w:rsidRDefault="00B15407" w:rsidP="009956B9">
      <w:pPr>
        <w:pStyle w:val="NoSpacing"/>
      </w:pPr>
      <w:r>
        <w:rPr>
          <w:rStyle w:val="CharAttribute4"/>
          <w:rFonts w:eastAsia="Batang"/>
          <w:szCs w:val="24"/>
        </w:rPr>
        <w:t>Scholz identifies the two distinctive enforcement strategies, firstly the ‘deterrence-based’ or “</w:t>
      </w:r>
      <w:r>
        <w:rPr>
          <w:rStyle w:val="CharAttribute37"/>
          <w:rFonts w:eastAsia="Batang"/>
          <w:szCs w:val="24"/>
        </w:rPr>
        <w:t>rule orientated strategy</w:t>
      </w:r>
      <w:r>
        <w:rPr>
          <w:rStyle w:val="CharAttribute4"/>
          <w:rFonts w:eastAsia="Batang"/>
          <w:szCs w:val="24"/>
        </w:rPr>
        <w:t xml:space="preserve"> [seeking] </w:t>
      </w:r>
      <w:r>
        <w:rPr>
          <w:rStyle w:val="CharAttribute37"/>
          <w:rFonts w:eastAsia="Batang"/>
          <w:szCs w:val="24"/>
        </w:rPr>
        <w:t>compliance through the maximal detection and sanctioning of violations of legal rule</w:t>
      </w:r>
      <w:r>
        <w:rPr>
          <w:rStyle w:val="CharAttribute4"/>
          <w:rFonts w:eastAsia="Batang"/>
          <w:szCs w:val="24"/>
        </w:rPr>
        <w:t>.”</w:t>
      </w:r>
      <w:r>
        <w:rPr>
          <w:rStyle w:val="CharAttribute3"/>
          <w:rFonts w:eastAsia="Batang"/>
        </w:rPr>
        <w:footnoteReference w:id="4"/>
      </w:r>
      <w:r w:rsidR="00432C8F">
        <w:rPr>
          <w:rStyle w:val="CharAttribute4"/>
          <w:rFonts w:eastAsia="Batang"/>
          <w:szCs w:val="24"/>
        </w:rPr>
        <w:t xml:space="preserve"> Secondly the ‘compliance-</w:t>
      </w:r>
      <w:r>
        <w:rPr>
          <w:rStyle w:val="CharAttribute4"/>
          <w:rFonts w:eastAsia="Batang"/>
          <w:szCs w:val="24"/>
        </w:rPr>
        <w:t>based’ or “</w:t>
      </w:r>
      <w:r>
        <w:rPr>
          <w:rStyle w:val="CharAttribute37"/>
          <w:rFonts w:eastAsia="Batang"/>
          <w:szCs w:val="24"/>
        </w:rPr>
        <w:t>cooperative strategy</w:t>
      </w:r>
      <w:r>
        <w:rPr>
          <w:rStyle w:val="CharAttribute4"/>
          <w:rFonts w:eastAsia="Batang"/>
          <w:szCs w:val="24"/>
        </w:rPr>
        <w:t xml:space="preserve"> [which] </w:t>
      </w:r>
      <w:r>
        <w:rPr>
          <w:rStyle w:val="CharAttribute37"/>
          <w:rFonts w:eastAsia="Batang"/>
          <w:szCs w:val="24"/>
        </w:rPr>
        <w:t>emphasizes flexible or selective enforcement that takes into consideration the particular circumstances of an observed violation</w:t>
      </w:r>
      <w:r>
        <w:rPr>
          <w:rStyle w:val="CharAttribute4"/>
          <w:rFonts w:eastAsia="Batang"/>
          <w:szCs w:val="24"/>
        </w:rPr>
        <w:t>.”</w:t>
      </w:r>
      <w:r>
        <w:rPr>
          <w:rStyle w:val="CharAttribute3"/>
          <w:rFonts w:eastAsia="Batang"/>
        </w:rPr>
        <w:footnoteReference w:id="5"/>
      </w:r>
      <w:r>
        <w:rPr>
          <w:rStyle w:val="CharAttribute4"/>
          <w:rFonts w:eastAsia="Batang"/>
          <w:szCs w:val="24"/>
        </w:rPr>
        <w:t xml:space="preserve"> In deciding upon a strategy to employ, the mentality of the regulated must be considered. Ayres and Braithwaite consider Justice Holmes adoption of the deterrence model, </w:t>
      </w:r>
      <w:r>
        <w:rPr>
          <w:rStyle w:val="CharAttribute6"/>
          <w:rFonts w:eastAsia="Batang"/>
          <w:szCs w:val="24"/>
        </w:rPr>
        <w:t xml:space="preserve">Holmes argued the law should be tailored </w:t>
      </w:r>
      <w:r>
        <w:rPr>
          <w:rStyle w:val="CharAttribute6"/>
          <w:rFonts w:eastAsia="Batang"/>
          <w:szCs w:val="24"/>
        </w:rPr>
        <w:lastRenderedPageBreak/>
        <w:t xml:space="preserve">towards </w:t>
      </w:r>
      <w:r>
        <w:rPr>
          <w:rStyle w:val="CharAttribute0"/>
          <w:rFonts w:eastAsia="Batang"/>
          <w:szCs w:val="24"/>
        </w:rPr>
        <w:t>'</w:t>
      </w:r>
      <w:r>
        <w:rPr>
          <w:rStyle w:val="CharAttribute6"/>
          <w:rFonts w:eastAsia="Batang"/>
          <w:szCs w:val="24"/>
        </w:rPr>
        <w:t>bad men</w:t>
      </w:r>
      <w:r>
        <w:rPr>
          <w:rStyle w:val="CharAttribute0"/>
          <w:rFonts w:eastAsia="Batang"/>
          <w:szCs w:val="24"/>
        </w:rPr>
        <w:t>'</w:t>
      </w:r>
      <w:r>
        <w:rPr>
          <w:rStyle w:val="CharAttribute6"/>
          <w:rFonts w:eastAsia="Batang"/>
          <w:szCs w:val="24"/>
        </w:rPr>
        <w:t xml:space="preserve"> as they would try to evade it, </w:t>
      </w:r>
      <w:r>
        <w:rPr>
          <w:rStyle w:val="CharAttribute0"/>
          <w:rFonts w:eastAsia="Batang"/>
          <w:szCs w:val="24"/>
        </w:rPr>
        <w:t>'</w:t>
      </w:r>
      <w:r>
        <w:rPr>
          <w:rStyle w:val="CharAttribute6"/>
          <w:rFonts w:eastAsia="Batang"/>
          <w:szCs w:val="24"/>
        </w:rPr>
        <w:t>good men</w:t>
      </w:r>
      <w:r>
        <w:rPr>
          <w:rStyle w:val="CharAttribute0"/>
          <w:rFonts w:eastAsia="Batang"/>
          <w:szCs w:val="24"/>
        </w:rPr>
        <w:t>'</w:t>
      </w:r>
      <w:r>
        <w:rPr>
          <w:rStyle w:val="CharAttribute6"/>
          <w:rFonts w:eastAsia="Batang"/>
          <w:szCs w:val="24"/>
        </w:rPr>
        <w:t xml:space="preserve"> need not be considered as they will still conform.</w:t>
      </w:r>
      <w:r>
        <w:rPr>
          <w:rStyle w:val="CharAttribute3"/>
          <w:rFonts w:eastAsia="Batang"/>
        </w:rPr>
        <w:footnoteReference w:id="6"/>
      </w:r>
      <w:r>
        <w:rPr>
          <w:rStyle w:val="CharAttribute6"/>
          <w:rFonts w:eastAsia="Batang"/>
          <w:szCs w:val="24"/>
        </w:rPr>
        <w:t xml:space="preserve"> </w:t>
      </w:r>
      <w:r>
        <w:rPr>
          <w:rStyle w:val="CharAttribute7"/>
          <w:rFonts w:eastAsia="Batang"/>
          <w:szCs w:val="24"/>
        </w:rPr>
        <w:t>Singh identifies the deterrence method as the appropriate approach to what Kagan and Scholz describe as the ‘amoral calculator’</w:t>
      </w:r>
      <w:r>
        <w:rPr>
          <w:rStyle w:val="CharAttribute3"/>
          <w:rFonts w:eastAsia="Batang"/>
        </w:rPr>
        <w:footnoteReference w:id="7"/>
      </w:r>
      <w:r>
        <w:rPr>
          <w:rStyle w:val="CharAttribute7"/>
          <w:rFonts w:eastAsia="Batang"/>
          <w:szCs w:val="24"/>
        </w:rPr>
        <w:t xml:space="preserve">, only interested in profits, these people will weight up the possible benefits against the likelihood </w:t>
      </w:r>
      <w:r w:rsidR="00B2031E">
        <w:rPr>
          <w:rStyle w:val="CharAttribute7"/>
          <w:rFonts w:eastAsia="Batang"/>
          <w:szCs w:val="24"/>
        </w:rPr>
        <w:t>of getting caught. In pursuing a deterrence-</w:t>
      </w:r>
      <w:r>
        <w:rPr>
          <w:rStyle w:val="CharAttribute7"/>
          <w:rFonts w:eastAsia="Batang"/>
          <w:szCs w:val="24"/>
        </w:rPr>
        <w:t>based approach the regulator will hope to make the probability</w:t>
      </w:r>
      <w:r w:rsidR="00B2031E">
        <w:rPr>
          <w:rStyle w:val="CharAttribute7"/>
          <w:rFonts w:eastAsia="Batang"/>
          <w:szCs w:val="24"/>
        </w:rPr>
        <w:t xml:space="preserve"> of detection,</w:t>
      </w:r>
      <w:r>
        <w:rPr>
          <w:rStyle w:val="CharAttribute7"/>
          <w:rFonts w:eastAsia="Batang"/>
          <w:szCs w:val="24"/>
        </w:rPr>
        <w:t xml:space="preserve"> and resultant consequence too high a risk to take. Ferguson’s proposal would </w:t>
      </w:r>
      <w:r w:rsidR="00B2031E">
        <w:rPr>
          <w:rStyle w:val="CharAttribute7"/>
          <w:rFonts w:eastAsia="Batang"/>
          <w:szCs w:val="24"/>
        </w:rPr>
        <w:t>be an example of the deterrence-</w:t>
      </w:r>
      <w:r>
        <w:rPr>
          <w:rStyle w:val="CharAttribute7"/>
          <w:rFonts w:eastAsia="Batang"/>
          <w:szCs w:val="24"/>
        </w:rPr>
        <w:t>based approach; he advocates exempla</w:t>
      </w:r>
      <w:r w:rsidR="00B2031E">
        <w:rPr>
          <w:rStyle w:val="CharAttribute7"/>
          <w:rFonts w:eastAsia="Batang"/>
          <w:szCs w:val="24"/>
        </w:rPr>
        <w:t>ry punishments to instil fear in</w:t>
      </w:r>
      <w:r>
        <w:rPr>
          <w:rStyle w:val="CharAttribute7"/>
          <w:rFonts w:eastAsia="Batang"/>
          <w:szCs w:val="24"/>
        </w:rPr>
        <w:t xml:space="preserve"> others. He identifies “greedy people”</w:t>
      </w:r>
      <w:r>
        <w:rPr>
          <w:rStyle w:val="CharAttribute3"/>
          <w:rFonts w:eastAsia="Batang"/>
        </w:rPr>
        <w:footnoteReference w:id="8"/>
      </w:r>
      <w:r w:rsidR="00B2031E">
        <w:rPr>
          <w:rStyle w:val="CharAttribute7"/>
          <w:rFonts w:eastAsia="Batang"/>
          <w:szCs w:val="24"/>
        </w:rPr>
        <w:t>, who</w:t>
      </w:r>
      <w:r>
        <w:rPr>
          <w:rStyle w:val="CharAttribute7"/>
          <w:rFonts w:eastAsia="Batang"/>
          <w:szCs w:val="24"/>
        </w:rPr>
        <w:t xml:space="preserve"> can be likened to the </w:t>
      </w:r>
      <w:r w:rsidR="00B2031E">
        <w:rPr>
          <w:rStyle w:val="CharAttribute7"/>
          <w:rFonts w:eastAsia="Batang"/>
          <w:szCs w:val="24"/>
        </w:rPr>
        <w:t>‘amoral calculator’ in that they</w:t>
      </w:r>
      <w:r>
        <w:rPr>
          <w:rStyle w:val="CharAttribute7"/>
          <w:rFonts w:eastAsia="Batang"/>
          <w:szCs w:val="24"/>
        </w:rPr>
        <w:t xml:space="preserve"> will offend if it is “unlikely to be noticed or severely punished.”</w:t>
      </w:r>
      <w:r>
        <w:rPr>
          <w:rStyle w:val="CharAttribute3"/>
          <w:rFonts w:eastAsia="Batang"/>
        </w:rPr>
        <w:footnoteReference w:id="9"/>
      </w:r>
      <w:r>
        <w:rPr>
          <w:rStyle w:val="CharAttribute7"/>
          <w:rFonts w:eastAsia="Batang"/>
          <w:szCs w:val="24"/>
        </w:rPr>
        <w:t xml:space="preserve"> Through high profile maximum</w:t>
      </w:r>
      <w:r w:rsidR="00B2031E">
        <w:rPr>
          <w:rStyle w:val="CharAttribute7"/>
          <w:rFonts w:eastAsia="Batang"/>
          <w:szCs w:val="24"/>
        </w:rPr>
        <w:t xml:space="preserve"> punishments the regulated are encouraged to </w:t>
      </w:r>
      <w:r>
        <w:rPr>
          <w:rStyle w:val="CharAttribute7"/>
          <w:rFonts w:eastAsia="Batang"/>
          <w:szCs w:val="24"/>
        </w:rPr>
        <w:t>exercise “individual prudence”</w:t>
      </w:r>
      <w:r>
        <w:rPr>
          <w:rStyle w:val="CharAttribute3"/>
          <w:rFonts w:eastAsia="Batang"/>
        </w:rPr>
        <w:footnoteReference w:id="10"/>
      </w:r>
    </w:p>
    <w:p w14:paraId="2C48F014" w14:textId="77777777" w:rsidR="00B15407" w:rsidRDefault="00B15407" w:rsidP="009956B9">
      <w:pPr>
        <w:pStyle w:val="NoSpacing"/>
      </w:pPr>
      <w:r>
        <w:rPr>
          <w:rStyle w:val="CharAttribute7"/>
          <w:rFonts w:eastAsia="Batang"/>
          <w:szCs w:val="24"/>
        </w:rPr>
        <w:t>Drawbacks to the deterrence</w:t>
      </w:r>
      <w:r w:rsidR="00B2031E">
        <w:rPr>
          <w:rStyle w:val="CharAttribute7"/>
          <w:rFonts w:eastAsia="Batang"/>
          <w:szCs w:val="24"/>
        </w:rPr>
        <w:t>-</w:t>
      </w:r>
      <w:r>
        <w:rPr>
          <w:rStyle w:val="CharAttribute7"/>
          <w:rFonts w:eastAsia="Batang"/>
          <w:szCs w:val="24"/>
        </w:rPr>
        <w:t>based approach have been identified; Lansky observes that if punishment rather than dialogue is pursued, the regulated will resent and resist the regulator, arguing this as “basic to human psychology.”</w:t>
      </w:r>
      <w:r>
        <w:rPr>
          <w:rStyle w:val="CharAttribute3"/>
          <w:rFonts w:eastAsia="Batang"/>
        </w:rPr>
        <w:footnoteReference w:id="11"/>
      </w:r>
      <w:r>
        <w:rPr>
          <w:rStyle w:val="CharAttribute7"/>
          <w:rFonts w:eastAsia="Batang"/>
          <w:szCs w:val="24"/>
        </w:rPr>
        <w:t xml:space="preserve"> </w:t>
      </w:r>
      <w:r>
        <w:rPr>
          <w:rStyle w:val="CharAttribute8"/>
          <w:rFonts w:eastAsia="Batang"/>
          <w:szCs w:val="24"/>
        </w:rPr>
        <w:t>Ayres and Braithwaite argue this creates a regulatory game of cat-and-mouse.</w:t>
      </w:r>
      <w:r>
        <w:rPr>
          <w:rStyle w:val="CharAttribute3"/>
          <w:rFonts w:eastAsia="Batang"/>
        </w:rPr>
        <w:footnoteReference w:id="12"/>
      </w:r>
      <w:r>
        <w:rPr>
          <w:rStyle w:val="CharAttribute8"/>
          <w:rFonts w:eastAsia="Batang"/>
          <w:szCs w:val="24"/>
        </w:rPr>
        <w:t xml:space="preserve"> </w:t>
      </w:r>
      <w:r>
        <w:rPr>
          <w:rStyle w:val="CharAttribute9"/>
          <w:rFonts w:eastAsia="Batang"/>
          <w:szCs w:val="24"/>
        </w:rPr>
        <w:t>Additionally, pursing punishments is expensive; resources must be used on investigation and litigation. This can remove resources from monitoring the regulated, “[a]</w:t>
      </w:r>
      <w:r>
        <w:rPr>
          <w:rStyle w:val="CharAttribute0"/>
          <w:rFonts w:eastAsia="Batang"/>
          <w:szCs w:val="24"/>
        </w:rPr>
        <w:t xml:space="preserve"> </w:t>
      </w:r>
      <w:r>
        <w:rPr>
          <w:rStyle w:val="CharAttribute37"/>
          <w:rFonts w:eastAsia="Batang"/>
          <w:szCs w:val="24"/>
        </w:rPr>
        <w:t>highly punitive mining inspectorate will spend more time in court than in mines</w:t>
      </w:r>
      <w:r>
        <w:rPr>
          <w:rStyle w:val="CharAttribute9"/>
          <w:rFonts w:eastAsia="Batang"/>
          <w:szCs w:val="24"/>
        </w:rPr>
        <w:t>.”</w:t>
      </w:r>
      <w:r>
        <w:rPr>
          <w:rStyle w:val="CharAttribute3"/>
          <w:rFonts w:eastAsia="Batang"/>
        </w:rPr>
        <w:footnoteReference w:id="13"/>
      </w:r>
    </w:p>
    <w:p w14:paraId="052F0882" w14:textId="77777777" w:rsidR="00B15407" w:rsidRDefault="00B15407" w:rsidP="009956B9">
      <w:pPr>
        <w:pStyle w:val="NoSpacing"/>
      </w:pPr>
    </w:p>
    <w:p w14:paraId="78662383" w14:textId="77777777" w:rsidR="00B15407" w:rsidRDefault="00B15407" w:rsidP="009956B9">
      <w:pPr>
        <w:pStyle w:val="NoSpacing"/>
      </w:pPr>
      <w:r>
        <w:rPr>
          <w:rStyle w:val="CharAttribute9"/>
          <w:rFonts w:eastAsia="Batang"/>
          <w:szCs w:val="24"/>
        </w:rPr>
        <w:lastRenderedPageBreak/>
        <w:t xml:space="preserve">The </w:t>
      </w:r>
      <w:r w:rsidR="00B2031E">
        <w:rPr>
          <w:rStyle w:val="CharAttribute9"/>
          <w:rFonts w:eastAsia="Batang"/>
          <w:szCs w:val="24"/>
        </w:rPr>
        <w:t>compliance-</w:t>
      </w:r>
      <w:r>
        <w:rPr>
          <w:rStyle w:val="CharAttribute9"/>
          <w:rFonts w:eastAsia="Batang"/>
          <w:szCs w:val="24"/>
        </w:rPr>
        <w:t>based approach centres on open dialogue between the regulator and the regulated; Singh describes it as a “</w:t>
      </w:r>
      <w:r>
        <w:rPr>
          <w:rStyle w:val="CharAttribute37"/>
          <w:rFonts w:eastAsia="Batang"/>
          <w:szCs w:val="24"/>
        </w:rPr>
        <w:t>two-way process</w:t>
      </w:r>
      <w:r>
        <w:rPr>
          <w:rStyle w:val="CharAttribute9"/>
          <w:rFonts w:eastAsia="Batang"/>
          <w:szCs w:val="24"/>
        </w:rPr>
        <w:t>”,</w:t>
      </w:r>
      <w:r>
        <w:rPr>
          <w:rStyle w:val="CharAttribute3"/>
          <w:rFonts w:eastAsia="Batang"/>
        </w:rPr>
        <w:footnoteReference w:id="14"/>
      </w:r>
      <w:r>
        <w:rPr>
          <w:rStyle w:val="CharAttribute9"/>
          <w:rFonts w:eastAsia="Batang"/>
          <w:szCs w:val="24"/>
        </w:rPr>
        <w:t xml:space="preserve"> the polar opposite to the deterrence approach.</w:t>
      </w:r>
      <w:r>
        <w:rPr>
          <w:rStyle w:val="CharAttribute3"/>
          <w:rFonts w:eastAsia="Batang"/>
        </w:rPr>
        <w:footnoteReference w:id="15"/>
      </w:r>
      <w:r>
        <w:rPr>
          <w:rStyle w:val="CharAttribute10"/>
          <w:rFonts w:eastAsia="Batang"/>
          <w:szCs w:val="24"/>
        </w:rPr>
        <w:t xml:space="preserve"> </w:t>
      </w:r>
      <w:r>
        <w:rPr>
          <w:rStyle w:val="CharAttribute9"/>
          <w:rFonts w:eastAsia="Batang"/>
          <w:szCs w:val="24"/>
        </w:rPr>
        <w:t>The regulator sets rules and gives reasons for observing them, the regulated will feedback on these rules with a view to tailor them to suit their needs.</w:t>
      </w:r>
      <w:r>
        <w:rPr>
          <w:rStyle w:val="CharAttribute3"/>
          <w:rFonts w:eastAsia="Batang"/>
        </w:rPr>
        <w:footnoteReference w:id="16"/>
      </w:r>
      <w:r>
        <w:rPr>
          <w:rStyle w:val="CharAttribute9"/>
          <w:rFonts w:eastAsia="Batang"/>
          <w:szCs w:val="24"/>
        </w:rPr>
        <w:t xml:space="preserve"> This approach is concerned with the on-going relationship between the regulator and the regulated. This system provides means for the regulated to have some input in the way they are regulated and ideally creates a cooperative relationship between the tw</w:t>
      </w:r>
      <w:r w:rsidR="00B2031E">
        <w:rPr>
          <w:rStyle w:val="CharAttribute9"/>
          <w:rFonts w:eastAsia="Batang"/>
          <w:szCs w:val="24"/>
        </w:rPr>
        <w:t>o parties. Using the compliance-</w:t>
      </w:r>
      <w:r>
        <w:rPr>
          <w:rStyle w:val="CharAttribute9"/>
          <w:rFonts w:eastAsia="Batang"/>
          <w:szCs w:val="24"/>
        </w:rPr>
        <w:t xml:space="preserve">based approach can also involve consultation with the regulated; this can provide the regulator with valuable insight </w:t>
      </w:r>
      <w:r w:rsidR="00B2031E">
        <w:rPr>
          <w:rStyle w:val="CharAttribute9"/>
          <w:rFonts w:eastAsia="Batang"/>
          <w:szCs w:val="24"/>
        </w:rPr>
        <w:t>int</w:t>
      </w:r>
      <w:r>
        <w:rPr>
          <w:rStyle w:val="CharAttribute9"/>
          <w:rFonts w:eastAsia="Batang"/>
          <w:szCs w:val="24"/>
        </w:rPr>
        <w:t>o the concerns o</w:t>
      </w:r>
      <w:r w:rsidR="00B2031E">
        <w:rPr>
          <w:rStyle w:val="CharAttribute9"/>
          <w:rFonts w:eastAsia="Batang"/>
          <w:szCs w:val="24"/>
        </w:rPr>
        <w:t>f the regulated. The compliance-</w:t>
      </w:r>
      <w:r>
        <w:rPr>
          <w:rStyle w:val="CharAttribute9"/>
          <w:rFonts w:eastAsia="Batang"/>
          <w:szCs w:val="24"/>
        </w:rPr>
        <w:t>based approach begins with the op</w:t>
      </w:r>
      <w:r w:rsidR="00B2031E">
        <w:rPr>
          <w:rStyle w:val="CharAttribute9"/>
          <w:rFonts w:eastAsia="Batang"/>
          <w:szCs w:val="24"/>
        </w:rPr>
        <w:t>posite assumption to deterrence-based approach; it considers</w:t>
      </w:r>
      <w:r>
        <w:rPr>
          <w:rStyle w:val="CharAttribute9"/>
          <w:rFonts w:eastAsia="Batang"/>
          <w:szCs w:val="24"/>
        </w:rPr>
        <w:t xml:space="preserve"> the regulated ‘good men’ under Holmes analogy,</w:t>
      </w:r>
      <w:r>
        <w:rPr>
          <w:rStyle w:val="CharAttribute3"/>
          <w:rFonts w:eastAsia="Batang"/>
        </w:rPr>
        <w:footnoteReference w:id="17"/>
      </w:r>
      <w:r>
        <w:rPr>
          <w:rStyle w:val="CharAttribute9"/>
          <w:rFonts w:eastAsia="Batang"/>
          <w:szCs w:val="24"/>
        </w:rPr>
        <w:t xml:space="preserve"> the ‘political citizen’ as identified by Kagan and Scholz.</w:t>
      </w:r>
      <w:r>
        <w:rPr>
          <w:rStyle w:val="CharAttribute3"/>
          <w:rFonts w:eastAsia="Batang"/>
        </w:rPr>
        <w:footnoteReference w:id="18"/>
      </w:r>
      <w:r>
        <w:rPr>
          <w:rStyle w:val="CharAttribute9"/>
          <w:rFonts w:eastAsia="Batang"/>
          <w:szCs w:val="24"/>
        </w:rPr>
        <w:t xml:space="preserve"> These people will comply with reasonable regulations for numerous reasons, such as the public good and best practice.</w:t>
      </w:r>
      <w:r>
        <w:rPr>
          <w:rStyle w:val="CharAttribute3"/>
          <w:rFonts w:eastAsia="Batang"/>
        </w:rPr>
        <w:footnoteReference w:id="19"/>
      </w:r>
      <w:r>
        <w:rPr>
          <w:rStyle w:val="CharAttribute9"/>
          <w:rFonts w:eastAsia="Batang"/>
          <w:szCs w:val="24"/>
        </w:rPr>
        <w:t xml:space="preserve"> Actions for misdemeanours under the compliance</w:t>
      </w:r>
      <w:r w:rsidR="00B2031E">
        <w:rPr>
          <w:rStyle w:val="CharAttribute9"/>
          <w:rFonts w:eastAsia="Batang"/>
          <w:szCs w:val="24"/>
        </w:rPr>
        <w:t>-</w:t>
      </w:r>
      <w:r>
        <w:rPr>
          <w:rStyle w:val="CharAttribute9"/>
          <w:rFonts w:eastAsia="Batang"/>
          <w:szCs w:val="24"/>
        </w:rPr>
        <w:t>based approach will depend on individual circumstances, the regulator will take the offender previous relations into account and may exercise discre</w:t>
      </w:r>
      <w:r w:rsidR="00B2031E">
        <w:rPr>
          <w:rStyle w:val="CharAttribute9"/>
          <w:rFonts w:eastAsia="Batang"/>
          <w:szCs w:val="24"/>
        </w:rPr>
        <w:t>tion in the resultant penalty if</w:t>
      </w:r>
      <w:r>
        <w:rPr>
          <w:rStyle w:val="CharAttribute9"/>
          <w:rFonts w:eastAsia="Batang"/>
          <w:szCs w:val="24"/>
        </w:rPr>
        <w:t xml:space="preserve"> there is to be one, </w:t>
      </w:r>
      <w:r w:rsidR="00B2031E">
        <w:rPr>
          <w:rStyle w:val="CharAttribute9"/>
          <w:rFonts w:eastAsia="Batang"/>
          <w:szCs w:val="24"/>
        </w:rPr>
        <w:t xml:space="preserve">and </w:t>
      </w:r>
      <w:r>
        <w:rPr>
          <w:rStyle w:val="CharAttribute9"/>
          <w:rFonts w:eastAsia="Batang"/>
          <w:szCs w:val="24"/>
        </w:rPr>
        <w:t>reduced sanctions can be offered as incentives to ‘come clean’ about infringements.</w:t>
      </w:r>
      <w:r>
        <w:rPr>
          <w:rStyle w:val="CharAttribute3"/>
          <w:rFonts w:eastAsia="Batang"/>
        </w:rPr>
        <w:footnoteReference w:id="20"/>
      </w:r>
      <w:r>
        <w:rPr>
          <w:rStyle w:val="CharAttribute9"/>
          <w:rFonts w:eastAsia="Batang"/>
          <w:szCs w:val="24"/>
        </w:rPr>
        <w:t xml:space="preserve"> </w:t>
      </w:r>
    </w:p>
    <w:p w14:paraId="016D52F4" w14:textId="77777777" w:rsidR="00B15407" w:rsidRDefault="00B15407" w:rsidP="009956B9">
      <w:pPr>
        <w:pStyle w:val="NoSpacing"/>
      </w:pPr>
    </w:p>
    <w:p w14:paraId="5A13FF94" w14:textId="77777777" w:rsidR="00B15407" w:rsidRDefault="00B2031E" w:rsidP="009956B9">
      <w:pPr>
        <w:pStyle w:val="NoSpacing"/>
        <w:rPr>
          <w:rStyle w:val="CharAttribute12"/>
          <w:rFonts w:eastAsia="Batang"/>
          <w:szCs w:val="24"/>
        </w:rPr>
      </w:pPr>
      <w:r>
        <w:rPr>
          <w:rStyle w:val="CharAttribute11"/>
          <w:rFonts w:eastAsia="Batang"/>
          <w:szCs w:val="24"/>
        </w:rPr>
        <w:lastRenderedPageBreak/>
        <w:t>Criticisms of the compliance-</w:t>
      </w:r>
      <w:r w:rsidR="00B15407">
        <w:rPr>
          <w:rStyle w:val="CharAttribute11"/>
          <w:rFonts w:eastAsia="Batang"/>
          <w:szCs w:val="24"/>
        </w:rPr>
        <w:t>based approach can be found in the reason</w:t>
      </w:r>
      <w:r>
        <w:rPr>
          <w:rStyle w:val="CharAttribute11"/>
          <w:rFonts w:eastAsia="Batang"/>
          <w:szCs w:val="24"/>
        </w:rPr>
        <w:t>ing for adopting the deterrence-</w:t>
      </w:r>
      <w:r w:rsidR="00B15407">
        <w:rPr>
          <w:rStyle w:val="CharAttribute11"/>
          <w:rFonts w:eastAsia="Batang"/>
          <w:szCs w:val="24"/>
        </w:rPr>
        <w:t xml:space="preserve">based approach; </w:t>
      </w:r>
      <w:r w:rsidR="00B15407">
        <w:rPr>
          <w:rStyle w:val="CharAttribute12"/>
          <w:rFonts w:eastAsia="Batang"/>
          <w:szCs w:val="24"/>
        </w:rPr>
        <w:t xml:space="preserve">one example is </w:t>
      </w:r>
      <w:r>
        <w:rPr>
          <w:rStyle w:val="CharAttribute12"/>
          <w:rFonts w:eastAsia="Batang"/>
          <w:szCs w:val="24"/>
        </w:rPr>
        <w:t>‘amoral calculators’ can exploit it.</w:t>
      </w:r>
      <w:r w:rsidR="00B15407">
        <w:rPr>
          <w:rStyle w:val="CharAttribute3"/>
          <w:rFonts w:eastAsia="Batang"/>
        </w:rPr>
        <w:footnoteReference w:id="21"/>
      </w:r>
      <w:r w:rsidR="00B15407">
        <w:rPr>
          <w:rStyle w:val="CharAttribute12"/>
          <w:rFonts w:eastAsia="Batang"/>
          <w:szCs w:val="24"/>
        </w:rPr>
        <w:t xml:space="preserve"> If a regulato</w:t>
      </w:r>
      <w:r>
        <w:rPr>
          <w:rStyle w:val="CharAttribute12"/>
          <w:rFonts w:eastAsia="Batang"/>
          <w:szCs w:val="24"/>
        </w:rPr>
        <w:t>r is known to take a compliance-</w:t>
      </w:r>
      <w:r w:rsidR="00B15407">
        <w:rPr>
          <w:rStyle w:val="CharAttribute12"/>
          <w:rFonts w:eastAsia="Batang"/>
          <w:szCs w:val="24"/>
        </w:rPr>
        <w:t>based approach, an ‘amoral calculator’ will be more likely to violate rules based on the assumption they will either not be caught, or if they are caught, they will not receive a strong punishment.</w:t>
      </w:r>
      <w:r w:rsidR="000127AD">
        <w:rPr>
          <w:rStyle w:val="CharAttribute12"/>
          <w:rFonts w:eastAsia="Batang"/>
          <w:szCs w:val="24"/>
        </w:rPr>
        <w:t xml:space="preserve"> The regulated will also complain about the approach, employing and educating staff to interpret compliance rules creates financial burdens upon them. A </w:t>
      </w:r>
      <w:r w:rsidR="00432C8F">
        <w:rPr>
          <w:rStyle w:val="CharAttribute12"/>
          <w:rFonts w:eastAsia="Batang"/>
          <w:szCs w:val="24"/>
        </w:rPr>
        <w:t>deterrence-</w:t>
      </w:r>
      <w:r w:rsidR="000127AD">
        <w:rPr>
          <w:rStyle w:val="CharAttribute12"/>
          <w:rFonts w:eastAsia="Batang"/>
          <w:szCs w:val="24"/>
        </w:rPr>
        <w:t>based approach will cost the regulated less, though they will incur legal fees if they were pursued in the courts.</w:t>
      </w:r>
    </w:p>
    <w:p w14:paraId="4C40BFA9" w14:textId="77777777" w:rsidR="000127AD" w:rsidRDefault="000127AD" w:rsidP="009956B9">
      <w:pPr>
        <w:pStyle w:val="NoSpacing"/>
      </w:pPr>
    </w:p>
    <w:p w14:paraId="6B05951A" w14:textId="77777777" w:rsidR="00B15407" w:rsidRDefault="00B15407" w:rsidP="009956B9">
      <w:pPr>
        <w:pStyle w:val="NoSpacing"/>
      </w:pPr>
      <w:r>
        <w:rPr>
          <w:rStyle w:val="CharAttribute12"/>
          <w:rFonts w:eastAsia="Batang"/>
          <w:szCs w:val="24"/>
        </w:rPr>
        <w:t>Ayres and Braithwaite,</w:t>
      </w:r>
      <w:r>
        <w:rPr>
          <w:rStyle w:val="CharAttribute3"/>
          <w:rFonts w:eastAsia="Batang"/>
        </w:rPr>
        <w:footnoteReference w:id="22"/>
      </w:r>
      <w:r>
        <w:rPr>
          <w:rStyle w:val="CharAttribute12"/>
          <w:rFonts w:eastAsia="Batang"/>
          <w:szCs w:val="24"/>
        </w:rPr>
        <w:t xml:space="preserve"> </w:t>
      </w:r>
      <w:r>
        <w:rPr>
          <w:rStyle w:val="CharAttribute13"/>
          <w:rFonts w:eastAsia="Batang"/>
          <w:szCs w:val="24"/>
        </w:rPr>
        <w:t xml:space="preserve">Kagan and </w:t>
      </w:r>
      <w:r w:rsidR="002767FB">
        <w:rPr>
          <w:rStyle w:val="CharAttribute13"/>
          <w:rFonts w:eastAsia="Batang"/>
          <w:szCs w:val="24"/>
        </w:rPr>
        <w:t>Scholz</w:t>
      </w:r>
      <w:r>
        <w:rPr>
          <w:rStyle w:val="CharAttribute13"/>
          <w:rFonts w:eastAsia="Batang"/>
          <w:szCs w:val="24"/>
        </w:rPr>
        <w:t>,</w:t>
      </w:r>
      <w:r>
        <w:rPr>
          <w:rStyle w:val="CharAttribute3"/>
          <w:rFonts w:eastAsia="Batang"/>
        </w:rPr>
        <w:footnoteReference w:id="23"/>
      </w:r>
      <w:r>
        <w:rPr>
          <w:rStyle w:val="CharAttribute13"/>
          <w:rFonts w:eastAsia="Batang"/>
          <w:szCs w:val="24"/>
        </w:rPr>
        <w:t xml:space="preserve"> and Singh all agree that a combination of the deterrence and compliance approaches should be exercised; Singh recommends a balance to be struck.</w:t>
      </w:r>
      <w:r>
        <w:rPr>
          <w:rStyle w:val="CharAttribute3"/>
          <w:rFonts w:eastAsia="Batang"/>
        </w:rPr>
        <w:footnoteReference w:id="24"/>
      </w:r>
      <w:r>
        <w:rPr>
          <w:rStyle w:val="CharAttribute13"/>
          <w:rFonts w:eastAsia="Batang"/>
          <w:szCs w:val="24"/>
        </w:rPr>
        <w:t xml:space="preserve"> Ayres and Braithwaite put forward the ‘tit-for-tat’ model of regulation,</w:t>
      </w:r>
      <w:r>
        <w:rPr>
          <w:rStyle w:val="CharAttribute3"/>
          <w:rFonts w:eastAsia="Batang"/>
        </w:rPr>
        <w:footnoteReference w:id="25"/>
      </w:r>
      <w:r w:rsidR="00B2031E">
        <w:rPr>
          <w:rStyle w:val="CharAttribute13"/>
          <w:rFonts w:eastAsia="Batang"/>
          <w:szCs w:val="24"/>
        </w:rPr>
        <w:t xml:space="preserve"> this promotes </w:t>
      </w:r>
      <w:r>
        <w:rPr>
          <w:rStyle w:val="CharAttribute13"/>
          <w:rFonts w:eastAsia="Batang"/>
          <w:szCs w:val="24"/>
        </w:rPr>
        <w:t>the use of compliance, or persuasive techniques first and then a steady escalation of punitive measures to address non-compliance. They argue that “</w:t>
      </w:r>
      <w:r>
        <w:rPr>
          <w:rStyle w:val="CharAttribute37"/>
          <w:rFonts w:eastAsia="Batang"/>
          <w:szCs w:val="24"/>
        </w:rPr>
        <w:t>punishment is expensive</w:t>
      </w:r>
      <w:r>
        <w:rPr>
          <w:rStyle w:val="CharAttribute13"/>
          <w:rFonts w:eastAsia="Batang"/>
          <w:szCs w:val="24"/>
        </w:rPr>
        <w:t>” and that persuasion should be adopted first, this will then leave further resources available to address noncomplia</w:t>
      </w:r>
      <w:r w:rsidR="00B2031E">
        <w:rPr>
          <w:rStyle w:val="CharAttribute13"/>
          <w:rFonts w:eastAsia="Batang"/>
          <w:szCs w:val="24"/>
        </w:rPr>
        <w:t>nce. Starting from a compliance-</w:t>
      </w:r>
      <w:r>
        <w:rPr>
          <w:rStyle w:val="CharAttribute13"/>
          <w:rFonts w:eastAsia="Batang"/>
          <w:szCs w:val="24"/>
        </w:rPr>
        <w:t>based position is conducive to healthy relationship between the regulator and the regulated, discouraging the cat-and-mouse situation and the constant search for gaps in regulation; this can lead to complex regulation in order to close gaps which inevitably form when attempting to write rule based regulation.</w:t>
      </w:r>
      <w:r>
        <w:rPr>
          <w:rStyle w:val="CharAttribute3"/>
          <w:rFonts w:eastAsia="Batang"/>
        </w:rPr>
        <w:footnoteReference w:id="26"/>
      </w:r>
      <w:r>
        <w:rPr>
          <w:rStyle w:val="CharAttribute13"/>
          <w:rFonts w:eastAsia="Batang"/>
          <w:szCs w:val="24"/>
        </w:rPr>
        <w:t xml:space="preserve"> </w:t>
      </w:r>
      <w:r>
        <w:rPr>
          <w:rStyle w:val="CharAttribute13"/>
          <w:rFonts w:eastAsia="Batang"/>
          <w:szCs w:val="24"/>
        </w:rPr>
        <w:lastRenderedPageBreak/>
        <w:t>Over complex legislation is what Ferguson perceives to be wrong with the current system,</w:t>
      </w:r>
      <w:r>
        <w:rPr>
          <w:rStyle w:val="CharAttribute3"/>
          <w:rFonts w:eastAsia="Batang"/>
        </w:rPr>
        <w:footnoteReference w:id="27"/>
      </w:r>
      <w:r>
        <w:rPr>
          <w:rStyle w:val="CharAttribute13"/>
          <w:rFonts w:eastAsia="Batang"/>
          <w:szCs w:val="24"/>
        </w:rPr>
        <w:t xml:space="preserve"> but the deterrence</w:t>
      </w:r>
      <w:r w:rsidR="00432C8F">
        <w:rPr>
          <w:rStyle w:val="CharAttribute13"/>
          <w:rFonts w:eastAsia="Batang"/>
          <w:szCs w:val="24"/>
        </w:rPr>
        <w:t>-</w:t>
      </w:r>
      <w:r>
        <w:rPr>
          <w:rStyle w:val="CharAttribute13"/>
          <w:rFonts w:eastAsia="Batang"/>
          <w:szCs w:val="24"/>
        </w:rPr>
        <w:t>based solution he advocates could be a contributor to these complex rules. The third reason Ayres and Braithwaite give for a ‘tit-for-tat’ approach is particularly pertinent to the fast evolving sector the regulators are charged with, a persuasive start point is important “</w:t>
      </w:r>
      <w:r>
        <w:rPr>
          <w:rStyle w:val="CharAttribute37"/>
          <w:rFonts w:eastAsia="Batang"/>
          <w:szCs w:val="24"/>
        </w:rPr>
        <w:t>in industries where technological and environmental realities change to quickly that the regulations… cannot keep up to date</w:t>
      </w:r>
      <w:r>
        <w:rPr>
          <w:rStyle w:val="CharAttribute13"/>
          <w:rFonts w:eastAsia="Batang"/>
          <w:szCs w:val="24"/>
        </w:rPr>
        <w:t>.”</w:t>
      </w:r>
      <w:r>
        <w:rPr>
          <w:rStyle w:val="CharAttribute3"/>
          <w:rFonts w:eastAsia="Batang"/>
        </w:rPr>
        <w:footnoteReference w:id="28"/>
      </w:r>
      <w:r>
        <w:rPr>
          <w:rStyle w:val="CharAttribute13"/>
          <w:rFonts w:eastAsia="Batang"/>
          <w:szCs w:val="24"/>
        </w:rPr>
        <w:t xml:space="preserve"> </w:t>
      </w:r>
    </w:p>
    <w:p w14:paraId="5035F710" w14:textId="77777777" w:rsidR="000127AD" w:rsidRDefault="000127AD" w:rsidP="009956B9">
      <w:pPr>
        <w:pStyle w:val="NoSpacing"/>
        <w:rPr>
          <w:rStyle w:val="CharAttribute16"/>
          <w:rFonts w:eastAsia="Batang"/>
          <w:szCs w:val="24"/>
        </w:rPr>
      </w:pPr>
    </w:p>
    <w:p w14:paraId="4153FAF4" w14:textId="77777777" w:rsidR="00B15407" w:rsidRDefault="00B15407" w:rsidP="009956B9">
      <w:pPr>
        <w:pStyle w:val="NoSpacing"/>
        <w:rPr>
          <w:rStyle w:val="CharAttribute16"/>
          <w:rFonts w:eastAsia="Batang"/>
          <w:szCs w:val="24"/>
        </w:rPr>
      </w:pPr>
      <w:r>
        <w:rPr>
          <w:rStyle w:val="CharAttribute16"/>
          <w:rFonts w:eastAsia="Batang"/>
          <w:szCs w:val="24"/>
        </w:rPr>
        <w:t xml:space="preserve">The ‘tit-for-tat’ approach, proposed by Ayres and Braithwaite, puts a focus on steady </w:t>
      </w:r>
      <w:r w:rsidR="00313170">
        <w:rPr>
          <w:rStyle w:val="CharAttribute16"/>
          <w:rFonts w:eastAsia="Batang"/>
          <w:szCs w:val="24"/>
        </w:rPr>
        <w:t>escalation in response to noncompliance; this is visually represented in Figure.1.</w:t>
      </w:r>
    </w:p>
    <w:p w14:paraId="4DCF29D2" w14:textId="77777777" w:rsidR="00FB6D7C" w:rsidRPr="00FB6D7C" w:rsidRDefault="006B03CF" w:rsidP="009956B9">
      <w:pPr>
        <w:pStyle w:val="Caption"/>
        <w:keepNext/>
        <w:jc w:val="both"/>
        <w:rPr>
          <w:b w:val="0"/>
          <w:color w:val="auto"/>
          <w:sz w:val="24"/>
          <w:szCs w:val="24"/>
        </w:rPr>
      </w:pPr>
      <w:r>
        <w:rPr>
          <w:b w:val="0"/>
          <w:color w:val="auto"/>
          <w:sz w:val="24"/>
          <w:szCs w:val="24"/>
          <w:u w:val="single"/>
        </w:rPr>
        <w:t xml:space="preserve">Figure </w:t>
      </w:r>
      <w:r w:rsidR="00FB6D7C" w:rsidRPr="009956B9">
        <w:rPr>
          <w:b w:val="0"/>
          <w:color w:val="auto"/>
          <w:sz w:val="24"/>
          <w:szCs w:val="24"/>
          <w:u w:val="single"/>
        </w:rPr>
        <w:fldChar w:fldCharType="begin"/>
      </w:r>
      <w:r w:rsidR="00FB6D7C" w:rsidRPr="009956B9">
        <w:rPr>
          <w:b w:val="0"/>
          <w:color w:val="auto"/>
          <w:sz w:val="24"/>
          <w:szCs w:val="24"/>
          <w:u w:val="single"/>
        </w:rPr>
        <w:instrText xml:space="preserve"> SEQ Figure \* ARABIC </w:instrText>
      </w:r>
      <w:r w:rsidR="00FB6D7C" w:rsidRPr="009956B9">
        <w:rPr>
          <w:b w:val="0"/>
          <w:color w:val="auto"/>
          <w:sz w:val="24"/>
          <w:szCs w:val="24"/>
          <w:u w:val="single"/>
        </w:rPr>
        <w:fldChar w:fldCharType="separate"/>
      </w:r>
      <w:r w:rsidR="00A4495F">
        <w:rPr>
          <w:b w:val="0"/>
          <w:noProof/>
          <w:color w:val="auto"/>
          <w:sz w:val="24"/>
          <w:szCs w:val="24"/>
          <w:u w:val="single"/>
        </w:rPr>
        <w:t>1</w:t>
      </w:r>
      <w:r w:rsidR="00FB6D7C" w:rsidRPr="009956B9">
        <w:rPr>
          <w:b w:val="0"/>
          <w:color w:val="auto"/>
          <w:sz w:val="24"/>
          <w:szCs w:val="24"/>
          <w:u w:val="single"/>
        </w:rPr>
        <w:fldChar w:fldCharType="end"/>
      </w:r>
      <w:r w:rsidR="00FB6D7C" w:rsidRPr="00FB6D7C">
        <w:rPr>
          <w:rStyle w:val="FootnoteReference"/>
          <w:b w:val="0"/>
          <w:color w:val="auto"/>
          <w:sz w:val="24"/>
          <w:szCs w:val="24"/>
        </w:rPr>
        <w:footnoteReference w:id="29"/>
      </w:r>
    </w:p>
    <w:p w14:paraId="1F844C8F" w14:textId="77777777" w:rsidR="00B15407" w:rsidRDefault="00F677DC" w:rsidP="009956B9">
      <w:pPr>
        <w:pStyle w:val="NoSpacing"/>
      </w:pPr>
      <w:r>
        <w:rPr>
          <w:noProof/>
        </w:rPr>
        <w:drawing>
          <wp:inline distT="0" distB="0" distL="0" distR="0" wp14:anchorId="1D2E04A2" wp14:editId="09748868">
            <wp:extent cx="5731510" cy="39223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922395"/>
                    </a:xfrm>
                    <a:prstGeom prst="rect">
                      <a:avLst/>
                    </a:prstGeom>
                  </pic:spPr>
                </pic:pic>
              </a:graphicData>
            </a:graphic>
          </wp:inline>
        </w:drawing>
      </w:r>
    </w:p>
    <w:p w14:paraId="3179D9AD" w14:textId="77777777" w:rsidR="00B15407" w:rsidRDefault="00313170" w:rsidP="009956B9">
      <w:pPr>
        <w:pStyle w:val="NoSpacing"/>
        <w:rPr>
          <w:rStyle w:val="CharAttribute16"/>
          <w:rFonts w:eastAsia="Batang"/>
          <w:szCs w:val="24"/>
        </w:rPr>
      </w:pPr>
      <w:r>
        <w:lastRenderedPageBreak/>
        <w:t>The pyramid in Figure.1 demonstrates a hierarchy of sanctions, and the decreasing size of the sections moving up the pyramid corresponds to the decreasing requirement to use those sanctions.</w:t>
      </w:r>
      <w:r>
        <w:rPr>
          <w:rStyle w:val="FootnoteReference"/>
        </w:rPr>
        <w:footnoteReference w:id="30"/>
      </w:r>
      <w:r>
        <w:t xml:space="preserve"> </w:t>
      </w:r>
      <w:r w:rsidR="000127AD">
        <w:rPr>
          <w:rStyle w:val="CharAttribute14"/>
          <w:rFonts w:eastAsia="Batang"/>
          <w:szCs w:val="24"/>
        </w:rPr>
        <w:t xml:space="preserve">Considering academic argument, </w:t>
      </w:r>
      <w:r w:rsidR="000127AD">
        <w:rPr>
          <w:rStyle w:val="CharAttribute16"/>
          <w:rFonts w:eastAsia="Batang"/>
          <w:szCs w:val="24"/>
        </w:rPr>
        <w:t xml:space="preserve">Ferguson’s proposals can still be incorporated into a ‘tit-for-tat’ approach, after previous mechanisms have been exhausted. In pursing the ‘tit-for-tat’ predictability is also instilled, a cornerstone of the law. The regulated know what will happen if they do not comply, </w:t>
      </w:r>
      <w:r w:rsidR="0003498F">
        <w:rPr>
          <w:rStyle w:val="CharAttribute16"/>
          <w:rFonts w:eastAsia="Batang"/>
          <w:szCs w:val="24"/>
        </w:rPr>
        <w:t>this is one way of putting fines and even prison sentences in their minds, as Ferguson wants, and it is simple, which also meets Ferguson’s statement.</w:t>
      </w:r>
    </w:p>
    <w:p w14:paraId="2AA07F84" w14:textId="77777777" w:rsidR="00CD6093" w:rsidRDefault="00CD6093" w:rsidP="009956B9">
      <w:pPr>
        <w:pStyle w:val="NoSpacing"/>
        <w:rPr>
          <w:rStyle w:val="CharAttribute16"/>
          <w:rFonts w:eastAsia="Batang"/>
          <w:szCs w:val="24"/>
        </w:rPr>
      </w:pPr>
    </w:p>
    <w:p w14:paraId="6A48B13C" w14:textId="77777777" w:rsidR="00CD6093" w:rsidRPr="00CD6093" w:rsidRDefault="00CD6093" w:rsidP="009956B9">
      <w:pPr>
        <w:pStyle w:val="NoSpacing"/>
        <w:rPr>
          <w:rStyle w:val="CharAttribute16"/>
          <w:rFonts w:eastAsia="Batang"/>
          <w:szCs w:val="24"/>
          <w:u w:val="single"/>
        </w:rPr>
      </w:pPr>
      <w:r w:rsidRPr="00CD6093">
        <w:rPr>
          <w:rStyle w:val="CharAttribute16"/>
          <w:rFonts w:eastAsia="Batang"/>
          <w:szCs w:val="24"/>
          <w:u w:val="single"/>
        </w:rPr>
        <w:t>Adverse Publicity as a Sanction</w:t>
      </w:r>
    </w:p>
    <w:p w14:paraId="01C4332D" w14:textId="49818DB5" w:rsidR="00B42F1A" w:rsidRDefault="00820BF2" w:rsidP="009956B9">
      <w:pPr>
        <w:pStyle w:val="NoSpacing"/>
        <w:rPr>
          <w:rStyle w:val="CharAttribute16"/>
          <w:rFonts w:eastAsia="Batang"/>
          <w:szCs w:val="24"/>
        </w:rPr>
      </w:pPr>
      <w:r>
        <w:rPr>
          <w:rStyle w:val="CharAttribute16"/>
          <w:rFonts w:eastAsia="Batang"/>
          <w:szCs w:val="24"/>
        </w:rPr>
        <w:t xml:space="preserve">Adverse publicity is </w:t>
      </w:r>
      <w:r w:rsidR="00E96C34">
        <w:rPr>
          <w:rStyle w:val="CharAttribute16"/>
          <w:rFonts w:eastAsia="Batang"/>
          <w:szCs w:val="24"/>
        </w:rPr>
        <w:t>useful tool</w:t>
      </w:r>
      <w:r>
        <w:rPr>
          <w:rStyle w:val="CharAttribute16"/>
          <w:rFonts w:eastAsia="Batang"/>
          <w:szCs w:val="24"/>
        </w:rPr>
        <w:t xml:space="preserve"> to pursuing</w:t>
      </w:r>
      <w:r w:rsidR="00432C8F">
        <w:rPr>
          <w:rStyle w:val="CharAttribute16"/>
          <w:rFonts w:eastAsia="Batang"/>
          <w:szCs w:val="24"/>
        </w:rPr>
        <w:t xml:space="preserve"> the deterrence-</w:t>
      </w:r>
      <w:r w:rsidR="00A51E0C">
        <w:rPr>
          <w:rStyle w:val="CharAttribute16"/>
          <w:rFonts w:eastAsia="Batang"/>
          <w:szCs w:val="24"/>
        </w:rPr>
        <w:t>approach,</w:t>
      </w:r>
      <w:r w:rsidR="00E96C34">
        <w:rPr>
          <w:rStyle w:val="FootnoteReference"/>
          <w:rFonts w:eastAsia="Batang"/>
          <w:szCs w:val="24"/>
        </w:rPr>
        <w:footnoteReference w:id="31"/>
      </w:r>
      <w:r w:rsidR="00A51E0C">
        <w:rPr>
          <w:rStyle w:val="CharAttribute16"/>
          <w:rFonts w:eastAsia="Batang"/>
          <w:szCs w:val="24"/>
        </w:rPr>
        <w:t xml:space="preserve"> a regulator is unlikely to deter others if the punishments are not publicised. </w:t>
      </w:r>
      <w:r w:rsidR="00D212B0">
        <w:rPr>
          <w:rStyle w:val="CharAttribute16"/>
          <w:rFonts w:eastAsia="Batang"/>
          <w:szCs w:val="24"/>
        </w:rPr>
        <w:t xml:space="preserve">Furthermore the very publication of wrong doing can be a </w:t>
      </w:r>
      <w:r w:rsidR="00B066FB">
        <w:rPr>
          <w:rStyle w:val="CharAttribute16"/>
          <w:rFonts w:eastAsia="Batang"/>
          <w:szCs w:val="24"/>
        </w:rPr>
        <w:t>punishment;</w:t>
      </w:r>
      <w:r w:rsidR="00D212B0">
        <w:rPr>
          <w:rStyle w:val="CharAttribute16"/>
          <w:rFonts w:eastAsia="Batang"/>
          <w:szCs w:val="24"/>
        </w:rPr>
        <w:t xml:space="preserve"> it can affect the public image of a firm and lower the market</w:t>
      </w:r>
      <w:r w:rsidR="00B2031E">
        <w:rPr>
          <w:rStyle w:val="CharAttribute16"/>
          <w:rFonts w:eastAsia="Batang"/>
          <w:szCs w:val="24"/>
        </w:rPr>
        <w:t>’</w:t>
      </w:r>
      <w:r w:rsidR="00D212B0">
        <w:rPr>
          <w:rStyle w:val="CharAttribute16"/>
          <w:rFonts w:eastAsia="Batang"/>
          <w:szCs w:val="24"/>
        </w:rPr>
        <w:t>s confidence in that company.</w:t>
      </w:r>
      <w:r w:rsidR="00B066FB">
        <w:rPr>
          <w:rStyle w:val="CharAttribute16"/>
          <w:rFonts w:eastAsia="Batang"/>
          <w:szCs w:val="24"/>
        </w:rPr>
        <w:t xml:space="preserve"> Many banks are publically tra</w:t>
      </w:r>
      <w:r w:rsidR="00773A65">
        <w:rPr>
          <w:rStyle w:val="CharAttribute16"/>
          <w:rFonts w:eastAsia="Batang"/>
          <w:szCs w:val="24"/>
        </w:rPr>
        <w:t xml:space="preserve">ded companies and </w:t>
      </w:r>
      <w:r w:rsidR="00B066FB">
        <w:rPr>
          <w:rStyle w:val="CharAttribute16"/>
          <w:rFonts w:eastAsia="Batang"/>
          <w:szCs w:val="24"/>
        </w:rPr>
        <w:t xml:space="preserve">adverse publicity can seriously affect their share price, on the announcement of </w:t>
      </w:r>
      <w:r w:rsidR="00773A65">
        <w:rPr>
          <w:rStyle w:val="CharAttribute16"/>
          <w:rFonts w:eastAsia="Batang"/>
          <w:szCs w:val="24"/>
        </w:rPr>
        <w:t xml:space="preserve">Barclays </w:t>
      </w:r>
      <w:r w:rsidR="00113739">
        <w:rPr>
          <w:rStyle w:val="CharAttribute16"/>
          <w:rFonts w:eastAsia="Batang"/>
          <w:szCs w:val="24"/>
        </w:rPr>
        <w:t>LIBOR settlements the London Stock Exchange recorded a 15.81% drop in the company’s share price.</w:t>
      </w:r>
      <w:r w:rsidR="00113739">
        <w:rPr>
          <w:rStyle w:val="FootnoteReference"/>
          <w:rFonts w:eastAsia="Batang"/>
          <w:szCs w:val="24"/>
        </w:rPr>
        <w:footnoteReference w:id="32"/>
      </w:r>
      <w:r w:rsidR="00113739">
        <w:rPr>
          <w:rStyle w:val="CharAttribute16"/>
          <w:rFonts w:eastAsia="Batang"/>
          <w:szCs w:val="24"/>
        </w:rPr>
        <w:t xml:space="preserve"> </w:t>
      </w:r>
      <w:r w:rsidR="004A458F">
        <w:rPr>
          <w:rStyle w:val="CharAttribute16"/>
          <w:rFonts w:eastAsia="Batang"/>
          <w:szCs w:val="24"/>
        </w:rPr>
        <w:t xml:space="preserve">Harvey identifies a moral </w:t>
      </w:r>
      <w:r w:rsidR="00991188">
        <w:rPr>
          <w:rStyle w:val="CharAttribute16"/>
          <w:rFonts w:eastAsia="Batang"/>
          <w:szCs w:val="24"/>
        </w:rPr>
        <w:t>dilemma for the regulator when publicising</w:t>
      </w:r>
      <w:r w:rsidR="004A458F">
        <w:rPr>
          <w:rStyle w:val="CharAttribute16"/>
          <w:rFonts w:eastAsia="Batang"/>
          <w:szCs w:val="24"/>
        </w:rPr>
        <w:t xml:space="preserve"> formal action</w:t>
      </w:r>
      <w:r w:rsidR="00B2031E">
        <w:rPr>
          <w:rStyle w:val="CharAttribute16"/>
          <w:rFonts w:eastAsia="Batang"/>
          <w:szCs w:val="24"/>
        </w:rPr>
        <w:t>;</w:t>
      </w:r>
      <w:r w:rsidR="004A458F">
        <w:rPr>
          <w:rStyle w:val="FootnoteReference"/>
          <w:rFonts w:eastAsia="Batang"/>
          <w:szCs w:val="24"/>
        </w:rPr>
        <w:footnoteReference w:id="33"/>
      </w:r>
      <w:r w:rsidR="004A458F">
        <w:rPr>
          <w:rStyle w:val="CharAttribute16"/>
          <w:rFonts w:eastAsia="Batang"/>
          <w:szCs w:val="24"/>
        </w:rPr>
        <w:t xml:space="preserve"> </w:t>
      </w:r>
      <w:r w:rsidR="00B2031E">
        <w:rPr>
          <w:rStyle w:val="CharAttribute16"/>
          <w:rFonts w:eastAsia="Batang"/>
          <w:szCs w:val="24"/>
        </w:rPr>
        <w:t xml:space="preserve">the </w:t>
      </w:r>
      <w:r w:rsidR="00991188">
        <w:rPr>
          <w:rStyle w:val="CharAttribute16"/>
          <w:rFonts w:eastAsia="Batang"/>
          <w:szCs w:val="24"/>
        </w:rPr>
        <w:t xml:space="preserve">Financial Services Authority (FSA) </w:t>
      </w:r>
      <w:r w:rsidR="00D92F62">
        <w:rPr>
          <w:rStyle w:val="CharAttribute16"/>
          <w:rFonts w:eastAsia="Batang"/>
          <w:szCs w:val="24"/>
        </w:rPr>
        <w:t>has statutory objectives of ‘maintaining confidence’</w:t>
      </w:r>
      <w:r w:rsidR="00D92F62">
        <w:rPr>
          <w:rStyle w:val="FootnoteReference"/>
          <w:rFonts w:eastAsia="Batang"/>
          <w:szCs w:val="24"/>
        </w:rPr>
        <w:footnoteReference w:id="34"/>
      </w:r>
      <w:r w:rsidR="00D92F62">
        <w:rPr>
          <w:rStyle w:val="CharAttribute16"/>
          <w:rFonts w:eastAsia="Batang"/>
          <w:szCs w:val="24"/>
        </w:rPr>
        <w:t xml:space="preserve"> and ‘reducing financial crime’</w:t>
      </w:r>
      <w:r w:rsidR="004A458F">
        <w:rPr>
          <w:rStyle w:val="CharAttribute16"/>
          <w:rFonts w:eastAsia="Batang"/>
          <w:szCs w:val="24"/>
        </w:rPr>
        <w:t>.</w:t>
      </w:r>
      <w:r w:rsidR="00D92F62">
        <w:rPr>
          <w:rStyle w:val="FootnoteReference"/>
          <w:rFonts w:eastAsia="Batang"/>
          <w:szCs w:val="24"/>
        </w:rPr>
        <w:footnoteReference w:id="35"/>
      </w:r>
      <w:r w:rsidR="004A458F">
        <w:rPr>
          <w:rStyle w:val="CharAttribute16"/>
          <w:rFonts w:eastAsia="Batang"/>
          <w:szCs w:val="24"/>
        </w:rPr>
        <w:t xml:space="preserve"> Publicity of enforcement is required to reduce </w:t>
      </w:r>
      <w:r w:rsidR="004A458F">
        <w:rPr>
          <w:rStyle w:val="CharAttribute16"/>
          <w:rFonts w:eastAsia="Batang"/>
          <w:szCs w:val="24"/>
        </w:rPr>
        <w:lastRenderedPageBreak/>
        <w:t xml:space="preserve">financial </w:t>
      </w:r>
      <w:r w:rsidR="003523AB">
        <w:rPr>
          <w:rStyle w:val="CharAttribute16"/>
          <w:rFonts w:eastAsia="Batang"/>
          <w:szCs w:val="24"/>
        </w:rPr>
        <w:t xml:space="preserve">crime, too great a level of publicity and the confidence of </w:t>
      </w:r>
      <w:r w:rsidR="0005546E">
        <w:rPr>
          <w:rStyle w:val="CharAttribute16"/>
          <w:rFonts w:eastAsia="Batang"/>
          <w:szCs w:val="24"/>
        </w:rPr>
        <w:t>the markets can be undermined;</w:t>
      </w:r>
      <w:r w:rsidR="003523AB">
        <w:rPr>
          <w:rStyle w:val="FootnoteReference"/>
          <w:rFonts w:eastAsia="Batang"/>
          <w:szCs w:val="24"/>
        </w:rPr>
        <w:footnoteReference w:id="36"/>
      </w:r>
      <w:r w:rsidR="0005546E">
        <w:rPr>
          <w:rStyle w:val="CharAttribute16"/>
          <w:rFonts w:eastAsia="Batang"/>
          <w:szCs w:val="24"/>
        </w:rPr>
        <w:t xml:space="preserve"> therefore a balance must be struck.</w:t>
      </w:r>
    </w:p>
    <w:p w14:paraId="5EEBF9CC" w14:textId="77777777" w:rsidR="00B42F1A" w:rsidRDefault="00B42F1A" w:rsidP="009956B9">
      <w:pPr>
        <w:pStyle w:val="NoSpacing"/>
        <w:rPr>
          <w:rStyle w:val="CharAttribute16"/>
          <w:rFonts w:eastAsia="Batang"/>
          <w:szCs w:val="24"/>
        </w:rPr>
      </w:pPr>
    </w:p>
    <w:p w14:paraId="1DDAE6A6" w14:textId="77777777" w:rsidR="00820BF2" w:rsidRDefault="007A24DE" w:rsidP="009956B9">
      <w:pPr>
        <w:pStyle w:val="NoSpacing"/>
        <w:rPr>
          <w:rStyle w:val="CharAttribute16"/>
          <w:rFonts w:eastAsia="Batang"/>
          <w:szCs w:val="24"/>
        </w:rPr>
      </w:pPr>
      <w:r>
        <w:rPr>
          <w:rStyle w:val="CharAttribute16"/>
          <w:rFonts w:eastAsia="Batang"/>
          <w:szCs w:val="24"/>
        </w:rPr>
        <w:t xml:space="preserve">Cartwright argues adverse publicity can be as strong as </w:t>
      </w:r>
      <w:r w:rsidR="001B2EE3">
        <w:rPr>
          <w:rStyle w:val="CharAttribute16"/>
          <w:rFonts w:eastAsia="Batang"/>
          <w:szCs w:val="24"/>
        </w:rPr>
        <w:t>fines;</w:t>
      </w:r>
      <w:r w:rsidR="001B2EE3">
        <w:rPr>
          <w:rStyle w:val="FootnoteReference"/>
          <w:rFonts w:eastAsia="Batang"/>
          <w:szCs w:val="24"/>
        </w:rPr>
        <w:footnoteReference w:id="37"/>
      </w:r>
      <w:r w:rsidR="001B2EE3">
        <w:rPr>
          <w:rStyle w:val="CharAttribute16"/>
          <w:rFonts w:eastAsia="Batang"/>
          <w:szCs w:val="24"/>
        </w:rPr>
        <w:t xml:space="preserve"> he evidences this with Office of Fair Trading (OFT) reports. The OFT found adverse publicity to increase</w:t>
      </w:r>
      <w:r w:rsidR="00B2031E">
        <w:rPr>
          <w:rStyle w:val="CharAttribute16"/>
          <w:rFonts w:eastAsia="Batang"/>
          <w:szCs w:val="24"/>
        </w:rPr>
        <w:t>s</w:t>
      </w:r>
      <w:r w:rsidR="001B2EE3">
        <w:rPr>
          <w:rStyle w:val="CharAttribute16"/>
          <w:rFonts w:eastAsia="Batang"/>
          <w:szCs w:val="24"/>
        </w:rPr>
        <w:t xml:space="preserve"> the effectiveness of enforcement actions, the impact of enforcement “</w:t>
      </w:r>
      <w:r w:rsidR="001B2EE3">
        <w:rPr>
          <w:rStyle w:val="CharAttribute16"/>
          <w:rFonts w:eastAsia="Batang"/>
          <w:i/>
          <w:szCs w:val="24"/>
        </w:rPr>
        <w:t>may be minimal where there is limited awareness of the consequences</w:t>
      </w:r>
      <w:r w:rsidR="00D8328A">
        <w:rPr>
          <w:rStyle w:val="CharAttribute16"/>
          <w:rFonts w:eastAsia="Batang"/>
          <w:i/>
          <w:szCs w:val="24"/>
        </w:rPr>
        <w:t>.</w:t>
      </w:r>
      <w:r w:rsidR="001B2EE3">
        <w:rPr>
          <w:rStyle w:val="CharAttribute16"/>
          <w:rFonts w:eastAsia="Batang"/>
          <w:szCs w:val="24"/>
        </w:rPr>
        <w:t>”</w:t>
      </w:r>
      <w:r w:rsidR="001B2EE3">
        <w:rPr>
          <w:rStyle w:val="FootnoteReference"/>
          <w:rFonts w:eastAsia="Batang"/>
          <w:szCs w:val="24"/>
        </w:rPr>
        <w:footnoteReference w:id="38"/>
      </w:r>
      <w:r w:rsidR="00D8328A">
        <w:rPr>
          <w:rStyle w:val="CharAttribute16"/>
          <w:rFonts w:eastAsia="Batang"/>
          <w:szCs w:val="24"/>
        </w:rPr>
        <w:t xml:space="preserve"> In a later report the OFT found 89% of companies considered “</w:t>
      </w:r>
      <w:r w:rsidR="00D8328A">
        <w:rPr>
          <w:rStyle w:val="CharAttribute16"/>
          <w:rFonts w:eastAsia="Batang"/>
          <w:i/>
          <w:szCs w:val="24"/>
        </w:rPr>
        <w:t>the threat of adverse publicity… as important as any financial penalty</w:t>
      </w:r>
      <w:r w:rsidR="00D8328A">
        <w:rPr>
          <w:rStyle w:val="CharAttribute16"/>
          <w:rFonts w:eastAsia="Batang"/>
          <w:szCs w:val="24"/>
        </w:rPr>
        <w:t>” if the company had breached consumer law.</w:t>
      </w:r>
      <w:r w:rsidR="00B44CB6">
        <w:rPr>
          <w:rStyle w:val="FootnoteReference"/>
          <w:rFonts w:eastAsia="Batang"/>
          <w:szCs w:val="24"/>
        </w:rPr>
        <w:footnoteReference w:id="39"/>
      </w:r>
      <w:r w:rsidR="0030259D">
        <w:rPr>
          <w:rStyle w:val="CharAttribute16"/>
          <w:rFonts w:eastAsia="Batang"/>
          <w:szCs w:val="24"/>
        </w:rPr>
        <w:t xml:space="preserve"> </w:t>
      </w:r>
      <w:r w:rsidR="00BC666A">
        <w:rPr>
          <w:rStyle w:val="CharAttribute16"/>
          <w:rFonts w:eastAsia="Batang"/>
          <w:szCs w:val="24"/>
        </w:rPr>
        <w:t xml:space="preserve">The threat being as </w:t>
      </w:r>
      <w:r w:rsidR="00B2031E">
        <w:rPr>
          <w:rStyle w:val="CharAttribute16"/>
          <w:rFonts w:eastAsia="Batang"/>
          <w:szCs w:val="24"/>
        </w:rPr>
        <w:t>negative</w:t>
      </w:r>
      <w:r w:rsidR="00BC666A">
        <w:rPr>
          <w:rStyle w:val="CharAttribute16"/>
          <w:rFonts w:eastAsia="Batang"/>
          <w:szCs w:val="24"/>
        </w:rPr>
        <w:t xml:space="preserve"> is important, if adverse publicity is something companies are genuinely fearful of then it should be used by regulators</w:t>
      </w:r>
      <w:r w:rsidR="00566FA3">
        <w:rPr>
          <w:rStyle w:val="CharAttribute16"/>
          <w:rFonts w:eastAsia="Batang"/>
          <w:szCs w:val="24"/>
        </w:rPr>
        <w:t>, “</w:t>
      </w:r>
      <w:r w:rsidR="00566FA3">
        <w:rPr>
          <w:rStyle w:val="CharAttribute16"/>
          <w:rFonts w:eastAsia="Batang"/>
          <w:i/>
          <w:szCs w:val="24"/>
        </w:rPr>
        <w:t>the bigger and more various are the sticks, the greater the success regulators will achieve by speaking softly</w:t>
      </w:r>
      <w:r w:rsidR="00BC666A">
        <w:rPr>
          <w:rStyle w:val="CharAttribute16"/>
          <w:rFonts w:eastAsia="Batang"/>
          <w:szCs w:val="24"/>
        </w:rPr>
        <w:t>.</w:t>
      </w:r>
      <w:r w:rsidR="00566FA3">
        <w:rPr>
          <w:rStyle w:val="CharAttribute16"/>
          <w:rFonts w:eastAsia="Batang"/>
          <w:szCs w:val="24"/>
        </w:rPr>
        <w:t>”</w:t>
      </w:r>
      <w:r w:rsidR="00566FA3">
        <w:rPr>
          <w:rStyle w:val="FootnoteReference"/>
          <w:rFonts w:eastAsia="Batang"/>
          <w:szCs w:val="24"/>
        </w:rPr>
        <w:footnoteReference w:id="40"/>
      </w:r>
      <w:r w:rsidR="00BC666A">
        <w:rPr>
          <w:rStyle w:val="CharAttribute16"/>
          <w:rFonts w:eastAsia="Batang"/>
          <w:szCs w:val="24"/>
        </w:rPr>
        <w:t xml:space="preserve"> </w:t>
      </w:r>
      <w:r w:rsidR="00566FA3">
        <w:rPr>
          <w:rStyle w:val="CharAttribute16"/>
          <w:rFonts w:eastAsia="Batang"/>
          <w:szCs w:val="24"/>
        </w:rPr>
        <w:t>If companies value their reputations, increasing</w:t>
      </w:r>
      <w:r w:rsidR="00BC666A">
        <w:rPr>
          <w:rStyle w:val="CharAttribute16"/>
          <w:rFonts w:eastAsia="Batang"/>
          <w:szCs w:val="24"/>
        </w:rPr>
        <w:t xml:space="preserve"> it should be used as an incentive; companies that consistently comply should receive positive publicity. A counter argument to this would be that compliance is not positive behaviour it is simply what they should do, but such an approach could address the perceived negative relationship between the regulator and the regulated. </w:t>
      </w:r>
    </w:p>
    <w:p w14:paraId="71CF291F" w14:textId="77777777" w:rsidR="00991188" w:rsidRDefault="00991188" w:rsidP="009956B9">
      <w:pPr>
        <w:pStyle w:val="NoSpacing"/>
        <w:rPr>
          <w:rStyle w:val="CharAttribute16"/>
          <w:rFonts w:eastAsia="Batang"/>
          <w:szCs w:val="24"/>
          <w:u w:val="single"/>
        </w:rPr>
      </w:pPr>
    </w:p>
    <w:p w14:paraId="33697AA8" w14:textId="77777777" w:rsidR="00CD6093" w:rsidRPr="00CD6093" w:rsidRDefault="00CD6093" w:rsidP="009956B9">
      <w:pPr>
        <w:pStyle w:val="NoSpacing"/>
        <w:rPr>
          <w:rStyle w:val="CharAttribute16"/>
          <w:rFonts w:eastAsia="Batang"/>
          <w:szCs w:val="24"/>
          <w:u w:val="single"/>
        </w:rPr>
      </w:pPr>
      <w:r>
        <w:rPr>
          <w:rStyle w:val="CharAttribute16"/>
          <w:rFonts w:eastAsia="Batang"/>
          <w:szCs w:val="24"/>
          <w:u w:val="single"/>
        </w:rPr>
        <w:t>The FSA Enforcement Strategy</w:t>
      </w:r>
    </w:p>
    <w:p w14:paraId="70934430" w14:textId="2F65D2F8" w:rsidR="006978BE" w:rsidRDefault="00692844" w:rsidP="009956B9">
      <w:pPr>
        <w:pStyle w:val="NoSpacing"/>
        <w:rPr>
          <w:rStyle w:val="CharAttribute16"/>
          <w:rFonts w:eastAsia="Batang"/>
          <w:szCs w:val="24"/>
        </w:rPr>
      </w:pPr>
      <w:r>
        <w:rPr>
          <w:rStyle w:val="CharAttribute16"/>
          <w:rFonts w:eastAsia="Batang"/>
          <w:szCs w:val="24"/>
        </w:rPr>
        <w:lastRenderedPageBreak/>
        <w:t>The FSA</w:t>
      </w:r>
      <w:r w:rsidR="006457DA">
        <w:rPr>
          <w:rStyle w:val="CharAttribute16"/>
          <w:rFonts w:eastAsia="Batang"/>
          <w:szCs w:val="24"/>
        </w:rPr>
        <w:t xml:space="preserve"> is currently the regulator of the UK financial system;</w:t>
      </w:r>
      <w:r w:rsidR="00E96C34">
        <w:rPr>
          <w:rStyle w:val="FootnoteReference"/>
          <w:rFonts w:eastAsia="Batang"/>
          <w:szCs w:val="24"/>
        </w:rPr>
        <w:footnoteReference w:id="41"/>
      </w:r>
      <w:r w:rsidR="006457DA">
        <w:rPr>
          <w:rStyle w:val="CharAttribute16"/>
          <w:rFonts w:eastAsia="Batang"/>
          <w:szCs w:val="24"/>
        </w:rPr>
        <w:t xml:space="preserve"> it</w:t>
      </w:r>
      <w:r>
        <w:rPr>
          <w:rStyle w:val="CharAttribute16"/>
          <w:rFonts w:eastAsia="Batang"/>
          <w:szCs w:val="24"/>
        </w:rPr>
        <w:t xml:space="preserve"> most recently outlined its approach to enforcement in November 2</w:t>
      </w:r>
      <w:r w:rsidR="006457DA">
        <w:rPr>
          <w:rStyle w:val="CharAttribute16"/>
          <w:rFonts w:eastAsia="Batang"/>
          <w:szCs w:val="24"/>
        </w:rPr>
        <w:t>012 in the latest version of the Enforcement Guide, found in the</w:t>
      </w:r>
      <w:r>
        <w:rPr>
          <w:rStyle w:val="CharAttribute16"/>
          <w:rFonts w:eastAsia="Batang"/>
          <w:szCs w:val="24"/>
        </w:rPr>
        <w:t xml:space="preserve"> FSA Handbook</w:t>
      </w:r>
      <w:r w:rsidR="00D01654">
        <w:rPr>
          <w:rStyle w:val="CharAttribute16"/>
          <w:rFonts w:eastAsia="Batang"/>
          <w:szCs w:val="24"/>
        </w:rPr>
        <w:t>.</w:t>
      </w:r>
      <w:r>
        <w:rPr>
          <w:rStyle w:val="FootnoteReference"/>
          <w:rFonts w:eastAsia="Batang"/>
          <w:szCs w:val="24"/>
        </w:rPr>
        <w:footnoteReference w:id="42"/>
      </w:r>
      <w:r w:rsidR="00D01654">
        <w:rPr>
          <w:rStyle w:val="CharAttribute16"/>
          <w:rFonts w:eastAsia="Batang"/>
          <w:szCs w:val="24"/>
        </w:rPr>
        <w:t xml:space="preserve"> This outlines the four principles under which the FSA uses its enforcement powers, these are; “</w:t>
      </w:r>
      <w:r w:rsidR="00D01654" w:rsidRPr="00D01654">
        <w:rPr>
          <w:rStyle w:val="CharAttribute16"/>
          <w:rFonts w:eastAsia="Batang"/>
          <w:i/>
          <w:szCs w:val="24"/>
        </w:rPr>
        <w:t>maintaining an open and co-operative relationship with regulators</w:t>
      </w:r>
      <w:r w:rsidR="00D01654">
        <w:rPr>
          <w:rStyle w:val="CharAttribute16"/>
          <w:rFonts w:eastAsia="Batang"/>
          <w:i/>
          <w:szCs w:val="24"/>
        </w:rPr>
        <w:t>”,</w:t>
      </w:r>
      <w:r w:rsidR="00D01654">
        <w:rPr>
          <w:rStyle w:val="FootnoteReference"/>
          <w:rFonts w:eastAsia="Batang"/>
          <w:szCs w:val="24"/>
        </w:rPr>
        <w:footnoteReference w:id="43"/>
      </w:r>
      <w:r w:rsidR="00D01654">
        <w:rPr>
          <w:rStyle w:val="CharAttribute16"/>
          <w:rFonts w:eastAsia="Batang"/>
          <w:szCs w:val="24"/>
        </w:rPr>
        <w:t xml:space="preserve"> proportionality,</w:t>
      </w:r>
      <w:r w:rsidR="00D01654">
        <w:rPr>
          <w:rStyle w:val="FootnoteReference"/>
          <w:rFonts w:eastAsia="Batang"/>
          <w:szCs w:val="24"/>
        </w:rPr>
        <w:footnoteReference w:id="44"/>
      </w:r>
      <w:r w:rsidR="00D01654">
        <w:rPr>
          <w:rStyle w:val="CharAttribute16"/>
          <w:rFonts w:eastAsia="Batang"/>
          <w:szCs w:val="24"/>
        </w:rPr>
        <w:t xml:space="preserve"> fair treatment,</w:t>
      </w:r>
      <w:r w:rsidR="00D01654">
        <w:rPr>
          <w:rStyle w:val="FootnoteReference"/>
          <w:rFonts w:eastAsia="Batang"/>
          <w:szCs w:val="24"/>
        </w:rPr>
        <w:footnoteReference w:id="45"/>
      </w:r>
      <w:r w:rsidR="00D01654">
        <w:rPr>
          <w:rStyle w:val="CharAttribute16"/>
          <w:rFonts w:eastAsia="Batang"/>
          <w:szCs w:val="24"/>
        </w:rPr>
        <w:t xml:space="preserve"> and deter future non-compliance.</w:t>
      </w:r>
      <w:r w:rsidR="00D01654">
        <w:rPr>
          <w:rStyle w:val="FootnoteReference"/>
          <w:rFonts w:eastAsia="Batang"/>
          <w:szCs w:val="24"/>
        </w:rPr>
        <w:footnoteReference w:id="46"/>
      </w:r>
      <w:r w:rsidR="00D01654">
        <w:rPr>
          <w:rStyle w:val="CharAttribute16"/>
          <w:rFonts w:eastAsia="Batang"/>
          <w:szCs w:val="24"/>
        </w:rPr>
        <w:t xml:space="preserve"> </w:t>
      </w:r>
      <w:r w:rsidR="006457DA">
        <w:rPr>
          <w:rStyle w:val="CharAttribute16"/>
          <w:rFonts w:eastAsia="Batang"/>
          <w:szCs w:val="24"/>
        </w:rPr>
        <w:t>Importantly the FSA stipulates it has discretion in handing down an enforcement action, the cooperative relationship will sometimes “</w:t>
      </w:r>
      <w:r w:rsidR="006457DA">
        <w:rPr>
          <w:rStyle w:val="CharAttribute16"/>
          <w:rFonts w:eastAsia="Batang"/>
          <w:i/>
          <w:szCs w:val="24"/>
        </w:rPr>
        <w:t>lead the FSA to decide against taking formal disciplinary action.</w:t>
      </w:r>
      <w:r w:rsidR="006457DA">
        <w:rPr>
          <w:rStyle w:val="CharAttribute16"/>
          <w:rFonts w:eastAsia="Batang"/>
          <w:szCs w:val="24"/>
        </w:rPr>
        <w:t>”</w:t>
      </w:r>
      <w:r w:rsidR="006457DA">
        <w:rPr>
          <w:rStyle w:val="FootnoteReference"/>
          <w:rFonts w:eastAsia="Batang"/>
          <w:szCs w:val="24"/>
        </w:rPr>
        <w:footnoteReference w:id="47"/>
      </w:r>
      <w:r w:rsidR="00C6674A">
        <w:rPr>
          <w:rStyle w:val="CharAttribute16"/>
          <w:rFonts w:eastAsia="Batang"/>
          <w:szCs w:val="24"/>
        </w:rPr>
        <w:t xml:space="preserve"> The position the FSA set</w:t>
      </w:r>
      <w:r w:rsidR="00B2031E">
        <w:rPr>
          <w:rStyle w:val="CharAttribute16"/>
          <w:rFonts w:eastAsia="Batang"/>
          <w:szCs w:val="24"/>
        </w:rPr>
        <w:t>s</w:t>
      </w:r>
      <w:r w:rsidR="00C6674A">
        <w:rPr>
          <w:rStyle w:val="CharAttribute16"/>
          <w:rFonts w:eastAsia="Batang"/>
          <w:szCs w:val="24"/>
        </w:rPr>
        <w:t xml:space="preserve"> out has </w:t>
      </w:r>
      <w:r w:rsidR="00B2031E">
        <w:rPr>
          <w:rStyle w:val="CharAttribute16"/>
          <w:rFonts w:eastAsia="Batang"/>
          <w:szCs w:val="24"/>
        </w:rPr>
        <w:t xml:space="preserve">been </w:t>
      </w:r>
      <w:r w:rsidR="00C6674A">
        <w:rPr>
          <w:rStyle w:val="CharAttribute16"/>
          <w:rFonts w:eastAsia="Batang"/>
          <w:szCs w:val="24"/>
        </w:rPr>
        <w:t>seen to be dif</w:t>
      </w:r>
      <w:r w:rsidR="003134DC">
        <w:rPr>
          <w:rStyle w:val="CharAttribute16"/>
          <w:rFonts w:eastAsia="Batang"/>
          <w:szCs w:val="24"/>
        </w:rPr>
        <w:t xml:space="preserve">ferent in </w:t>
      </w:r>
      <w:r w:rsidR="00A56C99">
        <w:rPr>
          <w:rStyle w:val="CharAttribute16"/>
          <w:rFonts w:eastAsia="Batang"/>
          <w:szCs w:val="24"/>
        </w:rPr>
        <w:t>practice;</w:t>
      </w:r>
      <w:r w:rsidR="003134DC">
        <w:rPr>
          <w:rStyle w:val="CharAttribute16"/>
          <w:rFonts w:eastAsia="Batang"/>
          <w:szCs w:val="24"/>
        </w:rPr>
        <w:t xml:space="preserve"> regulated fi</w:t>
      </w:r>
      <w:r w:rsidR="00C6674A">
        <w:rPr>
          <w:rStyle w:val="CharAttribute16"/>
          <w:rFonts w:eastAsia="Batang"/>
          <w:szCs w:val="24"/>
        </w:rPr>
        <w:t xml:space="preserve">rms consider the regulator to have taken </w:t>
      </w:r>
      <w:r w:rsidR="00A56C99">
        <w:rPr>
          <w:rStyle w:val="CharAttribute16"/>
          <w:rFonts w:eastAsia="Batang"/>
          <w:szCs w:val="24"/>
        </w:rPr>
        <w:t>a</w:t>
      </w:r>
      <w:r w:rsidR="00C6674A">
        <w:rPr>
          <w:rStyle w:val="CharAttribute16"/>
          <w:rFonts w:eastAsia="Batang"/>
          <w:szCs w:val="24"/>
        </w:rPr>
        <w:t xml:space="preserve"> </w:t>
      </w:r>
      <w:r w:rsidR="003134DC">
        <w:rPr>
          <w:rStyle w:val="CharAttribute16"/>
          <w:rFonts w:eastAsia="Batang"/>
          <w:szCs w:val="24"/>
        </w:rPr>
        <w:t>deterrence stance, using sanctions rather than education.</w:t>
      </w:r>
      <w:r w:rsidR="003134DC">
        <w:rPr>
          <w:rStyle w:val="FootnoteReference"/>
          <w:rFonts w:eastAsia="Batang"/>
          <w:szCs w:val="24"/>
        </w:rPr>
        <w:footnoteReference w:id="48"/>
      </w:r>
      <w:r w:rsidR="00566FA3">
        <w:rPr>
          <w:rStyle w:val="CharAttribute16"/>
          <w:rFonts w:eastAsia="Batang"/>
          <w:szCs w:val="24"/>
        </w:rPr>
        <w:t xml:space="preserve"> </w:t>
      </w:r>
      <w:r w:rsidR="00DA372D">
        <w:rPr>
          <w:rStyle w:val="CharAttribute16"/>
          <w:rFonts w:eastAsia="Batang"/>
          <w:szCs w:val="24"/>
        </w:rPr>
        <w:t>Examples of this can be found in the most recent annual assessment, undertaken by Travers Smith Regulatory Investigations Group</w:t>
      </w:r>
      <w:r w:rsidR="002C05DC">
        <w:rPr>
          <w:rStyle w:val="CharAttribute16"/>
          <w:rFonts w:eastAsia="Batang"/>
          <w:szCs w:val="24"/>
        </w:rPr>
        <w:t>.</w:t>
      </w:r>
      <w:r w:rsidR="00DA372D">
        <w:rPr>
          <w:rStyle w:val="FootnoteReference"/>
          <w:rFonts w:eastAsia="Batang"/>
          <w:szCs w:val="24"/>
        </w:rPr>
        <w:footnoteReference w:id="49"/>
      </w:r>
      <w:r w:rsidR="0004712B">
        <w:rPr>
          <w:rStyle w:val="CharAttribute16"/>
          <w:rFonts w:eastAsia="Batang"/>
          <w:szCs w:val="24"/>
        </w:rPr>
        <w:t xml:space="preserve"> </w:t>
      </w:r>
      <w:r w:rsidR="00B2031E">
        <w:rPr>
          <w:rStyle w:val="CharAttribute16"/>
          <w:rFonts w:eastAsia="Batang"/>
          <w:szCs w:val="24"/>
        </w:rPr>
        <w:t xml:space="preserve">One example is </w:t>
      </w:r>
      <w:r w:rsidR="00BD6EA5">
        <w:rPr>
          <w:rStyle w:val="CharAttribute16"/>
          <w:rFonts w:eastAsia="Batang"/>
          <w:szCs w:val="24"/>
        </w:rPr>
        <w:t>Mr Osborne</w:t>
      </w:r>
      <w:r w:rsidR="00B2031E">
        <w:rPr>
          <w:rStyle w:val="CharAttribute16"/>
          <w:rFonts w:eastAsia="Batang"/>
          <w:szCs w:val="24"/>
        </w:rPr>
        <w:t>. He</w:t>
      </w:r>
      <w:r w:rsidR="00BD6EA5">
        <w:rPr>
          <w:rStyle w:val="CharAttribute16"/>
          <w:rFonts w:eastAsia="Batang"/>
          <w:szCs w:val="24"/>
        </w:rPr>
        <w:t xml:space="preserve"> was fined £350000 for engaging in market abuse, despite the FSA acknowledging Mr Osborne “</w:t>
      </w:r>
      <w:r w:rsidR="00BD6EA5">
        <w:rPr>
          <w:rStyle w:val="CharAttribute16"/>
          <w:rFonts w:eastAsia="Batang"/>
          <w:i/>
          <w:szCs w:val="24"/>
        </w:rPr>
        <w:t>was not deliberate or reckless</w:t>
      </w:r>
      <w:r w:rsidR="00BD6EA5">
        <w:rPr>
          <w:rStyle w:val="CharAttribute16"/>
          <w:rFonts w:eastAsia="Batang"/>
          <w:szCs w:val="24"/>
        </w:rPr>
        <w:t>”</w:t>
      </w:r>
      <w:r w:rsidR="00BD6EA5">
        <w:rPr>
          <w:rStyle w:val="FootnoteReference"/>
          <w:rFonts w:eastAsia="Batang"/>
          <w:szCs w:val="24"/>
        </w:rPr>
        <w:footnoteReference w:id="50"/>
      </w:r>
      <w:r w:rsidR="00BD6EA5">
        <w:rPr>
          <w:rStyle w:val="CharAttribute16"/>
          <w:rFonts w:eastAsia="Batang"/>
          <w:szCs w:val="24"/>
        </w:rPr>
        <w:t xml:space="preserve"> in his actions, he did not “</w:t>
      </w:r>
      <w:r w:rsidR="00BD6EA5">
        <w:rPr>
          <w:rStyle w:val="CharAttribute16"/>
          <w:rFonts w:eastAsia="Batang"/>
          <w:i/>
          <w:szCs w:val="24"/>
        </w:rPr>
        <w:t>intend or expect</w:t>
      </w:r>
      <w:r w:rsidR="00BD6EA5">
        <w:rPr>
          <w:rStyle w:val="CharAttribute16"/>
          <w:rFonts w:eastAsia="Batang"/>
          <w:szCs w:val="24"/>
        </w:rPr>
        <w:t>”</w:t>
      </w:r>
      <w:r w:rsidR="00BD6EA5">
        <w:rPr>
          <w:rStyle w:val="FootnoteReference"/>
          <w:rFonts w:eastAsia="Batang"/>
          <w:szCs w:val="24"/>
        </w:rPr>
        <w:footnoteReference w:id="51"/>
      </w:r>
      <w:r w:rsidR="00BD6EA5">
        <w:rPr>
          <w:rStyle w:val="CharAttribute16"/>
          <w:rFonts w:eastAsia="Batang"/>
          <w:szCs w:val="24"/>
        </w:rPr>
        <w:t xml:space="preserve"> dealings based on the disclosed information, and that Mr Osborne did not stand to gain from the resultant sale.</w:t>
      </w:r>
      <w:r w:rsidR="00BD6EA5">
        <w:rPr>
          <w:rStyle w:val="FootnoteReference"/>
          <w:rFonts w:eastAsia="Batang"/>
          <w:szCs w:val="24"/>
        </w:rPr>
        <w:footnoteReference w:id="52"/>
      </w:r>
      <w:r w:rsidR="001452C2">
        <w:rPr>
          <w:rStyle w:val="CharAttribute16"/>
          <w:rFonts w:eastAsia="Batang"/>
          <w:szCs w:val="24"/>
        </w:rPr>
        <w:t xml:space="preserve"> The fine was imposed to “</w:t>
      </w:r>
      <w:r w:rsidR="001452C2">
        <w:rPr>
          <w:rStyle w:val="CharAttribute16"/>
          <w:rFonts w:eastAsia="Batang"/>
          <w:i/>
          <w:szCs w:val="24"/>
        </w:rPr>
        <w:t xml:space="preserve">send a message of </w:t>
      </w:r>
      <w:r w:rsidR="001452C2">
        <w:rPr>
          <w:rStyle w:val="CharAttribute16"/>
          <w:rFonts w:eastAsia="Batang"/>
          <w:i/>
          <w:szCs w:val="24"/>
        </w:rPr>
        <w:lastRenderedPageBreak/>
        <w:t>deterrence</w:t>
      </w:r>
      <w:r w:rsidR="001452C2">
        <w:rPr>
          <w:rStyle w:val="CharAttribute16"/>
          <w:rFonts w:eastAsia="Batang"/>
          <w:szCs w:val="24"/>
        </w:rPr>
        <w:t>”,</w:t>
      </w:r>
      <w:r w:rsidR="001452C2">
        <w:rPr>
          <w:rStyle w:val="FootnoteReference"/>
          <w:rFonts w:eastAsia="Batang"/>
          <w:szCs w:val="24"/>
        </w:rPr>
        <w:footnoteReference w:id="53"/>
      </w:r>
      <w:r w:rsidR="001452C2">
        <w:rPr>
          <w:rStyle w:val="CharAttribute16"/>
          <w:rFonts w:eastAsia="Batang"/>
          <w:szCs w:val="24"/>
        </w:rPr>
        <w:t xml:space="preserve"> this would be reasonable should Mr Osborne have not been such an unfortunate individual. The FSA should have chosen a more deserving individual for this fine, and sought to educate Mr Osborne so as to ensure his future compliance. It is true that this action will serve as warning, but it will also </w:t>
      </w:r>
      <w:r w:rsidR="006978BE">
        <w:rPr>
          <w:rStyle w:val="CharAttribute16"/>
          <w:rFonts w:eastAsia="Batang"/>
          <w:szCs w:val="24"/>
        </w:rPr>
        <w:t>portray</w:t>
      </w:r>
      <w:r w:rsidR="001452C2">
        <w:rPr>
          <w:rStyle w:val="CharAttribute16"/>
          <w:rFonts w:eastAsia="Batang"/>
          <w:szCs w:val="24"/>
        </w:rPr>
        <w:t xml:space="preserve"> the regulator in a bad light</w:t>
      </w:r>
      <w:r w:rsidR="006978BE">
        <w:rPr>
          <w:rStyle w:val="CharAttribute16"/>
          <w:rFonts w:eastAsia="Batang"/>
          <w:szCs w:val="24"/>
        </w:rPr>
        <w:t xml:space="preserve">, as a bit of a bully, this could act to further push the regulated away and towards the ‘cat-and-mouse’ situation. </w:t>
      </w:r>
    </w:p>
    <w:p w14:paraId="5CABD860" w14:textId="77777777" w:rsidR="00E96255" w:rsidRDefault="00E96255" w:rsidP="009956B9">
      <w:pPr>
        <w:pStyle w:val="NoSpacing"/>
        <w:rPr>
          <w:rStyle w:val="CharAttribute16"/>
          <w:rFonts w:eastAsia="Batang"/>
          <w:szCs w:val="24"/>
        </w:rPr>
      </w:pPr>
    </w:p>
    <w:p w14:paraId="4798CD4A" w14:textId="77777777" w:rsidR="003E2C79" w:rsidRDefault="00B2031E" w:rsidP="009956B9">
      <w:pPr>
        <w:pStyle w:val="NoSpacing"/>
        <w:rPr>
          <w:rStyle w:val="CharAttribute16"/>
          <w:rFonts w:eastAsia="Batang"/>
          <w:szCs w:val="24"/>
        </w:rPr>
      </w:pPr>
      <w:r>
        <w:rPr>
          <w:rStyle w:val="CharAttribute16"/>
          <w:rFonts w:eastAsia="Batang"/>
          <w:szCs w:val="24"/>
        </w:rPr>
        <w:t>The FSA hav</w:t>
      </w:r>
      <w:r w:rsidR="00E96255">
        <w:rPr>
          <w:rStyle w:val="CharAttribute16"/>
          <w:rFonts w:eastAsia="Batang"/>
          <w:szCs w:val="24"/>
        </w:rPr>
        <w:t>e also criticised for increasing compliance costs, it was claimed last year that it could cost the industry up to £1.4 billion annually to comply with FSA regulations.</w:t>
      </w:r>
      <w:r w:rsidR="00E96255">
        <w:rPr>
          <w:rStyle w:val="FootnoteReference"/>
          <w:rFonts w:eastAsia="Batang"/>
          <w:szCs w:val="24"/>
        </w:rPr>
        <w:footnoteReference w:id="54"/>
      </w:r>
      <w:r w:rsidR="00E96255">
        <w:rPr>
          <w:rStyle w:val="CharAttribute16"/>
          <w:rFonts w:eastAsia="Batang"/>
          <w:szCs w:val="24"/>
        </w:rPr>
        <w:t xml:space="preserve"> This highlights a contributing factor to the compliance approach costing governments and regulators less than the deterrence approach; the costs are borne by the regulated. </w:t>
      </w:r>
      <w:r w:rsidR="0064485C">
        <w:rPr>
          <w:rStyle w:val="CharAttribute16"/>
          <w:rFonts w:eastAsia="Batang"/>
          <w:szCs w:val="24"/>
        </w:rPr>
        <w:t xml:space="preserve">High compliance costs </w:t>
      </w:r>
      <w:r w:rsidR="00E96255">
        <w:rPr>
          <w:rStyle w:val="CharAttribute16"/>
          <w:rFonts w:eastAsia="Batang"/>
          <w:szCs w:val="24"/>
        </w:rPr>
        <w:t xml:space="preserve">look set to continue </w:t>
      </w:r>
      <w:r w:rsidR="0064485C">
        <w:rPr>
          <w:rStyle w:val="CharAttribute16"/>
          <w:rFonts w:eastAsia="Batang"/>
          <w:szCs w:val="24"/>
        </w:rPr>
        <w:t>as reports suggest a 20% rise in regulatory costs in the future.</w:t>
      </w:r>
      <w:r w:rsidR="0064485C">
        <w:rPr>
          <w:rStyle w:val="FootnoteReference"/>
          <w:rFonts w:eastAsia="Batang"/>
          <w:szCs w:val="24"/>
        </w:rPr>
        <w:footnoteReference w:id="55"/>
      </w:r>
    </w:p>
    <w:p w14:paraId="4C0877BC" w14:textId="77777777" w:rsidR="003E2C79" w:rsidRDefault="003E2C79" w:rsidP="009956B9">
      <w:pPr>
        <w:pStyle w:val="NoSpacing"/>
        <w:rPr>
          <w:rStyle w:val="CharAttribute16"/>
          <w:rFonts w:eastAsia="Batang"/>
          <w:szCs w:val="24"/>
        </w:rPr>
      </w:pPr>
    </w:p>
    <w:p w14:paraId="7BE637B1" w14:textId="77777777" w:rsidR="0003498F" w:rsidRDefault="00646935" w:rsidP="009956B9">
      <w:pPr>
        <w:pStyle w:val="NoSpacing"/>
        <w:rPr>
          <w:rStyle w:val="CharAttribute16"/>
          <w:rFonts w:eastAsia="Batang"/>
          <w:szCs w:val="24"/>
        </w:rPr>
      </w:pPr>
      <w:r>
        <w:rPr>
          <w:rStyle w:val="CharAttribute16"/>
          <w:rFonts w:eastAsia="Batang"/>
          <w:szCs w:val="24"/>
        </w:rPr>
        <w:t xml:space="preserve">It is difficult to compare the FSA’s use of persuasive approaches to the use of formal sanctions. </w:t>
      </w:r>
      <w:r w:rsidR="007621D4">
        <w:rPr>
          <w:rStyle w:val="CharAttribute16"/>
          <w:rFonts w:eastAsia="Batang"/>
          <w:szCs w:val="24"/>
        </w:rPr>
        <w:t>P</w:t>
      </w:r>
      <w:r>
        <w:rPr>
          <w:rStyle w:val="CharAttribute16"/>
          <w:rFonts w:eastAsia="Batang"/>
          <w:szCs w:val="24"/>
        </w:rPr>
        <w:t xml:space="preserve">ersuasive action is not readily available in the public </w:t>
      </w:r>
      <w:r w:rsidR="007621D4">
        <w:rPr>
          <w:rStyle w:val="CharAttribute16"/>
          <w:rFonts w:eastAsia="Batang"/>
          <w:szCs w:val="24"/>
        </w:rPr>
        <w:t>domain;</w:t>
      </w:r>
      <w:r>
        <w:rPr>
          <w:rStyle w:val="CharAttribute16"/>
          <w:rFonts w:eastAsia="Batang"/>
          <w:szCs w:val="24"/>
        </w:rPr>
        <w:t xml:space="preserve"> this is deliberate</w:t>
      </w:r>
      <w:r w:rsidR="007621D4">
        <w:rPr>
          <w:rStyle w:val="CharAttribute16"/>
          <w:rFonts w:eastAsia="Batang"/>
          <w:szCs w:val="24"/>
        </w:rPr>
        <w:t xml:space="preserve"> because p</w:t>
      </w:r>
      <w:r w:rsidR="006F0EF9">
        <w:rPr>
          <w:rStyle w:val="CharAttribute16"/>
          <w:rFonts w:eastAsia="Batang"/>
          <w:szCs w:val="24"/>
        </w:rPr>
        <w:t>ublicity</w:t>
      </w:r>
      <w:r>
        <w:rPr>
          <w:rStyle w:val="CharAttribute16"/>
          <w:rFonts w:eastAsia="Batang"/>
          <w:szCs w:val="24"/>
        </w:rPr>
        <w:t xml:space="preserve"> </w:t>
      </w:r>
      <w:r w:rsidR="006F0EF9">
        <w:rPr>
          <w:rStyle w:val="CharAttribute16"/>
          <w:rFonts w:eastAsia="Batang"/>
          <w:szCs w:val="24"/>
        </w:rPr>
        <w:t>can be</w:t>
      </w:r>
      <w:r w:rsidR="00CD6093">
        <w:rPr>
          <w:rStyle w:val="CharAttribute16"/>
          <w:rFonts w:eastAsia="Batang"/>
          <w:szCs w:val="24"/>
        </w:rPr>
        <w:t xml:space="preserve"> seen as a</w:t>
      </w:r>
      <w:r>
        <w:rPr>
          <w:rStyle w:val="CharAttribute16"/>
          <w:rFonts w:eastAsia="Batang"/>
          <w:szCs w:val="24"/>
        </w:rPr>
        <w:t xml:space="preserve"> </w:t>
      </w:r>
      <w:r w:rsidR="00CD6093">
        <w:rPr>
          <w:rStyle w:val="CharAttribute16"/>
          <w:rFonts w:eastAsia="Batang"/>
          <w:szCs w:val="24"/>
        </w:rPr>
        <w:t>sanction</w:t>
      </w:r>
      <w:r w:rsidR="001170B5">
        <w:rPr>
          <w:rStyle w:val="CharAttribute16"/>
          <w:rFonts w:eastAsia="Batang"/>
          <w:szCs w:val="24"/>
        </w:rPr>
        <w:t xml:space="preserve"> in itself</w:t>
      </w:r>
      <w:r w:rsidR="006978BE">
        <w:rPr>
          <w:rStyle w:val="CharAttribute16"/>
          <w:rFonts w:eastAsia="Batang"/>
          <w:szCs w:val="24"/>
        </w:rPr>
        <w:t>,</w:t>
      </w:r>
      <w:r w:rsidR="007621D4">
        <w:rPr>
          <w:rStyle w:val="FootnoteReference"/>
          <w:rFonts w:eastAsia="Batang"/>
          <w:szCs w:val="24"/>
        </w:rPr>
        <w:footnoteReference w:id="56"/>
      </w:r>
      <w:r w:rsidR="006978BE">
        <w:rPr>
          <w:rStyle w:val="CharAttribute16"/>
          <w:rFonts w:eastAsia="Batang"/>
          <w:szCs w:val="24"/>
        </w:rPr>
        <w:t xml:space="preserve"> as discussed above. It can be seen </w:t>
      </w:r>
      <w:r w:rsidR="000621F7">
        <w:rPr>
          <w:rStyle w:val="CharAttribute16"/>
          <w:rFonts w:eastAsia="Batang"/>
          <w:szCs w:val="24"/>
        </w:rPr>
        <w:t xml:space="preserve">from Figure 2 that the FSA did not </w:t>
      </w:r>
      <w:r w:rsidR="00163806">
        <w:rPr>
          <w:rStyle w:val="CharAttribute16"/>
          <w:rFonts w:eastAsia="Batang"/>
          <w:szCs w:val="24"/>
        </w:rPr>
        <w:t>exercise its sanctioning powers as it</w:t>
      </w:r>
      <w:r w:rsidR="007E713B">
        <w:rPr>
          <w:rStyle w:val="CharAttribute16"/>
          <w:rFonts w:eastAsia="Batang"/>
          <w:szCs w:val="24"/>
        </w:rPr>
        <w:t xml:space="preserve"> often in its first 4 years of existence. The increase in use appears to coincide with the beginning of the credit crisis and has decreased in the last two y</w:t>
      </w:r>
      <w:r w:rsidR="00937B21">
        <w:rPr>
          <w:rStyle w:val="CharAttribute16"/>
          <w:rFonts w:eastAsia="Batang"/>
          <w:szCs w:val="24"/>
        </w:rPr>
        <w:t xml:space="preserve">ears. </w:t>
      </w:r>
    </w:p>
    <w:p w14:paraId="49F37DAE" w14:textId="77777777" w:rsidR="00FB6D7C" w:rsidRDefault="00FB6D7C" w:rsidP="009956B9">
      <w:pPr>
        <w:pStyle w:val="NoSpacing"/>
      </w:pPr>
    </w:p>
    <w:p w14:paraId="1D296A22" w14:textId="77777777" w:rsidR="00FB6D7C" w:rsidRPr="00FB6D7C" w:rsidRDefault="00FB6D7C" w:rsidP="009956B9">
      <w:pPr>
        <w:pStyle w:val="Caption"/>
        <w:keepNext/>
        <w:jc w:val="both"/>
        <w:rPr>
          <w:b w:val="0"/>
          <w:color w:val="auto"/>
          <w:sz w:val="24"/>
          <w:szCs w:val="24"/>
        </w:rPr>
      </w:pPr>
      <w:r w:rsidRPr="009956B9">
        <w:rPr>
          <w:b w:val="0"/>
          <w:color w:val="auto"/>
          <w:sz w:val="24"/>
          <w:szCs w:val="24"/>
          <w:u w:val="single"/>
        </w:rPr>
        <w:lastRenderedPageBreak/>
        <w:t xml:space="preserve">Figure </w:t>
      </w:r>
      <w:r w:rsidRPr="009956B9">
        <w:rPr>
          <w:b w:val="0"/>
          <w:color w:val="auto"/>
          <w:sz w:val="24"/>
          <w:szCs w:val="24"/>
          <w:u w:val="single"/>
        </w:rPr>
        <w:fldChar w:fldCharType="begin"/>
      </w:r>
      <w:r w:rsidRPr="009956B9">
        <w:rPr>
          <w:b w:val="0"/>
          <w:color w:val="auto"/>
          <w:sz w:val="24"/>
          <w:szCs w:val="24"/>
          <w:u w:val="single"/>
        </w:rPr>
        <w:instrText xml:space="preserve"> SEQ Figure \* ARABIC </w:instrText>
      </w:r>
      <w:r w:rsidRPr="009956B9">
        <w:rPr>
          <w:b w:val="0"/>
          <w:color w:val="auto"/>
          <w:sz w:val="24"/>
          <w:szCs w:val="24"/>
          <w:u w:val="single"/>
        </w:rPr>
        <w:fldChar w:fldCharType="separate"/>
      </w:r>
      <w:r w:rsidR="00A4495F">
        <w:rPr>
          <w:b w:val="0"/>
          <w:noProof/>
          <w:color w:val="auto"/>
          <w:sz w:val="24"/>
          <w:szCs w:val="24"/>
          <w:u w:val="single"/>
        </w:rPr>
        <w:t>2</w:t>
      </w:r>
      <w:r w:rsidRPr="009956B9">
        <w:rPr>
          <w:b w:val="0"/>
          <w:color w:val="auto"/>
          <w:sz w:val="24"/>
          <w:szCs w:val="24"/>
          <w:u w:val="single"/>
        </w:rPr>
        <w:fldChar w:fldCharType="end"/>
      </w:r>
      <w:r>
        <w:rPr>
          <w:rStyle w:val="FootnoteReference"/>
          <w:b w:val="0"/>
          <w:color w:val="auto"/>
          <w:sz w:val="24"/>
          <w:szCs w:val="24"/>
        </w:rPr>
        <w:footnoteReference w:id="57"/>
      </w:r>
    </w:p>
    <w:p w14:paraId="58D95FBC" w14:textId="77777777" w:rsidR="006E2F25" w:rsidRDefault="00FB6D7C" w:rsidP="009956B9">
      <w:pPr>
        <w:pStyle w:val="NoSpacing"/>
        <w:rPr>
          <w:noProof/>
        </w:rPr>
      </w:pPr>
      <w:r w:rsidRPr="005E5B00">
        <w:rPr>
          <w:noProof/>
        </w:rPr>
        <mc:AlternateContent>
          <mc:Choice Requires="wps">
            <w:drawing>
              <wp:anchor distT="0" distB="0" distL="114300" distR="114300" simplePos="0" relativeHeight="251659264" behindDoc="0" locked="0" layoutInCell="1" allowOverlap="1" wp14:anchorId="56A1B12E" wp14:editId="141722C8">
                <wp:simplePos x="0" y="0"/>
                <wp:positionH relativeFrom="column">
                  <wp:posOffset>1504950</wp:posOffset>
                </wp:positionH>
                <wp:positionV relativeFrom="paragraph">
                  <wp:posOffset>86360</wp:posOffset>
                </wp:positionV>
                <wp:extent cx="2508250" cy="27559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75590"/>
                        </a:xfrm>
                        <a:prstGeom prst="rect">
                          <a:avLst/>
                        </a:prstGeom>
                        <a:solidFill>
                          <a:srgbClr val="FFFFFF"/>
                        </a:solidFill>
                        <a:ln w="9525">
                          <a:noFill/>
                          <a:miter lim="800000"/>
                          <a:headEnd/>
                          <a:tailEnd/>
                        </a:ln>
                      </wps:spPr>
                      <wps:txbx>
                        <w:txbxContent>
                          <w:p w14:paraId="69538C0B" w14:textId="77777777" w:rsidR="00454722" w:rsidRPr="005E5B00" w:rsidRDefault="00454722">
                            <w:pPr>
                              <w:rPr>
                                <w:b/>
                                <w:sz w:val="24"/>
                                <w:szCs w:val="24"/>
                              </w:rPr>
                            </w:pPr>
                            <w:r w:rsidRPr="005E5B00">
                              <w:rPr>
                                <w:b/>
                                <w:sz w:val="24"/>
                                <w:szCs w:val="24"/>
                              </w:rPr>
                              <w:t>FSA Enforcement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5pt;margin-top:6.8pt;width:197.5pt;height:2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" stroked="f">
                <v:textbox style="mso-fit-shape-to-text:t">
                  <w:txbxContent>
                    <w:p w14:paraId="69538C0B" w14:textId="77777777" w:rsidR="00454722" w:rsidRPr="005E5B00" w:rsidRDefault="00454722">
                      <w:pPr>
                        <w:rPr>
                          <w:b/>
                          <w:sz w:val="24"/>
                          <w:szCs w:val="24"/>
                        </w:rPr>
                      </w:pPr>
                      <w:r w:rsidRPr="005E5B00">
                        <w:rPr>
                          <w:b/>
                          <w:sz w:val="24"/>
                          <w:szCs w:val="24"/>
                        </w:rPr>
                        <w:t>FSA Enforcement Action</w:t>
                      </w:r>
                    </w:p>
                  </w:txbxContent>
                </v:textbox>
              </v:shape>
            </w:pict>
          </mc:Fallback>
        </mc:AlternateContent>
      </w:r>
      <w:r w:rsidR="005E5B00">
        <w:rPr>
          <w:noProof/>
        </w:rPr>
        <w:drawing>
          <wp:inline distT="0" distB="0" distL="0" distR="0" wp14:anchorId="569E09CD" wp14:editId="07EAF1B1">
            <wp:extent cx="5543550" cy="32289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3A90C8" w14:textId="77777777" w:rsidR="000B30D0" w:rsidRPr="000B30D0" w:rsidRDefault="000B30D0" w:rsidP="009956B9">
      <w:pPr>
        <w:pStyle w:val="NoSpacing"/>
        <w:rPr>
          <w:rStyle w:val="CharAttribute16"/>
          <w:rFonts w:eastAsia="Batang"/>
          <w:szCs w:val="24"/>
          <w:u w:val="single"/>
        </w:rPr>
      </w:pPr>
      <w:r w:rsidRPr="000B30D0">
        <w:rPr>
          <w:rStyle w:val="CharAttribute16"/>
          <w:rFonts w:eastAsia="Batang"/>
          <w:szCs w:val="24"/>
          <w:u w:val="single"/>
        </w:rPr>
        <w:t>Fines</w:t>
      </w:r>
    </w:p>
    <w:p w14:paraId="2FD10832" w14:textId="77777777" w:rsidR="00FB6D7C" w:rsidRDefault="00FB6D7C" w:rsidP="009956B9">
      <w:pPr>
        <w:pStyle w:val="NoSpacing"/>
        <w:rPr>
          <w:rStyle w:val="CharAttribute16"/>
          <w:rFonts w:eastAsia="Batang"/>
          <w:szCs w:val="24"/>
        </w:rPr>
      </w:pPr>
      <w:r>
        <w:rPr>
          <w:rStyle w:val="CharAttribute16"/>
          <w:rFonts w:eastAsia="Batang"/>
          <w:szCs w:val="24"/>
        </w:rPr>
        <w:t>Figure 3 shows a trend in increasing in total fines, fines in 2012 easily total more than 2002-</w:t>
      </w:r>
      <w:r w:rsidR="00412D43">
        <w:rPr>
          <w:rStyle w:val="CharAttribute16"/>
          <w:rFonts w:eastAsia="Batang"/>
          <w:szCs w:val="24"/>
        </w:rPr>
        <w:t>0</w:t>
      </w:r>
      <w:r>
        <w:rPr>
          <w:rStyle w:val="CharAttribute16"/>
          <w:rFonts w:eastAsia="Batang"/>
          <w:szCs w:val="24"/>
        </w:rPr>
        <w:t>9 combined.  The total number of fine</w:t>
      </w:r>
      <w:r w:rsidR="00B2031E">
        <w:rPr>
          <w:rStyle w:val="CharAttribute16"/>
          <w:rFonts w:eastAsia="Batang"/>
          <w:szCs w:val="24"/>
        </w:rPr>
        <w:t>s</w:t>
      </w:r>
      <w:r>
        <w:rPr>
          <w:rStyle w:val="CharAttribute16"/>
          <w:rFonts w:eastAsia="Batang"/>
          <w:szCs w:val="24"/>
        </w:rPr>
        <w:t xml:space="preserve"> will clearly influence the eventual total value, but there is clear increase in the size of each fine, in 2008 there were more fines than in 2012, yet the total value of fines for 2012 is more than 4 times that of 2008. This trend can be seen in the size of the average fine shown in Figure 4.</w:t>
      </w:r>
    </w:p>
    <w:p w14:paraId="01344135" w14:textId="77777777" w:rsidR="006E2F25" w:rsidRDefault="006E2F25" w:rsidP="009956B9">
      <w:pPr>
        <w:pStyle w:val="NoSpacing"/>
        <w:rPr>
          <w:noProof/>
        </w:rPr>
      </w:pPr>
    </w:p>
    <w:p w14:paraId="4CB635F7" w14:textId="77777777" w:rsidR="009956B9" w:rsidRPr="009956B9" w:rsidRDefault="009956B9" w:rsidP="009956B9">
      <w:pPr>
        <w:pStyle w:val="Caption"/>
        <w:keepNext/>
        <w:jc w:val="both"/>
        <w:rPr>
          <w:b w:val="0"/>
          <w:color w:val="auto"/>
          <w:sz w:val="24"/>
          <w:szCs w:val="24"/>
        </w:rPr>
      </w:pPr>
      <w:r w:rsidRPr="009956B9">
        <w:rPr>
          <w:b w:val="0"/>
          <w:color w:val="auto"/>
          <w:sz w:val="24"/>
          <w:szCs w:val="24"/>
          <w:u w:val="single"/>
        </w:rPr>
        <w:lastRenderedPageBreak/>
        <w:t xml:space="preserve">Figure </w:t>
      </w:r>
      <w:r w:rsidRPr="009956B9">
        <w:rPr>
          <w:b w:val="0"/>
          <w:color w:val="auto"/>
          <w:sz w:val="24"/>
          <w:szCs w:val="24"/>
          <w:u w:val="single"/>
        </w:rPr>
        <w:fldChar w:fldCharType="begin"/>
      </w:r>
      <w:r w:rsidRPr="009956B9">
        <w:rPr>
          <w:b w:val="0"/>
          <w:color w:val="auto"/>
          <w:sz w:val="24"/>
          <w:szCs w:val="24"/>
          <w:u w:val="single"/>
        </w:rPr>
        <w:instrText xml:space="preserve"> SEQ Figure \* ARABIC </w:instrText>
      </w:r>
      <w:r w:rsidRPr="009956B9">
        <w:rPr>
          <w:b w:val="0"/>
          <w:color w:val="auto"/>
          <w:sz w:val="24"/>
          <w:szCs w:val="24"/>
          <w:u w:val="single"/>
        </w:rPr>
        <w:fldChar w:fldCharType="separate"/>
      </w:r>
      <w:r w:rsidR="00A4495F">
        <w:rPr>
          <w:b w:val="0"/>
          <w:noProof/>
          <w:color w:val="auto"/>
          <w:sz w:val="24"/>
          <w:szCs w:val="24"/>
          <w:u w:val="single"/>
        </w:rPr>
        <w:t>3</w:t>
      </w:r>
      <w:r w:rsidRPr="009956B9">
        <w:rPr>
          <w:b w:val="0"/>
          <w:color w:val="auto"/>
          <w:sz w:val="24"/>
          <w:szCs w:val="24"/>
          <w:u w:val="single"/>
        </w:rPr>
        <w:fldChar w:fldCharType="end"/>
      </w:r>
      <w:r>
        <w:rPr>
          <w:rStyle w:val="FootnoteReference"/>
          <w:b w:val="0"/>
          <w:color w:val="auto"/>
          <w:sz w:val="24"/>
          <w:szCs w:val="24"/>
        </w:rPr>
        <w:footnoteReference w:id="58"/>
      </w:r>
    </w:p>
    <w:p w14:paraId="054128EA" w14:textId="77777777" w:rsidR="0048741F" w:rsidRDefault="0048741F" w:rsidP="009956B9">
      <w:pPr>
        <w:pStyle w:val="NoSpacing"/>
        <w:rPr>
          <w:noProof/>
        </w:rPr>
      </w:pPr>
      <w:r>
        <w:rPr>
          <w:noProof/>
        </w:rPr>
        <w:drawing>
          <wp:inline distT="0" distB="0" distL="0" distR="0" wp14:anchorId="5B46BC36" wp14:editId="43AF4433">
            <wp:extent cx="5475383" cy="362454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CB5254" w14:textId="77777777" w:rsidR="000621F7" w:rsidRDefault="000621F7" w:rsidP="009956B9">
      <w:pPr>
        <w:pStyle w:val="NoSpacing"/>
        <w:rPr>
          <w:noProof/>
        </w:rPr>
      </w:pPr>
    </w:p>
    <w:p w14:paraId="262238A2" w14:textId="77777777" w:rsidR="00B2031E" w:rsidRDefault="00B2031E" w:rsidP="009956B9">
      <w:pPr>
        <w:pStyle w:val="NoSpacing"/>
        <w:rPr>
          <w:rStyle w:val="CharAttribute16"/>
          <w:rFonts w:eastAsia="Batang"/>
          <w:szCs w:val="24"/>
        </w:rPr>
      </w:pPr>
    </w:p>
    <w:p w14:paraId="09E369B5" w14:textId="77777777" w:rsidR="00B2031E" w:rsidRPr="00B2031E" w:rsidRDefault="00B2031E" w:rsidP="00B2031E">
      <w:pPr>
        <w:rPr>
          <w:rFonts w:eastAsia="Batang"/>
        </w:rPr>
      </w:pPr>
    </w:p>
    <w:p w14:paraId="745B09D6" w14:textId="77777777" w:rsidR="00B2031E" w:rsidRPr="00B2031E" w:rsidRDefault="00B2031E" w:rsidP="00B2031E">
      <w:pPr>
        <w:rPr>
          <w:rFonts w:eastAsia="Batang"/>
        </w:rPr>
      </w:pPr>
    </w:p>
    <w:p w14:paraId="639542B6" w14:textId="77777777" w:rsidR="00B2031E" w:rsidRPr="00B2031E" w:rsidRDefault="00B2031E" w:rsidP="00B2031E">
      <w:pPr>
        <w:rPr>
          <w:rFonts w:eastAsia="Batang"/>
        </w:rPr>
      </w:pPr>
    </w:p>
    <w:p w14:paraId="702D3694" w14:textId="77777777" w:rsidR="00B2031E" w:rsidRPr="00B2031E" w:rsidRDefault="00B2031E" w:rsidP="00B2031E">
      <w:pPr>
        <w:rPr>
          <w:rFonts w:eastAsia="Batang"/>
        </w:rPr>
      </w:pPr>
    </w:p>
    <w:p w14:paraId="1193AC47" w14:textId="77777777" w:rsidR="00B2031E" w:rsidRPr="00B2031E" w:rsidRDefault="00B2031E" w:rsidP="00B2031E">
      <w:pPr>
        <w:rPr>
          <w:rFonts w:eastAsia="Batang"/>
        </w:rPr>
      </w:pPr>
    </w:p>
    <w:p w14:paraId="6944D178" w14:textId="77777777" w:rsidR="00B2031E" w:rsidRPr="00B2031E" w:rsidRDefault="00B2031E" w:rsidP="00B2031E">
      <w:pPr>
        <w:rPr>
          <w:rFonts w:eastAsia="Batang"/>
        </w:rPr>
      </w:pPr>
    </w:p>
    <w:p w14:paraId="1024D2D8" w14:textId="77777777" w:rsidR="00B2031E" w:rsidRPr="00B2031E" w:rsidRDefault="00B2031E" w:rsidP="00B2031E">
      <w:pPr>
        <w:rPr>
          <w:rFonts w:eastAsia="Batang"/>
        </w:rPr>
      </w:pPr>
    </w:p>
    <w:p w14:paraId="6FB971AC" w14:textId="77777777" w:rsidR="00B2031E" w:rsidRPr="00B2031E" w:rsidRDefault="00B2031E" w:rsidP="00B2031E">
      <w:pPr>
        <w:rPr>
          <w:rFonts w:eastAsia="Batang"/>
        </w:rPr>
      </w:pPr>
    </w:p>
    <w:p w14:paraId="384ABF15" w14:textId="77777777" w:rsidR="00B2031E" w:rsidRPr="00B2031E" w:rsidRDefault="00B2031E" w:rsidP="00B2031E">
      <w:pPr>
        <w:rPr>
          <w:rFonts w:eastAsia="Batang"/>
        </w:rPr>
      </w:pPr>
    </w:p>
    <w:p w14:paraId="26915C2D" w14:textId="77777777" w:rsidR="00B2031E" w:rsidRPr="00B2031E" w:rsidRDefault="00B2031E" w:rsidP="00B2031E">
      <w:pPr>
        <w:rPr>
          <w:rFonts w:eastAsia="Batang"/>
        </w:rPr>
      </w:pPr>
    </w:p>
    <w:p w14:paraId="3189F221" w14:textId="77777777" w:rsidR="00B2031E" w:rsidRPr="00B2031E" w:rsidRDefault="00B2031E" w:rsidP="00B2031E">
      <w:pPr>
        <w:rPr>
          <w:rFonts w:eastAsia="Batang"/>
        </w:rPr>
      </w:pPr>
    </w:p>
    <w:p w14:paraId="141AB648" w14:textId="77777777" w:rsidR="00B2031E" w:rsidRDefault="00B2031E" w:rsidP="00B2031E">
      <w:pPr>
        <w:rPr>
          <w:rFonts w:eastAsia="Batang"/>
        </w:rPr>
      </w:pPr>
    </w:p>
    <w:p w14:paraId="5FCF96E9" w14:textId="77777777" w:rsidR="00B2031E" w:rsidRDefault="00B2031E" w:rsidP="00B2031E">
      <w:pPr>
        <w:rPr>
          <w:rFonts w:eastAsia="Batang"/>
        </w:rPr>
      </w:pPr>
    </w:p>
    <w:p w14:paraId="39DD4FAC" w14:textId="77777777" w:rsidR="0048741F" w:rsidRPr="00B2031E" w:rsidRDefault="0048741F" w:rsidP="00B2031E">
      <w:pPr>
        <w:jc w:val="center"/>
        <w:rPr>
          <w:rFonts w:eastAsia="Batang"/>
        </w:rPr>
      </w:pPr>
    </w:p>
    <w:p w14:paraId="7A4649F4" w14:textId="77777777" w:rsidR="009956B9" w:rsidRPr="009956B9" w:rsidRDefault="009956B9" w:rsidP="009956B9">
      <w:pPr>
        <w:pStyle w:val="Caption"/>
        <w:keepNext/>
        <w:jc w:val="both"/>
        <w:rPr>
          <w:b w:val="0"/>
          <w:color w:val="auto"/>
          <w:sz w:val="24"/>
          <w:szCs w:val="24"/>
        </w:rPr>
      </w:pPr>
      <w:r w:rsidRPr="00F87CA7">
        <w:rPr>
          <w:b w:val="0"/>
          <w:color w:val="auto"/>
          <w:sz w:val="24"/>
          <w:szCs w:val="24"/>
          <w:u w:val="single"/>
        </w:rPr>
        <w:lastRenderedPageBreak/>
        <w:t xml:space="preserve">Figure </w:t>
      </w:r>
      <w:r w:rsidRPr="00F87CA7">
        <w:rPr>
          <w:b w:val="0"/>
          <w:color w:val="auto"/>
          <w:sz w:val="24"/>
          <w:szCs w:val="24"/>
          <w:u w:val="single"/>
        </w:rPr>
        <w:fldChar w:fldCharType="begin"/>
      </w:r>
      <w:r w:rsidRPr="00F87CA7">
        <w:rPr>
          <w:b w:val="0"/>
          <w:color w:val="auto"/>
          <w:sz w:val="24"/>
          <w:szCs w:val="24"/>
          <w:u w:val="single"/>
        </w:rPr>
        <w:instrText xml:space="preserve"> SEQ Figure \* ARABIC </w:instrText>
      </w:r>
      <w:r w:rsidRPr="00F87CA7">
        <w:rPr>
          <w:b w:val="0"/>
          <w:color w:val="auto"/>
          <w:sz w:val="24"/>
          <w:szCs w:val="24"/>
          <w:u w:val="single"/>
        </w:rPr>
        <w:fldChar w:fldCharType="separate"/>
      </w:r>
      <w:r w:rsidR="00A4495F">
        <w:rPr>
          <w:b w:val="0"/>
          <w:noProof/>
          <w:color w:val="auto"/>
          <w:sz w:val="24"/>
          <w:szCs w:val="24"/>
          <w:u w:val="single"/>
        </w:rPr>
        <w:t>4</w:t>
      </w:r>
      <w:r w:rsidRPr="00F87CA7">
        <w:rPr>
          <w:b w:val="0"/>
          <w:color w:val="auto"/>
          <w:sz w:val="24"/>
          <w:szCs w:val="24"/>
          <w:u w:val="single"/>
        </w:rPr>
        <w:fldChar w:fldCharType="end"/>
      </w:r>
      <w:r>
        <w:rPr>
          <w:rStyle w:val="FootnoteReference"/>
          <w:b w:val="0"/>
          <w:color w:val="auto"/>
          <w:sz w:val="24"/>
          <w:szCs w:val="24"/>
        </w:rPr>
        <w:footnoteReference w:id="59"/>
      </w:r>
    </w:p>
    <w:p w14:paraId="759018FD" w14:textId="77777777" w:rsidR="00566FA3" w:rsidRPr="006457DA" w:rsidRDefault="00721D89" w:rsidP="009956B9">
      <w:pPr>
        <w:pStyle w:val="NoSpacing"/>
        <w:rPr>
          <w:rStyle w:val="CharAttribute16"/>
          <w:rFonts w:eastAsia="Batang"/>
          <w:szCs w:val="24"/>
        </w:rPr>
      </w:pPr>
      <w:r w:rsidRPr="00721D89">
        <w:rPr>
          <w:noProof/>
        </w:rPr>
        <w:drawing>
          <wp:inline distT="0" distB="0" distL="0" distR="0" wp14:anchorId="35D8378A" wp14:editId="42D768E6">
            <wp:extent cx="5667375" cy="28003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1B8BC9" w14:textId="77777777" w:rsidR="006E6278" w:rsidRDefault="006E6278" w:rsidP="009956B9">
      <w:pPr>
        <w:pStyle w:val="NoSpacing"/>
      </w:pPr>
    </w:p>
    <w:p w14:paraId="1FCE6AD3" w14:textId="77777777" w:rsidR="00412D43" w:rsidRDefault="00412D43" w:rsidP="009956B9">
      <w:pPr>
        <w:pStyle w:val="NoSpacing"/>
      </w:pPr>
      <w:r>
        <w:t>The £59.5 million fine of Barclays</w:t>
      </w:r>
      <w:r w:rsidR="00EB3E70">
        <w:rPr>
          <w:rStyle w:val="FootnoteReference"/>
        </w:rPr>
        <w:footnoteReference w:id="60"/>
      </w:r>
      <w:r>
        <w:t xml:space="preserve"> will have been a factor in the high average fine for 2012; however there was also a £29.7 million fine for UBS in relation to failings in the Kweku Adoboli case.</w:t>
      </w:r>
      <w:r>
        <w:rPr>
          <w:rStyle w:val="FootnoteReference"/>
        </w:rPr>
        <w:footnoteReference w:id="61"/>
      </w:r>
      <w:r w:rsidR="00B84E07">
        <w:t xml:space="preserve"> Despite the size of these fines, questions can still be raised as to the effectiveness of </w:t>
      </w:r>
      <w:r w:rsidR="007853B5">
        <w:t>them.</w:t>
      </w:r>
      <w:r w:rsidR="00B84E07">
        <w:t xml:space="preserve"> Barclays posted pre-tax profits of £5,879 million (nearly £5.9 billion) </w:t>
      </w:r>
      <w:r w:rsidR="007853B5">
        <w:t>for 2011,</w:t>
      </w:r>
      <w:r w:rsidR="007853B5">
        <w:rPr>
          <w:rStyle w:val="FootnoteReference"/>
        </w:rPr>
        <w:footnoteReference w:id="62"/>
      </w:r>
      <w:r w:rsidR="007853B5">
        <w:t xml:space="preserve"> based on this the FSA fine equates to just 1.012% of Barclays pre-tax profits. </w:t>
      </w:r>
      <w:r w:rsidR="00F61B74">
        <w:t>The same can be shown for UBS; their fine was worth 0.8% of their pre-tax operating profits of 5,350 million Swiss Francs.</w:t>
      </w:r>
      <w:r w:rsidR="00F61B74">
        <w:rPr>
          <w:rStyle w:val="FootnoteReference"/>
        </w:rPr>
        <w:footnoteReference w:id="63"/>
      </w:r>
      <w:r w:rsidR="00691634">
        <w:t xml:space="preserve"> </w:t>
      </w:r>
      <w:r w:rsidR="00B331B2">
        <w:t xml:space="preserve">If fines are going to be used as deterrence mechanisms then </w:t>
      </w:r>
      <w:r w:rsidR="00B331B2">
        <w:lastRenderedPageBreak/>
        <w:t xml:space="preserve">they surely need to be higher, or they will be seen as affordable, as such the ‘amoral calculator’ will not consider a fine enough of a consequence. </w:t>
      </w:r>
    </w:p>
    <w:p w14:paraId="4CE4DB19" w14:textId="77777777" w:rsidR="000B30D0" w:rsidRDefault="000B30D0" w:rsidP="009956B9">
      <w:pPr>
        <w:pStyle w:val="NoSpacing"/>
      </w:pPr>
    </w:p>
    <w:p w14:paraId="02B61BA3" w14:textId="77777777" w:rsidR="000B30D0" w:rsidRDefault="000B30D0" w:rsidP="009956B9">
      <w:pPr>
        <w:pStyle w:val="NoSpacing"/>
      </w:pPr>
    </w:p>
    <w:p w14:paraId="1F4EEF9E" w14:textId="77777777" w:rsidR="006E6278" w:rsidRDefault="0036361F" w:rsidP="009956B9">
      <w:pPr>
        <w:pStyle w:val="NoSpacing"/>
      </w:pPr>
      <w:r>
        <w:t>Fines are not the only sanction the FSA uses;</w:t>
      </w:r>
      <w:r w:rsidR="006E6278">
        <w:t xml:space="preserve"> Figure 2 shows that fines have</w:t>
      </w:r>
      <w:r>
        <w:t xml:space="preserve"> </w:t>
      </w:r>
      <w:r w:rsidR="006E6278">
        <w:t>accounted for less than half the Final Notices since 2003. The FSA has the power to prosecute and has frequently secured prison sentences for criminal convictions.</w:t>
      </w:r>
    </w:p>
    <w:p w14:paraId="324B4B1B" w14:textId="77777777" w:rsidR="006E6278" w:rsidRDefault="006E6278" w:rsidP="009956B9">
      <w:pPr>
        <w:pStyle w:val="NoSpacing"/>
      </w:pPr>
    </w:p>
    <w:p w14:paraId="0D8D18F6" w14:textId="77777777" w:rsidR="006E6278" w:rsidRDefault="006E6278" w:rsidP="009956B9">
      <w:pPr>
        <w:pStyle w:val="NoSpacing"/>
        <w:rPr>
          <w:u w:val="single"/>
        </w:rPr>
      </w:pPr>
      <w:r>
        <w:rPr>
          <w:u w:val="single"/>
        </w:rPr>
        <w:t>Prison Sentences</w:t>
      </w:r>
    </w:p>
    <w:p w14:paraId="79035A26" w14:textId="77777777" w:rsidR="00F215D0" w:rsidRPr="00F215D0" w:rsidRDefault="00BE651C" w:rsidP="009956B9">
      <w:pPr>
        <w:pStyle w:val="NoSpacing"/>
      </w:pPr>
      <w:r>
        <w:t>The fraudulent rouge trader Kweku Adoboli is the most memorable financial crime case to c</w:t>
      </w:r>
      <w:r w:rsidR="00B2031E">
        <w:t>ome to court in the UK in 2012</w:t>
      </w:r>
      <w:r>
        <w:t>, sentenced to 7 years</w:t>
      </w:r>
      <w:r w:rsidR="00FB6D7C">
        <w:t xml:space="preserve"> in prison after causing £1.4bn in losses.</w:t>
      </w:r>
      <w:r>
        <w:rPr>
          <w:rStyle w:val="FootnoteReference"/>
        </w:rPr>
        <w:footnoteReference w:id="64"/>
      </w:r>
      <w:r w:rsidR="00FB6D7C">
        <w:t xml:space="preserve"> Prior to this, in May </w:t>
      </w:r>
      <w:r w:rsidR="009956B9">
        <w:t>the Travers Smith Regulatory Investigations Group had described 2012 as a “</w:t>
      </w:r>
      <w:r w:rsidR="009956B9">
        <w:rPr>
          <w:i/>
        </w:rPr>
        <w:t>quieter few months</w:t>
      </w:r>
      <w:r w:rsidR="009956B9">
        <w:t>”</w:t>
      </w:r>
      <w:r w:rsidR="009956B9">
        <w:rPr>
          <w:rStyle w:val="FootnoteReference"/>
        </w:rPr>
        <w:footnoteReference w:id="65"/>
      </w:r>
      <w:r w:rsidR="009956B9">
        <w:t xml:space="preserve"> in relation to criminal cases, however they did point out that 20 individuals were facing trial at the time.</w:t>
      </w:r>
      <w:r w:rsidR="009956B9">
        <w:rPr>
          <w:rStyle w:val="FootnoteReference"/>
        </w:rPr>
        <w:footnoteReference w:id="66"/>
      </w:r>
      <w:r w:rsidR="009956B9">
        <w:t xml:space="preserve"> Some of these can be s</w:t>
      </w:r>
      <w:r w:rsidR="002017E9">
        <w:t>een to have yielded convictions;</w:t>
      </w:r>
      <w:r w:rsidR="009956B9">
        <w:t xml:space="preserve"> </w:t>
      </w:r>
      <w:r w:rsidR="002017E9">
        <w:t>a four and a half year sentence for money laundering in April,</w:t>
      </w:r>
      <w:r w:rsidR="002017E9">
        <w:rPr>
          <w:rStyle w:val="FootnoteReference"/>
        </w:rPr>
        <w:footnoteReference w:id="67"/>
      </w:r>
      <w:r w:rsidR="002017E9">
        <w:t xml:space="preserve"> </w:t>
      </w:r>
      <w:r w:rsidR="009956B9">
        <w:t xml:space="preserve">three </w:t>
      </w:r>
      <w:r w:rsidR="002017E9">
        <w:t>convictions for insider dealing received a total of nine years and ten months in June,</w:t>
      </w:r>
      <w:r w:rsidR="002017E9">
        <w:rPr>
          <w:rStyle w:val="FootnoteReference"/>
        </w:rPr>
        <w:footnoteReference w:id="68"/>
      </w:r>
      <w:r w:rsidR="002017E9">
        <w:t xml:space="preserve"> </w:t>
      </w:r>
      <w:r w:rsidR="00DC1275">
        <w:t>and six more insider dealing convictions adding up to sixteen years in July.</w:t>
      </w:r>
      <w:r w:rsidR="00DC1275">
        <w:rPr>
          <w:rStyle w:val="FootnoteReference"/>
        </w:rPr>
        <w:footnoteReference w:id="69"/>
      </w:r>
      <w:r w:rsidR="006D6188">
        <w:t xml:space="preserve"> </w:t>
      </w:r>
      <w:r w:rsidR="00AB4A48">
        <w:t>The Adoboli sentence was the maximum he could have expected based on sentencing guidelines</w:t>
      </w:r>
      <w:r w:rsidR="00F87CA7">
        <w:t>.</w:t>
      </w:r>
      <w:r w:rsidR="00AB4A48">
        <w:rPr>
          <w:rStyle w:val="FootnoteReference"/>
        </w:rPr>
        <w:footnoteReference w:id="70"/>
      </w:r>
    </w:p>
    <w:p w14:paraId="10A65A45" w14:textId="77777777" w:rsidR="00E91431" w:rsidRPr="00A1444E" w:rsidRDefault="00E91431" w:rsidP="009956B9">
      <w:pPr>
        <w:pStyle w:val="NoSpacing"/>
      </w:pPr>
    </w:p>
    <w:p w14:paraId="58E1C349" w14:textId="77777777" w:rsidR="006E6278" w:rsidRPr="00F87CA7" w:rsidRDefault="00F87CA7" w:rsidP="009956B9">
      <w:pPr>
        <w:pStyle w:val="NoSpacing"/>
        <w:rPr>
          <w:u w:val="single"/>
        </w:rPr>
      </w:pPr>
      <w:r w:rsidRPr="00F87CA7">
        <w:rPr>
          <w:u w:val="single"/>
        </w:rPr>
        <w:lastRenderedPageBreak/>
        <w:t>United States Enforcement</w:t>
      </w:r>
    </w:p>
    <w:p w14:paraId="680DA687" w14:textId="77777777" w:rsidR="00F87CA7" w:rsidRDefault="00F87CA7" w:rsidP="009956B9">
      <w:pPr>
        <w:pStyle w:val="NoSpacing"/>
        <w:rPr>
          <w:rStyle w:val="CharAttribute15"/>
          <w:rFonts w:eastAsia="Batang"/>
          <w:color w:val="auto"/>
          <w:szCs w:val="24"/>
        </w:rPr>
      </w:pPr>
      <w:r>
        <w:rPr>
          <w:rStyle w:val="CharAttribute15"/>
          <w:rFonts w:eastAsia="Batang"/>
          <w:color w:val="auto"/>
          <w:szCs w:val="24"/>
        </w:rPr>
        <w:t>The US provid</w:t>
      </w:r>
      <w:r w:rsidR="00B2031E">
        <w:rPr>
          <w:rStyle w:val="CharAttribute15"/>
          <w:rFonts w:eastAsia="Batang"/>
          <w:color w:val="auto"/>
          <w:szCs w:val="24"/>
        </w:rPr>
        <w:t xml:space="preserve">es a good comparison to the UK, having a </w:t>
      </w:r>
      <w:r>
        <w:rPr>
          <w:rStyle w:val="CharAttribute15"/>
          <w:rFonts w:eastAsia="Batang"/>
          <w:color w:val="auto"/>
          <w:szCs w:val="24"/>
        </w:rPr>
        <w:t>simi</w:t>
      </w:r>
      <w:r w:rsidR="00B2031E">
        <w:rPr>
          <w:rStyle w:val="CharAttribute15"/>
          <w:rFonts w:eastAsia="Batang"/>
          <w:color w:val="auto"/>
          <w:szCs w:val="24"/>
        </w:rPr>
        <w:t>lar legal system facing the similar</w:t>
      </w:r>
      <w:r>
        <w:rPr>
          <w:rStyle w:val="CharAttribute15"/>
          <w:rFonts w:eastAsia="Batang"/>
          <w:color w:val="auto"/>
          <w:szCs w:val="24"/>
        </w:rPr>
        <w:t xml:space="preserve"> issues</w:t>
      </w:r>
      <w:r w:rsidR="00E91431">
        <w:rPr>
          <w:rStyle w:val="CharAttribute15"/>
          <w:rFonts w:eastAsia="Batang"/>
          <w:color w:val="auto"/>
          <w:szCs w:val="24"/>
        </w:rPr>
        <w:t>. It employs a comparable approach in that it will sentence individuals to prison sentences and fines individuals and firms. The US has been seen to use longer sentences and higher fines than the UK, with a variety of offences warranting a prison term.</w:t>
      </w:r>
    </w:p>
    <w:p w14:paraId="6EBA6F2B" w14:textId="77777777" w:rsidR="00E91431" w:rsidRDefault="00E91431" w:rsidP="009956B9">
      <w:pPr>
        <w:pStyle w:val="NoSpacing"/>
        <w:rPr>
          <w:rStyle w:val="CharAttribute15"/>
          <w:rFonts w:eastAsia="Batang"/>
          <w:color w:val="auto"/>
          <w:szCs w:val="24"/>
        </w:rPr>
      </w:pPr>
    </w:p>
    <w:p w14:paraId="0147B491" w14:textId="77777777" w:rsidR="00E91431" w:rsidRDefault="00E91431" w:rsidP="009956B9">
      <w:pPr>
        <w:pStyle w:val="NoSpacing"/>
        <w:rPr>
          <w:rStyle w:val="CharAttribute15"/>
          <w:rFonts w:eastAsia="Batang"/>
          <w:color w:val="auto"/>
          <w:szCs w:val="24"/>
          <w:u w:val="single"/>
        </w:rPr>
      </w:pPr>
      <w:r>
        <w:rPr>
          <w:rStyle w:val="CharAttribute15"/>
          <w:rFonts w:eastAsia="Batang"/>
          <w:color w:val="auto"/>
          <w:szCs w:val="24"/>
          <w:u w:val="single"/>
        </w:rPr>
        <w:t>Prison Sentences</w:t>
      </w:r>
    </w:p>
    <w:p w14:paraId="36E6E08A" w14:textId="77777777" w:rsidR="00E91431" w:rsidRDefault="00E91431" w:rsidP="009956B9">
      <w:pPr>
        <w:pStyle w:val="NoSpacing"/>
        <w:rPr>
          <w:rStyle w:val="CharAttribute15"/>
          <w:rFonts w:eastAsia="Batang"/>
          <w:color w:val="auto"/>
          <w:szCs w:val="24"/>
        </w:rPr>
      </w:pPr>
      <w:r>
        <w:rPr>
          <w:rStyle w:val="CharAttribute15"/>
          <w:rFonts w:eastAsia="Batang"/>
          <w:color w:val="auto"/>
          <w:szCs w:val="24"/>
        </w:rPr>
        <w:t>The US has much higher maximum sentences for financial crime than the UK</w:t>
      </w:r>
      <w:r w:rsidR="00105A99">
        <w:rPr>
          <w:rStyle w:val="CharAttribute15"/>
          <w:rFonts w:eastAsia="Batang"/>
          <w:color w:val="auto"/>
          <w:szCs w:val="24"/>
        </w:rPr>
        <w:t xml:space="preserve"> and has had a fraud offence since 1872;</w:t>
      </w:r>
      <w:r w:rsidR="00105A99">
        <w:rPr>
          <w:rStyle w:val="FootnoteReference"/>
          <w:rFonts w:eastAsia="Batang"/>
          <w:szCs w:val="24"/>
        </w:rPr>
        <w:footnoteReference w:id="71"/>
      </w:r>
      <w:r>
        <w:rPr>
          <w:rStyle w:val="CharAttribute15"/>
          <w:rFonts w:eastAsia="Batang"/>
          <w:color w:val="auto"/>
          <w:szCs w:val="24"/>
        </w:rPr>
        <w:t xml:space="preserve"> </w:t>
      </w:r>
      <w:r w:rsidR="00114C65">
        <w:rPr>
          <w:rStyle w:val="CharAttribute15"/>
          <w:rFonts w:eastAsia="Batang"/>
          <w:color w:val="auto"/>
          <w:szCs w:val="24"/>
        </w:rPr>
        <w:t xml:space="preserve">China </w:t>
      </w:r>
      <w:r w:rsidR="00105A99">
        <w:rPr>
          <w:rStyle w:val="CharAttribute15"/>
          <w:rFonts w:eastAsia="Batang"/>
          <w:color w:val="auto"/>
          <w:szCs w:val="24"/>
        </w:rPr>
        <w:t>is even stricter, it uses</w:t>
      </w:r>
      <w:r w:rsidR="00114C65">
        <w:rPr>
          <w:rStyle w:val="CharAttribute15"/>
          <w:rFonts w:eastAsia="Batang"/>
          <w:color w:val="auto"/>
          <w:szCs w:val="24"/>
        </w:rPr>
        <w:t xml:space="preserve"> the death penalty </w:t>
      </w:r>
      <w:r w:rsidR="00105A99">
        <w:rPr>
          <w:rStyle w:val="CharAttribute15"/>
          <w:rFonts w:eastAsia="Batang"/>
          <w:color w:val="auto"/>
          <w:szCs w:val="24"/>
        </w:rPr>
        <w:t>for</w:t>
      </w:r>
      <w:r w:rsidR="00114C65">
        <w:rPr>
          <w:rStyle w:val="CharAttribute15"/>
          <w:rFonts w:eastAsia="Batang"/>
          <w:color w:val="auto"/>
          <w:szCs w:val="24"/>
        </w:rPr>
        <w:t xml:space="preserve"> some white-collar crimes.</w:t>
      </w:r>
      <w:r w:rsidR="00114C65">
        <w:rPr>
          <w:rStyle w:val="FootnoteReference"/>
          <w:rFonts w:eastAsia="Batang"/>
          <w:szCs w:val="24"/>
        </w:rPr>
        <w:footnoteReference w:id="72"/>
      </w:r>
      <w:r>
        <w:rPr>
          <w:rStyle w:val="CharAttribute15"/>
          <w:rFonts w:eastAsia="Batang"/>
          <w:color w:val="auto"/>
          <w:szCs w:val="24"/>
        </w:rPr>
        <w:t xml:space="preserve"> </w:t>
      </w:r>
      <w:r w:rsidR="00114C65">
        <w:rPr>
          <w:rStyle w:val="CharAttribute15"/>
          <w:rFonts w:eastAsia="Batang"/>
          <w:color w:val="auto"/>
          <w:szCs w:val="24"/>
        </w:rPr>
        <w:t>The US has a maximum</w:t>
      </w:r>
      <w:r w:rsidR="005565B3">
        <w:rPr>
          <w:rStyle w:val="CharAttribute15"/>
          <w:rFonts w:eastAsia="Batang"/>
          <w:color w:val="auto"/>
          <w:szCs w:val="24"/>
        </w:rPr>
        <w:t xml:space="preserve"> prison</w:t>
      </w:r>
      <w:r w:rsidR="00114C65">
        <w:rPr>
          <w:rStyle w:val="CharAttribute15"/>
          <w:rFonts w:eastAsia="Batang"/>
          <w:color w:val="auto"/>
          <w:szCs w:val="24"/>
        </w:rPr>
        <w:t xml:space="preserve"> sentence of 20 years for </w:t>
      </w:r>
      <w:r w:rsidR="005565B3">
        <w:rPr>
          <w:rStyle w:val="CharAttribute15"/>
          <w:rFonts w:eastAsia="Batang"/>
          <w:color w:val="auto"/>
          <w:szCs w:val="24"/>
        </w:rPr>
        <w:t xml:space="preserve">fraud and money </w:t>
      </w:r>
      <w:r w:rsidR="00105A99">
        <w:rPr>
          <w:rStyle w:val="CharAttribute15"/>
          <w:rFonts w:eastAsia="Batang"/>
          <w:color w:val="auto"/>
          <w:szCs w:val="24"/>
        </w:rPr>
        <w:t>laundering;</w:t>
      </w:r>
      <w:r w:rsidR="005565B3">
        <w:rPr>
          <w:rStyle w:val="FootnoteReference"/>
          <w:rFonts w:eastAsia="Batang"/>
          <w:szCs w:val="24"/>
        </w:rPr>
        <w:footnoteReference w:id="73"/>
      </w:r>
      <w:r w:rsidR="005565B3">
        <w:rPr>
          <w:rStyle w:val="CharAttribute15"/>
          <w:rFonts w:eastAsia="Batang"/>
          <w:color w:val="auto"/>
          <w:szCs w:val="24"/>
        </w:rPr>
        <w:t xml:space="preserve"> </w:t>
      </w:r>
      <w:r w:rsidR="00105A99">
        <w:rPr>
          <w:rStyle w:val="CharAttribute15"/>
          <w:rFonts w:eastAsia="Batang"/>
          <w:color w:val="auto"/>
          <w:szCs w:val="24"/>
        </w:rPr>
        <w:t>it</w:t>
      </w:r>
      <w:r w:rsidR="00812447">
        <w:rPr>
          <w:rStyle w:val="CharAttribute15"/>
          <w:rFonts w:eastAsia="Batang"/>
          <w:color w:val="auto"/>
          <w:szCs w:val="24"/>
        </w:rPr>
        <w:t xml:space="preserve"> criminalises a wide range of fraudulent activities, and</w:t>
      </w:r>
      <w:r w:rsidR="00691634">
        <w:rPr>
          <w:rStyle w:val="CharAttribute15"/>
          <w:rFonts w:eastAsia="Batang"/>
          <w:color w:val="auto"/>
          <w:szCs w:val="24"/>
        </w:rPr>
        <w:t xml:space="preserve"> often sets sentences to run consecutively.</w:t>
      </w:r>
      <w:r w:rsidR="00691634">
        <w:rPr>
          <w:rStyle w:val="FootnoteReference"/>
          <w:rFonts w:eastAsia="Batang"/>
          <w:szCs w:val="24"/>
        </w:rPr>
        <w:footnoteReference w:id="74"/>
      </w:r>
      <w:r w:rsidR="00105A99">
        <w:rPr>
          <w:rStyle w:val="CharAttribute15"/>
          <w:rFonts w:eastAsia="Batang"/>
          <w:color w:val="auto"/>
          <w:szCs w:val="24"/>
        </w:rPr>
        <w:t xml:space="preserve"> Offences attracting prison sentences include; mail fraud,</w:t>
      </w:r>
      <w:r w:rsidR="00105A99">
        <w:rPr>
          <w:rStyle w:val="FootnoteReference"/>
          <w:rFonts w:eastAsia="Batang"/>
          <w:szCs w:val="24"/>
        </w:rPr>
        <w:footnoteReference w:id="75"/>
      </w:r>
      <w:r w:rsidR="00105A99">
        <w:rPr>
          <w:rStyle w:val="CharAttribute15"/>
          <w:rFonts w:eastAsia="Batang"/>
          <w:color w:val="auto"/>
          <w:szCs w:val="24"/>
        </w:rPr>
        <w:t xml:space="preserve"> bank fraud</w:t>
      </w:r>
      <w:r w:rsidR="00105A99">
        <w:rPr>
          <w:rStyle w:val="FootnoteReference"/>
          <w:rFonts w:eastAsia="Batang"/>
          <w:szCs w:val="24"/>
        </w:rPr>
        <w:footnoteReference w:id="76"/>
      </w:r>
      <w:r w:rsidR="00105A99">
        <w:rPr>
          <w:rStyle w:val="CharAttribute15"/>
          <w:rFonts w:eastAsia="Batang"/>
          <w:color w:val="auto"/>
          <w:szCs w:val="24"/>
        </w:rPr>
        <w:t xml:space="preserve"> and securities and commodities fraud.</w:t>
      </w:r>
      <w:r w:rsidR="00105A99">
        <w:rPr>
          <w:rStyle w:val="FootnoteReference"/>
          <w:rFonts w:eastAsia="Batang"/>
          <w:szCs w:val="24"/>
        </w:rPr>
        <w:footnoteReference w:id="77"/>
      </w:r>
      <w:r w:rsidR="00F77AB9">
        <w:rPr>
          <w:rStyle w:val="CharAttribute15"/>
          <w:rFonts w:eastAsia="Batang"/>
          <w:color w:val="auto"/>
          <w:szCs w:val="24"/>
        </w:rPr>
        <w:t xml:space="preserve"> </w:t>
      </w:r>
    </w:p>
    <w:p w14:paraId="5240DB02" w14:textId="77777777" w:rsidR="00F77AB9" w:rsidRDefault="00F77AB9" w:rsidP="009956B9">
      <w:pPr>
        <w:pStyle w:val="NoSpacing"/>
        <w:rPr>
          <w:rStyle w:val="CharAttribute15"/>
          <w:rFonts w:eastAsia="Batang"/>
          <w:color w:val="auto"/>
          <w:szCs w:val="24"/>
        </w:rPr>
      </w:pPr>
    </w:p>
    <w:p w14:paraId="1D1ECEF8" w14:textId="77777777" w:rsidR="00CD345E" w:rsidRDefault="00F77AB9" w:rsidP="009956B9">
      <w:pPr>
        <w:pStyle w:val="NoSpacing"/>
        <w:rPr>
          <w:rStyle w:val="CharAttribute15"/>
          <w:rFonts w:eastAsia="Batang"/>
          <w:color w:val="auto"/>
          <w:szCs w:val="24"/>
        </w:rPr>
      </w:pPr>
      <w:r>
        <w:rPr>
          <w:rStyle w:val="CharAttribute15"/>
          <w:rFonts w:eastAsia="Batang"/>
          <w:color w:val="auto"/>
          <w:szCs w:val="24"/>
        </w:rPr>
        <w:t xml:space="preserve">The record prison sentence for fraud was given to Shalom Weiss in 2000 who received a total of 845 years in </w:t>
      </w:r>
      <w:r w:rsidR="002F188F">
        <w:rPr>
          <w:rStyle w:val="CharAttribute15"/>
          <w:rFonts w:eastAsia="Batang"/>
          <w:color w:val="auto"/>
          <w:szCs w:val="24"/>
        </w:rPr>
        <w:t>2000;</w:t>
      </w:r>
      <w:r>
        <w:rPr>
          <w:rStyle w:val="CharAttribute15"/>
          <w:rFonts w:eastAsia="Batang"/>
          <w:color w:val="auto"/>
          <w:szCs w:val="24"/>
        </w:rPr>
        <w:t xml:space="preserve"> his accomplice was sentenced to 740 years.</w:t>
      </w:r>
      <w:r>
        <w:rPr>
          <w:rStyle w:val="FootnoteReference"/>
          <w:rFonts w:eastAsia="Batang"/>
          <w:szCs w:val="24"/>
        </w:rPr>
        <w:footnoteReference w:id="78"/>
      </w:r>
      <w:r w:rsidR="002F188F">
        <w:rPr>
          <w:rStyle w:val="CharAttribute15"/>
          <w:rFonts w:eastAsia="Batang"/>
          <w:color w:val="auto"/>
          <w:szCs w:val="24"/>
        </w:rPr>
        <w:t xml:space="preserve"> </w:t>
      </w:r>
      <w:r w:rsidR="00922E1D">
        <w:rPr>
          <w:rStyle w:val="CharAttribute15"/>
          <w:rFonts w:eastAsia="Batang"/>
          <w:color w:val="auto"/>
          <w:szCs w:val="24"/>
        </w:rPr>
        <w:t>In a</w:t>
      </w:r>
      <w:r w:rsidR="002F188F">
        <w:rPr>
          <w:rStyle w:val="CharAttribute15"/>
          <w:rFonts w:eastAsia="Batang"/>
          <w:color w:val="auto"/>
          <w:szCs w:val="24"/>
        </w:rPr>
        <w:t xml:space="preserve">n even more high profile conviction Bernard </w:t>
      </w:r>
      <w:r w:rsidR="00922E1D">
        <w:rPr>
          <w:rStyle w:val="CharAttribute15"/>
          <w:rFonts w:eastAsia="Batang"/>
          <w:color w:val="auto"/>
          <w:szCs w:val="24"/>
        </w:rPr>
        <w:t xml:space="preserve">Madoff was </w:t>
      </w:r>
      <w:r w:rsidR="002F188F">
        <w:rPr>
          <w:rStyle w:val="CharAttribute15"/>
          <w:rFonts w:eastAsia="Batang"/>
          <w:color w:val="auto"/>
          <w:szCs w:val="24"/>
        </w:rPr>
        <w:t xml:space="preserve">sentenced to 150 year imprisonment </w:t>
      </w:r>
      <w:r w:rsidR="00922E1D">
        <w:rPr>
          <w:rStyle w:val="CharAttribute15"/>
          <w:rFonts w:eastAsia="Batang"/>
          <w:color w:val="auto"/>
          <w:szCs w:val="24"/>
        </w:rPr>
        <w:t>in 2009.</w:t>
      </w:r>
      <w:r w:rsidR="00922E1D">
        <w:rPr>
          <w:rStyle w:val="FootnoteReference"/>
          <w:rFonts w:eastAsia="Batang"/>
          <w:szCs w:val="24"/>
        </w:rPr>
        <w:footnoteReference w:id="79"/>
      </w:r>
      <w:r w:rsidR="00922E1D">
        <w:rPr>
          <w:rStyle w:val="CharAttribute15"/>
          <w:rFonts w:eastAsia="Batang"/>
          <w:color w:val="auto"/>
          <w:szCs w:val="24"/>
        </w:rPr>
        <w:t xml:space="preserve"> These are extreme </w:t>
      </w:r>
      <w:r w:rsidR="003F1D31">
        <w:rPr>
          <w:rStyle w:val="CharAttribute15"/>
          <w:rFonts w:eastAsia="Batang"/>
          <w:color w:val="auto"/>
          <w:szCs w:val="24"/>
        </w:rPr>
        <w:t>examples</w:t>
      </w:r>
      <w:r w:rsidR="00922E1D">
        <w:rPr>
          <w:rStyle w:val="CharAttribute15"/>
          <w:rFonts w:eastAsia="Batang"/>
          <w:color w:val="auto"/>
          <w:szCs w:val="24"/>
        </w:rPr>
        <w:t xml:space="preserve"> but</w:t>
      </w:r>
      <w:r w:rsidR="003F1D31">
        <w:rPr>
          <w:rStyle w:val="CharAttribute15"/>
          <w:rFonts w:eastAsia="Batang"/>
          <w:color w:val="auto"/>
          <w:szCs w:val="24"/>
        </w:rPr>
        <w:t xml:space="preserve"> cases are frequent,</w:t>
      </w:r>
      <w:r w:rsidR="00CD345E">
        <w:rPr>
          <w:rStyle w:val="CharAttribute15"/>
          <w:rFonts w:eastAsia="Batang"/>
          <w:color w:val="auto"/>
          <w:szCs w:val="24"/>
        </w:rPr>
        <w:t xml:space="preserve"> a sentence from </w:t>
      </w:r>
      <w:r w:rsidR="003F1D31">
        <w:rPr>
          <w:rStyle w:val="CharAttribute15"/>
          <w:rFonts w:eastAsia="Batang"/>
          <w:color w:val="auto"/>
          <w:szCs w:val="24"/>
        </w:rPr>
        <w:t xml:space="preserve">as recent as </w:t>
      </w:r>
      <w:r w:rsidR="00CD345E">
        <w:rPr>
          <w:rStyle w:val="CharAttribute15"/>
          <w:rFonts w:eastAsia="Batang"/>
          <w:color w:val="auto"/>
          <w:szCs w:val="24"/>
        </w:rPr>
        <w:t xml:space="preserve">11 December 2012, </w:t>
      </w:r>
      <w:r w:rsidR="00CD345E">
        <w:rPr>
          <w:rStyle w:val="CharAttribute15"/>
          <w:rFonts w:eastAsia="Batang"/>
          <w:color w:val="auto"/>
          <w:szCs w:val="24"/>
        </w:rPr>
        <w:lastRenderedPageBreak/>
        <w:t>a 6 and a half year sentence for a $1.3 million phishing scheme;</w:t>
      </w:r>
      <w:r w:rsidR="005577F1">
        <w:rPr>
          <w:rStyle w:val="FootnoteReference"/>
          <w:rFonts w:eastAsia="Batang"/>
          <w:szCs w:val="24"/>
        </w:rPr>
        <w:footnoteReference w:id="80"/>
      </w:r>
      <w:r w:rsidR="00CD345E">
        <w:rPr>
          <w:rStyle w:val="CharAttribute15"/>
          <w:rFonts w:eastAsia="Batang"/>
          <w:color w:val="auto"/>
          <w:szCs w:val="24"/>
        </w:rPr>
        <w:t xml:space="preserve"> only half a year less than Adoboli for the loss of less than 10% that of Adoboli. Cases such as this show</w:t>
      </w:r>
      <w:r w:rsidR="00922E1D">
        <w:rPr>
          <w:rStyle w:val="CharAttribute15"/>
          <w:rFonts w:eastAsia="Batang"/>
          <w:color w:val="auto"/>
          <w:szCs w:val="24"/>
        </w:rPr>
        <w:t xml:space="preserve"> the willingness of the US to criminalise and imprison financial criminals for long periods of time, much longer than in the UK</w:t>
      </w:r>
      <w:r w:rsidR="00CD345E">
        <w:rPr>
          <w:rStyle w:val="CharAttribute15"/>
          <w:rFonts w:eastAsia="Batang"/>
          <w:color w:val="auto"/>
          <w:szCs w:val="24"/>
        </w:rPr>
        <w:t xml:space="preserve">. </w:t>
      </w:r>
    </w:p>
    <w:p w14:paraId="41F6C182" w14:textId="77777777" w:rsidR="00922E1D" w:rsidRDefault="00922E1D" w:rsidP="009956B9">
      <w:pPr>
        <w:pStyle w:val="NoSpacing"/>
        <w:rPr>
          <w:rStyle w:val="CharAttribute15"/>
          <w:rFonts w:eastAsia="Batang"/>
          <w:color w:val="auto"/>
          <w:szCs w:val="24"/>
        </w:rPr>
      </w:pPr>
    </w:p>
    <w:p w14:paraId="326A61A8" w14:textId="77777777" w:rsidR="00922E1D" w:rsidRDefault="00922E1D" w:rsidP="009956B9">
      <w:pPr>
        <w:pStyle w:val="NoSpacing"/>
        <w:rPr>
          <w:rStyle w:val="CharAttribute15"/>
          <w:rFonts w:eastAsia="Batang"/>
          <w:color w:val="auto"/>
          <w:szCs w:val="24"/>
          <w:u w:val="single"/>
        </w:rPr>
      </w:pPr>
      <w:r w:rsidRPr="00922E1D">
        <w:rPr>
          <w:rStyle w:val="CharAttribute15"/>
          <w:rFonts w:eastAsia="Batang"/>
          <w:color w:val="auto"/>
          <w:szCs w:val="24"/>
          <w:u w:val="single"/>
        </w:rPr>
        <w:t>Fines</w:t>
      </w:r>
    </w:p>
    <w:p w14:paraId="3631442C" w14:textId="77777777" w:rsidR="00B547E9" w:rsidRDefault="00922E1D" w:rsidP="009956B9">
      <w:pPr>
        <w:pStyle w:val="NoSpacing"/>
        <w:rPr>
          <w:rStyle w:val="CharAttribute15"/>
          <w:rFonts w:eastAsia="Batang"/>
          <w:color w:val="auto"/>
          <w:szCs w:val="24"/>
        </w:rPr>
      </w:pPr>
      <w:r>
        <w:rPr>
          <w:rStyle w:val="CharAttribute15"/>
          <w:rFonts w:eastAsia="Batang"/>
          <w:color w:val="auto"/>
          <w:szCs w:val="24"/>
        </w:rPr>
        <w:t xml:space="preserve">A similar conclusion can be drawn from comparing US and UK fines; the US imposes far higher penalties than the UK. The LIBOR scandal provides a direct comparison in fines to Barclays. The FSA fined Barclays £59.5 million, the highest fine ever given. </w:t>
      </w:r>
      <w:r w:rsidR="00AE443F">
        <w:rPr>
          <w:rStyle w:val="CharAttribute15"/>
          <w:rFonts w:eastAsia="Batang"/>
          <w:color w:val="auto"/>
          <w:szCs w:val="24"/>
        </w:rPr>
        <w:t xml:space="preserve">This is made to look small by the $200 million and $160 million fines imposed by </w:t>
      </w:r>
      <w:r w:rsidR="00FE1EE1">
        <w:rPr>
          <w:rStyle w:val="CharAttribute15"/>
          <w:rFonts w:eastAsia="Batang"/>
          <w:color w:val="auto"/>
          <w:szCs w:val="24"/>
        </w:rPr>
        <w:t>the Commodity</w:t>
      </w:r>
      <w:r w:rsidR="00AE443F">
        <w:rPr>
          <w:rStyle w:val="CharAttribute15"/>
          <w:rFonts w:eastAsia="Batang"/>
          <w:color w:val="auto"/>
          <w:szCs w:val="24"/>
        </w:rPr>
        <w:t xml:space="preserve"> Futures Trading Commission</w:t>
      </w:r>
      <w:r w:rsidR="00AE443F">
        <w:rPr>
          <w:rStyle w:val="FootnoteReference"/>
          <w:rFonts w:eastAsia="Batang"/>
          <w:szCs w:val="24"/>
        </w:rPr>
        <w:footnoteReference w:id="81"/>
      </w:r>
      <w:r w:rsidR="00AE443F">
        <w:rPr>
          <w:rStyle w:val="CharAttribute15"/>
          <w:rFonts w:eastAsia="Batang"/>
          <w:color w:val="auto"/>
          <w:szCs w:val="24"/>
        </w:rPr>
        <w:t xml:space="preserve"> and Department of Justice</w:t>
      </w:r>
      <w:r w:rsidR="00FE1EE1">
        <w:rPr>
          <w:rStyle w:val="FootnoteReference"/>
          <w:rFonts w:eastAsia="Batang"/>
          <w:szCs w:val="24"/>
        </w:rPr>
        <w:footnoteReference w:id="82"/>
      </w:r>
      <w:r w:rsidR="00AE443F">
        <w:rPr>
          <w:rStyle w:val="CharAttribute15"/>
          <w:rFonts w:eastAsia="Batang"/>
          <w:color w:val="auto"/>
          <w:szCs w:val="24"/>
        </w:rPr>
        <w:t xml:space="preserve"> respectively. </w:t>
      </w:r>
      <w:r w:rsidR="00B74B41">
        <w:rPr>
          <w:rStyle w:val="CharAttribute15"/>
          <w:rFonts w:eastAsia="Batang"/>
          <w:color w:val="auto"/>
          <w:szCs w:val="24"/>
        </w:rPr>
        <w:t>Despite the US fines were still only to the value of 3.933% of Barclays 2011 profits.</w:t>
      </w:r>
      <w:r w:rsidR="00B74B41">
        <w:rPr>
          <w:rStyle w:val="FootnoteReference"/>
          <w:rFonts w:eastAsia="Batang"/>
          <w:szCs w:val="24"/>
        </w:rPr>
        <w:footnoteReference w:id="83"/>
      </w:r>
      <w:r w:rsidR="008F090F">
        <w:rPr>
          <w:rStyle w:val="CharAttribute15"/>
          <w:rFonts w:eastAsia="Batang"/>
          <w:color w:val="auto"/>
          <w:szCs w:val="24"/>
        </w:rPr>
        <w:t xml:space="preserve"> These fines are not the biggest this year</w:t>
      </w:r>
      <w:r w:rsidR="00B74B41">
        <w:rPr>
          <w:rStyle w:val="CharAttribute15"/>
          <w:rFonts w:eastAsia="Batang"/>
          <w:color w:val="auto"/>
          <w:szCs w:val="24"/>
        </w:rPr>
        <w:t>; HSBC recently received a $1.9 billion fine for failing in its money laundering controls.</w:t>
      </w:r>
      <w:r w:rsidR="00B74B41">
        <w:rPr>
          <w:rStyle w:val="FootnoteReference"/>
          <w:rFonts w:eastAsia="Batang"/>
          <w:szCs w:val="24"/>
        </w:rPr>
        <w:footnoteReference w:id="84"/>
      </w:r>
      <w:r w:rsidR="008F090F">
        <w:rPr>
          <w:rStyle w:val="CharAttribute15"/>
          <w:rFonts w:eastAsia="Batang"/>
          <w:color w:val="auto"/>
          <w:szCs w:val="24"/>
        </w:rPr>
        <w:t xml:space="preserve"> This fine is a lot more significant</w:t>
      </w:r>
      <w:r w:rsidR="00A2492F">
        <w:rPr>
          <w:rStyle w:val="CharAttribute15"/>
          <w:rFonts w:eastAsia="Batang"/>
          <w:color w:val="auto"/>
          <w:szCs w:val="24"/>
        </w:rPr>
        <w:t xml:space="preserve"> than any UK fine</w:t>
      </w:r>
      <w:r w:rsidR="008F090F">
        <w:rPr>
          <w:rStyle w:val="CharAttribute15"/>
          <w:rFonts w:eastAsia="Batang"/>
          <w:color w:val="auto"/>
          <w:szCs w:val="24"/>
        </w:rPr>
        <w:t>, 8.687% of HSBC’</w:t>
      </w:r>
      <w:r w:rsidR="00A2492F">
        <w:rPr>
          <w:rStyle w:val="CharAttribute15"/>
          <w:rFonts w:eastAsia="Batang"/>
          <w:color w:val="auto"/>
          <w:szCs w:val="24"/>
        </w:rPr>
        <w:t>s 2011 profits,</w:t>
      </w:r>
      <w:r w:rsidR="008F090F">
        <w:rPr>
          <w:rStyle w:val="FootnoteReference"/>
          <w:rFonts w:eastAsia="Batang"/>
          <w:szCs w:val="24"/>
        </w:rPr>
        <w:footnoteReference w:id="85"/>
      </w:r>
      <w:r w:rsidR="00B547E9">
        <w:rPr>
          <w:rStyle w:val="CharAttribute15"/>
          <w:rFonts w:eastAsia="Batang"/>
          <w:color w:val="auto"/>
          <w:szCs w:val="24"/>
        </w:rPr>
        <w:t xml:space="preserve"> </w:t>
      </w:r>
      <w:r w:rsidR="00A2492F">
        <w:rPr>
          <w:rStyle w:val="CharAttribute15"/>
          <w:rFonts w:eastAsia="Batang"/>
          <w:color w:val="auto"/>
          <w:szCs w:val="24"/>
        </w:rPr>
        <w:t>but still unlikely to really impact a Bank which made $21.872 billion last year.</w:t>
      </w:r>
      <w:r w:rsidR="00A2492F">
        <w:rPr>
          <w:rStyle w:val="FootnoteReference"/>
          <w:rFonts w:eastAsia="Batang"/>
          <w:szCs w:val="24"/>
        </w:rPr>
        <w:footnoteReference w:id="86"/>
      </w:r>
    </w:p>
    <w:p w14:paraId="1B11132B" w14:textId="77777777" w:rsidR="00A2492F" w:rsidRDefault="00A2492F" w:rsidP="009956B9">
      <w:pPr>
        <w:pStyle w:val="NoSpacing"/>
        <w:rPr>
          <w:rStyle w:val="CharAttribute15"/>
          <w:rFonts w:eastAsia="Batang"/>
          <w:color w:val="auto"/>
          <w:szCs w:val="24"/>
        </w:rPr>
      </w:pPr>
    </w:p>
    <w:p w14:paraId="79192186" w14:textId="77777777" w:rsidR="00A2492F" w:rsidRDefault="00A2492F" w:rsidP="009956B9">
      <w:pPr>
        <w:pStyle w:val="NoSpacing"/>
        <w:rPr>
          <w:rStyle w:val="CharAttribute15"/>
          <w:rFonts w:eastAsia="Batang"/>
          <w:color w:val="auto"/>
          <w:szCs w:val="24"/>
          <w:u w:val="single"/>
        </w:rPr>
      </w:pPr>
      <w:r>
        <w:rPr>
          <w:rStyle w:val="CharAttribute15"/>
          <w:rFonts w:eastAsia="Batang"/>
          <w:color w:val="auto"/>
          <w:szCs w:val="24"/>
          <w:u w:val="single"/>
        </w:rPr>
        <w:t>International Intervention</w:t>
      </w:r>
    </w:p>
    <w:p w14:paraId="542807C4" w14:textId="77777777" w:rsidR="00E400C8" w:rsidRDefault="00E400C8" w:rsidP="009956B9">
      <w:pPr>
        <w:pStyle w:val="NoSpacing"/>
        <w:rPr>
          <w:rStyle w:val="CharAttribute15"/>
          <w:rFonts w:eastAsia="Batang"/>
          <w:color w:val="auto"/>
          <w:szCs w:val="24"/>
        </w:rPr>
      </w:pPr>
      <w:r>
        <w:rPr>
          <w:rStyle w:val="CharAttribute15"/>
          <w:rFonts w:eastAsia="Batang"/>
          <w:color w:val="auto"/>
          <w:szCs w:val="24"/>
        </w:rPr>
        <w:t xml:space="preserve">Presently there are no international organisations with the power to undertake enforcement actions against </w:t>
      </w:r>
      <w:r w:rsidR="00415DD7">
        <w:rPr>
          <w:rStyle w:val="CharAttribute15"/>
          <w:rFonts w:eastAsia="Batang"/>
          <w:color w:val="auto"/>
          <w:szCs w:val="24"/>
        </w:rPr>
        <w:t>banks;</w:t>
      </w:r>
      <w:r>
        <w:rPr>
          <w:rStyle w:val="CharAttribute15"/>
          <w:rFonts w:eastAsia="Batang"/>
          <w:color w:val="auto"/>
          <w:szCs w:val="24"/>
        </w:rPr>
        <w:t xml:space="preserve"> this could soon be to change if the states using the Euro</w:t>
      </w:r>
      <w:r w:rsidR="00506A28">
        <w:rPr>
          <w:rStyle w:val="CharAttribute15"/>
          <w:rFonts w:eastAsia="Batang"/>
          <w:color w:val="auto"/>
          <w:szCs w:val="24"/>
        </w:rPr>
        <w:t xml:space="preserve"> </w:t>
      </w:r>
      <w:r>
        <w:rPr>
          <w:rStyle w:val="CharAttribute15"/>
          <w:rFonts w:eastAsia="Batang"/>
          <w:color w:val="auto"/>
          <w:szCs w:val="24"/>
        </w:rPr>
        <w:t xml:space="preserve">currency agree </w:t>
      </w:r>
      <w:r>
        <w:rPr>
          <w:rStyle w:val="CharAttribute15"/>
          <w:rFonts w:eastAsia="Batang"/>
          <w:color w:val="auto"/>
          <w:szCs w:val="24"/>
        </w:rPr>
        <w:lastRenderedPageBreak/>
        <w:t>to instil powers in the European Central Bank.</w:t>
      </w:r>
      <w:r>
        <w:rPr>
          <w:rStyle w:val="FootnoteReference"/>
          <w:rFonts w:eastAsia="Batang"/>
          <w:szCs w:val="24"/>
        </w:rPr>
        <w:footnoteReference w:id="87"/>
      </w:r>
      <w:r>
        <w:rPr>
          <w:rStyle w:val="CharAttribute15"/>
          <w:rFonts w:eastAsia="Batang"/>
          <w:color w:val="auto"/>
          <w:szCs w:val="24"/>
        </w:rPr>
        <w:t xml:space="preserve"> There are </w:t>
      </w:r>
      <w:r w:rsidR="00506A28">
        <w:rPr>
          <w:rStyle w:val="CharAttribute15"/>
          <w:rFonts w:eastAsia="Batang"/>
          <w:color w:val="auto"/>
          <w:szCs w:val="24"/>
        </w:rPr>
        <w:t>some international organisations which produce recommendations</w:t>
      </w:r>
      <w:r>
        <w:rPr>
          <w:rStyle w:val="CharAttribute15"/>
          <w:rFonts w:eastAsia="Batang"/>
          <w:color w:val="auto"/>
          <w:szCs w:val="24"/>
        </w:rPr>
        <w:t xml:space="preserve"> for states to comply with, including the Bank for International Settlements (BIS) and the Financial Action Task Force (FATF). Without any sanctioning powers the guidance these bodies</w:t>
      </w:r>
      <w:r w:rsidR="00B2031E">
        <w:rPr>
          <w:rStyle w:val="CharAttribute15"/>
          <w:rFonts w:eastAsia="Batang"/>
          <w:color w:val="auto"/>
          <w:szCs w:val="24"/>
        </w:rPr>
        <w:t xml:space="preserve"> can provide is only compliance-</w:t>
      </w:r>
      <w:r>
        <w:rPr>
          <w:rStyle w:val="CharAttribute15"/>
          <w:rFonts w:eastAsia="Batang"/>
          <w:color w:val="auto"/>
          <w:szCs w:val="24"/>
        </w:rPr>
        <w:t xml:space="preserve">based. The power of these recommendations depends on their implementation by sovereign </w:t>
      </w:r>
      <w:r w:rsidR="00546C93">
        <w:rPr>
          <w:rStyle w:val="CharAttribute15"/>
          <w:rFonts w:eastAsia="Batang"/>
          <w:color w:val="auto"/>
          <w:szCs w:val="24"/>
        </w:rPr>
        <w:t>states;</w:t>
      </w:r>
      <w:r>
        <w:rPr>
          <w:rStyle w:val="CharAttribute15"/>
          <w:rFonts w:eastAsia="Batang"/>
          <w:color w:val="auto"/>
          <w:szCs w:val="24"/>
        </w:rPr>
        <w:t xml:space="preserve"> the UK is a member of the Basel Committee on B</w:t>
      </w:r>
      <w:r w:rsidR="00546C93">
        <w:rPr>
          <w:rStyle w:val="CharAttribute15"/>
          <w:rFonts w:eastAsia="Batang"/>
          <w:color w:val="auto"/>
          <w:szCs w:val="24"/>
        </w:rPr>
        <w:t>anking Supervision as well as a FATF.</w:t>
      </w:r>
    </w:p>
    <w:p w14:paraId="1EBECE3C" w14:textId="77777777" w:rsidR="00546C93" w:rsidRDefault="00546C93" w:rsidP="009956B9">
      <w:pPr>
        <w:pStyle w:val="NoSpacing"/>
        <w:rPr>
          <w:rStyle w:val="CharAttribute15"/>
          <w:rFonts w:eastAsia="Batang"/>
          <w:color w:val="auto"/>
          <w:szCs w:val="24"/>
        </w:rPr>
      </w:pPr>
    </w:p>
    <w:p w14:paraId="18FA9A15" w14:textId="77777777" w:rsidR="00546C93" w:rsidRDefault="00546C93" w:rsidP="009956B9">
      <w:pPr>
        <w:pStyle w:val="NoSpacing"/>
        <w:rPr>
          <w:rStyle w:val="CharAttribute15"/>
          <w:rFonts w:eastAsia="Batang"/>
          <w:color w:val="auto"/>
          <w:szCs w:val="24"/>
        </w:rPr>
      </w:pPr>
      <w:r>
        <w:rPr>
          <w:rStyle w:val="CharAttribute15"/>
          <w:rFonts w:eastAsia="Batang"/>
          <w:color w:val="auto"/>
          <w:szCs w:val="24"/>
        </w:rPr>
        <w:t>FATF provides recommendations in combating “</w:t>
      </w:r>
      <w:r>
        <w:rPr>
          <w:rStyle w:val="CharAttribute15"/>
          <w:rFonts w:eastAsia="Batang"/>
          <w:i/>
          <w:color w:val="auto"/>
          <w:szCs w:val="24"/>
        </w:rPr>
        <w:t>money laundering, terrorist financing and other related threats to […] the international financial system.</w:t>
      </w:r>
      <w:r>
        <w:rPr>
          <w:rStyle w:val="CharAttribute15"/>
          <w:rFonts w:eastAsia="Batang"/>
          <w:color w:val="auto"/>
          <w:szCs w:val="24"/>
        </w:rPr>
        <w:t>”</w:t>
      </w:r>
      <w:r>
        <w:rPr>
          <w:rStyle w:val="FootnoteReference"/>
          <w:rFonts w:eastAsia="Batang"/>
          <w:szCs w:val="24"/>
        </w:rPr>
        <w:footnoteReference w:id="88"/>
      </w:r>
      <w:r w:rsidR="00BB0647">
        <w:rPr>
          <w:rStyle w:val="CharAttribute15"/>
          <w:rFonts w:eastAsia="Batang"/>
          <w:color w:val="auto"/>
          <w:szCs w:val="24"/>
        </w:rPr>
        <w:t xml:space="preserve"> It produces </w:t>
      </w:r>
      <w:r w:rsidR="00B2031E">
        <w:rPr>
          <w:rStyle w:val="CharAttribute15"/>
          <w:rFonts w:eastAsia="Batang"/>
          <w:color w:val="auto"/>
          <w:szCs w:val="24"/>
        </w:rPr>
        <w:t xml:space="preserve">periodic </w:t>
      </w:r>
      <w:r w:rsidR="00BB0647">
        <w:rPr>
          <w:rStyle w:val="CharAttribute15"/>
          <w:rFonts w:eastAsia="Batang"/>
          <w:color w:val="auto"/>
          <w:szCs w:val="24"/>
        </w:rPr>
        <w:t xml:space="preserve">reports assessing the compliance of member </w:t>
      </w:r>
      <w:r w:rsidR="00B2031E">
        <w:rPr>
          <w:rStyle w:val="CharAttribute15"/>
          <w:rFonts w:eastAsia="Batang"/>
          <w:color w:val="auto"/>
          <w:szCs w:val="24"/>
        </w:rPr>
        <w:t>states;</w:t>
      </w:r>
      <w:r w:rsidR="00BB0647">
        <w:rPr>
          <w:rStyle w:val="CharAttribute15"/>
          <w:rFonts w:eastAsia="Batang"/>
          <w:color w:val="auto"/>
          <w:szCs w:val="24"/>
        </w:rPr>
        <w:t xml:space="preserve"> </w:t>
      </w:r>
      <w:r w:rsidR="00B2031E">
        <w:rPr>
          <w:rStyle w:val="CharAttribute15"/>
          <w:rFonts w:eastAsia="Batang"/>
          <w:color w:val="auto"/>
          <w:szCs w:val="24"/>
        </w:rPr>
        <w:t>it has found the</w:t>
      </w:r>
      <w:r w:rsidR="00BB0647">
        <w:rPr>
          <w:rStyle w:val="CharAttribute15"/>
          <w:rFonts w:eastAsia="Batang"/>
          <w:color w:val="auto"/>
          <w:szCs w:val="24"/>
        </w:rPr>
        <w:t xml:space="preserve"> UK </w:t>
      </w:r>
      <w:r w:rsidR="00B2031E">
        <w:rPr>
          <w:rStyle w:val="CharAttribute15"/>
          <w:rFonts w:eastAsia="Batang"/>
          <w:color w:val="auto"/>
          <w:szCs w:val="24"/>
        </w:rPr>
        <w:t>to be</w:t>
      </w:r>
      <w:r w:rsidR="00BB0647">
        <w:rPr>
          <w:rStyle w:val="CharAttribute15"/>
          <w:rFonts w:eastAsia="Batang"/>
          <w:color w:val="auto"/>
          <w:szCs w:val="24"/>
        </w:rPr>
        <w:t xml:space="preserve"> largely compliant. </w:t>
      </w:r>
      <w:r w:rsidR="00EC6008">
        <w:rPr>
          <w:rStyle w:val="CharAttribute15"/>
          <w:rFonts w:eastAsia="Batang"/>
          <w:color w:val="auto"/>
          <w:szCs w:val="24"/>
        </w:rPr>
        <w:t xml:space="preserve">The UK was encouraged to become fully compliant but there are no consequences for not doing so. A discussion classifying the UK as a ‘political citizen’ or ‘amoral calculator’ would probably require a book of its own, </w:t>
      </w:r>
      <w:r w:rsidR="00B2031E">
        <w:rPr>
          <w:rStyle w:val="CharAttribute15"/>
          <w:rFonts w:eastAsia="Batang"/>
          <w:color w:val="auto"/>
          <w:szCs w:val="24"/>
        </w:rPr>
        <w:t xml:space="preserve">but </w:t>
      </w:r>
      <w:r w:rsidR="00EC6008">
        <w:rPr>
          <w:rStyle w:val="CharAttribute15"/>
          <w:rFonts w:eastAsia="Batang"/>
          <w:color w:val="auto"/>
          <w:szCs w:val="24"/>
        </w:rPr>
        <w:t>assuming the UK to be a ‘political citizen’ its variety of motivations may still lead to it not complying with the remaining recommendations. The UK might feel it already goes far enough, or consider the recommendations to go too far.</w:t>
      </w:r>
    </w:p>
    <w:p w14:paraId="60F5D9A4" w14:textId="77777777" w:rsidR="00EC6008" w:rsidRDefault="00EC6008" w:rsidP="009956B9">
      <w:pPr>
        <w:pStyle w:val="NoSpacing"/>
        <w:rPr>
          <w:rStyle w:val="CharAttribute15"/>
          <w:rFonts w:eastAsia="Batang"/>
          <w:color w:val="auto"/>
          <w:szCs w:val="24"/>
        </w:rPr>
      </w:pPr>
    </w:p>
    <w:p w14:paraId="52AB4364" w14:textId="77777777" w:rsidR="00B547E9" w:rsidRDefault="00F52C18" w:rsidP="009956B9">
      <w:pPr>
        <w:pStyle w:val="NoSpacing"/>
        <w:rPr>
          <w:szCs w:val="24"/>
        </w:rPr>
      </w:pPr>
      <w:r w:rsidRPr="00BB42F9">
        <w:rPr>
          <w:szCs w:val="24"/>
        </w:rPr>
        <w:t>The Basel Committee recommends international standards for banking regulation</w:t>
      </w:r>
      <w:r w:rsidRPr="00BB42F9">
        <w:rPr>
          <w:rStyle w:val="FootnoteReference"/>
          <w:szCs w:val="24"/>
        </w:rPr>
        <w:footnoteReference w:id="89"/>
      </w:r>
      <w:r w:rsidRPr="00BB42F9">
        <w:rPr>
          <w:szCs w:val="24"/>
        </w:rPr>
        <w:t xml:space="preserve"> and encourages common approaches to supervision.  The current accords are divided into 3 pillars; the first concerns minimum capital requirements</w:t>
      </w:r>
      <w:r w:rsidR="003F5C54">
        <w:rPr>
          <w:szCs w:val="24"/>
        </w:rPr>
        <w:t>,</w:t>
      </w:r>
      <w:r w:rsidRPr="00BB42F9">
        <w:rPr>
          <w:rStyle w:val="FootnoteReference"/>
          <w:szCs w:val="24"/>
        </w:rPr>
        <w:footnoteReference w:id="90"/>
      </w:r>
      <w:r w:rsidR="003F5C54">
        <w:rPr>
          <w:szCs w:val="24"/>
        </w:rPr>
        <w:t xml:space="preserve"> </w:t>
      </w:r>
      <w:r w:rsidRPr="00BB42F9">
        <w:rPr>
          <w:szCs w:val="24"/>
        </w:rPr>
        <w:t xml:space="preserve">the second provides framework for </w:t>
      </w:r>
      <w:r w:rsidRPr="00BB42F9">
        <w:rPr>
          <w:szCs w:val="24"/>
        </w:rPr>
        <w:lastRenderedPageBreak/>
        <w:t>supervisory review, and finally,</w:t>
      </w:r>
      <w:r w:rsidRPr="00BB42F9">
        <w:rPr>
          <w:rStyle w:val="FootnoteReference"/>
          <w:szCs w:val="24"/>
        </w:rPr>
        <w:footnoteReference w:id="91"/>
      </w:r>
      <w:r w:rsidRPr="00BB42F9">
        <w:rPr>
          <w:szCs w:val="24"/>
        </w:rPr>
        <w:t xml:space="preserve"> the third pillar contains recom</w:t>
      </w:r>
      <w:r w:rsidR="003F5C54">
        <w:rPr>
          <w:szCs w:val="24"/>
        </w:rPr>
        <w:t>mendations on market discipline.</w:t>
      </w:r>
      <w:r w:rsidRPr="00BB42F9">
        <w:rPr>
          <w:rStyle w:val="FootnoteReference"/>
          <w:szCs w:val="24"/>
        </w:rPr>
        <w:footnoteReference w:id="92"/>
      </w:r>
      <w:r w:rsidR="003F5C54">
        <w:rPr>
          <w:rStyle w:val="CharAttribute15"/>
          <w:rFonts w:eastAsia="Batang"/>
          <w:color w:val="auto"/>
          <w:szCs w:val="24"/>
        </w:rPr>
        <w:t xml:space="preserve"> The current set of Accords are known as Basel III, and l</w:t>
      </w:r>
      <w:r w:rsidR="00EC6008">
        <w:rPr>
          <w:rStyle w:val="CharAttribute15"/>
          <w:rFonts w:eastAsia="Batang"/>
          <w:color w:val="auto"/>
          <w:szCs w:val="24"/>
        </w:rPr>
        <w:t xml:space="preserve">ike the FATF recommendation, are not enforceable </w:t>
      </w:r>
      <w:r>
        <w:rPr>
          <w:rStyle w:val="CharAttribute15"/>
          <w:rFonts w:eastAsia="Batang"/>
          <w:color w:val="auto"/>
          <w:szCs w:val="24"/>
        </w:rPr>
        <w:t xml:space="preserve">automatically as the Basel Committee has not </w:t>
      </w:r>
      <w:r w:rsidRPr="00BB42F9">
        <w:rPr>
          <w:szCs w:val="24"/>
        </w:rPr>
        <w:t>“</w:t>
      </w:r>
      <w:r w:rsidRPr="00BB42F9">
        <w:rPr>
          <w:i/>
          <w:szCs w:val="24"/>
        </w:rPr>
        <w:t>formal supranational supervisory authority.</w:t>
      </w:r>
      <w:r w:rsidRPr="00BB42F9">
        <w:rPr>
          <w:szCs w:val="24"/>
        </w:rPr>
        <w:t>”</w:t>
      </w:r>
      <w:r w:rsidRPr="00BB42F9">
        <w:rPr>
          <w:rStyle w:val="FootnoteReference"/>
          <w:szCs w:val="24"/>
        </w:rPr>
        <w:footnoteReference w:id="93"/>
      </w:r>
      <w:r>
        <w:rPr>
          <w:szCs w:val="24"/>
        </w:rPr>
        <w:t xml:space="preserve"> The Accords are given legal force by the European Union</w:t>
      </w:r>
      <w:r>
        <w:rPr>
          <w:rStyle w:val="FootnoteReference"/>
          <w:szCs w:val="24"/>
        </w:rPr>
        <w:footnoteReference w:id="94"/>
      </w:r>
      <w:r>
        <w:rPr>
          <w:szCs w:val="24"/>
        </w:rPr>
        <w:t xml:space="preserve"> which makes them binding upon the UK as a member state. The </w:t>
      </w:r>
      <w:r w:rsidR="00216F25">
        <w:rPr>
          <w:szCs w:val="24"/>
        </w:rPr>
        <w:t xml:space="preserve">Basel Accords are a minimum standard for best </w:t>
      </w:r>
      <w:r w:rsidR="00415DD7">
        <w:rPr>
          <w:szCs w:val="24"/>
        </w:rPr>
        <w:t>practices;</w:t>
      </w:r>
      <w:r w:rsidR="00216F25">
        <w:rPr>
          <w:szCs w:val="24"/>
        </w:rPr>
        <w:t xml:space="preserve"> they do not co</w:t>
      </w:r>
      <w:r w:rsidR="00415DD7">
        <w:rPr>
          <w:szCs w:val="24"/>
        </w:rPr>
        <w:t>ntain any enforcement measures, the enforcement of requirements</w:t>
      </w:r>
      <w:r w:rsidR="00216F25">
        <w:rPr>
          <w:szCs w:val="24"/>
        </w:rPr>
        <w:t xml:space="preserve"> remain</w:t>
      </w:r>
      <w:r w:rsidR="00415DD7">
        <w:rPr>
          <w:szCs w:val="24"/>
        </w:rPr>
        <w:t>s</w:t>
      </w:r>
      <w:r w:rsidR="00B2031E">
        <w:rPr>
          <w:szCs w:val="24"/>
        </w:rPr>
        <w:t xml:space="preserve"> with the individual states and </w:t>
      </w:r>
      <w:r w:rsidR="00216F25">
        <w:rPr>
          <w:szCs w:val="24"/>
        </w:rPr>
        <w:t>regulator</w:t>
      </w:r>
      <w:r w:rsidR="00B2031E">
        <w:rPr>
          <w:szCs w:val="24"/>
        </w:rPr>
        <w:t>s</w:t>
      </w:r>
      <w:r w:rsidR="00216F25">
        <w:rPr>
          <w:szCs w:val="24"/>
        </w:rPr>
        <w:t xml:space="preserve">. </w:t>
      </w:r>
    </w:p>
    <w:p w14:paraId="0F4532DD" w14:textId="77777777" w:rsidR="00415DD7" w:rsidRDefault="00415DD7" w:rsidP="009956B9">
      <w:pPr>
        <w:pStyle w:val="NoSpacing"/>
        <w:rPr>
          <w:szCs w:val="24"/>
        </w:rPr>
      </w:pPr>
    </w:p>
    <w:p w14:paraId="6CBD1276" w14:textId="77777777" w:rsidR="00415DD7" w:rsidRDefault="00415DD7" w:rsidP="009956B9">
      <w:pPr>
        <w:pStyle w:val="NoSpacing"/>
        <w:rPr>
          <w:szCs w:val="24"/>
          <w:u w:val="single"/>
        </w:rPr>
      </w:pPr>
      <w:r w:rsidRPr="00415DD7">
        <w:rPr>
          <w:szCs w:val="24"/>
          <w:u w:val="single"/>
        </w:rPr>
        <w:t>Conclusion</w:t>
      </w:r>
    </w:p>
    <w:p w14:paraId="2C7A3254" w14:textId="77777777" w:rsidR="003174FB" w:rsidRDefault="00415DD7" w:rsidP="009956B9">
      <w:pPr>
        <w:pStyle w:val="NoSpacing"/>
        <w:rPr>
          <w:szCs w:val="24"/>
        </w:rPr>
      </w:pPr>
      <w:r>
        <w:rPr>
          <w:szCs w:val="24"/>
        </w:rPr>
        <w:t>The use of prison sentences and fines is the main way regulators enforce financial regulations, this can be seen from the use of the FSA’s powers. The same can be seen in the US but with much higher fines and longer sentences. These measures are clearly part of the deterrence approach to regulating. The effectiveness of the deterrence approach has been questioned; it is seen to be expensive</w:t>
      </w:r>
      <w:r>
        <w:rPr>
          <w:rStyle w:val="FootnoteReference"/>
          <w:szCs w:val="24"/>
        </w:rPr>
        <w:footnoteReference w:id="95"/>
      </w:r>
      <w:r>
        <w:rPr>
          <w:szCs w:val="24"/>
        </w:rPr>
        <w:t xml:space="preserve"> and encourages a negative relationship between the regulator and the regulated.</w:t>
      </w:r>
      <w:r>
        <w:rPr>
          <w:rStyle w:val="FootnoteReference"/>
          <w:szCs w:val="24"/>
        </w:rPr>
        <w:footnoteReference w:id="96"/>
      </w:r>
      <w:r>
        <w:rPr>
          <w:szCs w:val="24"/>
        </w:rPr>
        <w:t xml:space="preserve"> </w:t>
      </w:r>
      <w:r w:rsidR="000813F1">
        <w:rPr>
          <w:szCs w:val="24"/>
        </w:rPr>
        <w:t>The compliance approach is also pursued in the UK, it</w:t>
      </w:r>
      <w:r>
        <w:rPr>
          <w:szCs w:val="24"/>
        </w:rPr>
        <w:t xml:space="preserve"> is a contrast</w:t>
      </w:r>
      <w:r w:rsidR="000813F1">
        <w:rPr>
          <w:szCs w:val="24"/>
        </w:rPr>
        <w:t xml:space="preserve"> to the deterrence approach</w:t>
      </w:r>
      <w:r>
        <w:rPr>
          <w:szCs w:val="24"/>
        </w:rPr>
        <w:t>, it seeks to control through communication and incentives.</w:t>
      </w:r>
      <w:r w:rsidR="000813F1">
        <w:rPr>
          <w:szCs w:val="24"/>
        </w:rPr>
        <w:t xml:space="preserve"> This has </w:t>
      </w:r>
      <w:r>
        <w:rPr>
          <w:szCs w:val="24"/>
        </w:rPr>
        <w:t>also been criticised</w:t>
      </w:r>
      <w:r w:rsidR="000813F1">
        <w:rPr>
          <w:szCs w:val="24"/>
        </w:rPr>
        <w:t xml:space="preserve">, it has been seen as </w:t>
      </w:r>
      <w:r>
        <w:rPr>
          <w:szCs w:val="24"/>
        </w:rPr>
        <w:t>open to abuse</w:t>
      </w:r>
      <w:r>
        <w:rPr>
          <w:rStyle w:val="FootnoteReference"/>
          <w:szCs w:val="24"/>
        </w:rPr>
        <w:footnoteReference w:id="97"/>
      </w:r>
      <w:r>
        <w:rPr>
          <w:szCs w:val="24"/>
        </w:rPr>
        <w:t xml:space="preserve"> and imposing costs on the regulated.</w:t>
      </w:r>
      <w:r>
        <w:rPr>
          <w:rStyle w:val="FootnoteReference"/>
          <w:szCs w:val="24"/>
        </w:rPr>
        <w:footnoteReference w:id="98"/>
      </w:r>
      <w:r>
        <w:rPr>
          <w:szCs w:val="24"/>
        </w:rPr>
        <w:t xml:space="preserve"> The combination of the two appears to be the best compromise: ‘tit-</w:t>
      </w:r>
      <w:r>
        <w:rPr>
          <w:szCs w:val="24"/>
        </w:rPr>
        <w:lastRenderedPageBreak/>
        <w:t xml:space="preserve">for-tat’. </w:t>
      </w:r>
      <w:r w:rsidR="004A23B5">
        <w:rPr>
          <w:szCs w:val="24"/>
        </w:rPr>
        <w:t xml:space="preserve">In the case of Mr Osborne, lower level punishment would have been better suited, but in the case of big banks abusing regulations higher fines are needed. Perhaps the better approach from the regulators is to see to come up with an alternative. Fines are unlikely to influence banks, and it would be disproportionate to impose fines based on the banks’ profits. It could be more effective to impose restrictions on offending companies, ban them from specific markets if the offend, not allow them to return until all staff members pass a compliance course, and offset the costs of this by making the company pay the fees. If the consequences are genuinely </w:t>
      </w:r>
      <w:r w:rsidR="00EA6B5C">
        <w:rPr>
          <w:szCs w:val="24"/>
        </w:rPr>
        <w:t xml:space="preserve">more inconvenient than the benefits of not complying then the ‘amoral’ calculator will comply. </w:t>
      </w:r>
      <w:r w:rsidR="000813F1">
        <w:rPr>
          <w:szCs w:val="24"/>
        </w:rPr>
        <w:t>Complexity is</w:t>
      </w:r>
      <w:r w:rsidR="00A41156">
        <w:rPr>
          <w:szCs w:val="24"/>
        </w:rPr>
        <w:t xml:space="preserve"> clearly</w:t>
      </w:r>
      <w:r w:rsidR="000813F1">
        <w:rPr>
          <w:szCs w:val="24"/>
        </w:rPr>
        <w:t xml:space="preserve"> not an aim of financial regulation, yet simplicity is perhaps unattainable due to the vast system which requires regulation. Certainty should be a goal of financial regulation, whatever the agreed enforcement action for a specific offence it should be clear</w:t>
      </w:r>
      <w:r w:rsidR="003E7D60">
        <w:rPr>
          <w:szCs w:val="24"/>
        </w:rPr>
        <w:t>ly warned of,</w:t>
      </w:r>
      <w:r w:rsidR="000813F1">
        <w:rPr>
          <w:szCs w:val="24"/>
        </w:rPr>
        <w:t xml:space="preserve"> and proportionately </w:t>
      </w:r>
      <w:r w:rsidR="003E7D60">
        <w:rPr>
          <w:szCs w:val="24"/>
        </w:rPr>
        <w:t>applied, ideally that enforcement should relate to the offence committed. The present approach look</w:t>
      </w:r>
      <w:r w:rsidR="00B2031E">
        <w:rPr>
          <w:szCs w:val="24"/>
        </w:rPr>
        <w:t>s</w:t>
      </w:r>
      <w:r w:rsidR="003E7D60">
        <w:rPr>
          <w:szCs w:val="24"/>
        </w:rPr>
        <w:t xml:space="preserve"> set to continue with the FSA becoming the FCA when the Financial Services Bill is eventually enacted, it is expected the FCA will pursue a policy of deterrence, imposing “</w:t>
      </w:r>
      <w:r w:rsidR="003E7D60">
        <w:rPr>
          <w:i/>
          <w:szCs w:val="24"/>
        </w:rPr>
        <w:t>higher penalties against high-profile targets</w:t>
      </w:r>
      <w:r w:rsidR="003E7D60">
        <w:rPr>
          <w:szCs w:val="24"/>
        </w:rPr>
        <w:t>”</w:t>
      </w:r>
      <w:r w:rsidR="001265BF">
        <w:rPr>
          <w:szCs w:val="24"/>
        </w:rPr>
        <w:t>.</w:t>
      </w:r>
      <w:r w:rsidR="003E7D60">
        <w:rPr>
          <w:rStyle w:val="FootnoteReference"/>
          <w:szCs w:val="24"/>
        </w:rPr>
        <w:footnoteReference w:id="99"/>
      </w:r>
      <w:r w:rsidR="003E7D60">
        <w:rPr>
          <w:szCs w:val="24"/>
        </w:rPr>
        <w:t xml:space="preserve"> </w:t>
      </w:r>
      <w:r w:rsidR="00A41156">
        <w:rPr>
          <w:szCs w:val="24"/>
        </w:rPr>
        <w:t xml:space="preserve">This arguably removes </w:t>
      </w:r>
      <w:r w:rsidR="006B03CF">
        <w:rPr>
          <w:szCs w:val="24"/>
        </w:rPr>
        <w:t>certainty;</w:t>
      </w:r>
      <w:r w:rsidR="00A41156">
        <w:rPr>
          <w:szCs w:val="24"/>
        </w:rPr>
        <w:t xml:space="preserve"> it is hard to predict how high an exemplary fine will be. </w:t>
      </w:r>
      <w:r w:rsidR="006B03CF">
        <w:rPr>
          <w:szCs w:val="24"/>
        </w:rPr>
        <w:t xml:space="preserve">Enforcement should be strong or it is ineffective, but it must be proportionate. </w:t>
      </w:r>
    </w:p>
    <w:p w14:paraId="66E984EC" w14:textId="77777777" w:rsidR="003174FB" w:rsidRDefault="003174FB">
      <w:pPr>
        <w:spacing w:after="200" w:line="276" w:lineRule="auto"/>
        <w:rPr>
          <w:sz w:val="24"/>
          <w:szCs w:val="24"/>
        </w:rPr>
      </w:pPr>
      <w:r>
        <w:rPr>
          <w:szCs w:val="24"/>
        </w:rPr>
        <w:br w:type="page"/>
      </w:r>
    </w:p>
    <w:p w14:paraId="279D4BB8" w14:textId="77777777" w:rsidR="003174FB" w:rsidRDefault="003174FB" w:rsidP="003174FB">
      <w:pPr>
        <w:pStyle w:val="Caption"/>
        <w:keepNext/>
        <w:rPr>
          <w:color w:val="auto"/>
          <w:sz w:val="24"/>
          <w:szCs w:val="24"/>
          <w:u w:val="single"/>
        </w:rPr>
      </w:pPr>
      <w:r>
        <w:rPr>
          <w:color w:val="auto"/>
          <w:sz w:val="24"/>
          <w:szCs w:val="24"/>
          <w:u w:val="single"/>
        </w:rPr>
        <w:lastRenderedPageBreak/>
        <w:t>Appendices</w:t>
      </w:r>
    </w:p>
    <w:p w14:paraId="586EA098" w14:textId="77777777" w:rsidR="003174FB" w:rsidRDefault="003174FB" w:rsidP="003174FB">
      <w:pPr>
        <w:pStyle w:val="NoSpacing"/>
        <w:rPr>
          <w:u w:val="single"/>
        </w:rPr>
      </w:pPr>
      <w:r>
        <w:rPr>
          <w:u w:val="single"/>
        </w:rPr>
        <w:t>Figure 1</w:t>
      </w:r>
    </w:p>
    <w:p w14:paraId="2713BD63" w14:textId="77777777" w:rsidR="003174FB" w:rsidRDefault="003174FB" w:rsidP="003174FB">
      <w:pPr>
        <w:pStyle w:val="NoSpacing"/>
      </w:pPr>
      <w:r>
        <w:rPr>
          <w:noProof/>
        </w:rPr>
        <w:drawing>
          <wp:inline distT="0" distB="0" distL="0" distR="0" wp14:anchorId="5CE00922" wp14:editId="19CB456E">
            <wp:extent cx="5731510" cy="39223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922395"/>
                    </a:xfrm>
                    <a:prstGeom prst="rect">
                      <a:avLst/>
                    </a:prstGeom>
                  </pic:spPr>
                </pic:pic>
              </a:graphicData>
            </a:graphic>
          </wp:inline>
        </w:drawing>
      </w:r>
      <w:r>
        <w:rPr>
          <w:rStyle w:val="FootnoteReference"/>
        </w:rPr>
        <w:footnoteReference w:id="100"/>
      </w:r>
      <w:r>
        <w:br w:type="page"/>
      </w:r>
    </w:p>
    <w:p w14:paraId="3B555475" w14:textId="77777777" w:rsidR="003174FB" w:rsidRPr="00B96D66" w:rsidRDefault="003174FB" w:rsidP="003174FB">
      <w:pPr>
        <w:pStyle w:val="Caption"/>
        <w:keepNext/>
        <w:rPr>
          <w:color w:val="auto"/>
          <w:sz w:val="24"/>
          <w:szCs w:val="24"/>
          <w:u w:val="single"/>
        </w:rPr>
      </w:pPr>
    </w:p>
    <w:p w14:paraId="5395F002" w14:textId="77777777" w:rsidR="003174FB" w:rsidRPr="00B63B58" w:rsidRDefault="003174FB" w:rsidP="003174FB">
      <w:pPr>
        <w:pStyle w:val="Caption"/>
        <w:keepNext/>
        <w:rPr>
          <w:color w:val="auto"/>
          <w:sz w:val="24"/>
          <w:szCs w:val="24"/>
          <w:u w:val="single"/>
        </w:rPr>
      </w:pPr>
      <w:r>
        <w:rPr>
          <w:color w:val="auto"/>
          <w:sz w:val="24"/>
          <w:szCs w:val="24"/>
          <w:u w:val="single"/>
        </w:rPr>
        <w:t xml:space="preserve">Table 1 </w:t>
      </w:r>
      <w:r w:rsidRPr="00B63B58">
        <w:rPr>
          <w:color w:val="auto"/>
          <w:sz w:val="24"/>
          <w:szCs w:val="24"/>
          <w:u w:val="single"/>
        </w:rPr>
        <w:t>Barclays</w:t>
      </w:r>
      <w:r>
        <w:rPr>
          <w:rStyle w:val="FootnoteReference"/>
          <w:color w:val="auto"/>
          <w:sz w:val="24"/>
          <w:szCs w:val="24"/>
          <w:u w:val="single"/>
        </w:rPr>
        <w:footnoteReference w:id="101"/>
      </w:r>
    </w:p>
    <w:tbl>
      <w:tblPr>
        <w:tblW w:w="9720" w:type="dxa"/>
        <w:tblInd w:w="9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68"/>
        <w:gridCol w:w="2092"/>
        <w:gridCol w:w="3360"/>
      </w:tblGrid>
      <w:tr w:rsidR="003174FB" w:rsidRPr="00ED2C96" w14:paraId="37A28B68" w14:textId="77777777" w:rsidTr="00B2031E">
        <w:trPr>
          <w:trHeight w:val="315"/>
        </w:trPr>
        <w:tc>
          <w:tcPr>
            <w:tcW w:w="4268" w:type="dxa"/>
            <w:shd w:val="clear" w:color="auto" w:fill="auto"/>
            <w:noWrap/>
            <w:vAlign w:val="bottom"/>
            <w:hideMark/>
          </w:tcPr>
          <w:p w14:paraId="3A255EF5" w14:textId="77777777" w:rsidR="003174FB" w:rsidRDefault="003174FB" w:rsidP="00B2031E">
            <w:pPr>
              <w:rPr>
                <w:sz w:val="24"/>
                <w:szCs w:val="24"/>
              </w:rPr>
            </w:pPr>
          </w:p>
          <w:p w14:paraId="46B8BBDD" w14:textId="77777777" w:rsidR="003174FB" w:rsidRPr="00ED2C96" w:rsidRDefault="003174FB" w:rsidP="00B2031E">
            <w:pPr>
              <w:rPr>
                <w:sz w:val="24"/>
                <w:szCs w:val="24"/>
              </w:rPr>
            </w:pPr>
            <w:r w:rsidRPr="00ED2C96">
              <w:rPr>
                <w:sz w:val="24"/>
                <w:szCs w:val="24"/>
              </w:rPr>
              <w:t> </w:t>
            </w:r>
          </w:p>
        </w:tc>
        <w:tc>
          <w:tcPr>
            <w:tcW w:w="2092" w:type="dxa"/>
            <w:shd w:val="clear" w:color="auto" w:fill="auto"/>
            <w:noWrap/>
            <w:vAlign w:val="bottom"/>
            <w:hideMark/>
          </w:tcPr>
          <w:p w14:paraId="380BE57A" w14:textId="77777777" w:rsidR="003174FB" w:rsidRPr="00ED2C96" w:rsidRDefault="003174FB" w:rsidP="00B2031E">
            <w:pPr>
              <w:rPr>
                <w:sz w:val="24"/>
                <w:szCs w:val="24"/>
              </w:rPr>
            </w:pPr>
            <w:r w:rsidRPr="00ED2C96">
              <w:rPr>
                <w:sz w:val="24"/>
                <w:szCs w:val="24"/>
              </w:rPr>
              <w:t> </w:t>
            </w:r>
          </w:p>
        </w:tc>
        <w:tc>
          <w:tcPr>
            <w:tcW w:w="3360" w:type="dxa"/>
            <w:shd w:val="clear" w:color="auto" w:fill="auto"/>
            <w:noWrap/>
            <w:vAlign w:val="bottom"/>
            <w:hideMark/>
          </w:tcPr>
          <w:p w14:paraId="3B6F4B25" w14:textId="77777777" w:rsidR="003174FB" w:rsidRPr="00ED2C96" w:rsidRDefault="003174FB" w:rsidP="00B2031E">
            <w:pPr>
              <w:rPr>
                <w:sz w:val="24"/>
                <w:szCs w:val="24"/>
              </w:rPr>
            </w:pPr>
            <w:r w:rsidRPr="00ED2C96">
              <w:rPr>
                <w:sz w:val="24"/>
                <w:szCs w:val="24"/>
              </w:rPr>
              <w:t>% of Barclays 2011 Pre-Tax Profits</w:t>
            </w:r>
          </w:p>
        </w:tc>
      </w:tr>
      <w:tr w:rsidR="003174FB" w:rsidRPr="00ED2C96" w14:paraId="50A0F6D8" w14:textId="77777777" w:rsidTr="00B2031E">
        <w:trPr>
          <w:trHeight w:val="315"/>
        </w:trPr>
        <w:tc>
          <w:tcPr>
            <w:tcW w:w="4268" w:type="dxa"/>
            <w:shd w:val="clear" w:color="auto" w:fill="auto"/>
            <w:noWrap/>
            <w:vAlign w:val="bottom"/>
            <w:hideMark/>
          </w:tcPr>
          <w:p w14:paraId="71CADAC3" w14:textId="77777777" w:rsidR="003174FB" w:rsidRPr="00ED2C96" w:rsidRDefault="003174FB" w:rsidP="00B2031E">
            <w:pPr>
              <w:rPr>
                <w:sz w:val="24"/>
                <w:szCs w:val="24"/>
              </w:rPr>
            </w:pPr>
            <w:r w:rsidRPr="00ED2C96">
              <w:rPr>
                <w:sz w:val="24"/>
                <w:szCs w:val="24"/>
              </w:rPr>
              <w:t>Barclays 2011 Pre-Tax Profits</w:t>
            </w:r>
          </w:p>
        </w:tc>
        <w:tc>
          <w:tcPr>
            <w:tcW w:w="2092" w:type="dxa"/>
            <w:shd w:val="clear" w:color="auto" w:fill="auto"/>
            <w:noWrap/>
            <w:vAlign w:val="bottom"/>
            <w:hideMark/>
          </w:tcPr>
          <w:p w14:paraId="0E375DB5" w14:textId="77777777" w:rsidR="003174FB" w:rsidRPr="00ED2C96" w:rsidRDefault="003174FB" w:rsidP="00B2031E">
            <w:pPr>
              <w:jc w:val="right"/>
              <w:rPr>
                <w:sz w:val="24"/>
                <w:szCs w:val="24"/>
              </w:rPr>
            </w:pPr>
            <w:r w:rsidRPr="00ED2C96">
              <w:rPr>
                <w:sz w:val="24"/>
                <w:szCs w:val="24"/>
              </w:rPr>
              <w:t>£5,879,000,000.00</w:t>
            </w:r>
          </w:p>
        </w:tc>
        <w:tc>
          <w:tcPr>
            <w:tcW w:w="3360" w:type="dxa"/>
            <w:shd w:val="clear" w:color="auto" w:fill="auto"/>
            <w:noWrap/>
            <w:vAlign w:val="bottom"/>
            <w:hideMark/>
          </w:tcPr>
          <w:p w14:paraId="7D12ADC2" w14:textId="77777777" w:rsidR="003174FB" w:rsidRPr="00ED2C96" w:rsidRDefault="003174FB" w:rsidP="00B2031E">
            <w:pPr>
              <w:jc w:val="right"/>
              <w:rPr>
                <w:sz w:val="24"/>
                <w:szCs w:val="24"/>
              </w:rPr>
            </w:pPr>
            <w:r w:rsidRPr="00ED2C96">
              <w:rPr>
                <w:sz w:val="24"/>
                <w:szCs w:val="24"/>
              </w:rPr>
              <w:t>100</w:t>
            </w:r>
          </w:p>
        </w:tc>
      </w:tr>
      <w:tr w:rsidR="003174FB" w:rsidRPr="00ED2C96" w14:paraId="2AE513BC" w14:textId="77777777" w:rsidTr="00B2031E">
        <w:trPr>
          <w:trHeight w:val="315"/>
        </w:trPr>
        <w:tc>
          <w:tcPr>
            <w:tcW w:w="4268" w:type="dxa"/>
            <w:shd w:val="clear" w:color="auto" w:fill="auto"/>
            <w:noWrap/>
            <w:vAlign w:val="bottom"/>
            <w:hideMark/>
          </w:tcPr>
          <w:p w14:paraId="4A2A909D" w14:textId="77777777" w:rsidR="003174FB" w:rsidRPr="00ED2C96" w:rsidRDefault="003174FB" w:rsidP="00B2031E">
            <w:pPr>
              <w:rPr>
                <w:sz w:val="24"/>
                <w:szCs w:val="24"/>
              </w:rPr>
            </w:pPr>
            <w:r w:rsidRPr="00ED2C96">
              <w:rPr>
                <w:sz w:val="24"/>
                <w:szCs w:val="24"/>
              </w:rPr>
              <w:t>FSA Fine</w:t>
            </w:r>
          </w:p>
        </w:tc>
        <w:tc>
          <w:tcPr>
            <w:tcW w:w="2092" w:type="dxa"/>
            <w:shd w:val="clear" w:color="auto" w:fill="auto"/>
            <w:noWrap/>
            <w:vAlign w:val="bottom"/>
            <w:hideMark/>
          </w:tcPr>
          <w:p w14:paraId="5DFAB033" w14:textId="77777777" w:rsidR="003174FB" w:rsidRPr="00ED2C96" w:rsidRDefault="003174FB" w:rsidP="00B2031E">
            <w:pPr>
              <w:jc w:val="right"/>
              <w:rPr>
                <w:sz w:val="24"/>
                <w:szCs w:val="24"/>
              </w:rPr>
            </w:pPr>
            <w:r w:rsidRPr="00ED2C96">
              <w:rPr>
                <w:sz w:val="24"/>
                <w:szCs w:val="24"/>
              </w:rPr>
              <w:t>£59,500,000.00</w:t>
            </w:r>
          </w:p>
        </w:tc>
        <w:tc>
          <w:tcPr>
            <w:tcW w:w="3360" w:type="dxa"/>
            <w:shd w:val="clear" w:color="auto" w:fill="auto"/>
            <w:noWrap/>
            <w:vAlign w:val="bottom"/>
            <w:hideMark/>
          </w:tcPr>
          <w:p w14:paraId="75467435" w14:textId="77777777" w:rsidR="003174FB" w:rsidRPr="00ED2C96" w:rsidRDefault="003174FB" w:rsidP="00B2031E">
            <w:pPr>
              <w:jc w:val="right"/>
              <w:rPr>
                <w:sz w:val="24"/>
                <w:szCs w:val="24"/>
              </w:rPr>
            </w:pPr>
            <w:r w:rsidRPr="00ED2C96">
              <w:rPr>
                <w:sz w:val="24"/>
                <w:szCs w:val="24"/>
              </w:rPr>
              <w:t>1.012076884</w:t>
            </w:r>
          </w:p>
        </w:tc>
      </w:tr>
      <w:tr w:rsidR="003174FB" w:rsidRPr="00ED2C96" w14:paraId="19A98CBC" w14:textId="77777777" w:rsidTr="00B2031E">
        <w:trPr>
          <w:trHeight w:val="300"/>
        </w:trPr>
        <w:tc>
          <w:tcPr>
            <w:tcW w:w="4268" w:type="dxa"/>
            <w:shd w:val="clear" w:color="auto" w:fill="auto"/>
            <w:noWrap/>
            <w:vAlign w:val="bottom"/>
            <w:hideMark/>
          </w:tcPr>
          <w:p w14:paraId="3132DE27" w14:textId="77777777" w:rsidR="003174FB" w:rsidRPr="00ED2C96" w:rsidRDefault="003174FB" w:rsidP="00B2031E">
            <w:pPr>
              <w:rPr>
                <w:sz w:val="24"/>
                <w:szCs w:val="24"/>
              </w:rPr>
            </w:pPr>
            <w:r w:rsidRPr="00ED2C96">
              <w:rPr>
                <w:sz w:val="24"/>
                <w:szCs w:val="24"/>
              </w:rPr>
              <w:t>US Fines</w:t>
            </w:r>
          </w:p>
        </w:tc>
        <w:tc>
          <w:tcPr>
            <w:tcW w:w="2092" w:type="dxa"/>
            <w:shd w:val="clear" w:color="auto" w:fill="auto"/>
            <w:noWrap/>
            <w:vAlign w:val="bottom"/>
            <w:hideMark/>
          </w:tcPr>
          <w:p w14:paraId="07814341" w14:textId="77777777" w:rsidR="003174FB" w:rsidRPr="00ED2C96" w:rsidRDefault="003174FB" w:rsidP="00B2031E">
            <w:pPr>
              <w:rPr>
                <w:sz w:val="24"/>
                <w:szCs w:val="24"/>
              </w:rPr>
            </w:pPr>
            <w:r w:rsidRPr="00ED2C96">
              <w:rPr>
                <w:sz w:val="24"/>
                <w:szCs w:val="24"/>
              </w:rPr>
              <w:t> </w:t>
            </w:r>
          </w:p>
        </w:tc>
        <w:tc>
          <w:tcPr>
            <w:tcW w:w="3360" w:type="dxa"/>
            <w:shd w:val="clear" w:color="auto" w:fill="auto"/>
            <w:noWrap/>
            <w:vAlign w:val="bottom"/>
            <w:hideMark/>
          </w:tcPr>
          <w:p w14:paraId="04FDDA3A" w14:textId="77777777" w:rsidR="003174FB" w:rsidRPr="00ED2C96" w:rsidRDefault="003174FB" w:rsidP="00B2031E">
            <w:pPr>
              <w:rPr>
                <w:sz w:val="24"/>
                <w:szCs w:val="24"/>
              </w:rPr>
            </w:pPr>
            <w:r w:rsidRPr="00ED2C96">
              <w:rPr>
                <w:sz w:val="24"/>
                <w:szCs w:val="24"/>
              </w:rPr>
              <w:t> </w:t>
            </w:r>
          </w:p>
        </w:tc>
      </w:tr>
      <w:tr w:rsidR="003174FB" w:rsidRPr="00ED2C96" w14:paraId="228C55A9" w14:textId="77777777" w:rsidTr="00B2031E">
        <w:trPr>
          <w:trHeight w:val="300"/>
        </w:trPr>
        <w:tc>
          <w:tcPr>
            <w:tcW w:w="4268" w:type="dxa"/>
            <w:shd w:val="clear" w:color="auto" w:fill="auto"/>
            <w:noWrap/>
            <w:vAlign w:val="bottom"/>
            <w:hideMark/>
          </w:tcPr>
          <w:p w14:paraId="1888BB7A" w14:textId="77777777" w:rsidR="003174FB" w:rsidRPr="00ED2C96" w:rsidRDefault="003174FB" w:rsidP="00B2031E">
            <w:pPr>
              <w:rPr>
                <w:sz w:val="24"/>
                <w:szCs w:val="24"/>
              </w:rPr>
            </w:pPr>
            <w:r w:rsidRPr="00ED2C96">
              <w:rPr>
                <w:sz w:val="24"/>
                <w:szCs w:val="24"/>
              </w:rPr>
              <w:t>Commodity Futures Trading Commission</w:t>
            </w:r>
          </w:p>
        </w:tc>
        <w:tc>
          <w:tcPr>
            <w:tcW w:w="2092" w:type="dxa"/>
            <w:shd w:val="clear" w:color="auto" w:fill="auto"/>
            <w:noWrap/>
            <w:vAlign w:val="bottom"/>
            <w:hideMark/>
          </w:tcPr>
          <w:p w14:paraId="508CED1E" w14:textId="77777777" w:rsidR="003174FB" w:rsidRPr="00ED2C96" w:rsidRDefault="003174FB" w:rsidP="00B2031E">
            <w:pPr>
              <w:jc w:val="right"/>
              <w:rPr>
                <w:sz w:val="24"/>
                <w:szCs w:val="24"/>
              </w:rPr>
            </w:pPr>
            <w:r w:rsidRPr="00ED2C96">
              <w:rPr>
                <w:sz w:val="24"/>
                <w:szCs w:val="24"/>
              </w:rPr>
              <w:t>$200,000,000.00</w:t>
            </w:r>
          </w:p>
        </w:tc>
        <w:tc>
          <w:tcPr>
            <w:tcW w:w="3360" w:type="dxa"/>
            <w:shd w:val="clear" w:color="auto" w:fill="auto"/>
            <w:noWrap/>
            <w:vAlign w:val="bottom"/>
            <w:hideMark/>
          </w:tcPr>
          <w:p w14:paraId="497181C6" w14:textId="77777777" w:rsidR="003174FB" w:rsidRPr="00ED2C96" w:rsidRDefault="003174FB" w:rsidP="00B2031E">
            <w:pPr>
              <w:rPr>
                <w:sz w:val="24"/>
                <w:szCs w:val="24"/>
              </w:rPr>
            </w:pPr>
            <w:r w:rsidRPr="00ED2C96">
              <w:rPr>
                <w:sz w:val="24"/>
                <w:szCs w:val="24"/>
              </w:rPr>
              <w:t> </w:t>
            </w:r>
          </w:p>
        </w:tc>
      </w:tr>
      <w:tr w:rsidR="003174FB" w:rsidRPr="00ED2C96" w14:paraId="7BE0BAB2" w14:textId="77777777" w:rsidTr="00B2031E">
        <w:trPr>
          <w:trHeight w:val="300"/>
        </w:trPr>
        <w:tc>
          <w:tcPr>
            <w:tcW w:w="4268" w:type="dxa"/>
            <w:shd w:val="clear" w:color="auto" w:fill="auto"/>
            <w:noWrap/>
            <w:vAlign w:val="bottom"/>
            <w:hideMark/>
          </w:tcPr>
          <w:p w14:paraId="7CBEE7DE" w14:textId="77777777" w:rsidR="003174FB" w:rsidRPr="00ED2C96" w:rsidRDefault="003174FB" w:rsidP="00B2031E">
            <w:pPr>
              <w:rPr>
                <w:sz w:val="24"/>
                <w:szCs w:val="24"/>
              </w:rPr>
            </w:pPr>
            <w:r w:rsidRPr="00ED2C96">
              <w:rPr>
                <w:sz w:val="24"/>
                <w:szCs w:val="24"/>
              </w:rPr>
              <w:t>In GBP</w:t>
            </w:r>
            <w:r w:rsidRPr="00ED2C96">
              <w:rPr>
                <w:rStyle w:val="FootnoteReference"/>
                <w:sz w:val="24"/>
                <w:szCs w:val="24"/>
              </w:rPr>
              <w:footnoteReference w:id="102"/>
            </w:r>
          </w:p>
        </w:tc>
        <w:tc>
          <w:tcPr>
            <w:tcW w:w="2092" w:type="dxa"/>
            <w:shd w:val="clear" w:color="auto" w:fill="auto"/>
            <w:noWrap/>
            <w:vAlign w:val="bottom"/>
            <w:hideMark/>
          </w:tcPr>
          <w:p w14:paraId="42D227AF" w14:textId="77777777" w:rsidR="003174FB" w:rsidRPr="00ED2C96" w:rsidRDefault="003174FB" w:rsidP="00B2031E">
            <w:pPr>
              <w:jc w:val="right"/>
              <w:rPr>
                <w:sz w:val="24"/>
                <w:szCs w:val="24"/>
              </w:rPr>
            </w:pPr>
            <w:r w:rsidRPr="00ED2C96">
              <w:rPr>
                <w:sz w:val="24"/>
                <w:szCs w:val="24"/>
              </w:rPr>
              <w:t>£128,440,000.00</w:t>
            </w:r>
          </w:p>
        </w:tc>
        <w:tc>
          <w:tcPr>
            <w:tcW w:w="3360" w:type="dxa"/>
            <w:shd w:val="clear" w:color="auto" w:fill="auto"/>
            <w:noWrap/>
            <w:vAlign w:val="bottom"/>
            <w:hideMark/>
          </w:tcPr>
          <w:p w14:paraId="13493E1E" w14:textId="77777777" w:rsidR="003174FB" w:rsidRPr="00ED2C96" w:rsidRDefault="003174FB" w:rsidP="00B2031E">
            <w:pPr>
              <w:jc w:val="right"/>
              <w:rPr>
                <w:sz w:val="24"/>
                <w:szCs w:val="24"/>
              </w:rPr>
            </w:pPr>
            <w:r w:rsidRPr="00ED2C96">
              <w:rPr>
                <w:sz w:val="24"/>
                <w:szCs w:val="24"/>
              </w:rPr>
              <w:t>2.184725293</w:t>
            </w:r>
          </w:p>
        </w:tc>
      </w:tr>
      <w:tr w:rsidR="003174FB" w:rsidRPr="00ED2C96" w14:paraId="24BCD346" w14:textId="77777777" w:rsidTr="00B2031E">
        <w:trPr>
          <w:trHeight w:val="300"/>
        </w:trPr>
        <w:tc>
          <w:tcPr>
            <w:tcW w:w="4268" w:type="dxa"/>
            <w:shd w:val="clear" w:color="auto" w:fill="auto"/>
            <w:noWrap/>
            <w:vAlign w:val="bottom"/>
            <w:hideMark/>
          </w:tcPr>
          <w:p w14:paraId="77672889" w14:textId="77777777" w:rsidR="003174FB" w:rsidRPr="00ED2C96" w:rsidRDefault="003174FB" w:rsidP="00B2031E">
            <w:pPr>
              <w:rPr>
                <w:sz w:val="24"/>
                <w:szCs w:val="24"/>
              </w:rPr>
            </w:pPr>
            <w:r w:rsidRPr="00ED2C96">
              <w:rPr>
                <w:sz w:val="24"/>
                <w:szCs w:val="24"/>
              </w:rPr>
              <w:t> </w:t>
            </w:r>
          </w:p>
        </w:tc>
        <w:tc>
          <w:tcPr>
            <w:tcW w:w="2092" w:type="dxa"/>
            <w:shd w:val="clear" w:color="auto" w:fill="auto"/>
            <w:noWrap/>
            <w:vAlign w:val="bottom"/>
            <w:hideMark/>
          </w:tcPr>
          <w:p w14:paraId="4B8B02EF" w14:textId="77777777" w:rsidR="003174FB" w:rsidRPr="00ED2C96" w:rsidRDefault="003174FB" w:rsidP="00B2031E">
            <w:pPr>
              <w:rPr>
                <w:sz w:val="24"/>
                <w:szCs w:val="24"/>
              </w:rPr>
            </w:pPr>
            <w:r w:rsidRPr="00ED2C96">
              <w:rPr>
                <w:sz w:val="24"/>
                <w:szCs w:val="24"/>
              </w:rPr>
              <w:t> </w:t>
            </w:r>
          </w:p>
        </w:tc>
        <w:tc>
          <w:tcPr>
            <w:tcW w:w="3360" w:type="dxa"/>
            <w:shd w:val="clear" w:color="auto" w:fill="auto"/>
            <w:noWrap/>
            <w:vAlign w:val="bottom"/>
            <w:hideMark/>
          </w:tcPr>
          <w:p w14:paraId="2EFC6BB5" w14:textId="77777777" w:rsidR="003174FB" w:rsidRPr="00ED2C96" w:rsidRDefault="003174FB" w:rsidP="00B2031E">
            <w:pPr>
              <w:rPr>
                <w:sz w:val="24"/>
                <w:szCs w:val="24"/>
              </w:rPr>
            </w:pPr>
            <w:r w:rsidRPr="00ED2C96">
              <w:rPr>
                <w:sz w:val="24"/>
                <w:szCs w:val="24"/>
              </w:rPr>
              <w:t> </w:t>
            </w:r>
          </w:p>
        </w:tc>
      </w:tr>
      <w:tr w:rsidR="003174FB" w:rsidRPr="00ED2C96" w14:paraId="62104F55" w14:textId="77777777" w:rsidTr="00B2031E">
        <w:trPr>
          <w:trHeight w:val="300"/>
        </w:trPr>
        <w:tc>
          <w:tcPr>
            <w:tcW w:w="4268" w:type="dxa"/>
            <w:shd w:val="clear" w:color="auto" w:fill="auto"/>
            <w:noWrap/>
            <w:vAlign w:val="bottom"/>
            <w:hideMark/>
          </w:tcPr>
          <w:p w14:paraId="7B01FA12" w14:textId="77777777" w:rsidR="003174FB" w:rsidRPr="00ED2C96" w:rsidRDefault="003174FB" w:rsidP="00B2031E">
            <w:pPr>
              <w:rPr>
                <w:sz w:val="24"/>
                <w:szCs w:val="24"/>
              </w:rPr>
            </w:pPr>
            <w:r w:rsidRPr="00ED2C96">
              <w:rPr>
                <w:sz w:val="24"/>
                <w:szCs w:val="24"/>
              </w:rPr>
              <w:t xml:space="preserve">Department of Justice </w:t>
            </w:r>
          </w:p>
        </w:tc>
        <w:tc>
          <w:tcPr>
            <w:tcW w:w="2092" w:type="dxa"/>
            <w:shd w:val="clear" w:color="auto" w:fill="auto"/>
            <w:noWrap/>
            <w:vAlign w:val="bottom"/>
            <w:hideMark/>
          </w:tcPr>
          <w:p w14:paraId="15E375FC" w14:textId="77777777" w:rsidR="003174FB" w:rsidRPr="00ED2C96" w:rsidRDefault="003174FB" w:rsidP="00B2031E">
            <w:pPr>
              <w:jc w:val="right"/>
              <w:rPr>
                <w:sz w:val="24"/>
                <w:szCs w:val="24"/>
              </w:rPr>
            </w:pPr>
            <w:r w:rsidRPr="00ED2C96">
              <w:rPr>
                <w:sz w:val="24"/>
                <w:szCs w:val="24"/>
              </w:rPr>
              <w:t>$160,000,000.00</w:t>
            </w:r>
          </w:p>
        </w:tc>
        <w:tc>
          <w:tcPr>
            <w:tcW w:w="3360" w:type="dxa"/>
            <w:shd w:val="clear" w:color="auto" w:fill="auto"/>
            <w:noWrap/>
            <w:vAlign w:val="bottom"/>
            <w:hideMark/>
          </w:tcPr>
          <w:p w14:paraId="5231F852" w14:textId="77777777" w:rsidR="003174FB" w:rsidRPr="00ED2C96" w:rsidRDefault="003174FB" w:rsidP="00B2031E">
            <w:pPr>
              <w:rPr>
                <w:sz w:val="24"/>
                <w:szCs w:val="24"/>
              </w:rPr>
            </w:pPr>
            <w:r w:rsidRPr="00ED2C96">
              <w:rPr>
                <w:sz w:val="24"/>
                <w:szCs w:val="24"/>
              </w:rPr>
              <w:t> </w:t>
            </w:r>
          </w:p>
        </w:tc>
      </w:tr>
      <w:tr w:rsidR="003174FB" w:rsidRPr="00ED2C96" w14:paraId="6370062F" w14:textId="77777777" w:rsidTr="00B2031E">
        <w:trPr>
          <w:trHeight w:val="300"/>
        </w:trPr>
        <w:tc>
          <w:tcPr>
            <w:tcW w:w="4268" w:type="dxa"/>
            <w:shd w:val="clear" w:color="auto" w:fill="auto"/>
            <w:noWrap/>
            <w:vAlign w:val="bottom"/>
            <w:hideMark/>
          </w:tcPr>
          <w:p w14:paraId="26C05F26" w14:textId="77777777" w:rsidR="003174FB" w:rsidRPr="00ED2C96" w:rsidRDefault="003174FB" w:rsidP="00B2031E">
            <w:pPr>
              <w:rPr>
                <w:sz w:val="24"/>
                <w:szCs w:val="24"/>
              </w:rPr>
            </w:pPr>
            <w:r w:rsidRPr="00ED2C96">
              <w:rPr>
                <w:sz w:val="24"/>
                <w:szCs w:val="24"/>
              </w:rPr>
              <w:t>In GBP</w:t>
            </w:r>
            <w:r w:rsidRPr="00ED2C96">
              <w:rPr>
                <w:sz w:val="24"/>
                <w:szCs w:val="24"/>
                <w:vertAlign w:val="superscript"/>
              </w:rPr>
              <w:t>i</w:t>
            </w:r>
          </w:p>
        </w:tc>
        <w:tc>
          <w:tcPr>
            <w:tcW w:w="2092" w:type="dxa"/>
            <w:shd w:val="clear" w:color="auto" w:fill="auto"/>
            <w:noWrap/>
            <w:vAlign w:val="bottom"/>
            <w:hideMark/>
          </w:tcPr>
          <w:p w14:paraId="3D0F0487" w14:textId="77777777" w:rsidR="003174FB" w:rsidRPr="00ED2C96" w:rsidRDefault="003174FB" w:rsidP="00B2031E">
            <w:pPr>
              <w:jc w:val="right"/>
              <w:rPr>
                <w:sz w:val="24"/>
                <w:szCs w:val="24"/>
              </w:rPr>
            </w:pPr>
            <w:r w:rsidRPr="00ED2C96">
              <w:rPr>
                <w:sz w:val="24"/>
                <w:szCs w:val="24"/>
              </w:rPr>
              <w:t>£102,752,000.00</w:t>
            </w:r>
          </w:p>
        </w:tc>
        <w:tc>
          <w:tcPr>
            <w:tcW w:w="3360" w:type="dxa"/>
            <w:shd w:val="clear" w:color="auto" w:fill="auto"/>
            <w:noWrap/>
            <w:vAlign w:val="bottom"/>
            <w:hideMark/>
          </w:tcPr>
          <w:p w14:paraId="042D9314" w14:textId="77777777" w:rsidR="003174FB" w:rsidRPr="00ED2C96" w:rsidRDefault="003174FB" w:rsidP="00B2031E">
            <w:pPr>
              <w:jc w:val="right"/>
              <w:rPr>
                <w:sz w:val="24"/>
                <w:szCs w:val="24"/>
              </w:rPr>
            </w:pPr>
            <w:r w:rsidRPr="00ED2C96">
              <w:rPr>
                <w:sz w:val="24"/>
                <w:szCs w:val="24"/>
              </w:rPr>
              <w:t>1.747780235</w:t>
            </w:r>
          </w:p>
        </w:tc>
      </w:tr>
      <w:tr w:rsidR="003174FB" w:rsidRPr="00ED2C96" w14:paraId="0DF93183" w14:textId="77777777" w:rsidTr="00B2031E">
        <w:trPr>
          <w:trHeight w:val="300"/>
        </w:trPr>
        <w:tc>
          <w:tcPr>
            <w:tcW w:w="4268" w:type="dxa"/>
            <w:shd w:val="clear" w:color="auto" w:fill="auto"/>
            <w:noWrap/>
            <w:vAlign w:val="bottom"/>
            <w:hideMark/>
          </w:tcPr>
          <w:p w14:paraId="5BAA2173" w14:textId="77777777" w:rsidR="003174FB" w:rsidRPr="00ED2C96" w:rsidRDefault="003174FB" w:rsidP="00B2031E">
            <w:pPr>
              <w:rPr>
                <w:sz w:val="24"/>
                <w:szCs w:val="24"/>
              </w:rPr>
            </w:pPr>
            <w:r w:rsidRPr="00ED2C96">
              <w:rPr>
                <w:sz w:val="24"/>
                <w:szCs w:val="24"/>
              </w:rPr>
              <w:t> </w:t>
            </w:r>
          </w:p>
        </w:tc>
        <w:tc>
          <w:tcPr>
            <w:tcW w:w="2092" w:type="dxa"/>
            <w:shd w:val="clear" w:color="auto" w:fill="auto"/>
            <w:noWrap/>
            <w:vAlign w:val="bottom"/>
            <w:hideMark/>
          </w:tcPr>
          <w:p w14:paraId="28D21398" w14:textId="77777777" w:rsidR="003174FB" w:rsidRPr="00ED2C96" w:rsidRDefault="003174FB" w:rsidP="00B2031E">
            <w:pPr>
              <w:rPr>
                <w:sz w:val="24"/>
                <w:szCs w:val="24"/>
              </w:rPr>
            </w:pPr>
            <w:r w:rsidRPr="00ED2C96">
              <w:rPr>
                <w:sz w:val="24"/>
                <w:szCs w:val="24"/>
              </w:rPr>
              <w:t> </w:t>
            </w:r>
          </w:p>
        </w:tc>
        <w:tc>
          <w:tcPr>
            <w:tcW w:w="3360" w:type="dxa"/>
            <w:shd w:val="clear" w:color="auto" w:fill="auto"/>
            <w:noWrap/>
            <w:vAlign w:val="bottom"/>
            <w:hideMark/>
          </w:tcPr>
          <w:p w14:paraId="1E466764" w14:textId="77777777" w:rsidR="003174FB" w:rsidRPr="00ED2C96" w:rsidRDefault="003174FB" w:rsidP="00B2031E">
            <w:pPr>
              <w:rPr>
                <w:sz w:val="24"/>
                <w:szCs w:val="24"/>
              </w:rPr>
            </w:pPr>
            <w:r w:rsidRPr="00ED2C96">
              <w:rPr>
                <w:sz w:val="24"/>
                <w:szCs w:val="24"/>
              </w:rPr>
              <w:t> </w:t>
            </w:r>
          </w:p>
        </w:tc>
      </w:tr>
      <w:tr w:rsidR="003174FB" w:rsidRPr="00ED2C96" w14:paraId="2B9AFBAF" w14:textId="77777777" w:rsidTr="00B2031E">
        <w:trPr>
          <w:trHeight w:val="300"/>
        </w:trPr>
        <w:tc>
          <w:tcPr>
            <w:tcW w:w="4268" w:type="dxa"/>
            <w:shd w:val="clear" w:color="auto" w:fill="auto"/>
            <w:noWrap/>
            <w:vAlign w:val="bottom"/>
            <w:hideMark/>
          </w:tcPr>
          <w:p w14:paraId="2BED1B53" w14:textId="77777777" w:rsidR="003174FB" w:rsidRPr="00ED2C96" w:rsidRDefault="003174FB" w:rsidP="00B2031E">
            <w:pPr>
              <w:rPr>
                <w:sz w:val="24"/>
                <w:szCs w:val="24"/>
              </w:rPr>
            </w:pPr>
            <w:r w:rsidRPr="00ED2C96">
              <w:rPr>
                <w:sz w:val="24"/>
                <w:szCs w:val="24"/>
              </w:rPr>
              <w:t>Total US Fines</w:t>
            </w:r>
          </w:p>
        </w:tc>
        <w:tc>
          <w:tcPr>
            <w:tcW w:w="2092" w:type="dxa"/>
            <w:shd w:val="clear" w:color="auto" w:fill="auto"/>
            <w:noWrap/>
            <w:vAlign w:val="bottom"/>
            <w:hideMark/>
          </w:tcPr>
          <w:p w14:paraId="423E037D" w14:textId="77777777" w:rsidR="003174FB" w:rsidRPr="00ED2C96" w:rsidRDefault="003174FB" w:rsidP="00B2031E">
            <w:pPr>
              <w:jc w:val="right"/>
              <w:rPr>
                <w:sz w:val="24"/>
                <w:szCs w:val="24"/>
              </w:rPr>
            </w:pPr>
            <w:r w:rsidRPr="00ED2C96">
              <w:rPr>
                <w:sz w:val="24"/>
                <w:szCs w:val="24"/>
              </w:rPr>
              <w:t>$360,000,000.00</w:t>
            </w:r>
          </w:p>
        </w:tc>
        <w:tc>
          <w:tcPr>
            <w:tcW w:w="3360" w:type="dxa"/>
            <w:shd w:val="clear" w:color="auto" w:fill="auto"/>
            <w:noWrap/>
            <w:vAlign w:val="bottom"/>
            <w:hideMark/>
          </w:tcPr>
          <w:p w14:paraId="60189F0F" w14:textId="77777777" w:rsidR="003174FB" w:rsidRPr="00ED2C96" w:rsidRDefault="003174FB" w:rsidP="00B2031E">
            <w:pPr>
              <w:rPr>
                <w:sz w:val="24"/>
                <w:szCs w:val="24"/>
              </w:rPr>
            </w:pPr>
            <w:r w:rsidRPr="00ED2C96">
              <w:rPr>
                <w:sz w:val="24"/>
                <w:szCs w:val="24"/>
              </w:rPr>
              <w:t> </w:t>
            </w:r>
          </w:p>
        </w:tc>
      </w:tr>
      <w:tr w:rsidR="003174FB" w:rsidRPr="00ED2C96" w14:paraId="7FE46CB8" w14:textId="77777777" w:rsidTr="00B2031E">
        <w:trPr>
          <w:trHeight w:val="315"/>
        </w:trPr>
        <w:tc>
          <w:tcPr>
            <w:tcW w:w="4268" w:type="dxa"/>
            <w:shd w:val="clear" w:color="auto" w:fill="auto"/>
            <w:noWrap/>
            <w:vAlign w:val="bottom"/>
            <w:hideMark/>
          </w:tcPr>
          <w:p w14:paraId="73B63E5D" w14:textId="77777777" w:rsidR="003174FB" w:rsidRPr="00ED2C96" w:rsidRDefault="003174FB" w:rsidP="00B2031E">
            <w:pPr>
              <w:rPr>
                <w:sz w:val="24"/>
                <w:szCs w:val="24"/>
              </w:rPr>
            </w:pPr>
            <w:r w:rsidRPr="00ED2C96">
              <w:rPr>
                <w:sz w:val="24"/>
                <w:szCs w:val="24"/>
              </w:rPr>
              <w:t>In GBP</w:t>
            </w:r>
          </w:p>
        </w:tc>
        <w:tc>
          <w:tcPr>
            <w:tcW w:w="2092" w:type="dxa"/>
            <w:shd w:val="clear" w:color="auto" w:fill="auto"/>
            <w:noWrap/>
            <w:vAlign w:val="bottom"/>
            <w:hideMark/>
          </w:tcPr>
          <w:p w14:paraId="3183752A" w14:textId="77777777" w:rsidR="003174FB" w:rsidRPr="00ED2C96" w:rsidRDefault="003174FB" w:rsidP="00B2031E">
            <w:pPr>
              <w:jc w:val="right"/>
              <w:rPr>
                <w:sz w:val="24"/>
                <w:szCs w:val="24"/>
              </w:rPr>
            </w:pPr>
            <w:r w:rsidRPr="00ED2C96">
              <w:rPr>
                <w:sz w:val="24"/>
                <w:szCs w:val="24"/>
              </w:rPr>
              <w:t>£231,192,000.00</w:t>
            </w:r>
          </w:p>
        </w:tc>
        <w:tc>
          <w:tcPr>
            <w:tcW w:w="3360" w:type="dxa"/>
            <w:shd w:val="clear" w:color="auto" w:fill="auto"/>
            <w:noWrap/>
            <w:vAlign w:val="bottom"/>
            <w:hideMark/>
          </w:tcPr>
          <w:p w14:paraId="1B329E02" w14:textId="77777777" w:rsidR="003174FB" w:rsidRPr="00ED2C96" w:rsidRDefault="003174FB" w:rsidP="00B2031E">
            <w:pPr>
              <w:jc w:val="right"/>
              <w:rPr>
                <w:sz w:val="24"/>
                <w:szCs w:val="24"/>
              </w:rPr>
            </w:pPr>
            <w:r w:rsidRPr="00ED2C96">
              <w:rPr>
                <w:sz w:val="24"/>
                <w:szCs w:val="24"/>
              </w:rPr>
              <w:t>3.932505528</w:t>
            </w:r>
          </w:p>
        </w:tc>
      </w:tr>
      <w:tr w:rsidR="003174FB" w:rsidRPr="00ED2C96" w14:paraId="5E5D2603" w14:textId="77777777" w:rsidTr="00B2031E">
        <w:trPr>
          <w:trHeight w:val="315"/>
        </w:trPr>
        <w:tc>
          <w:tcPr>
            <w:tcW w:w="4268" w:type="dxa"/>
            <w:shd w:val="clear" w:color="auto" w:fill="auto"/>
            <w:noWrap/>
            <w:vAlign w:val="bottom"/>
            <w:hideMark/>
          </w:tcPr>
          <w:p w14:paraId="792BBF4F" w14:textId="77777777" w:rsidR="003174FB" w:rsidRPr="00ED2C96" w:rsidRDefault="003174FB" w:rsidP="00B2031E">
            <w:pPr>
              <w:rPr>
                <w:sz w:val="24"/>
                <w:szCs w:val="24"/>
              </w:rPr>
            </w:pPr>
            <w:r w:rsidRPr="00ED2C96">
              <w:rPr>
                <w:sz w:val="24"/>
                <w:szCs w:val="24"/>
              </w:rPr>
              <w:t>Total Fines (GBP)</w:t>
            </w:r>
          </w:p>
        </w:tc>
        <w:tc>
          <w:tcPr>
            <w:tcW w:w="2092" w:type="dxa"/>
            <w:shd w:val="clear" w:color="auto" w:fill="auto"/>
            <w:noWrap/>
            <w:vAlign w:val="bottom"/>
            <w:hideMark/>
          </w:tcPr>
          <w:p w14:paraId="1E572C44" w14:textId="77777777" w:rsidR="003174FB" w:rsidRPr="00ED2C96" w:rsidRDefault="003174FB" w:rsidP="00B2031E">
            <w:pPr>
              <w:jc w:val="right"/>
              <w:rPr>
                <w:sz w:val="24"/>
                <w:szCs w:val="24"/>
              </w:rPr>
            </w:pPr>
            <w:r w:rsidRPr="00ED2C96">
              <w:rPr>
                <w:sz w:val="24"/>
                <w:szCs w:val="24"/>
              </w:rPr>
              <w:t>£290,692,000.00</w:t>
            </w:r>
          </w:p>
        </w:tc>
        <w:tc>
          <w:tcPr>
            <w:tcW w:w="3360" w:type="dxa"/>
            <w:shd w:val="clear" w:color="auto" w:fill="auto"/>
            <w:noWrap/>
            <w:vAlign w:val="bottom"/>
            <w:hideMark/>
          </w:tcPr>
          <w:p w14:paraId="1149FC35" w14:textId="77777777" w:rsidR="003174FB" w:rsidRPr="00ED2C96" w:rsidRDefault="003174FB" w:rsidP="00B2031E">
            <w:pPr>
              <w:jc w:val="right"/>
              <w:rPr>
                <w:sz w:val="24"/>
                <w:szCs w:val="24"/>
              </w:rPr>
            </w:pPr>
            <w:r w:rsidRPr="00ED2C96">
              <w:rPr>
                <w:sz w:val="24"/>
                <w:szCs w:val="24"/>
              </w:rPr>
              <w:t>4.944582412</w:t>
            </w:r>
          </w:p>
        </w:tc>
      </w:tr>
      <w:tr w:rsidR="003174FB" w:rsidRPr="00ED2C96" w14:paraId="720C0699" w14:textId="77777777" w:rsidTr="00B2031E">
        <w:trPr>
          <w:trHeight w:val="315"/>
        </w:trPr>
        <w:tc>
          <w:tcPr>
            <w:tcW w:w="4268" w:type="dxa"/>
            <w:shd w:val="clear" w:color="auto" w:fill="auto"/>
            <w:noWrap/>
            <w:vAlign w:val="bottom"/>
            <w:hideMark/>
          </w:tcPr>
          <w:p w14:paraId="36883A1A" w14:textId="77777777" w:rsidR="003174FB" w:rsidRPr="00ED2C96" w:rsidRDefault="003174FB" w:rsidP="00B2031E">
            <w:pPr>
              <w:rPr>
                <w:sz w:val="24"/>
                <w:szCs w:val="24"/>
              </w:rPr>
            </w:pPr>
            <w:r w:rsidRPr="00ED2C96">
              <w:rPr>
                <w:sz w:val="24"/>
                <w:szCs w:val="24"/>
              </w:rPr>
              <w:t xml:space="preserve">1% of Barclays Pre-Tax Profits </w:t>
            </w:r>
          </w:p>
        </w:tc>
        <w:tc>
          <w:tcPr>
            <w:tcW w:w="2092" w:type="dxa"/>
            <w:shd w:val="clear" w:color="auto" w:fill="auto"/>
            <w:noWrap/>
            <w:vAlign w:val="bottom"/>
            <w:hideMark/>
          </w:tcPr>
          <w:p w14:paraId="2329B856" w14:textId="77777777" w:rsidR="003174FB" w:rsidRPr="00ED2C96" w:rsidRDefault="003174FB" w:rsidP="00B2031E">
            <w:pPr>
              <w:jc w:val="right"/>
              <w:rPr>
                <w:sz w:val="24"/>
                <w:szCs w:val="24"/>
              </w:rPr>
            </w:pPr>
            <w:r w:rsidRPr="00ED2C96">
              <w:rPr>
                <w:sz w:val="24"/>
                <w:szCs w:val="24"/>
              </w:rPr>
              <w:t>£58,790,000.00</w:t>
            </w:r>
          </w:p>
        </w:tc>
        <w:tc>
          <w:tcPr>
            <w:tcW w:w="3360" w:type="dxa"/>
            <w:shd w:val="clear" w:color="auto" w:fill="auto"/>
            <w:noWrap/>
            <w:vAlign w:val="bottom"/>
            <w:hideMark/>
          </w:tcPr>
          <w:p w14:paraId="12917A43" w14:textId="77777777" w:rsidR="003174FB" w:rsidRPr="00ED2C96" w:rsidRDefault="003174FB" w:rsidP="00B2031E">
            <w:pPr>
              <w:jc w:val="right"/>
              <w:rPr>
                <w:sz w:val="24"/>
                <w:szCs w:val="24"/>
              </w:rPr>
            </w:pPr>
            <w:r w:rsidRPr="00ED2C96">
              <w:rPr>
                <w:sz w:val="24"/>
                <w:szCs w:val="24"/>
              </w:rPr>
              <w:t> </w:t>
            </w:r>
            <w:r>
              <w:rPr>
                <w:sz w:val="24"/>
                <w:szCs w:val="24"/>
              </w:rPr>
              <w:t>1</w:t>
            </w:r>
          </w:p>
        </w:tc>
      </w:tr>
    </w:tbl>
    <w:p w14:paraId="52660681" w14:textId="77777777" w:rsidR="003174FB" w:rsidRDefault="003174FB" w:rsidP="003174FB">
      <w:pPr>
        <w:rPr>
          <w:sz w:val="24"/>
          <w:szCs w:val="24"/>
        </w:rPr>
      </w:pPr>
    </w:p>
    <w:p w14:paraId="2F14647F" w14:textId="77777777" w:rsidR="003174FB" w:rsidRPr="00B63B58" w:rsidRDefault="003174FB" w:rsidP="003174FB">
      <w:pPr>
        <w:pStyle w:val="Caption"/>
        <w:keepNext/>
        <w:rPr>
          <w:color w:val="auto"/>
          <w:sz w:val="24"/>
          <w:szCs w:val="24"/>
          <w:u w:val="single"/>
        </w:rPr>
      </w:pPr>
      <w:r>
        <w:rPr>
          <w:color w:val="auto"/>
          <w:sz w:val="24"/>
          <w:szCs w:val="24"/>
          <w:u w:val="single"/>
        </w:rPr>
        <w:t xml:space="preserve">Table 2 </w:t>
      </w:r>
      <w:r w:rsidRPr="00B63B58">
        <w:rPr>
          <w:color w:val="auto"/>
          <w:sz w:val="24"/>
          <w:szCs w:val="24"/>
          <w:u w:val="single"/>
        </w:rPr>
        <w:t>UBS</w:t>
      </w:r>
      <w:r>
        <w:rPr>
          <w:rStyle w:val="FootnoteReference"/>
          <w:color w:val="auto"/>
          <w:sz w:val="24"/>
          <w:szCs w:val="24"/>
          <w:u w:val="single"/>
        </w:rPr>
        <w:footnoteReference w:id="103"/>
      </w:r>
    </w:p>
    <w:tbl>
      <w:tblPr>
        <w:tblW w:w="9756" w:type="dxa"/>
        <w:tblInd w:w="93" w:type="dxa"/>
        <w:tblLook w:val="04A0" w:firstRow="1" w:lastRow="0" w:firstColumn="1" w:lastColumn="0" w:noHBand="0" w:noVBand="1"/>
      </w:tblPr>
      <w:tblGrid>
        <w:gridCol w:w="4126"/>
        <w:gridCol w:w="2410"/>
        <w:gridCol w:w="3220"/>
      </w:tblGrid>
      <w:tr w:rsidR="003174FB" w:rsidRPr="00F83B21" w14:paraId="4317E807" w14:textId="77777777" w:rsidTr="00B2031E">
        <w:trPr>
          <w:trHeight w:val="359"/>
        </w:trPr>
        <w:tc>
          <w:tcPr>
            <w:tcW w:w="41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C60299D" w14:textId="77777777" w:rsidR="003174FB" w:rsidRPr="00F83B21" w:rsidRDefault="003174FB" w:rsidP="00B2031E">
            <w:r w:rsidRPr="00F83B21">
              <w:t> </w:t>
            </w:r>
          </w:p>
        </w:tc>
        <w:tc>
          <w:tcPr>
            <w:tcW w:w="2410" w:type="dxa"/>
            <w:tcBorders>
              <w:top w:val="single" w:sz="12" w:space="0" w:color="auto"/>
              <w:left w:val="nil"/>
              <w:bottom w:val="single" w:sz="12" w:space="0" w:color="auto"/>
              <w:right w:val="single" w:sz="12" w:space="0" w:color="auto"/>
            </w:tcBorders>
            <w:shd w:val="clear" w:color="auto" w:fill="auto"/>
            <w:noWrap/>
            <w:vAlign w:val="bottom"/>
            <w:hideMark/>
          </w:tcPr>
          <w:p w14:paraId="50293ED5" w14:textId="77777777" w:rsidR="003174FB" w:rsidRPr="00F83B21" w:rsidRDefault="003174FB" w:rsidP="00B2031E">
            <w:r w:rsidRPr="00F83B21">
              <w:t> </w:t>
            </w:r>
          </w:p>
        </w:tc>
        <w:tc>
          <w:tcPr>
            <w:tcW w:w="3220" w:type="dxa"/>
            <w:tcBorders>
              <w:top w:val="single" w:sz="12" w:space="0" w:color="auto"/>
              <w:left w:val="nil"/>
              <w:bottom w:val="single" w:sz="12" w:space="0" w:color="auto"/>
              <w:right w:val="single" w:sz="12" w:space="0" w:color="auto"/>
            </w:tcBorders>
            <w:shd w:val="clear" w:color="auto" w:fill="auto"/>
            <w:noWrap/>
            <w:vAlign w:val="bottom"/>
            <w:hideMark/>
          </w:tcPr>
          <w:p w14:paraId="595C4034" w14:textId="77777777" w:rsidR="003174FB" w:rsidRPr="00F83B21" w:rsidRDefault="003174FB" w:rsidP="00B2031E">
            <w:r w:rsidRPr="00F83B21">
              <w:t>% of UBS 2011 Pre-Tax Profits</w:t>
            </w:r>
          </w:p>
        </w:tc>
      </w:tr>
      <w:tr w:rsidR="003174FB" w:rsidRPr="00F83B21" w14:paraId="24624C9B" w14:textId="77777777" w:rsidTr="00B2031E">
        <w:trPr>
          <w:trHeight w:val="359"/>
        </w:trPr>
        <w:tc>
          <w:tcPr>
            <w:tcW w:w="4126" w:type="dxa"/>
            <w:tcBorders>
              <w:top w:val="nil"/>
              <w:left w:val="single" w:sz="12" w:space="0" w:color="auto"/>
              <w:bottom w:val="single" w:sz="12" w:space="0" w:color="auto"/>
              <w:right w:val="single" w:sz="12" w:space="0" w:color="auto"/>
            </w:tcBorders>
            <w:shd w:val="clear" w:color="auto" w:fill="auto"/>
            <w:noWrap/>
            <w:vAlign w:val="bottom"/>
            <w:hideMark/>
          </w:tcPr>
          <w:p w14:paraId="072D25EB" w14:textId="77777777" w:rsidR="003174FB" w:rsidRPr="00F83B21" w:rsidRDefault="003174FB" w:rsidP="00B2031E">
            <w:r w:rsidRPr="00F83B21">
              <w:t>UBS 2011 Pre-Tax Profits (CHF)</w:t>
            </w:r>
          </w:p>
        </w:tc>
        <w:tc>
          <w:tcPr>
            <w:tcW w:w="2410" w:type="dxa"/>
            <w:tcBorders>
              <w:top w:val="nil"/>
              <w:left w:val="nil"/>
              <w:bottom w:val="single" w:sz="12" w:space="0" w:color="auto"/>
              <w:right w:val="single" w:sz="12" w:space="0" w:color="auto"/>
            </w:tcBorders>
            <w:shd w:val="clear" w:color="auto" w:fill="auto"/>
            <w:noWrap/>
            <w:vAlign w:val="bottom"/>
            <w:hideMark/>
          </w:tcPr>
          <w:p w14:paraId="6A1465E3" w14:textId="77777777" w:rsidR="003174FB" w:rsidRPr="00F83B21" w:rsidRDefault="003174FB" w:rsidP="00B2031E">
            <w:pPr>
              <w:jc w:val="right"/>
            </w:pPr>
            <w:r w:rsidRPr="00F83B21">
              <w:t>CHF 5,350,000,000.00</w:t>
            </w:r>
          </w:p>
        </w:tc>
        <w:tc>
          <w:tcPr>
            <w:tcW w:w="3220" w:type="dxa"/>
            <w:tcBorders>
              <w:top w:val="nil"/>
              <w:left w:val="nil"/>
              <w:bottom w:val="single" w:sz="12" w:space="0" w:color="auto"/>
              <w:right w:val="single" w:sz="12" w:space="0" w:color="auto"/>
            </w:tcBorders>
            <w:shd w:val="clear" w:color="auto" w:fill="auto"/>
            <w:noWrap/>
            <w:vAlign w:val="bottom"/>
            <w:hideMark/>
          </w:tcPr>
          <w:p w14:paraId="2B95942D" w14:textId="77777777" w:rsidR="003174FB" w:rsidRPr="00F83B21" w:rsidRDefault="003174FB" w:rsidP="00B2031E">
            <w:r w:rsidRPr="00F83B21">
              <w:t> </w:t>
            </w:r>
          </w:p>
        </w:tc>
      </w:tr>
      <w:tr w:rsidR="003174FB" w:rsidRPr="00F83B21" w14:paraId="2309E523" w14:textId="77777777" w:rsidTr="00B2031E">
        <w:trPr>
          <w:trHeight w:val="359"/>
        </w:trPr>
        <w:tc>
          <w:tcPr>
            <w:tcW w:w="4126" w:type="dxa"/>
            <w:tcBorders>
              <w:top w:val="nil"/>
              <w:left w:val="single" w:sz="12" w:space="0" w:color="auto"/>
              <w:bottom w:val="single" w:sz="12" w:space="0" w:color="auto"/>
              <w:right w:val="single" w:sz="12" w:space="0" w:color="auto"/>
            </w:tcBorders>
            <w:shd w:val="clear" w:color="auto" w:fill="auto"/>
            <w:noWrap/>
            <w:vAlign w:val="bottom"/>
            <w:hideMark/>
          </w:tcPr>
          <w:p w14:paraId="6A218A02" w14:textId="77777777" w:rsidR="003174FB" w:rsidRPr="00F83B21" w:rsidRDefault="003174FB" w:rsidP="00B2031E">
            <w:r w:rsidRPr="00F83B21">
              <w:t>In GBP</w:t>
            </w:r>
            <w:r>
              <w:rPr>
                <w:rStyle w:val="FootnoteReference"/>
              </w:rPr>
              <w:footnoteReference w:id="104"/>
            </w:r>
          </w:p>
        </w:tc>
        <w:tc>
          <w:tcPr>
            <w:tcW w:w="2410" w:type="dxa"/>
            <w:tcBorders>
              <w:top w:val="nil"/>
              <w:left w:val="nil"/>
              <w:bottom w:val="single" w:sz="12" w:space="0" w:color="auto"/>
              <w:right w:val="single" w:sz="12" w:space="0" w:color="auto"/>
            </w:tcBorders>
            <w:shd w:val="clear" w:color="auto" w:fill="auto"/>
            <w:noWrap/>
            <w:vAlign w:val="bottom"/>
            <w:hideMark/>
          </w:tcPr>
          <w:p w14:paraId="23B8554E" w14:textId="77777777" w:rsidR="003174FB" w:rsidRPr="00F83B21" w:rsidRDefault="003174FB" w:rsidP="00B2031E">
            <w:pPr>
              <w:jc w:val="right"/>
            </w:pPr>
            <w:r w:rsidRPr="00F83B21">
              <w:t>£3,689,895,000.0000</w:t>
            </w:r>
          </w:p>
        </w:tc>
        <w:tc>
          <w:tcPr>
            <w:tcW w:w="3220" w:type="dxa"/>
            <w:tcBorders>
              <w:top w:val="nil"/>
              <w:left w:val="nil"/>
              <w:bottom w:val="single" w:sz="12" w:space="0" w:color="auto"/>
              <w:right w:val="single" w:sz="12" w:space="0" w:color="auto"/>
            </w:tcBorders>
            <w:shd w:val="clear" w:color="auto" w:fill="auto"/>
            <w:noWrap/>
            <w:vAlign w:val="bottom"/>
            <w:hideMark/>
          </w:tcPr>
          <w:p w14:paraId="71AD5E5C" w14:textId="77777777" w:rsidR="003174FB" w:rsidRPr="00F83B21" w:rsidRDefault="003174FB" w:rsidP="00B2031E">
            <w:pPr>
              <w:jc w:val="right"/>
            </w:pPr>
            <w:r w:rsidRPr="00F83B21">
              <w:t> </w:t>
            </w:r>
            <w:r>
              <w:t>100</w:t>
            </w:r>
          </w:p>
        </w:tc>
      </w:tr>
      <w:tr w:rsidR="003174FB" w:rsidRPr="00F83B21" w14:paraId="6230D8DD" w14:textId="77777777" w:rsidTr="00B2031E">
        <w:trPr>
          <w:trHeight w:val="359"/>
        </w:trPr>
        <w:tc>
          <w:tcPr>
            <w:tcW w:w="4126" w:type="dxa"/>
            <w:tcBorders>
              <w:top w:val="nil"/>
              <w:left w:val="single" w:sz="12" w:space="0" w:color="auto"/>
              <w:bottom w:val="single" w:sz="12" w:space="0" w:color="auto"/>
              <w:right w:val="single" w:sz="12" w:space="0" w:color="auto"/>
            </w:tcBorders>
            <w:shd w:val="clear" w:color="auto" w:fill="auto"/>
            <w:noWrap/>
            <w:vAlign w:val="bottom"/>
            <w:hideMark/>
          </w:tcPr>
          <w:p w14:paraId="4DA830FA" w14:textId="77777777" w:rsidR="003174FB" w:rsidRPr="00F83B21" w:rsidRDefault="003174FB" w:rsidP="00B2031E">
            <w:r w:rsidRPr="00F83B21">
              <w:t>FSA Fine</w:t>
            </w:r>
          </w:p>
        </w:tc>
        <w:tc>
          <w:tcPr>
            <w:tcW w:w="2410" w:type="dxa"/>
            <w:tcBorders>
              <w:top w:val="nil"/>
              <w:left w:val="nil"/>
              <w:bottom w:val="single" w:sz="12" w:space="0" w:color="auto"/>
              <w:right w:val="single" w:sz="12" w:space="0" w:color="auto"/>
            </w:tcBorders>
            <w:shd w:val="clear" w:color="auto" w:fill="auto"/>
            <w:noWrap/>
            <w:vAlign w:val="bottom"/>
            <w:hideMark/>
          </w:tcPr>
          <w:p w14:paraId="486BC8AD" w14:textId="77777777" w:rsidR="003174FB" w:rsidRPr="00F83B21" w:rsidRDefault="003174FB" w:rsidP="00B2031E">
            <w:pPr>
              <w:jc w:val="right"/>
              <w:rPr>
                <w:color w:val="000000"/>
              </w:rPr>
            </w:pPr>
            <w:r w:rsidRPr="00F83B21">
              <w:rPr>
                <w:color w:val="000000"/>
              </w:rPr>
              <w:t>£29,700,000.00</w:t>
            </w:r>
          </w:p>
        </w:tc>
        <w:tc>
          <w:tcPr>
            <w:tcW w:w="3220" w:type="dxa"/>
            <w:tcBorders>
              <w:top w:val="nil"/>
              <w:left w:val="nil"/>
              <w:bottom w:val="single" w:sz="12" w:space="0" w:color="auto"/>
              <w:right w:val="single" w:sz="12" w:space="0" w:color="auto"/>
            </w:tcBorders>
            <w:shd w:val="clear" w:color="auto" w:fill="auto"/>
            <w:noWrap/>
            <w:vAlign w:val="bottom"/>
            <w:hideMark/>
          </w:tcPr>
          <w:p w14:paraId="69FE773A" w14:textId="77777777" w:rsidR="003174FB" w:rsidRPr="00F83B21" w:rsidRDefault="003174FB" w:rsidP="00B2031E">
            <w:pPr>
              <w:jc w:val="right"/>
            </w:pPr>
            <w:r w:rsidRPr="00F83B21">
              <w:t>0.804900952</w:t>
            </w:r>
          </w:p>
        </w:tc>
      </w:tr>
      <w:tr w:rsidR="003174FB" w:rsidRPr="00F83B21" w14:paraId="005B7948" w14:textId="77777777" w:rsidTr="00B2031E">
        <w:trPr>
          <w:trHeight w:val="359"/>
        </w:trPr>
        <w:tc>
          <w:tcPr>
            <w:tcW w:w="4126" w:type="dxa"/>
            <w:tcBorders>
              <w:top w:val="nil"/>
              <w:left w:val="single" w:sz="12" w:space="0" w:color="auto"/>
              <w:bottom w:val="single" w:sz="12" w:space="0" w:color="auto"/>
              <w:right w:val="single" w:sz="12" w:space="0" w:color="auto"/>
            </w:tcBorders>
            <w:shd w:val="clear" w:color="auto" w:fill="auto"/>
            <w:noWrap/>
            <w:vAlign w:val="bottom"/>
            <w:hideMark/>
          </w:tcPr>
          <w:p w14:paraId="06FC8C9A" w14:textId="77777777" w:rsidR="003174FB" w:rsidRPr="00F83B21" w:rsidRDefault="003174FB" w:rsidP="00B2031E">
            <w:r w:rsidRPr="00F83B21">
              <w:t>1% of UBS Pre-Tax Profits</w:t>
            </w:r>
          </w:p>
        </w:tc>
        <w:tc>
          <w:tcPr>
            <w:tcW w:w="2410" w:type="dxa"/>
            <w:tcBorders>
              <w:top w:val="nil"/>
              <w:left w:val="nil"/>
              <w:bottom w:val="single" w:sz="12" w:space="0" w:color="auto"/>
              <w:right w:val="single" w:sz="12" w:space="0" w:color="auto"/>
            </w:tcBorders>
            <w:shd w:val="clear" w:color="auto" w:fill="auto"/>
            <w:noWrap/>
            <w:vAlign w:val="bottom"/>
            <w:hideMark/>
          </w:tcPr>
          <w:p w14:paraId="21AA9C28" w14:textId="77777777" w:rsidR="003174FB" w:rsidRPr="00F83B21" w:rsidRDefault="003174FB" w:rsidP="00B2031E">
            <w:pPr>
              <w:jc w:val="right"/>
            </w:pPr>
            <w:r w:rsidRPr="00F83B21">
              <w:t>£36,898,950.00</w:t>
            </w:r>
          </w:p>
        </w:tc>
        <w:tc>
          <w:tcPr>
            <w:tcW w:w="3220" w:type="dxa"/>
            <w:tcBorders>
              <w:top w:val="nil"/>
              <w:left w:val="nil"/>
              <w:bottom w:val="single" w:sz="12" w:space="0" w:color="auto"/>
              <w:right w:val="single" w:sz="12" w:space="0" w:color="auto"/>
            </w:tcBorders>
            <w:shd w:val="clear" w:color="auto" w:fill="auto"/>
            <w:noWrap/>
            <w:vAlign w:val="bottom"/>
            <w:hideMark/>
          </w:tcPr>
          <w:p w14:paraId="29356474" w14:textId="77777777" w:rsidR="003174FB" w:rsidRPr="00F83B21" w:rsidRDefault="003174FB" w:rsidP="00B2031E">
            <w:pPr>
              <w:jc w:val="right"/>
            </w:pPr>
            <w:r w:rsidRPr="00F83B21">
              <w:t> </w:t>
            </w:r>
            <w:r>
              <w:t>1</w:t>
            </w:r>
          </w:p>
        </w:tc>
      </w:tr>
    </w:tbl>
    <w:p w14:paraId="5048690A" w14:textId="77777777" w:rsidR="003174FB" w:rsidRDefault="003174FB" w:rsidP="003174FB">
      <w:pPr>
        <w:rPr>
          <w:sz w:val="24"/>
          <w:szCs w:val="24"/>
        </w:rPr>
      </w:pPr>
    </w:p>
    <w:p w14:paraId="04F29315" w14:textId="77777777" w:rsidR="003174FB" w:rsidRPr="00B63B58" w:rsidRDefault="003174FB" w:rsidP="003174FB">
      <w:pPr>
        <w:pStyle w:val="Caption"/>
        <w:keepNext/>
        <w:rPr>
          <w:color w:val="auto"/>
          <w:sz w:val="24"/>
          <w:szCs w:val="24"/>
          <w:u w:val="single"/>
        </w:rPr>
      </w:pPr>
      <w:r>
        <w:rPr>
          <w:color w:val="auto"/>
          <w:sz w:val="24"/>
          <w:szCs w:val="24"/>
          <w:u w:val="single"/>
        </w:rPr>
        <w:lastRenderedPageBreak/>
        <w:t>Table 3 HSBC</w:t>
      </w:r>
      <w:r>
        <w:rPr>
          <w:rStyle w:val="FootnoteReference"/>
          <w:color w:val="auto"/>
          <w:sz w:val="24"/>
          <w:szCs w:val="24"/>
          <w:u w:val="single"/>
        </w:rPr>
        <w:footnoteReference w:id="105"/>
      </w:r>
    </w:p>
    <w:tbl>
      <w:tblPr>
        <w:tblW w:w="9803" w:type="dxa"/>
        <w:tblInd w:w="93" w:type="dxa"/>
        <w:tblLook w:val="04A0" w:firstRow="1" w:lastRow="0" w:firstColumn="1" w:lastColumn="0" w:noHBand="0" w:noVBand="1"/>
      </w:tblPr>
      <w:tblGrid>
        <w:gridCol w:w="4126"/>
        <w:gridCol w:w="2410"/>
        <w:gridCol w:w="3267"/>
      </w:tblGrid>
      <w:tr w:rsidR="003174FB" w:rsidRPr="00F83B21" w14:paraId="36D3BFF7" w14:textId="77777777" w:rsidTr="00B2031E">
        <w:trPr>
          <w:trHeight w:val="332"/>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14473" w14:textId="77777777" w:rsidR="003174FB" w:rsidRPr="00F83B21" w:rsidRDefault="003174FB" w:rsidP="00B2031E">
            <w:r w:rsidRPr="00F83B21">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0ABD5FA" w14:textId="77777777" w:rsidR="003174FB" w:rsidRPr="00F83B21" w:rsidRDefault="003174FB" w:rsidP="00B2031E">
            <w:r w:rsidRPr="00F83B21">
              <w:t> </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14:paraId="0B3CCEBC" w14:textId="77777777" w:rsidR="003174FB" w:rsidRPr="00F83B21" w:rsidRDefault="003174FB" w:rsidP="00B2031E">
            <w:r w:rsidRPr="00F83B21">
              <w:t>% of HSBC 2011 Pre-Tax Profits</w:t>
            </w:r>
          </w:p>
        </w:tc>
      </w:tr>
      <w:tr w:rsidR="003174FB" w:rsidRPr="00F83B21" w14:paraId="4283A967" w14:textId="77777777" w:rsidTr="00B2031E">
        <w:trPr>
          <w:trHeight w:val="332"/>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74782D03" w14:textId="77777777" w:rsidR="003174FB" w:rsidRPr="00F83B21" w:rsidRDefault="003174FB" w:rsidP="00B2031E">
            <w:r w:rsidRPr="00F83B21">
              <w:t>HSBC 2011 Pre-Tax Profits</w:t>
            </w:r>
          </w:p>
        </w:tc>
        <w:tc>
          <w:tcPr>
            <w:tcW w:w="2410" w:type="dxa"/>
            <w:tcBorders>
              <w:top w:val="nil"/>
              <w:left w:val="nil"/>
              <w:bottom w:val="single" w:sz="4" w:space="0" w:color="auto"/>
              <w:right w:val="single" w:sz="4" w:space="0" w:color="auto"/>
            </w:tcBorders>
            <w:shd w:val="clear" w:color="auto" w:fill="auto"/>
            <w:noWrap/>
            <w:vAlign w:val="bottom"/>
            <w:hideMark/>
          </w:tcPr>
          <w:p w14:paraId="4163B477" w14:textId="77777777" w:rsidR="003174FB" w:rsidRPr="00F83B21" w:rsidRDefault="003174FB" w:rsidP="00B2031E">
            <w:pPr>
              <w:jc w:val="right"/>
            </w:pPr>
            <w:r>
              <w:t>$</w:t>
            </w:r>
            <w:r w:rsidRPr="00F83B21">
              <w:t>21872000000</w:t>
            </w:r>
          </w:p>
        </w:tc>
        <w:tc>
          <w:tcPr>
            <w:tcW w:w="3267" w:type="dxa"/>
            <w:tcBorders>
              <w:top w:val="nil"/>
              <w:left w:val="nil"/>
              <w:bottom w:val="single" w:sz="4" w:space="0" w:color="auto"/>
              <w:right w:val="single" w:sz="4" w:space="0" w:color="auto"/>
            </w:tcBorders>
            <w:shd w:val="clear" w:color="auto" w:fill="auto"/>
            <w:noWrap/>
            <w:vAlign w:val="bottom"/>
            <w:hideMark/>
          </w:tcPr>
          <w:p w14:paraId="290F141F" w14:textId="77777777" w:rsidR="003174FB" w:rsidRPr="00F83B21" w:rsidRDefault="003174FB" w:rsidP="00B2031E">
            <w:pPr>
              <w:jc w:val="right"/>
            </w:pPr>
            <w:r w:rsidRPr="00F83B21">
              <w:t>100</w:t>
            </w:r>
          </w:p>
        </w:tc>
      </w:tr>
      <w:tr w:rsidR="003174FB" w:rsidRPr="00F83B21" w14:paraId="70257D5B" w14:textId="77777777" w:rsidTr="00B2031E">
        <w:trPr>
          <w:trHeight w:val="332"/>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50069A7A" w14:textId="77777777" w:rsidR="003174FB" w:rsidRPr="00F83B21" w:rsidRDefault="003174FB" w:rsidP="00B2031E">
            <w:r w:rsidRPr="00F83B21">
              <w:t>US Fine (USD)</w:t>
            </w:r>
          </w:p>
        </w:tc>
        <w:tc>
          <w:tcPr>
            <w:tcW w:w="2410" w:type="dxa"/>
            <w:tcBorders>
              <w:top w:val="nil"/>
              <w:left w:val="nil"/>
              <w:bottom w:val="single" w:sz="4" w:space="0" w:color="auto"/>
              <w:right w:val="single" w:sz="4" w:space="0" w:color="auto"/>
            </w:tcBorders>
            <w:shd w:val="clear" w:color="auto" w:fill="auto"/>
            <w:noWrap/>
            <w:vAlign w:val="bottom"/>
            <w:hideMark/>
          </w:tcPr>
          <w:p w14:paraId="28610DCB" w14:textId="77777777" w:rsidR="003174FB" w:rsidRPr="00F83B21" w:rsidRDefault="003174FB" w:rsidP="00B2031E">
            <w:pPr>
              <w:jc w:val="right"/>
            </w:pPr>
            <w:r>
              <w:t>$</w:t>
            </w:r>
            <w:r w:rsidRPr="00F83B21">
              <w:t>1900000000</w:t>
            </w:r>
          </w:p>
        </w:tc>
        <w:tc>
          <w:tcPr>
            <w:tcW w:w="3267" w:type="dxa"/>
            <w:tcBorders>
              <w:top w:val="nil"/>
              <w:left w:val="nil"/>
              <w:bottom w:val="single" w:sz="4" w:space="0" w:color="auto"/>
              <w:right w:val="single" w:sz="4" w:space="0" w:color="auto"/>
            </w:tcBorders>
            <w:shd w:val="clear" w:color="auto" w:fill="auto"/>
            <w:noWrap/>
            <w:vAlign w:val="bottom"/>
            <w:hideMark/>
          </w:tcPr>
          <w:p w14:paraId="2E5AE58F" w14:textId="77777777" w:rsidR="003174FB" w:rsidRPr="00F83B21" w:rsidRDefault="003174FB" w:rsidP="00B2031E">
            <w:pPr>
              <w:jc w:val="right"/>
            </w:pPr>
            <w:r w:rsidRPr="00F83B21">
              <w:t>8.686905633</w:t>
            </w:r>
          </w:p>
        </w:tc>
      </w:tr>
      <w:tr w:rsidR="003174FB" w:rsidRPr="00F83B21" w14:paraId="335EED03" w14:textId="77777777" w:rsidTr="00B2031E">
        <w:trPr>
          <w:trHeight w:val="332"/>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947072A" w14:textId="77777777" w:rsidR="003174FB" w:rsidRPr="00F83B21" w:rsidRDefault="003174FB" w:rsidP="00B2031E">
            <w:r w:rsidRPr="00F83B21">
              <w:t>1% of HSBC 2011 Pre-Tax Profits</w:t>
            </w:r>
          </w:p>
        </w:tc>
        <w:tc>
          <w:tcPr>
            <w:tcW w:w="2410" w:type="dxa"/>
            <w:tcBorders>
              <w:top w:val="nil"/>
              <w:left w:val="nil"/>
              <w:bottom w:val="single" w:sz="4" w:space="0" w:color="auto"/>
              <w:right w:val="single" w:sz="4" w:space="0" w:color="auto"/>
            </w:tcBorders>
            <w:shd w:val="clear" w:color="auto" w:fill="auto"/>
            <w:noWrap/>
            <w:vAlign w:val="bottom"/>
            <w:hideMark/>
          </w:tcPr>
          <w:p w14:paraId="64EAC0E1" w14:textId="77777777" w:rsidR="003174FB" w:rsidRPr="00F83B21" w:rsidRDefault="003174FB" w:rsidP="00B2031E">
            <w:pPr>
              <w:jc w:val="right"/>
            </w:pPr>
            <w:r>
              <w:t>$</w:t>
            </w:r>
            <w:r w:rsidRPr="00F83B21">
              <w:t>218720000</w:t>
            </w:r>
          </w:p>
        </w:tc>
        <w:tc>
          <w:tcPr>
            <w:tcW w:w="3267" w:type="dxa"/>
            <w:tcBorders>
              <w:top w:val="nil"/>
              <w:left w:val="nil"/>
              <w:bottom w:val="single" w:sz="4" w:space="0" w:color="auto"/>
              <w:right w:val="single" w:sz="4" w:space="0" w:color="auto"/>
            </w:tcBorders>
            <w:shd w:val="clear" w:color="auto" w:fill="auto"/>
            <w:noWrap/>
            <w:vAlign w:val="bottom"/>
            <w:hideMark/>
          </w:tcPr>
          <w:p w14:paraId="1CF663CA" w14:textId="77777777" w:rsidR="003174FB" w:rsidRPr="00F83B21" w:rsidRDefault="003174FB" w:rsidP="00B2031E">
            <w:pPr>
              <w:jc w:val="right"/>
            </w:pPr>
            <w:r w:rsidRPr="00F83B21">
              <w:t>1</w:t>
            </w:r>
          </w:p>
        </w:tc>
      </w:tr>
    </w:tbl>
    <w:p w14:paraId="5BB76182" w14:textId="77777777" w:rsidR="003174FB" w:rsidRDefault="003174FB" w:rsidP="003174FB">
      <w:pPr>
        <w:rPr>
          <w:sz w:val="24"/>
          <w:szCs w:val="24"/>
        </w:rPr>
      </w:pPr>
    </w:p>
    <w:p w14:paraId="252494C4" w14:textId="77777777" w:rsidR="003174FB" w:rsidRPr="005A7162" w:rsidRDefault="003174FB" w:rsidP="003174FB">
      <w:pPr>
        <w:rPr>
          <w:b/>
          <w:sz w:val="24"/>
          <w:szCs w:val="24"/>
          <w:u w:val="single"/>
        </w:rPr>
      </w:pPr>
      <w:r w:rsidRPr="005A7162">
        <w:rPr>
          <w:b/>
          <w:sz w:val="24"/>
          <w:szCs w:val="24"/>
          <w:u w:val="single"/>
        </w:rPr>
        <w:t>Table 4 FSA Enforcement Action and Fines</w:t>
      </w:r>
      <w:r w:rsidRPr="005A7162">
        <w:rPr>
          <w:rStyle w:val="FootnoteReference"/>
          <w:b/>
          <w:sz w:val="24"/>
          <w:szCs w:val="24"/>
          <w:u w:val="single"/>
        </w:rPr>
        <w:footnoteReference w:id="106"/>
      </w:r>
    </w:p>
    <w:tbl>
      <w:tblPr>
        <w:tblW w:w="9850" w:type="dxa"/>
        <w:tblInd w:w="93" w:type="dxa"/>
        <w:tblLook w:val="04A0" w:firstRow="1" w:lastRow="0" w:firstColumn="1" w:lastColumn="0" w:noHBand="0" w:noVBand="1"/>
      </w:tblPr>
      <w:tblGrid>
        <w:gridCol w:w="910"/>
        <w:gridCol w:w="1591"/>
        <w:gridCol w:w="2050"/>
        <w:gridCol w:w="2694"/>
        <w:gridCol w:w="2605"/>
      </w:tblGrid>
      <w:tr w:rsidR="003174FB" w:rsidRPr="00B634E7" w14:paraId="40D3219E" w14:textId="77777777" w:rsidTr="00B2031E">
        <w:trPr>
          <w:trHeight w:val="307"/>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E332" w14:textId="77777777" w:rsidR="003174FB" w:rsidRPr="00B634E7" w:rsidRDefault="003174FB" w:rsidP="00B2031E">
            <w:pPr>
              <w:rPr>
                <w:b/>
                <w:bCs/>
              </w:rPr>
            </w:pPr>
            <w:r w:rsidRPr="00B634E7">
              <w:rPr>
                <w:b/>
                <w:bCs/>
              </w:rPr>
              <w:t>Year:</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50F7AD49" w14:textId="77777777" w:rsidR="003174FB" w:rsidRPr="00B634E7" w:rsidRDefault="003174FB" w:rsidP="00B2031E">
            <w:pPr>
              <w:rPr>
                <w:b/>
                <w:bCs/>
              </w:rPr>
            </w:pPr>
            <w:r w:rsidRPr="00B634E7">
              <w:rPr>
                <w:b/>
                <w:bCs/>
              </w:rPr>
              <w:t>Total Fines</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48BFA53B" w14:textId="77777777" w:rsidR="003174FB" w:rsidRPr="00B634E7" w:rsidRDefault="003174FB" w:rsidP="00B2031E">
            <w:pPr>
              <w:rPr>
                <w:b/>
                <w:bCs/>
              </w:rPr>
            </w:pPr>
            <w:r w:rsidRPr="00B634E7">
              <w:rPr>
                <w:b/>
                <w:bCs/>
              </w:rPr>
              <w:t>Number of Fines</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B32AEDB" w14:textId="77777777" w:rsidR="003174FB" w:rsidRPr="00B634E7" w:rsidRDefault="003174FB" w:rsidP="00B2031E">
            <w:pPr>
              <w:rPr>
                <w:b/>
                <w:bCs/>
              </w:rPr>
            </w:pPr>
            <w:r w:rsidRPr="00B634E7">
              <w:rPr>
                <w:b/>
                <w:bCs/>
              </w:rPr>
              <w:t>Average Fine</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14:paraId="626B135F" w14:textId="77777777" w:rsidR="003174FB" w:rsidRPr="00B634E7" w:rsidRDefault="003174FB" w:rsidP="00B2031E">
            <w:pPr>
              <w:rPr>
                <w:b/>
                <w:bCs/>
              </w:rPr>
            </w:pPr>
            <w:r w:rsidRPr="00B634E7">
              <w:rPr>
                <w:b/>
                <w:bCs/>
              </w:rPr>
              <w:t>Final Notices</w:t>
            </w:r>
          </w:p>
        </w:tc>
      </w:tr>
      <w:tr w:rsidR="003174FB" w:rsidRPr="00B634E7" w14:paraId="7C9080FE"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EBD78C5" w14:textId="77777777" w:rsidR="003174FB" w:rsidRPr="00B634E7" w:rsidRDefault="003174FB" w:rsidP="00B2031E">
            <w:pPr>
              <w:jc w:val="right"/>
            </w:pPr>
            <w:r w:rsidRPr="00B634E7">
              <w:t>2002</w:t>
            </w:r>
          </w:p>
        </w:tc>
        <w:tc>
          <w:tcPr>
            <w:tcW w:w="1591" w:type="dxa"/>
            <w:tcBorders>
              <w:top w:val="nil"/>
              <w:left w:val="nil"/>
              <w:bottom w:val="single" w:sz="4" w:space="0" w:color="auto"/>
              <w:right w:val="single" w:sz="4" w:space="0" w:color="auto"/>
            </w:tcBorders>
            <w:shd w:val="clear" w:color="auto" w:fill="auto"/>
            <w:noWrap/>
            <w:vAlign w:val="bottom"/>
            <w:hideMark/>
          </w:tcPr>
          <w:p w14:paraId="45CF1D9E" w14:textId="77777777" w:rsidR="003174FB" w:rsidRPr="00B634E7" w:rsidRDefault="003174FB" w:rsidP="00B2031E">
            <w:pPr>
              <w:jc w:val="right"/>
            </w:pPr>
            <w:r w:rsidRPr="00B634E7">
              <w:t>£7,444,000</w:t>
            </w:r>
          </w:p>
        </w:tc>
        <w:tc>
          <w:tcPr>
            <w:tcW w:w="2050" w:type="dxa"/>
            <w:tcBorders>
              <w:top w:val="nil"/>
              <w:left w:val="nil"/>
              <w:bottom w:val="single" w:sz="4" w:space="0" w:color="auto"/>
              <w:right w:val="single" w:sz="4" w:space="0" w:color="auto"/>
            </w:tcBorders>
            <w:shd w:val="clear" w:color="auto" w:fill="auto"/>
            <w:noWrap/>
            <w:vAlign w:val="bottom"/>
            <w:hideMark/>
          </w:tcPr>
          <w:p w14:paraId="35B02093" w14:textId="77777777" w:rsidR="003174FB" w:rsidRPr="00B634E7" w:rsidRDefault="003174FB" w:rsidP="00B2031E">
            <w:pPr>
              <w:jc w:val="right"/>
            </w:pPr>
            <w:r w:rsidRPr="00B634E7">
              <w:t>9</w:t>
            </w:r>
          </w:p>
        </w:tc>
        <w:tc>
          <w:tcPr>
            <w:tcW w:w="2694" w:type="dxa"/>
            <w:tcBorders>
              <w:top w:val="nil"/>
              <w:left w:val="nil"/>
              <w:bottom w:val="single" w:sz="4" w:space="0" w:color="auto"/>
              <w:right w:val="single" w:sz="4" w:space="0" w:color="auto"/>
            </w:tcBorders>
            <w:shd w:val="clear" w:color="auto" w:fill="auto"/>
            <w:noWrap/>
            <w:vAlign w:val="bottom"/>
            <w:hideMark/>
          </w:tcPr>
          <w:p w14:paraId="40DE69A4" w14:textId="77777777" w:rsidR="003174FB" w:rsidRPr="00B634E7" w:rsidRDefault="003174FB" w:rsidP="00B2031E">
            <w:pPr>
              <w:jc w:val="right"/>
            </w:pPr>
            <w:r w:rsidRPr="00B634E7">
              <w:t>£827,111.11</w:t>
            </w:r>
          </w:p>
        </w:tc>
        <w:tc>
          <w:tcPr>
            <w:tcW w:w="2605" w:type="dxa"/>
            <w:tcBorders>
              <w:top w:val="nil"/>
              <w:left w:val="nil"/>
              <w:bottom w:val="single" w:sz="4" w:space="0" w:color="auto"/>
              <w:right w:val="single" w:sz="4" w:space="0" w:color="auto"/>
            </w:tcBorders>
            <w:shd w:val="clear" w:color="auto" w:fill="auto"/>
            <w:noWrap/>
            <w:vAlign w:val="bottom"/>
            <w:hideMark/>
          </w:tcPr>
          <w:p w14:paraId="2F8781EF" w14:textId="77777777" w:rsidR="003174FB" w:rsidRPr="00B634E7" w:rsidRDefault="003174FB" w:rsidP="00B2031E">
            <w:pPr>
              <w:jc w:val="right"/>
              <w:rPr>
                <w:rFonts w:ascii="Calibri" w:hAnsi="Calibri"/>
                <w:color w:val="000000"/>
              </w:rPr>
            </w:pPr>
            <w:r w:rsidRPr="00B634E7">
              <w:rPr>
                <w:rFonts w:ascii="Calibri" w:hAnsi="Calibri"/>
                <w:color w:val="000000"/>
              </w:rPr>
              <w:t>16</w:t>
            </w:r>
          </w:p>
        </w:tc>
      </w:tr>
      <w:tr w:rsidR="003174FB" w:rsidRPr="00B634E7" w14:paraId="73E67177"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EB181F0" w14:textId="77777777" w:rsidR="003174FB" w:rsidRPr="00B634E7" w:rsidRDefault="003174FB" w:rsidP="00B2031E">
            <w:pPr>
              <w:jc w:val="right"/>
            </w:pPr>
            <w:r w:rsidRPr="00B634E7">
              <w:t>2003</w:t>
            </w:r>
          </w:p>
        </w:tc>
        <w:tc>
          <w:tcPr>
            <w:tcW w:w="1591" w:type="dxa"/>
            <w:tcBorders>
              <w:top w:val="nil"/>
              <w:left w:val="nil"/>
              <w:bottom w:val="single" w:sz="4" w:space="0" w:color="auto"/>
              <w:right w:val="single" w:sz="4" w:space="0" w:color="auto"/>
            </w:tcBorders>
            <w:shd w:val="clear" w:color="auto" w:fill="auto"/>
            <w:noWrap/>
            <w:vAlign w:val="bottom"/>
            <w:hideMark/>
          </w:tcPr>
          <w:p w14:paraId="0AD2C329" w14:textId="77777777" w:rsidR="003174FB" w:rsidRPr="00B634E7" w:rsidRDefault="003174FB" w:rsidP="00B2031E">
            <w:pPr>
              <w:jc w:val="right"/>
            </w:pPr>
            <w:r w:rsidRPr="00B634E7">
              <w:t>£10,975,000</w:t>
            </w:r>
          </w:p>
        </w:tc>
        <w:tc>
          <w:tcPr>
            <w:tcW w:w="2050" w:type="dxa"/>
            <w:tcBorders>
              <w:top w:val="nil"/>
              <w:left w:val="nil"/>
              <w:bottom w:val="single" w:sz="4" w:space="0" w:color="auto"/>
              <w:right w:val="single" w:sz="4" w:space="0" w:color="auto"/>
            </w:tcBorders>
            <w:shd w:val="clear" w:color="auto" w:fill="auto"/>
            <w:noWrap/>
            <w:vAlign w:val="bottom"/>
            <w:hideMark/>
          </w:tcPr>
          <w:p w14:paraId="5295AFBE" w14:textId="77777777" w:rsidR="003174FB" w:rsidRPr="00B634E7" w:rsidRDefault="003174FB" w:rsidP="00B2031E">
            <w:pPr>
              <w:jc w:val="right"/>
            </w:pPr>
            <w:r w:rsidRPr="00B634E7">
              <w:t>17</w:t>
            </w:r>
          </w:p>
        </w:tc>
        <w:tc>
          <w:tcPr>
            <w:tcW w:w="2694" w:type="dxa"/>
            <w:tcBorders>
              <w:top w:val="nil"/>
              <w:left w:val="nil"/>
              <w:bottom w:val="single" w:sz="4" w:space="0" w:color="auto"/>
              <w:right w:val="single" w:sz="4" w:space="0" w:color="auto"/>
            </w:tcBorders>
            <w:shd w:val="clear" w:color="auto" w:fill="auto"/>
            <w:noWrap/>
            <w:vAlign w:val="bottom"/>
            <w:hideMark/>
          </w:tcPr>
          <w:p w14:paraId="53840089" w14:textId="77777777" w:rsidR="003174FB" w:rsidRPr="00B634E7" w:rsidRDefault="003174FB" w:rsidP="00B2031E">
            <w:pPr>
              <w:jc w:val="right"/>
            </w:pPr>
            <w:r w:rsidRPr="00B634E7">
              <w:t>£645,588.24</w:t>
            </w:r>
          </w:p>
        </w:tc>
        <w:tc>
          <w:tcPr>
            <w:tcW w:w="2605" w:type="dxa"/>
            <w:tcBorders>
              <w:top w:val="nil"/>
              <w:left w:val="nil"/>
              <w:bottom w:val="single" w:sz="4" w:space="0" w:color="auto"/>
              <w:right w:val="single" w:sz="4" w:space="0" w:color="auto"/>
            </w:tcBorders>
            <w:shd w:val="clear" w:color="auto" w:fill="auto"/>
            <w:noWrap/>
            <w:vAlign w:val="bottom"/>
            <w:hideMark/>
          </w:tcPr>
          <w:p w14:paraId="0A1572EC" w14:textId="77777777" w:rsidR="003174FB" w:rsidRPr="00B634E7" w:rsidRDefault="003174FB" w:rsidP="00B2031E">
            <w:pPr>
              <w:jc w:val="right"/>
              <w:rPr>
                <w:rFonts w:ascii="Calibri" w:hAnsi="Calibri"/>
                <w:color w:val="000000"/>
              </w:rPr>
            </w:pPr>
            <w:r w:rsidRPr="00B634E7">
              <w:rPr>
                <w:rFonts w:ascii="Calibri" w:hAnsi="Calibri"/>
                <w:color w:val="000000"/>
              </w:rPr>
              <w:t>50</w:t>
            </w:r>
          </w:p>
        </w:tc>
      </w:tr>
      <w:tr w:rsidR="003174FB" w:rsidRPr="00B634E7" w14:paraId="28823039"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A9BE919" w14:textId="77777777" w:rsidR="003174FB" w:rsidRPr="00B634E7" w:rsidRDefault="003174FB" w:rsidP="00B2031E">
            <w:pPr>
              <w:jc w:val="right"/>
            </w:pPr>
            <w:r w:rsidRPr="00B634E7">
              <w:t>2004</w:t>
            </w:r>
          </w:p>
        </w:tc>
        <w:tc>
          <w:tcPr>
            <w:tcW w:w="1591" w:type="dxa"/>
            <w:tcBorders>
              <w:top w:val="nil"/>
              <w:left w:val="nil"/>
              <w:bottom w:val="single" w:sz="4" w:space="0" w:color="auto"/>
              <w:right w:val="single" w:sz="4" w:space="0" w:color="auto"/>
            </w:tcBorders>
            <w:shd w:val="clear" w:color="auto" w:fill="auto"/>
            <w:noWrap/>
            <w:vAlign w:val="bottom"/>
            <w:hideMark/>
          </w:tcPr>
          <w:p w14:paraId="7A4A627C" w14:textId="77777777" w:rsidR="003174FB" w:rsidRPr="00B634E7" w:rsidRDefault="003174FB" w:rsidP="00B2031E">
            <w:pPr>
              <w:jc w:val="right"/>
            </w:pPr>
            <w:r w:rsidRPr="00B634E7">
              <w:t>£24,769,000</w:t>
            </w:r>
          </w:p>
        </w:tc>
        <w:tc>
          <w:tcPr>
            <w:tcW w:w="2050" w:type="dxa"/>
            <w:tcBorders>
              <w:top w:val="nil"/>
              <w:left w:val="nil"/>
              <w:bottom w:val="single" w:sz="4" w:space="0" w:color="auto"/>
              <w:right w:val="single" w:sz="4" w:space="0" w:color="auto"/>
            </w:tcBorders>
            <w:shd w:val="clear" w:color="auto" w:fill="auto"/>
            <w:noWrap/>
            <w:vAlign w:val="bottom"/>
            <w:hideMark/>
          </w:tcPr>
          <w:p w14:paraId="12B1194C" w14:textId="77777777" w:rsidR="003174FB" w:rsidRPr="00B634E7" w:rsidRDefault="003174FB" w:rsidP="00B2031E">
            <w:pPr>
              <w:jc w:val="right"/>
            </w:pPr>
            <w:r w:rsidRPr="00B634E7">
              <w:t>32</w:t>
            </w:r>
          </w:p>
        </w:tc>
        <w:tc>
          <w:tcPr>
            <w:tcW w:w="2694" w:type="dxa"/>
            <w:tcBorders>
              <w:top w:val="nil"/>
              <w:left w:val="nil"/>
              <w:bottom w:val="single" w:sz="4" w:space="0" w:color="auto"/>
              <w:right w:val="single" w:sz="4" w:space="0" w:color="auto"/>
            </w:tcBorders>
            <w:shd w:val="clear" w:color="auto" w:fill="auto"/>
            <w:noWrap/>
            <w:vAlign w:val="bottom"/>
            <w:hideMark/>
          </w:tcPr>
          <w:p w14:paraId="2F2441F7" w14:textId="77777777" w:rsidR="003174FB" w:rsidRPr="00B634E7" w:rsidRDefault="003174FB" w:rsidP="00B2031E">
            <w:pPr>
              <w:jc w:val="right"/>
            </w:pPr>
            <w:r w:rsidRPr="00B634E7">
              <w:t>£774,031.25</w:t>
            </w:r>
          </w:p>
        </w:tc>
        <w:tc>
          <w:tcPr>
            <w:tcW w:w="2605" w:type="dxa"/>
            <w:tcBorders>
              <w:top w:val="nil"/>
              <w:left w:val="nil"/>
              <w:bottom w:val="single" w:sz="4" w:space="0" w:color="auto"/>
              <w:right w:val="single" w:sz="4" w:space="0" w:color="auto"/>
            </w:tcBorders>
            <w:shd w:val="clear" w:color="auto" w:fill="auto"/>
            <w:noWrap/>
            <w:vAlign w:val="bottom"/>
            <w:hideMark/>
          </w:tcPr>
          <w:p w14:paraId="1D0373E7" w14:textId="77777777" w:rsidR="003174FB" w:rsidRPr="00B634E7" w:rsidRDefault="003174FB" w:rsidP="00B2031E">
            <w:pPr>
              <w:jc w:val="right"/>
              <w:rPr>
                <w:rFonts w:ascii="Calibri" w:hAnsi="Calibri"/>
                <w:color w:val="000000"/>
              </w:rPr>
            </w:pPr>
            <w:r w:rsidRPr="00B634E7">
              <w:rPr>
                <w:rFonts w:ascii="Calibri" w:hAnsi="Calibri"/>
                <w:color w:val="000000"/>
              </w:rPr>
              <w:t>86</w:t>
            </w:r>
          </w:p>
        </w:tc>
      </w:tr>
      <w:tr w:rsidR="003174FB" w:rsidRPr="00B634E7" w14:paraId="60992B39"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580C33D" w14:textId="77777777" w:rsidR="003174FB" w:rsidRPr="00B634E7" w:rsidRDefault="003174FB" w:rsidP="00B2031E">
            <w:pPr>
              <w:jc w:val="right"/>
            </w:pPr>
            <w:r w:rsidRPr="00B634E7">
              <w:t>2005</w:t>
            </w:r>
          </w:p>
        </w:tc>
        <w:tc>
          <w:tcPr>
            <w:tcW w:w="1591" w:type="dxa"/>
            <w:tcBorders>
              <w:top w:val="nil"/>
              <w:left w:val="nil"/>
              <w:bottom w:val="single" w:sz="4" w:space="0" w:color="auto"/>
              <w:right w:val="single" w:sz="4" w:space="0" w:color="auto"/>
            </w:tcBorders>
            <w:shd w:val="clear" w:color="auto" w:fill="auto"/>
            <w:noWrap/>
            <w:vAlign w:val="bottom"/>
            <w:hideMark/>
          </w:tcPr>
          <w:p w14:paraId="57CECE68" w14:textId="77777777" w:rsidR="003174FB" w:rsidRPr="00B634E7" w:rsidRDefault="003174FB" w:rsidP="00B2031E">
            <w:pPr>
              <w:jc w:val="right"/>
            </w:pPr>
            <w:r w:rsidRPr="00B634E7">
              <w:t>£16,965,860</w:t>
            </w:r>
          </w:p>
        </w:tc>
        <w:tc>
          <w:tcPr>
            <w:tcW w:w="2050" w:type="dxa"/>
            <w:tcBorders>
              <w:top w:val="nil"/>
              <w:left w:val="nil"/>
              <w:bottom w:val="single" w:sz="4" w:space="0" w:color="auto"/>
              <w:right w:val="single" w:sz="4" w:space="0" w:color="auto"/>
            </w:tcBorders>
            <w:shd w:val="clear" w:color="auto" w:fill="auto"/>
            <w:noWrap/>
            <w:vAlign w:val="bottom"/>
            <w:hideMark/>
          </w:tcPr>
          <w:p w14:paraId="33D13E0E" w14:textId="77777777" w:rsidR="003174FB" w:rsidRPr="00B634E7" w:rsidRDefault="003174FB" w:rsidP="00B2031E">
            <w:pPr>
              <w:jc w:val="right"/>
            </w:pPr>
            <w:r w:rsidRPr="00B634E7">
              <w:t>21</w:t>
            </w:r>
          </w:p>
        </w:tc>
        <w:tc>
          <w:tcPr>
            <w:tcW w:w="2694" w:type="dxa"/>
            <w:tcBorders>
              <w:top w:val="nil"/>
              <w:left w:val="nil"/>
              <w:bottom w:val="single" w:sz="4" w:space="0" w:color="auto"/>
              <w:right w:val="single" w:sz="4" w:space="0" w:color="auto"/>
            </w:tcBorders>
            <w:shd w:val="clear" w:color="auto" w:fill="auto"/>
            <w:noWrap/>
            <w:vAlign w:val="bottom"/>
            <w:hideMark/>
          </w:tcPr>
          <w:p w14:paraId="7D46637E" w14:textId="77777777" w:rsidR="003174FB" w:rsidRPr="00B634E7" w:rsidRDefault="003174FB" w:rsidP="00B2031E">
            <w:pPr>
              <w:jc w:val="right"/>
            </w:pPr>
            <w:r w:rsidRPr="00B634E7">
              <w:t>£807,898.10</w:t>
            </w:r>
          </w:p>
        </w:tc>
        <w:tc>
          <w:tcPr>
            <w:tcW w:w="2605" w:type="dxa"/>
            <w:tcBorders>
              <w:top w:val="nil"/>
              <w:left w:val="nil"/>
              <w:bottom w:val="single" w:sz="4" w:space="0" w:color="auto"/>
              <w:right w:val="single" w:sz="4" w:space="0" w:color="auto"/>
            </w:tcBorders>
            <w:shd w:val="clear" w:color="auto" w:fill="auto"/>
            <w:noWrap/>
            <w:vAlign w:val="bottom"/>
            <w:hideMark/>
          </w:tcPr>
          <w:p w14:paraId="1063D2C3" w14:textId="77777777" w:rsidR="003174FB" w:rsidRPr="00B634E7" w:rsidRDefault="003174FB" w:rsidP="00B2031E">
            <w:pPr>
              <w:jc w:val="right"/>
              <w:rPr>
                <w:rFonts w:ascii="Calibri" w:hAnsi="Calibri"/>
                <w:color w:val="000000"/>
              </w:rPr>
            </w:pPr>
            <w:r w:rsidRPr="00B634E7">
              <w:rPr>
                <w:rFonts w:ascii="Calibri" w:hAnsi="Calibri"/>
                <w:color w:val="000000"/>
              </w:rPr>
              <w:t>47</w:t>
            </w:r>
          </w:p>
        </w:tc>
      </w:tr>
      <w:tr w:rsidR="003174FB" w:rsidRPr="00B634E7" w14:paraId="364D5F80"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6F1C263C" w14:textId="77777777" w:rsidR="003174FB" w:rsidRPr="00B634E7" w:rsidRDefault="003174FB" w:rsidP="00B2031E">
            <w:pPr>
              <w:jc w:val="right"/>
            </w:pPr>
            <w:r w:rsidRPr="00B634E7">
              <w:t>2006</w:t>
            </w:r>
          </w:p>
        </w:tc>
        <w:tc>
          <w:tcPr>
            <w:tcW w:w="1591" w:type="dxa"/>
            <w:tcBorders>
              <w:top w:val="nil"/>
              <w:left w:val="nil"/>
              <w:bottom w:val="single" w:sz="4" w:space="0" w:color="auto"/>
              <w:right w:val="single" w:sz="4" w:space="0" w:color="auto"/>
            </w:tcBorders>
            <w:shd w:val="clear" w:color="auto" w:fill="auto"/>
            <w:noWrap/>
            <w:vAlign w:val="bottom"/>
            <w:hideMark/>
          </w:tcPr>
          <w:p w14:paraId="25F3C7A8" w14:textId="77777777" w:rsidR="003174FB" w:rsidRPr="00B634E7" w:rsidRDefault="003174FB" w:rsidP="00B2031E">
            <w:pPr>
              <w:jc w:val="right"/>
            </w:pPr>
            <w:r w:rsidRPr="00B634E7">
              <w:t>£13,309,143</w:t>
            </w:r>
          </w:p>
        </w:tc>
        <w:tc>
          <w:tcPr>
            <w:tcW w:w="2050" w:type="dxa"/>
            <w:tcBorders>
              <w:top w:val="nil"/>
              <w:left w:val="nil"/>
              <w:bottom w:val="single" w:sz="4" w:space="0" w:color="auto"/>
              <w:right w:val="single" w:sz="4" w:space="0" w:color="auto"/>
            </w:tcBorders>
            <w:shd w:val="clear" w:color="auto" w:fill="auto"/>
            <w:noWrap/>
            <w:vAlign w:val="bottom"/>
            <w:hideMark/>
          </w:tcPr>
          <w:p w14:paraId="143F3540" w14:textId="77777777" w:rsidR="003174FB" w:rsidRPr="00B634E7" w:rsidRDefault="003174FB" w:rsidP="00B2031E">
            <w:pPr>
              <w:jc w:val="right"/>
            </w:pPr>
            <w:r w:rsidRPr="00B634E7">
              <w:t>27</w:t>
            </w:r>
          </w:p>
        </w:tc>
        <w:tc>
          <w:tcPr>
            <w:tcW w:w="2694" w:type="dxa"/>
            <w:tcBorders>
              <w:top w:val="nil"/>
              <w:left w:val="nil"/>
              <w:bottom w:val="single" w:sz="4" w:space="0" w:color="auto"/>
              <w:right w:val="single" w:sz="4" w:space="0" w:color="auto"/>
            </w:tcBorders>
            <w:shd w:val="clear" w:color="auto" w:fill="auto"/>
            <w:noWrap/>
            <w:vAlign w:val="bottom"/>
            <w:hideMark/>
          </w:tcPr>
          <w:p w14:paraId="57EA9B16" w14:textId="77777777" w:rsidR="003174FB" w:rsidRPr="00B634E7" w:rsidRDefault="003174FB" w:rsidP="00B2031E">
            <w:pPr>
              <w:jc w:val="right"/>
            </w:pPr>
            <w:r w:rsidRPr="00B634E7">
              <w:t>£492,931.22</w:t>
            </w:r>
          </w:p>
        </w:tc>
        <w:tc>
          <w:tcPr>
            <w:tcW w:w="2605" w:type="dxa"/>
            <w:tcBorders>
              <w:top w:val="nil"/>
              <w:left w:val="nil"/>
              <w:bottom w:val="single" w:sz="4" w:space="0" w:color="auto"/>
              <w:right w:val="single" w:sz="4" w:space="0" w:color="auto"/>
            </w:tcBorders>
            <w:shd w:val="clear" w:color="auto" w:fill="auto"/>
            <w:noWrap/>
            <w:vAlign w:val="bottom"/>
            <w:hideMark/>
          </w:tcPr>
          <w:p w14:paraId="5E4C75BB" w14:textId="77777777" w:rsidR="003174FB" w:rsidRPr="00B634E7" w:rsidRDefault="003174FB" w:rsidP="00B2031E">
            <w:pPr>
              <w:jc w:val="right"/>
              <w:rPr>
                <w:rFonts w:ascii="Calibri" w:hAnsi="Calibri"/>
                <w:color w:val="000000"/>
              </w:rPr>
            </w:pPr>
            <w:r w:rsidRPr="00B634E7">
              <w:rPr>
                <w:rFonts w:ascii="Calibri" w:hAnsi="Calibri"/>
                <w:color w:val="000000"/>
              </w:rPr>
              <w:t>205</w:t>
            </w:r>
          </w:p>
        </w:tc>
      </w:tr>
      <w:tr w:rsidR="003174FB" w:rsidRPr="00B634E7" w14:paraId="3A7F98F5"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1557FCD" w14:textId="77777777" w:rsidR="003174FB" w:rsidRPr="00B634E7" w:rsidRDefault="003174FB" w:rsidP="00B2031E">
            <w:pPr>
              <w:jc w:val="right"/>
            </w:pPr>
            <w:r w:rsidRPr="00B634E7">
              <w:t>2007</w:t>
            </w:r>
          </w:p>
        </w:tc>
        <w:tc>
          <w:tcPr>
            <w:tcW w:w="1591" w:type="dxa"/>
            <w:tcBorders>
              <w:top w:val="nil"/>
              <w:left w:val="nil"/>
              <w:bottom w:val="single" w:sz="4" w:space="0" w:color="auto"/>
              <w:right w:val="single" w:sz="4" w:space="0" w:color="auto"/>
            </w:tcBorders>
            <w:shd w:val="clear" w:color="auto" w:fill="auto"/>
            <w:noWrap/>
            <w:vAlign w:val="bottom"/>
            <w:hideMark/>
          </w:tcPr>
          <w:p w14:paraId="5814AE31" w14:textId="77777777" w:rsidR="003174FB" w:rsidRPr="00B634E7" w:rsidRDefault="003174FB" w:rsidP="00B2031E">
            <w:pPr>
              <w:jc w:val="right"/>
            </w:pPr>
            <w:r w:rsidRPr="00B634E7">
              <w:t>£5,341,500</w:t>
            </w:r>
          </w:p>
        </w:tc>
        <w:tc>
          <w:tcPr>
            <w:tcW w:w="2050" w:type="dxa"/>
            <w:tcBorders>
              <w:top w:val="nil"/>
              <w:left w:val="nil"/>
              <w:bottom w:val="single" w:sz="4" w:space="0" w:color="auto"/>
              <w:right w:val="single" w:sz="4" w:space="0" w:color="auto"/>
            </w:tcBorders>
            <w:shd w:val="clear" w:color="auto" w:fill="auto"/>
            <w:noWrap/>
            <w:vAlign w:val="bottom"/>
            <w:hideMark/>
          </w:tcPr>
          <w:p w14:paraId="2C6B7C06" w14:textId="77777777" w:rsidR="003174FB" w:rsidRPr="00B634E7" w:rsidRDefault="003174FB" w:rsidP="00B2031E">
            <w:pPr>
              <w:jc w:val="right"/>
            </w:pPr>
            <w:r w:rsidRPr="00B634E7">
              <w:t>24</w:t>
            </w:r>
          </w:p>
        </w:tc>
        <w:tc>
          <w:tcPr>
            <w:tcW w:w="2694" w:type="dxa"/>
            <w:tcBorders>
              <w:top w:val="nil"/>
              <w:left w:val="nil"/>
              <w:bottom w:val="single" w:sz="4" w:space="0" w:color="auto"/>
              <w:right w:val="single" w:sz="4" w:space="0" w:color="auto"/>
            </w:tcBorders>
            <w:shd w:val="clear" w:color="auto" w:fill="auto"/>
            <w:noWrap/>
            <w:vAlign w:val="bottom"/>
            <w:hideMark/>
          </w:tcPr>
          <w:p w14:paraId="3281AD13" w14:textId="77777777" w:rsidR="003174FB" w:rsidRPr="00B634E7" w:rsidRDefault="003174FB" w:rsidP="00B2031E">
            <w:pPr>
              <w:jc w:val="right"/>
            </w:pPr>
            <w:r w:rsidRPr="00B634E7">
              <w:t>£222,562.50</w:t>
            </w:r>
          </w:p>
        </w:tc>
        <w:tc>
          <w:tcPr>
            <w:tcW w:w="2605" w:type="dxa"/>
            <w:tcBorders>
              <w:top w:val="nil"/>
              <w:left w:val="nil"/>
              <w:bottom w:val="single" w:sz="4" w:space="0" w:color="auto"/>
              <w:right w:val="single" w:sz="4" w:space="0" w:color="auto"/>
            </w:tcBorders>
            <w:shd w:val="clear" w:color="auto" w:fill="auto"/>
            <w:noWrap/>
            <w:vAlign w:val="bottom"/>
            <w:hideMark/>
          </w:tcPr>
          <w:p w14:paraId="33D982E7" w14:textId="77777777" w:rsidR="003174FB" w:rsidRPr="00B634E7" w:rsidRDefault="003174FB" w:rsidP="00B2031E">
            <w:pPr>
              <w:jc w:val="right"/>
              <w:rPr>
                <w:rFonts w:ascii="Calibri" w:hAnsi="Calibri"/>
                <w:color w:val="000000"/>
              </w:rPr>
            </w:pPr>
            <w:r w:rsidRPr="00B634E7">
              <w:rPr>
                <w:rFonts w:ascii="Calibri" w:hAnsi="Calibri"/>
                <w:color w:val="000000"/>
              </w:rPr>
              <w:t>148</w:t>
            </w:r>
          </w:p>
        </w:tc>
      </w:tr>
      <w:tr w:rsidR="003174FB" w:rsidRPr="00B634E7" w14:paraId="70AE9123"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C1BBBF4" w14:textId="77777777" w:rsidR="003174FB" w:rsidRPr="00B634E7" w:rsidRDefault="003174FB" w:rsidP="00B2031E">
            <w:pPr>
              <w:jc w:val="right"/>
            </w:pPr>
            <w:r w:rsidRPr="00B634E7">
              <w:t>2008</w:t>
            </w:r>
          </w:p>
        </w:tc>
        <w:tc>
          <w:tcPr>
            <w:tcW w:w="1591" w:type="dxa"/>
            <w:tcBorders>
              <w:top w:val="nil"/>
              <w:left w:val="nil"/>
              <w:bottom w:val="single" w:sz="4" w:space="0" w:color="auto"/>
              <w:right w:val="single" w:sz="4" w:space="0" w:color="auto"/>
            </w:tcBorders>
            <w:shd w:val="clear" w:color="auto" w:fill="auto"/>
            <w:noWrap/>
            <w:vAlign w:val="bottom"/>
            <w:hideMark/>
          </w:tcPr>
          <w:p w14:paraId="5F066E62" w14:textId="77777777" w:rsidR="003174FB" w:rsidRPr="00B634E7" w:rsidRDefault="003174FB" w:rsidP="00B2031E">
            <w:pPr>
              <w:jc w:val="right"/>
            </w:pPr>
            <w:r w:rsidRPr="00B634E7">
              <w:t>£22,706,526</w:t>
            </w:r>
          </w:p>
        </w:tc>
        <w:tc>
          <w:tcPr>
            <w:tcW w:w="2050" w:type="dxa"/>
            <w:tcBorders>
              <w:top w:val="nil"/>
              <w:left w:val="nil"/>
              <w:bottom w:val="single" w:sz="4" w:space="0" w:color="auto"/>
              <w:right w:val="single" w:sz="4" w:space="0" w:color="auto"/>
            </w:tcBorders>
            <w:shd w:val="clear" w:color="auto" w:fill="auto"/>
            <w:noWrap/>
            <w:vAlign w:val="bottom"/>
            <w:hideMark/>
          </w:tcPr>
          <w:p w14:paraId="14C59147" w14:textId="77777777" w:rsidR="003174FB" w:rsidRPr="00B634E7" w:rsidRDefault="003174FB" w:rsidP="00B2031E">
            <w:pPr>
              <w:jc w:val="right"/>
            </w:pPr>
            <w:r w:rsidRPr="00B634E7">
              <w:t>51</w:t>
            </w:r>
          </w:p>
        </w:tc>
        <w:tc>
          <w:tcPr>
            <w:tcW w:w="2694" w:type="dxa"/>
            <w:tcBorders>
              <w:top w:val="nil"/>
              <w:left w:val="nil"/>
              <w:bottom w:val="single" w:sz="4" w:space="0" w:color="auto"/>
              <w:right w:val="single" w:sz="4" w:space="0" w:color="auto"/>
            </w:tcBorders>
            <w:shd w:val="clear" w:color="auto" w:fill="auto"/>
            <w:noWrap/>
            <w:vAlign w:val="bottom"/>
            <w:hideMark/>
          </w:tcPr>
          <w:p w14:paraId="7A6304F1" w14:textId="77777777" w:rsidR="003174FB" w:rsidRPr="00B634E7" w:rsidRDefault="003174FB" w:rsidP="00B2031E">
            <w:pPr>
              <w:jc w:val="right"/>
            </w:pPr>
            <w:r w:rsidRPr="00B634E7">
              <w:t>£445,226.00</w:t>
            </w:r>
          </w:p>
        </w:tc>
        <w:tc>
          <w:tcPr>
            <w:tcW w:w="2605" w:type="dxa"/>
            <w:tcBorders>
              <w:top w:val="nil"/>
              <w:left w:val="nil"/>
              <w:bottom w:val="single" w:sz="4" w:space="0" w:color="auto"/>
              <w:right w:val="single" w:sz="4" w:space="0" w:color="auto"/>
            </w:tcBorders>
            <w:shd w:val="clear" w:color="auto" w:fill="auto"/>
            <w:noWrap/>
            <w:vAlign w:val="bottom"/>
            <w:hideMark/>
          </w:tcPr>
          <w:p w14:paraId="43C17B93" w14:textId="77777777" w:rsidR="003174FB" w:rsidRPr="00B634E7" w:rsidRDefault="003174FB" w:rsidP="00B2031E">
            <w:pPr>
              <w:jc w:val="right"/>
              <w:rPr>
                <w:rFonts w:ascii="Calibri" w:hAnsi="Calibri"/>
                <w:color w:val="000000"/>
              </w:rPr>
            </w:pPr>
            <w:r w:rsidRPr="00B634E7">
              <w:rPr>
                <w:rFonts w:ascii="Calibri" w:hAnsi="Calibri"/>
                <w:color w:val="000000"/>
              </w:rPr>
              <w:t>220</w:t>
            </w:r>
          </w:p>
        </w:tc>
      </w:tr>
      <w:tr w:rsidR="003174FB" w:rsidRPr="00B634E7" w14:paraId="2FCE7F2C"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7402EAA4" w14:textId="77777777" w:rsidR="003174FB" w:rsidRPr="00B634E7" w:rsidRDefault="003174FB" w:rsidP="00B2031E">
            <w:pPr>
              <w:jc w:val="right"/>
            </w:pPr>
            <w:r w:rsidRPr="00B634E7">
              <w:t>2009</w:t>
            </w:r>
          </w:p>
        </w:tc>
        <w:tc>
          <w:tcPr>
            <w:tcW w:w="1591" w:type="dxa"/>
            <w:tcBorders>
              <w:top w:val="nil"/>
              <w:left w:val="nil"/>
              <w:bottom w:val="single" w:sz="4" w:space="0" w:color="auto"/>
              <w:right w:val="single" w:sz="4" w:space="0" w:color="auto"/>
            </w:tcBorders>
            <w:shd w:val="clear" w:color="auto" w:fill="auto"/>
            <w:noWrap/>
            <w:vAlign w:val="bottom"/>
            <w:hideMark/>
          </w:tcPr>
          <w:p w14:paraId="2EF08A65" w14:textId="77777777" w:rsidR="003174FB" w:rsidRPr="00B634E7" w:rsidRDefault="003174FB" w:rsidP="00B2031E">
            <w:pPr>
              <w:jc w:val="right"/>
            </w:pPr>
            <w:r w:rsidRPr="00B634E7">
              <w:t>£35,005,522</w:t>
            </w:r>
          </w:p>
        </w:tc>
        <w:tc>
          <w:tcPr>
            <w:tcW w:w="2050" w:type="dxa"/>
            <w:tcBorders>
              <w:top w:val="nil"/>
              <w:left w:val="nil"/>
              <w:bottom w:val="single" w:sz="4" w:space="0" w:color="auto"/>
              <w:right w:val="single" w:sz="4" w:space="0" w:color="auto"/>
            </w:tcBorders>
            <w:shd w:val="clear" w:color="auto" w:fill="auto"/>
            <w:noWrap/>
            <w:vAlign w:val="bottom"/>
            <w:hideMark/>
          </w:tcPr>
          <w:p w14:paraId="5CF9FF0F" w14:textId="77777777" w:rsidR="003174FB" w:rsidRPr="00B634E7" w:rsidRDefault="003174FB" w:rsidP="00B2031E">
            <w:pPr>
              <w:jc w:val="right"/>
            </w:pPr>
            <w:r w:rsidRPr="00B634E7">
              <w:t>42</w:t>
            </w:r>
          </w:p>
        </w:tc>
        <w:tc>
          <w:tcPr>
            <w:tcW w:w="2694" w:type="dxa"/>
            <w:tcBorders>
              <w:top w:val="nil"/>
              <w:left w:val="nil"/>
              <w:bottom w:val="single" w:sz="4" w:space="0" w:color="auto"/>
              <w:right w:val="single" w:sz="4" w:space="0" w:color="auto"/>
            </w:tcBorders>
            <w:shd w:val="clear" w:color="auto" w:fill="auto"/>
            <w:noWrap/>
            <w:vAlign w:val="bottom"/>
            <w:hideMark/>
          </w:tcPr>
          <w:p w14:paraId="7DBACF64" w14:textId="77777777" w:rsidR="003174FB" w:rsidRPr="00B634E7" w:rsidRDefault="003174FB" w:rsidP="00B2031E">
            <w:pPr>
              <w:jc w:val="right"/>
            </w:pPr>
            <w:r w:rsidRPr="00B634E7">
              <w:t>£833,464.81</w:t>
            </w:r>
          </w:p>
        </w:tc>
        <w:tc>
          <w:tcPr>
            <w:tcW w:w="2605" w:type="dxa"/>
            <w:tcBorders>
              <w:top w:val="nil"/>
              <w:left w:val="nil"/>
              <w:bottom w:val="single" w:sz="4" w:space="0" w:color="auto"/>
              <w:right w:val="single" w:sz="4" w:space="0" w:color="auto"/>
            </w:tcBorders>
            <w:shd w:val="clear" w:color="auto" w:fill="auto"/>
            <w:noWrap/>
            <w:vAlign w:val="bottom"/>
            <w:hideMark/>
          </w:tcPr>
          <w:p w14:paraId="02B33395" w14:textId="77777777" w:rsidR="003174FB" w:rsidRPr="00B634E7" w:rsidRDefault="003174FB" w:rsidP="00B2031E">
            <w:pPr>
              <w:jc w:val="right"/>
              <w:rPr>
                <w:rFonts w:ascii="Calibri" w:hAnsi="Calibri"/>
                <w:color w:val="000000"/>
              </w:rPr>
            </w:pPr>
            <w:r w:rsidRPr="00B634E7">
              <w:rPr>
                <w:rFonts w:ascii="Calibri" w:hAnsi="Calibri"/>
                <w:color w:val="000000"/>
              </w:rPr>
              <w:t>181</w:t>
            </w:r>
          </w:p>
        </w:tc>
      </w:tr>
      <w:tr w:rsidR="003174FB" w:rsidRPr="00B634E7" w14:paraId="2D938BD9"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FF17CA0" w14:textId="77777777" w:rsidR="003174FB" w:rsidRPr="00B634E7" w:rsidRDefault="003174FB" w:rsidP="00B2031E">
            <w:pPr>
              <w:jc w:val="right"/>
            </w:pPr>
            <w:r w:rsidRPr="00B634E7">
              <w:t>2010</w:t>
            </w:r>
          </w:p>
        </w:tc>
        <w:tc>
          <w:tcPr>
            <w:tcW w:w="1591" w:type="dxa"/>
            <w:tcBorders>
              <w:top w:val="nil"/>
              <w:left w:val="nil"/>
              <w:bottom w:val="single" w:sz="4" w:space="0" w:color="auto"/>
              <w:right w:val="single" w:sz="4" w:space="0" w:color="auto"/>
            </w:tcBorders>
            <w:shd w:val="clear" w:color="auto" w:fill="auto"/>
            <w:noWrap/>
            <w:vAlign w:val="bottom"/>
            <w:hideMark/>
          </w:tcPr>
          <w:p w14:paraId="0E46D51A" w14:textId="77777777" w:rsidR="003174FB" w:rsidRPr="00B634E7" w:rsidRDefault="003174FB" w:rsidP="00B2031E">
            <w:pPr>
              <w:jc w:val="right"/>
            </w:pPr>
            <w:r w:rsidRPr="00B634E7">
              <w:t>£89,121,281.50</w:t>
            </w:r>
          </w:p>
        </w:tc>
        <w:tc>
          <w:tcPr>
            <w:tcW w:w="2050" w:type="dxa"/>
            <w:tcBorders>
              <w:top w:val="nil"/>
              <w:left w:val="nil"/>
              <w:bottom w:val="single" w:sz="4" w:space="0" w:color="auto"/>
              <w:right w:val="single" w:sz="4" w:space="0" w:color="auto"/>
            </w:tcBorders>
            <w:shd w:val="clear" w:color="auto" w:fill="auto"/>
            <w:noWrap/>
            <w:vAlign w:val="bottom"/>
            <w:hideMark/>
          </w:tcPr>
          <w:p w14:paraId="4E6A0B27" w14:textId="77777777" w:rsidR="003174FB" w:rsidRPr="00B634E7" w:rsidRDefault="003174FB" w:rsidP="00B2031E">
            <w:pPr>
              <w:jc w:val="right"/>
            </w:pPr>
            <w:r w:rsidRPr="00B634E7">
              <w:t>80</w:t>
            </w:r>
          </w:p>
        </w:tc>
        <w:tc>
          <w:tcPr>
            <w:tcW w:w="2694" w:type="dxa"/>
            <w:tcBorders>
              <w:top w:val="nil"/>
              <w:left w:val="nil"/>
              <w:bottom w:val="single" w:sz="4" w:space="0" w:color="auto"/>
              <w:right w:val="single" w:sz="4" w:space="0" w:color="auto"/>
            </w:tcBorders>
            <w:shd w:val="clear" w:color="auto" w:fill="auto"/>
            <w:noWrap/>
            <w:vAlign w:val="bottom"/>
            <w:hideMark/>
          </w:tcPr>
          <w:p w14:paraId="553AC6A9" w14:textId="77777777" w:rsidR="003174FB" w:rsidRPr="00B634E7" w:rsidRDefault="003174FB" w:rsidP="00B2031E">
            <w:pPr>
              <w:jc w:val="right"/>
            </w:pPr>
            <w:r w:rsidRPr="00B634E7">
              <w:t>£1,114,016.02</w:t>
            </w:r>
          </w:p>
        </w:tc>
        <w:tc>
          <w:tcPr>
            <w:tcW w:w="2605" w:type="dxa"/>
            <w:tcBorders>
              <w:top w:val="nil"/>
              <w:left w:val="nil"/>
              <w:bottom w:val="single" w:sz="4" w:space="0" w:color="auto"/>
              <w:right w:val="single" w:sz="4" w:space="0" w:color="auto"/>
            </w:tcBorders>
            <w:shd w:val="clear" w:color="auto" w:fill="auto"/>
            <w:noWrap/>
            <w:vAlign w:val="bottom"/>
            <w:hideMark/>
          </w:tcPr>
          <w:p w14:paraId="4AE42606" w14:textId="77777777" w:rsidR="003174FB" w:rsidRPr="00B634E7" w:rsidRDefault="003174FB" w:rsidP="00B2031E">
            <w:pPr>
              <w:jc w:val="right"/>
              <w:rPr>
                <w:rFonts w:ascii="Calibri" w:hAnsi="Calibri"/>
                <w:color w:val="000000"/>
              </w:rPr>
            </w:pPr>
            <w:r w:rsidRPr="00B634E7">
              <w:rPr>
                <w:rFonts w:ascii="Calibri" w:hAnsi="Calibri"/>
                <w:color w:val="000000"/>
              </w:rPr>
              <w:t>253</w:t>
            </w:r>
          </w:p>
        </w:tc>
      </w:tr>
      <w:tr w:rsidR="003174FB" w:rsidRPr="00B634E7" w14:paraId="55E4F1FF"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068CB3E" w14:textId="77777777" w:rsidR="003174FB" w:rsidRPr="00B634E7" w:rsidRDefault="003174FB" w:rsidP="00B2031E">
            <w:pPr>
              <w:jc w:val="right"/>
            </w:pPr>
            <w:r w:rsidRPr="00B634E7">
              <w:t>2011</w:t>
            </w:r>
          </w:p>
        </w:tc>
        <w:tc>
          <w:tcPr>
            <w:tcW w:w="1591" w:type="dxa"/>
            <w:tcBorders>
              <w:top w:val="nil"/>
              <w:left w:val="nil"/>
              <w:bottom w:val="single" w:sz="4" w:space="0" w:color="auto"/>
              <w:right w:val="single" w:sz="4" w:space="0" w:color="auto"/>
            </w:tcBorders>
            <w:shd w:val="clear" w:color="auto" w:fill="auto"/>
            <w:noWrap/>
            <w:vAlign w:val="bottom"/>
            <w:hideMark/>
          </w:tcPr>
          <w:p w14:paraId="1F49C0F9" w14:textId="77777777" w:rsidR="003174FB" w:rsidRPr="00B634E7" w:rsidRDefault="003174FB" w:rsidP="00B2031E">
            <w:pPr>
              <w:jc w:val="right"/>
            </w:pPr>
            <w:r w:rsidRPr="00B634E7">
              <w:t>£66,144,839</w:t>
            </w:r>
          </w:p>
        </w:tc>
        <w:tc>
          <w:tcPr>
            <w:tcW w:w="2050" w:type="dxa"/>
            <w:tcBorders>
              <w:top w:val="nil"/>
              <w:left w:val="nil"/>
              <w:bottom w:val="single" w:sz="4" w:space="0" w:color="auto"/>
              <w:right w:val="single" w:sz="4" w:space="0" w:color="auto"/>
            </w:tcBorders>
            <w:shd w:val="clear" w:color="auto" w:fill="auto"/>
            <w:noWrap/>
            <w:vAlign w:val="bottom"/>
            <w:hideMark/>
          </w:tcPr>
          <w:p w14:paraId="6B7CD3D1" w14:textId="77777777" w:rsidR="003174FB" w:rsidRPr="00B634E7" w:rsidRDefault="003174FB" w:rsidP="00B2031E">
            <w:pPr>
              <w:jc w:val="right"/>
            </w:pPr>
            <w:r w:rsidRPr="00B634E7">
              <w:t>60</w:t>
            </w:r>
          </w:p>
        </w:tc>
        <w:tc>
          <w:tcPr>
            <w:tcW w:w="2694" w:type="dxa"/>
            <w:tcBorders>
              <w:top w:val="nil"/>
              <w:left w:val="nil"/>
              <w:bottom w:val="single" w:sz="4" w:space="0" w:color="auto"/>
              <w:right w:val="single" w:sz="4" w:space="0" w:color="auto"/>
            </w:tcBorders>
            <w:shd w:val="clear" w:color="auto" w:fill="auto"/>
            <w:noWrap/>
            <w:vAlign w:val="bottom"/>
            <w:hideMark/>
          </w:tcPr>
          <w:p w14:paraId="2ED6DE15" w14:textId="77777777" w:rsidR="003174FB" w:rsidRPr="00B634E7" w:rsidRDefault="003174FB" w:rsidP="00B2031E">
            <w:pPr>
              <w:jc w:val="right"/>
            </w:pPr>
            <w:r w:rsidRPr="00B634E7">
              <w:t>£1,102,413.98</w:t>
            </w:r>
          </w:p>
        </w:tc>
        <w:tc>
          <w:tcPr>
            <w:tcW w:w="2605" w:type="dxa"/>
            <w:tcBorders>
              <w:top w:val="nil"/>
              <w:left w:val="nil"/>
              <w:bottom w:val="single" w:sz="4" w:space="0" w:color="auto"/>
              <w:right w:val="single" w:sz="4" w:space="0" w:color="auto"/>
            </w:tcBorders>
            <w:shd w:val="clear" w:color="auto" w:fill="auto"/>
            <w:noWrap/>
            <w:vAlign w:val="bottom"/>
            <w:hideMark/>
          </w:tcPr>
          <w:p w14:paraId="04128780" w14:textId="77777777" w:rsidR="003174FB" w:rsidRPr="00B634E7" w:rsidRDefault="003174FB" w:rsidP="00B2031E">
            <w:pPr>
              <w:jc w:val="right"/>
              <w:rPr>
                <w:rFonts w:ascii="Calibri" w:hAnsi="Calibri"/>
                <w:color w:val="000000"/>
              </w:rPr>
            </w:pPr>
            <w:r w:rsidRPr="00B634E7">
              <w:rPr>
                <w:rFonts w:ascii="Calibri" w:hAnsi="Calibri"/>
                <w:color w:val="000000"/>
              </w:rPr>
              <w:t>146</w:t>
            </w:r>
          </w:p>
        </w:tc>
      </w:tr>
      <w:tr w:rsidR="003174FB" w:rsidRPr="00B634E7" w14:paraId="1C099703" w14:textId="77777777" w:rsidTr="00B2031E">
        <w:trPr>
          <w:trHeight w:val="307"/>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4B249BD4" w14:textId="77777777" w:rsidR="003174FB" w:rsidRPr="00B634E7" w:rsidRDefault="003174FB" w:rsidP="00B2031E">
            <w:pPr>
              <w:jc w:val="right"/>
            </w:pPr>
            <w:r w:rsidRPr="00B634E7">
              <w:t>2012</w:t>
            </w:r>
          </w:p>
        </w:tc>
        <w:tc>
          <w:tcPr>
            <w:tcW w:w="1591" w:type="dxa"/>
            <w:tcBorders>
              <w:top w:val="nil"/>
              <w:left w:val="nil"/>
              <w:bottom w:val="single" w:sz="4" w:space="0" w:color="auto"/>
              <w:right w:val="single" w:sz="4" w:space="0" w:color="auto"/>
            </w:tcBorders>
            <w:shd w:val="clear" w:color="auto" w:fill="auto"/>
            <w:noWrap/>
            <w:vAlign w:val="bottom"/>
            <w:hideMark/>
          </w:tcPr>
          <w:p w14:paraId="567AE5D6" w14:textId="77777777" w:rsidR="003174FB" w:rsidRPr="00B634E7" w:rsidRDefault="003174FB" w:rsidP="00B2031E">
            <w:pPr>
              <w:jc w:val="right"/>
            </w:pPr>
            <w:r w:rsidRPr="00B634E7">
              <w:t>£150,260,756</w:t>
            </w:r>
          </w:p>
        </w:tc>
        <w:tc>
          <w:tcPr>
            <w:tcW w:w="2050" w:type="dxa"/>
            <w:tcBorders>
              <w:top w:val="nil"/>
              <w:left w:val="nil"/>
              <w:bottom w:val="single" w:sz="4" w:space="0" w:color="auto"/>
              <w:right w:val="single" w:sz="4" w:space="0" w:color="auto"/>
            </w:tcBorders>
            <w:shd w:val="clear" w:color="auto" w:fill="auto"/>
            <w:noWrap/>
            <w:vAlign w:val="bottom"/>
            <w:hideMark/>
          </w:tcPr>
          <w:p w14:paraId="43D02A12" w14:textId="77777777" w:rsidR="003174FB" w:rsidRPr="00B634E7" w:rsidRDefault="003174FB" w:rsidP="00B2031E">
            <w:pPr>
              <w:jc w:val="right"/>
            </w:pPr>
            <w:r w:rsidRPr="00B634E7">
              <w:t>49</w:t>
            </w:r>
          </w:p>
        </w:tc>
        <w:tc>
          <w:tcPr>
            <w:tcW w:w="2694" w:type="dxa"/>
            <w:tcBorders>
              <w:top w:val="nil"/>
              <w:left w:val="nil"/>
              <w:bottom w:val="single" w:sz="4" w:space="0" w:color="auto"/>
              <w:right w:val="single" w:sz="4" w:space="0" w:color="auto"/>
            </w:tcBorders>
            <w:shd w:val="clear" w:color="auto" w:fill="auto"/>
            <w:noWrap/>
            <w:vAlign w:val="bottom"/>
            <w:hideMark/>
          </w:tcPr>
          <w:p w14:paraId="23EABA86" w14:textId="77777777" w:rsidR="003174FB" w:rsidRPr="00B634E7" w:rsidRDefault="003174FB" w:rsidP="00B2031E">
            <w:pPr>
              <w:jc w:val="right"/>
            </w:pPr>
            <w:r w:rsidRPr="00B634E7">
              <w:t>£3,066,546.04</w:t>
            </w:r>
          </w:p>
        </w:tc>
        <w:tc>
          <w:tcPr>
            <w:tcW w:w="2605" w:type="dxa"/>
            <w:tcBorders>
              <w:top w:val="nil"/>
              <w:left w:val="nil"/>
              <w:bottom w:val="single" w:sz="4" w:space="0" w:color="auto"/>
              <w:right w:val="single" w:sz="4" w:space="0" w:color="auto"/>
            </w:tcBorders>
            <w:shd w:val="clear" w:color="auto" w:fill="auto"/>
            <w:noWrap/>
            <w:vAlign w:val="bottom"/>
            <w:hideMark/>
          </w:tcPr>
          <w:p w14:paraId="7F02732E" w14:textId="77777777" w:rsidR="003174FB" w:rsidRPr="00B634E7" w:rsidRDefault="003174FB" w:rsidP="00B2031E">
            <w:pPr>
              <w:jc w:val="right"/>
              <w:rPr>
                <w:rFonts w:ascii="Calibri" w:hAnsi="Calibri"/>
                <w:color w:val="000000"/>
              </w:rPr>
            </w:pPr>
            <w:r w:rsidRPr="00B634E7">
              <w:rPr>
                <w:rFonts w:ascii="Calibri" w:hAnsi="Calibri"/>
                <w:color w:val="000000"/>
              </w:rPr>
              <w:t>151</w:t>
            </w:r>
          </w:p>
        </w:tc>
      </w:tr>
    </w:tbl>
    <w:p w14:paraId="36F305C3" w14:textId="77777777" w:rsidR="003174FB" w:rsidRDefault="003174FB" w:rsidP="003174FB">
      <w:pPr>
        <w:rPr>
          <w:sz w:val="24"/>
          <w:szCs w:val="24"/>
        </w:rPr>
      </w:pPr>
    </w:p>
    <w:p w14:paraId="2430E21B" w14:textId="77777777" w:rsidR="003174FB" w:rsidRDefault="003174FB" w:rsidP="003174FB">
      <w:pPr>
        <w:rPr>
          <w:sz w:val="24"/>
          <w:szCs w:val="24"/>
        </w:rPr>
      </w:pPr>
    </w:p>
    <w:p w14:paraId="025EFE9A" w14:textId="77777777" w:rsidR="003174FB" w:rsidRDefault="003174FB" w:rsidP="003174FB">
      <w:pPr>
        <w:rPr>
          <w:b/>
          <w:bCs/>
          <w:sz w:val="24"/>
          <w:szCs w:val="24"/>
          <w:u w:val="single"/>
        </w:rPr>
      </w:pPr>
      <w:r>
        <w:rPr>
          <w:sz w:val="24"/>
          <w:szCs w:val="24"/>
          <w:u w:val="single"/>
        </w:rPr>
        <w:br w:type="page"/>
      </w:r>
    </w:p>
    <w:p w14:paraId="115A16CA" w14:textId="77777777" w:rsidR="003174FB" w:rsidRPr="00B634E7" w:rsidRDefault="003174FB" w:rsidP="003174FB">
      <w:pPr>
        <w:pStyle w:val="Caption"/>
        <w:keepNext/>
        <w:rPr>
          <w:color w:val="auto"/>
          <w:sz w:val="24"/>
          <w:szCs w:val="24"/>
          <w:u w:val="single"/>
        </w:rPr>
      </w:pPr>
      <w:r w:rsidRPr="00B634E7">
        <w:rPr>
          <w:color w:val="auto"/>
          <w:sz w:val="24"/>
          <w:szCs w:val="24"/>
          <w:u w:val="single"/>
        </w:rPr>
        <w:lastRenderedPageBreak/>
        <w:t>Figure 2</w:t>
      </w:r>
    </w:p>
    <w:p w14:paraId="482909BE" w14:textId="77777777" w:rsidR="003174FB" w:rsidRDefault="003174FB" w:rsidP="003174FB">
      <w:pPr>
        <w:rPr>
          <w:sz w:val="24"/>
          <w:szCs w:val="24"/>
        </w:rPr>
      </w:pPr>
    </w:p>
    <w:p w14:paraId="69679E01" w14:textId="77777777" w:rsidR="003174FB" w:rsidRDefault="003174FB" w:rsidP="003174FB">
      <w:pPr>
        <w:rPr>
          <w:sz w:val="24"/>
          <w:szCs w:val="24"/>
        </w:rPr>
      </w:pPr>
      <w:r>
        <w:rPr>
          <w:noProof/>
        </w:rPr>
        <w:drawing>
          <wp:inline distT="0" distB="0" distL="0" distR="0" wp14:anchorId="26334BE7" wp14:editId="18F3A693">
            <wp:extent cx="5475383" cy="362454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25805A" w14:textId="77777777" w:rsidR="003174FB" w:rsidRPr="00B634E7" w:rsidRDefault="003174FB" w:rsidP="003174FB">
      <w:pPr>
        <w:pStyle w:val="Caption"/>
        <w:keepNext/>
        <w:rPr>
          <w:color w:val="auto"/>
          <w:sz w:val="24"/>
          <w:szCs w:val="24"/>
          <w:u w:val="single"/>
        </w:rPr>
      </w:pPr>
      <w:r w:rsidRPr="00B634E7">
        <w:rPr>
          <w:color w:val="auto"/>
          <w:sz w:val="24"/>
          <w:szCs w:val="24"/>
          <w:u w:val="single"/>
        </w:rPr>
        <w:t>Figure 3</w:t>
      </w:r>
    </w:p>
    <w:p w14:paraId="04B9DD6F" w14:textId="77777777" w:rsidR="003174FB" w:rsidRDefault="003174FB" w:rsidP="003174FB">
      <w:pPr>
        <w:rPr>
          <w:sz w:val="24"/>
          <w:szCs w:val="24"/>
        </w:rPr>
      </w:pPr>
      <w:r>
        <w:rPr>
          <w:noProof/>
        </w:rPr>
        <w:drawing>
          <wp:inline distT="0" distB="0" distL="0" distR="0" wp14:anchorId="564A1E15" wp14:editId="7470ECCF">
            <wp:extent cx="5543550" cy="32289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708B8B" w14:textId="77777777" w:rsidR="003174FB" w:rsidRDefault="003174FB" w:rsidP="003174FB">
      <w:pPr>
        <w:rPr>
          <w:sz w:val="24"/>
          <w:szCs w:val="24"/>
        </w:rPr>
      </w:pPr>
    </w:p>
    <w:p w14:paraId="1DA63162" w14:textId="77777777" w:rsidR="003174FB" w:rsidRPr="00B634E7" w:rsidRDefault="003174FB" w:rsidP="003174FB">
      <w:pPr>
        <w:pStyle w:val="Caption"/>
        <w:keepNext/>
        <w:rPr>
          <w:color w:val="auto"/>
          <w:sz w:val="24"/>
          <w:szCs w:val="24"/>
          <w:u w:val="single"/>
        </w:rPr>
      </w:pPr>
      <w:r>
        <w:rPr>
          <w:color w:val="auto"/>
          <w:sz w:val="24"/>
          <w:szCs w:val="24"/>
          <w:u w:val="single"/>
        </w:rPr>
        <w:lastRenderedPageBreak/>
        <w:t>Figure 4</w:t>
      </w:r>
    </w:p>
    <w:p w14:paraId="0BC146EF" w14:textId="77777777" w:rsidR="003174FB" w:rsidRPr="00ED2C96" w:rsidRDefault="003174FB" w:rsidP="003174FB">
      <w:pPr>
        <w:rPr>
          <w:sz w:val="24"/>
          <w:szCs w:val="24"/>
        </w:rPr>
      </w:pPr>
      <w:r w:rsidRPr="00721D89">
        <w:rPr>
          <w:noProof/>
        </w:rPr>
        <w:drawing>
          <wp:inline distT="0" distB="0" distL="0" distR="0" wp14:anchorId="2B39B198" wp14:editId="5F5ED960">
            <wp:extent cx="5667375" cy="28003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CAF97F" w14:textId="77777777" w:rsidR="002E484C" w:rsidRDefault="002E484C" w:rsidP="009956B9">
      <w:pPr>
        <w:pStyle w:val="NoSpacing"/>
        <w:rPr>
          <w:szCs w:val="24"/>
        </w:rPr>
      </w:pPr>
    </w:p>
    <w:p w14:paraId="55D2393A" w14:textId="77777777" w:rsidR="002E484C" w:rsidRDefault="002E484C">
      <w:pPr>
        <w:spacing w:after="200" w:line="276" w:lineRule="auto"/>
        <w:rPr>
          <w:sz w:val="24"/>
          <w:szCs w:val="24"/>
        </w:rPr>
      </w:pPr>
      <w:r>
        <w:rPr>
          <w:szCs w:val="24"/>
        </w:rPr>
        <w:br w:type="page"/>
      </w:r>
    </w:p>
    <w:p w14:paraId="7CEA59D5" w14:textId="77777777" w:rsidR="002E484C" w:rsidRPr="00D83807" w:rsidRDefault="002E484C" w:rsidP="002E484C">
      <w:pPr>
        <w:pStyle w:val="NoSpacing"/>
        <w:jc w:val="left"/>
        <w:rPr>
          <w:b/>
          <w:u w:val="single"/>
        </w:rPr>
      </w:pPr>
      <w:r w:rsidRPr="00D83807">
        <w:rPr>
          <w:b/>
          <w:u w:val="single"/>
        </w:rPr>
        <w:lastRenderedPageBreak/>
        <w:t>Bibliography</w:t>
      </w:r>
    </w:p>
    <w:p w14:paraId="45853292" w14:textId="77777777" w:rsidR="002E484C" w:rsidRPr="00D83807" w:rsidRDefault="002E484C" w:rsidP="002E484C">
      <w:pPr>
        <w:pStyle w:val="NoSpacing"/>
        <w:jc w:val="left"/>
        <w:rPr>
          <w:u w:val="single"/>
        </w:rPr>
      </w:pPr>
      <w:r w:rsidRPr="00D83807">
        <w:rPr>
          <w:u w:val="single"/>
        </w:rPr>
        <w:t>UK Legislation</w:t>
      </w:r>
    </w:p>
    <w:p w14:paraId="21F1DDFD" w14:textId="77777777" w:rsidR="002E484C" w:rsidRPr="00136C67" w:rsidRDefault="002E484C" w:rsidP="002E484C">
      <w:pPr>
        <w:pStyle w:val="NoSpacing"/>
        <w:jc w:val="left"/>
      </w:pPr>
      <w:r w:rsidRPr="00136C67">
        <w:t>Financial Services and Markets Act 2000</w:t>
      </w:r>
    </w:p>
    <w:p w14:paraId="56DDE94F" w14:textId="77777777" w:rsidR="002E484C" w:rsidRPr="00D83807" w:rsidRDefault="002E484C" w:rsidP="002E484C">
      <w:pPr>
        <w:pStyle w:val="NoSpacing"/>
        <w:jc w:val="left"/>
        <w:rPr>
          <w:u w:val="single"/>
        </w:rPr>
      </w:pPr>
      <w:r w:rsidRPr="00D83807">
        <w:rPr>
          <w:u w:val="single"/>
        </w:rPr>
        <w:t xml:space="preserve">EU Legislation </w:t>
      </w:r>
    </w:p>
    <w:p w14:paraId="1A4C5098" w14:textId="77777777" w:rsidR="002E484C" w:rsidRPr="00EC4F21" w:rsidRDefault="002E484C" w:rsidP="002E484C">
      <w:pPr>
        <w:rPr>
          <w:sz w:val="24"/>
          <w:szCs w:val="24"/>
        </w:rPr>
      </w:pPr>
      <w:r w:rsidRPr="00D83807">
        <w:rPr>
          <w:sz w:val="24"/>
          <w:szCs w:val="24"/>
        </w:rPr>
        <w:t>Directive (EU) 76/2010 of 24 November 2010 amending Directives 2006/48/EC and 2006/49/EC as regards to capital requirements for the trading book and for re-securitisations, and the supervisory review of remuneration policies [2010] OJ L329/3</w:t>
      </w:r>
    </w:p>
    <w:p w14:paraId="7CBCA956" w14:textId="77777777" w:rsidR="002E484C" w:rsidRPr="00EC4F21" w:rsidRDefault="002E484C" w:rsidP="002E484C">
      <w:pPr>
        <w:pStyle w:val="NoSpacing"/>
        <w:jc w:val="left"/>
        <w:rPr>
          <w:u w:val="single"/>
        </w:rPr>
      </w:pPr>
      <w:r w:rsidRPr="00EC4F21">
        <w:rPr>
          <w:u w:val="single"/>
        </w:rPr>
        <w:t>US Legislation</w:t>
      </w:r>
    </w:p>
    <w:p w14:paraId="6CB94B70" w14:textId="77777777" w:rsidR="002E484C" w:rsidRPr="00EC4F21" w:rsidRDefault="002E484C" w:rsidP="002E484C">
      <w:pPr>
        <w:rPr>
          <w:sz w:val="24"/>
          <w:szCs w:val="24"/>
        </w:rPr>
      </w:pPr>
      <w:r w:rsidRPr="00EC4F21">
        <w:rPr>
          <w:sz w:val="24"/>
          <w:szCs w:val="24"/>
        </w:rPr>
        <w:t>18 U.S.C §1341</w:t>
      </w:r>
    </w:p>
    <w:p w14:paraId="1B9009FE" w14:textId="77777777" w:rsidR="002E484C" w:rsidRPr="00EC4F21" w:rsidRDefault="002E484C" w:rsidP="002E484C">
      <w:pPr>
        <w:rPr>
          <w:sz w:val="24"/>
          <w:szCs w:val="24"/>
        </w:rPr>
      </w:pPr>
      <w:r w:rsidRPr="00EC4F21">
        <w:rPr>
          <w:sz w:val="24"/>
          <w:szCs w:val="24"/>
        </w:rPr>
        <w:t>18 U.S.C §1344</w:t>
      </w:r>
    </w:p>
    <w:p w14:paraId="7FDC03F3" w14:textId="77777777" w:rsidR="002E484C" w:rsidRPr="00EC4F21" w:rsidRDefault="002E484C" w:rsidP="002E484C">
      <w:pPr>
        <w:rPr>
          <w:sz w:val="24"/>
          <w:szCs w:val="24"/>
        </w:rPr>
      </w:pPr>
      <w:r w:rsidRPr="00EC4F21">
        <w:rPr>
          <w:sz w:val="24"/>
          <w:szCs w:val="24"/>
        </w:rPr>
        <w:t>18 U.S.C §1348</w:t>
      </w:r>
    </w:p>
    <w:p w14:paraId="369087B3" w14:textId="77777777" w:rsidR="002E484C" w:rsidRPr="00EC4F21" w:rsidRDefault="002E484C" w:rsidP="002E484C">
      <w:pPr>
        <w:rPr>
          <w:sz w:val="24"/>
          <w:szCs w:val="24"/>
        </w:rPr>
      </w:pPr>
      <w:r w:rsidRPr="00EC4F21">
        <w:rPr>
          <w:sz w:val="24"/>
          <w:szCs w:val="24"/>
        </w:rPr>
        <w:t>Mail Fraud Statute 1872 now found in the Criminal Code: 18 U.S.C §1341</w:t>
      </w:r>
    </w:p>
    <w:p w14:paraId="61B2B2C5" w14:textId="77777777" w:rsidR="002E484C" w:rsidRPr="00EC4F21" w:rsidRDefault="002E484C" w:rsidP="002E484C">
      <w:pPr>
        <w:pStyle w:val="NoSpacing"/>
        <w:jc w:val="left"/>
        <w:rPr>
          <w:u w:val="single"/>
        </w:rPr>
      </w:pPr>
      <w:r w:rsidRPr="00EC4F21">
        <w:rPr>
          <w:u w:val="single"/>
        </w:rPr>
        <w:t>Books</w:t>
      </w:r>
    </w:p>
    <w:p w14:paraId="1F811A1E" w14:textId="77777777" w:rsidR="002E484C" w:rsidRPr="00EC4F21" w:rsidRDefault="002E484C" w:rsidP="002E484C">
      <w:pPr>
        <w:rPr>
          <w:sz w:val="24"/>
          <w:szCs w:val="24"/>
        </w:rPr>
      </w:pPr>
      <w:r w:rsidRPr="00EC4F21">
        <w:rPr>
          <w:sz w:val="24"/>
          <w:szCs w:val="24"/>
        </w:rPr>
        <w:t xml:space="preserve">Ayres and Braithwaite, </w:t>
      </w:r>
      <w:r w:rsidRPr="00957F3B">
        <w:rPr>
          <w:i/>
          <w:sz w:val="24"/>
          <w:szCs w:val="24"/>
        </w:rPr>
        <w:t>Responsive Regulation: Transcending the Deregulation Debate</w:t>
      </w:r>
      <w:r w:rsidRPr="00EC4F21">
        <w:rPr>
          <w:sz w:val="24"/>
          <w:szCs w:val="24"/>
        </w:rPr>
        <w:t xml:space="preserve"> (Oxford Social-Legal Studies, OUP, 1992)</w:t>
      </w:r>
    </w:p>
    <w:p w14:paraId="36D3AF9D" w14:textId="77777777" w:rsidR="002E484C" w:rsidRPr="00EC4F21" w:rsidRDefault="002E484C" w:rsidP="002E484C">
      <w:pPr>
        <w:rPr>
          <w:sz w:val="24"/>
          <w:szCs w:val="24"/>
        </w:rPr>
      </w:pPr>
      <w:r w:rsidRPr="00EC4F21">
        <w:rPr>
          <w:sz w:val="24"/>
          <w:szCs w:val="24"/>
        </w:rPr>
        <w:t xml:space="preserve">Dalvinder Singh, </w:t>
      </w:r>
      <w:r w:rsidRPr="00957F3B">
        <w:rPr>
          <w:i/>
          <w:sz w:val="24"/>
          <w:szCs w:val="24"/>
        </w:rPr>
        <w:t>Banking Regulation of UK and US Financial Markets</w:t>
      </w:r>
      <w:r w:rsidRPr="00EC4F21">
        <w:rPr>
          <w:sz w:val="24"/>
          <w:szCs w:val="24"/>
        </w:rPr>
        <w:t xml:space="preserve"> (Ashgate 2007)</w:t>
      </w:r>
    </w:p>
    <w:p w14:paraId="7204F525" w14:textId="77777777" w:rsidR="002E484C" w:rsidRPr="00136C67" w:rsidRDefault="002E484C" w:rsidP="002E484C">
      <w:pPr>
        <w:pStyle w:val="NoSpacing"/>
        <w:jc w:val="left"/>
      </w:pPr>
      <w:r w:rsidRPr="00D83807">
        <w:t xml:space="preserve">Nicholas Ryder, </w:t>
      </w:r>
      <w:r w:rsidRPr="00957F3B">
        <w:rPr>
          <w:i/>
        </w:rPr>
        <w:t>Financial Crime in the 21st Century: Law and Policy</w:t>
      </w:r>
      <w:r w:rsidRPr="00D83807">
        <w:t xml:space="preserve"> (Edwin Elgar 2011)</w:t>
      </w:r>
    </w:p>
    <w:p w14:paraId="433D87D9" w14:textId="77777777" w:rsidR="002E484C" w:rsidRPr="00EC4F21" w:rsidRDefault="002E484C" w:rsidP="002E484C">
      <w:pPr>
        <w:pStyle w:val="NoSpacing"/>
        <w:jc w:val="left"/>
        <w:rPr>
          <w:u w:val="single"/>
        </w:rPr>
      </w:pPr>
      <w:r w:rsidRPr="00EC4F21">
        <w:rPr>
          <w:u w:val="single"/>
        </w:rPr>
        <w:t>Journals</w:t>
      </w:r>
    </w:p>
    <w:p w14:paraId="2A916FF7" w14:textId="77777777" w:rsidR="002E484C" w:rsidRDefault="002E484C" w:rsidP="002E484C">
      <w:pPr>
        <w:rPr>
          <w:sz w:val="24"/>
          <w:szCs w:val="24"/>
        </w:rPr>
      </w:pPr>
      <w:r>
        <w:rPr>
          <w:sz w:val="24"/>
          <w:szCs w:val="24"/>
        </w:rPr>
        <w:t>Angela Hayes, ‘Market Abuse’ (2010) 75 (Apr) C.O.B 1</w:t>
      </w:r>
    </w:p>
    <w:p w14:paraId="2881324B" w14:textId="77777777" w:rsidR="002E484C" w:rsidRDefault="002E484C" w:rsidP="002E484C">
      <w:pPr>
        <w:rPr>
          <w:sz w:val="24"/>
          <w:szCs w:val="24"/>
        </w:rPr>
      </w:pPr>
      <w:r>
        <w:rPr>
          <w:sz w:val="24"/>
          <w:szCs w:val="24"/>
        </w:rPr>
        <w:t>Christopher Leonard, Ezra Zahabi and Victoria Lissack, ‘Annual Review 2011’ (2011) 92 (Jan) C.O.B. 1</w:t>
      </w:r>
    </w:p>
    <w:p w14:paraId="7F733FBC" w14:textId="77777777" w:rsidR="002E484C" w:rsidRDefault="002E484C" w:rsidP="002E484C">
      <w:pPr>
        <w:rPr>
          <w:sz w:val="24"/>
          <w:szCs w:val="24"/>
        </w:rPr>
      </w:pPr>
    </w:p>
    <w:p w14:paraId="0360FCFF" w14:textId="77777777" w:rsidR="002E484C" w:rsidRDefault="002E484C" w:rsidP="002E484C">
      <w:pPr>
        <w:rPr>
          <w:sz w:val="24"/>
          <w:szCs w:val="24"/>
        </w:rPr>
      </w:pPr>
      <w:r>
        <w:rPr>
          <w:sz w:val="24"/>
          <w:szCs w:val="24"/>
        </w:rPr>
        <w:t xml:space="preserve">Eilis Ferran, </w:t>
      </w:r>
      <w:r w:rsidR="002767FB">
        <w:rPr>
          <w:sz w:val="24"/>
          <w:szCs w:val="24"/>
        </w:rPr>
        <w:t>‘Regula</w:t>
      </w:r>
      <w:r>
        <w:rPr>
          <w:sz w:val="24"/>
          <w:szCs w:val="24"/>
        </w:rPr>
        <w:t>t</w:t>
      </w:r>
      <w:r w:rsidR="002767FB">
        <w:rPr>
          <w:sz w:val="24"/>
          <w:szCs w:val="24"/>
        </w:rPr>
        <w:t>or</w:t>
      </w:r>
      <w:r>
        <w:rPr>
          <w:sz w:val="24"/>
          <w:szCs w:val="24"/>
        </w:rPr>
        <w:t>y Lessons from the Payment Protection Insurance Mis-Selling Scandal in the UK’ (2012) 13(2) E.B.O.R 247</w:t>
      </w:r>
    </w:p>
    <w:p w14:paraId="3AD6731E" w14:textId="77777777" w:rsidR="002E484C" w:rsidRDefault="002E484C" w:rsidP="002E484C">
      <w:pPr>
        <w:rPr>
          <w:sz w:val="24"/>
          <w:szCs w:val="24"/>
        </w:rPr>
      </w:pPr>
    </w:p>
    <w:p w14:paraId="500B0D61" w14:textId="77777777" w:rsidR="002E484C" w:rsidRDefault="002E484C" w:rsidP="002E484C">
      <w:pPr>
        <w:rPr>
          <w:sz w:val="24"/>
          <w:szCs w:val="24"/>
        </w:rPr>
      </w:pPr>
      <w:r w:rsidRPr="00EC4F21">
        <w:rPr>
          <w:sz w:val="24"/>
          <w:szCs w:val="24"/>
        </w:rPr>
        <w:t>John T. Scholz, ‘Cooperation, Deterrence, and the Ecology of Regulatory Enforcement’ (1984) 18 Law and Society Review 179</w:t>
      </w:r>
    </w:p>
    <w:p w14:paraId="530D2704" w14:textId="77777777" w:rsidR="002E484C" w:rsidRPr="00EC4F21" w:rsidRDefault="002E484C" w:rsidP="002E484C">
      <w:pPr>
        <w:rPr>
          <w:sz w:val="24"/>
          <w:szCs w:val="24"/>
        </w:rPr>
      </w:pPr>
    </w:p>
    <w:p w14:paraId="3A9EAA0E" w14:textId="77777777" w:rsidR="002E484C" w:rsidRDefault="002E484C" w:rsidP="002E484C">
      <w:pPr>
        <w:rPr>
          <w:sz w:val="24"/>
          <w:szCs w:val="24"/>
        </w:rPr>
      </w:pPr>
      <w:r w:rsidRPr="00EC4F21">
        <w:rPr>
          <w:sz w:val="24"/>
          <w:szCs w:val="24"/>
        </w:rPr>
        <w:t>Melvin R. Lansky, ‘Violence, Shame and the Family’ (1984) 5 International Journal of Family Psychiatry 21</w:t>
      </w:r>
    </w:p>
    <w:p w14:paraId="73EEC09C" w14:textId="77777777" w:rsidR="002E484C" w:rsidRDefault="002E484C" w:rsidP="002E484C">
      <w:pPr>
        <w:rPr>
          <w:sz w:val="24"/>
          <w:szCs w:val="24"/>
        </w:rPr>
      </w:pPr>
    </w:p>
    <w:p w14:paraId="29602599" w14:textId="77777777" w:rsidR="002E484C" w:rsidRDefault="002E484C" w:rsidP="002E484C">
      <w:pPr>
        <w:rPr>
          <w:sz w:val="24"/>
          <w:szCs w:val="24"/>
        </w:rPr>
      </w:pPr>
      <w:r>
        <w:rPr>
          <w:sz w:val="24"/>
          <w:szCs w:val="24"/>
        </w:rPr>
        <w:t>P.N. Grabosky, ‘Regulation by Reward: On the USE of Incentives as Regulatory Instruments’ (1995) 17 Law and Policy 257</w:t>
      </w:r>
    </w:p>
    <w:p w14:paraId="688F1B0C" w14:textId="77777777" w:rsidR="002E484C" w:rsidRPr="00EC4F21" w:rsidRDefault="002E484C" w:rsidP="002E484C">
      <w:pPr>
        <w:rPr>
          <w:sz w:val="24"/>
          <w:szCs w:val="24"/>
        </w:rPr>
      </w:pPr>
    </w:p>
    <w:p w14:paraId="550D8B9A" w14:textId="77777777" w:rsidR="002E484C" w:rsidRDefault="002E484C" w:rsidP="002E484C">
      <w:pPr>
        <w:rPr>
          <w:sz w:val="24"/>
          <w:szCs w:val="24"/>
        </w:rPr>
      </w:pPr>
      <w:r w:rsidRPr="00EC4F21">
        <w:rPr>
          <w:sz w:val="24"/>
          <w:szCs w:val="24"/>
        </w:rPr>
        <w:t>Peter Cartwright, ‘Publicity, Punishment and Protection: The Role(s) of Adverse Publicity in Consumer Policy’ (2012) Vol. 32 No. 2 Legal Studies 179</w:t>
      </w:r>
    </w:p>
    <w:p w14:paraId="03B17089" w14:textId="77777777" w:rsidR="002E484C" w:rsidRDefault="002E484C" w:rsidP="002E484C">
      <w:pPr>
        <w:rPr>
          <w:sz w:val="24"/>
          <w:szCs w:val="24"/>
        </w:rPr>
      </w:pPr>
    </w:p>
    <w:p w14:paraId="4936E63A" w14:textId="77777777" w:rsidR="002E484C" w:rsidRDefault="002E484C" w:rsidP="002E484C">
      <w:pPr>
        <w:rPr>
          <w:sz w:val="24"/>
          <w:szCs w:val="24"/>
        </w:rPr>
      </w:pPr>
      <w:r>
        <w:rPr>
          <w:sz w:val="24"/>
          <w:szCs w:val="24"/>
        </w:rPr>
        <w:t>Roman Tomasic, ‘The Financial Crisis and the Haphazard Pursuit of Financial Crime’ (2011) 18(1) J.F.C. 7</w:t>
      </w:r>
    </w:p>
    <w:p w14:paraId="5A2B0A39" w14:textId="77777777" w:rsidR="002E484C" w:rsidRDefault="002E484C" w:rsidP="002E484C">
      <w:pPr>
        <w:rPr>
          <w:sz w:val="24"/>
          <w:szCs w:val="24"/>
        </w:rPr>
      </w:pPr>
    </w:p>
    <w:p w14:paraId="40340DAA" w14:textId="77777777" w:rsidR="002E484C" w:rsidRDefault="002E484C" w:rsidP="002E484C">
      <w:pPr>
        <w:rPr>
          <w:sz w:val="24"/>
          <w:szCs w:val="24"/>
        </w:rPr>
      </w:pPr>
      <w:r w:rsidRPr="00EC4F21">
        <w:rPr>
          <w:sz w:val="24"/>
          <w:szCs w:val="24"/>
        </w:rPr>
        <w:t>Travers Smith Regulatory Investigations Group, ‘FSA Enforcement Action: Themes and Trends’ (</w:t>
      </w:r>
      <w:r>
        <w:rPr>
          <w:sz w:val="24"/>
          <w:szCs w:val="24"/>
        </w:rPr>
        <w:t>2010) 76 (May) C.O.B. 1</w:t>
      </w:r>
    </w:p>
    <w:p w14:paraId="27FD0E3F" w14:textId="77777777" w:rsidR="002E484C" w:rsidRPr="00EC4F21" w:rsidRDefault="002E484C" w:rsidP="002E484C">
      <w:pPr>
        <w:rPr>
          <w:sz w:val="24"/>
          <w:szCs w:val="24"/>
        </w:rPr>
      </w:pPr>
    </w:p>
    <w:p w14:paraId="32185869" w14:textId="77777777" w:rsidR="002E484C" w:rsidRDefault="002E484C" w:rsidP="002E484C">
      <w:pPr>
        <w:rPr>
          <w:sz w:val="24"/>
          <w:szCs w:val="24"/>
        </w:rPr>
      </w:pPr>
      <w:r w:rsidRPr="00EC4F21">
        <w:rPr>
          <w:sz w:val="24"/>
          <w:szCs w:val="24"/>
        </w:rPr>
        <w:t>Travers Smith Regulatory Investigations Group, ‘FSA Enforcement Action: Themes and Trends’ (2012) 96 (May) C.O.B 1</w:t>
      </w:r>
    </w:p>
    <w:p w14:paraId="6B047F98" w14:textId="77777777" w:rsidR="002E484C" w:rsidRPr="00EC4F21" w:rsidRDefault="002E484C" w:rsidP="002E484C">
      <w:pPr>
        <w:rPr>
          <w:sz w:val="24"/>
          <w:szCs w:val="24"/>
        </w:rPr>
      </w:pPr>
    </w:p>
    <w:p w14:paraId="269FE70D" w14:textId="77777777" w:rsidR="002E484C" w:rsidRPr="00EC4F21" w:rsidRDefault="002E484C" w:rsidP="002E484C">
      <w:pPr>
        <w:pStyle w:val="NoSpacing"/>
        <w:jc w:val="left"/>
        <w:rPr>
          <w:u w:val="single"/>
        </w:rPr>
      </w:pPr>
      <w:r w:rsidRPr="00EC4F21">
        <w:rPr>
          <w:u w:val="single"/>
        </w:rPr>
        <w:t>Conference Papers</w:t>
      </w:r>
    </w:p>
    <w:p w14:paraId="5F6FA8E0" w14:textId="77777777" w:rsidR="002E484C" w:rsidRDefault="002E484C" w:rsidP="002E484C">
      <w:pPr>
        <w:rPr>
          <w:sz w:val="24"/>
          <w:szCs w:val="24"/>
        </w:rPr>
      </w:pPr>
      <w:r w:rsidRPr="00EC4F21">
        <w:rPr>
          <w:sz w:val="24"/>
          <w:szCs w:val="24"/>
        </w:rPr>
        <w:t>Albert Reiss, ‘The Policing of Organizational Life’ (International Seminar on Management and the Control of Police Organizations, Nijenrode, Netherlands, 1980)</w:t>
      </w:r>
    </w:p>
    <w:p w14:paraId="59AE7A55" w14:textId="77777777" w:rsidR="002E484C" w:rsidRPr="00EC4F21" w:rsidRDefault="002E484C" w:rsidP="002E484C">
      <w:pPr>
        <w:rPr>
          <w:sz w:val="24"/>
          <w:szCs w:val="24"/>
        </w:rPr>
      </w:pPr>
    </w:p>
    <w:p w14:paraId="1597EA5F" w14:textId="77777777" w:rsidR="002E484C" w:rsidRDefault="002E484C" w:rsidP="002E484C">
      <w:pPr>
        <w:rPr>
          <w:sz w:val="24"/>
          <w:szCs w:val="24"/>
        </w:rPr>
      </w:pPr>
      <w:r w:rsidRPr="00EC4F21">
        <w:rPr>
          <w:sz w:val="24"/>
          <w:szCs w:val="24"/>
        </w:rPr>
        <w:t xml:space="preserve">Jackie Harvey, ‘The Policing of Financial Markets: Where is the Line in the Sand between Criminal Activity and Regulatory Misdemeanour? (Fighting Financial Crime in the Global Economic Crisis: Policy, Trends and Sanctions </w:t>
      </w:r>
      <w:r w:rsidR="002767FB" w:rsidRPr="00EC4F21">
        <w:rPr>
          <w:sz w:val="24"/>
          <w:szCs w:val="24"/>
        </w:rPr>
        <w:t>Conference,</w:t>
      </w:r>
      <w:r w:rsidRPr="00EC4F21">
        <w:rPr>
          <w:sz w:val="24"/>
          <w:szCs w:val="24"/>
        </w:rPr>
        <w:t xml:space="preserve"> Bristol, November 2006)</w:t>
      </w:r>
    </w:p>
    <w:p w14:paraId="0006E9AD" w14:textId="77777777" w:rsidR="002E484C" w:rsidRPr="00EC4F21" w:rsidRDefault="002E484C" w:rsidP="002E484C">
      <w:pPr>
        <w:rPr>
          <w:sz w:val="24"/>
          <w:szCs w:val="24"/>
        </w:rPr>
      </w:pPr>
    </w:p>
    <w:p w14:paraId="243F36F0" w14:textId="77777777" w:rsidR="002E484C" w:rsidRPr="00EC4F21" w:rsidRDefault="002E484C" w:rsidP="002E484C">
      <w:pPr>
        <w:pStyle w:val="NoSpacing"/>
        <w:jc w:val="left"/>
        <w:rPr>
          <w:u w:val="single"/>
        </w:rPr>
      </w:pPr>
      <w:r w:rsidRPr="00EC4F21">
        <w:rPr>
          <w:u w:val="single"/>
        </w:rPr>
        <w:t>Websites</w:t>
      </w:r>
    </w:p>
    <w:p w14:paraId="282B6BA8" w14:textId="77777777" w:rsidR="002E484C" w:rsidRDefault="002E484C" w:rsidP="002E484C">
      <w:pPr>
        <w:rPr>
          <w:sz w:val="24"/>
          <w:szCs w:val="24"/>
        </w:rPr>
      </w:pPr>
      <w:r w:rsidRPr="00EC4F21">
        <w:rPr>
          <w:sz w:val="24"/>
          <w:szCs w:val="24"/>
        </w:rPr>
        <w:t>Bank for International Settlements ‘Basel Committee on Banking Supervision: International Convergence of Capital Measurement and Capital Standards, A Revised Framework’ &lt;http://www.bis.org/publ/bcbs128.pdf&gt; accessed 12 December 2012</w:t>
      </w:r>
    </w:p>
    <w:p w14:paraId="24CDE4AC" w14:textId="77777777" w:rsidR="002E484C" w:rsidRPr="00EC4F21" w:rsidRDefault="002E484C" w:rsidP="002E484C">
      <w:pPr>
        <w:rPr>
          <w:sz w:val="24"/>
          <w:szCs w:val="24"/>
        </w:rPr>
      </w:pPr>
    </w:p>
    <w:p w14:paraId="09CA6FC2" w14:textId="77777777" w:rsidR="002E484C" w:rsidRDefault="002E484C" w:rsidP="002E484C">
      <w:pPr>
        <w:rPr>
          <w:sz w:val="24"/>
          <w:szCs w:val="24"/>
        </w:rPr>
      </w:pPr>
      <w:r w:rsidRPr="00EC4F21">
        <w:rPr>
          <w:sz w:val="24"/>
          <w:szCs w:val="24"/>
        </w:rPr>
        <w:t xml:space="preserve">Bank </w:t>
      </w:r>
      <w:r w:rsidR="002767FB" w:rsidRPr="00EC4F21">
        <w:rPr>
          <w:sz w:val="24"/>
          <w:szCs w:val="24"/>
        </w:rPr>
        <w:t>for</w:t>
      </w:r>
      <w:r w:rsidRPr="00EC4F21">
        <w:rPr>
          <w:sz w:val="24"/>
          <w:szCs w:val="24"/>
        </w:rPr>
        <w:t xml:space="preserve"> International Settlements ‘History of the Basel Committee and its Membership’ &lt;http://www.bis.org/bcbs/history.htm&gt; accessed 12 December 2012</w:t>
      </w:r>
    </w:p>
    <w:p w14:paraId="362E0DB7" w14:textId="77777777" w:rsidR="002E484C" w:rsidRDefault="002E484C" w:rsidP="002E484C">
      <w:pPr>
        <w:rPr>
          <w:sz w:val="24"/>
          <w:szCs w:val="24"/>
        </w:rPr>
      </w:pPr>
    </w:p>
    <w:p w14:paraId="1FD0EDB7" w14:textId="77777777" w:rsidR="002E484C" w:rsidRDefault="002E484C" w:rsidP="002E484C">
      <w:pPr>
        <w:rPr>
          <w:sz w:val="24"/>
          <w:szCs w:val="24"/>
        </w:rPr>
      </w:pPr>
      <w:r>
        <w:rPr>
          <w:sz w:val="24"/>
          <w:szCs w:val="24"/>
        </w:rPr>
        <w:t>Bank of England, ‘Broken Glass – Moving Towards Sustainable Financial Regulation: Speech given by Michael Cohrs’ &lt;</w:t>
      </w:r>
      <w:r w:rsidRPr="00957F3B">
        <w:rPr>
          <w:sz w:val="24"/>
          <w:szCs w:val="24"/>
        </w:rPr>
        <w:t>http://www.bankofengland.co.uk/publications/Documents/speeches/2012/speech620.pdf</w:t>
      </w:r>
      <w:r>
        <w:rPr>
          <w:sz w:val="24"/>
          <w:szCs w:val="24"/>
        </w:rPr>
        <w:t>&gt; accessed 01 December 2012</w:t>
      </w:r>
    </w:p>
    <w:p w14:paraId="2D3C3CDB" w14:textId="77777777" w:rsidR="002E484C" w:rsidRPr="00EC4F21" w:rsidRDefault="002E484C" w:rsidP="002E484C">
      <w:pPr>
        <w:rPr>
          <w:sz w:val="24"/>
          <w:szCs w:val="24"/>
        </w:rPr>
      </w:pPr>
    </w:p>
    <w:p w14:paraId="7AF759F3" w14:textId="77777777" w:rsidR="002E484C" w:rsidRDefault="002E484C" w:rsidP="002E484C">
      <w:pPr>
        <w:rPr>
          <w:sz w:val="24"/>
          <w:szCs w:val="24"/>
        </w:rPr>
      </w:pPr>
      <w:r w:rsidRPr="00EC4F21">
        <w:rPr>
          <w:sz w:val="24"/>
          <w:szCs w:val="24"/>
        </w:rPr>
        <w:t>Barclays, ‘Barclays PLC: Annual Report 2011’ &lt;http://group.barclays.com/Satellite?blobcol=urldata&amp;blobheader=application%2Fpdf&amp;blobheadername1=Content-Disposition&amp;blobheadername2=MDT-Type&amp;blobheadervalue1=inline%3B+filename%3D2011-Barclays-PLC-Annual-Report-(PDF).pdf&amp;blobheadervalue2=abinary%3B+charset%3DUTF-8&amp;blobkey=id&amp;blobtable=MungoBlobs&amp;blobwhere=1330686323829&amp;ssbinary=true&gt; accessed 12 December 2012</w:t>
      </w:r>
    </w:p>
    <w:p w14:paraId="7E42A88C" w14:textId="77777777" w:rsidR="002E484C" w:rsidRPr="00EC4F21" w:rsidRDefault="002E484C" w:rsidP="002E484C">
      <w:pPr>
        <w:rPr>
          <w:sz w:val="24"/>
          <w:szCs w:val="24"/>
        </w:rPr>
      </w:pPr>
    </w:p>
    <w:p w14:paraId="5E490B01" w14:textId="77777777" w:rsidR="002E484C" w:rsidRPr="00EC4F21" w:rsidRDefault="002767FB" w:rsidP="002E484C">
      <w:pPr>
        <w:rPr>
          <w:sz w:val="24"/>
          <w:szCs w:val="24"/>
        </w:rPr>
      </w:pPr>
      <w:r w:rsidRPr="00EC4F21">
        <w:rPr>
          <w:sz w:val="24"/>
          <w:szCs w:val="24"/>
        </w:rPr>
        <w:t>BBC News, ‘HSBC to pay £1.9bn In US Money Laundering Penalties &lt;http://www.bbc.co.uk/news/business-20673466&gt; accessed 12 December 2012</w:t>
      </w:r>
    </w:p>
    <w:p w14:paraId="333800DA" w14:textId="77777777" w:rsidR="002E484C" w:rsidRDefault="002E484C" w:rsidP="002E484C">
      <w:pPr>
        <w:rPr>
          <w:sz w:val="24"/>
          <w:szCs w:val="24"/>
        </w:rPr>
      </w:pPr>
    </w:p>
    <w:p w14:paraId="06857CB9" w14:textId="77777777" w:rsidR="002E484C" w:rsidRPr="00EC4F21" w:rsidRDefault="002E484C" w:rsidP="002E484C">
      <w:pPr>
        <w:rPr>
          <w:sz w:val="24"/>
          <w:szCs w:val="24"/>
        </w:rPr>
      </w:pPr>
      <w:r w:rsidRPr="00EC4F21">
        <w:rPr>
          <w:sz w:val="24"/>
          <w:szCs w:val="24"/>
        </w:rPr>
        <w:t>BBC News, ‘Fraudster Madoff gets 150 years’ &lt;http://news.bbc.co.uk/1/hi/business/8124838.stm&gt; accessed 11 December 2012</w:t>
      </w:r>
    </w:p>
    <w:p w14:paraId="4A0E6A4C" w14:textId="77777777" w:rsidR="002E484C" w:rsidRDefault="002E484C" w:rsidP="002E484C">
      <w:pPr>
        <w:rPr>
          <w:sz w:val="24"/>
          <w:szCs w:val="24"/>
        </w:rPr>
      </w:pPr>
    </w:p>
    <w:p w14:paraId="2610BC14" w14:textId="77777777" w:rsidR="002E484C" w:rsidRDefault="002E484C" w:rsidP="002E484C">
      <w:pPr>
        <w:rPr>
          <w:sz w:val="24"/>
          <w:szCs w:val="24"/>
        </w:rPr>
      </w:pPr>
      <w:r w:rsidRPr="00EC4F21">
        <w:rPr>
          <w:sz w:val="24"/>
          <w:szCs w:val="24"/>
        </w:rPr>
        <w:t xml:space="preserve">BBC News, ‘Rouge trader </w:t>
      </w:r>
      <w:r w:rsidR="002767FB">
        <w:rPr>
          <w:sz w:val="24"/>
          <w:szCs w:val="24"/>
        </w:rPr>
        <w:t>Kweku</w:t>
      </w:r>
      <w:r w:rsidRPr="00EC4F21">
        <w:rPr>
          <w:sz w:val="24"/>
          <w:szCs w:val="24"/>
        </w:rPr>
        <w:t xml:space="preserve"> Adoboli Sentenced for £1.4bn Loss’ &lt;http://www.bbc.co.uk/news/business-20416866&gt; accessed 10 December 2012</w:t>
      </w:r>
    </w:p>
    <w:p w14:paraId="6B0C1644" w14:textId="77777777" w:rsidR="002E484C" w:rsidRPr="00EC4F21" w:rsidRDefault="002E484C" w:rsidP="002E484C">
      <w:pPr>
        <w:rPr>
          <w:sz w:val="24"/>
          <w:szCs w:val="24"/>
        </w:rPr>
      </w:pPr>
    </w:p>
    <w:p w14:paraId="49BF2816" w14:textId="77777777" w:rsidR="002E484C" w:rsidRDefault="002E484C" w:rsidP="002E484C">
      <w:pPr>
        <w:rPr>
          <w:sz w:val="24"/>
          <w:szCs w:val="24"/>
        </w:rPr>
      </w:pPr>
      <w:r w:rsidRPr="00EC4F21">
        <w:rPr>
          <w:sz w:val="24"/>
          <w:szCs w:val="24"/>
        </w:rPr>
        <w:t>Commodity Futures Trading Commission, ‘CTFC Orders Barclays to pay $200 Million Penalty for Attempted Manipulation of and False Reporting concerning LIBOR and Euribor Benchmark Interest Rates &lt;http://www.cftc.gov/PressRoom/PressReleases/pr6289-12&gt; accessed 11 December 2012</w:t>
      </w:r>
    </w:p>
    <w:p w14:paraId="4571B7B9" w14:textId="77777777" w:rsidR="002E484C" w:rsidRPr="00EC4F21" w:rsidRDefault="002E484C" w:rsidP="002E484C">
      <w:pPr>
        <w:rPr>
          <w:sz w:val="24"/>
          <w:szCs w:val="24"/>
        </w:rPr>
      </w:pPr>
    </w:p>
    <w:p w14:paraId="36A204FB" w14:textId="77777777" w:rsidR="002E484C" w:rsidRDefault="002E484C" w:rsidP="002E484C">
      <w:pPr>
        <w:rPr>
          <w:sz w:val="24"/>
          <w:szCs w:val="24"/>
        </w:rPr>
      </w:pPr>
      <w:r w:rsidRPr="00EC4F21">
        <w:rPr>
          <w:sz w:val="24"/>
          <w:szCs w:val="24"/>
        </w:rPr>
        <w:lastRenderedPageBreak/>
        <w:t>CPS, ‘Fraud, False Accounting, Fraudulent Evasion of VAT, False Statement for Vat Purposes, Conduct Amounting to an Offence’ &lt;http://www.cps.gov.uk/legal/s_to_u/sentencing_manual/fraud&gt; accessed 20 December 2012</w:t>
      </w:r>
    </w:p>
    <w:p w14:paraId="00A5E3AF" w14:textId="77777777" w:rsidR="002E484C" w:rsidRPr="00EC4F21" w:rsidRDefault="002E484C" w:rsidP="002E484C">
      <w:pPr>
        <w:rPr>
          <w:sz w:val="24"/>
          <w:szCs w:val="24"/>
        </w:rPr>
      </w:pPr>
    </w:p>
    <w:p w14:paraId="771C6386" w14:textId="77777777" w:rsidR="002E484C" w:rsidRDefault="002E484C" w:rsidP="002E484C">
      <w:pPr>
        <w:rPr>
          <w:sz w:val="24"/>
          <w:szCs w:val="24"/>
        </w:rPr>
      </w:pPr>
      <w:r w:rsidRPr="00EC4F21">
        <w:rPr>
          <w:sz w:val="24"/>
          <w:szCs w:val="24"/>
        </w:rPr>
        <w:t xml:space="preserve">Department of Justice, ‘Barclays Bank PLC Admits Misconduct Related to Submissions for the London Interbank Offered Rate and the Euro Interbank Rate and Agrees to </w:t>
      </w:r>
      <w:r w:rsidR="002767FB" w:rsidRPr="00EC4F21">
        <w:rPr>
          <w:sz w:val="24"/>
          <w:szCs w:val="24"/>
        </w:rPr>
        <w:t>pay</w:t>
      </w:r>
      <w:r w:rsidRPr="00EC4F21">
        <w:rPr>
          <w:sz w:val="24"/>
          <w:szCs w:val="24"/>
        </w:rPr>
        <w:t xml:space="preserve"> $160 Million Penalty &lt;http://www.justice.gov/opa/pr/2012/June/12-crm-815.html&gt; accessed 11 December 2012</w:t>
      </w:r>
    </w:p>
    <w:p w14:paraId="1722F94E" w14:textId="77777777" w:rsidR="002E484C" w:rsidRPr="00EC4F21" w:rsidRDefault="002E484C" w:rsidP="002E484C">
      <w:pPr>
        <w:rPr>
          <w:sz w:val="24"/>
          <w:szCs w:val="24"/>
        </w:rPr>
      </w:pPr>
    </w:p>
    <w:p w14:paraId="33C2DA76" w14:textId="77777777" w:rsidR="002E484C" w:rsidRDefault="002E484C" w:rsidP="002E484C">
      <w:pPr>
        <w:rPr>
          <w:sz w:val="24"/>
          <w:szCs w:val="24"/>
        </w:rPr>
      </w:pPr>
      <w:r w:rsidRPr="00EC4F21">
        <w:rPr>
          <w:sz w:val="24"/>
          <w:szCs w:val="24"/>
        </w:rPr>
        <w:t>FATF, ‘Who we are’ &lt;http://www.fatf-gafi.org/pages/aboutus/&gt; accessed 12 December 2012</w:t>
      </w:r>
    </w:p>
    <w:p w14:paraId="5543B263" w14:textId="77777777" w:rsidR="00C95554" w:rsidRDefault="00C95554" w:rsidP="002E484C">
      <w:pPr>
        <w:rPr>
          <w:sz w:val="24"/>
          <w:szCs w:val="24"/>
        </w:rPr>
      </w:pPr>
    </w:p>
    <w:p w14:paraId="211F71C8" w14:textId="77777777" w:rsidR="00C95554" w:rsidRDefault="00C95554" w:rsidP="00C95554">
      <w:pPr>
        <w:pStyle w:val="FootnoteText"/>
        <w:rPr>
          <w:sz w:val="24"/>
          <w:szCs w:val="24"/>
        </w:rPr>
      </w:pPr>
      <w:r w:rsidRPr="00C95554">
        <w:rPr>
          <w:sz w:val="24"/>
          <w:szCs w:val="24"/>
        </w:rPr>
        <w:t>FBI, ‘Georgia Man Sentenced to 75 Months in Prison for Role in $1.3 Million Phishing Fraud Scheme’ &lt;http://www.fbi.gov/newark/press-releases/2012/georgia-man-sentenced-to-75-months-in-prison-for-role-in-1.3-million-phishing-fraud-scheme&gt; accessed 12 December 2012</w:t>
      </w:r>
    </w:p>
    <w:p w14:paraId="4E5CDC1F" w14:textId="77777777" w:rsidR="00C95554" w:rsidRDefault="00C95554" w:rsidP="002E484C">
      <w:pPr>
        <w:rPr>
          <w:sz w:val="24"/>
          <w:szCs w:val="24"/>
        </w:rPr>
      </w:pPr>
    </w:p>
    <w:p w14:paraId="5B7582A0" w14:textId="77777777" w:rsidR="002E484C" w:rsidRDefault="002E484C" w:rsidP="002E484C">
      <w:pPr>
        <w:rPr>
          <w:sz w:val="24"/>
          <w:szCs w:val="24"/>
        </w:rPr>
      </w:pPr>
      <w:r>
        <w:rPr>
          <w:sz w:val="24"/>
          <w:szCs w:val="24"/>
        </w:rPr>
        <w:t xml:space="preserve">Financial Times, ‘UK Banks Hit </w:t>
      </w:r>
      <w:r w:rsidR="002767FB">
        <w:rPr>
          <w:sz w:val="24"/>
          <w:szCs w:val="24"/>
        </w:rPr>
        <w:t>by</w:t>
      </w:r>
      <w:r>
        <w:rPr>
          <w:sz w:val="24"/>
          <w:szCs w:val="24"/>
        </w:rPr>
        <w:t xml:space="preserve"> Record $2.5bn US Fines’ &lt;</w:t>
      </w:r>
      <w:r w:rsidRPr="00941E4C">
        <w:rPr>
          <w:sz w:val="24"/>
          <w:szCs w:val="24"/>
        </w:rPr>
        <w:t>http://www.ft.com/cms/s/0/643a6c06-42f0-11e2-aa8f-00144feabdc0.html</w:t>
      </w:r>
      <w:r>
        <w:rPr>
          <w:sz w:val="24"/>
          <w:szCs w:val="24"/>
        </w:rPr>
        <w:t>&gt; accessed 11 December 2012</w:t>
      </w:r>
    </w:p>
    <w:p w14:paraId="46212D82" w14:textId="77777777" w:rsidR="002E484C" w:rsidRPr="00EC4F21" w:rsidRDefault="002E484C" w:rsidP="002E484C">
      <w:pPr>
        <w:rPr>
          <w:sz w:val="24"/>
          <w:szCs w:val="24"/>
        </w:rPr>
      </w:pPr>
    </w:p>
    <w:p w14:paraId="01DBB7F6" w14:textId="77777777" w:rsidR="002E484C" w:rsidRDefault="002E484C" w:rsidP="002E484C">
      <w:pPr>
        <w:rPr>
          <w:sz w:val="24"/>
          <w:szCs w:val="24"/>
        </w:rPr>
      </w:pPr>
      <w:r w:rsidRPr="00EC4F21">
        <w:rPr>
          <w:sz w:val="24"/>
          <w:szCs w:val="24"/>
        </w:rPr>
        <w:t>FSA, ‘Final Notice: Andrew Jon Osborne 15 February 2012’ &lt;http://www.fsa.gov.uk/static/pubs/final/andrew_osborne.pdf&gt; accessed 10 December 2012 at 2.8</w:t>
      </w:r>
    </w:p>
    <w:p w14:paraId="652D02C6" w14:textId="77777777" w:rsidR="00C95554" w:rsidRPr="00EC4F21" w:rsidRDefault="00C95554" w:rsidP="002E484C">
      <w:pPr>
        <w:rPr>
          <w:sz w:val="24"/>
          <w:szCs w:val="24"/>
        </w:rPr>
      </w:pPr>
    </w:p>
    <w:p w14:paraId="0AD05ECC" w14:textId="77777777" w:rsidR="002E484C" w:rsidRDefault="002E484C" w:rsidP="002E484C">
      <w:pPr>
        <w:rPr>
          <w:sz w:val="24"/>
          <w:szCs w:val="24"/>
        </w:rPr>
      </w:pPr>
      <w:r w:rsidRPr="00EC4F21">
        <w:rPr>
          <w:sz w:val="24"/>
          <w:szCs w:val="24"/>
        </w:rPr>
        <w:t>FSA, ‘Final Notice: UBS AG’ &lt;http://www.fsa.gov.uk/static/pubs/final/ubs-ag.pdf&gt; accessed 12 December 2012</w:t>
      </w:r>
    </w:p>
    <w:p w14:paraId="76D15BB3" w14:textId="77777777" w:rsidR="002E484C" w:rsidRPr="00EC4F21" w:rsidRDefault="002E484C" w:rsidP="002E484C">
      <w:pPr>
        <w:rPr>
          <w:sz w:val="24"/>
          <w:szCs w:val="24"/>
        </w:rPr>
      </w:pPr>
    </w:p>
    <w:p w14:paraId="58B7C694" w14:textId="77777777" w:rsidR="002E484C" w:rsidRDefault="002E484C" w:rsidP="002E484C">
      <w:pPr>
        <w:rPr>
          <w:sz w:val="24"/>
          <w:szCs w:val="24"/>
        </w:rPr>
      </w:pPr>
      <w:r w:rsidRPr="00EC4F21">
        <w:rPr>
          <w:sz w:val="24"/>
          <w:szCs w:val="24"/>
        </w:rPr>
        <w:t>FSA, ‘Fines Table’ &lt;http://www.fsa.gov.uk/about/media/facts/fines&gt; accessed 10 December 2012</w:t>
      </w:r>
    </w:p>
    <w:p w14:paraId="1D4A12FB" w14:textId="77777777" w:rsidR="002E484C" w:rsidRPr="00EC4F21" w:rsidRDefault="002E484C" w:rsidP="002E484C">
      <w:pPr>
        <w:rPr>
          <w:sz w:val="24"/>
          <w:szCs w:val="24"/>
        </w:rPr>
      </w:pPr>
    </w:p>
    <w:p w14:paraId="3DC6DA49" w14:textId="77777777" w:rsidR="002E484C" w:rsidRDefault="002E484C" w:rsidP="002E484C">
      <w:pPr>
        <w:rPr>
          <w:sz w:val="24"/>
          <w:szCs w:val="24"/>
        </w:rPr>
      </w:pPr>
      <w:r w:rsidRPr="00EC4F21">
        <w:rPr>
          <w:sz w:val="24"/>
          <w:szCs w:val="24"/>
        </w:rPr>
        <w:t xml:space="preserve">FSA, ‘FSA Secures Four and a Half Year Jail Sentence for Man </w:t>
      </w:r>
      <w:r w:rsidR="002767FB" w:rsidRPr="00EC4F21">
        <w:rPr>
          <w:sz w:val="24"/>
          <w:szCs w:val="24"/>
        </w:rPr>
        <w:t>Convicted</w:t>
      </w:r>
      <w:r w:rsidRPr="00EC4F21">
        <w:rPr>
          <w:sz w:val="24"/>
          <w:szCs w:val="24"/>
        </w:rPr>
        <w:t xml:space="preserve"> of Laundering Boiler Room Funds’ &lt;http://www.fsa.gov.uk/library/communication/pr/2012/045.shtml&gt; accessed 10 December 2012</w:t>
      </w:r>
    </w:p>
    <w:p w14:paraId="10B0F7B7" w14:textId="77777777" w:rsidR="002E484C" w:rsidRPr="00EC4F21" w:rsidRDefault="002E484C" w:rsidP="002E484C">
      <w:pPr>
        <w:rPr>
          <w:sz w:val="24"/>
          <w:szCs w:val="24"/>
        </w:rPr>
      </w:pPr>
    </w:p>
    <w:p w14:paraId="701BEF1C" w14:textId="77777777" w:rsidR="002E484C" w:rsidRDefault="002E484C" w:rsidP="002E484C">
      <w:pPr>
        <w:rPr>
          <w:sz w:val="24"/>
          <w:szCs w:val="24"/>
        </w:rPr>
      </w:pPr>
      <w:r w:rsidRPr="00EC4F21">
        <w:rPr>
          <w:sz w:val="24"/>
          <w:szCs w:val="24"/>
        </w:rPr>
        <w:t>FSA, ‘Six Sentenced for Insider Dealing’ &lt;http://www.fsa.gov.uk/library/communication/pr/2012/080.shtml&gt; accessed 10 December 2012</w:t>
      </w:r>
    </w:p>
    <w:p w14:paraId="7AB0F7E2" w14:textId="77777777" w:rsidR="002E484C" w:rsidRPr="00EC4F21" w:rsidRDefault="002E484C" w:rsidP="002E484C">
      <w:pPr>
        <w:rPr>
          <w:sz w:val="24"/>
          <w:szCs w:val="24"/>
        </w:rPr>
      </w:pPr>
    </w:p>
    <w:p w14:paraId="72229CE6" w14:textId="77777777" w:rsidR="002E484C" w:rsidRDefault="002E484C" w:rsidP="002E484C">
      <w:pPr>
        <w:rPr>
          <w:sz w:val="24"/>
          <w:szCs w:val="24"/>
        </w:rPr>
      </w:pPr>
      <w:r w:rsidRPr="00EC4F21">
        <w:rPr>
          <w:sz w:val="24"/>
          <w:szCs w:val="24"/>
        </w:rPr>
        <w:t>FSA, ‘Three Sentenced for Insider Dealing’ &lt;http://www.fsa.gov.uk/library/communication/pr/2012/067.shtml&gt; accessed 10 December 2012</w:t>
      </w:r>
    </w:p>
    <w:p w14:paraId="34EA10E0" w14:textId="77777777" w:rsidR="002E484C" w:rsidRPr="00EC4F21" w:rsidRDefault="002E484C" w:rsidP="002E484C">
      <w:pPr>
        <w:rPr>
          <w:sz w:val="24"/>
          <w:szCs w:val="24"/>
        </w:rPr>
      </w:pPr>
    </w:p>
    <w:p w14:paraId="12963BD1" w14:textId="77777777" w:rsidR="002E484C" w:rsidRDefault="002E484C" w:rsidP="002E484C">
      <w:pPr>
        <w:rPr>
          <w:sz w:val="24"/>
          <w:szCs w:val="24"/>
        </w:rPr>
      </w:pPr>
      <w:r w:rsidRPr="00EC4F21">
        <w:rPr>
          <w:sz w:val="24"/>
          <w:szCs w:val="24"/>
        </w:rPr>
        <w:t>HSBC, ‘HSBC Holdings PLC: Annual Report and Accounts 2011’ &lt;http://www.hsbc.com/1/content/assets/investor_relations/hsbc2011ara0.pdf&gt; accessed 13 December 2012</w:t>
      </w:r>
    </w:p>
    <w:p w14:paraId="28817D9F" w14:textId="77777777" w:rsidR="002E484C" w:rsidRPr="00EC4F21" w:rsidRDefault="002E484C" w:rsidP="002E484C">
      <w:pPr>
        <w:rPr>
          <w:sz w:val="24"/>
          <w:szCs w:val="24"/>
        </w:rPr>
      </w:pPr>
    </w:p>
    <w:p w14:paraId="0ABCF530" w14:textId="77777777" w:rsidR="002E484C" w:rsidRDefault="002E484C" w:rsidP="002E484C">
      <w:pPr>
        <w:rPr>
          <w:sz w:val="24"/>
          <w:szCs w:val="24"/>
        </w:rPr>
      </w:pPr>
      <w:r w:rsidRPr="00EC4F21">
        <w:rPr>
          <w:sz w:val="24"/>
          <w:szCs w:val="24"/>
        </w:rPr>
        <w:t>London Stock Exchange, ‘BARCLAYS PLC ORD –News Analysis- London Stock Exchange’ &lt;25Phttp://www.londonstockexchange.com/exchange/prices-and-markets/stocks/exchange-insight/news-</w:t>
      </w:r>
      <w:r w:rsidRPr="00EC4F21">
        <w:rPr>
          <w:sz w:val="24"/>
          <w:szCs w:val="24"/>
        </w:rPr>
        <w:lastRenderedPageBreak/>
        <w:t>analysis.html?fourWayKey=GB0031348658GBGBXSET0&amp;page=7&gt; accessed 05 December 2012</w:t>
      </w:r>
    </w:p>
    <w:p w14:paraId="0E16DD4D" w14:textId="77777777" w:rsidR="002E484C" w:rsidRPr="00EC4F21" w:rsidRDefault="002E484C" w:rsidP="002E484C">
      <w:pPr>
        <w:rPr>
          <w:sz w:val="24"/>
          <w:szCs w:val="24"/>
        </w:rPr>
      </w:pPr>
    </w:p>
    <w:p w14:paraId="1E34828E" w14:textId="77777777" w:rsidR="002E484C" w:rsidRDefault="002E484C" w:rsidP="002E484C">
      <w:pPr>
        <w:rPr>
          <w:sz w:val="24"/>
          <w:szCs w:val="24"/>
        </w:rPr>
      </w:pPr>
      <w:r w:rsidRPr="00EC4F21">
        <w:rPr>
          <w:sz w:val="24"/>
          <w:szCs w:val="24"/>
        </w:rPr>
        <w:t xml:space="preserve">Money Marketing, ‘PRA and FCA to Push </w:t>
      </w:r>
      <w:r w:rsidR="002767FB" w:rsidRPr="00EC4F21">
        <w:rPr>
          <w:sz w:val="24"/>
          <w:szCs w:val="24"/>
        </w:rPr>
        <w:t>up</w:t>
      </w:r>
      <w:r w:rsidRPr="00EC4F21">
        <w:rPr>
          <w:sz w:val="24"/>
          <w:szCs w:val="24"/>
        </w:rPr>
        <w:t xml:space="preserve"> Regulatory Costs by 20% &lt;http://www.moneymarketing.co.uk/regulation/pra-and-fca-to-push-up-regulatory-costs-by-20/1056944.article&gt; accessed 12 December 2012</w:t>
      </w:r>
    </w:p>
    <w:p w14:paraId="5F81422C" w14:textId="77777777" w:rsidR="002E484C" w:rsidRPr="00EC4F21" w:rsidRDefault="002E484C" w:rsidP="002E484C">
      <w:pPr>
        <w:rPr>
          <w:sz w:val="24"/>
          <w:szCs w:val="24"/>
        </w:rPr>
      </w:pPr>
    </w:p>
    <w:p w14:paraId="7CD481D9" w14:textId="77777777" w:rsidR="002E484C" w:rsidRDefault="002E484C" w:rsidP="002E484C">
      <w:pPr>
        <w:rPr>
          <w:sz w:val="24"/>
          <w:szCs w:val="24"/>
        </w:rPr>
      </w:pPr>
      <w:r w:rsidRPr="00EC4F21">
        <w:rPr>
          <w:sz w:val="24"/>
          <w:szCs w:val="24"/>
        </w:rPr>
        <w:t>Niall Ferguson, ‘The Darwinian Economy’ (BBC Reith Lectures, 26 June 2012) &lt;http://www.bbc.co.uk/programmes/b01jmxqp/features/transcript&gt; accessed 01 December 2012</w:t>
      </w:r>
    </w:p>
    <w:p w14:paraId="7F86694C" w14:textId="77777777" w:rsidR="002E484C" w:rsidRPr="00EC4F21" w:rsidRDefault="002E484C" w:rsidP="002E484C">
      <w:pPr>
        <w:rPr>
          <w:sz w:val="24"/>
          <w:szCs w:val="24"/>
        </w:rPr>
      </w:pPr>
    </w:p>
    <w:p w14:paraId="62829865" w14:textId="77777777" w:rsidR="002E484C" w:rsidRDefault="002E484C" w:rsidP="002E484C">
      <w:pPr>
        <w:rPr>
          <w:sz w:val="24"/>
          <w:szCs w:val="24"/>
        </w:rPr>
      </w:pPr>
      <w:r w:rsidRPr="00EC4F21">
        <w:rPr>
          <w:sz w:val="24"/>
          <w:szCs w:val="24"/>
        </w:rPr>
        <w:t>Reuters, ‘China Sentences Woman to Death for $16 million Fund Scam’ &lt;http://www.reuters.com/article/2012/04/06/us-china-economy-death-idUSBRE83508920120406&gt; accessed 11 December 2012</w:t>
      </w:r>
    </w:p>
    <w:p w14:paraId="471D4A69" w14:textId="77777777" w:rsidR="002E484C" w:rsidRPr="00EC4F21" w:rsidRDefault="002E484C" w:rsidP="002E484C">
      <w:pPr>
        <w:rPr>
          <w:sz w:val="24"/>
          <w:szCs w:val="24"/>
        </w:rPr>
      </w:pPr>
    </w:p>
    <w:p w14:paraId="49BC7151" w14:textId="77777777" w:rsidR="002E484C" w:rsidRDefault="002E484C" w:rsidP="002E484C">
      <w:pPr>
        <w:rPr>
          <w:sz w:val="24"/>
          <w:szCs w:val="24"/>
        </w:rPr>
      </w:pPr>
      <w:r w:rsidRPr="00EC4F21">
        <w:rPr>
          <w:sz w:val="24"/>
          <w:szCs w:val="24"/>
        </w:rPr>
        <w:t xml:space="preserve">Reuters, ‘With Germany </w:t>
      </w:r>
      <w:r w:rsidR="002767FB" w:rsidRPr="00EC4F21">
        <w:rPr>
          <w:sz w:val="24"/>
          <w:szCs w:val="24"/>
        </w:rPr>
        <w:t>on</w:t>
      </w:r>
      <w:r w:rsidRPr="00EC4F21">
        <w:rPr>
          <w:sz w:val="24"/>
          <w:szCs w:val="24"/>
        </w:rPr>
        <w:t xml:space="preserve"> Side, EU Nears Banking Union Deal &lt;http://www.reuters.com/article/2012/12/12/us-eu-banking-idUSBRE8BB00820121212&gt; accessed 12 December 2012</w:t>
      </w:r>
    </w:p>
    <w:p w14:paraId="5D53FBBA" w14:textId="77777777" w:rsidR="002E484C" w:rsidRPr="00EC4F21" w:rsidRDefault="002E484C" w:rsidP="002E484C">
      <w:pPr>
        <w:rPr>
          <w:sz w:val="24"/>
          <w:szCs w:val="24"/>
        </w:rPr>
      </w:pPr>
    </w:p>
    <w:p w14:paraId="79ECFD76" w14:textId="77777777" w:rsidR="002E484C" w:rsidRPr="00EC4F21" w:rsidRDefault="002E484C" w:rsidP="002E484C">
      <w:pPr>
        <w:rPr>
          <w:sz w:val="24"/>
          <w:szCs w:val="24"/>
        </w:rPr>
      </w:pPr>
      <w:r w:rsidRPr="00EC4F21">
        <w:rPr>
          <w:sz w:val="24"/>
          <w:szCs w:val="24"/>
        </w:rPr>
        <w:t>The Financial Services Authority, ‘The Enforcement Guide’ &lt;http://media.fsahandbook.info/Handbook/EG_20121101.pdf&gt; accessed 03 December 2012</w:t>
      </w:r>
    </w:p>
    <w:p w14:paraId="13C4917B" w14:textId="77777777" w:rsidR="002E484C" w:rsidRDefault="002E484C" w:rsidP="002E484C">
      <w:pPr>
        <w:rPr>
          <w:sz w:val="24"/>
          <w:szCs w:val="24"/>
        </w:rPr>
      </w:pPr>
      <w:r w:rsidRPr="00EC4F21">
        <w:rPr>
          <w:sz w:val="24"/>
          <w:szCs w:val="24"/>
        </w:rPr>
        <w:t>The Guardian, ‘Why do US Judges Give Such Long Prison Sentences?’ &lt;http://www.guardian.co.uk/law/shortcuts/2012/mar/07/us-judges-long-prison-sentences&gt; accessed 13 December 2012</w:t>
      </w:r>
    </w:p>
    <w:p w14:paraId="770DC7AA" w14:textId="77777777" w:rsidR="002E484C" w:rsidRPr="00EC4F21" w:rsidRDefault="002E484C" w:rsidP="002E484C">
      <w:pPr>
        <w:rPr>
          <w:sz w:val="24"/>
          <w:szCs w:val="24"/>
        </w:rPr>
      </w:pPr>
    </w:p>
    <w:p w14:paraId="66B1B67F" w14:textId="77777777" w:rsidR="002E484C" w:rsidRDefault="002E484C" w:rsidP="002E484C">
      <w:pPr>
        <w:rPr>
          <w:sz w:val="24"/>
          <w:szCs w:val="24"/>
        </w:rPr>
      </w:pPr>
      <w:r w:rsidRPr="00EC4F21">
        <w:rPr>
          <w:sz w:val="24"/>
          <w:szCs w:val="24"/>
        </w:rPr>
        <w:t>The Office for Fair Trading, ‘Drivers of Compliance and Non-Compliance with Consumer Law’ &lt;http://www.oft.gov.uk/shared_oft/reports/Evaluating-OFTs-work/OFT1225a.pdf&gt; accessed 06 December 2012</w:t>
      </w:r>
    </w:p>
    <w:p w14:paraId="4AB31C26" w14:textId="77777777" w:rsidR="002E484C" w:rsidRPr="00EC4F21" w:rsidRDefault="002E484C" w:rsidP="002E484C">
      <w:pPr>
        <w:rPr>
          <w:sz w:val="24"/>
          <w:szCs w:val="24"/>
        </w:rPr>
      </w:pPr>
    </w:p>
    <w:p w14:paraId="544BBADD" w14:textId="77777777" w:rsidR="002E484C" w:rsidRDefault="002E484C" w:rsidP="002E484C">
      <w:pPr>
        <w:rPr>
          <w:sz w:val="24"/>
          <w:szCs w:val="24"/>
        </w:rPr>
      </w:pPr>
      <w:r w:rsidRPr="00EC4F21">
        <w:rPr>
          <w:sz w:val="24"/>
          <w:szCs w:val="24"/>
        </w:rPr>
        <w:t>The Office for Fair Trading, ‘Factors Affecting Compliance with Consumer Law and the Deterrent Effect of Consumer Enforcement’ &lt;http://www.oft.gov.uk/shared_oft/reports/Evaluating-OFTs-work/OFT1228.pdf&gt; accessed 06 December 2012</w:t>
      </w:r>
    </w:p>
    <w:p w14:paraId="784CA10D" w14:textId="77777777" w:rsidR="002E484C" w:rsidRPr="00EC4F21" w:rsidRDefault="002E484C" w:rsidP="002E484C">
      <w:pPr>
        <w:rPr>
          <w:sz w:val="24"/>
          <w:szCs w:val="24"/>
        </w:rPr>
      </w:pPr>
    </w:p>
    <w:p w14:paraId="2ECB57B9" w14:textId="77777777" w:rsidR="002E484C" w:rsidRDefault="002E484C" w:rsidP="002E484C">
      <w:pPr>
        <w:rPr>
          <w:sz w:val="24"/>
          <w:szCs w:val="24"/>
        </w:rPr>
      </w:pPr>
      <w:r w:rsidRPr="00EC4F21">
        <w:rPr>
          <w:sz w:val="24"/>
          <w:szCs w:val="24"/>
        </w:rPr>
        <w:t>The Telegraph, Avalanche of New FSA Rules to Cost business £1.4bn a year &lt;http://www.telegraph.co.uk/finance/yourbusiness/8901695/Avalanche-of-new-FSA-rules-to-cost-business-1.4bn-a-year.html&gt; accessed 09 December 2012</w:t>
      </w:r>
    </w:p>
    <w:p w14:paraId="49F1328B" w14:textId="77777777" w:rsidR="002E484C" w:rsidRPr="00EC4F21" w:rsidRDefault="002E484C" w:rsidP="002E484C">
      <w:pPr>
        <w:rPr>
          <w:sz w:val="24"/>
          <w:szCs w:val="24"/>
        </w:rPr>
      </w:pPr>
    </w:p>
    <w:p w14:paraId="452CCC46" w14:textId="77777777" w:rsidR="002E484C" w:rsidRDefault="002E484C" w:rsidP="002E484C">
      <w:pPr>
        <w:rPr>
          <w:sz w:val="24"/>
          <w:szCs w:val="24"/>
        </w:rPr>
      </w:pPr>
      <w:r w:rsidRPr="00EC4F21">
        <w:rPr>
          <w:sz w:val="24"/>
          <w:szCs w:val="24"/>
        </w:rPr>
        <w:t>UBS, ‘UBS: Annual Report 2011’ &lt;http://www.static-ubs.com/global/en/about_ubs/investor_relations/annualreporting/2011/_jcr_content/par/teaserbox_6c86/teaser_acb3/linklist/link_9f50.228736590.file/bGluay9wYXRoPS9jb250ZW50L2RhbS9zdGF0aWMvZ2xvYmFsL2ludmVzdG9yX3JlbGF0aW9ucy9hbm51YWwyMDExL0FSMjAxMV9lLnBkZg==/AR2011_e.pdf&gt; accessed 12 December 2012</w:t>
      </w:r>
    </w:p>
    <w:p w14:paraId="62A561BC" w14:textId="77777777" w:rsidR="002E484C" w:rsidRPr="00EC4F21" w:rsidRDefault="002E484C" w:rsidP="002E484C">
      <w:pPr>
        <w:rPr>
          <w:sz w:val="24"/>
          <w:szCs w:val="24"/>
        </w:rPr>
      </w:pPr>
    </w:p>
    <w:p w14:paraId="7DA34DFF" w14:textId="77777777" w:rsidR="002E484C" w:rsidRPr="00EC4F21" w:rsidRDefault="002E484C" w:rsidP="002E484C">
      <w:pPr>
        <w:pStyle w:val="NoSpacing"/>
        <w:jc w:val="left"/>
        <w:rPr>
          <w:u w:val="single"/>
        </w:rPr>
      </w:pPr>
      <w:r w:rsidRPr="00EC4F21">
        <w:rPr>
          <w:u w:val="single"/>
        </w:rPr>
        <w:t>Other</w:t>
      </w:r>
    </w:p>
    <w:p w14:paraId="7CF434A2" w14:textId="77777777" w:rsidR="002E484C" w:rsidRDefault="002E484C" w:rsidP="002E484C">
      <w:pPr>
        <w:rPr>
          <w:sz w:val="24"/>
          <w:szCs w:val="24"/>
        </w:rPr>
      </w:pPr>
      <w:r w:rsidRPr="00EC4F21">
        <w:rPr>
          <w:sz w:val="24"/>
          <w:szCs w:val="24"/>
        </w:rPr>
        <w:t>Justice Holmes, in the Corporate Crime Reporter, 18 April 1988. Cited by Ayres and Braithwaite, Responsive Regulation: Transcending the Deregulation Debate (Oxford Social-Legal Studies, OUP, 1992)</w:t>
      </w:r>
    </w:p>
    <w:p w14:paraId="3F941493" w14:textId="77777777" w:rsidR="002E484C" w:rsidRPr="00EC4F21" w:rsidRDefault="002E484C" w:rsidP="002E484C">
      <w:pPr>
        <w:rPr>
          <w:sz w:val="24"/>
          <w:szCs w:val="24"/>
        </w:rPr>
      </w:pPr>
    </w:p>
    <w:p w14:paraId="2EE630A2" w14:textId="77777777" w:rsidR="002E484C" w:rsidRPr="00EC4F21" w:rsidRDefault="002E484C" w:rsidP="002E484C">
      <w:pPr>
        <w:rPr>
          <w:sz w:val="24"/>
          <w:szCs w:val="24"/>
        </w:rPr>
      </w:pPr>
      <w:r w:rsidRPr="00EC4F21">
        <w:rPr>
          <w:sz w:val="24"/>
          <w:szCs w:val="24"/>
        </w:rPr>
        <w:lastRenderedPageBreak/>
        <w:t>R.A Kagan and J. T. Scholz, ‘The Criminology of the Corporation and Regulatory Enforcement Strategies’ in Hawkins and Thomas (ed), Enforcing Regulation (Law in a Social Context) (Kluwer Nijhoff 1984) Cited in Dalvinder Singh, Banking Regulation of UK and US Financial Markets (Ashgate 2007) p.117</w:t>
      </w:r>
    </w:p>
    <w:p w14:paraId="4FE47989" w14:textId="77777777" w:rsidR="00415DD7" w:rsidRDefault="00415DD7" w:rsidP="009956B9">
      <w:pPr>
        <w:pStyle w:val="NoSpacing"/>
        <w:rPr>
          <w:szCs w:val="24"/>
        </w:rPr>
      </w:pPr>
    </w:p>
    <w:p w14:paraId="0B176FF0" w14:textId="77777777" w:rsidR="0069345E" w:rsidRPr="00B15407" w:rsidRDefault="0069345E" w:rsidP="009956B9">
      <w:pPr>
        <w:pStyle w:val="NoSpacing"/>
      </w:pPr>
    </w:p>
    <w:sectPr w:rsidR="0069345E" w:rsidRPr="00B15407" w:rsidSect="00B85A6E">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79516" w14:textId="77777777" w:rsidR="00582310" w:rsidRDefault="00582310" w:rsidP="002A1444">
      <w:r>
        <w:separator/>
      </w:r>
    </w:p>
  </w:endnote>
  <w:endnote w:type="continuationSeparator" w:id="0">
    <w:p w14:paraId="2087A760" w14:textId="77777777" w:rsidR="00582310" w:rsidRDefault="00582310" w:rsidP="002A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938E" w14:textId="77777777" w:rsidR="00582310" w:rsidRDefault="00582310" w:rsidP="002A1444">
      <w:r>
        <w:separator/>
      </w:r>
    </w:p>
  </w:footnote>
  <w:footnote w:type="continuationSeparator" w:id="0">
    <w:p w14:paraId="5FC94BF6" w14:textId="77777777" w:rsidR="00582310" w:rsidRDefault="00582310" w:rsidP="002A1444">
      <w:r>
        <w:continuationSeparator/>
      </w:r>
    </w:p>
  </w:footnote>
  <w:footnote w:id="1">
    <w:p w14:paraId="76A1FE45" w14:textId="77777777" w:rsidR="00454722" w:rsidRPr="006B03CF" w:rsidRDefault="00454722" w:rsidP="00812447">
      <w:r w:rsidRPr="006B03CF">
        <w:rPr>
          <w:rStyle w:val="CharAttribute19"/>
          <w:rFonts w:eastAsia="Batang"/>
        </w:rPr>
        <w:footnoteRef/>
      </w:r>
      <w:r w:rsidRPr="006B03CF">
        <w:rPr>
          <w:rStyle w:val="CharAttribute20"/>
          <w:rFonts w:eastAsia="Batang"/>
        </w:rPr>
        <w:t xml:space="preserve"> Niall Ferguson, ‘The Darwinian Economy’ (BBC Reith Lectures, 26 June 2012) &lt;http://www.bbc.co.uk/programmes/b01jmxqp/features/transcript&gt; accessed 01 December 2012</w:t>
      </w:r>
    </w:p>
  </w:footnote>
  <w:footnote w:id="2">
    <w:p w14:paraId="3FA482BF" w14:textId="1A8D2789" w:rsidR="00454722" w:rsidRPr="006B03CF" w:rsidRDefault="00454722" w:rsidP="00812447">
      <w:r w:rsidRPr="006B03CF">
        <w:rPr>
          <w:rStyle w:val="CharAttribute19"/>
          <w:rFonts w:eastAsia="Batang"/>
        </w:rPr>
        <w:footnoteRef/>
      </w:r>
      <w:r w:rsidRPr="006B03CF">
        <w:rPr>
          <w:rStyle w:val="CharAttribute20"/>
          <w:rFonts w:eastAsia="Batang"/>
        </w:rPr>
        <w:t xml:space="preserve"> </w:t>
      </w:r>
      <w:r>
        <w:rPr>
          <w:rStyle w:val="CharAttribute20"/>
          <w:rFonts w:eastAsia="Batang"/>
          <w:i/>
        </w:rPr>
        <w:t>Ibid</w:t>
      </w:r>
    </w:p>
  </w:footnote>
  <w:footnote w:id="3">
    <w:p w14:paraId="25389F99" w14:textId="77777777" w:rsidR="00454722" w:rsidRPr="006B03CF" w:rsidRDefault="00454722" w:rsidP="00812447">
      <w:r w:rsidRPr="006B03CF">
        <w:rPr>
          <w:rStyle w:val="CharAttribute19"/>
          <w:rFonts w:eastAsia="Batang"/>
        </w:rPr>
        <w:footnoteRef/>
      </w:r>
      <w:r w:rsidRPr="006B03CF">
        <w:rPr>
          <w:rStyle w:val="CharAttribute20"/>
          <w:rFonts w:eastAsia="Batang"/>
        </w:rPr>
        <w:t xml:space="preserve"> Albert Reiss, ‘The Policing of Organizational Life’ (International Seminar on Management and the Control of Police Organizations, Nijenrode, Netherlands, 1980)</w:t>
      </w:r>
    </w:p>
  </w:footnote>
  <w:footnote w:id="4">
    <w:p w14:paraId="084F6BA1" w14:textId="77777777" w:rsidR="00454722" w:rsidRPr="006B03CF" w:rsidRDefault="00454722" w:rsidP="00812447">
      <w:r w:rsidRPr="006B03CF">
        <w:rPr>
          <w:rStyle w:val="CharAttribute19"/>
          <w:rFonts w:eastAsia="Batang"/>
        </w:rPr>
        <w:footnoteRef/>
      </w:r>
      <w:r w:rsidRPr="006B03CF">
        <w:rPr>
          <w:rStyle w:val="CharAttribute20"/>
          <w:rFonts w:eastAsia="Batang"/>
        </w:rPr>
        <w:t xml:space="preserve"> John T. Scholz, ‘Cooperation, Deterrence, and the Ecology of Regulatory Enforcement’ (1984) 18 Law and Society Review 179, at p179</w:t>
      </w:r>
    </w:p>
  </w:footnote>
  <w:footnote w:id="5">
    <w:p w14:paraId="69E0B80F" w14:textId="0BBD39BF" w:rsidR="00454722" w:rsidRPr="006B03CF" w:rsidRDefault="00454722" w:rsidP="00812447">
      <w:r w:rsidRPr="006B03CF">
        <w:rPr>
          <w:rStyle w:val="CharAttribute19"/>
          <w:rFonts w:eastAsia="Batang"/>
        </w:rPr>
        <w:footnoteRef/>
      </w:r>
      <w:r w:rsidRPr="006B03CF">
        <w:rPr>
          <w:rStyle w:val="CharAttribute20"/>
          <w:rFonts w:eastAsia="Batang"/>
        </w:rPr>
        <w:t xml:space="preserve"> </w:t>
      </w:r>
      <w:r w:rsidRPr="00454722">
        <w:rPr>
          <w:rStyle w:val="CharAttribute20"/>
          <w:rFonts w:eastAsia="Batang"/>
          <w:i/>
        </w:rPr>
        <w:t>Ibid</w:t>
      </w:r>
      <w:r w:rsidRPr="006B03CF">
        <w:rPr>
          <w:rStyle w:val="CharAttribute20"/>
          <w:rFonts w:eastAsia="Batang"/>
        </w:rPr>
        <w:t xml:space="preserve"> at p180</w:t>
      </w:r>
    </w:p>
  </w:footnote>
  <w:footnote w:id="6">
    <w:p w14:paraId="6D01F69B" w14:textId="77777777" w:rsidR="00454722" w:rsidRPr="006B03CF" w:rsidRDefault="00454722" w:rsidP="00812447">
      <w:r w:rsidRPr="006B03CF">
        <w:rPr>
          <w:rStyle w:val="CharAttribute19"/>
          <w:rFonts w:eastAsia="Batang"/>
        </w:rPr>
        <w:footnoteRef/>
      </w:r>
      <w:r w:rsidRPr="006B03CF">
        <w:rPr>
          <w:rStyle w:val="CharAttribute20"/>
          <w:rFonts w:eastAsia="Batang"/>
        </w:rPr>
        <w:t xml:space="preserve"> </w:t>
      </w:r>
      <w:r w:rsidRPr="006B03CF">
        <w:rPr>
          <w:rStyle w:val="CharAttribute21"/>
          <w:rFonts w:eastAsia="Batang"/>
        </w:rPr>
        <w:t xml:space="preserve">Justice Holmes, in the Corporate Crime Reporter, 18 April 1988. Cited by Ayres and Braithwaite, </w:t>
      </w:r>
      <w:r w:rsidRPr="006B03CF">
        <w:rPr>
          <w:rStyle w:val="CharAttribute22"/>
          <w:rFonts w:eastAsia="Batang"/>
        </w:rPr>
        <w:t xml:space="preserve">Responsive Regulation: Transcending the Deregulation Debate </w:t>
      </w:r>
      <w:r w:rsidRPr="006B03CF">
        <w:rPr>
          <w:rStyle w:val="CharAttribute21"/>
          <w:rFonts w:eastAsia="Batang"/>
        </w:rPr>
        <w:t>(Oxford Social-Legal Studies, OUP, 1992) at p.20</w:t>
      </w:r>
    </w:p>
  </w:footnote>
  <w:footnote w:id="7">
    <w:p w14:paraId="7F5E8C5E" w14:textId="77777777" w:rsidR="00454722" w:rsidRPr="006B03CF" w:rsidRDefault="00454722" w:rsidP="00812447">
      <w:r w:rsidRPr="006B03CF">
        <w:rPr>
          <w:rStyle w:val="CharAttribute19"/>
          <w:rFonts w:eastAsia="Batang"/>
        </w:rPr>
        <w:footnoteRef/>
      </w:r>
      <w:r w:rsidRPr="006B03CF">
        <w:rPr>
          <w:rStyle w:val="CharAttribute21"/>
          <w:rFonts w:eastAsia="Batang"/>
        </w:rPr>
        <w:t xml:space="preserve"> </w:t>
      </w:r>
      <w:r w:rsidRPr="006B03CF">
        <w:rPr>
          <w:rStyle w:val="CharAttribute23"/>
          <w:rFonts w:eastAsia="Batang"/>
        </w:rPr>
        <w:t xml:space="preserve">R.A Kagan and J. T. Scholz, ‘The Criminology of the Corporation and Regulatory Enforcement Strategies’ in Hawkins and Thomas (ed), </w:t>
      </w:r>
      <w:r w:rsidRPr="006B03CF">
        <w:rPr>
          <w:rStyle w:val="CharAttribute22"/>
          <w:rFonts w:eastAsia="Batang"/>
        </w:rPr>
        <w:t>Enforcing Regulation (Law in a Social Context)</w:t>
      </w:r>
      <w:r w:rsidRPr="006B03CF">
        <w:rPr>
          <w:rStyle w:val="CharAttribute23"/>
          <w:rFonts w:eastAsia="Batang"/>
        </w:rPr>
        <w:t xml:space="preserve"> (Kluwer Nijhoff 1984) in Dalvinder Singh, </w:t>
      </w:r>
      <w:r w:rsidRPr="006B03CF">
        <w:rPr>
          <w:rStyle w:val="CharAttribute22"/>
          <w:rFonts w:eastAsia="Batang"/>
        </w:rPr>
        <w:t xml:space="preserve">Banking Regulation of UK and US Financial Markets </w:t>
      </w:r>
      <w:r w:rsidRPr="006B03CF">
        <w:rPr>
          <w:rStyle w:val="CharAttribute23"/>
          <w:rFonts w:eastAsia="Batang"/>
        </w:rPr>
        <w:t>(Ashgate 2007) p.117</w:t>
      </w:r>
    </w:p>
  </w:footnote>
  <w:footnote w:id="8">
    <w:p w14:paraId="693C0049" w14:textId="77777777" w:rsidR="00454722" w:rsidRPr="006B03CF" w:rsidRDefault="00454722" w:rsidP="00812447">
      <w:r w:rsidRPr="006B03CF">
        <w:rPr>
          <w:rStyle w:val="CharAttribute19"/>
          <w:rFonts w:eastAsia="Batang"/>
        </w:rPr>
        <w:footnoteRef/>
      </w:r>
      <w:r w:rsidRPr="006B03CF">
        <w:rPr>
          <w:rStyle w:val="CharAttribute23"/>
          <w:rFonts w:eastAsia="Batang"/>
        </w:rPr>
        <w:t xml:space="preserve"> Niall Ferguson, ‘The Darwinian Economy’ (BBC Reith Lectures, 26 June 2012) &lt;http://www.bbc.co.uk/programmes/b01jmxqp/features/transcript&gt; accessed 01 December 2012</w:t>
      </w:r>
    </w:p>
  </w:footnote>
  <w:footnote w:id="9">
    <w:p w14:paraId="3DE3E063" w14:textId="7D616601" w:rsidR="00454722" w:rsidRPr="006B03CF" w:rsidRDefault="00454722" w:rsidP="00812447">
      <w:r w:rsidRPr="006B03CF">
        <w:rPr>
          <w:rStyle w:val="CharAttribute19"/>
          <w:rFonts w:eastAsia="Batang"/>
        </w:rPr>
        <w:footnoteRef/>
      </w:r>
      <w:r w:rsidRPr="006B03CF">
        <w:rPr>
          <w:rStyle w:val="CharAttribute23"/>
          <w:rFonts w:eastAsia="Batang"/>
        </w:rPr>
        <w:t xml:space="preserve"> </w:t>
      </w:r>
      <w:r w:rsidRPr="00454722">
        <w:rPr>
          <w:rStyle w:val="CharAttribute20"/>
          <w:rFonts w:eastAsia="Batang"/>
          <w:i/>
        </w:rPr>
        <w:t>Ibid</w:t>
      </w:r>
    </w:p>
  </w:footnote>
  <w:footnote w:id="10">
    <w:p w14:paraId="6A241712" w14:textId="56125352" w:rsidR="00454722" w:rsidRPr="006B03CF" w:rsidRDefault="00454722" w:rsidP="00812447">
      <w:r w:rsidRPr="006B03CF">
        <w:rPr>
          <w:rStyle w:val="CharAttribute19"/>
          <w:rFonts w:eastAsia="Batang"/>
        </w:rPr>
        <w:footnoteRef/>
      </w:r>
      <w:r w:rsidRPr="006B03CF">
        <w:rPr>
          <w:rStyle w:val="CharAttribute23"/>
          <w:rFonts w:eastAsia="Batang"/>
        </w:rPr>
        <w:t xml:space="preserve"> </w:t>
      </w:r>
      <w:r w:rsidRPr="00454722">
        <w:rPr>
          <w:rStyle w:val="CharAttribute20"/>
          <w:rFonts w:eastAsia="Batang"/>
          <w:i/>
        </w:rPr>
        <w:t>Ibid</w:t>
      </w:r>
    </w:p>
  </w:footnote>
  <w:footnote w:id="11">
    <w:p w14:paraId="0595F6F8" w14:textId="77777777" w:rsidR="00454722" w:rsidRPr="006B03CF" w:rsidRDefault="00454722" w:rsidP="00812447">
      <w:r w:rsidRPr="006B03CF">
        <w:rPr>
          <w:rStyle w:val="CharAttribute19"/>
          <w:rFonts w:eastAsia="Batang"/>
        </w:rPr>
        <w:footnoteRef/>
      </w:r>
      <w:r w:rsidRPr="006B03CF">
        <w:rPr>
          <w:rStyle w:val="CharAttribute23"/>
          <w:rFonts w:eastAsia="Batang"/>
        </w:rPr>
        <w:t xml:space="preserve"> Melvin R. Lansky, ‘Violence, Shame and the Family’ (1984) 5 International Journal of Family Psychiatry 21</w:t>
      </w:r>
    </w:p>
  </w:footnote>
  <w:footnote w:id="12">
    <w:p w14:paraId="65302B02" w14:textId="77777777" w:rsidR="00454722" w:rsidRPr="006B03CF" w:rsidRDefault="00454722" w:rsidP="00812447">
      <w:r w:rsidRPr="006B03CF">
        <w:rPr>
          <w:rStyle w:val="CharAttribute19"/>
          <w:rFonts w:eastAsia="Batang"/>
        </w:rPr>
        <w:footnoteRef/>
      </w:r>
      <w:r w:rsidRPr="006B03CF">
        <w:rPr>
          <w:rStyle w:val="CharAttribute23"/>
          <w:rFonts w:eastAsia="Batang"/>
        </w:rPr>
        <w:t xml:space="preserve"> Ayres and Braithwaite, </w:t>
      </w:r>
      <w:r w:rsidRPr="006B03CF">
        <w:rPr>
          <w:rStyle w:val="CharAttribute22"/>
          <w:rFonts w:eastAsia="Batang"/>
        </w:rPr>
        <w:t xml:space="preserve">Responsive Regulation: Transcending the Deregulation Debate </w:t>
      </w:r>
      <w:r w:rsidRPr="006B03CF">
        <w:rPr>
          <w:rStyle w:val="CharAttribute23"/>
          <w:rFonts w:eastAsia="Batang"/>
        </w:rPr>
        <w:t>(Oxford Social-Legal Studies, OUP, 1992) at p.20</w:t>
      </w:r>
    </w:p>
  </w:footnote>
  <w:footnote w:id="13">
    <w:p w14:paraId="03EEDE4C" w14:textId="39C655C5" w:rsidR="00454722" w:rsidRPr="006B03CF" w:rsidRDefault="00454722" w:rsidP="00812447">
      <w:r w:rsidRPr="006B03CF">
        <w:rPr>
          <w:rStyle w:val="CharAttribute19"/>
          <w:rFonts w:eastAsia="Batang"/>
        </w:rPr>
        <w:footnoteRef/>
      </w:r>
      <w:r w:rsidRPr="006B03CF">
        <w:rPr>
          <w:rStyle w:val="CharAttribute23"/>
          <w:rFonts w:eastAsia="Batang"/>
        </w:rPr>
        <w:t xml:space="preserve"> </w:t>
      </w:r>
      <w:r w:rsidRPr="00454722">
        <w:rPr>
          <w:rStyle w:val="CharAttribute20"/>
          <w:rFonts w:eastAsia="Batang"/>
          <w:i/>
        </w:rPr>
        <w:t>Ibid</w:t>
      </w:r>
    </w:p>
  </w:footnote>
  <w:footnote w:id="14">
    <w:p w14:paraId="7DD2B2AB" w14:textId="6EB6E1C3" w:rsidR="00454722" w:rsidRPr="006B03CF" w:rsidRDefault="00454722" w:rsidP="00812447">
      <w:r w:rsidRPr="006B03CF">
        <w:rPr>
          <w:rStyle w:val="CharAttribute19"/>
          <w:rFonts w:eastAsia="Batang"/>
        </w:rPr>
        <w:footnoteRef/>
      </w:r>
      <w:r w:rsidRPr="006B03CF">
        <w:rPr>
          <w:rStyle w:val="CharAttribute23"/>
          <w:rFonts w:eastAsia="Batang"/>
        </w:rPr>
        <w:t xml:space="preserve"> </w:t>
      </w:r>
      <w:r w:rsidRPr="006B03CF">
        <w:rPr>
          <w:rStyle w:val="CharAttribute24"/>
          <w:rFonts w:eastAsia="Batang"/>
        </w:rPr>
        <w:t xml:space="preserve">Dalvinder Singh, </w:t>
      </w:r>
      <w:r w:rsidRPr="006B03CF">
        <w:rPr>
          <w:rStyle w:val="CharAttribute22"/>
          <w:rFonts w:eastAsia="Batang"/>
        </w:rPr>
        <w:t xml:space="preserve">Banking Regulation of UK and US Financial Markets </w:t>
      </w:r>
      <w:r w:rsidRPr="006B03CF">
        <w:rPr>
          <w:rStyle w:val="CharAttribute24"/>
          <w:rFonts w:eastAsia="Batang"/>
        </w:rPr>
        <w:t>(</w:t>
      </w:r>
      <w:proofErr w:type="spellStart"/>
      <w:r w:rsidRPr="006B03CF">
        <w:rPr>
          <w:rStyle w:val="CharAttribute24"/>
          <w:rFonts w:eastAsia="Batang"/>
        </w:rPr>
        <w:t>Ashgate</w:t>
      </w:r>
      <w:proofErr w:type="spellEnd"/>
      <w:r w:rsidRPr="006B03CF">
        <w:rPr>
          <w:rStyle w:val="CharAttribute24"/>
          <w:rFonts w:eastAsia="Batang"/>
        </w:rPr>
        <w:t xml:space="preserve"> 2007)</w:t>
      </w:r>
      <w:r>
        <w:rPr>
          <w:rStyle w:val="CharAttribute24"/>
          <w:rFonts w:eastAsia="Batang"/>
        </w:rPr>
        <w:t xml:space="preserve"> at</w:t>
      </w:r>
      <w:r w:rsidRPr="006B03CF">
        <w:rPr>
          <w:rStyle w:val="CharAttribute24"/>
          <w:rFonts w:eastAsia="Batang"/>
        </w:rPr>
        <w:t xml:space="preserve"> p.115</w:t>
      </w:r>
    </w:p>
  </w:footnote>
  <w:footnote w:id="15">
    <w:p w14:paraId="171D38A5" w14:textId="5D60B6DA" w:rsidR="00454722" w:rsidRPr="006B03CF" w:rsidRDefault="00454722" w:rsidP="00812447">
      <w:r w:rsidRPr="006B03CF">
        <w:rPr>
          <w:rStyle w:val="CharAttribute19"/>
          <w:rFonts w:eastAsia="Batang"/>
        </w:rPr>
        <w:footnoteRef/>
      </w:r>
      <w:r w:rsidRPr="006B03CF">
        <w:rPr>
          <w:rStyle w:val="CharAttribute24"/>
          <w:rFonts w:eastAsia="Batang"/>
        </w:rPr>
        <w:t xml:space="preserve"> </w:t>
      </w:r>
      <w:r w:rsidRPr="00454722">
        <w:rPr>
          <w:rStyle w:val="CharAttribute20"/>
          <w:rFonts w:eastAsia="Batang"/>
          <w:i/>
        </w:rPr>
        <w:t>Ibid</w:t>
      </w:r>
      <w:r w:rsidRPr="006B03CF">
        <w:rPr>
          <w:rStyle w:val="CharAttribute20"/>
          <w:rFonts w:eastAsia="Batang"/>
        </w:rPr>
        <w:t xml:space="preserve"> </w:t>
      </w:r>
      <w:r>
        <w:rPr>
          <w:rStyle w:val="CharAttribute20"/>
          <w:rFonts w:eastAsia="Batang"/>
        </w:rPr>
        <w:t xml:space="preserve"> at </w:t>
      </w:r>
      <w:r w:rsidRPr="006B03CF">
        <w:rPr>
          <w:rStyle w:val="CharAttribute25"/>
          <w:rFonts w:eastAsia="Batang"/>
        </w:rPr>
        <w:t>p.114</w:t>
      </w:r>
    </w:p>
  </w:footnote>
  <w:footnote w:id="16">
    <w:p w14:paraId="5712C26B" w14:textId="27647E2B" w:rsidR="00454722" w:rsidRPr="006B03CF" w:rsidRDefault="00454722" w:rsidP="00812447">
      <w:r w:rsidRPr="006B03CF">
        <w:rPr>
          <w:rStyle w:val="CharAttribute19"/>
          <w:rFonts w:eastAsia="Batang"/>
        </w:rPr>
        <w:footnoteRef/>
      </w:r>
      <w:r w:rsidRPr="006B03CF">
        <w:rPr>
          <w:rStyle w:val="CharAttribute25"/>
          <w:rFonts w:eastAsia="Batang"/>
        </w:rPr>
        <w:t xml:space="preserve"> </w:t>
      </w:r>
      <w:r w:rsidRPr="00454722">
        <w:rPr>
          <w:rStyle w:val="CharAttribute20"/>
          <w:rFonts w:eastAsia="Batang"/>
          <w:i/>
        </w:rPr>
        <w:t>Ibid</w:t>
      </w:r>
      <w:r>
        <w:rPr>
          <w:rStyle w:val="CharAttribute20"/>
          <w:rFonts w:eastAsia="Batang"/>
          <w:i/>
        </w:rPr>
        <w:t xml:space="preserve"> </w:t>
      </w:r>
      <w:r w:rsidRPr="00454722">
        <w:rPr>
          <w:rStyle w:val="CharAttribute20"/>
          <w:rFonts w:eastAsia="Batang"/>
        </w:rPr>
        <w:t>at</w:t>
      </w:r>
      <w:r w:rsidRPr="006B03CF">
        <w:rPr>
          <w:rStyle w:val="CharAttribute26"/>
          <w:rFonts w:eastAsia="Batang"/>
        </w:rPr>
        <w:t xml:space="preserve"> p.115</w:t>
      </w:r>
    </w:p>
  </w:footnote>
  <w:footnote w:id="17">
    <w:p w14:paraId="05B970B8" w14:textId="77777777" w:rsidR="00454722" w:rsidRPr="006B03CF" w:rsidRDefault="00454722" w:rsidP="00812447">
      <w:r w:rsidRPr="006B03CF">
        <w:rPr>
          <w:rStyle w:val="CharAttribute19"/>
          <w:rFonts w:eastAsia="Batang"/>
        </w:rPr>
        <w:footnoteRef/>
      </w:r>
      <w:r w:rsidRPr="006B03CF">
        <w:rPr>
          <w:rStyle w:val="CharAttribute26"/>
          <w:rFonts w:eastAsia="Batang"/>
        </w:rPr>
        <w:t xml:space="preserve"> Justice Holmes, in the Corporate Crime Reporter, 18 April 1988. Cited by Ayres and Braithwaite, </w:t>
      </w:r>
      <w:r w:rsidRPr="006B03CF">
        <w:rPr>
          <w:rStyle w:val="CharAttribute22"/>
          <w:rFonts w:eastAsia="Batang"/>
        </w:rPr>
        <w:t xml:space="preserve">Responsive Regulation: Transcending the Deregulation Debate </w:t>
      </w:r>
      <w:r w:rsidRPr="006B03CF">
        <w:rPr>
          <w:rStyle w:val="CharAttribute26"/>
          <w:rFonts w:eastAsia="Batang"/>
        </w:rPr>
        <w:t>(Oxford Social-Legal Studies, OUP, 1992) p.20</w:t>
      </w:r>
    </w:p>
  </w:footnote>
  <w:footnote w:id="18">
    <w:p w14:paraId="36260143" w14:textId="77777777" w:rsidR="00454722" w:rsidRPr="006B03CF" w:rsidRDefault="00454722" w:rsidP="00812447">
      <w:r w:rsidRPr="006B03CF">
        <w:rPr>
          <w:rStyle w:val="CharAttribute19"/>
          <w:rFonts w:eastAsia="Batang"/>
        </w:rPr>
        <w:footnoteRef/>
      </w:r>
      <w:r w:rsidRPr="006B03CF">
        <w:rPr>
          <w:rStyle w:val="CharAttribute26"/>
          <w:rFonts w:eastAsia="Batang"/>
        </w:rPr>
        <w:t xml:space="preserve"> R.A Kagan and J. T. Scholz, ‘The Criminology of the Corporation and Regulatory Enforcement Strategies’ in Hawkins and Thomas (ed), </w:t>
      </w:r>
      <w:r w:rsidRPr="006B03CF">
        <w:rPr>
          <w:rStyle w:val="CharAttribute22"/>
          <w:rFonts w:eastAsia="Batang"/>
        </w:rPr>
        <w:t>Enforcing Regulation (Law in a Social Context)</w:t>
      </w:r>
      <w:r w:rsidRPr="006B03CF">
        <w:rPr>
          <w:rStyle w:val="CharAttribute26"/>
          <w:rFonts w:eastAsia="Batang"/>
        </w:rPr>
        <w:t xml:space="preserve"> (Kluwer Nijhoff 1984) in Dalvinder Singh, </w:t>
      </w:r>
      <w:r w:rsidRPr="006B03CF">
        <w:rPr>
          <w:rStyle w:val="CharAttribute22"/>
          <w:rFonts w:eastAsia="Batang"/>
        </w:rPr>
        <w:t xml:space="preserve">Banking Regulation of UK and US Financial Markets </w:t>
      </w:r>
      <w:r w:rsidRPr="006B03CF">
        <w:rPr>
          <w:rStyle w:val="CharAttribute26"/>
          <w:rFonts w:eastAsia="Batang"/>
        </w:rPr>
        <w:t>(Ashgate 2007)</w:t>
      </w:r>
    </w:p>
  </w:footnote>
  <w:footnote w:id="19">
    <w:p w14:paraId="6B0B2694" w14:textId="77777777" w:rsidR="00454722" w:rsidRPr="006B03CF" w:rsidRDefault="00454722" w:rsidP="00812447">
      <w:r w:rsidRPr="006B03CF">
        <w:rPr>
          <w:rStyle w:val="CharAttribute19"/>
          <w:rFonts w:eastAsia="Batang"/>
        </w:rPr>
        <w:footnoteRef/>
      </w:r>
      <w:r w:rsidRPr="006B03CF">
        <w:rPr>
          <w:rStyle w:val="CharAttribute26"/>
          <w:rFonts w:eastAsia="Batang"/>
        </w:rPr>
        <w:t xml:space="preserve"> </w:t>
      </w:r>
      <w:r w:rsidRPr="006B03CF">
        <w:rPr>
          <w:rStyle w:val="CharAttribute27"/>
          <w:rFonts w:eastAsia="Batang"/>
        </w:rPr>
        <w:t xml:space="preserve">Dalvinder Singh, </w:t>
      </w:r>
      <w:r w:rsidRPr="006B03CF">
        <w:rPr>
          <w:rStyle w:val="CharAttribute22"/>
          <w:rFonts w:eastAsia="Batang"/>
        </w:rPr>
        <w:t xml:space="preserve">Banking Regulation of UK and US Financial Markets </w:t>
      </w:r>
      <w:r w:rsidRPr="006B03CF">
        <w:rPr>
          <w:rStyle w:val="CharAttribute27"/>
          <w:rFonts w:eastAsia="Batang"/>
        </w:rPr>
        <w:t>(Ashgate 2007) p.117</w:t>
      </w:r>
    </w:p>
  </w:footnote>
  <w:footnote w:id="20">
    <w:p w14:paraId="25D3E14C" w14:textId="7D7AE52D" w:rsidR="00454722" w:rsidRPr="006B03CF" w:rsidRDefault="00454722" w:rsidP="00812447">
      <w:r w:rsidRPr="006B03CF">
        <w:rPr>
          <w:rStyle w:val="CharAttribute19"/>
          <w:rFonts w:eastAsia="Batang"/>
        </w:rPr>
        <w:footnoteRef/>
      </w:r>
      <w:r w:rsidRPr="006B03CF">
        <w:rPr>
          <w:rStyle w:val="CharAttribute27"/>
          <w:rFonts w:eastAsia="Batang"/>
        </w:rPr>
        <w:t xml:space="preserve"> </w:t>
      </w:r>
      <w:r w:rsidRPr="00454722">
        <w:rPr>
          <w:rStyle w:val="CharAttribute20"/>
          <w:rFonts w:eastAsia="Batang"/>
          <w:i/>
        </w:rPr>
        <w:t>Ibid</w:t>
      </w:r>
      <w:r w:rsidRPr="006B03CF">
        <w:rPr>
          <w:rStyle w:val="CharAttribute20"/>
          <w:rFonts w:eastAsia="Batang"/>
        </w:rPr>
        <w:t xml:space="preserve"> </w:t>
      </w:r>
      <w:r>
        <w:rPr>
          <w:rStyle w:val="CharAttribute20"/>
          <w:rFonts w:eastAsia="Batang"/>
        </w:rPr>
        <w:t xml:space="preserve"> at </w:t>
      </w:r>
      <w:r w:rsidRPr="006B03CF">
        <w:rPr>
          <w:rStyle w:val="CharAttribute28"/>
          <w:rFonts w:eastAsia="Batang"/>
        </w:rPr>
        <w:t>p.116</w:t>
      </w:r>
    </w:p>
  </w:footnote>
  <w:footnote w:id="21">
    <w:p w14:paraId="4C76D8E1" w14:textId="77777777" w:rsidR="00454722" w:rsidRPr="006B03CF" w:rsidRDefault="00454722" w:rsidP="00812447">
      <w:r w:rsidRPr="006B03CF">
        <w:rPr>
          <w:rStyle w:val="CharAttribute19"/>
          <w:rFonts w:eastAsia="Batang"/>
        </w:rPr>
        <w:footnoteRef/>
      </w:r>
      <w:r w:rsidRPr="006B03CF">
        <w:rPr>
          <w:rStyle w:val="CharAttribute28"/>
          <w:rFonts w:eastAsia="Batang"/>
        </w:rPr>
        <w:t xml:space="preserve"> Ayres and Braithwaite, </w:t>
      </w:r>
      <w:r w:rsidRPr="006B03CF">
        <w:rPr>
          <w:rStyle w:val="CharAttribute22"/>
          <w:rFonts w:eastAsia="Batang"/>
        </w:rPr>
        <w:t xml:space="preserve">Responsive Regulation: Transcending the Deregulation Debate </w:t>
      </w:r>
      <w:r w:rsidRPr="006B03CF">
        <w:rPr>
          <w:rStyle w:val="CharAttribute28"/>
          <w:rFonts w:eastAsia="Batang"/>
        </w:rPr>
        <w:t>(Oxford Social-Legal Studies, OUP, 1992) p.19</w:t>
      </w:r>
    </w:p>
  </w:footnote>
  <w:footnote w:id="22">
    <w:p w14:paraId="066B1964" w14:textId="078CB5E3" w:rsidR="00454722" w:rsidRPr="006B03CF" w:rsidRDefault="00454722" w:rsidP="00812447">
      <w:r w:rsidRPr="006B03CF">
        <w:rPr>
          <w:rStyle w:val="CharAttribute19"/>
          <w:rFonts w:eastAsia="Batang"/>
        </w:rPr>
        <w:footnoteRef/>
      </w:r>
      <w:r w:rsidRPr="006B03CF">
        <w:rPr>
          <w:rStyle w:val="CharAttribute28"/>
          <w:rFonts w:eastAsia="Batang"/>
        </w:rPr>
        <w:t xml:space="preserve"> </w:t>
      </w:r>
      <w:r w:rsidRPr="00454722">
        <w:rPr>
          <w:rStyle w:val="CharAttribute20"/>
          <w:rFonts w:eastAsia="Batang"/>
          <w:i/>
        </w:rPr>
        <w:t>Ibid</w:t>
      </w:r>
      <w:r w:rsidRPr="006B03CF">
        <w:rPr>
          <w:rStyle w:val="CharAttribute20"/>
          <w:rFonts w:eastAsia="Batang"/>
        </w:rPr>
        <w:t xml:space="preserve"> </w:t>
      </w:r>
      <w:r>
        <w:rPr>
          <w:rStyle w:val="CharAttribute20"/>
          <w:rFonts w:eastAsia="Batang"/>
        </w:rPr>
        <w:t xml:space="preserve"> at </w:t>
      </w:r>
      <w:r w:rsidRPr="006B03CF">
        <w:rPr>
          <w:rStyle w:val="CharAttribute29"/>
          <w:rFonts w:eastAsia="Batang"/>
        </w:rPr>
        <w:t>p.20</w:t>
      </w:r>
    </w:p>
  </w:footnote>
  <w:footnote w:id="23">
    <w:p w14:paraId="55B9C926" w14:textId="77777777" w:rsidR="00454722" w:rsidRPr="006B03CF" w:rsidRDefault="00454722" w:rsidP="00812447">
      <w:r w:rsidRPr="006B03CF">
        <w:rPr>
          <w:rStyle w:val="CharAttribute19"/>
          <w:rFonts w:eastAsia="Batang"/>
        </w:rPr>
        <w:footnoteRef/>
      </w:r>
      <w:r w:rsidRPr="006B03CF">
        <w:rPr>
          <w:rStyle w:val="CharAttribute29"/>
          <w:rFonts w:eastAsia="Batang"/>
        </w:rPr>
        <w:t xml:space="preserve"> </w:t>
      </w:r>
      <w:r w:rsidRPr="006B03CF">
        <w:rPr>
          <w:rStyle w:val="CharAttribute30"/>
          <w:rFonts w:eastAsia="Batang"/>
        </w:rPr>
        <w:t xml:space="preserve">R.A Kagan and J. T. Scholz, ‘The Criminology of the Corporation and Regulatory Enforcement Strategies’ in Hawkins and Thomas (ed), </w:t>
      </w:r>
      <w:r w:rsidRPr="006B03CF">
        <w:rPr>
          <w:rStyle w:val="CharAttribute22"/>
          <w:rFonts w:eastAsia="Batang"/>
        </w:rPr>
        <w:t>Enforcing Regulation (Law in a Social Context)</w:t>
      </w:r>
      <w:r w:rsidRPr="006B03CF">
        <w:rPr>
          <w:rStyle w:val="CharAttribute30"/>
          <w:rFonts w:eastAsia="Batang"/>
        </w:rPr>
        <w:t xml:space="preserve"> (Kluwer Nijhoff 1984) in Dalvinder Singh, </w:t>
      </w:r>
      <w:r w:rsidRPr="006B03CF">
        <w:rPr>
          <w:rStyle w:val="CharAttribute22"/>
          <w:rFonts w:eastAsia="Batang"/>
        </w:rPr>
        <w:t xml:space="preserve">Banking Regulation of UK and US Financial Markets </w:t>
      </w:r>
      <w:r w:rsidRPr="006B03CF">
        <w:rPr>
          <w:rStyle w:val="CharAttribute30"/>
          <w:rFonts w:eastAsia="Batang"/>
        </w:rPr>
        <w:t>(Ashgate 2007)</w:t>
      </w:r>
    </w:p>
  </w:footnote>
  <w:footnote w:id="24">
    <w:p w14:paraId="53669D02" w14:textId="77777777" w:rsidR="00454722" w:rsidRPr="006B03CF" w:rsidRDefault="00454722" w:rsidP="00812447">
      <w:r w:rsidRPr="006B03CF">
        <w:rPr>
          <w:rStyle w:val="CharAttribute19"/>
          <w:rFonts w:eastAsia="Batang"/>
        </w:rPr>
        <w:footnoteRef/>
      </w:r>
      <w:r w:rsidRPr="006B03CF">
        <w:rPr>
          <w:rStyle w:val="CharAttribute30"/>
          <w:rFonts w:eastAsia="Batang"/>
        </w:rPr>
        <w:t xml:space="preserve"> </w:t>
      </w:r>
      <w:r w:rsidRPr="006B03CF">
        <w:rPr>
          <w:rStyle w:val="CharAttribute31"/>
          <w:rFonts w:eastAsia="Batang"/>
        </w:rPr>
        <w:t xml:space="preserve">Dalvinder Singh, </w:t>
      </w:r>
      <w:r w:rsidRPr="006B03CF">
        <w:rPr>
          <w:rStyle w:val="CharAttribute22"/>
          <w:rFonts w:eastAsia="Batang"/>
        </w:rPr>
        <w:t xml:space="preserve">Banking Regulation of UK and US Financial Markets </w:t>
      </w:r>
      <w:r w:rsidRPr="006B03CF">
        <w:rPr>
          <w:rStyle w:val="CharAttribute31"/>
          <w:rFonts w:eastAsia="Batang"/>
        </w:rPr>
        <w:t>(Ashgate 2007) p.116-118</w:t>
      </w:r>
    </w:p>
  </w:footnote>
  <w:footnote w:id="25">
    <w:p w14:paraId="22A22647" w14:textId="77777777" w:rsidR="00454722" w:rsidRPr="006B03CF" w:rsidRDefault="00454722" w:rsidP="00812447">
      <w:r w:rsidRPr="006B03CF">
        <w:rPr>
          <w:rStyle w:val="CharAttribute19"/>
          <w:rFonts w:eastAsia="Batang"/>
        </w:rPr>
        <w:footnoteRef/>
      </w:r>
      <w:r w:rsidRPr="006B03CF">
        <w:rPr>
          <w:rStyle w:val="CharAttribute31"/>
          <w:rFonts w:eastAsia="Batang"/>
        </w:rPr>
        <w:t xml:space="preserve"> </w:t>
      </w:r>
      <w:r w:rsidRPr="006B03CF">
        <w:rPr>
          <w:rStyle w:val="CharAttribute32"/>
          <w:rFonts w:eastAsia="Batang"/>
        </w:rPr>
        <w:t xml:space="preserve">Ayres and Braithwaite, </w:t>
      </w:r>
      <w:r w:rsidRPr="006B03CF">
        <w:rPr>
          <w:rStyle w:val="CharAttribute22"/>
          <w:rFonts w:eastAsia="Batang"/>
        </w:rPr>
        <w:t xml:space="preserve">Responsive Regulation: Transcending the Deregulation Debate </w:t>
      </w:r>
      <w:r w:rsidRPr="006B03CF">
        <w:rPr>
          <w:rStyle w:val="CharAttribute32"/>
          <w:rFonts w:eastAsia="Batang"/>
        </w:rPr>
        <w:t>(Oxford Social-Legal Studies, OUP, 1992) p.26</w:t>
      </w:r>
    </w:p>
  </w:footnote>
  <w:footnote w:id="26">
    <w:p w14:paraId="41A32F62" w14:textId="422CC138" w:rsidR="00454722" w:rsidRPr="006B03CF" w:rsidRDefault="00454722" w:rsidP="00812447">
      <w:r w:rsidRPr="006B03CF">
        <w:rPr>
          <w:rStyle w:val="CharAttribute19"/>
          <w:rFonts w:eastAsia="Batang"/>
        </w:rPr>
        <w:footnoteRef/>
      </w:r>
      <w:r w:rsidRPr="006B03CF">
        <w:rPr>
          <w:rStyle w:val="CharAttribute32"/>
          <w:rFonts w:eastAsia="Batang"/>
        </w:rPr>
        <w:t xml:space="preserve"> </w:t>
      </w:r>
      <w:r w:rsidRPr="00454722">
        <w:rPr>
          <w:rStyle w:val="CharAttribute20"/>
          <w:rFonts w:eastAsia="Batang"/>
          <w:i/>
        </w:rPr>
        <w:t>Ibid</w:t>
      </w:r>
    </w:p>
  </w:footnote>
  <w:footnote w:id="27">
    <w:p w14:paraId="2C5DA848" w14:textId="77777777" w:rsidR="00454722" w:rsidRPr="006B03CF" w:rsidRDefault="00454722" w:rsidP="00812447">
      <w:r w:rsidRPr="006B03CF">
        <w:rPr>
          <w:rStyle w:val="CharAttribute19"/>
          <w:rFonts w:eastAsia="Batang"/>
        </w:rPr>
        <w:footnoteRef/>
      </w:r>
      <w:r w:rsidRPr="006B03CF">
        <w:rPr>
          <w:rStyle w:val="CharAttribute33"/>
          <w:rFonts w:eastAsia="Batang"/>
        </w:rPr>
        <w:t xml:space="preserve"> </w:t>
      </w:r>
      <w:r w:rsidRPr="006B03CF">
        <w:rPr>
          <w:rStyle w:val="CharAttribute34"/>
          <w:rFonts w:eastAsia="Batang"/>
        </w:rPr>
        <w:t>Niall Ferguson, ‘The Darwinian Economy’ (BBC Reith Lectures, 26 June 2012) &lt;http://www.bbc.co.uk/programmes/b01jmxqp/features/transcript&gt; accessed 01 December 2012</w:t>
      </w:r>
    </w:p>
  </w:footnote>
  <w:footnote w:id="28">
    <w:p w14:paraId="200D984B" w14:textId="77777777" w:rsidR="00454722" w:rsidRPr="006B03CF" w:rsidRDefault="00454722" w:rsidP="00812447">
      <w:r w:rsidRPr="006B03CF">
        <w:rPr>
          <w:rStyle w:val="CharAttribute19"/>
          <w:rFonts w:eastAsia="Batang"/>
        </w:rPr>
        <w:footnoteRef/>
      </w:r>
      <w:r w:rsidRPr="006B03CF">
        <w:rPr>
          <w:rStyle w:val="CharAttribute34"/>
          <w:rFonts w:eastAsia="Batang"/>
        </w:rPr>
        <w:t xml:space="preserve"> </w:t>
      </w:r>
      <w:r w:rsidRPr="006B03CF">
        <w:rPr>
          <w:rStyle w:val="CharAttribute35"/>
          <w:rFonts w:eastAsia="Batang"/>
        </w:rPr>
        <w:t xml:space="preserve">Ayres and Braithwaite, </w:t>
      </w:r>
      <w:r w:rsidRPr="006B03CF">
        <w:rPr>
          <w:rStyle w:val="CharAttribute22"/>
          <w:rFonts w:eastAsia="Batang"/>
        </w:rPr>
        <w:t xml:space="preserve">Responsive Regulation: Transcending the Deregulation Debate </w:t>
      </w:r>
      <w:r w:rsidRPr="006B03CF">
        <w:rPr>
          <w:rStyle w:val="CharAttribute35"/>
          <w:rFonts w:eastAsia="Batang"/>
        </w:rPr>
        <w:t>(Oxford Social-Legal Studies, OUP, 1992) p.26</w:t>
      </w:r>
    </w:p>
  </w:footnote>
  <w:footnote w:id="29">
    <w:p w14:paraId="44982952" w14:textId="4E025FEC"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r w:rsidRPr="006B03CF">
        <w:rPr>
          <w:rStyle w:val="CharAttribute20"/>
          <w:rFonts w:eastAsia="Batang"/>
        </w:rPr>
        <w:t xml:space="preserve"> </w:t>
      </w:r>
      <w:r>
        <w:rPr>
          <w:rStyle w:val="CharAttribute20"/>
          <w:rFonts w:eastAsia="Batang"/>
        </w:rPr>
        <w:t xml:space="preserve"> at </w:t>
      </w:r>
      <w:r w:rsidRPr="006B03CF">
        <w:t>p</w:t>
      </w:r>
      <w:r>
        <w:t>.</w:t>
      </w:r>
      <w:r w:rsidRPr="006B03CF">
        <w:t>35</w:t>
      </w:r>
    </w:p>
  </w:footnote>
  <w:footnote w:id="30">
    <w:p w14:paraId="1C7611D9" w14:textId="06EFB2A3"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p>
  </w:footnote>
  <w:footnote w:id="31">
    <w:p w14:paraId="0A26355E" w14:textId="134DEC10" w:rsidR="00454722" w:rsidRDefault="00454722">
      <w:pPr>
        <w:pStyle w:val="FootnoteText"/>
      </w:pPr>
      <w:r>
        <w:rPr>
          <w:rStyle w:val="FootnoteReference"/>
        </w:rPr>
        <w:footnoteRef/>
      </w:r>
      <w:r>
        <w:t xml:space="preserve"> For analysis see </w:t>
      </w:r>
      <w:r w:rsidRPr="006B03CF">
        <w:t>Peter Cartwright, ‘Publicity, Punishment and Protection: The Role(s) of Adverse Publicity in Consumer Policy’ (2012) Vol. 32 No. 2 Legal Studies 179</w:t>
      </w:r>
    </w:p>
  </w:footnote>
  <w:footnote w:id="32">
    <w:p w14:paraId="78976A40" w14:textId="77777777" w:rsidR="00454722" w:rsidRPr="006B03CF" w:rsidRDefault="00454722" w:rsidP="00812447">
      <w:r w:rsidRPr="006B03CF">
        <w:rPr>
          <w:rStyle w:val="FootnoteReference"/>
        </w:rPr>
        <w:footnoteRef/>
      </w:r>
      <w:r w:rsidRPr="006B03CF">
        <w:t xml:space="preserve"> London Stock Exchange,  ‘BARCLAYS PLC ORD –News Analysis- London Stock Exchange’ &lt;25Phttp://www.londonstockexchange.com/exchange/prices-and-markets/stocks/exchange-insight/news-analysis.html?fourWayKey=GB0031348658GBGBXSET0&amp;page=7&gt; accessed 05 December 2012</w:t>
      </w:r>
    </w:p>
  </w:footnote>
  <w:footnote w:id="33">
    <w:p w14:paraId="63D410D5" w14:textId="77777777" w:rsidR="00454722" w:rsidRPr="006B03CF" w:rsidRDefault="00454722" w:rsidP="00812447">
      <w:r w:rsidRPr="006B03CF">
        <w:rPr>
          <w:rStyle w:val="FootnoteReference"/>
        </w:rPr>
        <w:footnoteRef/>
      </w:r>
      <w:r w:rsidRPr="006B03CF">
        <w:t xml:space="preserve"> Jackie Harvey, ‘The Policing of Financial Markets: Where is the Line in the Sand between Criminal Activity and Regulatory Misdemeanour? (Fighting Financial Crime in the Global Economic Crisis: Policy, Trends and Sanctions Conference , Bristol, November 2006)</w:t>
      </w:r>
    </w:p>
  </w:footnote>
  <w:footnote w:id="34">
    <w:p w14:paraId="5996B7AF" w14:textId="77777777" w:rsidR="00454722" w:rsidRPr="006B03CF" w:rsidRDefault="00454722" w:rsidP="00812447">
      <w:r w:rsidRPr="006B03CF">
        <w:rPr>
          <w:rStyle w:val="FootnoteReference"/>
        </w:rPr>
        <w:footnoteRef/>
      </w:r>
      <w:r w:rsidRPr="006B03CF">
        <w:t xml:space="preserve"> Financial Services and Markets Act 2000, s.3</w:t>
      </w:r>
    </w:p>
  </w:footnote>
  <w:footnote w:id="35">
    <w:p w14:paraId="06119B88" w14:textId="77777777" w:rsidR="00454722" w:rsidRPr="006B03CF" w:rsidRDefault="00454722" w:rsidP="00812447">
      <w:r w:rsidRPr="006B03CF">
        <w:rPr>
          <w:rStyle w:val="FootnoteReference"/>
        </w:rPr>
        <w:footnoteRef/>
      </w:r>
      <w:r w:rsidRPr="006B03CF">
        <w:t xml:space="preserve"> Financial Services and Markets Act 2000, s.6</w:t>
      </w:r>
    </w:p>
  </w:footnote>
  <w:footnote w:id="36">
    <w:p w14:paraId="6C88538C" w14:textId="77777777" w:rsidR="00454722" w:rsidRPr="006B03CF" w:rsidRDefault="00454722" w:rsidP="00812447">
      <w:r w:rsidRPr="006B03CF">
        <w:rPr>
          <w:rStyle w:val="FootnoteReference"/>
        </w:rPr>
        <w:footnoteRef/>
      </w:r>
      <w:r w:rsidRPr="006B03CF">
        <w:t xml:space="preserve"> Jackie Harvey, ‘The Policing of Financial Markets: Where is the Line in the Sand between Criminal Activity and Regulatory Misdemeanour? (Fighting Financial Crime in the Global Economic Crisis: Policy, Trends and Sanctions Conference , Bristol, November 2006)</w:t>
      </w:r>
    </w:p>
  </w:footnote>
  <w:footnote w:id="37">
    <w:p w14:paraId="44FA02F7" w14:textId="77777777" w:rsidR="00454722" w:rsidRPr="006B03CF" w:rsidRDefault="00454722" w:rsidP="00812447">
      <w:r w:rsidRPr="006B03CF">
        <w:rPr>
          <w:rStyle w:val="FootnoteReference"/>
        </w:rPr>
        <w:footnoteRef/>
      </w:r>
      <w:r w:rsidRPr="006B03CF">
        <w:t xml:space="preserve"> Peter Cartwright, ‘Publicity, Punishment and Protection: The Role(s) of Adverse Publicity in Consumer Policy’ (2012) Vol. 32 No. 2 Legal Studies 179 </w:t>
      </w:r>
    </w:p>
  </w:footnote>
  <w:footnote w:id="38">
    <w:p w14:paraId="4650A728" w14:textId="77777777" w:rsidR="00454722" w:rsidRPr="006B03CF" w:rsidRDefault="00454722" w:rsidP="00812447">
      <w:r w:rsidRPr="006B03CF">
        <w:rPr>
          <w:rStyle w:val="FootnoteReference"/>
        </w:rPr>
        <w:footnoteRef/>
      </w:r>
      <w:r w:rsidRPr="006B03CF">
        <w:t xml:space="preserve"> The Office for Fair Trading, ‘Drivers of Compliance and Non-Compliance with Consumer Law’ &lt;http://www.oft.gov.uk/shared_oft/reports/Evaluating-OFTs-work/OFT1225a.pdf&gt; accessed 06 December 2012</w:t>
      </w:r>
    </w:p>
  </w:footnote>
  <w:footnote w:id="39">
    <w:p w14:paraId="1F2972D0" w14:textId="77777777" w:rsidR="00454722" w:rsidRPr="006B03CF" w:rsidRDefault="00454722" w:rsidP="00812447">
      <w:r w:rsidRPr="006B03CF">
        <w:rPr>
          <w:rStyle w:val="FootnoteReference"/>
        </w:rPr>
        <w:footnoteRef/>
      </w:r>
      <w:r w:rsidRPr="006B03CF">
        <w:t xml:space="preserve"> The Office for Fair Trading, ‘Factors Affecting Compliance with Consumer Law and the Deterrent Effect of Consumer Enforcement’ &lt;http://www.oft.gov.uk/shared_oft/reports/Evaluating-OFTs-work/OFT1228.pdf&gt; accessed 06 December 2012</w:t>
      </w:r>
    </w:p>
  </w:footnote>
  <w:footnote w:id="40">
    <w:p w14:paraId="142661C4" w14:textId="77777777" w:rsidR="00454722" w:rsidRPr="006B03CF" w:rsidRDefault="00454722" w:rsidP="00812447">
      <w:r w:rsidRPr="006B03CF">
        <w:rPr>
          <w:rStyle w:val="FootnoteReference"/>
        </w:rPr>
        <w:footnoteRef/>
      </w:r>
      <w:r w:rsidRPr="006B03CF">
        <w:t xml:space="preserve"> </w:t>
      </w:r>
      <w:r w:rsidRPr="006B03CF">
        <w:rPr>
          <w:rStyle w:val="CharAttribute35"/>
          <w:rFonts w:eastAsia="Batang"/>
        </w:rPr>
        <w:t xml:space="preserve">Ayres and Braithwaite, </w:t>
      </w:r>
      <w:r w:rsidRPr="006B03CF">
        <w:rPr>
          <w:rStyle w:val="CharAttribute22"/>
          <w:rFonts w:eastAsia="Batang"/>
        </w:rPr>
        <w:t xml:space="preserve">Responsive Regulation: Transcending the Deregulation Debate </w:t>
      </w:r>
      <w:r w:rsidRPr="006B03CF">
        <w:rPr>
          <w:rStyle w:val="CharAttribute35"/>
          <w:rFonts w:eastAsia="Batang"/>
        </w:rPr>
        <w:t>(Oxford Social-Legal Studies, OUP, 1992) p.19</w:t>
      </w:r>
    </w:p>
  </w:footnote>
  <w:footnote w:id="41">
    <w:p w14:paraId="705B2D90" w14:textId="7403777C" w:rsidR="00454722" w:rsidRDefault="00454722">
      <w:pPr>
        <w:pStyle w:val="FootnoteText"/>
      </w:pPr>
      <w:r>
        <w:rPr>
          <w:rStyle w:val="FootnoteReference"/>
        </w:rPr>
        <w:footnoteRef/>
      </w:r>
      <w:r>
        <w:t xml:space="preserve"> The UK is currently in a period of transition in financial services regulation. The FSA will cease to exist; in its place the Bank of England will be given responsibility for regulation. Several bodies will be created within the Bank of England. The Financial Policy Committee, which will oversee system wide stability. The Prudential Regulation Authority will be responsible for assessing risk within independent institutions. Finally, the Financial Conduct Authority will be the main regulator; this authority will have enforcement powers, comparable to the FSA at present. The new bodies are given their powers by the Financial Services Act 2012. </w:t>
      </w:r>
    </w:p>
  </w:footnote>
  <w:footnote w:id="42">
    <w:p w14:paraId="1F816BA1" w14:textId="77777777" w:rsidR="00454722" w:rsidRPr="006B03CF" w:rsidRDefault="00454722" w:rsidP="00812447">
      <w:r w:rsidRPr="006B03CF">
        <w:rPr>
          <w:rStyle w:val="FootnoteReference"/>
        </w:rPr>
        <w:footnoteRef/>
      </w:r>
      <w:r w:rsidRPr="006B03CF">
        <w:t xml:space="preserve"> The Financial Services Authority, ‘The Enforcement Guide’ &lt;http://media.fsahandbook.info/Handbook/EG_20121101.pdf&gt; accessed 03 December 2012 at EG</w:t>
      </w:r>
    </w:p>
  </w:footnote>
  <w:footnote w:id="43">
    <w:p w14:paraId="430AC7A5" w14:textId="2C822F49"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r w:rsidRPr="006B03CF">
        <w:rPr>
          <w:rStyle w:val="CharAttribute20"/>
          <w:rFonts w:eastAsia="Batang"/>
        </w:rPr>
        <w:t xml:space="preserve"> </w:t>
      </w:r>
      <w:r>
        <w:rPr>
          <w:rStyle w:val="CharAttribute20"/>
          <w:rFonts w:eastAsia="Batang"/>
        </w:rPr>
        <w:t xml:space="preserve"> </w:t>
      </w:r>
      <w:r w:rsidRPr="006B03CF">
        <w:t>at EG 2.2(1)</w:t>
      </w:r>
    </w:p>
  </w:footnote>
  <w:footnote w:id="44">
    <w:p w14:paraId="0F99DBB6" w14:textId="184EFEFF"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r w:rsidRPr="006B03CF">
        <w:t xml:space="preserve">  at EG 2.2(2)</w:t>
      </w:r>
    </w:p>
  </w:footnote>
  <w:footnote w:id="45">
    <w:p w14:paraId="1C8E95A2" w14:textId="76C04438"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r w:rsidRPr="006B03CF">
        <w:t xml:space="preserve"> at EG 2.2(3)</w:t>
      </w:r>
    </w:p>
  </w:footnote>
  <w:footnote w:id="46">
    <w:p w14:paraId="250F2A64" w14:textId="0A981306"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r w:rsidRPr="006B03CF">
        <w:rPr>
          <w:rStyle w:val="CharAttribute20"/>
          <w:rFonts w:eastAsia="Batang"/>
        </w:rPr>
        <w:t xml:space="preserve"> </w:t>
      </w:r>
      <w:r w:rsidRPr="006B03CF">
        <w:t>at EG 2.2(4)</w:t>
      </w:r>
    </w:p>
  </w:footnote>
  <w:footnote w:id="47">
    <w:p w14:paraId="51D9FD31" w14:textId="383A7EB4"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r w:rsidRPr="006B03CF">
        <w:rPr>
          <w:rStyle w:val="CharAttribute20"/>
          <w:rFonts w:eastAsia="Batang"/>
        </w:rPr>
        <w:t xml:space="preserve"> </w:t>
      </w:r>
      <w:r w:rsidRPr="006B03CF">
        <w:t>at EG 2.4</w:t>
      </w:r>
    </w:p>
  </w:footnote>
  <w:footnote w:id="48">
    <w:p w14:paraId="32D329DA" w14:textId="77777777" w:rsidR="00454722" w:rsidRPr="006B03CF" w:rsidRDefault="00454722" w:rsidP="00812447">
      <w:r w:rsidRPr="006B03CF">
        <w:rPr>
          <w:rStyle w:val="FootnoteReference"/>
        </w:rPr>
        <w:footnoteRef/>
      </w:r>
      <w:r w:rsidRPr="006B03CF">
        <w:t xml:space="preserve"> </w:t>
      </w:r>
      <w:r w:rsidRPr="006B03CF">
        <w:rPr>
          <w:rStyle w:val="CharAttribute28"/>
          <w:rFonts w:eastAsia="Batang"/>
        </w:rPr>
        <w:t xml:space="preserve">Dalvinder Singh, </w:t>
      </w:r>
      <w:r w:rsidRPr="006B03CF">
        <w:rPr>
          <w:rStyle w:val="CharAttribute22"/>
          <w:rFonts w:eastAsia="Batang"/>
        </w:rPr>
        <w:t xml:space="preserve">Banking Regulation of UK and US Financial Markets </w:t>
      </w:r>
      <w:r w:rsidRPr="006B03CF">
        <w:rPr>
          <w:rStyle w:val="CharAttribute28"/>
          <w:rFonts w:eastAsia="Batang"/>
        </w:rPr>
        <w:t>(Ashgate 2007) p.126</w:t>
      </w:r>
    </w:p>
  </w:footnote>
  <w:footnote w:id="49">
    <w:p w14:paraId="69F95CFF" w14:textId="77777777" w:rsidR="00454722" w:rsidRPr="006B03CF" w:rsidRDefault="00454722" w:rsidP="00812447">
      <w:r w:rsidRPr="006B03CF">
        <w:rPr>
          <w:rStyle w:val="FootnoteReference"/>
        </w:rPr>
        <w:footnoteRef/>
      </w:r>
      <w:r w:rsidRPr="006B03CF">
        <w:t xml:space="preserve"> Travers Smith Regulatory Investigations Group, ‘FSA Enforcement Action: Themes and Trends’ (2012) 96 (May) C.O.B 1</w:t>
      </w:r>
    </w:p>
  </w:footnote>
  <w:footnote w:id="50">
    <w:p w14:paraId="1E718372" w14:textId="77777777" w:rsidR="00454722" w:rsidRPr="006B03CF" w:rsidRDefault="00454722" w:rsidP="00812447">
      <w:r w:rsidRPr="006B03CF">
        <w:rPr>
          <w:rStyle w:val="FootnoteReference"/>
        </w:rPr>
        <w:footnoteRef/>
      </w:r>
      <w:r w:rsidRPr="006B03CF">
        <w:t xml:space="preserve"> FSA, ‘Final Notice: Andrew Jon Osborne 15 February 2012’ &lt;http://www.fsa.gov.uk/static/pubs/final/andrew_osborne.pdf&gt; accessed 10 December 2012 at 2.8</w:t>
      </w:r>
    </w:p>
  </w:footnote>
  <w:footnote w:id="51">
    <w:p w14:paraId="03CC79F8" w14:textId="38C0FEE2"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p>
  </w:footnote>
  <w:footnote w:id="52">
    <w:p w14:paraId="566FD27E" w14:textId="75447088"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p>
  </w:footnote>
  <w:footnote w:id="53">
    <w:p w14:paraId="1AEB1CD8" w14:textId="77777777" w:rsidR="00454722" w:rsidRPr="006B03CF" w:rsidRDefault="00454722" w:rsidP="00812447">
      <w:r w:rsidRPr="006B03CF">
        <w:rPr>
          <w:rStyle w:val="FootnoteReference"/>
        </w:rPr>
        <w:footnoteRef/>
      </w:r>
      <w:r w:rsidRPr="006B03CF">
        <w:t xml:space="preserve"> Travers Smith Regulatory Investigations Group, ‘FSA Enforcement Action: Themes and Trends’ (2012) 96 (May) C.O.B 1 at p8</w:t>
      </w:r>
    </w:p>
  </w:footnote>
  <w:footnote w:id="54">
    <w:p w14:paraId="48BE419E" w14:textId="77777777" w:rsidR="00454722" w:rsidRPr="006B03CF" w:rsidRDefault="00454722">
      <w:pPr>
        <w:pStyle w:val="FootnoteText"/>
      </w:pPr>
      <w:r w:rsidRPr="006B03CF">
        <w:rPr>
          <w:rStyle w:val="FootnoteReference"/>
        </w:rPr>
        <w:footnoteRef/>
      </w:r>
      <w:r w:rsidRPr="006B03CF">
        <w:t xml:space="preserve"> The Telegraph, Avalanche of New FSA Rules to Cost business £1.4bn a year &lt;http://www.telegraph.co.uk/finance/yourbusiness/8901695/Avalanche-of-new-FSA-rules-to-cost-business-1.4bn-a-year.html&gt; accessed 09 December 2012</w:t>
      </w:r>
    </w:p>
  </w:footnote>
  <w:footnote w:id="55">
    <w:p w14:paraId="45E81840" w14:textId="77777777" w:rsidR="00454722" w:rsidRPr="006B03CF" w:rsidRDefault="00454722">
      <w:pPr>
        <w:pStyle w:val="FootnoteText"/>
      </w:pPr>
      <w:r w:rsidRPr="006B03CF">
        <w:rPr>
          <w:rStyle w:val="FootnoteReference"/>
        </w:rPr>
        <w:footnoteRef/>
      </w:r>
      <w:r w:rsidRPr="006B03CF">
        <w:t xml:space="preserve"> Money Marketing, ‘PRA and FCA to Push Up Regulatory Costs by 20% &lt;http://www.moneymarketing.co.uk/regulation/pra-and-fca-to-push-up-regulatory-costs-by-20/1056944.article&gt; accessed 12 December 2012</w:t>
      </w:r>
    </w:p>
  </w:footnote>
  <w:footnote w:id="56">
    <w:p w14:paraId="73F71E85" w14:textId="77777777" w:rsidR="00454722" w:rsidRPr="006B03CF" w:rsidRDefault="00454722" w:rsidP="00812447">
      <w:r w:rsidRPr="006B03CF">
        <w:rPr>
          <w:rStyle w:val="FootnoteReference"/>
        </w:rPr>
        <w:footnoteRef/>
      </w:r>
      <w:r w:rsidRPr="006B03CF">
        <w:t xml:space="preserve"> Peter Cartwright, ‘Publicity, Punishment and Protection: The Role(s) of Adverse Publicity in Consumer Policy’ (2012) Vol. 32 No. 2 Legal Studies 179 </w:t>
      </w:r>
    </w:p>
  </w:footnote>
  <w:footnote w:id="57">
    <w:p w14:paraId="6A5ADB43" w14:textId="77777777" w:rsidR="00454722" w:rsidRPr="006B03CF" w:rsidRDefault="00454722" w:rsidP="00812447">
      <w:r w:rsidRPr="006B03CF">
        <w:rPr>
          <w:rStyle w:val="FootnoteReference"/>
        </w:rPr>
        <w:footnoteRef/>
      </w:r>
      <w:r w:rsidRPr="006B03CF">
        <w:t xml:space="preserve"> Based</w:t>
      </w:r>
      <w:r>
        <w:t xml:space="preserve"> Table 4 complied based</w:t>
      </w:r>
      <w:r w:rsidRPr="006B03CF">
        <w:t xml:space="preserve"> on information extracted from: FSA, ‘Enforcement Notices and Application Refusals’ &lt;http://www.fsa.gov.uk/library/communication/notices&gt; accessed 10 December 2012 and FSA, ‘Fines Table’ &lt;http://www.fsa.gov.uk/about/media/facts/fines&gt; accessed 10 December 2012</w:t>
      </w:r>
    </w:p>
  </w:footnote>
  <w:footnote w:id="58">
    <w:p w14:paraId="3A9A786D" w14:textId="77777777" w:rsidR="00454722" w:rsidRPr="006B03CF" w:rsidRDefault="00454722" w:rsidP="00812447">
      <w:r w:rsidRPr="006B03CF">
        <w:rPr>
          <w:rStyle w:val="FootnoteReference"/>
        </w:rPr>
        <w:footnoteRef/>
      </w:r>
      <w:r w:rsidRPr="006B03CF">
        <w:t xml:space="preserve"> FSA, ‘Fines Table’ &lt;http://www.fsa.gov.uk/about/media/facts/fines&gt; accessed 10 December 2012</w:t>
      </w:r>
    </w:p>
  </w:footnote>
  <w:footnote w:id="59">
    <w:p w14:paraId="530AB454" w14:textId="77777777" w:rsidR="00454722" w:rsidRPr="006B03CF" w:rsidRDefault="00454722" w:rsidP="00812447">
      <w:r w:rsidRPr="006B03CF">
        <w:rPr>
          <w:rStyle w:val="FootnoteReference"/>
        </w:rPr>
        <w:footnoteRef/>
      </w:r>
      <w:r w:rsidRPr="006B03CF">
        <w:t xml:space="preserve"> FSA, ‘Fines Table’ &lt;http://www.fsa.gov.uk/about/media/facts/fines&gt; accessed 10 December 2012</w:t>
      </w:r>
    </w:p>
  </w:footnote>
  <w:footnote w:id="60">
    <w:p w14:paraId="5CB4E656" w14:textId="77777777" w:rsidR="00454722" w:rsidRDefault="00454722">
      <w:pPr>
        <w:pStyle w:val="FootnoteText"/>
      </w:pPr>
      <w:r>
        <w:rPr>
          <w:rStyle w:val="FootnoteReference"/>
        </w:rPr>
        <w:footnoteRef/>
      </w:r>
      <w:r>
        <w:t xml:space="preserve"> FSA, ‘Final Notice: Barclays Bank PLC’ &lt;</w:t>
      </w:r>
      <w:r w:rsidRPr="00EB3E70">
        <w:t>http://www.fsa.gov.uk/static/pubs/final/barclays-jun12.pdf</w:t>
      </w:r>
      <w:r>
        <w:t>&gt; accessed 10 December 2012</w:t>
      </w:r>
    </w:p>
  </w:footnote>
  <w:footnote w:id="61">
    <w:p w14:paraId="22F559B2" w14:textId="77777777" w:rsidR="00454722" w:rsidRPr="006B03CF" w:rsidRDefault="00454722">
      <w:pPr>
        <w:pStyle w:val="FootnoteText"/>
      </w:pPr>
      <w:r w:rsidRPr="006B03CF">
        <w:rPr>
          <w:rStyle w:val="FootnoteReference"/>
        </w:rPr>
        <w:footnoteRef/>
      </w:r>
      <w:r w:rsidRPr="006B03CF">
        <w:t xml:space="preserve"> FSA, ‘Final Notice: UBS AG’ &lt;http://www.fsa.gov.uk/static/pubs/final/ubs-ag.pdf&gt; accessed 12 December 2012</w:t>
      </w:r>
    </w:p>
  </w:footnote>
  <w:footnote w:id="62">
    <w:p w14:paraId="397EBD15" w14:textId="77777777" w:rsidR="00454722" w:rsidRPr="006B03CF" w:rsidRDefault="00454722">
      <w:pPr>
        <w:pStyle w:val="FootnoteText"/>
      </w:pPr>
      <w:r w:rsidRPr="006B03CF">
        <w:rPr>
          <w:rStyle w:val="FootnoteReference"/>
        </w:rPr>
        <w:footnoteRef/>
      </w:r>
      <w:r w:rsidRPr="006B03CF">
        <w:t>Barclays, ‘Barclays PLC: Annual Report 2011’ &lt;http://group.barclays.com/Satellite?blobcol=urldata&amp;blobheader=application%2Fpdf&amp;blobheadername1=Content-Disposition&amp;blobheadername2=MDT-Type&amp;blobheadervalue1=inline%3B+filename%3D2011-Barclays-PLC-Annual-Report-(PDF).pdf&amp;blobheadervalue2=abinary%3B+charset%3DUTF-8&amp;blobkey=id&amp;blobtable=MungoBlobs&amp;blobwhere=1330686323829&amp;ssbinary=true&gt; accessed 12 December 2012</w:t>
      </w:r>
    </w:p>
  </w:footnote>
  <w:footnote w:id="63">
    <w:p w14:paraId="4E28AA0A" w14:textId="77777777" w:rsidR="00454722" w:rsidRPr="006B03CF" w:rsidRDefault="00454722">
      <w:pPr>
        <w:pStyle w:val="FootnoteText"/>
      </w:pPr>
      <w:r w:rsidRPr="006B03CF">
        <w:rPr>
          <w:rStyle w:val="FootnoteReference"/>
        </w:rPr>
        <w:footnoteRef/>
      </w:r>
      <w:r w:rsidRPr="006B03CF">
        <w:t xml:space="preserve"> UBS, ‘UBS: Annual Report 2011’ &lt;http://www.static-ubs.com/global/en/about_ubs/investor_relations/annualreporting/2011/_jcr_content/par/teaserbox_6c86/teaser_acb3/linklist/link_9f50.228736590.file/bGluay9wYXRoPS9jb250ZW50L2RhbS9zdGF0aWMvZ2xvYmFsL2ludmVzdG9yX3JlbGF0aW9ucy9hbm51YWwyMDExL0FSMjAxMV9lLnBkZg==/AR2011_e.pdf&gt; accessed 12 December 2012</w:t>
      </w:r>
    </w:p>
  </w:footnote>
  <w:footnote w:id="64">
    <w:p w14:paraId="0910328E" w14:textId="77777777" w:rsidR="00454722" w:rsidRPr="006B03CF" w:rsidRDefault="00454722" w:rsidP="00812447">
      <w:r w:rsidRPr="006B03CF">
        <w:rPr>
          <w:rStyle w:val="FootnoteReference"/>
        </w:rPr>
        <w:footnoteRef/>
      </w:r>
      <w:r w:rsidRPr="006B03CF">
        <w:t xml:space="preserve"> BBC News, ‘Rouge trader Kweku Adoboli Sentenced for £1.4bn Loss’ &lt;http://www.bbc.co.uk/news/business-20416866&gt; accessed 10 December 2012</w:t>
      </w:r>
    </w:p>
  </w:footnote>
  <w:footnote w:id="65">
    <w:p w14:paraId="4D701ACC" w14:textId="77777777" w:rsidR="00454722" w:rsidRPr="006B03CF" w:rsidRDefault="00454722" w:rsidP="00812447">
      <w:r w:rsidRPr="006B03CF">
        <w:rPr>
          <w:rStyle w:val="FootnoteReference"/>
        </w:rPr>
        <w:footnoteRef/>
      </w:r>
      <w:r w:rsidRPr="006B03CF">
        <w:t xml:space="preserve"> Travers Smith Regulatory Investigations Group, ‘FSA Enforcement Action: Themes and Trends’ (2012) 96 (May) C.O.B 1 at p.4</w:t>
      </w:r>
    </w:p>
  </w:footnote>
  <w:footnote w:id="66">
    <w:p w14:paraId="60C0DA33" w14:textId="15249344" w:rsidR="00454722" w:rsidRPr="006B03CF" w:rsidRDefault="00454722" w:rsidP="00812447">
      <w:r w:rsidRPr="006B03CF">
        <w:rPr>
          <w:rStyle w:val="FootnoteReference"/>
        </w:rPr>
        <w:footnoteRef/>
      </w:r>
      <w:r w:rsidRPr="006B03CF">
        <w:t xml:space="preserve"> </w:t>
      </w:r>
      <w:r w:rsidRPr="00454722">
        <w:rPr>
          <w:rStyle w:val="CharAttribute20"/>
          <w:rFonts w:eastAsia="Batang"/>
          <w:i/>
        </w:rPr>
        <w:t>Ibid</w:t>
      </w:r>
    </w:p>
  </w:footnote>
  <w:footnote w:id="67">
    <w:p w14:paraId="617FCB6A" w14:textId="77777777" w:rsidR="00454722" w:rsidRPr="006B03CF" w:rsidRDefault="00454722" w:rsidP="00812447">
      <w:r w:rsidRPr="006B03CF">
        <w:rPr>
          <w:rStyle w:val="FootnoteReference"/>
        </w:rPr>
        <w:footnoteRef/>
      </w:r>
      <w:r w:rsidRPr="006B03CF">
        <w:t xml:space="preserve"> FSA, ‘FSA Secures Four and a Half Year Jail Sentence for Man Convicted of Laundering Boiler Room Funds’ &lt;http://www.fsa.gov.uk/library/communication/pr/2012/045.shtml&gt; accessed 10 December 2012</w:t>
      </w:r>
    </w:p>
  </w:footnote>
  <w:footnote w:id="68">
    <w:p w14:paraId="7EAB8921" w14:textId="77777777" w:rsidR="00454722" w:rsidRPr="006B03CF" w:rsidRDefault="00454722" w:rsidP="00812447">
      <w:r w:rsidRPr="006B03CF">
        <w:rPr>
          <w:rStyle w:val="FootnoteReference"/>
        </w:rPr>
        <w:footnoteRef/>
      </w:r>
      <w:r w:rsidRPr="006B03CF">
        <w:t xml:space="preserve"> FSA, ‘Three Sentenced for Insider Dealing’ &lt;http://www.fsa.gov.uk/library/communication/pr/2012/067.shtml&gt; accessed 10 December 2012</w:t>
      </w:r>
    </w:p>
  </w:footnote>
  <w:footnote w:id="69">
    <w:p w14:paraId="15B8BF36" w14:textId="77777777" w:rsidR="00454722" w:rsidRPr="006B03CF" w:rsidRDefault="00454722" w:rsidP="00812447">
      <w:r w:rsidRPr="006B03CF">
        <w:rPr>
          <w:rStyle w:val="FootnoteReference"/>
        </w:rPr>
        <w:footnoteRef/>
      </w:r>
      <w:r w:rsidRPr="006B03CF">
        <w:t xml:space="preserve"> FSA, ‘Six Sentenced for Insider Dealing’ &lt;http://www.fsa.gov.uk/library/communication/pr/2012/080.shtml&gt; accessed 10 December 2012</w:t>
      </w:r>
    </w:p>
  </w:footnote>
  <w:footnote w:id="70">
    <w:p w14:paraId="6B8C36C8" w14:textId="77777777" w:rsidR="00454722" w:rsidRPr="006B03CF" w:rsidRDefault="00454722" w:rsidP="00812447">
      <w:r w:rsidRPr="006B03CF">
        <w:rPr>
          <w:rStyle w:val="FootnoteReference"/>
        </w:rPr>
        <w:footnoteRef/>
      </w:r>
      <w:r w:rsidRPr="006B03CF">
        <w:t xml:space="preserve"> CPS, ‘Fraud, False Accounting, Fraudulent Evasion of VAT, False Statement for Vat Purposes, Conduct Amounting to an Offence’ &lt;http://www.cps.gov.uk/legal/s_to_u/sentencing_manual/fraud&gt; accessed 20 December 2012</w:t>
      </w:r>
    </w:p>
  </w:footnote>
  <w:footnote w:id="71">
    <w:p w14:paraId="7D1E9163" w14:textId="77777777" w:rsidR="00454722" w:rsidRPr="006B03CF" w:rsidRDefault="00454722" w:rsidP="00105A99">
      <w:pPr>
        <w:rPr>
          <w:rFonts w:eastAsia="Batang"/>
        </w:rPr>
      </w:pPr>
      <w:r w:rsidRPr="006B03CF">
        <w:rPr>
          <w:rStyle w:val="FootnoteReference"/>
        </w:rPr>
        <w:footnoteRef/>
      </w:r>
      <w:r w:rsidRPr="006B03CF">
        <w:t xml:space="preserve"> Mail Fraud Statute 1872 now found in the Criminal Code: 18 U.S.C </w:t>
      </w:r>
      <w:r w:rsidRPr="006B03CF">
        <w:rPr>
          <w:rStyle w:val="CharAttribute15"/>
          <w:rFonts w:eastAsia="Batang"/>
          <w:color w:val="auto"/>
          <w:sz w:val="20"/>
        </w:rPr>
        <w:t>§1341</w:t>
      </w:r>
    </w:p>
  </w:footnote>
  <w:footnote w:id="72">
    <w:p w14:paraId="18BC7130" w14:textId="77777777" w:rsidR="00454722" w:rsidRPr="006B03CF" w:rsidRDefault="00454722" w:rsidP="00812447">
      <w:r w:rsidRPr="006B03CF">
        <w:rPr>
          <w:rStyle w:val="FootnoteReference"/>
        </w:rPr>
        <w:footnoteRef/>
      </w:r>
      <w:r w:rsidRPr="006B03CF">
        <w:t>Reuters, ‘China Sentences Woman to Death for $16 million Fund Scam’ &lt;http://www.reuters.com/article/2012/04/06/us-china-economy-death-idUSBRE83508920120406&gt; accessed 11 December 2012</w:t>
      </w:r>
    </w:p>
  </w:footnote>
  <w:footnote w:id="73">
    <w:p w14:paraId="104EF969" w14:textId="77777777" w:rsidR="00454722" w:rsidRPr="006B03CF" w:rsidRDefault="00454722" w:rsidP="00812447">
      <w:r w:rsidRPr="006B03CF">
        <w:rPr>
          <w:rStyle w:val="FootnoteReference"/>
        </w:rPr>
        <w:footnoteRef/>
      </w:r>
      <w:r w:rsidRPr="006B03CF">
        <w:t xml:space="preserve"> Nicholas Ryder, </w:t>
      </w:r>
      <w:r w:rsidRPr="006B03CF">
        <w:rPr>
          <w:i/>
        </w:rPr>
        <w:t>Financial Crime in the 21</w:t>
      </w:r>
      <w:r w:rsidRPr="006B03CF">
        <w:rPr>
          <w:i/>
          <w:vertAlign w:val="superscript"/>
        </w:rPr>
        <w:t>st</w:t>
      </w:r>
      <w:r w:rsidRPr="006B03CF">
        <w:rPr>
          <w:i/>
        </w:rPr>
        <w:t xml:space="preserve"> Century: Law and Policy</w:t>
      </w:r>
      <w:r w:rsidRPr="006B03CF">
        <w:t xml:space="preserve"> (Edwin Elgar 2011)  at p266 </w:t>
      </w:r>
    </w:p>
  </w:footnote>
  <w:footnote w:id="74">
    <w:p w14:paraId="40C2E2BF" w14:textId="77777777" w:rsidR="00454722" w:rsidRPr="006B03CF" w:rsidRDefault="00454722">
      <w:pPr>
        <w:pStyle w:val="FootnoteText"/>
      </w:pPr>
      <w:r w:rsidRPr="006B03CF">
        <w:rPr>
          <w:rStyle w:val="FootnoteReference"/>
        </w:rPr>
        <w:footnoteRef/>
      </w:r>
      <w:r w:rsidRPr="006B03CF">
        <w:t xml:space="preserve"> The Guardian, ‘Why do US Judges Give Such Long Prison Sentences?’ &lt;http://www.guardian.co.uk/law/shortcuts/2012/mar/07/us-judges-long-prison-sentences&gt; accessed 13 December 2012</w:t>
      </w:r>
    </w:p>
  </w:footnote>
  <w:footnote w:id="75">
    <w:p w14:paraId="0F819CAC" w14:textId="77777777" w:rsidR="00454722" w:rsidRPr="006B03CF" w:rsidRDefault="00454722">
      <w:pPr>
        <w:pStyle w:val="FootnoteText"/>
      </w:pPr>
      <w:r w:rsidRPr="006B03CF">
        <w:rPr>
          <w:rStyle w:val="FootnoteReference"/>
        </w:rPr>
        <w:footnoteRef/>
      </w:r>
      <w:r w:rsidRPr="006B03CF">
        <w:t xml:space="preserve"> 18 U.S.C </w:t>
      </w:r>
      <w:r w:rsidRPr="006B03CF">
        <w:rPr>
          <w:rStyle w:val="CharAttribute15"/>
          <w:rFonts w:eastAsia="Batang"/>
          <w:color w:val="auto"/>
          <w:sz w:val="20"/>
        </w:rPr>
        <w:t>§1341</w:t>
      </w:r>
    </w:p>
  </w:footnote>
  <w:footnote w:id="76">
    <w:p w14:paraId="7A641972" w14:textId="77777777" w:rsidR="00454722" w:rsidRPr="006B03CF" w:rsidRDefault="00454722">
      <w:pPr>
        <w:pStyle w:val="FootnoteText"/>
      </w:pPr>
      <w:r w:rsidRPr="006B03CF">
        <w:rPr>
          <w:rStyle w:val="FootnoteReference"/>
        </w:rPr>
        <w:footnoteRef/>
      </w:r>
      <w:r w:rsidRPr="006B03CF">
        <w:t xml:space="preserve"> 18 U.S.C </w:t>
      </w:r>
      <w:r w:rsidRPr="006B03CF">
        <w:rPr>
          <w:rStyle w:val="CharAttribute15"/>
          <w:rFonts w:eastAsia="Batang"/>
          <w:color w:val="auto"/>
          <w:sz w:val="20"/>
        </w:rPr>
        <w:t>§1344</w:t>
      </w:r>
    </w:p>
  </w:footnote>
  <w:footnote w:id="77">
    <w:p w14:paraId="6D3115A2" w14:textId="77777777" w:rsidR="00454722" w:rsidRPr="006B03CF" w:rsidRDefault="00454722">
      <w:pPr>
        <w:pStyle w:val="FootnoteText"/>
      </w:pPr>
      <w:r w:rsidRPr="006B03CF">
        <w:rPr>
          <w:rStyle w:val="FootnoteReference"/>
        </w:rPr>
        <w:footnoteRef/>
      </w:r>
      <w:r w:rsidRPr="006B03CF">
        <w:t xml:space="preserve"> 18 U.S.C </w:t>
      </w:r>
      <w:r w:rsidRPr="006B03CF">
        <w:rPr>
          <w:rStyle w:val="CharAttribute15"/>
          <w:rFonts w:eastAsia="Batang"/>
          <w:color w:val="auto"/>
          <w:sz w:val="20"/>
        </w:rPr>
        <w:t>§1348</w:t>
      </w:r>
    </w:p>
  </w:footnote>
  <w:footnote w:id="78">
    <w:p w14:paraId="0F17E55C" w14:textId="77777777" w:rsidR="00454722" w:rsidRPr="006B03CF" w:rsidRDefault="00454722">
      <w:pPr>
        <w:pStyle w:val="FootnoteText"/>
      </w:pPr>
      <w:r w:rsidRPr="006B03CF">
        <w:rPr>
          <w:rStyle w:val="FootnoteReference"/>
        </w:rPr>
        <w:footnoteRef/>
      </w:r>
      <w:r w:rsidRPr="006B03CF">
        <w:t xml:space="preserve"> Nicholas Ryder, </w:t>
      </w:r>
      <w:r w:rsidRPr="006B03CF">
        <w:rPr>
          <w:i/>
        </w:rPr>
        <w:t>Financial Crime in the 21</w:t>
      </w:r>
      <w:r w:rsidRPr="006B03CF">
        <w:rPr>
          <w:i/>
          <w:vertAlign w:val="superscript"/>
        </w:rPr>
        <w:t>st</w:t>
      </w:r>
      <w:r w:rsidRPr="006B03CF">
        <w:rPr>
          <w:i/>
        </w:rPr>
        <w:t xml:space="preserve"> Century: Law and Policy</w:t>
      </w:r>
      <w:r w:rsidRPr="006B03CF">
        <w:t xml:space="preserve"> (Edwin Elgar 2011)  at p280</w:t>
      </w:r>
    </w:p>
  </w:footnote>
  <w:footnote w:id="79">
    <w:p w14:paraId="22C6B77E" w14:textId="77777777" w:rsidR="00454722" w:rsidRPr="006B03CF" w:rsidRDefault="00454722">
      <w:pPr>
        <w:pStyle w:val="FootnoteText"/>
      </w:pPr>
      <w:r w:rsidRPr="006B03CF">
        <w:rPr>
          <w:rStyle w:val="FootnoteReference"/>
        </w:rPr>
        <w:footnoteRef/>
      </w:r>
      <w:r w:rsidRPr="006B03CF">
        <w:t xml:space="preserve"> BBC News, ‘Fraudster Madoff gets 150 years’ &lt;http://news.bbc.co.uk/1/hi/business/8124838.stm&gt; accessed 11 December 2012</w:t>
      </w:r>
    </w:p>
  </w:footnote>
  <w:footnote w:id="80">
    <w:p w14:paraId="3C7A11AC" w14:textId="77777777" w:rsidR="00454722" w:rsidRPr="006B03CF" w:rsidRDefault="00454722">
      <w:pPr>
        <w:pStyle w:val="FootnoteText"/>
      </w:pPr>
      <w:r w:rsidRPr="006B03CF">
        <w:rPr>
          <w:rStyle w:val="FootnoteReference"/>
        </w:rPr>
        <w:footnoteRef/>
      </w:r>
      <w:r w:rsidRPr="006B03CF">
        <w:t xml:space="preserve"> </w:t>
      </w:r>
      <w:r>
        <w:t>FBI, ‘Georgia Man Sentenced to 75 Months in Prison for Role in $1.3 Million Phishing Fraud Scheme’ &lt;</w:t>
      </w:r>
      <w:r w:rsidRPr="006B03CF">
        <w:t>http://www.fbi.gov/newark/press-releases/2012/georgia-man-sentenced-to-75-months-in-prison-for-role-in-1.3-million-phishing-fraud-scheme&gt; accessed 12 December 2012</w:t>
      </w:r>
    </w:p>
  </w:footnote>
  <w:footnote w:id="81">
    <w:p w14:paraId="3204D677" w14:textId="77777777" w:rsidR="00454722" w:rsidRPr="006B03CF" w:rsidRDefault="00454722">
      <w:pPr>
        <w:pStyle w:val="FootnoteText"/>
      </w:pPr>
      <w:r w:rsidRPr="006B03CF">
        <w:rPr>
          <w:rStyle w:val="FootnoteReference"/>
        </w:rPr>
        <w:footnoteRef/>
      </w:r>
      <w:r w:rsidRPr="006B03CF">
        <w:t xml:space="preserve"> Commodity Futures Trading Commission, ‘CTFC Orders Barclays to pay $200 Million Penalty for Attempted Manipulation of and False Reporting concerning LIBOR and Euribor Benchmark Interest Rates &lt;http://www.cftc.gov/PressRoom/PressReleases/pr6289-12&gt; accessed 11 December 2012</w:t>
      </w:r>
    </w:p>
  </w:footnote>
  <w:footnote w:id="82">
    <w:p w14:paraId="7EA46B0B" w14:textId="77777777" w:rsidR="00454722" w:rsidRPr="006B03CF" w:rsidRDefault="00454722">
      <w:pPr>
        <w:pStyle w:val="FootnoteText"/>
      </w:pPr>
      <w:r w:rsidRPr="006B03CF">
        <w:rPr>
          <w:rStyle w:val="FootnoteReference"/>
        </w:rPr>
        <w:footnoteRef/>
      </w:r>
      <w:r w:rsidRPr="006B03CF">
        <w:t xml:space="preserve"> Department of Justice, ‘Barclays Bank PLC Admits Misconduct Related to Submissions for the London Interbank Offered Rate and the Euro Interbank Rate and Agrees to Pay $160 Million Penalty &lt;http://www.justice.gov/opa/pr/2012/June/12-crm-815.html&gt; accessed 11 December 2012</w:t>
      </w:r>
    </w:p>
  </w:footnote>
  <w:footnote w:id="83">
    <w:p w14:paraId="04AB80B5" w14:textId="77777777" w:rsidR="00454722" w:rsidRPr="006B03CF" w:rsidRDefault="00454722">
      <w:pPr>
        <w:pStyle w:val="FootnoteText"/>
      </w:pPr>
      <w:r w:rsidRPr="006B03CF">
        <w:rPr>
          <w:rStyle w:val="FootnoteReference"/>
        </w:rPr>
        <w:footnoteRef/>
      </w:r>
      <w:r w:rsidRPr="006B03CF">
        <w:t xml:space="preserve"> Based on 27</w:t>
      </w:r>
      <w:r w:rsidRPr="006B03CF">
        <w:rPr>
          <w:vertAlign w:val="superscript"/>
        </w:rPr>
        <w:t>th</w:t>
      </w:r>
      <w:r w:rsidRPr="006B03CF">
        <w:t xml:space="preserve"> June 2012 exchange rate of  1 USD = 0.6422 GBP</w:t>
      </w:r>
    </w:p>
  </w:footnote>
  <w:footnote w:id="84">
    <w:p w14:paraId="42754F09" w14:textId="77777777" w:rsidR="00454722" w:rsidRPr="006B03CF" w:rsidRDefault="00454722">
      <w:pPr>
        <w:pStyle w:val="FootnoteText"/>
      </w:pPr>
      <w:r w:rsidRPr="006B03CF">
        <w:rPr>
          <w:rStyle w:val="FootnoteReference"/>
        </w:rPr>
        <w:footnoteRef/>
      </w:r>
      <w:r w:rsidRPr="006B03CF">
        <w:t xml:space="preserve"> BBC News, ‘ HSCA To Pay £1.9bn In US Money Laundering Penalties &lt;http://www.bbc.co.uk/news/business-20673466&gt; accessed 12 December 2012</w:t>
      </w:r>
    </w:p>
  </w:footnote>
  <w:footnote w:id="85">
    <w:p w14:paraId="2965D759" w14:textId="77777777" w:rsidR="00454722" w:rsidRPr="006B03CF" w:rsidRDefault="00454722">
      <w:pPr>
        <w:pStyle w:val="FootnoteText"/>
      </w:pPr>
      <w:r w:rsidRPr="006B03CF">
        <w:rPr>
          <w:rStyle w:val="FootnoteReference"/>
        </w:rPr>
        <w:footnoteRef/>
      </w:r>
      <w:r w:rsidRPr="006B03CF">
        <w:t xml:space="preserve"> HSBC, ‘HSBC Holdings PLC: Annual Report and Accounts 2011’ &lt;http://www.hsbc.com/1/content/assets/investor_relations/hsbc2011ara0.pdf&gt; accessed 13 December 2012</w:t>
      </w:r>
    </w:p>
  </w:footnote>
  <w:footnote w:id="86">
    <w:p w14:paraId="43034B52" w14:textId="4DD63B00" w:rsidR="00454722" w:rsidRPr="006B03CF" w:rsidRDefault="00454722">
      <w:pPr>
        <w:pStyle w:val="FootnoteText"/>
      </w:pPr>
      <w:r w:rsidRPr="006B03CF">
        <w:rPr>
          <w:rStyle w:val="FootnoteReference"/>
        </w:rPr>
        <w:footnoteRef/>
      </w:r>
      <w:r w:rsidRPr="006B03CF">
        <w:t xml:space="preserve"> </w:t>
      </w:r>
      <w:r w:rsidR="00311FE5" w:rsidRPr="00454722">
        <w:rPr>
          <w:rStyle w:val="CharAttribute20"/>
          <w:rFonts w:eastAsia="Batang"/>
          <w:i/>
        </w:rPr>
        <w:t>Ibid</w:t>
      </w:r>
    </w:p>
  </w:footnote>
  <w:footnote w:id="87">
    <w:p w14:paraId="706D6865" w14:textId="77777777" w:rsidR="00454722" w:rsidRPr="006B03CF" w:rsidRDefault="00454722">
      <w:pPr>
        <w:pStyle w:val="FootnoteText"/>
      </w:pPr>
      <w:r w:rsidRPr="006B03CF">
        <w:rPr>
          <w:rStyle w:val="FootnoteReference"/>
        </w:rPr>
        <w:footnoteRef/>
      </w:r>
      <w:r w:rsidRPr="006B03CF">
        <w:t xml:space="preserve"> Reuters, ‘With Germany On Side, EU Nears Banking Union Deal &lt;http://www.reuters.com/article/2012/12/12/us-eu-banking-idUSBRE8BB00820121212&gt; accessed 12 December 2012</w:t>
      </w:r>
    </w:p>
  </w:footnote>
  <w:footnote w:id="88">
    <w:p w14:paraId="304AE234" w14:textId="77777777" w:rsidR="00454722" w:rsidRPr="006B03CF" w:rsidRDefault="00454722">
      <w:pPr>
        <w:pStyle w:val="FootnoteText"/>
      </w:pPr>
      <w:r w:rsidRPr="006B03CF">
        <w:rPr>
          <w:rStyle w:val="FootnoteReference"/>
        </w:rPr>
        <w:footnoteRef/>
      </w:r>
      <w:r w:rsidRPr="006B03CF">
        <w:t xml:space="preserve"> FATF, ‘Who we are’ &lt;http://www.fatf-gafi.org/pages/aboutus/&gt; accessed 12 December 2012</w:t>
      </w:r>
    </w:p>
  </w:footnote>
  <w:footnote w:id="89">
    <w:p w14:paraId="43D4B3F1" w14:textId="77777777" w:rsidR="00454722" w:rsidRPr="006B03CF" w:rsidRDefault="00454722" w:rsidP="00F52C18">
      <w:pPr>
        <w:pStyle w:val="FootnoteText"/>
      </w:pPr>
      <w:r w:rsidRPr="006B03CF">
        <w:rPr>
          <w:rStyle w:val="FootnoteReference"/>
        </w:rPr>
        <w:footnoteRef/>
      </w:r>
      <w:r w:rsidRPr="006B03CF">
        <w:t xml:space="preserve"> Bank For International Settlements ‘History of the Basel Committee and its Membership’ &lt;http://www.bis.org/bcbs/history.htm&gt; accessed 12 December 2012</w:t>
      </w:r>
    </w:p>
  </w:footnote>
  <w:footnote w:id="90">
    <w:p w14:paraId="5207F03A" w14:textId="77777777" w:rsidR="00454722" w:rsidRPr="006B03CF" w:rsidRDefault="00454722" w:rsidP="00F52C18">
      <w:pPr>
        <w:pStyle w:val="FootnoteText"/>
      </w:pPr>
      <w:r w:rsidRPr="006B03CF">
        <w:rPr>
          <w:rStyle w:val="FootnoteReference"/>
        </w:rPr>
        <w:footnoteRef/>
      </w:r>
      <w:r w:rsidRPr="006B03CF">
        <w:t xml:space="preserve"> Bank For International Settlements ‘Basel Committee on Banking Supervision: International Convergence of Capital Measurement and Capital Standards, A Revised Framework’ &lt;http://www.bis.org/publ/bcbs128.pdf&gt; accessed 12 December 2012</w:t>
      </w:r>
    </w:p>
  </w:footnote>
  <w:footnote w:id="91">
    <w:p w14:paraId="1597CC72" w14:textId="77777777" w:rsidR="00454722" w:rsidRPr="006B03CF" w:rsidRDefault="00454722" w:rsidP="00F52C18">
      <w:pPr>
        <w:pStyle w:val="FootnoteText"/>
      </w:pPr>
      <w:r w:rsidRPr="006B03CF">
        <w:rPr>
          <w:rStyle w:val="FootnoteReference"/>
        </w:rPr>
        <w:footnoteRef/>
      </w:r>
      <w:r w:rsidRPr="006B03CF">
        <w:t xml:space="preserve"> Bank For International Settlements ‘Basel Committee on Banking Supervision: International Convergence of Capital Measurement and Capital Standards, A Revised Framework’ &lt;http://www.bis.org/publ/bcbs128.pdf&gt; accessed 12 December 2012</w:t>
      </w:r>
    </w:p>
  </w:footnote>
  <w:footnote w:id="92">
    <w:p w14:paraId="7B8AF00D" w14:textId="242D0222" w:rsidR="00454722" w:rsidRPr="006B03CF" w:rsidRDefault="00454722" w:rsidP="00F52C18">
      <w:pPr>
        <w:pStyle w:val="FootnoteText"/>
      </w:pPr>
      <w:r w:rsidRPr="006B03CF">
        <w:rPr>
          <w:rStyle w:val="FootnoteReference"/>
        </w:rPr>
        <w:footnoteRef/>
      </w:r>
      <w:r w:rsidRPr="006B03CF">
        <w:t xml:space="preserve"> </w:t>
      </w:r>
      <w:r w:rsidR="00311FE5" w:rsidRPr="00454722">
        <w:rPr>
          <w:rStyle w:val="CharAttribute20"/>
          <w:rFonts w:eastAsia="Batang"/>
          <w:i/>
        </w:rPr>
        <w:t>Ibid</w:t>
      </w:r>
    </w:p>
  </w:footnote>
  <w:footnote w:id="93">
    <w:p w14:paraId="1C281D3C" w14:textId="77777777" w:rsidR="00454722" w:rsidRPr="006B03CF" w:rsidRDefault="00454722" w:rsidP="00F52C18">
      <w:pPr>
        <w:pStyle w:val="FootnoteText"/>
      </w:pPr>
      <w:r w:rsidRPr="006B03CF">
        <w:rPr>
          <w:rStyle w:val="FootnoteReference"/>
        </w:rPr>
        <w:footnoteRef/>
      </w:r>
      <w:r w:rsidRPr="006B03CF">
        <w:t xml:space="preserve"> Bank For International Settlements ‘History of the Basel Committee and its Membership’ &lt;http://www.bis.org/bcbs/history.htm&gt; accessed 12 December 2012</w:t>
      </w:r>
    </w:p>
  </w:footnote>
  <w:footnote w:id="94">
    <w:p w14:paraId="49F639AC" w14:textId="77777777" w:rsidR="00454722" w:rsidRPr="006B03CF" w:rsidRDefault="00454722">
      <w:pPr>
        <w:pStyle w:val="FootnoteText"/>
      </w:pPr>
      <w:r w:rsidRPr="006B03CF">
        <w:rPr>
          <w:rStyle w:val="FootnoteReference"/>
        </w:rPr>
        <w:footnoteRef/>
      </w:r>
      <w:r w:rsidRPr="006B03CF">
        <w:t xml:space="preserve"> Directive (EU) 76/2010 of 24 November 2010 amending Directives 2006/48/EC and 2006/49/EC as regards to capital requirements for the trading book and for re-securitisations, and the supervisory review of remuneration policies [2010] OJ L329/3</w:t>
      </w:r>
    </w:p>
  </w:footnote>
  <w:footnote w:id="95">
    <w:p w14:paraId="060F6224" w14:textId="77777777" w:rsidR="00454722" w:rsidRPr="006B03CF" w:rsidRDefault="00454722" w:rsidP="00417A5A">
      <w:r w:rsidRPr="006B03CF">
        <w:rPr>
          <w:rStyle w:val="FootnoteReference"/>
        </w:rPr>
        <w:footnoteRef/>
      </w:r>
      <w:r w:rsidRPr="006B03CF">
        <w:t xml:space="preserve"> </w:t>
      </w:r>
      <w:r w:rsidRPr="006B03CF">
        <w:rPr>
          <w:rStyle w:val="CharAttribute23"/>
          <w:rFonts w:eastAsia="Batang"/>
        </w:rPr>
        <w:t xml:space="preserve">Ayres and Braithwaite, </w:t>
      </w:r>
      <w:r w:rsidRPr="006B03CF">
        <w:rPr>
          <w:rStyle w:val="CharAttribute22"/>
          <w:rFonts w:eastAsia="Batang"/>
        </w:rPr>
        <w:t xml:space="preserve">Responsive Regulation: Transcending the Deregulation Debate </w:t>
      </w:r>
      <w:r w:rsidRPr="006B03CF">
        <w:rPr>
          <w:rStyle w:val="CharAttribute23"/>
          <w:rFonts w:eastAsia="Batang"/>
        </w:rPr>
        <w:t>(Oxford Social-Legal Studies, OUP, 1992)</w:t>
      </w:r>
    </w:p>
  </w:footnote>
  <w:footnote w:id="96">
    <w:p w14:paraId="1734ACB6" w14:textId="34878856" w:rsidR="00454722" w:rsidRPr="006B03CF" w:rsidRDefault="00454722" w:rsidP="00417A5A">
      <w:r w:rsidRPr="006B03CF">
        <w:rPr>
          <w:rStyle w:val="FootnoteReference"/>
        </w:rPr>
        <w:footnoteRef/>
      </w:r>
      <w:r w:rsidRPr="006B03CF">
        <w:t xml:space="preserve"> </w:t>
      </w:r>
      <w:r w:rsidR="00311FE5" w:rsidRPr="00454722">
        <w:rPr>
          <w:rStyle w:val="CharAttribute20"/>
          <w:rFonts w:eastAsia="Batang"/>
          <w:i/>
        </w:rPr>
        <w:t>Ibid</w:t>
      </w:r>
    </w:p>
  </w:footnote>
  <w:footnote w:id="97">
    <w:p w14:paraId="5AD28D58" w14:textId="0891C79A" w:rsidR="00454722" w:rsidRPr="006B03CF" w:rsidRDefault="00454722" w:rsidP="00417A5A">
      <w:r w:rsidRPr="006B03CF">
        <w:rPr>
          <w:rStyle w:val="FootnoteReference"/>
        </w:rPr>
        <w:footnoteRef/>
      </w:r>
      <w:r w:rsidRPr="006B03CF">
        <w:t xml:space="preserve"> </w:t>
      </w:r>
      <w:r w:rsidR="00311FE5" w:rsidRPr="00454722">
        <w:rPr>
          <w:rStyle w:val="CharAttribute20"/>
          <w:rFonts w:eastAsia="Batang"/>
          <w:i/>
        </w:rPr>
        <w:t>Ibid</w:t>
      </w:r>
    </w:p>
  </w:footnote>
  <w:footnote w:id="98">
    <w:p w14:paraId="5A8550E5" w14:textId="77777777" w:rsidR="00454722" w:rsidRPr="006B03CF" w:rsidRDefault="00454722">
      <w:pPr>
        <w:pStyle w:val="FootnoteText"/>
      </w:pPr>
      <w:r w:rsidRPr="006B03CF">
        <w:rPr>
          <w:rStyle w:val="FootnoteReference"/>
        </w:rPr>
        <w:footnoteRef/>
      </w:r>
      <w:r w:rsidRPr="006B03CF">
        <w:t xml:space="preserve"> Money Marketing, ‘PRA and FCA to Push Up Regulatory Costs by 20% &lt;http://www.moneymarketing.co.uk/regulation/pra-and-fca-to-push-up-regulatory-costs-by-20/1056944.article&gt; accessed 12 December 2012</w:t>
      </w:r>
      <w:bookmarkStart w:id="0" w:name="_GoBack"/>
      <w:bookmarkEnd w:id="0"/>
    </w:p>
  </w:footnote>
  <w:footnote w:id="99">
    <w:p w14:paraId="477D388F" w14:textId="77777777" w:rsidR="00454722" w:rsidRPr="006B03CF" w:rsidRDefault="00454722" w:rsidP="003E7D60">
      <w:r w:rsidRPr="006B03CF">
        <w:rPr>
          <w:rStyle w:val="FootnoteReference"/>
        </w:rPr>
        <w:footnoteRef/>
      </w:r>
      <w:r w:rsidRPr="006B03CF">
        <w:t xml:space="preserve"> Travers Smith Regulatory Investigations Group, ‘FSA Enforcement Action: Themes and Trends’ (2012) 96 (May) C.O.B 1 at p.2</w:t>
      </w:r>
    </w:p>
  </w:footnote>
  <w:footnote w:id="100">
    <w:p w14:paraId="29EF97D9" w14:textId="77777777" w:rsidR="00454722" w:rsidRPr="005A7162" w:rsidRDefault="00454722" w:rsidP="003174FB">
      <w:pPr>
        <w:pStyle w:val="FootnoteText"/>
      </w:pPr>
      <w:r w:rsidRPr="005A7162">
        <w:rPr>
          <w:rStyle w:val="FootnoteReference"/>
        </w:rPr>
        <w:footnoteRef/>
      </w:r>
      <w:r w:rsidRPr="005A7162">
        <w:t xml:space="preserve"> Replicated based on Ayres and Braithwaite, </w:t>
      </w:r>
      <w:r w:rsidRPr="005A7162">
        <w:rPr>
          <w:i/>
        </w:rPr>
        <w:t>Responsive Regulation: Transcending the deregulation Debate</w:t>
      </w:r>
      <w:r w:rsidRPr="005A7162">
        <w:t xml:space="preserve"> (Oxford Social=Legal Studies, OUP, 1992) p35</w:t>
      </w:r>
    </w:p>
  </w:footnote>
  <w:footnote w:id="101">
    <w:p w14:paraId="67A127C3" w14:textId="77777777" w:rsidR="00454722" w:rsidRPr="005A7162" w:rsidRDefault="00454722" w:rsidP="003174FB">
      <w:pPr>
        <w:pStyle w:val="FootnoteText"/>
      </w:pPr>
      <w:r w:rsidRPr="005A7162">
        <w:rPr>
          <w:rStyle w:val="FootnoteReference"/>
        </w:rPr>
        <w:footnoteRef/>
      </w:r>
      <w:r w:rsidRPr="005A7162">
        <w:t xml:space="preserve"> Complied based on Barclays, ‘Barclays PLC: Annual Report 2011’ &lt;http://group.barclays.com/Satellite?blobcol=urldata&amp;blobheader=application%2Fpdf&amp;blobheadername1=Content-Disposition&amp;blobheadername2=MDT-Type&amp;blobheadervalue1=inline%3B+filename%3D2011-Barclays-PLC-Annual-Report-(PDF).pdf&amp;blobheadervalue2=abinary%3B+charset%3DUTF-8&amp;blobkey=id&amp;blobtable=MungoBlobs&amp;blobwhere=1330686323829&amp;ssbinary=true&gt; accessed 12 December 2012, FSA, ‘Final Notice: Barclays Bank PLC’ &lt;http://www.fsa.gov.uk/static/pubs/final/barclays-jun12.pdf&gt; accessed 10 December 2012, Commodity Futures Trading Commission, ‘CTFC Orders Barclays to pay $200 Million Penalty for Attempted Manipulation of and False Reporting concerning LIBOR and Euribor Benchmark Interest Rates &lt;http://www.cftc.gov/PressRoom/PressReleases/pr6289-12&gt; accessed 11 December 2012 and Department of Justice, ‘Barclays Bank PLC Admits Misconduct Related to Submissions for the London Interbank Offered Rate and the Euro Interbank Rate and Agrees to Pay $160 Million Penalty &lt;http://www.justice.gov/opa/pr/2012/June/12-crm-815.html&gt; accessed 11 December 2012</w:t>
      </w:r>
    </w:p>
  </w:footnote>
  <w:footnote w:id="102">
    <w:p w14:paraId="2C7F4C11" w14:textId="77777777" w:rsidR="00454722" w:rsidRPr="005A7162" w:rsidRDefault="00454722" w:rsidP="003174FB">
      <w:pPr>
        <w:pStyle w:val="FootnoteText"/>
      </w:pPr>
      <w:r w:rsidRPr="005A7162">
        <w:rPr>
          <w:rStyle w:val="FootnoteReference"/>
        </w:rPr>
        <w:footnoteRef/>
      </w:r>
      <w:r w:rsidRPr="005A7162">
        <w:t xml:space="preserve"> </w:t>
      </w:r>
      <w:r w:rsidRPr="00ED2C96">
        <w:t>1 USD = 0.6422 on date of fine: 27 June 2012</w:t>
      </w:r>
    </w:p>
  </w:footnote>
  <w:footnote w:id="103">
    <w:p w14:paraId="2A95F50E" w14:textId="77777777" w:rsidR="00454722" w:rsidRPr="005A7162" w:rsidRDefault="00454722" w:rsidP="003174FB">
      <w:pPr>
        <w:pStyle w:val="FootnoteText"/>
      </w:pPr>
      <w:r w:rsidRPr="005A7162">
        <w:rPr>
          <w:rStyle w:val="FootnoteReference"/>
        </w:rPr>
        <w:footnoteRef/>
      </w:r>
      <w:r w:rsidRPr="005A7162">
        <w:t xml:space="preserve"> Complied based on UBS, ‘UBS: Annual Report 2011’ &lt;http://www.static-ubs.com/global/en/about_ubs/investor_relations/annualreporting/2011/_jcr_content/par/teaserbox_6c86/teaser_acb3/linklist/link_9f50.228736590.file/bGluay9wYXRoPS9jb250ZW50L2RhbS9zdGF0aWMvZ2xvYmFsL2ludmVzdG9yX3JlbGF0aW9ucy9hbm51YWwyMDExL0FSMjAxMV9lLnBkZg==/AR2011_e.pdf&gt; accessed 12 December 2012 and FSA, ‘Final Notice: UBS AG’ &lt;http://www.fsa.gov.uk/static/pubs/final/ubs-ag.pdf&gt; accessed 12 December 2012</w:t>
      </w:r>
    </w:p>
  </w:footnote>
  <w:footnote w:id="104">
    <w:p w14:paraId="55E6DB7F" w14:textId="77777777" w:rsidR="00454722" w:rsidRPr="005A7162" w:rsidRDefault="00454722" w:rsidP="003174FB">
      <w:pPr>
        <w:pStyle w:val="FootnoteText"/>
      </w:pPr>
      <w:r w:rsidRPr="005A7162">
        <w:rPr>
          <w:rStyle w:val="FootnoteReference"/>
        </w:rPr>
        <w:footnoteRef/>
      </w:r>
      <w:r w:rsidRPr="005A7162">
        <w:t xml:space="preserve"> 1 CHF = 0.6897 GBP on date of profits published: 15 March 2012</w:t>
      </w:r>
    </w:p>
  </w:footnote>
  <w:footnote w:id="105">
    <w:p w14:paraId="147F86EF" w14:textId="77777777" w:rsidR="00454722" w:rsidRPr="005A7162" w:rsidRDefault="00454722" w:rsidP="003174FB">
      <w:pPr>
        <w:pStyle w:val="FootnoteText"/>
      </w:pPr>
      <w:r w:rsidRPr="005A7162">
        <w:rPr>
          <w:rStyle w:val="FootnoteReference"/>
        </w:rPr>
        <w:footnoteRef/>
      </w:r>
      <w:r w:rsidRPr="005A7162">
        <w:t xml:space="preserve"> Complied based on HSBC, ‘HSBC Holdings PLC: Annual Report and Accounts 2011’ &lt;http://www.hsbc.com/1/content/assets/investor_relations/hsbc2011ara0.pdf&gt; accessed 13 December 2012 and  BBC News, ‘ HSCA To Pay £1.9bn In US Money Laundering Penalties &lt;http://www.bbc.co.uk/news/business-20673466&gt; accessed 12 December 2012</w:t>
      </w:r>
    </w:p>
  </w:footnote>
  <w:footnote w:id="106">
    <w:p w14:paraId="7B683299" w14:textId="77777777" w:rsidR="00454722" w:rsidRPr="005A7162" w:rsidRDefault="00454722" w:rsidP="003174FB">
      <w:r w:rsidRPr="005A7162">
        <w:rPr>
          <w:rStyle w:val="FootnoteReference"/>
        </w:rPr>
        <w:footnoteRef/>
      </w:r>
      <w:r w:rsidRPr="005A7162">
        <w:t xml:space="preserve"> Complied based on information extracted from: FSA, ‘Enforcement Notices and Application Refusals’ &lt;http://www.fsa.gov.uk/library/communication/notices&gt; accessed 10 December 2012 and FSA, ‘Fines Table’ &lt;http://www.fsa.gov.uk/about/media/facts/fines&gt; accessed 10 December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7BB8" w14:textId="77777777" w:rsidR="00454722" w:rsidRDefault="00454722" w:rsidP="00F9309B">
    <w:pPr>
      <w:pStyle w:val="ParaAttribute1"/>
      <w:spacing w:line="480" w:lineRule="auto"/>
      <w:rPr>
        <w:sz w:val="24"/>
        <w:szCs w:val="24"/>
      </w:rPr>
    </w:pPr>
    <w:r>
      <w:rPr>
        <w:rStyle w:val="CharAttribute0"/>
        <w:rFonts w:eastAsia="Batang"/>
        <w:szCs w:val="24"/>
      </w:rPr>
      <w:t>Title</w:t>
    </w:r>
  </w:p>
  <w:p w14:paraId="77CE40ED" w14:textId="310F0E17" w:rsidR="00454722" w:rsidRPr="00F9309B" w:rsidRDefault="00454722" w:rsidP="00F9309B">
    <w:pPr>
      <w:pStyle w:val="ParaAttribute1"/>
      <w:spacing w:line="480" w:lineRule="auto"/>
      <w:rPr>
        <w:sz w:val="24"/>
        <w:szCs w:val="24"/>
      </w:rPr>
    </w:pPr>
    <w:r>
      <w:rPr>
        <w:rStyle w:val="CharAttribute1"/>
        <w:rFonts w:eastAsia="Batang"/>
        <w:szCs w:val="24"/>
      </w:rPr>
      <w:t xml:space="preserve">The Carrot or the Stick: Finding a balance in the regulatory conundrum.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B8"/>
    <w:rsid w:val="000075E6"/>
    <w:rsid w:val="000122D1"/>
    <w:rsid w:val="000127AD"/>
    <w:rsid w:val="00020766"/>
    <w:rsid w:val="0003498F"/>
    <w:rsid w:val="0004712B"/>
    <w:rsid w:val="00054669"/>
    <w:rsid w:val="0005546E"/>
    <w:rsid w:val="000621F7"/>
    <w:rsid w:val="000813F1"/>
    <w:rsid w:val="000B30D0"/>
    <w:rsid w:val="000B6ADB"/>
    <w:rsid w:val="00105A99"/>
    <w:rsid w:val="00113739"/>
    <w:rsid w:val="00114C65"/>
    <w:rsid w:val="00114D11"/>
    <w:rsid w:val="001170B5"/>
    <w:rsid w:val="001265BF"/>
    <w:rsid w:val="001336AA"/>
    <w:rsid w:val="001452C2"/>
    <w:rsid w:val="00163806"/>
    <w:rsid w:val="001A2C81"/>
    <w:rsid w:val="001B2EE3"/>
    <w:rsid w:val="001C4EC2"/>
    <w:rsid w:val="001D6A88"/>
    <w:rsid w:val="001F7EDD"/>
    <w:rsid w:val="002017E9"/>
    <w:rsid w:val="0021259E"/>
    <w:rsid w:val="00216F25"/>
    <w:rsid w:val="00253C98"/>
    <w:rsid w:val="0027117B"/>
    <w:rsid w:val="00272D08"/>
    <w:rsid w:val="002767FB"/>
    <w:rsid w:val="002962AD"/>
    <w:rsid w:val="002A1444"/>
    <w:rsid w:val="002C05DC"/>
    <w:rsid w:val="002D0E57"/>
    <w:rsid w:val="002E484C"/>
    <w:rsid w:val="002E49AD"/>
    <w:rsid w:val="002F188F"/>
    <w:rsid w:val="0030259D"/>
    <w:rsid w:val="00304B2F"/>
    <w:rsid w:val="00311FE5"/>
    <w:rsid w:val="00313170"/>
    <w:rsid w:val="003134DC"/>
    <w:rsid w:val="003174FB"/>
    <w:rsid w:val="003523AB"/>
    <w:rsid w:val="00361FBC"/>
    <w:rsid w:val="0036361F"/>
    <w:rsid w:val="003A3DB8"/>
    <w:rsid w:val="003C6C04"/>
    <w:rsid w:val="003E2C79"/>
    <w:rsid w:val="003E47F1"/>
    <w:rsid w:val="003E7D60"/>
    <w:rsid w:val="003F1D31"/>
    <w:rsid w:val="003F5C54"/>
    <w:rsid w:val="00412D43"/>
    <w:rsid w:val="00415DD7"/>
    <w:rsid w:val="00417A5A"/>
    <w:rsid w:val="00432C8F"/>
    <w:rsid w:val="00452521"/>
    <w:rsid w:val="00454722"/>
    <w:rsid w:val="004616CA"/>
    <w:rsid w:val="00475E0B"/>
    <w:rsid w:val="0048741F"/>
    <w:rsid w:val="00495776"/>
    <w:rsid w:val="004A23B5"/>
    <w:rsid w:val="004A252F"/>
    <w:rsid w:val="004A2FBC"/>
    <w:rsid w:val="004A458F"/>
    <w:rsid w:val="004A58FC"/>
    <w:rsid w:val="00506A28"/>
    <w:rsid w:val="005136A2"/>
    <w:rsid w:val="00546C93"/>
    <w:rsid w:val="00554795"/>
    <w:rsid w:val="005565B3"/>
    <w:rsid w:val="005577F1"/>
    <w:rsid w:val="00566C9C"/>
    <w:rsid w:val="00566FA3"/>
    <w:rsid w:val="00572B30"/>
    <w:rsid w:val="00582310"/>
    <w:rsid w:val="005949EF"/>
    <w:rsid w:val="005E5B00"/>
    <w:rsid w:val="0064485C"/>
    <w:rsid w:val="006457DA"/>
    <w:rsid w:val="00646935"/>
    <w:rsid w:val="0068702F"/>
    <w:rsid w:val="00691634"/>
    <w:rsid w:val="00692844"/>
    <w:rsid w:val="0069345E"/>
    <w:rsid w:val="006978BE"/>
    <w:rsid w:val="006B03CF"/>
    <w:rsid w:val="006C5038"/>
    <w:rsid w:val="006C79CE"/>
    <w:rsid w:val="006D6188"/>
    <w:rsid w:val="006E2F25"/>
    <w:rsid w:val="006E6278"/>
    <w:rsid w:val="006F0EF9"/>
    <w:rsid w:val="006F72F7"/>
    <w:rsid w:val="00721D89"/>
    <w:rsid w:val="0074580D"/>
    <w:rsid w:val="007621D4"/>
    <w:rsid w:val="00773A65"/>
    <w:rsid w:val="00773EA9"/>
    <w:rsid w:val="00776236"/>
    <w:rsid w:val="007853B5"/>
    <w:rsid w:val="007A24DE"/>
    <w:rsid w:val="007B0454"/>
    <w:rsid w:val="007B2F1D"/>
    <w:rsid w:val="007D6D4C"/>
    <w:rsid w:val="007E713B"/>
    <w:rsid w:val="00812447"/>
    <w:rsid w:val="00820BF2"/>
    <w:rsid w:val="008B4505"/>
    <w:rsid w:val="008D75C7"/>
    <w:rsid w:val="008E6BA8"/>
    <w:rsid w:val="008F090F"/>
    <w:rsid w:val="00914C15"/>
    <w:rsid w:val="00922E1D"/>
    <w:rsid w:val="00926FF4"/>
    <w:rsid w:val="00937B21"/>
    <w:rsid w:val="00956AB7"/>
    <w:rsid w:val="00965A71"/>
    <w:rsid w:val="00991188"/>
    <w:rsid w:val="009956B9"/>
    <w:rsid w:val="009B4B4C"/>
    <w:rsid w:val="009C346E"/>
    <w:rsid w:val="009F4865"/>
    <w:rsid w:val="00A03D60"/>
    <w:rsid w:val="00A1444E"/>
    <w:rsid w:val="00A2492F"/>
    <w:rsid w:val="00A41156"/>
    <w:rsid w:val="00A4495F"/>
    <w:rsid w:val="00A51E0C"/>
    <w:rsid w:val="00A54B48"/>
    <w:rsid w:val="00A56C99"/>
    <w:rsid w:val="00AB4A48"/>
    <w:rsid w:val="00AC677B"/>
    <w:rsid w:val="00AE136B"/>
    <w:rsid w:val="00AE443F"/>
    <w:rsid w:val="00AE7AE9"/>
    <w:rsid w:val="00B0081B"/>
    <w:rsid w:val="00B01118"/>
    <w:rsid w:val="00B03270"/>
    <w:rsid w:val="00B057BF"/>
    <w:rsid w:val="00B066FB"/>
    <w:rsid w:val="00B129A8"/>
    <w:rsid w:val="00B15407"/>
    <w:rsid w:val="00B2031E"/>
    <w:rsid w:val="00B24EE2"/>
    <w:rsid w:val="00B331B2"/>
    <w:rsid w:val="00B42F1A"/>
    <w:rsid w:val="00B44CB6"/>
    <w:rsid w:val="00B547E9"/>
    <w:rsid w:val="00B716D8"/>
    <w:rsid w:val="00B74B41"/>
    <w:rsid w:val="00B847A0"/>
    <w:rsid w:val="00B84E07"/>
    <w:rsid w:val="00B85A6E"/>
    <w:rsid w:val="00BB0647"/>
    <w:rsid w:val="00BB721B"/>
    <w:rsid w:val="00BC3B65"/>
    <w:rsid w:val="00BC666A"/>
    <w:rsid w:val="00BD4E31"/>
    <w:rsid w:val="00BD6EA5"/>
    <w:rsid w:val="00BE651C"/>
    <w:rsid w:val="00BF2954"/>
    <w:rsid w:val="00C03FAE"/>
    <w:rsid w:val="00C14839"/>
    <w:rsid w:val="00C15863"/>
    <w:rsid w:val="00C25639"/>
    <w:rsid w:val="00C2683D"/>
    <w:rsid w:val="00C411D0"/>
    <w:rsid w:val="00C64401"/>
    <w:rsid w:val="00C6674A"/>
    <w:rsid w:val="00C95554"/>
    <w:rsid w:val="00CD345E"/>
    <w:rsid w:val="00CD6093"/>
    <w:rsid w:val="00D01654"/>
    <w:rsid w:val="00D212B0"/>
    <w:rsid w:val="00D45853"/>
    <w:rsid w:val="00D711B8"/>
    <w:rsid w:val="00D8328A"/>
    <w:rsid w:val="00D92F62"/>
    <w:rsid w:val="00DA372D"/>
    <w:rsid w:val="00DC1275"/>
    <w:rsid w:val="00DF79DE"/>
    <w:rsid w:val="00E229C6"/>
    <w:rsid w:val="00E31386"/>
    <w:rsid w:val="00E400C8"/>
    <w:rsid w:val="00E83266"/>
    <w:rsid w:val="00E91431"/>
    <w:rsid w:val="00E96255"/>
    <w:rsid w:val="00E96C34"/>
    <w:rsid w:val="00EA6B5C"/>
    <w:rsid w:val="00EB3E70"/>
    <w:rsid w:val="00EC41FC"/>
    <w:rsid w:val="00EC6008"/>
    <w:rsid w:val="00F215D0"/>
    <w:rsid w:val="00F24066"/>
    <w:rsid w:val="00F52C18"/>
    <w:rsid w:val="00F61B74"/>
    <w:rsid w:val="00F64956"/>
    <w:rsid w:val="00F65D4C"/>
    <w:rsid w:val="00F677DC"/>
    <w:rsid w:val="00F7379E"/>
    <w:rsid w:val="00F77AB9"/>
    <w:rsid w:val="00F84CA8"/>
    <w:rsid w:val="00F87CA7"/>
    <w:rsid w:val="00F9309B"/>
    <w:rsid w:val="00FB6D7C"/>
    <w:rsid w:val="00FE1EE1"/>
    <w:rsid w:val="00FF3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72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B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BE65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1444"/>
  </w:style>
  <w:style w:type="character" w:customStyle="1" w:styleId="FootnoteTextChar">
    <w:name w:val="Footnote Text Char"/>
    <w:basedOn w:val="DefaultParagraphFont"/>
    <w:link w:val="FootnoteText"/>
    <w:uiPriority w:val="99"/>
    <w:rsid w:val="002A144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A1444"/>
    <w:rPr>
      <w:vertAlign w:val="superscript"/>
    </w:rPr>
  </w:style>
  <w:style w:type="character" w:styleId="Hyperlink">
    <w:name w:val="Hyperlink"/>
    <w:basedOn w:val="DefaultParagraphFont"/>
    <w:uiPriority w:val="99"/>
    <w:unhideWhenUsed/>
    <w:rsid w:val="0074580D"/>
    <w:rPr>
      <w:color w:val="0000FF" w:themeColor="hyperlink"/>
      <w:u w:val="single"/>
    </w:rPr>
  </w:style>
  <w:style w:type="paragraph" w:styleId="NoSpacing">
    <w:name w:val="No Spacing"/>
    <w:aliases w:val="Courswork"/>
    <w:basedOn w:val="Normal"/>
    <w:link w:val="NoSpacingChar"/>
    <w:uiPriority w:val="1"/>
    <w:qFormat/>
    <w:rsid w:val="00B01118"/>
    <w:pPr>
      <w:spacing w:line="480" w:lineRule="auto"/>
      <w:jc w:val="both"/>
    </w:pPr>
    <w:rPr>
      <w:sz w:val="24"/>
    </w:rPr>
  </w:style>
  <w:style w:type="character" w:customStyle="1" w:styleId="NoSpacingChar">
    <w:name w:val="No Spacing Char"/>
    <w:aliases w:val="Courswork Char"/>
    <w:basedOn w:val="DefaultParagraphFont"/>
    <w:link w:val="NoSpacing"/>
    <w:uiPriority w:val="1"/>
    <w:rsid w:val="00B01118"/>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85A6E"/>
    <w:pPr>
      <w:tabs>
        <w:tab w:val="center" w:pos="4513"/>
        <w:tab w:val="right" w:pos="9026"/>
      </w:tabs>
    </w:pPr>
  </w:style>
  <w:style w:type="character" w:customStyle="1" w:styleId="HeaderChar">
    <w:name w:val="Header Char"/>
    <w:basedOn w:val="DefaultParagraphFont"/>
    <w:link w:val="Header"/>
    <w:uiPriority w:val="99"/>
    <w:rsid w:val="00B85A6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85A6E"/>
    <w:pPr>
      <w:tabs>
        <w:tab w:val="center" w:pos="4513"/>
        <w:tab w:val="right" w:pos="9026"/>
      </w:tabs>
    </w:pPr>
  </w:style>
  <w:style w:type="character" w:customStyle="1" w:styleId="FooterChar">
    <w:name w:val="Footer Char"/>
    <w:basedOn w:val="DefaultParagraphFont"/>
    <w:link w:val="Footer"/>
    <w:uiPriority w:val="99"/>
    <w:rsid w:val="00B85A6E"/>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FF3E1F"/>
  </w:style>
  <w:style w:type="character" w:customStyle="1" w:styleId="EndnoteTextChar">
    <w:name w:val="Endnote Text Char"/>
    <w:basedOn w:val="DefaultParagraphFont"/>
    <w:link w:val="EndnoteText"/>
    <w:uiPriority w:val="99"/>
    <w:semiHidden/>
    <w:rsid w:val="00FF3E1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F3E1F"/>
    <w:rPr>
      <w:vertAlign w:val="superscript"/>
    </w:rPr>
  </w:style>
  <w:style w:type="paragraph" w:customStyle="1" w:styleId="ParaAttribute0">
    <w:name w:val="ParaAttribute0"/>
    <w:rsid w:val="00B15407"/>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3">
    <w:name w:val="ParaAttribute3"/>
    <w:rsid w:val="00B15407"/>
    <w:pPr>
      <w:spacing w:after="0" w:line="240" w:lineRule="auto"/>
      <w:jc w:val="both"/>
    </w:pPr>
    <w:rPr>
      <w:rFonts w:ascii="Times New Roman" w:eastAsia="Batang" w:hAnsi="Times New Roman" w:cs="Times New Roman"/>
      <w:sz w:val="20"/>
      <w:szCs w:val="20"/>
      <w:lang w:eastAsia="en-GB"/>
    </w:rPr>
  </w:style>
  <w:style w:type="paragraph" w:customStyle="1" w:styleId="ParaAttribute4">
    <w:name w:val="ParaAttribute4"/>
    <w:rsid w:val="00B15407"/>
    <w:pPr>
      <w:spacing w:after="0" w:line="240" w:lineRule="auto"/>
    </w:pPr>
    <w:rPr>
      <w:rFonts w:ascii="Times New Roman" w:eastAsia="Batang" w:hAnsi="Times New Roman" w:cs="Times New Roman"/>
      <w:sz w:val="20"/>
      <w:szCs w:val="20"/>
      <w:lang w:eastAsia="en-GB"/>
    </w:rPr>
  </w:style>
  <w:style w:type="character" w:customStyle="1" w:styleId="CharAttribute0">
    <w:name w:val="CharAttribute0"/>
    <w:rsid w:val="00B15407"/>
    <w:rPr>
      <w:rFonts w:ascii="Times New Roman" w:eastAsia="Times New Roman"/>
      <w:sz w:val="24"/>
    </w:rPr>
  </w:style>
  <w:style w:type="character" w:customStyle="1" w:styleId="CharAttribute1">
    <w:name w:val="CharAttribute1"/>
    <w:rsid w:val="00B15407"/>
    <w:rPr>
      <w:rFonts w:ascii="Times New Roman" w:eastAsia="Times New Roman"/>
      <w:sz w:val="24"/>
    </w:rPr>
  </w:style>
  <w:style w:type="character" w:customStyle="1" w:styleId="CharAttribute3">
    <w:name w:val="CharAttribute3"/>
    <w:rsid w:val="00B15407"/>
    <w:rPr>
      <w:rFonts w:ascii="Times New Roman" w:eastAsia="Times New Roman"/>
      <w:vertAlign w:val="superscript"/>
    </w:rPr>
  </w:style>
  <w:style w:type="character" w:customStyle="1" w:styleId="CharAttribute4">
    <w:name w:val="CharAttribute4"/>
    <w:rsid w:val="00B15407"/>
    <w:rPr>
      <w:rFonts w:ascii="Times New Roman" w:eastAsia="Times New Roman"/>
      <w:sz w:val="24"/>
    </w:rPr>
  </w:style>
  <w:style w:type="character" w:customStyle="1" w:styleId="CharAttribute5">
    <w:name w:val="CharAttribute5"/>
    <w:rsid w:val="00B15407"/>
    <w:rPr>
      <w:rFonts w:ascii="Times New Roman" w:eastAsia="Times New Roman"/>
      <w:sz w:val="24"/>
      <w:shd w:val="clear" w:color="auto" w:fill="FFFF00"/>
    </w:rPr>
  </w:style>
  <w:style w:type="character" w:customStyle="1" w:styleId="CharAttribute6">
    <w:name w:val="CharAttribute6"/>
    <w:rsid w:val="00B15407"/>
    <w:rPr>
      <w:rFonts w:ascii="Times New Roman" w:eastAsia="Times New Roman"/>
      <w:sz w:val="24"/>
    </w:rPr>
  </w:style>
  <w:style w:type="character" w:customStyle="1" w:styleId="CharAttribute7">
    <w:name w:val="CharAttribute7"/>
    <w:rsid w:val="00B15407"/>
    <w:rPr>
      <w:rFonts w:ascii="Times New Roman" w:eastAsia="Times New Roman"/>
      <w:sz w:val="24"/>
    </w:rPr>
  </w:style>
  <w:style w:type="character" w:customStyle="1" w:styleId="CharAttribute8">
    <w:name w:val="CharAttribute8"/>
    <w:rsid w:val="00B15407"/>
    <w:rPr>
      <w:rFonts w:ascii="Times New Roman" w:eastAsia="Times New Roman"/>
      <w:sz w:val="24"/>
    </w:rPr>
  </w:style>
  <w:style w:type="character" w:customStyle="1" w:styleId="CharAttribute9">
    <w:name w:val="CharAttribute9"/>
    <w:rsid w:val="00B15407"/>
    <w:rPr>
      <w:rFonts w:ascii="Times New Roman" w:eastAsia="Times New Roman"/>
      <w:sz w:val="24"/>
    </w:rPr>
  </w:style>
  <w:style w:type="character" w:customStyle="1" w:styleId="CharAttribute10">
    <w:name w:val="CharAttribute10"/>
    <w:rsid w:val="00B15407"/>
    <w:rPr>
      <w:rFonts w:ascii="Times New Roman" w:eastAsia="Times New Roman"/>
      <w:sz w:val="24"/>
      <w:vertAlign w:val="superscript"/>
    </w:rPr>
  </w:style>
  <w:style w:type="character" w:customStyle="1" w:styleId="CharAttribute11">
    <w:name w:val="CharAttribute11"/>
    <w:rsid w:val="00B15407"/>
    <w:rPr>
      <w:rFonts w:ascii="Times New Roman" w:eastAsia="Times New Roman"/>
      <w:sz w:val="24"/>
    </w:rPr>
  </w:style>
  <w:style w:type="character" w:customStyle="1" w:styleId="CharAttribute12">
    <w:name w:val="CharAttribute12"/>
    <w:rsid w:val="00B15407"/>
    <w:rPr>
      <w:rFonts w:ascii="Times New Roman" w:eastAsia="Times New Roman"/>
      <w:sz w:val="24"/>
    </w:rPr>
  </w:style>
  <w:style w:type="character" w:customStyle="1" w:styleId="CharAttribute13">
    <w:name w:val="CharAttribute13"/>
    <w:rsid w:val="00B15407"/>
    <w:rPr>
      <w:rFonts w:ascii="Times New Roman" w:eastAsia="Times New Roman"/>
      <w:sz w:val="24"/>
    </w:rPr>
  </w:style>
  <w:style w:type="character" w:customStyle="1" w:styleId="CharAttribute14">
    <w:name w:val="CharAttribute14"/>
    <w:rsid w:val="00B15407"/>
    <w:rPr>
      <w:rFonts w:ascii="Times New Roman" w:eastAsia="Times New Roman"/>
      <w:sz w:val="24"/>
    </w:rPr>
  </w:style>
  <w:style w:type="character" w:customStyle="1" w:styleId="CharAttribute15">
    <w:name w:val="CharAttribute15"/>
    <w:rsid w:val="00B15407"/>
    <w:rPr>
      <w:rFonts w:ascii="Times New Roman" w:eastAsia="Times New Roman"/>
      <w:color w:val="FF0000"/>
      <w:sz w:val="24"/>
    </w:rPr>
  </w:style>
  <w:style w:type="character" w:customStyle="1" w:styleId="CharAttribute16">
    <w:name w:val="CharAttribute16"/>
    <w:rsid w:val="00B15407"/>
    <w:rPr>
      <w:rFonts w:ascii="Times New Roman" w:eastAsia="Times New Roman"/>
      <w:sz w:val="24"/>
    </w:rPr>
  </w:style>
  <w:style w:type="character" w:customStyle="1" w:styleId="CharAttribute19">
    <w:name w:val="CharAttribute19"/>
    <w:rsid w:val="00B15407"/>
    <w:rPr>
      <w:rFonts w:ascii="Times New Roman" w:eastAsia="Times New Roman"/>
      <w:vertAlign w:val="superscript"/>
    </w:rPr>
  </w:style>
  <w:style w:type="character" w:customStyle="1" w:styleId="CharAttribute20">
    <w:name w:val="CharAttribute20"/>
    <w:rsid w:val="00B15407"/>
    <w:rPr>
      <w:rFonts w:ascii="Times New Roman" w:eastAsia="Times New Roman"/>
    </w:rPr>
  </w:style>
  <w:style w:type="character" w:customStyle="1" w:styleId="CharAttribute21">
    <w:name w:val="CharAttribute21"/>
    <w:rsid w:val="00B15407"/>
    <w:rPr>
      <w:rFonts w:ascii="Times New Roman" w:eastAsia="Times New Roman"/>
    </w:rPr>
  </w:style>
  <w:style w:type="character" w:customStyle="1" w:styleId="CharAttribute22">
    <w:name w:val="CharAttribute22"/>
    <w:rsid w:val="00B15407"/>
    <w:rPr>
      <w:rFonts w:ascii="Times New Roman" w:eastAsia="Times New Roman"/>
      <w:i/>
    </w:rPr>
  </w:style>
  <w:style w:type="character" w:customStyle="1" w:styleId="CharAttribute23">
    <w:name w:val="CharAttribute23"/>
    <w:rsid w:val="00B15407"/>
    <w:rPr>
      <w:rFonts w:ascii="Times New Roman" w:eastAsia="Times New Roman"/>
    </w:rPr>
  </w:style>
  <w:style w:type="character" w:customStyle="1" w:styleId="CharAttribute24">
    <w:name w:val="CharAttribute24"/>
    <w:rsid w:val="00B15407"/>
    <w:rPr>
      <w:rFonts w:ascii="Times New Roman" w:eastAsia="Times New Roman"/>
    </w:rPr>
  </w:style>
  <w:style w:type="character" w:customStyle="1" w:styleId="CharAttribute25">
    <w:name w:val="CharAttribute25"/>
    <w:rsid w:val="00B15407"/>
    <w:rPr>
      <w:rFonts w:ascii="Times New Roman" w:eastAsia="Times New Roman"/>
    </w:rPr>
  </w:style>
  <w:style w:type="character" w:customStyle="1" w:styleId="CharAttribute26">
    <w:name w:val="CharAttribute26"/>
    <w:rsid w:val="00B15407"/>
    <w:rPr>
      <w:rFonts w:ascii="Times New Roman" w:eastAsia="Times New Roman"/>
    </w:rPr>
  </w:style>
  <w:style w:type="character" w:customStyle="1" w:styleId="CharAttribute27">
    <w:name w:val="CharAttribute27"/>
    <w:rsid w:val="00B15407"/>
    <w:rPr>
      <w:rFonts w:ascii="Times New Roman" w:eastAsia="Times New Roman"/>
    </w:rPr>
  </w:style>
  <w:style w:type="character" w:customStyle="1" w:styleId="CharAttribute28">
    <w:name w:val="CharAttribute28"/>
    <w:rsid w:val="00B15407"/>
    <w:rPr>
      <w:rFonts w:ascii="Times New Roman" w:eastAsia="Times New Roman"/>
    </w:rPr>
  </w:style>
  <w:style w:type="character" w:customStyle="1" w:styleId="CharAttribute29">
    <w:name w:val="CharAttribute29"/>
    <w:rsid w:val="00B15407"/>
    <w:rPr>
      <w:rFonts w:ascii="Times New Roman" w:eastAsia="Times New Roman"/>
    </w:rPr>
  </w:style>
  <w:style w:type="character" w:customStyle="1" w:styleId="CharAttribute30">
    <w:name w:val="CharAttribute30"/>
    <w:rsid w:val="00B15407"/>
    <w:rPr>
      <w:rFonts w:ascii="Times New Roman" w:eastAsia="Times New Roman"/>
    </w:rPr>
  </w:style>
  <w:style w:type="character" w:customStyle="1" w:styleId="CharAttribute31">
    <w:name w:val="CharAttribute31"/>
    <w:rsid w:val="00B15407"/>
    <w:rPr>
      <w:rFonts w:ascii="Times New Roman" w:eastAsia="Times New Roman"/>
    </w:rPr>
  </w:style>
  <w:style w:type="character" w:customStyle="1" w:styleId="CharAttribute32">
    <w:name w:val="CharAttribute32"/>
    <w:rsid w:val="00B15407"/>
    <w:rPr>
      <w:rFonts w:ascii="Times New Roman" w:eastAsia="Times New Roman"/>
    </w:rPr>
  </w:style>
  <w:style w:type="character" w:customStyle="1" w:styleId="CharAttribute33">
    <w:name w:val="CharAttribute33"/>
    <w:rsid w:val="00B15407"/>
    <w:rPr>
      <w:rFonts w:ascii="Times New Roman" w:eastAsia="Times New Roman"/>
    </w:rPr>
  </w:style>
  <w:style w:type="character" w:customStyle="1" w:styleId="CharAttribute34">
    <w:name w:val="CharAttribute34"/>
    <w:rsid w:val="00B15407"/>
    <w:rPr>
      <w:rFonts w:ascii="Times New Roman" w:eastAsia="Times New Roman"/>
    </w:rPr>
  </w:style>
  <w:style w:type="character" w:customStyle="1" w:styleId="CharAttribute35">
    <w:name w:val="CharAttribute35"/>
    <w:rsid w:val="00B15407"/>
    <w:rPr>
      <w:rFonts w:ascii="Times New Roman" w:eastAsia="Times New Roman"/>
    </w:rPr>
  </w:style>
  <w:style w:type="character" w:customStyle="1" w:styleId="CharAttribute37">
    <w:name w:val="CharAttribute37"/>
    <w:rsid w:val="00B15407"/>
    <w:rPr>
      <w:rFonts w:ascii="Times New Roman" w:eastAsia="Times New Roman"/>
      <w:i/>
      <w:sz w:val="24"/>
    </w:rPr>
  </w:style>
  <w:style w:type="paragraph" w:styleId="BalloonText">
    <w:name w:val="Balloon Text"/>
    <w:basedOn w:val="Normal"/>
    <w:link w:val="BalloonTextChar"/>
    <w:uiPriority w:val="99"/>
    <w:semiHidden/>
    <w:unhideWhenUsed/>
    <w:rsid w:val="00B15407"/>
    <w:rPr>
      <w:rFonts w:ascii="Tahoma" w:hAnsi="Tahoma" w:cs="Tahoma"/>
      <w:sz w:val="16"/>
      <w:szCs w:val="16"/>
    </w:rPr>
  </w:style>
  <w:style w:type="character" w:customStyle="1" w:styleId="BalloonTextChar">
    <w:name w:val="Balloon Text Char"/>
    <w:basedOn w:val="DefaultParagraphFont"/>
    <w:link w:val="BalloonText"/>
    <w:uiPriority w:val="99"/>
    <w:semiHidden/>
    <w:rsid w:val="00B15407"/>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978BE"/>
    <w:rPr>
      <w:color w:val="800080" w:themeColor="followedHyperlink"/>
      <w:u w:val="single"/>
    </w:rPr>
  </w:style>
  <w:style w:type="character" w:customStyle="1" w:styleId="Heading1Char">
    <w:name w:val="Heading 1 Char"/>
    <w:basedOn w:val="DefaultParagraphFont"/>
    <w:link w:val="Heading1"/>
    <w:uiPriority w:val="9"/>
    <w:rsid w:val="00BE651C"/>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E651C"/>
  </w:style>
  <w:style w:type="paragraph" w:styleId="Caption">
    <w:name w:val="caption"/>
    <w:basedOn w:val="Normal"/>
    <w:next w:val="Normal"/>
    <w:uiPriority w:val="35"/>
    <w:unhideWhenUsed/>
    <w:qFormat/>
    <w:rsid w:val="00FB6D7C"/>
    <w:pPr>
      <w:spacing w:after="200"/>
    </w:pPr>
    <w:rPr>
      <w:b/>
      <w:bCs/>
      <w:color w:val="4F81BD" w:themeColor="accent1"/>
      <w:sz w:val="18"/>
      <w:szCs w:val="18"/>
    </w:rPr>
  </w:style>
  <w:style w:type="character" w:customStyle="1" w:styleId="apple-style-span">
    <w:name w:val="apple-style-span"/>
    <w:basedOn w:val="DefaultParagraphFont"/>
    <w:rsid w:val="00216F25"/>
  </w:style>
  <w:style w:type="paragraph" w:customStyle="1" w:styleId="ParaAttribute1">
    <w:name w:val="ParaAttribute1"/>
    <w:rsid w:val="00F9309B"/>
    <w:pPr>
      <w:spacing w:line="240" w:lineRule="auto"/>
      <w:jc w:val="both"/>
    </w:pPr>
    <w:rPr>
      <w:rFonts w:ascii="Times New Roman" w:eastAsia="Batang"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B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BE65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1444"/>
  </w:style>
  <w:style w:type="character" w:customStyle="1" w:styleId="FootnoteTextChar">
    <w:name w:val="Footnote Text Char"/>
    <w:basedOn w:val="DefaultParagraphFont"/>
    <w:link w:val="FootnoteText"/>
    <w:uiPriority w:val="99"/>
    <w:rsid w:val="002A144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A1444"/>
    <w:rPr>
      <w:vertAlign w:val="superscript"/>
    </w:rPr>
  </w:style>
  <w:style w:type="character" w:styleId="Hyperlink">
    <w:name w:val="Hyperlink"/>
    <w:basedOn w:val="DefaultParagraphFont"/>
    <w:uiPriority w:val="99"/>
    <w:unhideWhenUsed/>
    <w:rsid w:val="0074580D"/>
    <w:rPr>
      <w:color w:val="0000FF" w:themeColor="hyperlink"/>
      <w:u w:val="single"/>
    </w:rPr>
  </w:style>
  <w:style w:type="paragraph" w:styleId="NoSpacing">
    <w:name w:val="No Spacing"/>
    <w:aliases w:val="Courswork"/>
    <w:basedOn w:val="Normal"/>
    <w:link w:val="NoSpacingChar"/>
    <w:uiPriority w:val="1"/>
    <w:qFormat/>
    <w:rsid w:val="00B01118"/>
    <w:pPr>
      <w:spacing w:line="480" w:lineRule="auto"/>
      <w:jc w:val="both"/>
    </w:pPr>
    <w:rPr>
      <w:sz w:val="24"/>
    </w:rPr>
  </w:style>
  <w:style w:type="character" w:customStyle="1" w:styleId="NoSpacingChar">
    <w:name w:val="No Spacing Char"/>
    <w:aliases w:val="Courswork Char"/>
    <w:basedOn w:val="DefaultParagraphFont"/>
    <w:link w:val="NoSpacing"/>
    <w:uiPriority w:val="1"/>
    <w:rsid w:val="00B01118"/>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B85A6E"/>
    <w:pPr>
      <w:tabs>
        <w:tab w:val="center" w:pos="4513"/>
        <w:tab w:val="right" w:pos="9026"/>
      </w:tabs>
    </w:pPr>
  </w:style>
  <w:style w:type="character" w:customStyle="1" w:styleId="HeaderChar">
    <w:name w:val="Header Char"/>
    <w:basedOn w:val="DefaultParagraphFont"/>
    <w:link w:val="Header"/>
    <w:uiPriority w:val="99"/>
    <w:rsid w:val="00B85A6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85A6E"/>
    <w:pPr>
      <w:tabs>
        <w:tab w:val="center" w:pos="4513"/>
        <w:tab w:val="right" w:pos="9026"/>
      </w:tabs>
    </w:pPr>
  </w:style>
  <w:style w:type="character" w:customStyle="1" w:styleId="FooterChar">
    <w:name w:val="Footer Char"/>
    <w:basedOn w:val="DefaultParagraphFont"/>
    <w:link w:val="Footer"/>
    <w:uiPriority w:val="99"/>
    <w:rsid w:val="00B85A6E"/>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FF3E1F"/>
  </w:style>
  <w:style w:type="character" w:customStyle="1" w:styleId="EndnoteTextChar">
    <w:name w:val="Endnote Text Char"/>
    <w:basedOn w:val="DefaultParagraphFont"/>
    <w:link w:val="EndnoteText"/>
    <w:uiPriority w:val="99"/>
    <w:semiHidden/>
    <w:rsid w:val="00FF3E1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F3E1F"/>
    <w:rPr>
      <w:vertAlign w:val="superscript"/>
    </w:rPr>
  </w:style>
  <w:style w:type="paragraph" w:customStyle="1" w:styleId="ParaAttribute0">
    <w:name w:val="ParaAttribute0"/>
    <w:rsid w:val="00B15407"/>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3">
    <w:name w:val="ParaAttribute3"/>
    <w:rsid w:val="00B15407"/>
    <w:pPr>
      <w:spacing w:after="0" w:line="240" w:lineRule="auto"/>
      <w:jc w:val="both"/>
    </w:pPr>
    <w:rPr>
      <w:rFonts w:ascii="Times New Roman" w:eastAsia="Batang" w:hAnsi="Times New Roman" w:cs="Times New Roman"/>
      <w:sz w:val="20"/>
      <w:szCs w:val="20"/>
      <w:lang w:eastAsia="en-GB"/>
    </w:rPr>
  </w:style>
  <w:style w:type="paragraph" w:customStyle="1" w:styleId="ParaAttribute4">
    <w:name w:val="ParaAttribute4"/>
    <w:rsid w:val="00B15407"/>
    <w:pPr>
      <w:spacing w:after="0" w:line="240" w:lineRule="auto"/>
    </w:pPr>
    <w:rPr>
      <w:rFonts w:ascii="Times New Roman" w:eastAsia="Batang" w:hAnsi="Times New Roman" w:cs="Times New Roman"/>
      <w:sz w:val="20"/>
      <w:szCs w:val="20"/>
      <w:lang w:eastAsia="en-GB"/>
    </w:rPr>
  </w:style>
  <w:style w:type="character" w:customStyle="1" w:styleId="CharAttribute0">
    <w:name w:val="CharAttribute0"/>
    <w:rsid w:val="00B15407"/>
    <w:rPr>
      <w:rFonts w:ascii="Times New Roman" w:eastAsia="Times New Roman"/>
      <w:sz w:val="24"/>
    </w:rPr>
  </w:style>
  <w:style w:type="character" w:customStyle="1" w:styleId="CharAttribute1">
    <w:name w:val="CharAttribute1"/>
    <w:rsid w:val="00B15407"/>
    <w:rPr>
      <w:rFonts w:ascii="Times New Roman" w:eastAsia="Times New Roman"/>
      <w:sz w:val="24"/>
    </w:rPr>
  </w:style>
  <w:style w:type="character" w:customStyle="1" w:styleId="CharAttribute3">
    <w:name w:val="CharAttribute3"/>
    <w:rsid w:val="00B15407"/>
    <w:rPr>
      <w:rFonts w:ascii="Times New Roman" w:eastAsia="Times New Roman"/>
      <w:vertAlign w:val="superscript"/>
    </w:rPr>
  </w:style>
  <w:style w:type="character" w:customStyle="1" w:styleId="CharAttribute4">
    <w:name w:val="CharAttribute4"/>
    <w:rsid w:val="00B15407"/>
    <w:rPr>
      <w:rFonts w:ascii="Times New Roman" w:eastAsia="Times New Roman"/>
      <w:sz w:val="24"/>
    </w:rPr>
  </w:style>
  <w:style w:type="character" w:customStyle="1" w:styleId="CharAttribute5">
    <w:name w:val="CharAttribute5"/>
    <w:rsid w:val="00B15407"/>
    <w:rPr>
      <w:rFonts w:ascii="Times New Roman" w:eastAsia="Times New Roman"/>
      <w:sz w:val="24"/>
      <w:shd w:val="clear" w:color="auto" w:fill="FFFF00"/>
    </w:rPr>
  </w:style>
  <w:style w:type="character" w:customStyle="1" w:styleId="CharAttribute6">
    <w:name w:val="CharAttribute6"/>
    <w:rsid w:val="00B15407"/>
    <w:rPr>
      <w:rFonts w:ascii="Times New Roman" w:eastAsia="Times New Roman"/>
      <w:sz w:val="24"/>
    </w:rPr>
  </w:style>
  <w:style w:type="character" w:customStyle="1" w:styleId="CharAttribute7">
    <w:name w:val="CharAttribute7"/>
    <w:rsid w:val="00B15407"/>
    <w:rPr>
      <w:rFonts w:ascii="Times New Roman" w:eastAsia="Times New Roman"/>
      <w:sz w:val="24"/>
    </w:rPr>
  </w:style>
  <w:style w:type="character" w:customStyle="1" w:styleId="CharAttribute8">
    <w:name w:val="CharAttribute8"/>
    <w:rsid w:val="00B15407"/>
    <w:rPr>
      <w:rFonts w:ascii="Times New Roman" w:eastAsia="Times New Roman"/>
      <w:sz w:val="24"/>
    </w:rPr>
  </w:style>
  <w:style w:type="character" w:customStyle="1" w:styleId="CharAttribute9">
    <w:name w:val="CharAttribute9"/>
    <w:rsid w:val="00B15407"/>
    <w:rPr>
      <w:rFonts w:ascii="Times New Roman" w:eastAsia="Times New Roman"/>
      <w:sz w:val="24"/>
    </w:rPr>
  </w:style>
  <w:style w:type="character" w:customStyle="1" w:styleId="CharAttribute10">
    <w:name w:val="CharAttribute10"/>
    <w:rsid w:val="00B15407"/>
    <w:rPr>
      <w:rFonts w:ascii="Times New Roman" w:eastAsia="Times New Roman"/>
      <w:sz w:val="24"/>
      <w:vertAlign w:val="superscript"/>
    </w:rPr>
  </w:style>
  <w:style w:type="character" w:customStyle="1" w:styleId="CharAttribute11">
    <w:name w:val="CharAttribute11"/>
    <w:rsid w:val="00B15407"/>
    <w:rPr>
      <w:rFonts w:ascii="Times New Roman" w:eastAsia="Times New Roman"/>
      <w:sz w:val="24"/>
    </w:rPr>
  </w:style>
  <w:style w:type="character" w:customStyle="1" w:styleId="CharAttribute12">
    <w:name w:val="CharAttribute12"/>
    <w:rsid w:val="00B15407"/>
    <w:rPr>
      <w:rFonts w:ascii="Times New Roman" w:eastAsia="Times New Roman"/>
      <w:sz w:val="24"/>
    </w:rPr>
  </w:style>
  <w:style w:type="character" w:customStyle="1" w:styleId="CharAttribute13">
    <w:name w:val="CharAttribute13"/>
    <w:rsid w:val="00B15407"/>
    <w:rPr>
      <w:rFonts w:ascii="Times New Roman" w:eastAsia="Times New Roman"/>
      <w:sz w:val="24"/>
    </w:rPr>
  </w:style>
  <w:style w:type="character" w:customStyle="1" w:styleId="CharAttribute14">
    <w:name w:val="CharAttribute14"/>
    <w:rsid w:val="00B15407"/>
    <w:rPr>
      <w:rFonts w:ascii="Times New Roman" w:eastAsia="Times New Roman"/>
      <w:sz w:val="24"/>
    </w:rPr>
  </w:style>
  <w:style w:type="character" w:customStyle="1" w:styleId="CharAttribute15">
    <w:name w:val="CharAttribute15"/>
    <w:rsid w:val="00B15407"/>
    <w:rPr>
      <w:rFonts w:ascii="Times New Roman" w:eastAsia="Times New Roman"/>
      <w:color w:val="FF0000"/>
      <w:sz w:val="24"/>
    </w:rPr>
  </w:style>
  <w:style w:type="character" w:customStyle="1" w:styleId="CharAttribute16">
    <w:name w:val="CharAttribute16"/>
    <w:rsid w:val="00B15407"/>
    <w:rPr>
      <w:rFonts w:ascii="Times New Roman" w:eastAsia="Times New Roman"/>
      <w:sz w:val="24"/>
    </w:rPr>
  </w:style>
  <w:style w:type="character" w:customStyle="1" w:styleId="CharAttribute19">
    <w:name w:val="CharAttribute19"/>
    <w:rsid w:val="00B15407"/>
    <w:rPr>
      <w:rFonts w:ascii="Times New Roman" w:eastAsia="Times New Roman"/>
      <w:vertAlign w:val="superscript"/>
    </w:rPr>
  </w:style>
  <w:style w:type="character" w:customStyle="1" w:styleId="CharAttribute20">
    <w:name w:val="CharAttribute20"/>
    <w:rsid w:val="00B15407"/>
    <w:rPr>
      <w:rFonts w:ascii="Times New Roman" w:eastAsia="Times New Roman"/>
    </w:rPr>
  </w:style>
  <w:style w:type="character" w:customStyle="1" w:styleId="CharAttribute21">
    <w:name w:val="CharAttribute21"/>
    <w:rsid w:val="00B15407"/>
    <w:rPr>
      <w:rFonts w:ascii="Times New Roman" w:eastAsia="Times New Roman"/>
    </w:rPr>
  </w:style>
  <w:style w:type="character" w:customStyle="1" w:styleId="CharAttribute22">
    <w:name w:val="CharAttribute22"/>
    <w:rsid w:val="00B15407"/>
    <w:rPr>
      <w:rFonts w:ascii="Times New Roman" w:eastAsia="Times New Roman"/>
      <w:i/>
    </w:rPr>
  </w:style>
  <w:style w:type="character" w:customStyle="1" w:styleId="CharAttribute23">
    <w:name w:val="CharAttribute23"/>
    <w:rsid w:val="00B15407"/>
    <w:rPr>
      <w:rFonts w:ascii="Times New Roman" w:eastAsia="Times New Roman"/>
    </w:rPr>
  </w:style>
  <w:style w:type="character" w:customStyle="1" w:styleId="CharAttribute24">
    <w:name w:val="CharAttribute24"/>
    <w:rsid w:val="00B15407"/>
    <w:rPr>
      <w:rFonts w:ascii="Times New Roman" w:eastAsia="Times New Roman"/>
    </w:rPr>
  </w:style>
  <w:style w:type="character" w:customStyle="1" w:styleId="CharAttribute25">
    <w:name w:val="CharAttribute25"/>
    <w:rsid w:val="00B15407"/>
    <w:rPr>
      <w:rFonts w:ascii="Times New Roman" w:eastAsia="Times New Roman"/>
    </w:rPr>
  </w:style>
  <w:style w:type="character" w:customStyle="1" w:styleId="CharAttribute26">
    <w:name w:val="CharAttribute26"/>
    <w:rsid w:val="00B15407"/>
    <w:rPr>
      <w:rFonts w:ascii="Times New Roman" w:eastAsia="Times New Roman"/>
    </w:rPr>
  </w:style>
  <w:style w:type="character" w:customStyle="1" w:styleId="CharAttribute27">
    <w:name w:val="CharAttribute27"/>
    <w:rsid w:val="00B15407"/>
    <w:rPr>
      <w:rFonts w:ascii="Times New Roman" w:eastAsia="Times New Roman"/>
    </w:rPr>
  </w:style>
  <w:style w:type="character" w:customStyle="1" w:styleId="CharAttribute28">
    <w:name w:val="CharAttribute28"/>
    <w:rsid w:val="00B15407"/>
    <w:rPr>
      <w:rFonts w:ascii="Times New Roman" w:eastAsia="Times New Roman"/>
    </w:rPr>
  </w:style>
  <w:style w:type="character" w:customStyle="1" w:styleId="CharAttribute29">
    <w:name w:val="CharAttribute29"/>
    <w:rsid w:val="00B15407"/>
    <w:rPr>
      <w:rFonts w:ascii="Times New Roman" w:eastAsia="Times New Roman"/>
    </w:rPr>
  </w:style>
  <w:style w:type="character" w:customStyle="1" w:styleId="CharAttribute30">
    <w:name w:val="CharAttribute30"/>
    <w:rsid w:val="00B15407"/>
    <w:rPr>
      <w:rFonts w:ascii="Times New Roman" w:eastAsia="Times New Roman"/>
    </w:rPr>
  </w:style>
  <w:style w:type="character" w:customStyle="1" w:styleId="CharAttribute31">
    <w:name w:val="CharAttribute31"/>
    <w:rsid w:val="00B15407"/>
    <w:rPr>
      <w:rFonts w:ascii="Times New Roman" w:eastAsia="Times New Roman"/>
    </w:rPr>
  </w:style>
  <w:style w:type="character" w:customStyle="1" w:styleId="CharAttribute32">
    <w:name w:val="CharAttribute32"/>
    <w:rsid w:val="00B15407"/>
    <w:rPr>
      <w:rFonts w:ascii="Times New Roman" w:eastAsia="Times New Roman"/>
    </w:rPr>
  </w:style>
  <w:style w:type="character" w:customStyle="1" w:styleId="CharAttribute33">
    <w:name w:val="CharAttribute33"/>
    <w:rsid w:val="00B15407"/>
    <w:rPr>
      <w:rFonts w:ascii="Times New Roman" w:eastAsia="Times New Roman"/>
    </w:rPr>
  </w:style>
  <w:style w:type="character" w:customStyle="1" w:styleId="CharAttribute34">
    <w:name w:val="CharAttribute34"/>
    <w:rsid w:val="00B15407"/>
    <w:rPr>
      <w:rFonts w:ascii="Times New Roman" w:eastAsia="Times New Roman"/>
    </w:rPr>
  </w:style>
  <w:style w:type="character" w:customStyle="1" w:styleId="CharAttribute35">
    <w:name w:val="CharAttribute35"/>
    <w:rsid w:val="00B15407"/>
    <w:rPr>
      <w:rFonts w:ascii="Times New Roman" w:eastAsia="Times New Roman"/>
    </w:rPr>
  </w:style>
  <w:style w:type="character" w:customStyle="1" w:styleId="CharAttribute37">
    <w:name w:val="CharAttribute37"/>
    <w:rsid w:val="00B15407"/>
    <w:rPr>
      <w:rFonts w:ascii="Times New Roman" w:eastAsia="Times New Roman"/>
      <w:i/>
      <w:sz w:val="24"/>
    </w:rPr>
  </w:style>
  <w:style w:type="paragraph" w:styleId="BalloonText">
    <w:name w:val="Balloon Text"/>
    <w:basedOn w:val="Normal"/>
    <w:link w:val="BalloonTextChar"/>
    <w:uiPriority w:val="99"/>
    <w:semiHidden/>
    <w:unhideWhenUsed/>
    <w:rsid w:val="00B15407"/>
    <w:rPr>
      <w:rFonts w:ascii="Tahoma" w:hAnsi="Tahoma" w:cs="Tahoma"/>
      <w:sz w:val="16"/>
      <w:szCs w:val="16"/>
    </w:rPr>
  </w:style>
  <w:style w:type="character" w:customStyle="1" w:styleId="BalloonTextChar">
    <w:name w:val="Balloon Text Char"/>
    <w:basedOn w:val="DefaultParagraphFont"/>
    <w:link w:val="BalloonText"/>
    <w:uiPriority w:val="99"/>
    <w:semiHidden/>
    <w:rsid w:val="00B15407"/>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978BE"/>
    <w:rPr>
      <w:color w:val="800080" w:themeColor="followedHyperlink"/>
      <w:u w:val="single"/>
    </w:rPr>
  </w:style>
  <w:style w:type="character" w:customStyle="1" w:styleId="Heading1Char">
    <w:name w:val="Heading 1 Char"/>
    <w:basedOn w:val="DefaultParagraphFont"/>
    <w:link w:val="Heading1"/>
    <w:uiPriority w:val="9"/>
    <w:rsid w:val="00BE651C"/>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E651C"/>
  </w:style>
  <w:style w:type="paragraph" w:styleId="Caption">
    <w:name w:val="caption"/>
    <w:basedOn w:val="Normal"/>
    <w:next w:val="Normal"/>
    <w:uiPriority w:val="35"/>
    <w:unhideWhenUsed/>
    <w:qFormat/>
    <w:rsid w:val="00FB6D7C"/>
    <w:pPr>
      <w:spacing w:after="200"/>
    </w:pPr>
    <w:rPr>
      <w:b/>
      <w:bCs/>
      <w:color w:val="4F81BD" w:themeColor="accent1"/>
      <w:sz w:val="18"/>
      <w:szCs w:val="18"/>
    </w:rPr>
  </w:style>
  <w:style w:type="character" w:customStyle="1" w:styleId="apple-style-span">
    <w:name w:val="apple-style-span"/>
    <w:basedOn w:val="DefaultParagraphFont"/>
    <w:rsid w:val="00216F25"/>
  </w:style>
  <w:style w:type="paragraph" w:customStyle="1" w:styleId="ParaAttribute1">
    <w:name w:val="ParaAttribute1"/>
    <w:rsid w:val="00F9309B"/>
    <w:pPr>
      <w:spacing w:line="240" w:lineRule="auto"/>
      <w:jc w:val="both"/>
    </w:pPr>
    <w:rPr>
      <w:rFonts w:ascii="Times New Roman" w:eastAsia="Batang"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7533">
      <w:bodyDiv w:val="1"/>
      <w:marLeft w:val="0"/>
      <w:marRight w:val="0"/>
      <w:marTop w:val="0"/>
      <w:marBottom w:val="0"/>
      <w:divBdr>
        <w:top w:val="none" w:sz="0" w:space="0" w:color="auto"/>
        <w:left w:val="none" w:sz="0" w:space="0" w:color="auto"/>
        <w:bottom w:val="none" w:sz="0" w:space="0" w:color="auto"/>
        <w:right w:val="none" w:sz="0" w:space="0" w:color="auto"/>
      </w:divBdr>
    </w:div>
    <w:div w:id="1154639812">
      <w:bodyDiv w:val="1"/>
      <w:marLeft w:val="0"/>
      <w:marRight w:val="0"/>
      <w:marTop w:val="0"/>
      <w:marBottom w:val="0"/>
      <w:divBdr>
        <w:top w:val="none" w:sz="0" w:space="0" w:color="auto"/>
        <w:left w:val="none" w:sz="0" w:space="0" w:color="auto"/>
        <w:bottom w:val="none" w:sz="0" w:space="0" w:color="auto"/>
        <w:right w:val="none" w:sz="0" w:space="0" w:color="auto"/>
      </w:divBdr>
    </w:div>
    <w:div w:id="18758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7475091984684201E-2"/>
          <c:y val="3.3775560031740197E-2"/>
          <c:w val="0.90266609589781499"/>
          <c:h val="0.87252182140023204"/>
        </c:manualLayout>
      </c:layout>
      <c:barChart>
        <c:barDir val="col"/>
        <c:grouping val="clustered"/>
        <c:varyColors val="0"/>
        <c:ser>
          <c:idx val="0"/>
          <c:order val="0"/>
          <c:tx>
            <c:strRef>
              <c:f>Sheet3!$D$82</c:f>
              <c:strCache>
                <c:ptCount val="1"/>
                <c:pt idx="0">
                  <c:v>FSA Final Notices</c:v>
                </c:pt>
              </c:strCache>
            </c:strRef>
          </c:tx>
          <c:invertIfNegative val="0"/>
          <c:dLbls>
            <c:showLegendKey val="0"/>
            <c:showVal val="1"/>
            <c:showCatName val="0"/>
            <c:showSerName val="0"/>
            <c:showPercent val="0"/>
            <c:showBubbleSize val="0"/>
            <c:showLeaderLines val="0"/>
          </c:dLbls>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Sheet3!$A$84:$K$84</c:f>
              <c:numCache>
                <c:formatCode>General</c:formatCode>
                <c:ptCount val="11"/>
                <c:pt idx="0">
                  <c:v>16</c:v>
                </c:pt>
                <c:pt idx="1">
                  <c:v>50</c:v>
                </c:pt>
                <c:pt idx="2">
                  <c:v>86</c:v>
                </c:pt>
                <c:pt idx="3">
                  <c:v>47</c:v>
                </c:pt>
                <c:pt idx="4">
                  <c:v>205</c:v>
                </c:pt>
                <c:pt idx="5">
                  <c:v>148</c:v>
                </c:pt>
                <c:pt idx="6">
                  <c:v>220</c:v>
                </c:pt>
                <c:pt idx="7">
                  <c:v>181</c:v>
                </c:pt>
                <c:pt idx="8">
                  <c:v>253</c:v>
                </c:pt>
                <c:pt idx="9">
                  <c:v>146</c:v>
                </c:pt>
                <c:pt idx="10">
                  <c:v>151</c:v>
                </c:pt>
              </c:numCache>
            </c:numRef>
          </c:val>
        </c:ser>
        <c:ser>
          <c:idx val="1"/>
          <c:order val="1"/>
          <c:tx>
            <c:strRef>
              <c:f>Sheet3!$A$3</c:f>
              <c:strCache>
                <c:ptCount val="1"/>
                <c:pt idx="0">
                  <c:v>Number of Fines</c:v>
                </c:pt>
              </c:strCache>
            </c:strRef>
          </c:tx>
          <c:invertIfNegative val="0"/>
          <c:dLbls>
            <c:showLegendKey val="0"/>
            <c:showVal val="1"/>
            <c:showCatName val="0"/>
            <c:showSerName val="0"/>
            <c:showPercent val="0"/>
            <c:showBubbleSize val="0"/>
            <c:showLeaderLines val="0"/>
          </c:dLbls>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Sheet3!$B$3:$L$3</c:f>
              <c:numCache>
                <c:formatCode>General</c:formatCode>
                <c:ptCount val="11"/>
                <c:pt idx="0">
                  <c:v>9</c:v>
                </c:pt>
                <c:pt idx="1">
                  <c:v>17</c:v>
                </c:pt>
                <c:pt idx="2">
                  <c:v>32</c:v>
                </c:pt>
                <c:pt idx="3">
                  <c:v>21</c:v>
                </c:pt>
                <c:pt idx="4">
                  <c:v>27</c:v>
                </c:pt>
                <c:pt idx="5">
                  <c:v>24</c:v>
                </c:pt>
                <c:pt idx="6">
                  <c:v>51</c:v>
                </c:pt>
                <c:pt idx="7">
                  <c:v>42</c:v>
                </c:pt>
                <c:pt idx="8">
                  <c:v>80</c:v>
                </c:pt>
                <c:pt idx="9">
                  <c:v>60</c:v>
                </c:pt>
                <c:pt idx="10">
                  <c:v>49</c:v>
                </c:pt>
              </c:numCache>
            </c:numRef>
          </c:val>
        </c:ser>
        <c:dLbls>
          <c:showLegendKey val="0"/>
          <c:showVal val="0"/>
          <c:showCatName val="0"/>
          <c:showSerName val="0"/>
          <c:showPercent val="0"/>
          <c:showBubbleSize val="0"/>
        </c:dLbls>
        <c:gapWidth val="150"/>
        <c:axId val="70044672"/>
        <c:axId val="78066432"/>
      </c:barChart>
      <c:catAx>
        <c:axId val="70044672"/>
        <c:scaling>
          <c:orientation val="minMax"/>
        </c:scaling>
        <c:delete val="0"/>
        <c:axPos val="b"/>
        <c:numFmt formatCode="General" sourceLinked="1"/>
        <c:majorTickMark val="out"/>
        <c:minorTickMark val="none"/>
        <c:tickLblPos val="nextTo"/>
        <c:crossAx val="78066432"/>
        <c:crosses val="autoZero"/>
        <c:auto val="1"/>
        <c:lblAlgn val="ctr"/>
        <c:lblOffset val="100"/>
        <c:noMultiLvlLbl val="0"/>
      </c:catAx>
      <c:valAx>
        <c:axId val="78066432"/>
        <c:scaling>
          <c:orientation val="minMax"/>
        </c:scaling>
        <c:delete val="0"/>
        <c:axPos val="l"/>
        <c:numFmt formatCode="General" sourceLinked="1"/>
        <c:majorTickMark val="out"/>
        <c:minorTickMark val="none"/>
        <c:tickLblPos val="nextTo"/>
        <c:crossAx val="70044672"/>
        <c:crosses val="autoZero"/>
        <c:crossBetween val="between"/>
      </c:valAx>
    </c:plotArea>
    <c:legend>
      <c:legendPos val="r"/>
      <c:layout>
        <c:manualLayout>
          <c:xMode val="edge"/>
          <c:yMode val="edge"/>
          <c:x val="8.6236356377782902E-2"/>
          <c:y val="0.166796303566522"/>
          <c:w val="0.21598569596276199"/>
          <c:h val="0.266075617130137"/>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Total Fines Per Year</a:t>
            </a:r>
          </a:p>
        </c:rich>
      </c:tx>
      <c:overlay val="0"/>
    </c:title>
    <c:autoTitleDeleted val="0"/>
    <c:plotArea>
      <c:layout>
        <c:manualLayout>
          <c:layoutTarget val="inner"/>
          <c:xMode val="edge"/>
          <c:yMode val="edge"/>
          <c:x val="0.15326883846963099"/>
          <c:y val="9.3320634906116598E-2"/>
          <c:w val="0.82530586822975305"/>
          <c:h val="0.82140898496891102"/>
        </c:manualLayout>
      </c:layout>
      <c:barChart>
        <c:barDir val="col"/>
        <c:grouping val="clustered"/>
        <c:varyColors val="0"/>
        <c:ser>
          <c:idx val="0"/>
          <c:order val="0"/>
          <c:tx>
            <c:strRef>
              <c:f>Sheet3!$A$2</c:f>
              <c:strCache>
                <c:ptCount val="1"/>
                <c:pt idx="0">
                  <c:v>Total Fines</c:v>
                </c:pt>
              </c:strCache>
            </c:strRef>
          </c:tx>
          <c:spPr>
            <a:solidFill>
              <a:schemeClr val="tx1"/>
            </a:solidFill>
          </c:spPr>
          <c:invertIfNegative val="0"/>
          <c:dLbls>
            <c:dLbl>
              <c:idx val="0"/>
              <c:layout>
                <c:manualLayout>
                  <c:x val="8.2729658792650897E-3"/>
                  <c:y val="1.32418842381544E-2"/>
                </c:manualLayout>
              </c:layout>
              <c:showLegendKey val="0"/>
              <c:showVal val="1"/>
              <c:showCatName val="0"/>
              <c:showSerName val="0"/>
              <c:showPercent val="0"/>
              <c:showBubbleSize val="0"/>
            </c:dLbl>
            <c:dLbl>
              <c:idx val="1"/>
              <c:layout>
                <c:manualLayout>
                  <c:x val="0"/>
                  <c:y val="-1.59624409211627E-2"/>
                </c:manualLayout>
              </c:layout>
              <c:showLegendKey val="0"/>
              <c:showVal val="1"/>
              <c:showCatName val="0"/>
              <c:showSerName val="0"/>
              <c:showPercent val="0"/>
              <c:showBubbleSize val="0"/>
            </c:dLbl>
            <c:dLbl>
              <c:idx val="4"/>
              <c:layout>
                <c:manualLayout>
                  <c:x val="0"/>
                  <c:y val="1.3302034100968901E-2"/>
                </c:manualLayout>
              </c:layout>
              <c:showLegendKey val="0"/>
              <c:showVal val="1"/>
              <c:showCatName val="0"/>
              <c:showSerName val="0"/>
              <c:showPercent val="0"/>
              <c:showBubbleSize val="0"/>
            </c:dLbl>
            <c:dLbl>
              <c:idx val="5"/>
              <c:layout>
                <c:manualLayout>
                  <c:x val="0"/>
                  <c:y val="1.3302034100969E-2"/>
                </c:manualLayout>
              </c:layout>
              <c:showLegendKey val="0"/>
              <c:showVal val="1"/>
              <c:showCatName val="0"/>
              <c:showSerName val="0"/>
              <c:showPercent val="0"/>
              <c:showBubbleSize val="0"/>
            </c:dLbl>
            <c:dLbl>
              <c:idx val="10"/>
              <c:layout>
                <c:manualLayout>
                  <c:x val="-1.48286605816338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Sheet3!$B$2:$L$2</c:f>
              <c:numCache>
                <c:formatCode>"£"#,##0_);[Red]\("£"#,##0\)</c:formatCode>
                <c:ptCount val="11"/>
                <c:pt idx="0">
                  <c:v>7444000</c:v>
                </c:pt>
                <c:pt idx="1">
                  <c:v>10975000</c:v>
                </c:pt>
                <c:pt idx="2">
                  <c:v>24769000</c:v>
                </c:pt>
                <c:pt idx="3">
                  <c:v>16965860</c:v>
                </c:pt>
                <c:pt idx="4">
                  <c:v>13309143</c:v>
                </c:pt>
                <c:pt idx="5">
                  <c:v>5341500</c:v>
                </c:pt>
                <c:pt idx="6">
                  <c:v>22706526</c:v>
                </c:pt>
                <c:pt idx="7">
                  <c:v>35005522</c:v>
                </c:pt>
                <c:pt idx="8" formatCode="&quot;£&quot;#,##0.00_);[Red]\(&quot;£&quot;#,##0.00\)">
                  <c:v>89121281.5</c:v>
                </c:pt>
                <c:pt idx="9">
                  <c:v>66144839</c:v>
                </c:pt>
                <c:pt idx="10">
                  <c:v>150260756</c:v>
                </c:pt>
              </c:numCache>
            </c:numRef>
          </c:val>
        </c:ser>
        <c:dLbls>
          <c:showLegendKey val="0"/>
          <c:showVal val="0"/>
          <c:showCatName val="0"/>
          <c:showSerName val="0"/>
          <c:showPercent val="0"/>
          <c:showBubbleSize val="0"/>
        </c:dLbls>
        <c:gapWidth val="150"/>
        <c:axId val="108094208"/>
        <c:axId val="108095744"/>
      </c:barChart>
      <c:catAx>
        <c:axId val="108094208"/>
        <c:scaling>
          <c:orientation val="minMax"/>
        </c:scaling>
        <c:delete val="0"/>
        <c:axPos val="b"/>
        <c:numFmt formatCode="General" sourceLinked="1"/>
        <c:majorTickMark val="out"/>
        <c:minorTickMark val="none"/>
        <c:tickLblPos val="nextTo"/>
        <c:crossAx val="108095744"/>
        <c:crosses val="autoZero"/>
        <c:auto val="1"/>
        <c:lblAlgn val="ctr"/>
        <c:lblOffset val="100"/>
        <c:noMultiLvlLbl val="0"/>
      </c:catAx>
      <c:valAx>
        <c:axId val="108095744"/>
        <c:scaling>
          <c:orientation val="minMax"/>
        </c:scaling>
        <c:delete val="0"/>
        <c:axPos val="l"/>
        <c:numFmt formatCode="&quot;£&quot;#,##0_);[Red]\(&quot;£&quot;#,##0\)" sourceLinked="1"/>
        <c:majorTickMark val="out"/>
        <c:minorTickMark val="none"/>
        <c:tickLblPos val="nextTo"/>
        <c:crossAx val="10809420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Average Fine</a:t>
            </a:r>
          </a:p>
        </c:rich>
      </c:tx>
      <c:overlay val="0"/>
    </c:title>
    <c:autoTitleDeleted val="0"/>
    <c:plotArea>
      <c:layout/>
      <c:lineChart>
        <c:grouping val="standard"/>
        <c:varyColors val="0"/>
        <c:ser>
          <c:idx val="0"/>
          <c:order val="0"/>
          <c:tx>
            <c:strRef>
              <c:f>Sheet3!$A$4</c:f>
              <c:strCache>
                <c:ptCount val="1"/>
                <c:pt idx="0">
                  <c:v>Average Fine</c:v>
                </c:pt>
              </c:strCache>
            </c:strRef>
          </c:tx>
          <c:spPr>
            <a:ln>
              <a:solidFill>
                <a:srgbClr val="000000"/>
              </a:solidFill>
            </a:ln>
          </c:spPr>
          <c:marker>
            <c:symbol val="none"/>
          </c:marker>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Sheet3!$B$4:$L$4</c:f>
              <c:numCache>
                <c:formatCode>"£"#,##0.00_);[Red]\("£"#,##0.00\)</c:formatCode>
                <c:ptCount val="11"/>
                <c:pt idx="0">
                  <c:v>827111.11111111112</c:v>
                </c:pt>
                <c:pt idx="1">
                  <c:v>645588.23529411759</c:v>
                </c:pt>
                <c:pt idx="2">
                  <c:v>774031.25</c:v>
                </c:pt>
                <c:pt idx="3">
                  <c:v>807898.09523809527</c:v>
                </c:pt>
                <c:pt idx="4">
                  <c:v>492931.22222222219</c:v>
                </c:pt>
                <c:pt idx="5">
                  <c:v>222562.5</c:v>
                </c:pt>
                <c:pt idx="6">
                  <c:v>445226</c:v>
                </c:pt>
                <c:pt idx="7">
                  <c:v>833464.80952380947</c:v>
                </c:pt>
                <c:pt idx="8">
                  <c:v>1114016.01875</c:v>
                </c:pt>
                <c:pt idx="9">
                  <c:v>1102413.9833333299</c:v>
                </c:pt>
                <c:pt idx="10">
                  <c:v>3066546.0408163299</c:v>
                </c:pt>
              </c:numCache>
            </c:numRef>
          </c:val>
          <c:smooth val="0"/>
        </c:ser>
        <c:dLbls>
          <c:showLegendKey val="0"/>
          <c:showVal val="0"/>
          <c:showCatName val="0"/>
          <c:showSerName val="0"/>
          <c:showPercent val="0"/>
          <c:showBubbleSize val="0"/>
        </c:dLbls>
        <c:marker val="1"/>
        <c:smooth val="0"/>
        <c:axId val="113260416"/>
        <c:axId val="113261952"/>
      </c:lineChart>
      <c:catAx>
        <c:axId val="11326041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13261952"/>
        <c:crosses val="autoZero"/>
        <c:auto val="1"/>
        <c:lblAlgn val="ctr"/>
        <c:lblOffset val="100"/>
        <c:noMultiLvlLbl val="0"/>
      </c:catAx>
      <c:valAx>
        <c:axId val="113261952"/>
        <c:scaling>
          <c:orientation val="minMax"/>
        </c:scaling>
        <c:delete val="0"/>
        <c:axPos val="l"/>
        <c:majorGridlines/>
        <c:numFmt formatCode="&quot;£&quot;#,##0.00_);[Red]\(&quot;£&quot;#,##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1326041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Total Fines Per Year</a:t>
            </a:r>
          </a:p>
        </c:rich>
      </c:tx>
      <c:overlay val="0"/>
    </c:title>
    <c:autoTitleDeleted val="0"/>
    <c:plotArea>
      <c:layout>
        <c:manualLayout>
          <c:layoutTarget val="inner"/>
          <c:xMode val="edge"/>
          <c:yMode val="edge"/>
          <c:x val="0.15326883846963099"/>
          <c:y val="9.3320634906116598E-2"/>
          <c:w val="0.82530586822975305"/>
          <c:h val="0.82140898496891102"/>
        </c:manualLayout>
      </c:layout>
      <c:barChart>
        <c:barDir val="col"/>
        <c:grouping val="clustered"/>
        <c:varyColors val="0"/>
        <c:ser>
          <c:idx val="0"/>
          <c:order val="0"/>
          <c:tx>
            <c:strRef>
              <c:f>Sheet3!$A$2</c:f>
              <c:strCache>
                <c:ptCount val="1"/>
                <c:pt idx="0">
                  <c:v>Total Fines</c:v>
                </c:pt>
              </c:strCache>
            </c:strRef>
          </c:tx>
          <c:spPr>
            <a:solidFill>
              <a:schemeClr val="tx1"/>
            </a:solidFill>
          </c:spPr>
          <c:invertIfNegative val="0"/>
          <c:dLbls>
            <c:dLbl>
              <c:idx val="0"/>
              <c:layout>
                <c:manualLayout>
                  <c:x val="8.2729658792650897E-3"/>
                  <c:y val="1.32418842381544E-2"/>
                </c:manualLayout>
              </c:layout>
              <c:showLegendKey val="0"/>
              <c:showVal val="1"/>
              <c:showCatName val="0"/>
              <c:showSerName val="0"/>
              <c:showPercent val="0"/>
              <c:showBubbleSize val="0"/>
            </c:dLbl>
            <c:dLbl>
              <c:idx val="1"/>
              <c:layout>
                <c:manualLayout>
                  <c:x val="0"/>
                  <c:y val="-1.59624409211627E-2"/>
                </c:manualLayout>
              </c:layout>
              <c:showLegendKey val="0"/>
              <c:showVal val="1"/>
              <c:showCatName val="0"/>
              <c:showSerName val="0"/>
              <c:showPercent val="0"/>
              <c:showBubbleSize val="0"/>
            </c:dLbl>
            <c:dLbl>
              <c:idx val="4"/>
              <c:layout>
                <c:manualLayout>
                  <c:x val="0"/>
                  <c:y val="1.3302034100968901E-2"/>
                </c:manualLayout>
              </c:layout>
              <c:showLegendKey val="0"/>
              <c:showVal val="1"/>
              <c:showCatName val="0"/>
              <c:showSerName val="0"/>
              <c:showPercent val="0"/>
              <c:showBubbleSize val="0"/>
            </c:dLbl>
            <c:dLbl>
              <c:idx val="5"/>
              <c:layout>
                <c:manualLayout>
                  <c:x val="0"/>
                  <c:y val="1.3302034100969E-2"/>
                </c:manualLayout>
              </c:layout>
              <c:showLegendKey val="0"/>
              <c:showVal val="1"/>
              <c:showCatName val="0"/>
              <c:showSerName val="0"/>
              <c:showPercent val="0"/>
              <c:showBubbleSize val="0"/>
            </c:dLbl>
            <c:dLbl>
              <c:idx val="10"/>
              <c:layout>
                <c:manualLayout>
                  <c:x val="-1.48286605816338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Sheet3!$B$2:$L$2</c:f>
              <c:numCache>
                <c:formatCode>"£"#,##0_);[Red]\("£"#,##0\)</c:formatCode>
                <c:ptCount val="11"/>
                <c:pt idx="0">
                  <c:v>7444000</c:v>
                </c:pt>
                <c:pt idx="1">
                  <c:v>10975000</c:v>
                </c:pt>
                <c:pt idx="2">
                  <c:v>24769000</c:v>
                </c:pt>
                <c:pt idx="3">
                  <c:v>16965860</c:v>
                </c:pt>
                <c:pt idx="4">
                  <c:v>13309143</c:v>
                </c:pt>
                <c:pt idx="5">
                  <c:v>5341500</c:v>
                </c:pt>
                <c:pt idx="6">
                  <c:v>22706526</c:v>
                </c:pt>
                <c:pt idx="7">
                  <c:v>35005522</c:v>
                </c:pt>
                <c:pt idx="8" formatCode="&quot;£&quot;#,##0.00_);[Red]\(&quot;£&quot;#,##0.00\)">
                  <c:v>89121281.5</c:v>
                </c:pt>
                <c:pt idx="9">
                  <c:v>66144839</c:v>
                </c:pt>
                <c:pt idx="10">
                  <c:v>150260756</c:v>
                </c:pt>
              </c:numCache>
            </c:numRef>
          </c:val>
        </c:ser>
        <c:dLbls>
          <c:showLegendKey val="0"/>
          <c:showVal val="0"/>
          <c:showCatName val="0"/>
          <c:showSerName val="0"/>
          <c:showPercent val="0"/>
          <c:showBubbleSize val="0"/>
        </c:dLbls>
        <c:gapWidth val="150"/>
        <c:axId val="108121472"/>
        <c:axId val="112718976"/>
      </c:barChart>
      <c:catAx>
        <c:axId val="108121472"/>
        <c:scaling>
          <c:orientation val="minMax"/>
        </c:scaling>
        <c:delete val="0"/>
        <c:axPos val="b"/>
        <c:numFmt formatCode="General" sourceLinked="1"/>
        <c:majorTickMark val="out"/>
        <c:minorTickMark val="none"/>
        <c:tickLblPos val="nextTo"/>
        <c:crossAx val="112718976"/>
        <c:crosses val="autoZero"/>
        <c:auto val="1"/>
        <c:lblAlgn val="ctr"/>
        <c:lblOffset val="100"/>
        <c:noMultiLvlLbl val="0"/>
      </c:catAx>
      <c:valAx>
        <c:axId val="112718976"/>
        <c:scaling>
          <c:orientation val="minMax"/>
        </c:scaling>
        <c:delete val="0"/>
        <c:axPos val="l"/>
        <c:numFmt formatCode="&quot;£&quot;#,##0_);[Red]\(&quot;£&quot;#,##0\)" sourceLinked="1"/>
        <c:majorTickMark val="out"/>
        <c:minorTickMark val="none"/>
        <c:tickLblPos val="nextTo"/>
        <c:crossAx val="108121472"/>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7475091984684201E-2"/>
          <c:y val="3.3775560031740197E-2"/>
          <c:w val="0.90266609589781499"/>
          <c:h val="0.87252182140023204"/>
        </c:manualLayout>
      </c:layout>
      <c:barChart>
        <c:barDir val="col"/>
        <c:grouping val="clustered"/>
        <c:varyColors val="0"/>
        <c:ser>
          <c:idx val="0"/>
          <c:order val="0"/>
          <c:tx>
            <c:strRef>
              <c:f>Sheet3!$D$82</c:f>
              <c:strCache>
                <c:ptCount val="1"/>
                <c:pt idx="0">
                  <c:v>FSA Final Notices</c:v>
                </c:pt>
              </c:strCache>
            </c:strRef>
          </c:tx>
          <c:invertIfNegative val="0"/>
          <c:dLbls>
            <c:showLegendKey val="0"/>
            <c:showVal val="1"/>
            <c:showCatName val="0"/>
            <c:showSerName val="0"/>
            <c:showPercent val="0"/>
            <c:showBubbleSize val="0"/>
            <c:showLeaderLines val="0"/>
          </c:dLbls>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Sheet3!$A$84:$K$84</c:f>
              <c:numCache>
                <c:formatCode>General</c:formatCode>
                <c:ptCount val="11"/>
                <c:pt idx="0">
                  <c:v>16</c:v>
                </c:pt>
                <c:pt idx="1">
                  <c:v>50</c:v>
                </c:pt>
                <c:pt idx="2">
                  <c:v>86</c:v>
                </c:pt>
                <c:pt idx="3">
                  <c:v>47</c:v>
                </c:pt>
                <c:pt idx="4">
                  <c:v>205</c:v>
                </c:pt>
                <c:pt idx="5">
                  <c:v>148</c:v>
                </c:pt>
                <c:pt idx="6">
                  <c:v>220</c:v>
                </c:pt>
                <c:pt idx="7">
                  <c:v>181</c:v>
                </c:pt>
                <c:pt idx="8">
                  <c:v>253</c:v>
                </c:pt>
                <c:pt idx="9">
                  <c:v>146</c:v>
                </c:pt>
                <c:pt idx="10">
                  <c:v>151</c:v>
                </c:pt>
              </c:numCache>
            </c:numRef>
          </c:val>
        </c:ser>
        <c:ser>
          <c:idx val="1"/>
          <c:order val="1"/>
          <c:tx>
            <c:strRef>
              <c:f>Sheet3!$A$3</c:f>
              <c:strCache>
                <c:ptCount val="1"/>
                <c:pt idx="0">
                  <c:v>Number of Fines</c:v>
                </c:pt>
              </c:strCache>
            </c:strRef>
          </c:tx>
          <c:invertIfNegative val="0"/>
          <c:dLbls>
            <c:showLegendKey val="0"/>
            <c:showVal val="1"/>
            <c:showCatName val="0"/>
            <c:showSerName val="0"/>
            <c:showPercent val="0"/>
            <c:showBubbleSize val="0"/>
            <c:showLeaderLines val="0"/>
          </c:dLbls>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Sheet3!$B$3:$L$3</c:f>
              <c:numCache>
                <c:formatCode>General</c:formatCode>
                <c:ptCount val="11"/>
                <c:pt idx="0">
                  <c:v>9</c:v>
                </c:pt>
                <c:pt idx="1">
                  <c:v>17</c:v>
                </c:pt>
                <c:pt idx="2">
                  <c:v>32</c:v>
                </c:pt>
                <c:pt idx="3">
                  <c:v>21</c:v>
                </c:pt>
                <c:pt idx="4">
                  <c:v>27</c:v>
                </c:pt>
                <c:pt idx="5">
                  <c:v>24</c:v>
                </c:pt>
                <c:pt idx="6">
                  <c:v>51</c:v>
                </c:pt>
                <c:pt idx="7">
                  <c:v>42</c:v>
                </c:pt>
                <c:pt idx="8">
                  <c:v>80</c:v>
                </c:pt>
                <c:pt idx="9">
                  <c:v>60</c:v>
                </c:pt>
                <c:pt idx="10">
                  <c:v>49</c:v>
                </c:pt>
              </c:numCache>
            </c:numRef>
          </c:val>
        </c:ser>
        <c:dLbls>
          <c:showLegendKey val="0"/>
          <c:showVal val="0"/>
          <c:showCatName val="0"/>
          <c:showSerName val="0"/>
          <c:showPercent val="0"/>
          <c:showBubbleSize val="0"/>
        </c:dLbls>
        <c:gapWidth val="150"/>
        <c:axId val="112957696"/>
        <c:axId val="113348608"/>
      </c:barChart>
      <c:catAx>
        <c:axId val="112957696"/>
        <c:scaling>
          <c:orientation val="minMax"/>
        </c:scaling>
        <c:delete val="0"/>
        <c:axPos val="b"/>
        <c:numFmt formatCode="General" sourceLinked="1"/>
        <c:majorTickMark val="out"/>
        <c:minorTickMark val="none"/>
        <c:tickLblPos val="nextTo"/>
        <c:crossAx val="113348608"/>
        <c:crosses val="autoZero"/>
        <c:auto val="1"/>
        <c:lblAlgn val="ctr"/>
        <c:lblOffset val="100"/>
        <c:noMultiLvlLbl val="0"/>
      </c:catAx>
      <c:valAx>
        <c:axId val="113348608"/>
        <c:scaling>
          <c:orientation val="minMax"/>
        </c:scaling>
        <c:delete val="0"/>
        <c:axPos val="l"/>
        <c:numFmt formatCode="General" sourceLinked="1"/>
        <c:majorTickMark val="out"/>
        <c:minorTickMark val="none"/>
        <c:tickLblPos val="nextTo"/>
        <c:crossAx val="112957696"/>
        <c:crosses val="autoZero"/>
        <c:crossBetween val="between"/>
      </c:valAx>
    </c:plotArea>
    <c:legend>
      <c:legendPos val="r"/>
      <c:layout>
        <c:manualLayout>
          <c:xMode val="edge"/>
          <c:yMode val="edge"/>
          <c:x val="8.6236356377782902E-2"/>
          <c:y val="0.166796303566522"/>
          <c:w val="0.21598569596276199"/>
          <c:h val="0.266075617130137"/>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Average Fine</a:t>
            </a:r>
          </a:p>
        </c:rich>
      </c:tx>
      <c:overlay val="0"/>
    </c:title>
    <c:autoTitleDeleted val="0"/>
    <c:plotArea>
      <c:layout/>
      <c:lineChart>
        <c:grouping val="standard"/>
        <c:varyColors val="0"/>
        <c:ser>
          <c:idx val="0"/>
          <c:order val="0"/>
          <c:tx>
            <c:strRef>
              <c:f>Sheet3!$A$4</c:f>
              <c:strCache>
                <c:ptCount val="1"/>
                <c:pt idx="0">
                  <c:v>Average Fine</c:v>
                </c:pt>
              </c:strCache>
            </c:strRef>
          </c:tx>
          <c:spPr>
            <a:ln>
              <a:solidFill>
                <a:srgbClr val="000000"/>
              </a:solidFill>
            </a:ln>
          </c:spPr>
          <c:marker>
            <c:symbol val="none"/>
          </c:marker>
          <c:cat>
            <c:numRef>
              <c:f>Sheet3!$B$1:$L$1</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Sheet3!$B$4:$L$4</c:f>
              <c:numCache>
                <c:formatCode>"£"#,##0.00_);[Red]\("£"#,##0.00\)</c:formatCode>
                <c:ptCount val="11"/>
                <c:pt idx="0">
                  <c:v>827111.11111111112</c:v>
                </c:pt>
                <c:pt idx="1">
                  <c:v>645588.23529411759</c:v>
                </c:pt>
                <c:pt idx="2">
                  <c:v>774031.25</c:v>
                </c:pt>
                <c:pt idx="3">
                  <c:v>807898.09523809527</c:v>
                </c:pt>
                <c:pt idx="4">
                  <c:v>492931.22222222219</c:v>
                </c:pt>
                <c:pt idx="5">
                  <c:v>222562.5</c:v>
                </c:pt>
                <c:pt idx="6">
                  <c:v>445226</c:v>
                </c:pt>
                <c:pt idx="7">
                  <c:v>833464.80952380947</c:v>
                </c:pt>
                <c:pt idx="8">
                  <c:v>1114016.01875</c:v>
                </c:pt>
                <c:pt idx="9">
                  <c:v>1102413.9833333299</c:v>
                </c:pt>
                <c:pt idx="10">
                  <c:v>3066546.0408163299</c:v>
                </c:pt>
              </c:numCache>
            </c:numRef>
          </c:val>
          <c:smooth val="0"/>
        </c:ser>
        <c:dLbls>
          <c:showLegendKey val="0"/>
          <c:showVal val="0"/>
          <c:showCatName val="0"/>
          <c:showSerName val="0"/>
          <c:showPercent val="0"/>
          <c:showBubbleSize val="0"/>
        </c:dLbls>
        <c:marker val="1"/>
        <c:smooth val="0"/>
        <c:axId val="116129152"/>
        <c:axId val="116151424"/>
      </c:lineChart>
      <c:catAx>
        <c:axId val="1161291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16151424"/>
        <c:crosses val="autoZero"/>
        <c:auto val="1"/>
        <c:lblAlgn val="ctr"/>
        <c:lblOffset val="100"/>
        <c:noMultiLvlLbl val="0"/>
      </c:catAx>
      <c:valAx>
        <c:axId val="116151424"/>
        <c:scaling>
          <c:orientation val="minMax"/>
        </c:scaling>
        <c:delete val="0"/>
        <c:axPos val="l"/>
        <c:majorGridlines/>
        <c:numFmt formatCode="&quot;£&quot;#,##0.00_);[Red]\(&quot;£&quot;#,##0.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161291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DE56-9393-41D8-A009-13AEAF6D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cp:lastPrinted>2013-01-06T10:57:00Z</cp:lastPrinted>
  <dcterms:created xsi:type="dcterms:W3CDTF">2013-02-26T16:48:00Z</dcterms:created>
  <dcterms:modified xsi:type="dcterms:W3CDTF">2013-02-26T16:48:00Z</dcterms:modified>
</cp:coreProperties>
</file>