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D2A" w:rsidRPr="000726B1" w:rsidRDefault="008C6D2A" w:rsidP="008C6D2A">
      <w:pPr>
        <w:pStyle w:val="Heading1"/>
      </w:pPr>
      <w:r>
        <w:t>Use of whole blood for analysis of disease-associated biomarkers</w:t>
      </w:r>
    </w:p>
    <w:p w:rsidR="008C6D2A" w:rsidRDefault="008C6D2A" w:rsidP="008C6D2A">
      <w:r>
        <w:t>Jennifer E. May</w:t>
      </w:r>
      <w:r w:rsidRPr="00A01F78">
        <w:rPr>
          <w:vertAlign w:val="superscript"/>
        </w:rPr>
        <w:t>1</w:t>
      </w:r>
      <w:r>
        <w:t>, Roy M. Pemberton</w:t>
      </w:r>
      <w:r w:rsidRPr="00A01F78">
        <w:rPr>
          <w:vertAlign w:val="superscript"/>
        </w:rPr>
        <w:t>1</w:t>
      </w:r>
      <w:r>
        <w:t>, John P. Hart</w:t>
      </w:r>
      <w:r w:rsidRPr="00A01F78">
        <w:rPr>
          <w:vertAlign w:val="superscript"/>
        </w:rPr>
        <w:t>1</w:t>
      </w:r>
      <w:r>
        <w:t>, Julie McLeod</w:t>
      </w:r>
      <w:r w:rsidRPr="00A01F78">
        <w:rPr>
          <w:vertAlign w:val="superscript"/>
        </w:rPr>
        <w:t>1</w:t>
      </w:r>
      <w:r w:rsidR="009C57E2">
        <w:rPr>
          <w:vertAlign w:val="superscript"/>
        </w:rPr>
        <w:t xml:space="preserve">, </w:t>
      </w:r>
      <w:r w:rsidR="009C57E2" w:rsidRPr="009C57E2">
        <w:t>Gordon Wilcock</w:t>
      </w:r>
      <w:r w:rsidR="009C57E2" w:rsidRPr="009C57E2">
        <w:rPr>
          <w:vertAlign w:val="superscript"/>
        </w:rPr>
        <w:t>2</w:t>
      </w:r>
      <w:r>
        <w:t xml:space="preserve"> and Olena Doran</w:t>
      </w:r>
      <w:r>
        <w:rPr>
          <w:vertAlign w:val="superscript"/>
        </w:rPr>
        <w:t>1</w:t>
      </w:r>
    </w:p>
    <w:p w:rsidR="008C6D2A" w:rsidRDefault="008C6D2A" w:rsidP="008C6D2A">
      <w:r w:rsidRPr="00A01F78">
        <w:rPr>
          <w:vertAlign w:val="superscript"/>
        </w:rPr>
        <w:t>1</w:t>
      </w:r>
      <w:r>
        <w:t xml:space="preserve">Centre for Research in Biosciences, University of the West of England, </w:t>
      </w:r>
      <w:proofErr w:type="spellStart"/>
      <w:r>
        <w:t>Coldharbour</w:t>
      </w:r>
      <w:proofErr w:type="spellEnd"/>
      <w:r>
        <w:t xml:space="preserve"> Lane, </w:t>
      </w:r>
      <w:proofErr w:type="spellStart"/>
      <w:r>
        <w:t>Frenchay</w:t>
      </w:r>
      <w:proofErr w:type="spellEnd"/>
      <w:r>
        <w:t>, Bristol, BS16 1QY, UK</w:t>
      </w:r>
    </w:p>
    <w:p w:rsidR="009C57E2" w:rsidRDefault="009C57E2" w:rsidP="008C6D2A">
      <w:r w:rsidRPr="009C57E2">
        <w:rPr>
          <w:vertAlign w:val="superscript"/>
        </w:rPr>
        <w:t>2</w:t>
      </w:r>
      <w:r>
        <w:t xml:space="preserve">Optima Project, University of Oxford, John Radcliffe Hospital, </w:t>
      </w:r>
      <w:proofErr w:type="spellStart"/>
      <w:r>
        <w:t>Headington</w:t>
      </w:r>
      <w:proofErr w:type="spellEnd"/>
      <w:r>
        <w:t>, Oxford, OX3 9DU, UK</w:t>
      </w:r>
    </w:p>
    <w:p w:rsidR="009C57E2" w:rsidRDefault="009C57E2" w:rsidP="008C6D2A"/>
    <w:p w:rsidR="008C6D2A" w:rsidRDefault="008C6D2A" w:rsidP="008C6D2A">
      <w:r>
        <w:t>Short title: Use of whole blood for biomarker analysis</w:t>
      </w:r>
    </w:p>
    <w:p w:rsidR="008C6D2A" w:rsidRDefault="008C6D2A" w:rsidP="008C6D2A"/>
    <w:p w:rsidR="008C6D2A" w:rsidRDefault="008C6D2A" w:rsidP="008C6D2A">
      <w:r>
        <w:t xml:space="preserve">Corresponding Author: </w:t>
      </w:r>
    </w:p>
    <w:p w:rsidR="008C6D2A" w:rsidRDefault="008C6D2A" w:rsidP="008C6D2A">
      <w:r>
        <w:t>Jennifer May, Centre for Research in Bioscience</w:t>
      </w:r>
      <w:r w:rsidR="00B72EEC">
        <w:t>s</w:t>
      </w:r>
      <w:r>
        <w:t xml:space="preserve">, University of the West of England, </w:t>
      </w:r>
      <w:proofErr w:type="spellStart"/>
      <w:r>
        <w:t>Coldharbour</w:t>
      </w:r>
      <w:proofErr w:type="spellEnd"/>
      <w:r>
        <w:t xml:space="preserve"> Lane, </w:t>
      </w:r>
      <w:proofErr w:type="spellStart"/>
      <w:r>
        <w:t>French</w:t>
      </w:r>
      <w:r w:rsidR="00B72EEC">
        <w:t>ay</w:t>
      </w:r>
      <w:proofErr w:type="spellEnd"/>
      <w:r w:rsidR="00B72EEC">
        <w:t>, Bristol, BS16 1QY, UK. Tel:</w:t>
      </w:r>
      <w:r w:rsidR="0033089B">
        <w:t xml:space="preserve"> </w:t>
      </w:r>
      <w:r>
        <w:t>0117 328 2336 Email</w:t>
      </w:r>
      <w:proofErr w:type="gramStart"/>
      <w:r>
        <w:t>:</w:t>
      </w:r>
      <w:proofErr w:type="gramEnd"/>
      <w:r w:rsidR="0013620C">
        <w:fldChar w:fldCharType="begin"/>
      </w:r>
      <w:r w:rsidR="0013620C">
        <w:instrText>HYPERLINK "mailto:jennifer2.may@uwe.ac.uk"</w:instrText>
      </w:r>
      <w:r w:rsidR="0013620C">
        <w:fldChar w:fldCharType="separate"/>
      </w:r>
      <w:r w:rsidRPr="00815E2F">
        <w:rPr>
          <w:rStyle w:val="Hyperlink"/>
        </w:rPr>
        <w:t>jennifer2.may@uwe.ac.uk</w:t>
      </w:r>
      <w:r w:rsidR="0013620C">
        <w:fldChar w:fldCharType="end"/>
      </w:r>
      <w:r>
        <w:t xml:space="preserve"> </w:t>
      </w:r>
    </w:p>
    <w:p w:rsidR="008C6D2A" w:rsidRDefault="008C6D2A" w:rsidP="00A01F78">
      <w:pPr>
        <w:pStyle w:val="Heading1"/>
      </w:pPr>
    </w:p>
    <w:p w:rsidR="008C6D2A" w:rsidRDefault="008C6D2A">
      <w:pPr>
        <w:spacing w:line="276" w:lineRule="auto"/>
        <w:rPr>
          <w:rFonts w:asciiTheme="majorHAnsi" w:eastAsiaTheme="majorEastAsia" w:hAnsiTheme="majorHAnsi" w:cstheme="majorBidi"/>
          <w:b/>
          <w:bCs/>
          <w:color w:val="4F81BD" w:themeColor="accent1"/>
          <w:sz w:val="26"/>
          <w:szCs w:val="26"/>
        </w:rPr>
      </w:pPr>
      <w:r>
        <w:br w:type="page"/>
      </w:r>
    </w:p>
    <w:p w:rsidR="00B72EEC" w:rsidRDefault="00B72EEC" w:rsidP="00B72EEC">
      <w:pPr>
        <w:pStyle w:val="Heading2"/>
      </w:pPr>
      <w:r>
        <w:lastRenderedPageBreak/>
        <w:t>Abstract:</w:t>
      </w:r>
    </w:p>
    <w:p w:rsidR="00B72EEC" w:rsidRDefault="00B72EEC" w:rsidP="00B72EEC">
      <w:r>
        <w:t>Analyses for diagnosis and monitoring of pathological conditions often rely on blood samples, partly due to relative ease of collection. However, many interfering substances largely preclude use of whole blood itself, necessitating separation of plasma or serum. We present a feasibility study demonstrating potential use of fresh or frozen whole blood to detect soluble biomarkers using an ELISA-based method. Good correlation between levels of soluble CD25 in plasma and whole blood of healthy individuals or Alzheimer’s patients was established. These results provide a basis for development of a novel</w:t>
      </w:r>
      <w:r w:rsidRPr="00A31659">
        <w:t xml:space="preserve"> </w:t>
      </w:r>
      <w:r>
        <w:t xml:space="preserve">biosensor approach for disease-associated biomarker detection in whole blood. </w:t>
      </w:r>
    </w:p>
    <w:p w:rsidR="00B72EEC" w:rsidRDefault="00B72EEC" w:rsidP="00B72EEC">
      <w:pPr>
        <w:pStyle w:val="Heading2"/>
      </w:pPr>
      <w:r>
        <w:t>Keywords:</w:t>
      </w:r>
    </w:p>
    <w:p w:rsidR="00B72EEC" w:rsidRPr="00A01F78" w:rsidRDefault="00B72EEC" w:rsidP="00B72EEC">
      <w:r>
        <w:t>Biomarkers, Whole blood, Plasma, ELISA, CD25</w:t>
      </w:r>
    </w:p>
    <w:p w:rsidR="006F0689" w:rsidRDefault="006F0689">
      <w:pPr>
        <w:spacing w:line="276" w:lineRule="auto"/>
        <w:rPr>
          <w:rFonts w:asciiTheme="majorHAnsi" w:eastAsiaTheme="majorEastAsia" w:hAnsiTheme="majorHAnsi" w:cstheme="majorBidi"/>
          <w:b/>
          <w:bCs/>
          <w:sz w:val="26"/>
          <w:szCs w:val="26"/>
        </w:rPr>
      </w:pPr>
      <w:r>
        <w:br w:type="page"/>
      </w:r>
    </w:p>
    <w:p w:rsidR="000D5E45" w:rsidRPr="000726B1" w:rsidRDefault="000D5E45" w:rsidP="00AD20D0">
      <w:pPr>
        <w:pStyle w:val="Heading2"/>
      </w:pPr>
      <w:r w:rsidRPr="000726B1">
        <w:lastRenderedPageBreak/>
        <w:t>Intro</w:t>
      </w:r>
      <w:r w:rsidR="00F67403">
        <w:t>duction</w:t>
      </w:r>
      <w:r w:rsidRPr="000726B1">
        <w:t>:</w:t>
      </w:r>
    </w:p>
    <w:p w:rsidR="009773A0" w:rsidRDefault="001C72F6">
      <w:r>
        <w:t xml:space="preserve">Blood is </w:t>
      </w:r>
      <w:r w:rsidR="00AF7EDD">
        <w:t xml:space="preserve">a </w:t>
      </w:r>
      <w:r>
        <w:t xml:space="preserve">commonly used biological specimen for </w:t>
      </w:r>
      <w:r w:rsidR="00AF7EDD">
        <w:t>diagnos</w:t>
      </w:r>
      <w:r w:rsidR="001562B3">
        <w:t>i</w:t>
      </w:r>
      <w:r w:rsidR="00AF7EDD">
        <w:t xml:space="preserve">s and </w:t>
      </w:r>
      <w:r w:rsidR="001562B3">
        <w:t>m</w:t>
      </w:r>
      <w:r>
        <w:t>onitoring of di</w:t>
      </w:r>
      <w:r w:rsidR="00B72EEC">
        <w:t xml:space="preserve">sease processes, </w:t>
      </w:r>
      <w:r w:rsidR="003A5D95">
        <w:t>h</w:t>
      </w:r>
      <w:r>
        <w:t xml:space="preserve">owever, the vast majority of analyses performed on </w:t>
      </w:r>
      <w:r w:rsidR="00D760D6">
        <w:t>blood</w:t>
      </w:r>
      <w:r>
        <w:t xml:space="preserve"> are conducted on</w:t>
      </w:r>
      <w:r w:rsidR="00F46A50">
        <w:t>ly on</w:t>
      </w:r>
      <w:r>
        <w:t xml:space="preserve"> the plasma</w:t>
      </w:r>
      <w:r w:rsidR="00F46A50">
        <w:t xml:space="preserve"> or serum fraction, thus requiring separation steps, which can require specialist equipment and be time-consuming</w:t>
      </w:r>
      <w:r w:rsidR="00A024ED">
        <w:t>, increasing cost</w:t>
      </w:r>
      <w:r w:rsidR="00F46A50">
        <w:t xml:space="preserve">. </w:t>
      </w:r>
      <w:r w:rsidR="003425C6">
        <w:t xml:space="preserve">Most routine laboratory analyses utilise </w:t>
      </w:r>
      <w:r w:rsidR="00D57220">
        <w:t>either plasma</w:t>
      </w:r>
      <w:r w:rsidR="003425C6">
        <w:t xml:space="preserve"> or </w:t>
      </w:r>
      <w:r w:rsidR="009773A0">
        <w:t>serum</w:t>
      </w:r>
      <w:r w:rsidR="003425C6">
        <w:t xml:space="preserve"> </w:t>
      </w:r>
      <w:r w:rsidR="00E4616F">
        <w:t>[1]</w:t>
      </w:r>
      <w:r w:rsidR="00613107">
        <w:t>, as do</w:t>
      </w:r>
      <w:r w:rsidR="003425C6">
        <w:t xml:space="preserve"> many </w:t>
      </w:r>
      <w:r w:rsidR="000D5BEA">
        <w:t xml:space="preserve">tests for specific pathologies </w:t>
      </w:r>
      <w:r w:rsidR="00613107">
        <w:t>such as</w:t>
      </w:r>
      <w:r w:rsidR="003425C6">
        <w:t xml:space="preserve"> </w:t>
      </w:r>
      <w:r w:rsidR="00B72EEC">
        <w:t xml:space="preserve">malignancy-associated </w:t>
      </w:r>
      <w:r w:rsidR="00EF15F9">
        <w:t>biomarkers</w:t>
      </w:r>
      <w:r w:rsidR="005C6475">
        <w:t xml:space="preserve"> [</w:t>
      </w:r>
      <w:r w:rsidR="00E4616F">
        <w:t>2</w:t>
      </w:r>
      <w:r w:rsidR="005C6475">
        <w:t>]</w:t>
      </w:r>
      <w:r w:rsidR="008F6D44">
        <w:t>.</w:t>
      </w:r>
      <w:r w:rsidR="00C73CCA">
        <w:t xml:space="preserve"> </w:t>
      </w:r>
    </w:p>
    <w:p w:rsidR="009773A0" w:rsidRDefault="003A5D95">
      <w:r>
        <w:t>Whole Blood (</w:t>
      </w:r>
      <w:r w:rsidR="00B56A54">
        <w:t>WB</w:t>
      </w:r>
      <w:r>
        <w:t>)</w:t>
      </w:r>
      <w:r w:rsidR="00B56A54">
        <w:t xml:space="preserve"> </w:t>
      </w:r>
      <w:r w:rsidR="00F46A50">
        <w:t xml:space="preserve">is a more attractive </w:t>
      </w:r>
      <w:r w:rsidR="002B7B4F">
        <w:t xml:space="preserve">option </w:t>
      </w:r>
      <w:r w:rsidR="00F46A50">
        <w:t xml:space="preserve">for rapid point-of-care </w:t>
      </w:r>
      <w:r w:rsidR="00C305AC">
        <w:t xml:space="preserve">(POC) </w:t>
      </w:r>
      <w:r w:rsidR="00F46A50">
        <w:t>testing, completely removing</w:t>
      </w:r>
      <w:r w:rsidR="00C305AC">
        <w:t xml:space="preserve"> </w:t>
      </w:r>
      <w:r w:rsidR="00F46A50">
        <w:t>preparatory steps</w:t>
      </w:r>
      <w:r w:rsidR="00C305AC">
        <w:t>. H</w:t>
      </w:r>
      <w:r w:rsidR="00F46A50">
        <w:t xml:space="preserve">owever, </w:t>
      </w:r>
      <w:r w:rsidR="00C305AC">
        <w:t>WB</w:t>
      </w:r>
      <w:r w:rsidR="00F46A50">
        <w:t xml:space="preserve"> is a highly complex sample, with </w:t>
      </w:r>
      <w:r w:rsidR="00B72EEC">
        <w:t>many</w:t>
      </w:r>
      <w:r w:rsidR="00F46A50">
        <w:t xml:space="preserve"> </w:t>
      </w:r>
      <w:r w:rsidR="004E601C">
        <w:t xml:space="preserve">potentially </w:t>
      </w:r>
      <w:r w:rsidR="00F46A50">
        <w:t>interfering factors.</w:t>
      </w:r>
      <w:r w:rsidR="00DB517D">
        <w:t xml:space="preserve"> </w:t>
      </w:r>
      <w:r w:rsidR="00613107">
        <w:t>A</w:t>
      </w:r>
      <w:r w:rsidR="002B7B4F">
        <w:t xml:space="preserve">vailable </w:t>
      </w:r>
      <w:proofErr w:type="spellStart"/>
      <w:r w:rsidR="002B7B4F">
        <w:t>biosensing</w:t>
      </w:r>
      <w:proofErr w:type="spellEnd"/>
      <w:r w:rsidR="002B7B4F">
        <w:t xml:space="preserve"> systems</w:t>
      </w:r>
      <w:r w:rsidR="002D280F">
        <w:t xml:space="preserve"> </w:t>
      </w:r>
      <w:r w:rsidR="00DB517D">
        <w:t xml:space="preserve">utilising </w:t>
      </w:r>
      <w:r w:rsidR="00914F2F">
        <w:t>WB</w:t>
      </w:r>
      <w:r w:rsidR="00DB517D">
        <w:t xml:space="preserve"> are</w:t>
      </w:r>
      <w:r w:rsidR="002B7B4F">
        <w:t xml:space="preserve"> </w:t>
      </w:r>
      <w:r w:rsidR="00943823">
        <w:t>very limited</w:t>
      </w:r>
      <w:r w:rsidR="00DB517D">
        <w:t xml:space="preserve"> in comparison to sample types</w:t>
      </w:r>
      <w:r w:rsidR="00402729">
        <w:t xml:space="preserve"> such as plasma</w:t>
      </w:r>
      <w:r w:rsidR="001D267E">
        <w:t>,</w:t>
      </w:r>
      <w:r w:rsidR="0099181D">
        <w:t xml:space="preserve"> therefore present</w:t>
      </w:r>
      <w:r w:rsidR="001D267E">
        <w:t>ing</w:t>
      </w:r>
      <w:r w:rsidR="0099181D">
        <w:t xml:space="preserve"> a rapidly developing and potential new approach for </w:t>
      </w:r>
      <w:proofErr w:type="spellStart"/>
      <w:r w:rsidR="0099181D">
        <w:t>biosensing</w:t>
      </w:r>
      <w:proofErr w:type="spellEnd"/>
      <w:r w:rsidR="0099181D">
        <w:t xml:space="preserve"> technologies.</w:t>
      </w:r>
      <w:r w:rsidR="00587718">
        <w:t xml:space="preserve"> </w:t>
      </w:r>
      <w:r w:rsidR="00613107">
        <w:t>O</w:t>
      </w:r>
      <w:r w:rsidR="002B7B4F">
        <w:t xml:space="preserve">nly </w:t>
      </w:r>
      <w:r w:rsidR="00587718">
        <w:t>a few examples of POC</w:t>
      </w:r>
      <w:r w:rsidR="002E08B1">
        <w:t xml:space="preserve"> tests</w:t>
      </w:r>
      <w:r w:rsidR="00587718">
        <w:t xml:space="preserve"> utilis</w:t>
      </w:r>
      <w:r w:rsidR="00613107">
        <w:t>e</w:t>
      </w:r>
      <w:r w:rsidR="00587718">
        <w:t xml:space="preserve"> </w:t>
      </w:r>
      <w:r w:rsidR="00914F2F">
        <w:t>WB</w:t>
      </w:r>
      <w:r w:rsidR="00B72EEC">
        <w:t>,</w:t>
      </w:r>
      <w:r w:rsidR="00587718">
        <w:t xml:space="preserve"> mostly for analysis of </w:t>
      </w:r>
      <w:r w:rsidR="000E6807">
        <w:t>erythrocyte</w:t>
      </w:r>
      <w:r w:rsidR="00C305AC">
        <w:t>-</w:t>
      </w:r>
      <w:r w:rsidR="00587718">
        <w:t>related parameters such as haemoglobin</w:t>
      </w:r>
      <w:r w:rsidR="008D1D30">
        <w:t xml:space="preserve"> [</w:t>
      </w:r>
      <w:r w:rsidR="00E4616F">
        <w:t>3</w:t>
      </w:r>
      <w:r w:rsidR="008A7D5D">
        <w:t>]</w:t>
      </w:r>
      <w:r w:rsidR="00943823">
        <w:t>.</w:t>
      </w:r>
      <w:r w:rsidR="0098016B">
        <w:t xml:space="preserve"> </w:t>
      </w:r>
      <w:r w:rsidR="00016D03">
        <w:t xml:space="preserve">One commonly used </w:t>
      </w:r>
      <w:r w:rsidR="00914F2F">
        <w:t xml:space="preserve">WB </w:t>
      </w:r>
      <w:r w:rsidR="00016D03">
        <w:t>biosensor is blood glucose</w:t>
      </w:r>
      <w:r w:rsidR="002D280F">
        <w:t xml:space="preserve"> monitoring</w:t>
      </w:r>
      <w:r w:rsidR="00016D03">
        <w:t>, where POC</w:t>
      </w:r>
      <w:r w:rsidR="002E08B1">
        <w:t xml:space="preserve"> test</w:t>
      </w:r>
      <w:r w:rsidR="002D280F">
        <w:t>s</w:t>
      </w:r>
      <w:r w:rsidR="00016D03">
        <w:t xml:space="preserve"> routinely requi</w:t>
      </w:r>
      <w:r w:rsidR="0019456E">
        <w:t>re just a finger-prick of blood</w:t>
      </w:r>
      <w:r w:rsidR="00016D03">
        <w:t xml:space="preserve">, and </w:t>
      </w:r>
      <w:r w:rsidR="00B37A23">
        <w:t xml:space="preserve">show </w:t>
      </w:r>
      <w:r w:rsidR="00016D03">
        <w:t xml:space="preserve">excellent correlation between plasma and </w:t>
      </w:r>
      <w:r w:rsidR="004E601C">
        <w:t>WB glucose levels</w:t>
      </w:r>
      <w:r w:rsidR="00B37A23">
        <w:t xml:space="preserve"> </w:t>
      </w:r>
      <w:r w:rsidR="005C6475">
        <w:t>[</w:t>
      </w:r>
      <w:r w:rsidR="00755E6D">
        <w:t>4</w:t>
      </w:r>
      <w:r w:rsidR="005C6475">
        <w:t>]</w:t>
      </w:r>
      <w:r w:rsidR="00016D03">
        <w:t>.</w:t>
      </w:r>
      <w:r w:rsidR="00587718">
        <w:t xml:space="preserve"> </w:t>
      </w:r>
    </w:p>
    <w:p w:rsidR="003C02C3" w:rsidRDefault="003C02C3">
      <w:r>
        <w:t xml:space="preserve">Additionally, whilst some </w:t>
      </w:r>
      <w:r w:rsidR="005357EB">
        <w:t>POC</w:t>
      </w:r>
      <w:r>
        <w:t xml:space="preserve"> tests such as cardiac </w:t>
      </w:r>
      <w:proofErr w:type="spellStart"/>
      <w:r>
        <w:t>troponin</w:t>
      </w:r>
      <w:proofErr w:type="spellEnd"/>
      <w:r>
        <w:t xml:space="preserve"> detection can be performed on </w:t>
      </w:r>
      <w:r w:rsidR="00914F2F">
        <w:t>WB</w:t>
      </w:r>
      <w:r>
        <w:t xml:space="preserve"> these are generally less sensitive than laboratory methods (typically performed on serum), with studies indicating need </w:t>
      </w:r>
      <w:r w:rsidR="00B37A23">
        <w:t>for confirmation</w:t>
      </w:r>
      <w:r>
        <w:t xml:space="preserve"> </w:t>
      </w:r>
      <w:r w:rsidR="00B37A23">
        <w:t>using</w:t>
      </w:r>
      <w:r w:rsidR="00613107">
        <w:t xml:space="preserve"> standard methods </w:t>
      </w:r>
      <w:r w:rsidR="004D7082">
        <w:t>and therefore</w:t>
      </w:r>
      <w:r>
        <w:t xml:space="preserve"> mainly useful for </w:t>
      </w:r>
      <w:r w:rsidR="00246DDB">
        <w:t>exclusion purposes</w:t>
      </w:r>
      <w:r>
        <w:t xml:space="preserve"> </w:t>
      </w:r>
      <w:r w:rsidR="008F6D44">
        <w:t>[</w:t>
      </w:r>
      <w:r w:rsidR="00755E6D">
        <w:t>5</w:t>
      </w:r>
      <w:r w:rsidR="005C6475">
        <w:t>]</w:t>
      </w:r>
      <w:r>
        <w:t>.</w:t>
      </w:r>
    </w:p>
    <w:p w:rsidR="00276F70" w:rsidRDefault="00C305AC">
      <w:r>
        <w:t>‘</w:t>
      </w:r>
      <w:r w:rsidR="007A326A">
        <w:t>L</w:t>
      </w:r>
      <w:r>
        <w:t>ab-on-a-chip’ technologies</w:t>
      </w:r>
      <w:r w:rsidR="007A326A">
        <w:t xml:space="preserve"> have recently begun to show promise by</w:t>
      </w:r>
      <w:r>
        <w:t xml:space="preserve"> incorporating steps to separate plasma or se</w:t>
      </w:r>
      <w:r w:rsidR="0008372D">
        <w:t>rum fractions prior to analysis</w:t>
      </w:r>
      <w:r w:rsidR="001C37B7">
        <w:t xml:space="preserve"> [</w:t>
      </w:r>
      <w:r w:rsidR="006F0689">
        <w:t>6</w:t>
      </w:r>
      <w:r w:rsidR="001C37B7">
        <w:t>]</w:t>
      </w:r>
      <w:r>
        <w:t xml:space="preserve">. </w:t>
      </w:r>
      <w:r w:rsidR="007A326A">
        <w:t>T</w:t>
      </w:r>
      <w:r w:rsidR="00DB517D">
        <w:t xml:space="preserve">here </w:t>
      </w:r>
      <w:r w:rsidR="007A326A">
        <w:t>remains</w:t>
      </w:r>
      <w:r w:rsidR="00DB517D">
        <w:t xml:space="preserve"> a need to develop novel technology for </w:t>
      </w:r>
      <w:r w:rsidR="00276F70">
        <w:t>POC</w:t>
      </w:r>
      <w:r w:rsidR="00B72EEC">
        <w:t xml:space="preserve"> testing utilising</w:t>
      </w:r>
      <w:r w:rsidR="00DB517D">
        <w:t xml:space="preserve"> WB</w:t>
      </w:r>
      <w:r w:rsidR="00022580">
        <w:t xml:space="preserve">, with potential application in settings such as emergency departments, GP surgeries and areas with limited healthcare </w:t>
      </w:r>
      <w:r w:rsidR="00923C21">
        <w:t>facilities</w:t>
      </w:r>
      <w:r w:rsidR="00DB517D">
        <w:t xml:space="preserve">. </w:t>
      </w:r>
      <w:r w:rsidR="00276F70">
        <w:t xml:space="preserve">Additionally, </w:t>
      </w:r>
      <w:r w:rsidR="00B72EEC">
        <w:t>ability to</w:t>
      </w:r>
      <w:r w:rsidR="00276F70">
        <w:t xml:space="preserve"> use WB frozen without preparatory or protective stages would be beneficial for</w:t>
      </w:r>
      <w:r w:rsidR="00BE7428">
        <w:t xml:space="preserve"> </w:t>
      </w:r>
      <w:r w:rsidR="00276F70">
        <w:t>batch</w:t>
      </w:r>
      <w:r w:rsidR="00246DDB">
        <w:t>-</w:t>
      </w:r>
      <w:r w:rsidR="00B72EEC">
        <w:t>testing</w:t>
      </w:r>
      <w:r w:rsidR="00613107">
        <w:t>.</w:t>
      </w:r>
    </w:p>
    <w:p w:rsidR="00DB50CD" w:rsidRDefault="00613107" w:rsidP="00DB50CD">
      <w:r>
        <w:lastRenderedPageBreak/>
        <w:t>We</w:t>
      </w:r>
      <w:r w:rsidR="009F3178">
        <w:t xml:space="preserve"> describe </w:t>
      </w:r>
      <w:r>
        <w:t>a method for a</w:t>
      </w:r>
      <w:r w:rsidR="009F3178">
        <w:t>nalysis of a</w:t>
      </w:r>
      <w:r w:rsidR="0047540A" w:rsidRPr="00E30328">
        <w:t xml:space="preserve"> disease-associated biomarker using frozen </w:t>
      </w:r>
      <w:r w:rsidR="00914F2F">
        <w:t>WB</w:t>
      </w:r>
      <w:r w:rsidR="00276F70">
        <w:t>.</w:t>
      </w:r>
      <w:r w:rsidR="0047540A" w:rsidRPr="00E30328">
        <w:t xml:space="preserve"> </w:t>
      </w:r>
      <w:r w:rsidR="00E30328" w:rsidRPr="00E30328">
        <w:t xml:space="preserve">CD25 </w:t>
      </w:r>
      <w:r w:rsidR="0045509C">
        <w:t xml:space="preserve">was </w:t>
      </w:r>
      <w:r w:rsidR="004C5876" w:rsidRPr="00E30328">
        <w:t>selected</w:t>
      </w:r>
      <w:r w:rsidR="004C5876">
        <w:t xml:space="preserve"> as a representative biomarker </w:t>
      </w:r>
      <w:r w:rsidR="00E30328" w:rsidRPr="00E30328">
        <w:t xml:space="preserve">for initial method development, as </w:t>
      </w:r>
      <w:r>
        <w:t xml:space="preserve">it is </w:t>
      </w:r>
      <w:r w:rsidR="005A6B4B">
        <w:t xml:space="preserve">found to be </w:t>
      </w:r>
      <w:r w:rsidR="005A6B4B" w:rsidRPr="00E30328">
        <w:t xml:space="preserve"> </w:t>
      </w:r>
      <w:r w:rsidR="00E30328" w:rsidRPr="00E30328">
        <w:rPr>
          <w:rFonts w:cstheme="minorHAnsi"/>
        </w:rPr>
        <w:t xml:space="preserve">increased </w:t>
      </w:r>
      <w:r w:rsidR="00983866">
        <w:rPr>
          <w:rFonts w:cstheme="minorHAnsi"/>
        </w:rPr>
        <w:t xml:space="preserve">on activated MNC </w:t>
      </w:r>
      <w:r w:rsidR="00246DDB">
        <w:rPr>
          <w:rFonts w:cstheme="minorHAnsi"/>
        </w:rPr>
        <w:t>in</w:t>
      </w:r>
      <w:r w:rsidR="00E30328" w:rsidRPr="00E30328">
        <w:rPr>
          <w:rFonts w:cstheme="minorHAnsi"/>
        </w:rPr>
        <w:t xml:space="preserve"> Alzheimer’s disease (AD) </w:t>
      </w:r>
      <w:r w:rsidR="003A5D95">
        <w:rPr>
          <w:rFonts w:cstheme="minorHAnsi"/>
        </w:rPr>
        <w:t xml:space="preserve">against age-matched cohorts </w:t>
      </w:r>
      <w:r w:rsidR="00E30328" w:rsidRPr="00E30328">
        <w:rPr>
          <w:rFonts w:cstheme="minorHAnsi"/>
        </w:rPr>
        <w:t>(</w:t>
      </w:r>
      <w:r w:rsidR="004C5876">
        <w:rPr>
          <w:rFonts w:cstheme="minorHAnsi"/>
        </w:rPr>
        <w:t xml:space="preserve">our </w:t>
      </w:r>
      <w:r w:rsidR="00E30328" w:rsidRPr="00E30328">
        <w:rPr>
          <w:rFonts w:cstheme="minorHAnsi"/>
        </w:rPr>
        <w:t>unpublished data</w:t>
      </w:r>
      <w:r w:rsidR="00B72EEC">
        <w:rPr>
          <w:rFonts w:cstheme="minorHAnsi"/>
        </w:rPr>
        <w:t>)</w:t>
      </w:r>
      <w:r w:rsidR="004C5876">
        <w:rPr>
          <w:rFonts w:cstheme="minorHAnsi"/>
        </w:rPr>
        <w:t xml:space="preserve"> and [</w:t>
      </w:r>
      <w:r w:rsidR="006F0689">
        <w:rPr>
          <w:rFonts w:cstheme="minorHAnsi"/>
        </w:rPr>
        <w:t>7</w:t>
      </w:r>
      <w:r w:rsidR="001C37B7">
        <w:rPr>
          <w:rFonts w:cstheme="minorHAnsi"/>
        </w:rPr>
        <w:t>]</w:t>
      </w:r>
      <w:r w:rsidR="0045509C">
        <w:rPr>
          <w:rFonts w:cstheme="minorHAnsi"/>
        </w:rPr>
        <w:t>.</w:t>
      </w:r>
      <w:r w:rsidR="00E30328" w:rsidRPr="00E30328">
        <w:rPr>
          <w:rFonts w:cstheme="minorHAnsi"/>
        </w:rPr>
        <w:t xml:space="preserve"> </w:t>
      </w:r>
      <w:r w:rsidR="005A6B4B">
        <w:rPr>
          <w:rFonts w:cstheme="minorHAnsi"/>
        </w:rPr>
        <w:t>Currently, despite extensive research into AD biomarkers</w:t>
      </w:r>
      <w:r w:rsidR="00E30328" w:rsidRPr="00E30328">
        <w:t xml:space="preserve"> there is still no robust blood-based </w:t>
      </w:r>
      <w:r>
        <w:t xml:space="preserve">diagnostic </w:t>
      </w:r>
      <w:r w:rsidR="00E30328" w:rsidRPr="00E30328">
        <w:t>biosensor available</w:t>
      </w:r>
      <w:r w:rsidR="003753E9">
        <w:t>. Most of the</w:t>
      </w:r>
      <w:r w:rsidR="00E5440A">
        <w:t xml:space="preserve"> available methods</w:t>
      </w:r>
      <w:r w:rsidR="00E30328" w:rsidRPr="00E30328">
        <w:t xml:space="preserve"> </w:t>
      </w:r>
      <w:r w:rsidR="00105632">
        <w:t>involve</w:t>
      </w:r>
      <w:r w:rsidR="00105632" w:rsidRPr="00E30328">
        <w:t xml:space="preserve"> invasive</w:t>
      </w:r>
      <w:r w:rsidR="00E30328" w:rsidRPr="00E30328">
        <w:t xml:space="preserve"> sampl</w:t>
      </w:r>
      <w:r w:rsidR="009B4F2B">
        <w:t>ing</w:t>
      </w:r>
      <w:r w:rsidR="00E30328" w:rsidRPr="00E30328">
        <w:t xml:space="preserve"> such as cerebrospinal fluid (CSF) </w:t>
      </w:r>
      <w:r w:rsidR="001C37B7">
        <w:t>[</w:t>
      </w:r>
      <w:r w:rsidR="006F0689">
        <w:t>8</w:t>
      </w:r>
      <w:r w:rsidR="001C37B7">
        <w:t>]</w:t>
      </w:r>
      <w:r w:rsidR="00554A8F">
        <w:t>,</w:t>
      </w:r>
      <w:r w:rsidR="00510141">
        <w:t xml:space="preserve"> hence</w:t>
      </w:r>
      <w:r w:rsidR="00E30328" w:rsidRPr="00E30328">
        <w:t xml:space="preserve"> there is increasing need to develop methods for blood-based analysis of potential biomarkers for</w:t>
      </w:r>
      <w:r w:rsidR="00D079D4">
        <w:t xml:space="preserve"> </w:t>
      </w:r>
      <w:r w:rsidR="00105632">
        <w:t>AD</w:t>
      </w:r>
      <w:r w:rsidR="00E30328" w:rsidRPr="00E30328">
        <w:t>.</w:t>
      </w:r>
      <w:r w:rsidR="00813E7E">
        <w:t xml:space="preserve"> </w:t>
      </w:r>
      <w:r w:rsidR="00510141">
        <w:t xml:space="preserve">Whilst </w:t>
      </w:r>
      <w:r w:rsidR="00E17714">
        <w:t>CD25 was</w:t>
      </w:r>
      <w:r w:rsidR="00DB50CD">
        <w:t xml:space="preserve"> utilised for </w:t>
      </w:r>
      <w:r w:rsidR="00376A8E">
        <w:t xml:space="preserve">this </w:t>
      </w:r>
      <w:r w:rsidR="008E56F8">
        <w:t xml:space="preserve">feasibility study, </w:t>
      </w:r>
      <w:r w:rsidR="00376A8E">
        <w:t>i</w:t>
      </w:r>
      <w:r w:rsidR="00DB50CD">
        <w:t xml:space="preserve">t is </w:t>
      </w:r>
      <w:r w:rsidR="00554A8F">
        <w:t>important to highlight</w:t>
      </w:r>
      <w:r w:rsidR="00DB50CD">
        <w:t xml:space="preserve"> that this approach could be </w:t>
      </w:r>
      <w:r w:rsidR="008E56F8">
        <w:t xml:space="preserve">used </w:t>
      </w:r>
      <w:r w:rsidR="00DB50CD">
        <w:t>for any soluble blood-based biomarker and thus may have wide future application</w:t>
      </w:r>
      <w:r w:rsidR="00140008">
        <w:t>s</w:t>
      </w:r>
      <w:r w:rsidR="00DB50CD">
        <w:t>.</w:t>
      </w:r>
    </w:p>
    <w:p w:rsidR="0047540A" w:rsidRDefault="0047540A" w:rsidP="0047540A">
      <w:pPr>
        <w:pStyle w:val="Heading2"/>
      </w:pPr>
      <w:r>
        <w:t>Aim:</w:t>
      </w:r>
    </w:p>
    <w:p w:rsidR="00DB50CD" w:rsidRPr="00DB50CD" w:rsidRDefault="00DB50CD" w:rsidP="00DB50CD">
      <w:proofErr w:type="gramStart"/>
      <w:r>
        <w:t xml:space="preserve">To </w:t>
      </w:r>
      <w:r w:rsidR="007A326A">
        <w:t>compare the</w:t>
      </w:r>
      <w:r w:rsidR="00A2369B">
        <w:t xml:space="preserve"> </w:t>
      </w:r>
      <w:r>
        <w:t xml:space="preserve">use of </w:t>
      </w:r>
      <w:r w:rsidR="00415D06" w:rsidRPr="00A42F34">
        <w:t xml:space="preserve">fresh </w:t>
      </w:r>
      <w:r w:rsidR="00B97458" w:rsidRPr="00A42F34">
        <w:t>or</w:t>
      </w:r>
      <w:r w:rsidR="00415D06" w:rsidRPr="00A42F34">
        <w:t xml:space="preserve"> frozen </w:t>
      </w:r>
      <w:r w:rsidR="00914F2F" w:rsidRPr="00A42F34">
        <w:t>WB</w:t>
      </w:r>
      <w:r w:rsidR="00F31002" w:rsidRPr="00A42F34">
        <w:t xml:space="preserve"> </w:t>
      </w:r>
      <w:r w:rsidR="00B97458" w:rsidRPr="00A42F34">
        <w:t xml:space="preserve">as an alternative to plasma </w:t>
      </w:r>
      <w:r w:rsidR="00415D06" w:rsidRPr="00A42F34">
        <w:t>for</w:t>
      </w:r>
      <w:r w:rsidRPr="00A42F34">
        <w:t xml:space="preserve"> analysis</w:t>
      </w:r>
      <w:r>
        <w:t xml:space="preserve"> of disease-associated biomarkers</w:t>
      </w:r>
      <w:r w:rsidR="00415D06">
        <w:t>,</w:t>
      </w:r>
      <w:r w:rsidR="007A326A">
        <w:t xml:space="preserve"> as a possible </w:t>
      </w:r>
      <w:r>
        <w:t xml:space="preserve">basis for development of </w:t>
      </w:r>
      <w:proofErr w:type="spellStart"/>
      <w:r>
        <w:t>biosensing</w:t>
      </w:r>
      <w:proofErr w:type="spellEnd"/>
      <w:r>
        <w:t xml:space="preserve"> systems </w:t>
      </w:r>
      <w:r w:rsidR="00613107">
        <w:t>using WB.</w:t>
      </w:r>
      <w:proofErr w:type="gramEnd"/>
    </w:p>
    <w:p w:rsidR="000D5E45" w:rsidRPr="000726B1" w:rsidRDefault="000D5E45" w:rsidP="00AD20D0">
      <w:pPr>
        <w:pStyle w:val="Heading2"/>
      </w:pPr>
      <w:r w:rsidRPr="000726B1">
        <w:t>Methods:</w:t>
      </w:r>
    </w:p>
    <w:p w:rsidR="000C6583" w:rsidRDefault="00613107">
      <w:r>
        <w:t>R</w:t>
      </w:r>
      <w:r w:rsidR="00E17714">
        <w:t>eagents were</w:t>
      </w:r>
      <w:r w:rsidR="000C6583">
        <w:t xml:space="preserve"> from Sigma-Aldrich</w:t>
      </w:r>
      <w:r w:rsidR="00F84C90">
        <w:t xml:space="preserve"> (Dorset, UK)</w:t>
      </w:r>
      <w:r w:rsidR="000C6583">
        <w:t xml:space="preserve"> unless stated otherwise.</w:t>
      </w:r>
    </w:p>
    <w:p w:rsidR="000C6583" w:rsidRDefault="000C6583" w:rsidP="00AD20D0">
      <w:pPr>
        <w:pStyle w:val="Heading3"/>
      </w:pPr>
      <w:r>
        <w:t>Blood Samples:</w:t>
      </w:r>
    </w:p>
    <w:p w:rsidR="00871C43" w:rsidRDefault="00613107">
      <w:r>
        <w:t>Two sets of samples were utilised</w:t>
      </w:r>
      <w:r w:rsidR="00871C43">
        <w:t>: (</w:t>
      </w:r>
      <w:proofErr w:type="spellStart"/>
      <w:r w:rsidR="00871C43">
        <w:t>i</w:t>
      </w:r>
      <w:proofErr w:type="spellEnd"/>
      <w:r w:rsidR="00871C43">
        <w:t xml:space="preserve">) fresh and frozen WB samples from healthy volunteers and (ii) frozen WB </w:t>
      </w:r>
      <w:r w:rsidR="000D2148">
        <w:t xml:space="preserve">and plasma </w:t>
      </w:r>
      <w:r w:rsidR="00871C43">
        <w:t xml:space="preserve">samples from AD and healthy </w:t>
      </w:r>
      <w:r w:rsidR="000D2148">
        <w:t>individuals</w:t>
      </w:r>
      <w:r w:rsidR="00871C43">
        <w:t xml:space="preserve">. </w:t>
      </w:r>
    </w:p>
    <w:p w:rsidR="00310B1E" w:rsidRDefault="00914F2F">
      <w:r>
        <w:t>WB</w:t>
      </w:r>
      <w:r w:rsidR="00310B1E">
        <w:t xml:space="preserve"> samples were obtained from </w:t>
      </w:r>
      <w:r w:rsidR="0050787C">
        <w:t>13</w:t>
      </w:r>
      <w:r w:rsidR="001E58E9">
        <w:t xml:space="preserve"> </w:t>
      </w:r>
      <w:r w:rsidR="00310B1E">
        <w:t xml:space="preserve">healthy </w:t>
      </w:r>
      <w:r w:rsidR="009257EC">
        <w:t xml:space="preserve">consenting </w:t>
      </w:r>
      <w:r w:rsidR="00310B1E">
        <w:t>volunteers</w:t>
      </w:r>
      <w:r w:rsidR="00CE3D8D" w:rsidRPr="00CE3D8D">
        <w:t xml:space="preserve"> </w:t>
      </w:r>
      <w:r w:rsidR="00CE3D8D">
        <w:t>(age range 25-51 years)</w:t>
      </w:r>
      <w:r w:rsidR="00310B1E">
        <w:t xml:space="preserve"> at the University of the West of England</w:t>
      </w:r>
      <w:r w:rsidR="005A6B4B">
        <w:t>, Bristol</w:t>
      </w:r>
      <w:r w:rsidR="00310B1E">
        <w:t xml:space="preserve"> with</w:t>
      </w:r>
      <w:r w:rsidR="0099181D">
        <w:t xml:space="preserve"> Faculty</w:t>
      </w:r>
      <w:r w:rsidR="00310B1E">
        <w:t xml:space="preserve"> </w:t>
      </w:r>
      <w:r w:rsidR="007E1F60">
        <w:t>R</w:t>
      </w:r>
      <w:r w:rsidR="00310B1E">
        <w:t xml:space="preserve">esearch </w:t>
      </w:r>
      <w:r w:rsidR="007E1F60">
        <w:t>E</w:t>
      </w:r>
      <w:r w:rsidR="00310B1E">
        <w:t xml:space="preserve">thics </w:t>
      </w:r>
      <w:r w:rsidR="007E1F60">
        <w:t>C</w:t>
      </w:r>
      <w:r w:rsidR="00310B1E">
        <w:t xml:space="preserve">ommittee </w:t>
      </w:r>
      <w:r w:rsidR="0040433E">
        <w:t>approval</w:t>
      </w:r>
      <w:r w:rsidR="00E163E6">
        <w:t>.</w:t>
      </w:r>
    </w:p>
    <w:p w:rsidR="00310B1E" w:rsidRDefault="00310B1E">
      <w:r>
        <w:t>W</w:t>
      </w:r>
      <w:r w:rsidR="00914F2F">
        <w:t>B</w:t>
      </w:r>
      <w:r>
        <w:t xml:space="preserve"> and plasma samples were </w:t>
      </w:r>
      <w:r w:rsidR="009257EC">
        <w:t>o</w:t>
      </w:r>
      <w:r>
        <w:t xml:space="preserve">btained from the OPTIMA </w:t>
      </w:r>
      <w:proofErr w:type="spellStart"/>
      <w:r>
        <w:t>Biobank</w:t>
      </w:r>
      <w:proofErr w:type="spellEnd"/>
      <w:r>
        <w:t xml:space="preserve"> (John Radcliffe Hospital, Oxford) with prior donor consent and National Res</w:t>
      </w:r>
      <w:r w:rsidR="0008372D">
        <w:t>earch Ethics Committee approval</w:t>
      </w:r>
      <w:r>
        <w:t xml:space="preserve"> </w:t>
      </w:r>
      <w:r w:rsidR="0008372D">
        <w:t>(10</w:t>
      </w:r>
      <w:r>
        <w:t xml:space="preserve"> samples </w:t>
      </w:r>
      <w:r w:rsidR="0008372D">
        <w:t>f</w:t>
      </w:r>
      <w:r>
        <w:t>rom patient</w:t>
      </w:r>
      <w:r w:rsidR="0008372D">
        <w:t>s with a conclusive AD diagnosis</w:t>
      </w:r>
      <w:r>
        <w:t xml:space="preserve"> post-mortem</w:t>
      </w:r>
      <w:r w:rsidR="009257EC">
        <w:t xml:space="preserve"> and </w:t>
      </w:r>
      <w:r w:rsidR="00B15F7F">
        <w:t>10</w:t>
      </w:r>
      <w:r w:rsidR="009257EC">
        <w:t xml:space="preserve"> from</w:t>
      </w:r>
      <w:r w:rsidR="00B15F7F">
        <w:t xml:space="preserve"> </w:t>
      </w:r>
      <w:r>
        <w:t>age-matched healthy controls</w:t>
      </w:r>
      <w:r w:rsidR="0008372D">
        <w:t>)</w:t>
      </w:r>
      <w:r w:rsidR="00B71D9C">
        <w:t>.</w:t>
      </w:r>
    </w:p>
    <w:p w:rsidR="00880F74" w:rsidRDefault="00880F74" w:rsidP="00AD20D0">
      <w:pPr>
        <w:pStyle w:val="Heading3"/>
      </w:pPr>
      <w:r>
        <w:lastRenderedPageBreak/>
        <w:t>Isolation and stimulation of MNC</w:t>
      </w:r>
      <w:r w:rsidR="00384477">
        <w:t xml:space="preserve"> from healthy volunteer samples</w:t>
      </w:r>
      <w:r w:rsidR="000C6583">
        <w:t>:</w:t>
      </w:r>
    </w:p>
    <w:p w:rsidR="00384477" w:rsidRDefault="00075C62" w:rsidP="00880F74">
      <w:r>
        <w:t xml:space="preserve">Mononuclear cells </w:t>
      </w:r>
      <w:r w:rsidR="00525DD0">
        <w:t xml:space="preserve">(MNC) </w:t>
      </w:r>
      <w:r>
        <w:t xml:space="preserve">were isolated by </w:t>
      </w:r>
      <w:r w:rsidR="00AD20D0">
        <w:t>density centrifugation</w:t>
      </w:r>
      <w:r w:rsidR="00B72EEC">
        <w:t xml:space="preserve">, by </w:t>
      </w:r>
      <w:r>
        <w:t>layer</w:t>
      </w:r>
      <w:r w:rsidR="00B72EEC">
        <w:t>ing WB</w:t>
      </w:r>
      <w:r>
        <w:t xml:space="preserve"> onto </w:t>
      </w:r>
      <w:r w:rsidR="00AD20D0">
        <w:t xml:space="preserve">an equal volume of </w:t>
      </w:r>
      <w:proofErr w:type="spellStart"/>
      <w:r>
        <w:t>lymphoprep</w:t>
      </w:r>
      <w:proofErr w:type="spellEnd"/>
      <w:r>
        <w:t xml:space="preserve"> (Axis-Shield</w:t>
      </w:r>
      <w:r w:rsidR="00AD20D0">
        <w:t>, Cambridgeshire, UK) and centrifug</w:t>
      </w:r>
      <w:r w:rsidR="00B72EEC">
        <w:t>ing</w:t>
      </w:r>
      <w:r w:rsidR="00AD20D0">
        <w:t xml:space="preserve"> at 600</w:t>
      </w:r>
      <w:r w:rsidR="007411D6">
        <w:t>x</w:t>
      </w:r>
      <w:r>
        <w:t>g for 30</w:t>
      </w:r>
      <w:r w:rsidR="007411D6">
        <w:t>min</w:t>
      </w:r>
      <w:r>
        <w:t>s</w:t>
      </w:r>
      <w:r w:rsidR="00AD20D0">
        <w:t xml:space="preserve">. The </w:t>
      </w:r>
      <w:proofErr w:type="spellStart"/>
      <w:r w:rsidR="00AD20D0">
        <w:t>buffy</w:t>
      </w:r>
      <w:proofErr w:type="spellEnd"/>
      <w:r w:rsidR="00AD20D0">
        <w:t xml:space="preserve"> coat was harvested</w:t>
      </w:r>
      <w:r w:rsidR="00510141">
        <w:t>, washed</w:t>
      </w:r>
      <w:r w:rsidR="00AD20D0">
        <w:t xml:space="preserve">, </w:t>
      </w:r>
      <w:r w:rsidR="00D03A07">
        <w:t xml:space="preserve">and </w:t>
      </w:r>
      <w:r w:rsidR="00525DD0">
        <w:t xml:space="preserve">MNC </w:t>
      </w:r>
      <w:r w:rsidR="00F00A60">
        <w:t>seeded in RPMI</w:t>
      </w:r>
      <w:r w:rsidR="00510141">
        <w:t xml:space="preserve"> (</w:t>
      </w:r>
      <w:proofErr w:type="spellStart"/>
      <w:r w:rsidR="00510141">
        <w:t>Lonza</w:t>
      </w:r>
      <w:proofErr w:type="spellEnd"/>
      <w:r w:rsidR="00510141">
        <w:t>, Suffolk, UK)</w:t>
      </w:r>
      <w:r w:rsidR="00F00A60">
        <w:t xml:space="preserve"> supplemented with 10% foetal calf serum</w:t>
      </w:r>
      <w:r w:rsidR="008D2373">
        <w:t xml:space="preserve"> (</w:t>
      </w:r>
      <w:proofErr w:type="spellStart"/>
      <w:r w:rsidR="008D2373">
        <w:t>Lonza</w:t>
      </w:r>
      <w:proofErr w:type="spellEnd"/>
      <w:r w:rsidR="008D2373">
        <w:t>)</w:t>
      </w:r>
      <w:r w:rsidR="00F00A60">
        <w:t>, 2mM L-glutamine, 100U/ml penicillin and 0.1mg/ml streptomycin</w:t>
      </w:r>
      <w:r w:rsidR="00384477">
        <w:t>, in 24-well culture plates at 1x10</w:t>
      </w:r>
      <w:r w:rsidR="00384477" w:rsidRPr="00384477">
        <w:rPr>
          <w:vertAlign w:val="superscript"/>
        </w:rPr>
        <w:t>6</w:t>
      </w:r>
      <w:r w:rsidR="0008372D">
        <w:rPr>
          <w:vertAlign w:val="superscript"/>
        </w:rPr>
        <w:t xml:space="preserve"> </w:t>
      </w:r>
      <w:r w:rsidR="0008372D" w:rsidRPr="0008372D">
        <w:t>cells</w:t>
      </w:r>
      <w:r w:rsidR="00613107">
        <w:t xml:space="preserve">/ml. </w:t>
      </w:r>
      <w:r w:rsidR="00384477">
        <w:t xml:space="preserve">MNC </w:t>
      </w:r>
      <w:r w:rsidR="00E17714">
        <w:t xml:space="preserve">were </w:t>
      </w:r>
      <w:r w:rsidR="00613107">
        <w:t>stimulat</w:t>
      </w:r>
      <w:r w:rsidR="00E17714">
        <w:t>ed</w:t>
      </w:r>
      <w:r w:rsidR="00613107">
        <w:t xml:space="preserve"> </w:t>
      </w:r>
      <w:r w:rsidR="00384477">
        <w:t>w</w:t>
      </w:r>
      <w:r w:rsidR="00E17714">
        <w:t>ith</w:t>
      </w:r>
      <w:r w:rsidR="00384477">
        <w:t xml:space="preserve"> 5</w:t>
      </w:r>
      <w:r w:rsidR="00384477">
        <w:rPr>
          <w:rFonts w:cstheme="minorHAnsi"/>
        </w:rPr>
        <w:t xml:space="preserve">µg/ml </w:t>
      </w:r>
      <w:proofErr w:type="spellStart"/>
      <w:r w:rsidR="00923C21">
        <w:rPr>
          <w:rFonts w:cstheme="minorHAnsi"/>
        </w:rPr>
        <w:t>phytohemagglutinin</w:t>
      </w:r>
      <w:proofErr w:type="spellEnd"/>
      <w:r w:rsidR="00923C21">
        <w:rPr>
          <w:rFonts w:cstheme="minorHAnsi"/>
        </w:rPr>
        <w:t xml:space="preserve"> </w:t>
      </w:r>
      <w:r w:rsidR="00384477">
        <w:t>(PHA) over 3 day</w:t>
      </w:r>
      <w:r w:rsidR="00923C21">
        <w:t>s</w:t>
      </w:r>
      <w:r w:rsidR="00384477">
        <w:t>.</w:t>
      </w:r>
    </w:p>
    <w:p w:rsidR="00880F74" w:rsidRDefault="00880F74" w:rsidP="00AD20D0">
      <w:pPr>
        <w:pStyle w:val="Heading3"/>
      </w:pPr>
      <w:r>
        <w:t xml:space="preserve">Flow </w:t>
      </w:r>
      <w:proofErr w:type="spellStart"/>
      <w:r>
        <w:t>cytometry</w:t>
      </w:r>
      <w:proofErr w:type="spellEnd"/>
      <w:r>
        <w:t xml:space="preserve"> analysis</w:t>
      </w:r>
      <w:r w:rsidR="000C6583">
        <w:t>:</w:t>
      </w:r>
    </w:p>
    <w:p w:rsidR="000C6583" w:rsidRDefault="000C6583" w:rsidP="00880F74">
      <w:r>
        <w:t>MNC (1x10</w:t>
      </w:r>
      <w:r w:rsidRPr="000C6583">
        <w:rPr>
          <w:vertAlign w:val="superscript"/>
        </w:rPr>
        <w:t>5</w:t>
      </w:r>
      <w:r w:rsidR="0072527B">
        <w:t xml:space="preserve">) were stained with </w:t>
      </w:r>
      <w:r w:rsidR="00923C21">
        <w:t>CD25 primary antibody</w:t>
      </w:r>
      <w:r>
        <w:t xml:space="preserve"> (</w:t>
      </w:r>
      <w:proofErr w:type="spellStart"/>
      <w:r>
        <w:t>Caltag-Medsystems</w:t>
      </w:r>
      <w:proofErr w:type="spellEnd"/>
      <w:r>
        <w:t>)</w:t>
      </w:r>
      <w:r w:rsidR="00EC4580">
        <w:t xml:space="preserve"> for</w:t>
      </w:r>
      <w:r>
        <w:t xml:space="preserve"> </w:t>
      </w:r>
      <w:r w:rsidR="00AD20D0">
        <w:t>30</w:t>
      </w:r>
      <w:r>
        <w:t xml:space="preserve">mins </w:t>
      </w:r>
      <w:r w:rsidR="00AD20D0">
        <w:t>at 4</w:t>
      </w:r>
      <w:r w:rsidR="00EC4580">
        <w:rPr>
          <w:rFonts w:cstheme="minorHAnsi"/>
        </w:rPr>
        <w:t>˚</w:t>
      </w:r>
      <w:r w:rsidR="009257EC">
        <w:t>C,</w:t>
      </w:r>
      <w:r w:rsidR="00AD20D0">
        <w:t xml:space="preserve"> followed by </w:t>
      </w:r>
      <w:r w:rsidR="0072527B">
        <w:t xml:space="preserve">addition of </w:t>
      </w:r>
      <w:r w:rsidR="00AD20D0">
        <w:t>anti-mouse FITC</w:t>
      </w:r>
      <w:r w:rsidR="00813E7E">
        <w:t>-</w:t>
      </w:r>
      <w:r w:rsidR="00AD20D0">
        <w:t>conju</w:t>
      </w:r>
      <w:r w:rsidR="007411D6">
        <w:t>gated secondary antibody for 30</w:t>
      </w:r>
      <w:r w:rsidR="00AD20D0">
        <w:t>m</w:t>
      </w:r>
      <w:r w:rsidR="007411D6">
        <w:t>in</w:t>
      </w:r>
      <w:r w:rsidR="00AD20D0">
        <w:t>s at 4</w:t>
      </w:r>
      <w:r w:rsidR="00EC4580">
        <w:rPr>
          <w:rFonts w:cstheme="minorHAnsi"/>
        </w:rPr>
        <w:t>˚</w:t>
      </w:r>
      <w:r w:rsidR="00AD20D0">
        <w:t>C.</w:t>
      </w:r>
      <w:r w:rsidR="007E15D8">
        <w:t xml:space="preserve"> </w:t>
      </w:r>
      <w:r w:rsidR="00613107">
        <w:t>Analysis</w:t>
      </w:r>
      <w:r w:rsidR="00AD20D0">
        <w:t xml:space="preserve"> </w:t>
      </w:r>
      <w:r w:rsidR="00B72EEC">
        <w:t>used</w:t>
      </w:r>
      <w:r w:rsidR="007E15D8">
        <w:t xml:space="preserve"> a</w:t>
      </w:r>
      <w:r w:rsidR="000519EA">
        <w:t>n</w:t>
      </w:r>
      <w:r w:rsidR="007E15D8">
        <w:t xml:space="preserve"> </w:t>
      </w:r>
      <w:proofErr w:type="spellStart"/>
      <w:r w:rsidR="007E15D8">
        <w:t>Accuri</w:t>
      </w:r>
      <w:proofErr w:type="spellEnd"/>
      <w:r w:rsidR="00E4339B">
        <w:t xml:space="preserve"> C6</w:t>
      </w:r>
      <w:r w:rsidR="00613107">
        <w:t xml:space="preserve"> flow </w:t>
      </w:r>
      <w:proofErr w:type="spellStart"/>
      <w:r w:rsidR="00613107">
        <w:t>cytometer</w:t>
      </w:r>
      <w:proofErr w:type="spellEnd"/>
      <w:r w:rsidR="00613107">
        <w:t>, measuring</w:t>
      </w:r>
      <w:r w:rsidR="007E15D8">
        <w:t xml:space="preserve"> median fluorescence intensity (MFI) </w:t>
      </w:r>
      <w:r w:rsidR="006A1A4E">
        <w:t>relative to a secondary antibody only background control</w:t>
      </w:r>
      <w:r w:rsidR="007E15D8">
        <w:t>.</w:t>
      </w:r>
      <w:r>
        <w:t xml:space="preserve"> </w:t>
      </w:r>
      <w:r w:rsidR="00E4339B">
        <w:t>Cells were gated to exclude debris and dead cells, with 10,000 gated events analysed.</w:t>
      </w:r>
      <w:r>
        <w:t xml:space="preserve"> </w:t>
      </w:r>
    </w:p>
    <w:p w:rsidR="00075C62" w:rsidRDefault="00E4339B" w:rsidP="00E4339B">
      <w:pPr>
        <w:pStyle w:val="Heading3"/>
      </w:pPr>
      <w:r w:rsidRPr="002D6ABE">
        <w:t>CD25 ELISA</w:t>
      </w:r>
    </w:p>
    <w:p w:rsidR="00075C62" w:rsidRDefault="000519EA">
      <w:r>
        <w:t xml:space="preserve">Expression of MNC cellular CD25 (cCD25) has been reported to be proportional to soluble CD25 (sCD25) due to </w:t>
      </w:r>
      <w:proofErr w:type="spellStart"/>
      <w:r>
        <w:t>proteolytic</w:t>
      </w:r>
      <w:proofErr w:type="spellEnd"/>
      <w:r>
        <w:t xml:space="preserve"> cleavage of </w:t>
      </w:r>
      <w:proofErr w:type="spellStart"/>
      <w:r>
        <w:t>transmembrane</w:t>
      </w:r>
      <w:proofErr w:type="spellEnd"/>
      <w:r>
        <w:t xml:space="preserve"> CD25 </w:t>
      </w:r>
      <w:r w:rsidR="001C37B7">
        <w:t>[</w:t>
      </w:r>
      <w:r w:rsidR="006F0689">
        <w:t>9</w:t>
      </w:r>
      <w:r w:rsidR="001C37B7">
        <w:t>]</w:t>
      </w:r>
      <w:r>
        <w:t xml:space="preserve">. This correlation was confirmed in our laboratory </w:t>
      </w:r>
      <w:r w:rsidR="002442DE">
        <w:t>using</w:t>
      </w:r>
      <w:r w:rsidR="0067718D">
        <w:t xml:space="preserve"> </w:t>
      </w:r>
      <w:r w:rsidR="00E17714">
        <w:t>6</w:t>
      </w:r>
      <w:r>
        <w:t xml:space="preserve"> healthy</w:t>
      </w:r>
      <w:r w:rsidR="008F3214">
        <w:t xml:space="preserve"> blood</w:t>
      </w:r>
      <w:r>
        <w:t xml:space="preserve"> donor</w:t>
      </w:r>
      <w:r w:rsidR="0067718D">
        <w:t>s</w:t>
      </w:r>
      <w:r>
        <w:t xml:space="preserve">. </w:t>
      </w:r>
      <w:proofErr w:type="gramStart"/>
      <w:r w:rsidR="008F3214">
        <w:t>c</w:t>
      </w:r>
      <w:r w:rsidR="00813E7E">
        <w:t>CD25</w:t>
      </w:r>
      <w:proofErr w:type="gramEnd"/>
      <w:r w:rsidR="00813E7E">
        <w:t xml:space="preserve"> expression of PHA-</w:t>
      </w:r>
      <w:r>
        <w:t xml:space="preserve">stimulated MNC was analysed using flow </w:t>
      </w:r>
      <w:proofErr w:type="spellStart"/>
      <w:r>
        <w:t>cytometry</w:t>
      </w:r>
      <w:proofErr w:type="spellEnd"/>
      <w:r>
        <w:t xml:space="preserve"> as previously des</w:t>
      </w:r>
      <w:r w:rsidR="008F3214">
        <w:t>cribed</w:t>
      </w:r>
      <w:r>
        <w:t xml:space="preserve">. </w:t>
      </w:r>
      <w:r w:rsidR="002442DE">
        <w:t>S</w:t>
      </w:r>
      <w:r>
        <w:t xml:space="preserve">oluble CD25 </w:t>
      </w:r>
      <w:r w:rsidR="00813E7E">
        <w:t>(sCD25)</w:t>
      </w:r>
      <w:r w:rsidR="002442DE">
        <w:t xml:space="preserve"> levels</w:t>
      </w:r>
      <w:r w:rsidR="00813E7E">
        <w:t xml:space="preserve"> </w:t>
      </w:r>
      <w:r>
        <w:t xml:space="preserve">in plasma from the same samples was analysed using a </w:t>
      </w:r>
      <w:r w:rsidR="00F67403">
        <w:t>sCD25 (</w:t>
      </w:r>
      <w:r>
        <w:t>IL2R</w:t>
      </w:r>
      <w:r w:rsidR="00175754">
        <w:rPr>
          <w:rFonts w:cstheme="minorHAnsi"/>
        </w:rPr>
        <w:t>α</w:t>
      </w:r>
      <w:r w:rsidR="00F67403">
        <w:t>)</w:t>
      </w:r>
      <w:r>
        <w:t xml:space="preserve"> human ELISA kit (</w:t>
      </w:r>
      <w:proofErr w:type="spellStart"/>
      <w:r>
        <w:t>Abnova</w:t>
      </w:r>
      <w:proofErr w:type="spellEnd"/>
      <w:r w:rsidR="00BE5402">
        <w:t>, Taiwan</w:t>
      </w:r>
      <w:r>
        <w:t xml:space="preserve">) according to the manufacturers’ instructions. </w:t>
      </w:r>
      <w:r w:rsidR="00032550" w:rsidRPr="00A42F34">
        <w:t xml:space="preserve">Briefly, </w:t>
      </w:r>
      <w:r w:rsidR="0096624E" w:rsidRPr="00A42F34">
        <w:t xml:space="preserve">50µl </w:t>
      </w:r>
      <w:proofErr w:type="spellStart"/>
      <w:r w:rsidR="0096624E" w:rsidRPr="00A42F34">
        <w:t>biotinylated</w:t>
      </w:r>
      <w:proofErr w:type="spellEnd"/>
      <w:r w:rsidR="0096624E" w:rsidRPr="00A42F34">
        <w:t xml:space="preserve"> anti-CD25 antibody was added to the pre-coated </w:t>
      </w:r>
      <w:proofErr w:type="spellStart"/>
      <w:r w:rsidR="0096624E" w:rsidRPr="00A42F34">
        <w:t>microtitre</w:t>
      </w:r>
      <w:proofErr w:type="spellEnd"/>
      <w:r w:rsidR="0096624E" w:rsidRPr="00A42F34">
        <w:t xml:space="preserve"> plate. S</w:t>
      </w:r>
      <w:r w:rsidR="0097394F" w:rsidRPr="00A42F34">
        <w:t xml:space="preserve">amples were diluted 1/2 and 1/5, </w:t>
      </w:r>
      <w:r w:rsidR="002D6ABE" w:rsidRPr="00A42F34">
        <w:t>100µl added,</w:t>
      </w:r>
      <w:r w:rsidR="00B72EEC" w:rsidRPr="00A42F34">
        <w:t xml:space="preserve"> </w:t>
      </w:r>
      <w:r w:rsidR="0097394F" w:rsidRPr="00A42F34">
        <w:t xml:space="preserve">and incubated for 1h </w:t>
      </w:r>
      <w:r w:rsidR="002E366F" w:rsidRPr="00A42F34">
        <w:t xml:space="preserve">(all incubations at </w:t>
      </w:r>
      <w:r w:rsidR="0097394F" w:rsidRPr="00A42F34">
        <w:t>room temperature</w:t>
      </w:r>
      <w:r w:rsidR="002E366F" w:rsidRPr="00A42F34">
        <w:t>)</w:t>
      </w:r>
      <w:r w:rsidR="0097394F" w:rsidRPr="00A42F34">
        <w:t xml:space="preserve">. </w:t>
      </w:r>
      <w:r w:rsidR="007439D2" w:rsidRPr="00A42F34">
        <w:t>After</w:t>
      </w:r>
      <w:r w:rsidR="0097394F" w:rsidRPr="00A42F34">
        <w:t xml:space="preserve"> 5 </w:t>
      </w:r>
      <w:r w:rsidR="008F3214" w:rsidRPr="00A42F34">
        <w:t>washes</w:t>
      </w:r>
      <w:r w:rsidR="0097394F" w:rsidRPr="00A42F34">
        <w:t xml:space="preserve">, </w:t>
      </w:r>
      <w:proofErr w:type="spellStart"/>
      <w:r w:rsidR="0097394F" w:rsidRPr="00A42F34">
        <w:t>avidin</w:t>
      </w:r>
      <w:proofErr w:type="spellEnd"/>
      <w:r w:rsidR="0097394F" w:rsidRPr="00A42F34">
        <w:t xml:space="preserve"> conjugat</w:t>
      </w:r>
      <w:r w:rsidR="00813E7E" w:rsidRPr="00A42F34">
        <w:t>e was added</w:t>
      </w:r>
      <w:r w:rsidR="002D6ABE" w:rsidRPr="00A42F34">
        <w:t xml:space="preserve"> (100µl)</w:t>
      </w:r>
      <w:r w:rsidR="00813E7E" w:rsidRPr="00A42F34">
        <w:t>, mixed</w:t>
      </w:r>
      <w:r w:rsidR="0097394F" w:rsidRPr="00A42F34">
        <w:t xml:space="preserve"> and incub</w:t>
      </w:r>
      <w:r w:rsidR="002E366F" w:rsidRPr="00A42F34">
        <w:t>ated for 1h</w:t>
      </w:r>
      <w:r w:rsidR="0097394F" w:rsidRPr="00A42F34">
        <w:t xml:space="preserve">. </w:t>
      </w:r>
      <w:r w:rsidR="00E259DA" w:rsidRPr="00A42F34">
        <w:t xml:space="preserve">After </w:t>
      </w:r>
      <w:r w:rsidR="008F3214" w:rsidRPr="00A42F34">
        <w:t>wash</w:t>
      </w:r>
      <w:r w:rsidR="00E259DA" w:rsidRPr="00A42F34">
        <w:t>ing,</w:t>
      </w:r>
      <w:r w:rsidR="0097394F" w:rsidRPr="00A42F34">
        <w:t xml:space="preserve"> subst</w:t>
      </w:r>
      <w:r w:rsidR="00944D1E" w:rsidRPr="00A42F34">
        <w:t>rate solution</w:t>
      </w:r>
      <w:r w:rsidR="00E17714" w:rsidRPr="00A42F34">
        <w:t xml:space="preserve"> </w:t>
      </w:r>
      <w:r w:rsidR="002D6ABE" w:rsidRPr="00A42F34">
        <w:t xml:space="preserve">(100µl) </w:t>
      </w:r>
      <w:r w:rsidR="00E17714" w:rsidRPr="00A42F34">
        <w:t>was</w:t>
      </w:r>
      <w:r w:rsidR="00944D1E" w:rsidRPr="00A42F34">
        <w:t xml:space="preserve"> added</w:t>
      </w:r>
      <w:r w:rsidR="007411D6" w:rsidRPr="00A42F34">
        <w:t xml:space="preserve"> for 15min</w:t>
      </w:r>
      <w:r w:rsidR="0097394F" w:rsidRPr="00A42F34">
        <w:t>s</w:t>
      </w:r>
      <w:r w:rsidR="00B23422" w:rsidRPr="00A42F34">
        <w:t xml:space="preserve">, before </w:t>
      </w:r>
      <w:r w:rsidR="00E17714" w:rsidRPr="00A42F34">
        <w:t>adding stop</w:t>
      </w:r>
      <w:r w:rsidR="0097394F" w:rsidRPr="00A42F34">
        <w:t xml:space="preserve"> solution </w:t>
      </w:r>
      <w:r w:rsidR="002D6ABE" w:rsidRPr="00A42F34">
        <w:t xml:space="preserve">(100µl) </w:t>
      </w:r>
      <w:r w:rsidR="0097394F" w:rsidRPr="00A42F34">
        <w:t>to the substrate solution alread</w:t>
      </w:r>
      <w:r w:rsidR="00B13EC7" w:rsidRPr="00A42F34">
        <w:t>y in the well</w:t>
      </w:r>
      <w:r w:rsidR="00B56A54" w:rsidRPr="00A42F34">
        <w:t xml:space="preserve"> and Optical Density </w:t>
      </w:r>
      <w:r w:rsidR="0097394F" w:rsidRPr="00A42F34">
        <w:t>measured at 450nm within 30mins</w:t>
      </w:r>
      <w:r w:rsidR="00C73CCA" w:rsidRPr="00A42F34">
        <w:t>,</w:t>
      </w:r>
      <w:r w:rsidR="008F3214" w:rsidRPr="00A42F34">
        <w:t xml:space="preserve"> using a</w:t>
      </w:r>
      <w:r w:rsidR="00E50C19" w:rsidRPr="00A42F34">
        <w:t xml:space="preserve"> </w:t>
      </w:r>
      <w:proofErr w:type="spellStart"/>
      <w:r w:rsidR="00E50C19" w:rsidRPr="00A42F34">
        <w:t>microplate</w:t>
      </w:r>
      <w:proofErr w:type="spellEnd"/>
      <w:r w:rsidR="00E50C19" w:rsidRPr="00A42F34">
        <w:t xml:space="preserve"> reader (</w:t>
      </w:r>
      <w:proofErr w:type="spellStart"/>
      <w:r w:rsidR="00E50C19" w:rsidRPr="00A42F34">
        <w:t>Anthos</w:t>
      </w:r>
      <w:proofErr w:type="spellEnd"/>
      <w:r w:rsidR="00E50C19" w:rsidRPr="00A42F34">
        <w:t xml:space="preserve"> </w:t>
      </w:r>
      <w:proofErr w:type="spellStart"/>
      <w:r w:rsidR="00E50C19" w:rsidRPr="00A42F34">
        <w:t>Labtec</w:t>
      </w:r>
      <w:proofErr w:type="spellEnd"/>
      <w:r w:rsidR="00E50C19" w:rsidRPr="00A42F34">
        <w:t>, Cambridge</w:t>
      </w:r>
      <w:r w:rsidR="00E50C19">
        <w:t xml:space="preserve">, UK). </w:t>
      </w:r>
      <w:r w:rsidR="008A3B47">
        <w:t>S</w:t>
      </w:r>
      <w:r w:rsidR="00E50C19">
        <w:t xml:space="preserve">tandards of </w:t>
      </w:r>
      <w:r w:rsidR="00E50C19">
        <w:lastRenderedPageBreak/>
        <w:t>known</w:t>
      </w:r>
      <w:r w:rsidR="00D57F2C">
        <w:t xml:space="preserve"> </w:t>
      </w:r>
      <w:r w:rsidR="00B23422">
        <w:t xml:space="preserve">CD25 </w:t>
      </w:r>
      <w:r w:rsidR="00E50C19">
        <w:t>concentrations (</w:t>
      </w:r>
      <w:r w:rsidR="008A3B47">
        <w:t>doubling dilutions from</w:t>
      </w:r>
      <w:r w:rsidR="00E50C19">
        <w:t xml:space="preserve"> </w:t>
      </w:r>
      <w:r w:rsidR="008A3B47">
        <w:t>2000</w:t>
      </w:r>
      <w:r w:rsidR="00E50C19">
        <w:t>pg/ml-</w:t>
      </w:r>
      <w:r w:rsidR="008A3B47">
        <w:t>62.5</w:t>
      </w:r>
      <w:r w:rsidR="00E50C19">
        <w:t xml:space="preserve">pg/ml) were </w:t>
      </w:r>
      <w:r w:rsidR="00944D1E">
        <w:t>also analysed</w:t>
      </w:r>
      <w:r w:rsidR="00E50C19">
        <w:t xml:space="preserve">, allowing </w:t>
      </w:r>
      <w:r w:rsidR="009257EC">
        <w:t>CD25</w:t>
      </w:r>
      <w:r w:rsidR="00E50C19">
        <w:t xml:space="preserve"> concentration </w:t>
      </w:r>
      <w:r w:rsidR="00E259DA">
        <w:t xml:space="preserve">estimation </w:t>
      </w:r>
      <w:r w:rsidR="00AC494C">
        <w:t xml:space="preserve">within </w:t>
      </w:r>
      <w:r w:rsidR="00E50C19">
        <w:t>blood samples.</w:t>
      </w:r>
    </w:p>
    <w:p w:rsidR="000519EA" w:rsidRDefault="00F67403">
      <w:r>
        <w:t xml:space="preserve">Plasma samples from AD </w:t>
      </w:r>
      <w:r w:rsidR="00B73462">
        <w:t xml:space="preserve">patients </w:t>
      </w:r>
      <w:r>
        <w:t>and age-matched controls were analysed for sCD25 expre</w:t>
      </w:r>
      <w:r w:rsidR="00813E7E">
        <w:t>ssion using the same sCD25</w:t>
      </w:r>
      <w:r>
        <w:t xml:space="preserve"> </w:t>
      </w:r>
      <w:r w:rsidR="00B73462">
        <w:t xml:space="preserve">ELISA kit, </w:t>
      </w:r>
      <w:r w:rsidR="00B23422">
        <w:t>in duplicate,</w:t>
      </w:r>
      <w:r w:rsidR="00B73462">
        <w:t xml:space="preserve"> at two different dilutions. Frozen </w:t>
      </w:r>
      <w:r w:rsidR="00B56A54">
        <w:t>WB</w:t>
      </w:r>
      <w:r w:rsidR="00B73462">
        <w:t xml:space="preserve"> samples from the same individuals were</w:t>
      </w:r>
      <w:r w:rsidR="00AB575B">
        <w:t xml:space="preserve"> also obtained</w:t>
      </w:r>
      <w:r w:rsidR="00944D1E">
        <w:t xml:space="preserve">, </w:t>
      </w:r>
      <w:proofErr w:type="spellStart"/>
      <w:r w:rsidR="00B73462">
        <w:t>sonicated</w:t>
      </w:r>
      <w:proofErr w:type="spellEnd"/>
      <w:r w:rsidR="00B73462">
        <w:t xml:space="preserve"> </w:t>
      </w:r>
      <w:r w:rsidR="0045509C">
        <w:t xml:space="preserve">for </w:t>
      </w:r>
      <w:r w:rsidR="0045509C" w:rsidRPr="00A42F34">
        <w:t>10</w:t>
      </w:r>
      <w:r w:rsidR="00B73462" w:rsidRPr="00A42F34">
        <w:t xml:space="preserve">mins, </w:t>
      </w:r>
      <w:r w:rsidR="00944D1E" w:rsidRPr="00A42F34">
        <w:t>and then</w:t>
      </w:r>
      <w:r w:rsidR="00B73462" w:rsidRPr="00A42F34">
        <w:t xml:space="preserve"> </w:t>
      </w:r>
      <w:r w:rsidR="004B343A" w:rsidRPr="00A42F34">
        <w:t xml:space="preserve">similarly </w:t>
      </w:r>
      <w:r w:rsidR="00B73462" w:rsidRPr="00A42F34">
        <w:t>analysed</w:t>
      </w:r>
      <w:r w:rsidR="008E0DFB" w:rsidRPr="00A42F34">
        <w:t xml:space="preserve"> directly</w:t>
      </w:r>
      <w:r w:rsidR="00B73462" w:rsidRPr="00A42F34">
        <w:t xml:space="preserve"> for sCD25</w:t>
      </w:r>
      <w:r w:rsidR="008E0DFB" w:rsidRPr="00A42F34">
        <w:t xml:space="preserve"> without any preparatory steps</w:t>
      </w:r>
      <w:r w:rsidR="00B73462" w:rsidRPr="00A42F34">
        <w:t>.</w:t>
      </w:r>
    </w:p>
    <w:p w:rsidR="00F33A39" w:rsidRDefault="00F33A39" w:rsidP="00F33A39">
      <w:pPr>
        <w:pStyle w:val="Heading3"/>
      </w:pPr>
      <w:r>
        <w:t>Statistical Analysis</w:t>
      </w:r>
    </w:p>
    <w:p w:rsidR="00F33A39" w:rsidRPr="00F33A39" w:rsidRDefault="00F33A39" w:rsidP="00F33A39">
      <w:r>
        <w:t>All data</w:t>
      </w:r>
      <w:r w:rsidR="00FB316D">
        <w:t xml:space="preserve"> are</w:t>
      </w:r>
      <w:r>
        <w:t xml:space="preserve"> presented as mean </w:t>
      </w:r>
      <w:r>
        <w:rPr>
          <w:rFonts w:cstheme="minorHAnsi"/>
        </w:rPr>
        <w:t>±</w:t>
      </w:r>
      <w:r>
        <w:t xml:space="preserve"> SE unless stated otherwise. </w:t>
      </w:r>
      <w:r w:rsidR="00FB316D">
        <w:t>Statistical analyses utilise</w:t>
      </w:r>
      <w:r w:rsidR="002D6A1A">
        <w:t>d paired t-tests, with</w:t>
      </w:r>
      <w:r w:rsidR="00FB316D">
        <w:t xml:space="preserve"> p&lt;0.05 considered significant.</w:t>
      </w:r>
    </w:p>
    <w:p w:rsidR="00AB3150" w:rsidRDefault="00AB3150" w:rsidP="00AD20D0">
      <w:pPr>
        <w:pStyle w:val="Heading2"/>
      </w:pPr>
      <w:r w:rsidRPr="000726B1">
        <w:t>Results:</w:t>
      </w:r>
    </w:p>
    <w:p w:rsidR="0031743F" w:rsidRPr="00A42F34" w:rsidRDefault="004F1E13" w:rsidP="0031743F">
      <w:r w:rsidRPr="00A42F34">
        <w:t xml:space="preserve">Initially </w:t>
      </w:r>
      <w:r w:rsidR="007D443C" w:rsidRPr="00A42F34">
        <w:t xml:space="preserve">fresh </w:t>
      </w:r>
      <w:r w:rsidRPr="00A42F34">
        <w:t xml:space="preserve">blood samples from young healthy donors were used to confirm </w:t>
      </w:r>
      <w:r w:rsidR="002D6A1A" w:rsidRPr="00A42F34">
        <w:t xml:space="preserve">highly significant </w:t>
      </w:r>
      <w:proofErr w:type="spellStart"/>
      <w:r w:rsidR="00510141" w:rsidRPr="00A42F34">
        <w:t>upregulation</w:t>
      </w:r>
      <w:proofErr w:type="spellEnd"/>
      <w:r w:rsidR="00510141" w:rsidRPr="00A42F34">
        <w:t xml:space="preserve"> of c</w:t>
      </w:r>
      <w:r w:rsidRPr="00A42F34">
        <w:t>CD25 expression following PHA stimulation</w:t>
      </w:r>
      <w:r w:rsidR="008E0DFB" w:rsidRPr="00A42F34">
        <w:t xml:space="preserve"> as a validation step only</w:t>
      </w:r>
      <w:r w:rsidR="00B336FE" w:rsidRPr="00A42F34">
        <w:t xml:space="preserve"> </w:t>
      </w:r>
      <w:r w:rsidR="003664D1" w:rsidRPr="00A42F34">
        <w:t>(Figure 1</w:t>
      </w:r>
      <w:r w:rsidR="00AF2E72" w:rsidRPr="00A42F34">
        <w:t>A and B</w:t>
      </w:r>
      <w:r w:rsidR="00562545" w:rsidRPr="00A42F34">
        <w:t xml:space="preserve">) </w:t>
      </w:r>
      <w:r w:rsidR="00B336FE" w:rsidRPr="00A42F34">
        <w:t>(p&lt;0.001</w:t>
      </w:r>
      <w:r w:rsidR="00E26BC7" w:rsidRPr="00A42F34">
        <w:t xml:space="preserve">). </w:t>
      </w:r>
    </w:p>
    <w:p w:rsidR="00E02C42" w:rsidRDefault="0031743F" w:rsidP="00E02C42">
      <w:pPr>
        <w:rPr>
          <w:noProof/>
          <w:lang w:eastAsia="en-GB"/>
        </w:rPr>
      </w:pPr>
      <w:r w:rsidRPr="00A42F34">
        <w:t xml:space="preserve">Due to </w:t>
      </w:r>
      <w:proofErr w:type="spellStart"/>
      <w:r w:rsidRPr="00A42F34">
        <w:t>proteolytic</w:t>
      </w:r>
      <w:proofErr w:type="spellEnd"/>
      <w:r w:rsidRPr="00A42F34">
        <w:t xml:space="preserve"> cleavage of </w:t>
      </w:r>
      <w:proofErr w:type="spellStart"/>
      <w:r w:rsidRPr="00A42F34">
        <w:t>transmembrane</w:t>
      </w:r>
      <w:proofErr w:type="spellEnd"/>
      <w:r w:rsidRPr="00A42F34">
        <w:t xml:space="preserve"> CD25, </w:t>
      </w:r>
      <w:r w:rsidR="007966C8" w:rsidRPr="00A42F34">
        <w:t>s</w:t>
      </w:r>
      <w:r w:rsidR="00E17714" w:rsidRPr="00A42F34">
        <w:t>CD25</w:t>
      </w:r>
      <w:r w:rsidRPr="00A42F34">
        <w:t xml:space="preserve"> reported</w:t>
      </w:r>
      <w:r w:rsidR="00E17714" w:rsidRPr="00A42F34">
        <w:t>ly</w:t>
      </w:r>
      <w:r w:rsidRPr="00A42F34">
        <w:t xml:space="preserve"> correlate</w:t>
      </w:r>
      <w:r w:rsidR="00E17714" w:rsidRPr="00A42F34">
        <w:t>s</w:t>
      </w:r>
      <w:r w:rsidRPr="00A42F34">
        <w:t xml:space="preserve"> with </w:t>
      </w:r>
      <w:r w:rsidR="007966C8" w:rsidRPr="00A42F34">
        <w:t>c</w:t>
      </w:r>
      <w:r w:rsidRPr="00A42F34">
        <w:t>CD25 (R</w:t>
      </w:r>
      <w:r w:rsidRPr="00A42F34">
        <w:rPr>
          <w:vertAlign w:val="superscript"/>
        </w:rPr>
        <w:t>2</w:t>
      </w:r>
      <w:r w:rsidRPr="00A42F34">
        <w:t xml:space="preserve"> 0.929</w:t>
      </w:r>
      <w:r w:rsidR="006F0689" w:rsidRPr="00A42F34">
        <w:t>) [9</w:t>
      </w:r>
      <w:r w:rsidR="001C37B7" w:rsidRPr="00A42F34">
        <w:t>]</w:t>
      </w:r>
      <w:r w:rsidR="007D443C" w:rsidRPr="00A42F34">
        <w:t>,</w:t>
      </w:r>
      <w:r w:rsidRPr="00A42F34">
        <w:t xml:space="preserve"> and therefore</w:t>
      </w:r>
      <w:r w:rsidR="007D443C" w:rsidRPr="00A42F34">
        <w:t>,</w:t>
      </w:r>
      <w:r w:rsidRPr="00A42F34">
        <w:t xml:space="preserve"> would be a viable approach to analyse </w:t>
      </w:r>
      <w:r w:rsidR="00944D1E" w:rsidRPr="00A42F34">
        <w:t>plasma or WB</w:t>
      </w:r>
      <w:r w:rsidR="008E0DFB" w:rsidRPr="00A42F34">
        <w:t xml:space="preserve"> rather than isolation of MNC to analyse cCD25</w:t>
      </w:r>
      <w:r w:rsidRPr="00A42F34">
        <w:t xml:space="preserve">. This correlation was also confirmed in our laboratory </w:t>
      </w:r>
      <w:bookmarkStart w:id="0" w:name="_Ref327280559"/>
      <w:r w:rsidR="003664D1" w:rsidRPr="00A42F34">
        <w:t>(Figure</w:t>
      </w:r>
      <w:r w:rsidR="003664D1">
        <w:t xml:space="preserve"> 1C).</w:t>
      </w:r>
    </w:p>
    <w:p w:rsidR="00E44332" w:rsidRDefault="00E44332" w:rsidP="00E44332">
      <w:pPr>
        <w:pStyle w:val="Caption"/>
      </w:pPr>
      <w:r>
        <w:rPr>
          <w:noProof/>
          <w:lang w:eastAsia="en-GB"/>
        </w:rPr>
        <w:lastRenderedPageBreak/>
        <w:drawing>
          <wp:inline distT="0" distB="0" distL="0" distR="0">
            <wp:extent cx="5657088" cy="4919472"/>
            <wp:effectExtent l="0" t="0" r="762" b="0"/>
            <wp:docPr id="3" name="Picture 2" descr="Figure1-Colo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Colour.tif"/>
                    <pic:cNvPicPr/>
                  </pic:nvPicPr>
                  <pic:blipFill>
                    <a:blip r:embed="rId8" cstate="print"/>
                    <a:stretch>
                      <a:fillRect/>
                    </a:stretch>
                  </pic:blipFill>
                  <pic:spPr>
                    <a:xfrm>
                      <a:off x="0" y="0"/>
                      <a:ext cx="5657088" cy="4919472"/>
                    </a:xfrm>
                    <a:prstGeom prst="rect">
                      <a:avLst/>
                    </a:prstGeom>
                  </pic:spPr>
                </pic:pic>
              </a:graphicData>
            </a:graphic>
          </wp:inline>
        </w:drawing>
      </w:r>
    </w:p>
    <w:p w:rsidR="00E44332" w:rsidRDefault="00E44332" w:rsidP="00E44332">
      <w:pPr>
        <w:pStyle w:val="Caption"/>
      </w:pPr>
      <w:r w:rsidRPr="003F7BF6">
        <w:t>Figure</w:t>
      </w:r>
      <w:r>
        <w:t xml:space="preserve"> 1 -</w:t>
      </w:r>
      <w:r w:rsidRPr="003F7BF6">
        <w:t xml:space="preserve"> (A) MNC CD25 expression following </w:t>
      </w:r>
      <w:r>
        <w:t xml:space="preserve">3day </w:t>
      </w:r>
      <w:r w:rsidRPr="003F7BF6">
        <w:t xml:space="preserve">PHA stimulation. </w:t>
      </w:r>
      <w:proofErr w:type="spellStart"/>
      <w:r w:rsidRPr="003F7BF6">
        <w:t>Mean</w:t>
      </w:r>
      <w:r w:rsidRPr="003F7BF6">
        <w:rPr>
          <w:rFonts w:cstheme="minorHAnsi"/>
        </w:rPr>
        <w:t>±</w:t>
      </w:r>
      <w:r w:rsidRPr="003F7BF6">
        <w:t>SE</w:t>
      </w:r>
      <w:proofErr w:type="spellEnd"/>
      <w:r w:rsidRPr="003F7BF6">
        <w:t xml:space="preserve"> of cells staining positively for CD25 presented,</w:t>
      </w:r>
      <w:r>
        <w:t xml:space="preserve"> from</w:t>
      </w:r>
      <w:r w:rsidRPr="003F7BF6">
        <w:t xml:space="preserve"> </w:t>
      </w:r>
      <w:r>
        <w:t xml:space="preserve">12 </w:t>
      </w:r>
      <w:r w:rsidRPr="003F7BF6">
        <w:t xml:space="preserve">healthy individuals. (B) Representative flow </w:t>
      </w:r>
      <w:proofErr w:type="spellStart"/>
      <w:r w:rsidRPr="003F7BF6">
        <w:t>cytometry</w:t>
      </w:r>
      <w:proofErr w:type="spellEnd"/>
      <w:r w:rsidRPr="003F7BF6">
        <w:t xml:space="preserve"> histogram plot of one sample, showing </w:t>
      </w:r>
      <w:proofErr w:type="spellStart"/>
      <w:r w:rsidRPr="003F7BF6">
        <w:t>upregulation</w:t>
      </w:r>
      <w:proofErr w:type="spellEnd"/>
      <w:r w:rsidRPr="003F7BF6">
        <w:t xml:space="preserve"> of CD25 expression (FL-1) </w:t>
      </w:r>
      <w:r>
        <w:t>after</w:t>
      </w:r>
      <w:r w:rsidRPr="003F7BF6">
        <w:t xml:space="preserve"> stimulation. </w:t>
      </w:r>
      <w:proofErr w:type="spellStart"/>
      <w:r w:rsidRPr="003F7BF6">
        <w:t>Unstimulated</w:t>
      </w:r>
      <w:proofErr w:type="spellEnd"/>
      <w:r w:rsidRPr="003F7BF6">
        <w:t xml:space="preserve"> cells (black), stimulated cells (</w:t>
      </w:r>
      <w:r>
        <w:t>grey</w:t>
      </w:r>
      <w:r w:rsidRPr="003F7BF6">
        <w:t xml:space="preserve">). (C) </w:t>
      </w:r>
      <w:r>
        <w:t>Correlation between c</w:t>
      </w:r>
      <w:r w:rsidRPr="003F7BF6">
        <w:t xml:space="preserve">CD25 on stimulated MNC by flow </w:t>
      </w:r>
      <w:proofErr w:type="spellStart"/>
      <w:r w:rsidRPr="003F7BF6">
        <w:t>cytometry</w:t>
      </w:r>
      <w:proofErr w:type="spellEnd"/>
      <w:r w:rsidRPr="003F7BF6">
        <w:t xml:space="preserve"> an</w:t>
      </w:r>
      <w:r>
        <w:t>alysis in comparison to s</w:t>
      </w:r>
      <w:r w:rsidRPr="003F7BF6">
        <w:t xml:space="preserve">CD25 in plasma measured </w:t>
      </w:r>
      <w:r>
        <w:t>by ELISA, in</w:t>
      </w:r>
      <w:r w:rsidRPr="003F7BF6">
        <w:t xml:space="preserve"> healthy blood donors (n=6). MFI = median fl</w:t>
      </w:r>
      <w:r>
        <w:t>uorescence intensity, used to</w:t>
      </w:r>
      <w:r w:rsidRPr="003F7BF6">
        <w:t xml:space="preserve"> indicat</w:t>
      </w:r>
      <w:r>
        <w:t>e</w:t>
      </w:r>
      <w:r w:rsidRPr="003F7BF6">
        <w:t xml:space="preserve"> number of antigen sites per cell.</w:t>
      </w:r>
    </w:p>
    <w:bookmarkEnd w:id="0"/>
    <w:p w:rsidR="00DA0161" w:rsidRDefault="00192258" w:rsidP="00740FB5">
      <w:r w:rsidRPr="00A42F34">
        <w:t xml:space="preserve">Following confirmation </w:t>
      </w:r>
      <w:r w:rsidR="00E17714" w:rsidRPr="00A42F34">
        <w:t>of this correlation,</w:t>
      </w:r>
      <w:r w:rsidRPr="00A42F34">
        <w:t xml:space="preserve"> sCD25</w:t>
      </w:r>
      <w:r w:rsidR="00B23422" w:rsidRPr="00A42F34">
        <w:t xml:space="preserve"> was subsequently measured</w:t>
      </w:r>
      <w:r w:rsidRPr="00A42F34">
        <w:t xml:space="preserve"> </w:t>
      </w:r>
      <w:r w:rsidR="00F44B26" w:rsidRPr="00A42F34">
        <w:t xml:space="preserve">directly </w:t>
      </w:r>
      <w:r w:rsidRPr="00A42F34">
        <w:t>in frozen samples from AD patients and age-matched controls</w:t>
      </w:r>
      <w:r w:rsidR="007A326A" w:rsidRPr="00A42F34">
        <w:t>,</w:t>
      </w:r>
      <w:r w:rsidR="009B4F2B" w:rsidRPr="00A42F34">
        <w:t xml:space="preserve"> w</w:t>
      </w:r>
      <w:r w:rsidR="007275E6" w:rsidRPr="00A42F34">
        <w:t>h</w:t>
      </w:r>
      <w:r w:rsidR="009B4F2B" w:rsidRPr="00A42F34">
        <w:t xml:space="preserve">ere analysis of </w:t>
      </w:r>
      <w:r w:rsidR="007966C8" w:rsidRPr="00A42F34">
        <w:t>c</w:t>
      </w:r>
      <w:r w:rsidR="009B4F2B" w:rsidRPr="00A42F34">
        <w:t xml:space="preserve">CD25 </w:t>
      </w:r>
      <w:r w:rsidR="002D6A1A" w:rsidRPr="00A42F34">
        <w:t>was</w:t>
      </w:r>
      <w:r w:rsidR="009B4F2B" w:rsidRPr="00A42F34">
        <w:t xml:space="preserve"> impractical</w:t>
      </w:r>
      <w:r w:rsidR="00937A80" w:rsidRPr="00A42F34">
        <w:t>.</w:t>
      </w:r>
      <w:r w:rsidR="009B4F2B" w:rsidRPr="00A42F34">
        <w:t xml:space="preserve"> </w:t>
      </w:r>
      <w:r w:rsidRPr="00A42F34">
        <w:t>Initially sCD25 in plasma was analysed in both cohorts, with detectable</w:t>
      </w:r>
      <w:r>
        <w:t xml:space="preserve"> levels </w:t>
      </w:r>
      <w:r w:rsidR="00100499">
        <w:t xml:space="preserve">in all </w:t>
      </w:r>
      <w:r w:rsidR="00AF2E72">
        <w:t>individuals</w:t>
      </w:r>
      <w:r w:rsidR="00100499">
        <w:t xml:space="preserve"> (</w:t>
      </w:r>
      <w:r w:rsidR="002D6A1A">
        <w:t xml:space="preserve">AD patients </w:t>
      </w:r>
      <w:r w:rsidR="00100499">
        <w:t xml:space="preserve">range </w:t>
      </w:r>
      <w:r w:rsidR="00626B6E">
        <w:t>331-2472pg/ml</w:t>
      </w:r>
      <w:r w:rsidR="002D6A1A">
        <w:t>, controls</w:t>
      </w:r>
      <w:r w:rsidR="00626B6E">
        <w:t xml:space="preserve"> 423-2197pg/ml).</w:t>
      </w:r>
      <w:r w:rsidR="00740FB5">
        <w:t xml:space="preserve"> </w:t>
      </w:r>
      <w:r w:rsidR="00944D1E">
        <w:t>Analysis of sCD25</w:t>
      </w:r>
      <w:r w:rsidR="00740FB5">
        <w:t xml:space="preserve"> in </w:t>
      </w:r>
      <w:r w:rsidR="00B56A54">
        <w:t>WB</w:t>
      </w:r>
      <w:r w:rsidR="00740FB5">
        <w:t xml:space="preserve"> from the same i</w:t>
      </w:r>
      <w:r w:rsidR="002D6A1A">
        <w:t>ndividuals was also</w:t>
      </w:r>
      <w:r w:rsidR="00B23422">
        <w:t xml:space="preserve"> performed,</w:t>
      </w:r>
      <w:r w:rsidR="00740FB5">
        <w:t xml:space="preserve"> with detectable levels in all samples (</w:t>
      </w:r>
      <w:r w:rsidR="002D6A1A">
        <w:t xml:space="preserve">AD patients </w:t>
      </w:r>
      <w:r w:rsidR="00740FB5">
        <w:t>range 550-2194pg/ml</w:t>
      </w:r>
      <w:r w:rsidR="002D6A1A">
        <w:t>, controls</w:t>
      </w:r>
      <w:r w:rsidR="00740FB5">
        <w:t xml:space="preserve"> 573-2243pg/ml)</w:t>
      </w:r>
      <w:r w:rsidR="00944D1E">
        <w:t>.</w:t>
      </w:r>
    </w:p>
    <w:p w:rsidR="00DA0161" w:rsidRDefault="0031743F" w:rsidP="00DA0161">
      <w:pPr>
        <w:rPr>
          <w:noProof/>
          <w:lang w:eastAsia="en-GB"/>
        </w:rPr>
      </w:pPr>
      <w:r>
        <w:lastRenderedPageBreak/>
        <w:t>I</w:t>
      </w:r>
      <w:r w:rsidR="008A7D5D">
        <w:t>mportantly,</w:t>
      </w:r>
      <w:r w:rsidR="007A326A">
        <w:t xml:space="preserve"> </w:t>
      </w:r>
      <w:r w:rsidR="00DA0161">
        <w:t xml:space="preserve">very good correlation was seen </w:t>
      </w:r>
      <w:r w:rsidR="00937A80">
        <w:t>between</w:t>
      </w:r>
      <w:r w:rsidR="00DA0161">
        <w:t xml:space="preserve"> </w:t>
      </w:r>
      <w:r w:rsidR="00944D1E">
        <w:t xml:space="preserve">sCD25 in </w:t>
      </w:r>
      <w:r w:rsidR="00DA0161">
        <w:t xml:space="preserve">plasma and </w:t>
      </w:r>
      <w:r w:rsidR="00914F2F">
        <w:t>WB</w:t>
      </w:r>
      <w:r w:rsidR="00DA0161">
        <w:t xml:space="preserve"> (</w:t>
      </w:r>
      <w:r w:rsidR="00510141">
        <w:t xml:space="preserve">AD patients </w:t>
      </w:r>
      <w:r w:rsidR="00DA0161">
        <w:t>R</w:t>
      </w:r>
      <w:r w:rsidR="00DA0161" w:rsidRPr="008D04F4">
        <w:rPr>
          <w:vertAlign w:val="superscript"/>
        </w:rPr>
        <w:t>2</w:t>
      </w:r>
      <w:r w:rsidR="00DA0161">
        <w:t xml:space="preserve"> 0.78</w:t>
      </w:r>
      <w:r w:rsidR="00510141">
        <w:t xml:space="preserve">, controls </w:t>
      </w:r>
      <w:r w:rsidR="00DA0161">
        <w:t>R</w:t>
      </w:r>
      <w:r w:rsidR="00DA0161" w:rsidRPr="008D04F4">
        <w:rPr>
          <w:vertAlign w:val="superscript"/>
        </w:rPr>
        <w:t>2</w:t>
      </w:r>
      <w:r w:rsidR="00DA0161">
        <w:t xml:space="preserve"> 0.80), indicating potential use of </w:t>
      </w:r>
      <w:r w:rsidR="00B56A54">
        <w:t>WB</w:t>
      </w:r>
      <w:r w:rsidR="00DA0161">
        <w:t xml:space="preserve"> for </w:t>
      </w:r>
      <w:r w:rsidR="00256E9D">
        <w:t>detection</w:t>
      </w:r>
      <w:r w:rsidR="00DA0161">
        <w:t xml:space="preserve"> of soluble blood biomarke</w:t>
      </w:r>
      <w:r w:rsidR="003664D1">
        <w:t>rs as an alternative to plasma (Figure 2)</w:t>
      </w:r>
      <w:r w:rsidR="00DA0161">
        <w:t>.</w:t>
      </w:r>
      <w:r w:rsidR="00DA0161" w:rsidRPr="00740FB5">
        <w:t xml:space="preserve"> </w:t>
      </w:r>
    </w:p>
    <w:p w:rsidR="00E44332" w:rsidRDefault="00E44332" w:rsidP="00DA0161">
      <w:r>
        <w:rPr>
          <w:noProof/>
          <w:lang w:eastAsia="en-GB"/>
        </w:rPr>
        <w:drawing>
          <wp:inline distT="0" distB="0" distL="0" distR="0">
            <wp:extent cx="4572000" cy="2743200"/>
            <wp:effectExtent l="19050" t="0" r="0" b="0"/>
            <wp:docPr id="2" name="Picture 1" descr="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tif"/>
                    <pic:cNvPicPr/>
                  </pic:nvPicPr>
                  <pic:blipFill>
                    <a:blip r:embed="rId9" cstate="print"/>
                    <a:stretch>
                      <a:fillRect/>
                    </a:stretch>
                  </pic:blipFill>
                  <pic:spPr>
                    <a:xfrm>
                      <a:off x="0" y="0"/>
                      <a:ext cx="4572000" cy="2743200"/>
                    </a:xfrm>
                    <a:prstGeom prst="rect">
                      <a:avLst/>
                    </a:prstGeom>
                  </pic:spPr>
                </pic:pic>
              </a:graphicData>
            </a:graphic>
          </wp:inline>
        </w:drawing>
      </w:r>
    </w:p>
    <w:p w:rsidR="00E44332" w:rsidRPr="003F7BF6" w:rsidRDefault="00E44332" w:rsidP="00E44332">
      <w:pPr>
        <w:pStyle w:val="Caption"/>
      </w:pPr>
      <w:bookmarkStart w:id="1" w:name="_Ref327283384"/>
      <w:r w:rsidRPr="003F7BF6">
        <w:t>Figure</w:t>
      </w:r>
      <w:bookmarkEnd w:id="1"/>
      <w:r>
        <w:t xml:space="preserve"> 2 </w:t>
      </w:r>
      <w:r w:rsidRPr="003F7BF6">
        <w:t>– Correlation between sCD2</w:t>
      </w:r>
      <w:r>
        <w:t>5 in whole blood and plasma in</w:t>
      </w:r>
      <w:r w:rsidRPr="003F7BF6">
        <w:t xml:space="preserve"> AD patients and healthy age-matched controls </w:t>
      </w:r>
      <w:r>
        <w:t>(n=10 per</w:t>
      </w:r>
      <w:r w:rsidRPr="003F7BF6">
        <w:t xml:space="preserve"> group).</w:t>
      </w:r>
    </w:p>
    <w:p w:rsidR="00FB3C2C" w:rsidRDefault="00FB3C2C" w:rsidP="00E44332">
      <w:pPr>
        <w:pStyle w:val="NoSpacing"/>
      </w:pPr>
    </w:p>
    <w:p w:rsidR="00BE5402" w:rsidRDefault="00BE5402" w:rsidP="006031E1">
      <w:r>
        <w:t xml:space="preserve">Generally, </w:t>
      </w:r>
      <w:r w:rsidR="00703A91">
        <w:t>lower</w:t>
      </w:r>
      <w:r>
        <w:t xml:space="preserve"> values for sCD25 were detected in </w:t>
      </w:r>
      <w:r w:rsidR="00703A91">
        <w:t>plasma</w:t>
      </w:r>
      <w:r w:rsidR="00D9691C">
        <w:t xml:space="preserve"> (p&gt;0.05)</w:t>
      </w:r>
      <w:r>
        <w:t>, with mean values of 1170</w:t>
      </w:r>
      <w:r>
        <w:rPr>
          <w:rFonts w:cstheme="minorHAnsi"/>
        </w:rPr>
        <w:t>±</w:t>
      </w:r>
      <w:r>
        <w:t>188pg/ml and 1316</w:t>
      </w:r>
      <w:r>
        <w:rPr>
          <w:rFonts w:cstheme="minorHAnsi"/>
        </w:rPr>
        <w:t>±</w:t>
      </w:r>
      <w:r>
        <w:t>182pg/ml measured in AD and age-matched controls respect</w:t>
      </w:r>
      <w:r w:rsidR="008A7D5D">
        <w:t xml:space="preserve">ively. In comparison, </w:t>
      </w:r>
      <w:r w:rsidR="00B56A54">
        <w:t>WB</w:t>
      </w:r>
      <w:r>
        <w:t xml:space="preserve"> </w:t>
      </w:r>
      <w:r w:rsidR="008A7D5D">
        <w:t xml:space="preserve">levels </w:t>
      </w:r>
      <w:r>
        <w:t>were 1217</w:t>
      </w:r>
      <w:r>
        <w:rPr>
          <w:rFonts w:cstheme="minorHAnsi"/>
        </w:rPr>
        <w:t>±</w:t>
      </w:r>
      <w:r>
        <w:t>153pg/ml and 1336</w:t>
      </w:r>
      <w:r>
        <w:rPr>
          <w:rFonts w:cstheme="minorHAnsi"/>
        </w:rPr>
        <w:t>±</w:t>
      </w:r>
      <w:r>
        <w:t>139pg/ml in AD and controls respectively, representing an increase of 4% in AD patients compared to plasma</w:t>
      </w:r>
      <w:r w:rsidR="00703A91">
        <w:t xml:space="preserve"> levels</w:t>
      </w:r>
      <w:r>
        <w:t>, and a difference of only 1% in h</w:t>
      </w:r>
      <w:r w:rsidR="008A7D5D">
        <w:t xml:space="preserve">ealthy controls between </w:t>
      </w:r>
      <w:r>
        <w:t>s</w:t>
      </w:r>
      <w:r w:rsidR="00397A61">
        <w:t>ample types</w:t>
      </w:r>
      <w:r>
        <w:t xml:space="preserve">. </w:t>
      </w:r>
    </w:p>
    <w:p w:rsidR="002F3301" w:rsidRDefault="002F3301" w:rsidP="001C72F6">
      <w:r>
        <w:t>The sCD25 ELISA method proved very sensitive, with</w:t>
      </w:r>
      <w:r w:rsidRPr="002F3301">
        <w:t xml:space="preserve"> </w:t>
      </w:r>
      <w:r>
        <w:t xml:space="preserve">standards detected as low as 62.5pg/ml; and </w:t>
      </w:r>
      <w:r w:rsidR="00510141">
        <w:t xml:space="preserve">a broad </w:t>
      </w:r>
      <w:r>
        <w:t xml:space="preserve">concentration range measurable in frozen samples </w:t>
      </w:r>
      <w:r w:rsidR="008A7D5D">
        <w:t>(3</w:t>
      </w:r>
      <w:r>
        <w:t>31pg/ml to 2472pg/ml</w:t>
      </w:r>
      <w:r w:rsidR="008A7D5D">
        <w:t>)</w:t>
      </w:r>
      <w:r>
        <w:t>.</w:t>
      </w:r>
    </w:p>
    <w:p w:rsidR="00AB3150" w:rsidRPr="000726B1" w:rsidRDefault="00AB3150" w:rsidP="00AD20D0">
      <w:pPr>
        <w:pStyle w:val="Heading2"/>
      </w:pPr>
      <w:r w:rsidRPr="000726B1">
        <w:t>Discussion:</w:t>
      </w:r>
    </w:p>
    <w:p w:rsidR="00E60C55" w:rsidRPr="00A42F34" w:rsidRDefault="00DA0161" w:rsidP="000C5C39">
      <w:r>
        <w:t>Consistent</w:t>
      </w:r>
      <w:r w:rsidR="008A7D5D">
        <w:t xml:space="preserve"> detection of sCD25 in all</w:t>
      </w:r>
      <w:r>
        <w:t xml:space="preserve"> samples </w:t>
      </w:r>
      <w:r w:rsidR="00E17714">
        <w:t>in</w:t>
      </w:r>
      <w:r>
        <w:t>dicates that</w:t>
      </w:r>
      <w:r w:rsidR="003A322F">
        <w:t xml:space="preserve"> ELISA measurement of this marker</w:t>
      </w:r>
      <w:r>
        <w:t xml:space="preserve"> is a robust approach for measuring soluble b</w:t>
      </w:r>
      <w:r w:rsidR="005A2420">
        <w:t>lood biomarkers, even within a</w:t>
      </w:r>
      <w:r>
        <w:t xml:space="preserve"> highly complex sample. </w:t>
      </w:r>
      <w:r w:rsidR="00F44B26">
        <w:t xml:space="preserve">Good </w:t>
      </w:r>
      <w:r w:rsidR="00E60C55">
        <w:t xml:space="preserve">correlation between </w:t>
      </w:r>
      <w:r w:rsidR="007966C8">
        <w:t>sCD25</w:t>
      </w:r>
      <w:r w:rsidR="00874782">
        <w:t xml:space="preserve"> level</w:t>
      </w:r>
      <w:r w:rsidR="00431C6D">
        <w:t>s</w:t>
      </w:r>
      <w:r w:rsidR="007966C8">
        <w:t xml:space="preserve"> in </w:t>
      </w:r>
      <w:r w:rsidR="00E60C55">
        <w:t xml:space="preserve">plasma and </w:t>
      </w:r>
      <w:r w:rsidR="00B56A54">
        <w:t>WB</w:t>
      </w:r>
      <w:r w:rsidR="00E60C55">
        <w:t xml:space="preserve"> </w:t>
      </w:r>
      <w:r w:rsidR="00874782">
        <w:t xml:space="preserve">provides </w:t>
      </w:r>
      <w:r w:rsidR="00E60C55">
        <w:t>proof of concept</w:t>
      </w:r>
      <w:r w:rsidR="003A322F">
        <w:t xml:space="preserve"> for</w:t>
      </w:r>
      <w:r w:rsidR="00E60C55">
        <w:t xml:space="preserve"> </w:t>
      </w:r>
      <w:r w:rsidR="000F3ED7">
        <w:t xml:space="preserve">rapid </w:t>
      </w:r>
      <w:r w:rsidR="000F3ED7">
        <w:lastRenderedPageBreak/>
        <w:t>de</w:t>
      </w:r>
      <w:r w:rsidR="00924347">
        <w:t xml:space="preserve">tection of markers in </w:t>
      </w:r>
      <w:r w:rsidR="00B56A54">
        <w:t>WB</w:t>
      </w:r>
      <w:r w:rsidR="00AB3150">
        <w:t xml:space="preserve"> without preparatory steps</w:t>
      </w:r>
      <w:r w:rsidR="000F3ED7">
        <w:t xml:space="preserve">. </w:t>
      </w:r>
      <w:r w:rsidR="00056D02">
        <w:t>W</w:t>
      </w:r>
      <w:r w:rsidR="00B56A54">
        <w:t>B</w:t>
      </w:r>
      <w:r w:rsidR="007966C8">
        <w:t xml:space="preserve"> </w:t>
      </w:r>
      <w:r w:rsidR="00056D02">
        <w:t xml:space="preserve">is relatively easy to obtain </w:t>
      </w:r>
      <w:r w:rsidR="0033089B">
        <w:t xml:space="preserve">(potentially requiring only a finger-prick) </w:t>
      </w:r>
      <w:r w:rsidR="00056D02">
        <w:t>and less invasive than sample</w:t>
      </w:r>
      <w:r w:rsidR="00E17714">
        <w:t>s</w:t>
      </w:r>
      <w:r w:rsidR="009257EC">
        <w:t xml:space="preserve"> such as CSF</w:t>
      </w:r>
      <w:r w:rsidR="007966C8">
        <w:t xml:space="preserve"> currently</w:t>
      </w:r>
      <w:r w:rsidR="00056D02">
        <w:t xml:space="preserve"> used in </w:t>
      </w:r>
      <w:r w:rsidR="00944D1E">
        <w:t xml:space="preserve">AD </w:t>
      </w:r>
      <w:r w:rsidR="00056D02">
        <w:t>diag</w:t>
      </w:r>
      <w:r w:rsidR="00A024ED">
        <w:t>nosis.</w:t>
      </w:r>
      <w:r w:rsidR="0079374F">
        <w:t xml:space="preserve"> </w:t>
      </w:r>
      <w:r w:rsidR="00510141">
        <w:t>Additionally,</w:t>
      </w:r>
      <w:r w:rsidR="00E60C55">
        <w:t xml:space="preserve"> good correlation </w:t>
      </w:r>
      <w:r w:rsidR="008A7A23">
        <w:t>between</w:t>
      </w:r>
      <w:r w:rsidR="00E60C55">
        <w:t xml:space="preserve"> </w:t>
      </w:r>
      <w:r w:rsidR="00B56A54">
        <w:t>WB</w:t>
      </w:r>
      <w:r w:rsidR="00E60C55">
        <w:t xml:space="preserve"> </w:t>
      </w:r>
      <w:r w:rsidR="009B38D5">
        <w:t xml:space="preserve">and plasma </w:t>
      </w:r>
      <w:r w:rsidR="008A7A23">
        <w:t xml:space="preserve">was seen in </w:t>
      </w:r>
      <w:r w:rsidR="008A7D5D">
        <w:t xml:space="preserve">previously frozen </w:t>
      </w:r>
      <w:r w:rsidR="008A7A23" w:rsidRPr="00A42F34">
        <w:t>samples</w:t>
      </w:r>
      <w:r w:rsidR="00E60C55" w:rsidRPr="00A42F34">
        <w:t>, highlighting potential u</w:t>
      </w:r>
      <w:r w:rsidR="009B38D5" w:rsidRPr="00A42F34">
        <w:t>se of samples frozen without</w:t>
      </w:r>
      <w:r w:rsidR="00E17714" w:rsidRPr="00A42F34">
        <w:t xml:space="preserve"> preparation</w:t>
      </w:r>
      <w:r w:rsidR="00E60C55" w:rsidRPr="00A42F34">
        <w:t>.</w:t>
      </w:r>
    </w:p>
    <w:p w:rsidR="00CF68F7" w:rsidRPr="00A42F34" w:rsidRDefault="00CF68F7" w:rsidP="000C5C39">
      <w:r w:rsidRPr="00A42F34">
        <w:t xml:space="preserve">The results presented illustrate the potential for this method </w:t>
      </w:r>
      <w:r w:rsidR="00E82C62" w:rsidRPr="00A42F34">
        <w:t>in</w:t>
      </w:r>
      <w:r w:rsidRPr="00A42F34">
        <w:t xml:space="preserve"> detecting soluble markers; however </w:t>
      </w:r>
      <w:r w:rsidR="00983866" w:rsidRPr="00A42F34">
        <w:t>CD25</w:t>
      </w:r>
      <w:r w:rsidRPr="00A42F34">
        <w:t xml:space="preserve"> did not show a </w:t>
      </w:r>
      <w:r w:rsidR="00983866" w:rsidRPr="00A42F34">
        <w:t xml:space="preserve">significant </w:t>
      </w:r>
      <w:r w:rsidRPr="00A42F34">
        <w:t>difference between AD and healthy cohorts</w:t>
      </w:r>
      <w:r w:rsidR="00966C78" w:rsidRPr="00A42F34">
        <w:t>.</w:t>
      </w:r>
      <w:r w:rsidR="00983866" w:rsidRPr="00A42F34">
        <w:t xml:space="preserve"> Previous work identified a difference between control and AD MNC only following activation (unpublished results</w:t>
      </w:r>
      <w:r w:rsidR="008029FB" w:rsidRPr="00A42F34">
        <w:t>) [</w:t>
      </w:r>
      <w:r w:rsidR="00983866" w:rsidRPr="00A42F34">
        <w:t>7</w:t>
      </w:r>
      <w:r w:rsidR="008029FB" w:rsidRPr="00A42F34">
        <w:t>]</w:t>
      </w:r>
      <w:r w:rsidR="00983866" w:rsidRPr="00A42F34">
        <w:t xml:space="preserve"> but not in </w:t>
      </w:r>
      <w:proofErr w:type="spellStart"/>
      <w:r w:rsidR="00983866" w:rsidRPr="00A42F34">
        <w:t>unstimulated</w:t>
      </w:r>
      <w:proofErr w:type="spellEnd"/>
      <w:r w:rsidR="00983866" w:rsidRPr="00A42F34">
        <w:t xml:space="preserve"> cells, thus in agreement with the current study. </w:t>
      </w:r>
      <w:r w:rsidR="00064BFC" w:rsidRPr="00A42F34">
        <w:t xml:space="preserve"> It is also acknowledged that the stage at which the samples are taken may affect differential expression levels in AD and control samples as </w:t>
      </w:r>
      <w:r w:rsidRPr="00A42F34">
        <w:t xml:space="preserve">differences </w:t>
      </w:r>
      <w:r w:rsidR="00064BFC" w:rsidRPr="00A42F34">
        <w:t>are</w:t>
      </w:r>
      <w:r w:rsidRPr="00A42F34">
        <w:t xml:space="preserve"> reported to be enhanced at later stages of the disease [7]. Whilst the marker used for development purposes in this study does not currently provide evidence of usefulness as a biomarker for AD, the approach used for the interrogation of biomarkers generally in WB is potentially widely applicable.</w:t>
      </w:r>
    </w:p>
    <w:p w:rsidR="009B7193" w:rsidRPr="00A42F34" w:rsidRDefault="0032349E">
      <w:r w:rsidRPr="00A42F34">
        <w:t xml:space="preserve">The </w:t>
      </w:r>
      <w:r w:rsidR="00454D7B" w:rsidRPr="00A42F34">
        <w:t>ELISA-based approach</w:t>
      </w:r>
      <w:r w:rsidRPr="00A42F34">
        <w:t xml:space="preserve"> show</w:t>
      </w:r>
      <w:r w:rsidR="00B83A58" w:rsidRPr="00A42F34">
        <w:t>ed</w:t>
      </w:r>
      <w:r w:rsidRPr="00A42F34">
        <w:t xml:space="preserve"> good detection limits</w:t>
      </w:r>
      <w:r w:rsidR="00276F70" w:rsidRPr="00A42F34">
        <w:t xml:space="preserve">, </w:t>
      </w:r>
      <w:r w:rsidR="00454D7B" w:rsidRPr="00A42F34">
        <w:t>but</w:t>
      </w:r>
      <w:r w:rsidR="003A322F" w:rsidRPr="00A42F34">
        <w:t xml:space="preserve"> </w:t>
      </w:r>
      <w:r w:rsidR="00276F70" w:rsidRPr="00A42F34">
        <w:t>require</w:t>
      </w:r>
      <w:r w:rsidR="00454D7B" w:rsidRPr="00A42F34">
        <w:t>s</w:t>
      </w:r>
      <w:r w:rsidR="00276F70" w:rsidRPr="00A42F34">
        <w:t xml:space="preserve"> consi</w:t>
      </w:r>
      <w:r w:rsidR="006D7FFA" w:rsidRPr="00A42F34">
        <w:t xml:space="preserve">derable hands-on time, </w:t>
      </w:r>
      <w:r w:rsidR="007643DB" w:rsidRPr="00A42F34">
        <w:t xml:space="preserve">substantial </w:t>
      </w:r>
      <w:r w:rsidR="00276F70" w:rsidRPr="00A42F34">
        <w:t xml:space="preserve">cost, and </w:t>
      </w:r>
      <w:r w:rsidR="006D7FFA" w:rsidRPr="00A42F34">
        <w:t xml:space="preserve">is </w:t>
      </w:r>
      <w:r w:rsidR="00276F70" w:rsidRPr="00A42F34">
        <w:t>less amenable to high-throughput testing</w:t>
      </w:r>
      <w:r w:rsidRPr="00A42F34">
        <w:t xml:space="preserve">. </w:t>
      </w:r>
      <w:r w:rsidR="003A322F" w:rsidRPr="00A42F34">
        <w:t>B</w:t>
      </w:r>
      <w:r w:rsidR="0013027E" w:rsidRPr="00A42F34">
        <w:t xml:space="preserve">io-sensing technology, </w:t>
      </w:r>
      <w:r w:rsidR="003A322F" w:rsidRPr="00A42F34">
        <w:t>for example</w:t>
      </w:r>
      <w:r w:rsidR="002B09F3" w:rsidRPr="00A42F34">
        <w:t xml:space="preserve"> an electrochem</w:t>
      </w:r>
      <w:r w:rsidR="00454D7B" w:rsidRPr="00A42F34">
        <w:t xml:space="preserve">ical approach </w:t>
      </w:r>
      <w:r w:rsidR="0027240F" w:rsidRPr="00A42F34">
        <w:t xml:space="preserve">such as that used by diabetics for glucose monitoring using </w:t>
      </w:r>
      <w:r w:rsidR="00966C78" w:rsidRPr="00A42F34">
        <w:t>WB</w:t>
      </w:r>
      <w:r w:rsidR="00C4313F" w:rsidRPr="00A42F34">
        <w:t xml:space="preserve"> [10</w:t>
      </w:r>
      <w:r w:rsidR="002B2EFA" w:rsidRPr="00A42F34">
        <w:t>, 11</w:t>
      </w:r>
      <w:r w:rsidR="00C4313F" w:rsidRPr="00A42F34">
        <w:t>]</w:t>
      </w:r>
      <w:r w:rsidR="0027240F" w:rsidRPr="00A42F34">
        <w:t xml:space="preserve"> could </w:t>
      </w:r>
      <w:r w:rsidR="00454D7B" w:rsidRPr="00A42F34">
        <w:t>offer a</w:t>
      </w:r>
      <w:r w:rsidR="002B09F3" w:rsidRPr="00A42F34">
        <w:t xml:space="preserve"> rapid, low cost alternative</w:t>
      </w:r>
      <w:r w:rsidR="0027240F" w:rsidRPr="00A42F34">
        <w:t>.</w:t>
      </w:r>
      <w:r w:rsidR="002B2EFA" w:rsidRPr="00A42F34">
        <w:t xml:space="preserve">  An electrochemical method incorporating an antibody immobilised onto a screen-printed carbon electrode has been developed by our group for detection of </w:t>
      </w:r>
      <w:proofErr w:type="spellStart"/>
      <w:r w:rsidR="002B2EFA" w:rsidRPr="00A42F34">
        <w:t>picomolar</w:t>
      </w:r>
      <w:proofErr w:type="spellEnd"/>
      <w:r w:rsidR="002B2EFA" w:rsidRPr="00A42F34">
        <w:t xml:space="preserve"> concentrations of </w:t>
      </w:r>
      <w:proofErr w:type="spellStart"/>
      <w:r w:rsidR="002B2EFA" w:rsidRPr="00A42F34">
        <w:t>estradiol</w:t>
      </w:r>
      <w:proofErr w:type="spellEnd"/>
      <w:r w:rsidR="002B2EFA" w:rsidRPr="00A42F34">
        <w:t xml:space="preserve"> [12] and could be adapted for measurement of </w:t>
      </w:r>
      <w:r w:rsidR="00966C78" w:rsidRPr="00A42F34">
        <w:t>soluble markers in WB</w:t>
      </w:r>
      <w:r w:rsidR="0027240F" w:rsidRPr="00A42F34">
        <w:t>.</w:t>
      </w:r>
      <w:r w:rsidR="00966C78" w:rsidRPr="00A42F34">
        <w:t xml:space="preserve"> </w:t>
      </w:r>
      <w:r w:rsidR="004A4004" w:rsidRPr="00A42F34">
        <w:t xml:space="preserve">There is </w:t>
      </w:r>
      <w:r w:rsidR="000C5C39" w:rsidRPr="00A42F34">
        <w:t xml:space="preserve">potential to develop a multiplex system, enabling </w:t>
      </w:r>
      <w:r w:rsidR="00944D1E" w:rsidRPr="00A42F34">
        <w:t xml:space="preserve">simultaneous detection of </w:t>
      </w:r>
      <w:r w:rsidR="000C5C39" w:rsidRPr="00A42F34">
        <w:t>a panel of biomarkers</w:t>
      </w:r>
      <w:r w:rsidR="008F3C4B" w:rsidRPr="00A42F34">
        <w:t xml:space="preserve">. </w:t>
      </w:r>
      <w:r w:rsidR="008247F0" w:rsidRPr="00A42F34">
        <w:t xml:space="preserve">A </w:t>
      </w:r>
      <w:r w:rsidR="004A4004" w:rsidRPr="00A42F34">
        <w:t xml:space="preserve">recent </w:t>
      </w:r>
      <w:r w:rsidR="008247F0" w:rsidRPr="00A42F34">
        <w:t xml:space="preserve">study </w:t>
      </w:r>
      <w:r w:rsidR="00422AEE" w:rsidRPr="00A42F34">
        <w:t>by</w:t>
      </w:r>
      <w:r w:rsidR="008A3B47" w:rsidRPr="00A42F34">
        <w:t xml:space="preserve"> </w:t>
      </w:r>
      <w:proofErr w:type="spellStart"/>
      <w:r w:rsidR="008A3B47" w:rsidRPr="00A42F34">
        <w:t>O’Bryant</w:t>
      </w:r>
      <w:proofErr w:type="spellEnd"/>
      <w:r w:rsidR="008A3B47" w:rsidRPr="00A42F34">
        <w:t xml:space="preserve"> </w:t>
      </w:r>
      <w:r w:rsidR="008A3B47" w:rsidRPr="00A42F34">
        <w:rPr>
          <w:i/>
        </w:rPr>
        <w:t>et al.,</w:t>
      </w:r>
      <w:r w:rsidR="00422AEE" w:rsidRPr="00A42F34">
        <w:t xml:space="preserve"> </w:t>
      </w:r>
      <w:r w:rsidR="00944D1E" w:rsidRPr="00A42F34">
        <w:t>employed</w:t>
      </w:r>
      <w:r w:rsidR="008247F0" w:rsidRPr="00A42F34">
        <w:t xml:space="preserve"> </w:t>
      </w:r>
      <w:r w:rsidR="00064BFC" w:rsidRPr="00A42F34">
        <w:t>this</w:t>
      </w:r>
      <w:r w:rsidR="008247F0" w:rsidRPr="00A42F34">
        <w:t xml:space="preserve"> approach to interrogate altered serum proteins as a potential </w:t>
      </w:r>
      <w:r w:rsidR="006D7FFA" w:rsidRPr="00A42F34">
        <w:t xml:space="preserve">AD </w:t>
      </w:r>
      <w:r w:rsidR="008247F0" w:rsidRPr="00A42F34">
        <w:t>screening tool</w:t>
      </w:r>
      <w:r w:rsidR="00944D1E" w:rsidRPr="00A42F34">
        <w:t xml:space="preserve"> [1</w:t>
      </w:r>
      <w:r w:rsidR="0085002C" w:rsidRPr="00A42F34">
        <w:t>3</w:t>
      </w:r>
      <w:r w:rsidR="00944D1E" w:rsidRPr="00A42F34">
        <w:t>]</w:t>
      </w:r>
      <w:r w:rsidR="008A7D5D" w:rsidRPr="00A42F34">
        <w:t xml:space="preserve">, and </w:t>
      </w:r>
      <w:r w:rsidR="008247F0" w:rsidRPr="00A42F34">
        <w:t>exhibited excellent results at distinguishing an inflammatory phenotype</w:t>
      </w:r>
      <w:r w:rsidR="008A7D5D" w:rsidRPr="00A42F34">
        <w:t>.</w:t>
      </w:r>
      <w:r w:rsidR="002B09F3" w:rsidRPr="00A42F34">
        <w:t xml:space="preserve"> S</w:t>
      </w:r>
      <w:r w:rsidR="008247F0" w:rsidRPr="00A42F34">
        <w:t>imilar approach</w:t>
      </w:r>
      <w:r w:rsidR="002B09F3" w:rsidRPr="00A42F34">
        <w:t>es</w:t>
      </w:r>
      <w:r w:rsidR="008247F0" w:rsidRPr="00A42F34">
        <w:t xml:space="preserve"> utilis</w:t>
      </w:r>
      <w:r w:rsidR="002B09F3" w:rsidRPr="00A42F34">
        <w:t>ing</w:t>
      </w:r>
      <w:r w:rsidR="008247F0" w:rsidRPr="00A42F34">
        <w:t xml:space="preserve"> </w:t>
      </w:r>
      <w:r w:rsidR="00B56A54" w:rsidRPr="00A42F34">
        <w:t>WB</w:t>
      </w:r>
      <w:r w:rsidR="008247F0" w:rsidRPr="00A42F34">
        <w:t xml:space="preserve"> </w:t>
      </w:r>
      <w:r w:rsidR="000F19AD" w:rsidRPr="00A42F34">
        <w:t>would remove</w:t>
      </w:r>
      <w:r w:rsidR="008247F0" w:rsidRPr="00A42F34">
        <w:t xml:space="preserve"> preparatory steps, with potential cost and time benefits</w:t>
      </w:r>
      <w:r w:rsidR="009A575A" w:rsidRPr="00A42F34">
        <w:t>, and enhanced</w:t>
      </w:r>
      <w:r w:rsidR="000F19AD" w:rsidRPr="00A42F34">
        <w:t xml:space="preserve"> </w:t>
      </w:r>
      <w:r w:rsidR="008A7D5D" w:rsidRPr="00A42F34">
        <w:t xml:space="preserve">POC </w:t>
      </w:r>
      <w:r w:rsidR="000F19AD" w:rsidRPr="00A42F34">
        <w:t>suitability</w:t>
      </w:r>
      <w:r w:rsidR="008247F0" w:rsidRPr="00A42F34">
        <w:t>.</w:t>
      </w:r>
      <w:r w:rsidR="009B7193" w:rsidRPr="00A42F34">
        <w:t xml:space="preserve"> </w:t>
      </w:r>
    </w:p>
    <w:p w:rsidR="0031743F" w:rsidRDefault="0031743F" w:rsidP="0031743F">
      <w:pPr>
        <w:pStyle w:val="Heading2"/>
      </w:pPr>
      <w:r w:rsidRPr="00A42F34">
        <w:lastRenderedPageBreak/>
        <w:t>Summary:</w:t>
      </w:r>
    </w:p>
    <w:p w:rsidR="000A1B7B" w:rsidRDefault="000A1B7B">
      <w:r>
        <w:t xml:space="preserve">In conclusion, the </w:t>
      </w:r>
      <w:r w:rsidR="005E5362">
        <w:t xml:space="preserve">immunoassay antibody-based </w:t>
      </w:r>
      <w:r>
        <w:t xml:space="preserve">method reported </w:t>
      </w:r>
      <w:r w:rsidR="00175707">
        <w:t>showed</w:t>
      </w:r>
      <w:r w:rsidR="00316ABE">
        <w:t xml:space="preserve"> strong positive </w:t>
      </w:r>
      <w:r>
        <w:t xml:space="preserve">correlation between CD25 levels in plasma and </w:t>
      </w:r>
      <w:r w:rsidR="00B56A54">
        <w:t>WB</w:t>
      </w:r>
      <w:r w:rsidR="00033613">
        <w:t xml:space="preserve">, demonstrating feasibility </w:t>
      </w:r>
      <w:r w:rsidR="008A7D5D">
        <w:t>for</w:t>
      </w:r>
      <w:r w:rsidR="00033613">
        <w:t xml:space="preserve"> analysis of disease-associated biomarkers</w:t>
      </w:r>
      <w:r w:rsidR="008A7D5D">
        <w:t xml:space="preserve"> in WB</w:t>
      </w:r>
      <w:r>
        <w:t xml:space="preserve">. This has potential </w:t>
      </w:r>
      <w:r w:rsidR="00454D7B">
        <w:t>for</w:t>
      </w:r>
      <w:r>
        <w:t xml:space="preserve"> further develop</w:t>
      </w:r>
      <w:r w:rsidR="00454D7B">
        <w:t>ment</w:t>
      </w:r>
      <w:r>
        <w:t xml:space="preserve"> towards a screen-printed electrochemical </w:t>
      </w:r>
      <w:r w:rsidR="002B09F3">
        <w:t>bio</w:t>
      </w:r>
      <w:r>
        <w:t>sensor approach</w:t>
      </w:r>
      <w:r w:rsidR="00316ABE">
        <w:t xml:space="preserve"> for fresh and frozen W</w:t>
      </w:r>
      <w:r w:rsidR="008A7A23">
        <w:t>B</w:t>
      </w:r>
      <w:r>
        <w:t>, with</w:t>
      </w:r>
      <w:r w:rsidR="004D73D0">
        <w:t xml:space="preserve"> </w:t>
      </w:r>
      <w:r>
        <w:t xml:space="preserve">advantages </w:t>
      </w:r>
      <w:r w:rsidR="006D7FFA">
        <w:t xml:space="preserve">including </w:t>
      </w:r>
      <w:r>
        <w:t>improved sensitivity, low-cost and applicability to POC t</w:t>
      </w:r>
      <w:r w:rsidR="00B56A54">
        <w:t xml:space="preserve">esting. </w:t>
      </w:r>
      <w:r w:rsidR="00033613">
        <w:t>Future work will include evaluation of WB for suitability to detect other soluble blood-based biomarkers</w:t>
      </w:r>
      <w:r w:rsidR="008A7D5D">
        <w:t>, which may</w:t>
      </w:r>
      <w:r>
        <w:t xml:space="preserve"> have wide application</w:t>
      </w:r>
      <w:r w:rsidR="00033613">
        <w:t xml:space="preserve"> for a range of pathologi</w:t>
      </w:r>
      <w:r w:rsidR="005E5362">
        <w:t>es</w:t>
      </w:r>
      <w:r w:rsidR="00033613">
        <w:t>.</w:t>
      </w:r>
    </w:p>
    <w:p w:rsidR="00A631E6" w:rsidRDefault="00A631E6" w:rsidP="00A631E6">
      <w:pPr>
        <w:pStyle w:val="Heading2"/>
      </w:pPr>
      <w:r>
        <w:t>Acknowledgements:</w:t>
      </w:r>
    </w:p>
    <w:p w:rsidR="00A631E6" w:rsidRPr="00A631E6" w:rsidRDefault="00BE28B6" w:rsidP="00A631E6">
      <w:r>
        <w:t xml:space="preserve">The authors </w:t>
      </w:r>
      <w:r w:rsidR="009559F4">
        <w:t>are very grateful</w:t>
      </w:r>
      <w:r w:rsidR="003F7BF6">
        <w:t xml:space="preserve"> to</w:t>
      </w:r>
      <w:r>
        <w:t xml:space="preserve"> Sharon Christie, Donald Warden and the OPTIMA </w:t>
      </w:r>
      <w:proofErr w:type="spellStart"/>
      <w:r>
        <w:t>Biobank</w:t>
      </w:r>
      <w:proofErr w:type="spellEnd"/>
      <w:r>
        <w:t>, University of Oxford,</w:t>
      </w:r>
      <w:r w:rsidR="00B23422">
        <w:t xml:space="preserve"> for provision of AD and</w:t>
      </w:r>
      <w:r>
        <w:t xml:space="preserve"> control blood samples. </w:t>
      </w:r>
    </w:p>
    <w:p w:rsidR="000645DF" w:rsidRDefault="000645DF" w:rsidP="000645DF">
      <w:pPr>
        <w:pStyle w:val="Heading2"/>
      </w:pPr>
      <w:r>
        <w:t>References:</w:t>
      </w:r>
    </w:p>
    <w:p w:rsidR="002D2192" w:rsidRPr="008C6D2A" w:rsidRDefault="00E4616F" w:rsidP="003E6988">
      <w:r w:rsidRPr="008C6D2A">
        <w:t xml:space="preserve">[1] </w:t>
      </w:r>
      <w:r w:rsidR="002D2192" w:rsidRPr="008C6D2A">
        <w:t xml:space="preserve">Pathology Services Handbook v3.2.1 (Sept 2011) pp 31-37, St Georges Healthcare NHS Trust. Available from </w:t>
      </w:r>
      <w:hyperlink r:id="rId10" w:history="1">
        <w:r w:rsidR="002D2192" w:rsidRPr="008C6D2A">
          <w:rPr>
            <w:rStyle w:val="Hyperlink"/>
            <w:color w:val="auto"/>
          </w:rPr>
          <w:t>http://www.stgeorges.nhs.uk/docs/pathology/handbook.pdf</w:t>
        </w:r>
      </w:hyperlink>
      <w:r w:rsidR="002D2192" w:rsidRPr="008C6D2A">
        <w:t xml:space="preserve"> [Accessed 15/10/12] </w:t>
      </w:r>
    </w:p>
    <w:p w:rsidR="003E6988" w:rsidRDefault="003E6988" w:rsidP="003E6988">
      <w:r>
        <w:t>[</w:t>
      </w:r>
      <w:r w:rsidR="00E4616F">
        <w:t>2</w:t>
      </w:r>
      <w:r>
        <w:t xml:space="preserve">] </w:t>
      </w:r>
      <w:r w:rsidR="002F2484">
        <w:t xml:space="preserve">H. </w:t>
      </w:r>
      <w:r>
        <w:t>Kobayashi</w:t>
      </w:r>
      <w:r w:rsidR="002F2484">
        <w:t>,</w:t>
      </w:r>
      <w:r>
        <w:t xml:space="preserve"> </w:t>
      </w:r>
      <w:r w:rsidR="002F2484">
        <w:t xml:space="preserve">H. </w:t>
      </w:r>
      <w:proofErr w:type="spellStart"/>
      <w:r>
        <w:t>Ooi</w:t>
      </w:r>
      <w:proofErr w:type="spellEnd"/>
      <w:r w:rsidR="002F2484">
        <w:t>,</w:t>
      </w:r>
      <w:r>
        <w:t xml:space="preserve"> </w:t>
      </w:r>
      <w:r w:rsidR="002F2484">
        <w:t xml:space="preserve">Y. </w:t>
      </w:r>
      <w:r>
        <w:t xml:space="preserve">Yamada, </w:t>
      </w:r>
      <w:r w:rsidR="002F2484">
        <w:t xml:space="preserve">M. </w:t>
      </w:r>
      <w:r>
        <w:t xml:space="preserve">Sakata, </w:t>
      </w:r>
      <w:r w:rsidR="002F2484">
        <w:t xml:space="preserve">R. </w:t>
      </w:r>
      <w:r>
        <w:t xml:space="preserve">Kawaguchi, </w:t>
      </w:r>
      <w:r w:rsidR="002F2484">
        <w:t xml:space="preserve">S. </w:t>
      </w:r>
      <w:proofErr w:type="spellStart"/>
      <w:r>
        <w:t>Kan</w:t>
      </w:r>
      <w:r w:rsidR="00A631E6">
        <w:t>ayama</w:t>
      </w:r>
      <w:proofErr w:type="spellEnd"/>
      <w:r w:rsidR="00A631E6">
        <w:t xml:space="preserve">, </w:t>
      </w:r>
      <w:r w:rsidR="002F2484">
        <w:t xml:space="preserve">K. </w:t>
      </w:r>
      <w:proofErr w:type="spellStart"/>
      <w:r w:rsidR="00A631E6">
        <w:t>Sumimoto</w:t>
      </w:r>
      <w:proofErr w:type="spellEnd"/>
      <w:r w:rsidR="00A631E6">
        <w:t xml:space="preserve"> and </w:t>
      </w:r>
      <w:r w:rsidR="002F2484">
        <w:t xml:space="preserve">T. </w:t>
      </w:r>
      <w:proofErr w:type="spellStart"/>
      <w:r w:rsidR="00A631E6">
        <w:t>Terao</w:t>
      </w:r>
      <w:proofErr w:type="spellEnd"/>
      <w:r>
        <w:t>, Serum CA125 level before the development of ovarian cancer</w:t>
      </w:r>
      <w:r w:rsidR="00A631E6">
        <w:t>,</w:t>
      </w:r>
      <w:r>
        <w:t xml:space="preserve"> Int</w:t>
      </w:r>
      <w:r w:rsidR="00A631E6">
        <w:t>.</w:t>
      </w:r>
      <w:r>
        <w:t xml:space="preserve"> J</w:t>
      </w:r>
      <w:r w:rsidR="00A631E6">
        <w:t>.</w:t>
      </w:r>
      <w:r w:rsidR="000E42F6">
        <w:t xml:space="preserve"> </w:t>
      </w:r>
      <w:r>
        <w:t>Gynecol</w:t>
      </w:r>
      <w:r w:rsidR="00A631E6">
        <w:t>.</w:t>
      </w:r>
      <w:r>
        <w:t xml:space="preserve"> Obstet.</w:t>
      </w:r>
      <w:r w:rsidR="00A631E6" w:rsidRPr="00A631E6">
        <w:t xml:space="preserve"> </w:t>
      </w:r>
      <w:r w:rsidR="00A631E6">
        <w:t xml:space="preserve">(2007) </w:t>
      </w:r>
      <w:r>
        <w:t xml:space="preserve"> 99:95-99</w:t>
      </w:r>
      <w:r w:rsidR="00A631E6">
        <w:t>.</w:t>
      </w:r>
    </w:p>
    <w:p w:rsidR="003E6988" w:rsidRDefault="003E6988" w:rsidP="00E83D95">
      <w:r>
        <w:t>[</w:t>
      </w:r>
      <w:r w:rsidR="00E4616F">
        <w:t>3</w:t>
      </w:r>
      <w:r>
        <w:t xml:space="preserve">] </w:t>
      </w:r>
      <w:r w:rsidR="002F2484">
        <w:t xml:space="preserve">M. </w:t>
      </w:r>
      <w:r>
        <w:t xml:space="preserve">Hsieh, </w:t>
      </w:r>
      <w:r w:rsidR="002F2484">
        <w:t>T. Wu,</w:t>
      </w:r>
      <w:r>
        <w:t xml:space="preserve"> </w:t>
      </w:r>
      <w:r w:rsidR="002F2484">
        <w:t xml:space="preserve">C. </w:t>
      </w:r>
      <w:r>
        <w:t xml:space="preserve">Su, </w:t>
      </w:r>
      <w:r w:rsidR="002F2484">
        <w:t xml:space="preserve">W. </w:t>
      </w:r>
      <w:r>
        <w:t xml:space="preserve">Cheng, </w:t>
      </w:r>
      <w:r w:rsidR="002F2484">
        <w:t xml:space="preserve">N. </w:t>
      </w:r>
      <w:proofErr w:type="spellStart"/>
      <w:r>
        <w:t>Ozbek</w:t>
      </w:r>
      <w:proofErr w:type="spellEnd"/>
      <w:r>
        <w:t xml:space="preserve">, </w:t>
      </w:r>
      <w:r w:rsidR="002F2484">
        <w:t xml:space="preserve">K. </w:t>
      </w:r>
      <w:r>
        <w:t xml:space="preserve">Tsai and </w:t>
      </w:r>
      <w:r w:rsidR="002F2484">
        <w:t xml:space="preserve">C. </w:t>
      </w:r>
      <w:r>
        <w:t xml:space="preserve">Lin, Comparison of an electrochemical biosensor with optical devices for </w:t>
      </w:r>
      <w:proofErr w:type="spellStart"/>
      <w:r>
        <w:t>hemaglobin</w:t>
      </w:r>
      <w:proofErr w:type="spellEnd"/>
      <w:r>
        <w:t xml:space="preserve"> measurement in human whole blood samples. </w:t>
      </w:r>
      <w:proofErr w:type="spellStart"/>
      <w:proofErr w:type="gramStart"/>
      <w:r>
        <w:t>Clin</w:t>
      </w:r>
      <w:proofErr w:type="spellEnd"/>
      <w:r w:rsidR="00A631E6">
        <w:t>.</w:t>
      </w:r>
      <w:proofErr w:type="gramEnd"/>
      <w:r>
        <w:t xml:space="preserve"> </w:t>
      </w:r>
      <w:proofErr w:type="spellStart"/>
      <w:proofErr w:type="gramStart"/>
      <w:r>
        <w:t>Chim</w:t>
      </w:r>
      <w:proofErr w:type="spellEnd"/>
      <w:r w:rsidR="00A631E6">
        <w:t>.</w:t>
      </w:r>
      <w:proofErr w:type="gramEnd"/>
      <w:r>
        <w:t xml:space="preserve"> </w:t>
      </w:r>
      <w:proofErr w:type="spellStart"/>
      <w:proofErr w:type="gramStart"/>
      <w:r>
        <w:t>Acta</w:t>
      </w:r>
      <w:proofErr w:type="spellEnd"/>
      <w:r>
        <w:t>.</w:t>
      </w:r>
      <w:proofErr w:type="gramEnd"/>
      <w:r>
        <w:t xml:space="preserve"> </w:t>
      </w:r>
      <w:r w:rsidR="00A631E6">
        <w:t xml:space="preserve">(2011) </w:t>
      </w:r>
      <w:r>
        <w:t>412:2150:2156</w:t>
      </w:r>
      <w:r w:rsidR="00A631E6">
        <w:t>.</w:t>
      </w:r>
    </w:p>
    <w:p w:rsidR="003E6988" w:rsidRDefault="003E6988" w:rsidP="003E6988">
      <w:proofErr w:type="gramStart"/>
      <w:r>
        <w:t>[</w:t>
      </w:r>
      <w:r w:rsidR="00755E6D">
        <w:t>4</w:t>
      </w:r>
      <w:r>
        <w:t xml:space="preserve">] </w:t>
      </w:r>
      <w:r w:rsidR="002F2484">
        <w:t xml:space="preserve">B. </w:t>
      </w:r>
      <w:proofErr w:type="spellStart"/>
      <w:r>
        <w:t>Nowotny</w:t>
      </w:r>
      <w:proofErr w:type="spellEnd"/>
      <w:r>
        <w:t xml:space="preserve">, </w:t>
      </w:r>
      <w:r w:rsidR="002F2484">
        <w:t xml:space="preserve">P.J. </w:t>
      </w:r>
      <w:proofErr w:type="spellStart"/>
      <w:r>
        <w:t>Nowotny</w:t>
      </w:r>
      <w:proofErr w:type="spellEnd"/>
      <w:r w:rsidR="00A631E6">
        <w:t xml:space="preserve">, </w:t>
      </w:r>
      <w:r w:rsidR="002F2484">
        <w:t xml:space="preserve">K. </w:t>
      </w:r>
      <w:proofErr w:type="spellStart"/>
      <w:r w:rsidR="00A631E6">
        <w:t>Strassburger</w:t>
      </w:r>
      <w:proofErr w:type="spellEnd"/>
      <w:r w:rsidR="00A631E6">
        <w:t xml:space="preserve"> and </w:t>
      </w:r>
      <w:r w:rsidR="002F2484">
        <w:t xml:space="preserve">M. </w:t>
      </w:r>
      <w:proofErr w:type="spellStart"/>
      <w:r w:rsidR="00A631E6">
        <w:t>Roden</w:t>
      </w:r>
      <w:proofErr w:type="spellEnd"/>
      <w:r>
        <w:t>, Precision and accuracy of blood glucose measurements us</w:t>
      </w:r>
      <w:r w:rsidR="00A631E6">
        <w:t>ing three different instruments,</w:t>
      </w:r>
      <w:r>
        <w:t xml:space="preserve"> Diabetic Med.</w:t>
      </w:r>
      <w:r w:rsidR="00A631E6" w:rsidRPr="00A631E6">
        <w:t xml:space="preserve"> </w:t>
      </w:r>
      <w:r w:rsidR="00A631E6">
        <w:t xml:space="preserve">(2012) </w:t>
      </w:r>
      <w:r>
        <w:t>29:260-265</w:t>
      </w:r>
      <w:r w:rsidR="00A631E6">
        <w:t>.</w:t>
      </w:r>
      <w:proofErr w:type="gramEnd"/>
    </w:p>
    <w:p w:rsidR="003E6988" w:rsidRDefault="008F6D44" w:rsidP="003E6988">
      <w:r>
        <w:lastRenderedPageBreak/>
        <w:t>[</w:t>
      </w:r>
      <w:r w:rsidR="00755E6D">
        <w:t>5</w:t>
      </w:r>
      <w:r w:rsidR="003E6988">
        <w:t xml:space="preserve">] </w:t>
      </w:r>
      <w:r w:rsidR="002F2484">
        <w:t xml:space="preserve">R. </w:t>
      </w:r>
      <w:proofErr w:type="spellStart"/>
      <w:r w:rsidR="003E6988">
        <w:t>Bingisser</w:t>
      </w:r>
      <w:proofErr w:type="spellEnd"/>
      <w:r w:rsidR="003E6988">
        <w:t xml:space="preserve">, </w:t>
      </w:r>
      <w:r w:rsidR="002F2484">
        <w:t xml:space="preserve">C. </w:t>
      </w:r>
      <w:r w:rsidR="003E6988">
        <w:t>Cairns</w:t>
      </w:r>
      <w:r w:rsidR="002F2484">
        <w:t>,</w:t>
      </w:r>
      <w:r w:rsidR="003E6988">
        <w:t xml:space="preserve"> </w:t>
      </w:r>
      <w:r w:rsidR="002F2484">
        <w:t xml:space="preserve">M. </w:t>
      </w:r>
      <w:r w:rsidR="003E6988">
        <w:t xml:space="preserve">Christ, </w:t>
      </w:r>
      <w:r w:rsidR="002F2484">
        <w:t xml:space="preserve">P. </w:t>
      </w:r>
      <w:proofErr w:type="spellStart"/>
      <w:r w:rsidR="003E6988">
        <w:t>Hausfater</w:t>
      </w:r>
      <w:proofErr w:type="spellEnd"/>
      <w:r w:rsidR="003E6988">
        <w:t xml:space="preserve">, </w:t>
      </w:r>
      <w:r w:rsidR="002F2484">
        <w:t xml:space="preserve">B. </w:t>
      </w:r>
      <w:proofErr w:type="spellStart"/>
      <w:r w:rsidR="003E6988">
        <w:t>Lindahl</w:t>
      </w:r>
      <w:proofErr w:type="spellEnd"/>
      <w:r w:rsidR="003E6988">
        <w:t xml:space="preserve">, </w:t>
      </w:r>
      <w:r w:rsidR="002F2484">
        <w:t xml:space="preserve">J. </w:t>
      </w:r>
      <w:proofErr w:type="spellStart"/>
      <w:r w:rsidR="003E6988">
        <w:t>Mair</w:t>
      </w:r>
      <w:proofErr w:type="spellEnd"/>
      <w:r w:rsidR="003E6988">
        <w:t xml:space="preserve">, </w:t>
      </w:r>
      <w:r w:rsidR="002F2484">
        <w:t xml:space="preserve">M </w:t>
      </w:r>
      <w:proofErr w:type="spellStart"/>
      <w:r w:rsidR="003E6988">
        <w:t>P</w:t>
      </w:r>
      <w:r w:rsidR="002F2484">
        <w:t>a</w:t>
      </w:r>
      <w:r w:rsidR="003E6988">
        <w:t>nteghin</w:t>
      </w:r>
      <w:r w:rsidR="00A631E6">
        <w:t>i</w:t>
      </w:r>
      <w:proofErr w:type="spellEnd"/>
      <w:r w:rsidR="00A631E6">
        <w:t xml:space="preserve">, </w:t>
      </w:r>
      <w:r w:rsidR="002F2484">
        <w:t xml:space="preserve">C. </w:t>
      </w:r>
      <w:r w:rsidR="00A631E6">
        <w:t xml:space="preserve">Price and </w:t>
      </w:r>
      <w:r w:rsidR="002F2484">
        <w:t xml:space="preserve">P. </w:t>
      </w:r>
      <w:proofErr w:type="spellStart"/>
      <w:r w:rsidR="00A631E6">
        <w:t>Venge</w:t>
      </w:r>
      <w:proofErr w:type="spellEnd"/>
      <w:r w:rsidR="003E6988">
        <w:t xml:space="preserve">, Cardiac </w:t>
      </w:r>
      <w:proofErr w:type="spellStart"/>
      <w:r w:rsidR="003E6988">
        <w:t>troponin</w:t>
      </w:r>
      <w:proofErr w:type="spellEnd"/>
      <w:r w:rsidR="003E6988">
        <w:t>: a critical review of the case for point-of-care testing in the ED</w:t>
      </w:r>
      <w:r w:rsidR="00A631E6">
        <w:t>,</w:t>
      </w:r>
      <w:r w:rsidR="003E6988">
        <w:t xml:space="preserve"> Am</w:t>
      </w:r>
      <w:r w:rsidR="00A631E6">
        <w:t>.</w:t>
      </w:r>
      <w:r w:rsidR="003E6988">
        <w:t xml:space="preserve"> J</w:t>
      </w:r>
      <w:r w:rsidR="00A631E6">
        <w:t>.</w:t>
      </w:r>
      <w:r w:rsidR="00B02B85">
        <w:t xml:space="preserve"> </w:t>
      </w:r>
      <w:proofErr w:type="spellStart"/>
      <w:r w:rsidR="003E6988">
        <w:t>Emerg</w:t>
      </w:r>
      <w:proofErr w:type="spellEnd"/>
      <w:r w:rsidR="00A631E6">
        <w:t>.</w:t>
      </w:r>
      <w:r w:rsidR="003E6988">
        <w:t xml:space="preserve"> Med. </w:t>
      </w:r>
      <w:r w:rsidR="00A631E6">
        <w:t xml:space="preserve">(2012) </w:t>
      </w:r>
      <w:r w:rsidR="003E6988">
        <w:t>[Online ahead of print] Accessed 19/06/12</w:t>
      </w:r>
      <w:r w:rsidR="00A631E6">
        <w:t>.</w:t>
      </w:r>
    </w:p>
    <w:p w:rsidR="003E6988" w:rsidRPr="000645DF" w:rsidRDefault="003E6988" w:rsidP="003E6988">
      <w:r>
        <w:t>[</w:t>
      </w:r>
      <w:r w:rsidR="006F0689">
        <w:t>6</w:t>
      </w:r>
      <w:r>
        <w:t xml:space="preserve">] </w:t>
      </w:r>
      <w:r w:rsidR="002F2484">
        <w:t xml:space="preserve">G. </w:t>
      </w:r>
      <w:r>
        <w:t xml:space="preserve">Zhang, </w:t>
      </w:r>
      <w:r w:rsidR="002F2484">
        <w:t xml:space="preserve">Z.H.H. </w:t>
      </w:r>
      <w:proofErr w:type="spellStart"/>
      <w:r>
        <w:t>Luo</w:t>
      </w:r>
      <w:proofErr w:type="spellEnd"/>
      <w:r>
        <w:t xml:space="preserve">, </w:t>
      </w:r>
      <w:r w:rsidR="002F2484">
        <w:t xml:space="preserve">M.J. </w:t>
      </w:r>
      <w:r>
        <w:t>Hua</w:t>
      </w:r>
      <w:r w:rsidR="00A631E6">
        <w:t xml:space="preserve">ng, </w:t>
      </w:r>
      <w:r w:rsidR="002F2484">
        <w:t xml:space="preserve">J.J. </w:t>
      </w:r>
      <w:proofErr w:type="spellStart"/>
      <w:r w:rsidR="00A631E6">
        <w:t>Ang</w:t>
      </w:r>
      <w:proofErr w:type="spellEnd"/>
      <w:r w:rsidR="00A631E6">
        <w:t xml:space="preserve">, </w:t>
      </w:r>
      <w:r w:rsidR="002F2484">
        <w:t xml:space="preserve">T.G. </w:t>
      </w:r>
      <w:r w:rsidR="00A631E6">
        <w:t xml:space="preserve">Kang and </w:t>
      </w:r>
      <w:r w:rsidR="002F2484">
        <w:t xml:space="preserve">H. </w:t>
      </w:r>
      <w:proofErr w:type="spellStart"/>
      <w:r w:rsidR="00A631E6">
        <w:t>Ji</w:t>
      </w:r>
      <w:proofErr w:type="spellEnd"/>
      <w:r>
        <w:t xml:space="preserve">, An integrated chip for rapid, sensitive, and multiplexed detection of cardiac biomarkers from </w:t>
      </w:r>
      <w:proofErr w:type="spellStart"/>
      <w:r>
        <w:t>fingerprick</w:t>
      </w:r>
      <w:proofErr w:type="spellEnd"/>
      <w:r>
        <w:t xml:space="preserve"> blood</w:t>
      </w:r>
      <w:r w:rsidR="00A631E6">
        <w:t>,</w:t>
      </w:r>
      <w:r>
        <w:t xml:space="preserve"> </w:t>
      </w:r>
      <w:proofErr w:type="spellStart"/>
      <w:r>
        <w:t>Biosens</w:t>
      </w:r>
      <w:proofErr w:type="spellEnd"/>
      <w:r w:rsidR="00A631E6">
        <w:t>.</w:t>
      </w:r>
      <w:r w:rsidR="00B02B85">
        <w:t xml:space="preserve"> </w:t>
      </w:r>
      <w:proofErr w:type="spellStart"/>
      <w:proofErr w:type="gramStart"/>
      <w:r>
        <w:t>Bioelectron</w:t>
      </w:r>
      <w:proofErr w:type="spellEnd"/>
      <w:r>
        <w:t>.</w:t>
      </w:r>
      <w:proofErr w:type="gramEnd"/>
      <w:r>
        <w:t xml:space="preserve"> </w:t>
      </w:r>
      <w:proofErr w:type="gramStart"/>
      <w:r w:rsidR="00A631E6">
        <w:t xml:space="preserve">(2011) </w:t>
      </w:r>
      <w:r>
        <w:t>28:459-463</w:t>
      </w:r>
      <w:r w:rsidR="00A631E6">
        <w:t>.</w:t>
      </w:r>
      <w:proofErr w:type="gramEnd"/>
    </w:p>
    <w:p w:rsidR="003E6988" w:rsidRDefault="003E6988" w:rsidP="003E6988">
      <w:r>
        <w:t>[</w:t>
      </w:r>
      <w:r w:rsidR="006F0689">
        <w:t>7</w:t>
      </w:r>
      <w:r>
        <w:t xml:space="preserve">] </w:t>
      </w:r>
      <w:r w:rsidR="002F2484">
        <w:t xml:space="preserve">V.R. </w:t>
      </w:r>
      <w:r>
        <w:t xml:space="preserve">Lombardi, </w:t>
      </w:r>
      <w:r w:rsidR="002F2484">
        <w:t xml:space="preserve">M. </w:t>
      </w:r>
      <w:r w:rsidR="00A631E6">
        <w:t xml:space="preserve">Garcia, </w:t>
      </w:r>
      <w:r w:rsidR="002F2484">
        <w:t xml:space="preserve">L. </w:t>
      </w:r>
      <w:r w:rsidR="00A631E6">
        <w:t xml:space="preserve">Rey and </w:t>
      </w:r>
      <w:r w:rsidR="002F2484">
        <w:t xml:space="preserve">R. </w:t>
      </w:r>
      <w:proofErr w:type="spellStart"/>
      <w:r w:rsidR="002F2484">
        <w:t>Cacabelos</w:t>
      </w:r>
      <w:proofErr w:type="spellEnd"/>
      <w:r w:rsidR="00A631E6">
        <w:t xml:space="preserve">, </w:t>
      </w:r>
      <w:r>
        <w:t>Characterization of cytokine production, screening of lymphocyte subset patterns and in vitro apoptosis in healthy and Alzheimer’s Disease (AD) individuals</w:t>
      </w:r>
      <w:r w:rsidR="00A631E6">
        <w:t>,</w:t>
      </w:r>
      <w:r>
        <w:t xml:space="preserve"> J</w:t>
      </w:r>
      <w:r w:rsidR="00A631E6">
        <w:t>.</w:t>
      </w:r>
      <w:r>
        <w:t xml:space="preserve"> </w:t>
      </w:r>
      <w:proofErr w:type="spellStart"/>
      <w:r>
        <w:t>Neuroimmunol</w:t>
      </w:r>
      <w:proofErr w:type="spellEnd"/>
      <w:r>
        <w:t xml:space="preserve">. </w:t>
      </w:r>
      <w:r w:rsidR="00A631E6">
        <w:t xml:space="preserve">(1999) </w:t>
      </w:r>
      <w:r>
        <w:t>97(1-2):163-171</w:t>
      </w:r>
      <w:r w:rsidR="00A631E6">
        <w:t>.</w:t>
      </w:r>
    </w:p>
    <w:p w:rsidR="003E6988" w:rsidRDefault="003E6988" w:rsidP="003E6988">
      <w:r>
        <w:t>[</w:t>
      </w:r>
      <w:r w:rsidR="006F0689">
        <w:t>8</w:t>
      </w:r>
      <w:r w:rsidR="00A631E6">
        <w:t xml:space="preserve">] </w:t>
      </w:r>
      <w:r w:rsidR="002F2484">
        <w:t xml:space="preserve">R. </w:t>
      </w:r>
      <w:proofErr w:type="spellStart"/>
      <w:r w:rsidR="00A631E6">
        <w:t>Mayeux</w:t>
      </w:r>
      <w:proofErr w:type="spellEnd"/>
      <w:r w:rsidR="00A631E6">
        <w:t xml:space="preserve"> and </w:t>
      </w:r>
      <w:r w:rsidR="002F2484">
        <w:t xml:space="preserve">N. </w:t>
      </w:r>
      <w:proofErr w:type="spellStart"/>
      <w:r w:rsidR="002F2484">
        <w:t>Schupf</w:t>
      </w:r>
      <w:proofErr w:type="spellEnd"/>
      <w:r w:rsidR="002F2484">
        <w:t>,</w:t>
      </w:r>
      <w:r>
        <w:t xml:space="preserve"> Blood-based biomarkers for Alzheimer’s disease: plasma A</w:t>
      </w:r>
      <w:r>
        <w:rPr>
          <w:rFonts w:cstheme="minorHAnsi"/>
        </w:rPr>
        <w:t>β40 and Aβ42, and genetic variants</w:t>
      </w:r>
      <w:r w:rsidR="00A631E6">
        <w:rPr>
          <w:rFonts w:cstheme="minorHAnsi"/>
        </w:rPr>
        <w:t>,</w:t>
      </w:r>
      <w:r>
        <w:rPr>
          <w:rFonts w:cstheme="minorHAnsi"/>
        </w:rPr>
        <w:t xml:space="preserve"> </w:t>
      </w:r>
      <w:proofErr w:type="spellStart"/>
      <w:r>
        <w:rPr>
          <w:rFonts w:cstheme="minorHAnsi"/>
        </w:rPr>
        <w:t>Neurobiol</w:t>
      </w:r>
      <w:proofErr w:type="spellEnd"/>
      <w:r w:rsidR="00A631E6">
        <w:rPr>
          <w:rFonts w:cstheme="minorHAnsi"/>
        </w:rPr>
        <w:t>.</w:t>
      </w:r>
      <w:r>
        <w:rPr>
          <w:rFonts w:cstheme="minorHAnsi"/>
        </w:rPr>
        <w:t xml:space="preserve"> </w:t>
      </w:r>
      <w:proofErr w:type="gramStart"/>
      <w:r>
        <w:rPr>
          <w:rFonts w:cstheme="minorHAnsi"/>
        </w:rPr>
        <w:t>Aging.</w:t>
      </w:r>
      <w:proofErr w:type="gramEnd"/>
      <w:r>
        <w:rPr>
          <w:rFonts w:cstheme="minorHAnsi"/>
        </w:rPr>
        <w:t xml:space="preserve"> </w:t>
      </w:r>
      <w:r w:rsidR="00A631E6">
        <w:t xml:space="preserve">(2011) </w:t>
      </w:r>
      <w:r>
        <w:rPr>
          <w:rFonts w:cstheme="minorHAnsi"/>
        </w:rPr>
        <w:t>32:S10-19</w:t>
      </w:r>
      <w:r w:rsidR="00A631E6">
        <w:rPr>
          <w:rFonts w:cstheme="minorHAnsi"/>
        </w:rPr>
        <w:t>.</w:t>
      </w:r>
      <w:r>
        <w:t xml:space="preserve"> </w:t>
      </w:r>
    </w:p>
    <w:p w:rsidR="000645DF" w:rsidRDefault="005E3FEF" w:rsidP="000645DF">
      <w:r>
        <w:t xml:space="preserve"> </w:t>
      </w:r>
      <w:r w:rsidR="006F0689">
        <w:t>[9</w:t>
      </w:r>
      <w:r w:rsidR="00732C35">
        <w:t xml:space="preserve">] </w:t>
      </w:r>
      <w:r w:rsidR="002F2484">
        <w:t xml:space="preserve">K.N. </w:t>
      </w:r>
      <w:r w:rsidR="000645DF">
        <w:t>Lai</w:t>
      </w:r>
      <w:r w:rsidR="005F0AAF">
        <w:t xml:space="preserve">, </w:t>
      </w:r>
      <w:r w:rsidR="002F2484">
        <w:t>J.C.K Leung</w:t>
      </w:r>
      <w:r w:rsidR="005F0AAF">
        <w:t xml:space="preserve"> and </w:t>
      </w:r>
      <w:r w:rsidR="002F2484">
        <w:t xml:space="preserve">F.M </w:t>
      </w:r>
      <w:r w:rsidR="005F0AAF">
        <w:t>Lai</w:t>
      </w:r>
      <w:r w:rsidR="002F2484">
        <w:t>,</w:t>
      </w:r>
      <w:r w:rsidR="000645DF">
        <w:t xml:space="preserve"> </w:t>
      </w:r>
      <w:r w:rsidR="005F0AAF">
        <w:t>Soluble interleukin 2 receptor release, interleukin 2 production, and interleukin 2 receptor expression in activated T-lymphocytes in vitro</w:t>
      </w:r>
      <w:r w:rsidR="00A631E6">
        <w:t>,</w:t>
      </w:r>
      <w:r w:rsidR="005F0AAF">
        <w:t xml:space="preserve"> Pathology. </w:t>
      </w:r>
      <w:proofErr w:type="gramStart"/>
      <w:r w:rsidR="00A631E6">
        <w:t xml:space="preserve">(1991) </w:t>
      </w:r>
      <w:r w:rsidR="005F0AAF">
        <w:t>23:224-228</w:t>
      </w:r>
      <w:r w:rsidR="00A631E6">
        <w:t>.</w:t>
      </w:r>
      <w:proofErr w:type="gramEnd"/>
    </w:p>
    <w:p w:rsidR="0085002C" w:rsidRPr="00A42F34" w:rsidRDefault="0085002C" w:rsidP="000645DF">
      <w:proofErr w:type="gramStart"/>
      <w:r w:rsidRPr="00A42F34">
        <w:t xml:space="preserve">[10] </w:t>
      </w:r>
      <w:r w:rsidR="00F64E35" w:rsidRPr="00A42F34">
        <w:t>D.R. Mat</w:t>
      </w:r>
      <w:r w:rsidR="004E2FF2" w:rsidRPr="00A42F34">
        <w:t>t</w:t>
      </w:r>
      <w:r w:rsidR="00F64E35" w:rsidRPr="00A42F34">
        <w:t xml:space="preserve">hews, E. </w:t>
      </w:r>
      <w:proofErr w:type="spellStart"/>
      <w:r w:rsidR="00F64E35" w:rsidRPr="00A42F34">
        <w:t>Bown</w:t>
      </w:r>
      <w:proofErr w:type="spellEnd"/>
      <w:r w:rsidR="00F64E35" w:rsidRPr="00A42F34">
        <w:t xml:space="preserve">, A. Watson, R.R. Holman, J. </w:t>
      </w:r>
      <w:proofErr w:type="spellStart"/>
      <w:r w:rsidR="00F64E35" w:rsidRPr="00A42F34">
        <w:t>Steemson</w:t>
      </w:r>
      <w:proofErr w:type="spellEnd"/>
      <w:r w:rsidR="00F64E35" w:rsidRPr="00A42F34">
        <w:t>, S. Hughes and D. Scott, Pen-sized digital 30-second blood glucose meter.</w:t>
      </w:r>
      <w:proofErr w:type="gramEnd"/>
      <w:r w:rsidR="00F64E35" w:rsidRPr="00A42F34">
        <w:t xml:space="preserve">  Lancet 1 (1987) 778-779.</w:t>
      </w:r>
    </w:p>
    <w:p w:rsidR="00C4313F" w:rsidRPr="00A42F34" w:rsidRDefault="0085002C" w:rsidP="000645DF">
      <w:proofErr w:type="gramStart"/>
      <w:r w:rsidRPr="00A42F34">
        <w:t>[11</w:t>
      </w:r>
      <w:r w:rsidR="00C4313F" w:rsidRPr="00A42F34">
        <w:t xml:space="preserve">] S. </w:t>
      </w:r>
      <w:proofErr w:type="spellStart"/>
      <w:r w:rsidR="00C4313F" w:rsidRPr="00A42F34">
        <w:t>Borgmann</w:t>
      </w:r>
      <w:proofErr w:type="spellEnd"/>
      <w:r w:rsidR="00C4313F" w:rsidRPr="00A42F34">
        <w:t xml:space="preserve">, A. Schulte, S. </w:t>
      </w:r>
      <w:proofErr w:type="spellStart"/>
      <w:r w:rsidR="00C4313F" w:rsidRPr="00A42F34">
        <w:t>Neugebauer</w:t>
      </w:r>
      <w:proofErr w:type="spellEnd"/>
      <w:r w:rsidR="00C4313F" w:rsidRPr="00A42F34">
        <w:t xml:space="preserve"> and W. </w:t>
      </w:r>
      <w:proofErr w:type="spellStart"/>
      <w:r w:rsidR="00C4313F" w:rsidRPr="00A42F34">
        <w:t>Schuhmann</w:t>
      </w:r>
      <w:proofErr w:type="spellEnd"/>
      <w:r w:rsidR="00C4313F" w:rsidRPr="00A42F34">
        <w:t xml:space="preserve"> (2011).</w:t>
      </w:r>
      <w:proofErr w:type="gramEnd"/>
      <w:r w:rsidR="00C4313F" w:rsidRPr="00A42F34">
        <w:t xml:space="preserve"> </w:t>
      </w:r>
      <w:proofErr w:type="spellStart"/>
      <w:proofErr w:type="gramStart"/>
      <w:r w:rsidR="00C4313F" w:rsidRPr="00A42F34">
        <w:t>Amperometric</w:t>
      </w:r>
      <w:proofErr w:type="spellEnd"/>
      <w:r w:rsidR="00C4313F" w:rsidRPr="00A42F34">
        <w:t xml:space="preserve"> biosensors.</w:t>
      </w:r>
      <w:proofErr w:type="gramEnd"/>
      <w:r w:rsidR="00C4313F" w:rsidRPr="00A42F34">
        <w:t xml:space="preserve">  In: R.C. </w:t>
      </w:r>
      <w:proofErr w:type="spellStart"/>
      <w:r w:rsidR="00C4313F" w:rsidRPr="00A42F34">
        <w:t>Alkire</w:t>
      </w:r>
      <w:proofErr w:type="spellEnd"/>
      <w:r w:rsidR="00C4313F" w:rsidRPr="00A42F34">
        <w:t xml:space="preserve">, D.M. </w:t>
      </w:r>
      <w:proofErr w:type="spellStart"/>
      <w:r w:rsidR="00C4313F" w:rsidRPr="00A42F34">
        <w:t>Kold</w:t>
      </w:r>
      <w:proofErr w:type="spellEnd"/>
      <w:r w:rsidR="00C4313F" w:rsidRPr="00A42F34">
        <w:t xml:space="preserve">, </w:t>
      </w:r>
      <w:proofErr w:type="gramStart"/>
      <w:r w:rsidR="00C4313F" w:rsidRPr="00A42F34">
        <w:t>J</w:t>
      </w:r>
      <w:proofErr w:type="gramEnd"/>
      <w:r w:rsidR="00C4313F" w:rsidRPr="00A42F34">
        <w:t xml:space="preserve">. </w:t>
      </w:r>
      <w:proofErr w:type="spellStart"/>
      <w:r w:rsidR="00C4313F" w:rsidRPr="00A42F34">
        <w:t>Lipowski</w:t>
      </w:r>
      <w:proofErr w:type="spellEnd"/>
      <w:r w:rsidR="00C4313F" w:rsidRPr="00A42F34">
        <w:t xml:space="preserve">.  </w:t>
      </w:r>
      <w:proofErr w:type="gramStart"/>
      <w:r w:rsidR="00C4313F" w:rsidRPr="00A42F34">
        <w:t>Advances in Electrochemical Science and Engineering.</w:t>
      </w:r>
      <w:proofErr w:type="gramEnd"/>
      <w:r w:rsidR="00C4313F" w:rsidRPr="00A42F34">
        <w:t xml:space="preserve">  Wiley-VCH </w:t>
      </w:r>
      <w:proofErr w:type="spellStart"/>
      <w:r w:rsidR="00C4313F" w:rsidRPr="00A42F34">
        <w:t>Verlag</w:t>
      </w:r>
      <w:proofErr w:type="spellEnd"/>
      <w:r w:rsidR="00C4313F" w:rsidRPr="00A42F34">
        <w:t xml:space="preserve"> GmbH &amp; Co. </w:t>
      </w:r>
      <w:proofErr w:type="spellStart"/>
      <w:r w:rsidR="00C4313F" w:rsidRPr="00A42F34">
        <w:t>KGaA</w:t>
      </w:r>
      <w:proofErr w:type="spellEnd"/>
      <w:r w:rsidR="00C4313F" w:rsidRPr="00A42F34">
        <w:t xml:space="preserve">, </w:t>
      </w:r>
      <w:proofErr w:type="spellStart"/>
      <w:r w:rsidR="00C4313F" w:rsidRPr="00A42F34">
        <w:t>Weinheim</w:t>
      </w:r>
      <w:proofErr w:type="spellEnd"/>
      <w:r w:rsidR="00C4313F" w:rsidRPr="00A42F34">
        <w:t>, pp. 1-61.</w:t>
      </w:r>
    </w:p>
    <w:p w:rsidR="00351589" w:rsidRPr="00A42F34" w:rsidRDefault="00732C35" w:rsidP="000645DF">
      <w:r w:rsidRPr="00A42F34">
        <w:t>[1</w:t>
      </w:r>
      <w:r w:rsidR="0085002C" w:rsidRPr="00A42F34">
        <w:t>2</w:t>
      </w:r>
      <w:r w:rsidRPr="00A42F34">
        <w:t xml:space="preserve">] </w:t>
      </w:r>
      <w:r w:rsidR="002F2484" w:rsidRPr="00A42F34">
        <w:t xml:space="preserve">R.M. </w:t>
      </w:r>
      <w:r w:rsidR="00351589" w:rsidRPr="00A42F34">
        <w:t xml:space="preserve">Pemberton, </w:t>
      </w:r>
      <w:r w:rsidR="002F2484" w:rsidRPr="00A42F34">
        <w:t xml:space="preserve">T.T. </w:t>
      </w:r>
      <w:proofErr w:type="spellStart"/>
      <w:r w:rsidR="00351589" w:rsidRPr="00A42F34">
        <w:t>Mottram</w:t>
      </w:r>
      <w:proofErr w:type="spellEnd"/>
      <w:r w:rsidR="00351589" w:rsidRPr="00A42F34">
        <w:t xml:space="preserve"> and </w:t>
      </w:r>
      <w:r w:rsidR="002F2484" w:rsidRPr="00A42F34">
        <w:t xml:space="preserve">J.P. </w:t>
      </w:r>
      <w:r w:rsidR="00351589" w:rsidRPr="00A42F34">
        <w:t xml:space="preserve">Hart, Development of a screen-printed carbon electrochemical </w:t>
      </w:r>
      <w:proofErr w:type="spellStart"/>
      <w:r w:rsidR="00351589" w:rsidRPr="00A42F34">
        <w:t>immunosensor</w:t>
      </w:r>
      <w:proofErr w:type="spellEnd"/>
      <w:r w:rsidR="00351589" w:rsidRPr="00A42F34">
        <w:t xml:space="preserve"> for </w:t>
      </w:r>
      <w:proofErr w:type="spellStart"/>
      <w:r w:rsidR="00351589" w:rsidRPr="00A42F34">
        <w:t>picomolar</w:t>
      </w:r>
      <w:proofErr w:type="spellEnd"/>
      <w:r w:rsidR="00351589" w:rsidRPr="00A42F34">
        <w:t xml:space="preserve"> concentrations of </w:t>
      </w:r>
      <w:proofErr w:type="spellStart"/>
      <w:r w:rsidR="00351589" w:rsidRPr="00A42F34">
        <w:t>estradiol</w:t>
      </w:r>
      <w:proofErr w:type="spellEnd"/>
      <w:r w:rsidR="00351589" w:rsidRPr="00A42F34">
        <w:t xml:space="preserve"> </w:t>
      </w:r>
      <w:r w:rsidR="00A631E6" w:rsidRPr="00A42F34">
        <w:t>in human serum extracts,</w:t>
      </w:r>
      <w:r w:rsidR="00B02B85" w:rsidRPr="00A42F34">
        <w:t xml:space="preserve"> J</w:t>
      </w:r>
      <w:r w:rsidR="00A631E6" w:rsidRPr="00A42F34">
        <w:t>.</w:t>
      </w:r>
      <w:r w:rsidR="00351589" w:rsidRPr="00A42F34">
        <w:t xml:space="preserve"> </w:t>
      </w:r>
      <w:proofErr w:type="spellStart"/>
      <w:r w:rsidR="00351589" w:rsidRPr="00A42F34">
        <w:t>Biochem</w:t>
      </w:r>
      <w:proofErr w:type="spellEnd"/>
      <w:r w:rsidR="00A631E6" w:rsidRPr="00A42F34">
        <w:t>.</w:t>
      </w:r>
      <w:r w:rsidR="00351589" w:rsidRPr="00A42F34">
        <w:t xml:space="preserve"> </w:t>
      </w:r>
      <w:proofErr w:type="spellStart"/>
      <w:proofErr w:type="gramStart"/>
      <w:r w:rsidR="00351589" w:rsidRPr="00A42F34">
        <w:t>Bioph</w:t>
      </w:r>
      <w:r w:rsidR="00C4313F" w:rsidRPr="00A42F34">
        <w:t>ys</w:t>
      </w:r>
      <w:proofErr w:type="spellEnd"/>
      <w:r w:rsidR="00A631E6" w:rsidRPr="00A42F34">
        <w:t>.</w:t>
      </w:r>
      <w:proofErr w:type="gramEnd"/>
      <w:r w:rsidR="00351589" w:rsidRPr="00A42F34">
        <w:t xml:space="preserve"> </w:t>
      </w:r>
      <w:proofErr w:type="gramStart"/>
      <w:r w:rsidR="00351589" w:rsidRPr="00A42F34">
        <w:t>Meth.</w:t>
      </w:r>
      <w:proofErr w:type="gramEnd"/>
      <w:r w:rsidR="00351589" w:rsidRPr="00A42F34">
        <w:t xml:space="preserve"> </w:t>
      </w:r>
      <w:proofErr w:type="gramStart"/>
      <w:r w:rsidR="00A631E6" w:rsidRPr="00A42F34">
        <w:t xml:space="preserve">(2005) </w:t>
      </w:r>
      <w:r w:rsidR="00351589" w:rsidRPr="00A42F34">
        <w:t>63:201-212</w:t>
      </w:r>
      <w:r w:rsidR="00A631E6" w:rsidRPr="00A42F34">
        <w:t>.</w:t>
      </w:r>
      <w:proofErr w:type="gramEnd"/>
    </w:p>
    <w:p w:rsidR="003E6988" w:rsidRDefault="003E6988" w:rsidP="006F0689">
      <w:r w:rsidRPr="00A42F34">
        <w:lastRenderedPageBreak/>
        <w:t>[</w:t>
      </w:r>
      <w:r w:rsidR="006F0689" w:rsidRPr="00A42F34">
        <w:t>1</w:t>
      </w:r>
      <w:r w:rsidR="0085002C" w:rsidRPr="00A42F34">
        <w:t>3</w:t>
      </w:r>
      <w:r w:rsidRPr="00A42F34">
        <w:t xml:space="preserve">] </w:t>
      </w:r>
      <w:r w:rsidR="002F2484" w:rsidRPr="00A42F34">
        <w:t xml:space="preserve">S.E. </w:t>
      </w:r>
      <w:proofErr w:type="spellStart"/>
      <w:r w:rsidRPr="00A42F34">
        <w:t>O’Bryant</w:t>
      </w:r>
      <w:proofErr w:type="spellEnd"/>
      <w:r w:rsidRPr="00A42F34">
        <w:t xml:space="preserve">, </w:t>
      </w:r>
      <w:r w:rsidR="002F2484" w:rsidRPr="00A42F34">
        <w:t xml:space="preserve">G. </w:t>
      </w:r>
      <w:r w:rsidRPr="00A42F34">
        <w:t xml:space="preserve">Xiao, </w:t>
      </w:r>
      <w:r w:rsidR="002F2484" w:rsidRPr="00A42F34">
        <w:t xml:space="preserve">R. </w:t>
      </w:r>
      <w:r w:rsidRPr="00A42F34">
        <w:t xml:space="preserve">Barber, </w:t>
      </w:r>
      <w:r w:rsidR="002F2484" w:rsidRPr="00A42F34">
        <w:t xml:space="preserve">J. </w:t>
      </w:r>
      <w:proofErr w:type="spellStart"/>
      <w:r w:rsidRPr="00A42F34">
        <w:t>Reisch</w:t>
      </w:r>
      <w:proofErr w:type="spellEnd"/>
      <w:r w:rsidRPr="00A42F34">
        <w:t xml:space="preserve">, </w:t>
      </w:r>
      <w:r w:rsidR="002F2484" w:rsidRPr="00A42F34">
        <w:t xml:space="preserve">R. </w:t>
      </w:r>
      <w:proofErr w:type="spellStart"/>
      <w:r w:rsidRPr="00A42F34">
        <w:t>Doody</w:t>
      </w:r>
      <w:proofErr w:type="spellEnd"/>
      <w:r w:rsidRPr="00A42F34">
        <w:t xml:space="preserve">, </w:t>
      </w:r>
      <w:r w:rsidR="002F2484" w:rsidRPr="00A42F34">
        <w:t xml:space="preserve">T. </w:t>
      </w:r>
      <w:r w:rsidRPr="00A42F34">
        <w:t xml:space="preserve">Fairchild, </w:t>
      </w:r>
      <w:r w:rsidR="002F2484" w:rsidRPr="00A42F34">
        <w:t xml:space="preserve">P. </w:t>
      </w:r>
      <w:r w:rsidRPr="00A42F34">
        <w:t>Adams</w:t>
      </w:r>
      <w:r w:rsidR="00A631E6" w:rsidRPr="00A42F34">
        <w:t xml:space="preserve">, </w:t>
      </w:r>
      <w:r w:rsidR="002F2484" w:rsidRPr="00A42F34">
        <w:t xml:space="preserve">S. </w:t>
      </w:r>
      <w:proofErr w:type="spellStart"/>
      <w:r w:rsidR="00A631E6" w:rsidRPr="00A42F34">
        <w:t>Waring</w:t>
      </w:r>
      <w:proofErr w:type="spellEnd"/>
      <w:r w:rsidR="002F2484" w:rsidRPr="00A42F34">
        <w:t xml:space="preserve"> </w:t>
      </w:r>
      <w:r w:rsidR="00A631E6" w:rsidRPr="00A42F34">
        <w:t xml:space="preserve">and </w:t>
      </w:r>
      <w:r w:rsidR="002F2484" w:rsidRPr="00A42F34">
        <w:t xml:space="preserve">R. </w:t>
      </w:r>
      <w:r w:rsidR="00A631E6" w:rsidRPr="00A42F34">
        <w:t>Diaz-</w:t>
      </w:r>
      <w:proofErr w:type="spellStart"/>
      <w:r w:rsidR="00A631E6" w:rsidRPr="00A42F34">
        <w:t>Arrastia</w:t>
      </w:r>
      <w:proofErr w:type="spellEnd"/>
      <w:r w:rsidRPr="00A42F34">
        <w:t>, A Serum Protein-Based Algorithm for the Detection of Alzheimer’s Disease</w:t>
      </w:r>
      <w:r w:rsidR="00A631E6" w:rsidRPr="00A42F34">
        <w:t>,</w:t>
      </w:r>
      <w:r w:rsidRPr="00A42F34">
        <w:t xml:space="preserve"> Arch</w:t>
      </w:r>
      <w:r w:rsidR="00A631E6" w:rsidRPr="00A42F34">
        <w:t>.</w:t>
      </w:r>
      <w:r w:rsidRPr="00A42F34">
        <w:t xml:space="preserve"> Neurol. </w:t>
      </w:r>
      <w:r w:rsidR="00A631E6" w:rsidRPr="00A42F34">
        <w:t xml:space="preserve">(2010) </w:t>
      </w:r>
      <w:r w:rsidRPr="00A42F34">
        <w:t>67(9):1077-1081</w:t>
      </w:r>
      <w:r w:rsidR="00A631E6" w:rsidRPr="00A42F34">
        <w:t>.</w:t>
      </w:r>
      <w:bookmarkStart w:id="2" w:name="_GoBack"/>
      <w:bookmarkEnd w:id="2"/>
    </w:p>
    <w:sectPr w:rsidR="003E6988" w:rsidSect="00755F6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519" w:rsidRDefault="00DA7519" w:rsidP="00456CDE">
      <w:pPr>
        <w:spacing w:after="0" w:line="240" w:lineRule="auto"/>
      </w:pPr>
      <w:r>
        <w:separator/>
      </w:r>
    </w:p>
  </w:endnote>
  <w:endnote w:type="continuationSeparator" w:id="0">
    <w:p w:rsidR="00DA7519" w:rsidRDefault="00DA7519" w:rsidP="00456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CDE" w:rsidRPr="00CF3764" w:rsidRDefault="00027C75">
    <w:pPr>
      <w:pStyle w:val="Footer"/>
      <w:rPr>
        <w:rFonts w:asciiTheme="minorHAnsi" w:hAnsiTheme="minorHAnsi" w:cstheme="minorHAnsi"/>
        <w:sz w:val="20"/>
      </w:rPr>
    </w:pPr>
    <w:r>
      <w:rPr>
        <w:rFonts w:asciiTheme="minorHAnsi" w:hAnsiTheme="minorHAnsi" w:cstheme="minorHAnsi"/>
        <w:sz w:val="20"/>
      </w:rPr>
      <w:t>AD – Alzheimer’s disease, c</w:t>
    </w:r>
    <w:r w:rsidR="00CF3764">
      <w:rPr>
        <w:rFonts w:asciiTheme="minorHAnsi" w:hAnsiTheme="minorHAnsi" w:cstheme="minorHAnsi"/>
        <w:sz w:val="20"/>
      </w:rPr>
      <w:t>CD25</w:t>
    </w:r>
    <w:r>
      <w:rPr>
        <w:rFonts w:asciiTheme="minorHAnsi" w:hAnsiTheme="minorHAnsi" w:cstheme="minorHAnsi"/>
        <w:sz w:val="20"/>
      </w:rPr>
      <w:t xml:space="preserve"> – cellular CD25 protein</w:t>
    </w:r>
    <w:r w:rsidR="00CF3764">
      <w:rPr>
        <w:rFonts w:asciiTheme="minorHAnsi" w:hAnsiTheme="minorHAnsi" w:cstheme="minorHAnsi"/>
        <w:sz w:val="20"/>
      </w:rPr>
      <w:t>,</w:t>
    </w:r>
    <w:r>
      <w:rPr>
        <w:rFonts w:asciiTheme="minorHAnsi" w:hAnsiTheme="minorHAnsi" w:cstheme="minorHAnsi"/>
        <w:sz w:val="20"/>
      </w:rPr>
      <w:t xml:space="preserve"> MFI – median fluorescence intensity, MNC – mononuclear cells, PHA</w:t>
    </w:r>
    <w:r w:rsidR="00E02C42">
      <w:rPr>
        <w:rFonts w:asciiTheme="minorHAnsi" w:hAnsiTheme="minorHAnsi" w:cstheme="minorHAnsi"/>
        <w:sz w:val="20"/>
      </w:rPr>
      <w:t xml:space="preserve"> - </w:t>
    </w:r>
    <w:proofErr w:type="spellStart"/>
    <w:r w:rsidR="00E02C42">
      <w:rPr>
        <w:rFonts w:asciiTheme="minorHAnsi" w:hAnsiTheme="minorHAnsi" w:cstheme="minorHAnsi"/>
        <w:sz w:val="20"/>
      </w:rPr>
      <w:t>phytoh</w:t>
    </w:r>
    <w:r>
      <w:rPr>
        <w:rFonts w:asciiTheme="minorHAnsi" w:hAnsiTheme="minorHAnsi" w:cstheme="minorHAnsi"/>
        <w:sz w:val="20"/>
      </w:rPr>
      <w:t>emagglutinin</w:t>
    </w:r>
    <w:proofErr w:type="spellEnd"/>
    <w:r>
      <w:rPr>
        <w:rFonts w:asciiTheme="minorHAnsi" w:hAnsiTheme="minorHAnsi" w:cstheme="minorHAnsi"/>
        <w:sz w:val="20"/>
      </w:rPr>
      <w:t>,</w:t>
    </w:r>
    <w:r w:rsidR="00CF3764">
      <w:rPr>
        <w:rFonts w:asciiTheme="minorHAnsi" w:hAnsiTheme="minorHAnsi" w:cstheme="minorHAnsi"/>
        <w:sz w:val="20"/>
      </w:rPr>
      <w:t xml:space="preserve"> POC</w:t>
    </w:r>
    <w:r>
      <w:rPr>
        <w:rFonts w:asciiTheme="minorHAnsi" w:hAnsiTheme="minorHAnsi" w:cstheme="minorHAnsi"/>
        <w:sz w:val="20"/>
      </w:rPr>
      <w:t xml:space="preserve"> – point-of-care</w:t>
    </w:r>
    <w:r w:rsidR="00CF3764">
      <w:rPr>
        <w:rFonts w:asciiTheme="minorHAnsi" w:hAnsiTheme="minorHAnsi" w:cstheme="minorHAnsi"/>
        <w:sz w:val="20"/>
      </w:rPr>
      <w:t>, sCD25</w:t>
    </w:r>
    <w:r>
      <w:rPr>
        <w:rFonts w:asciiTheme="minorHAnsi" w:hAnsiTheme="minorHAnsi" w:cstheme="minorHAnsi"/>
        <w:sz w:val="20"/>
      </w:rPr>
      <w:t xml:space="preserve"> – soluble CD25 protein</w:t>
    </w:r>
    <w:r w:rsidR="00CF3764">
      <w:rPr>
        <w:rFonts w:asciiTheme="minorHAnsi" w:hAnsiTheme="minorHAnsi" w:cstheme="minorHAnsi"/>
        <w:sz w:val="20"/>
      </w:rPr>
      <w:t xml:space="preserve">, </w:t>
    </w:r>
    <w:r w:rsidR="00CF3764" w:rsidRPr="00CF3764">
      <w:rPr>
        <w:rFonts w:asciiTheme="minorHAnsi" w:hAnsiTheme="minorHAnsi" w:cstheme="minorHAnsi"/>
        <w:sz w:val="20"/>
      </w:rPr>
      <w:t>WB</w:t>
    </w:r>
    <w:r>
      <w:rPr>
        <w:rFonts w:asciiTheme="minorHAnsi" w:hAnsiTheme="minorHAnsi" w:cstheme="minorHAnsi"/>
        <w:sz w:val="20"/>
      </w:rPr>
      <w:t xml:space="preserve"> – whole blood</w:t>
    </w:r>
  </w:p>
  <w:p w:rsidR="00456CDE" w:rsidRDefault="00456C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519" w:rsidRDefault="00DA7519" w:rsidP="00456CDE">
      <w:pPr>
        <w:spacing w:after="0" w:line="240" w:lineRule="auto"/>
      </w:pPr>
      <w:r>
        <w:separator/>
      </w:r>
    </w:p>
  </w:footnote>
  <w:footnote w:type="continuationSeparator" w:id="0">
    <w:p w:rsidR="00DA7519" w:rsidRDefault="00DA7519" w:rsidP="00456C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871115"/>
      <w:docPartObj>
        <w:docPartGallery w:val="Page Numbers (Top of Page)"/>
        <w:docPartUnique/>
      </w:docPartObj>
    </w:sdtPr>
    <w:sdtEndPr>
      <w:rPr>
        <w:noProof/>
      </w:rPr>
    </w:sdtEndPr>
    <w:sdtContent>
      <w:p w:rsidR="00E02C42" w:rsidRDefault="0013620C">
        <w:pPr>
          <w:pStyle w:val="Header"/>
          <w:jc w:val="right"/>
        </w:pPr>
        <w:r>
          <w:fldChar w:fldCharType="begin"/>
        </w:r>
        <w:r w:rsidR="00E02C42">
          <w:instrText xml:space="preserve"> PAGE   \* MERGEFORMAT </w:instrText>
        </w:r>
        <w:r>
          <w:fldChar w:fldCharType="separate"/>
        </w:r>
        <w:r w:rsidR="00E44332">
          <w:rPr>
            <w:noProof/>
          </w:rPr>
          <w:t>2</w:t>
        </w:r>
        <w:r>
          <w:rPr>
            <w:noProof/>
          </w:rPr>
          <w:fldChar w:fldCharType="end"/>
        </w:r>
      </w:p>
    </w:sdtContent>
  </w:sdt>
  <w:p w:rsidR="00E02C42" w:rsidRDefault="00E02C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07938"/>
    <w:multiLevelType w:val="hybridMultilevel"/>
    <w:tmpl w:val="C7E4E7E8"/>
    <w:lvl w:ilvl="0" w:tplc="19146E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D5E45"/>
    <w:rsid w:val="0000673F"/>
    <w:rsid w:val="00016D03"/>
    <w:rsid w:val="00022580"/>
    <w:rsid w:val="00024B8A"/>
    <w:rsid w:val="00027C75"/>
    <w:rsid w:val="00032550"/>
    <w:rsid w:val="00033613"/>
    <w:rsid w:val="000519EA"/>
    <w:rsid w:val="00056D02"/>
    <w:rsid w:val="000635B5"/>
    <w:rsid w:val="000645DF"/>
    <w:rsid w:val="00064BFC"/>
    <w:rsid w:val="000726B1"/>
    <w:rsid w:val="00075C62"/>
    <w:rsid w:val="0008372D"/>
    <w:rsid w:val="00087E8E"/>
    <w:rsid w:val="00091CC5"/>
    <w:rsid w:val="000A0592"/>
    <w:rsid w:val="000A1B7B"/>
    <w:rsid w:val="000B3CC1"/>
    <w:rsid w:val="000B5742"/>
    <w:rsid w:val="000C5C39"/>
    <w:rsid w:val="000C6583"/>
    <w:rsid w:val="000C6B6C"/>
    <w:rsid w:val="000D2148"/>
    <w:rsid w:val="000D5BEA"/>
    <w:rsid w:val="000D5E45"/>
    <w:rsid w:val="000D641F"/>
    <w:rsid w:val="000E42F6"/>
    <w:rsid w:val="000E6807"/>
    <w:rsid w:val="000F19AD"/>
    <w:rsid w:val="000F3ED7"/>
    <w:rsid w:val="00100499"/>
    <w:rsid w:val="00100CEC"/>
    <w:rsid w:val="00105632"/>
    <w:rsid w:val="00116AB4"/>
    <w:rsid w:val="00121961"/>
    <w:rsid w:val="0013027E"/>
    <w:rsid w:val="001361B8"/>
    <w:rsid w:val="0013620C"/>
    <w:rsid w:val="00140008"/>
    <w:rsid w:val="001562B3"/>
    <w:rsid w:val="00165A64"/>
    <w:rsid w:val="00175707"/>
    <w:rsid w:val="00175754"/>
    <w:rsid w:val="00177577"/>
    <w:rsid w:val="00181C77"/>
    <w:rsid w:val="00184114"/>
    <w:rsid w:val="00192258"/>
    <w:rsid w:val="0019456E"/>
    <w:rsid w:val="001A1386"/>
    <w:rsid w:val="001B39B4"/>
    <w:rsid w:val="001C075D"/>
    <w:rsid w:val="001C15A4"/>
    <w:rsid w:val="001C37B7"/>
    <w:rsid w:val="001C72F6"/>
    <w:rsid w:val="001D267E"/>
    <w:rsid w:val="001D7336"/>
    <w:rsid w:val="001E58E9"/>
    <w:rsid w:val="002014F5"/>
    <w:rsid w:val="00201688"/>
    <w:rsid w:val="00227D53"/>
    <w:rsid w:val="002442DE"/>
    <w:rsid w:val="00246811"/>
    <w:rsid w:val="00246DDB"/>
    <w:rsid w:val="00256E9D"/>
    <w:rsid w:val="0026563C"/>
    <w:rsid w:val="0027240F"/>
    <w:rsid w:val="00276F70"/>
    <w:rsid w:val="002834AE"/>
    <w:rsid w:val="002B09F3"/>
    <w:rsid w:val="002B0E8E"/>
    <w:rsid w:val="002B2EFA"/>
    <w:rsid w:val="002B7B4F"/>
    <w:rsid w:val="002D2192"/>
    <w:rsid w:val="002D280F"/>
    <w:rsid w:val="002D2EC0"/>
    <w:rsid w:val="002D5CAF"/>
    <w:rsid w:val="002D6093"/>
    <w:rsid w:val="002D6A1A"/>
    <w:rsid w:val="002D6ABE"/>
    <w:rsid w:val="002E08B1"/>
    <w:rsid w:val="002E366F"/>
    <w:rsid w:val="002F2484"/>
    <w:rsid w:val="002F2B6D"/>
    <w:rsid w:val="002F3301"/>
    <w:rsid w:val="002F3AD7"/>
    <w:rsid w:val="00310B1E"/>
    <w:rsid w:val="00312783"/>
    <w:rsid w:val="00316ABE"/>
    <w:rsid w:val="0031743F"/>
    <w:rsid w:val="003207B4"/>
    <w:rsid w:val="0032349E"/>
    <w:rsid w:val="00327C6B"/>
    <w:rsid w:val="0033089B"/>
    <w:rsid w:val="003425C6"/>
    <w:rsid w:val="00344FA7"/>
    <w:rsid w:val="00351589"/>
    <w:rsid w:val="00351925"/>
    <w:rsid w:val="00363864"/>
    <w:rsid w:val="003664D1"/>
    <w:rsid w:val="003753E9"/>
    <w:rsid w:val="00376A8E"/>
    <w:rsid w:val="00384477"/>
    <w:rsid w:val="00390F01"/>
    <w:rsid w:val="0039513F"/>
    <w:rsid w:val="003976A3"/>
    <w:rsid w:val="00397A61"/>
    <w:rsid w:val="003A322F"/>
    <w:rsid w:val="003A5D95"/>
    <w:rsid w:val="003B7E23"/>
    <w:rsid w:val="003C02C3"/>
    <w:rsid w:val="003E35E5"/>
    <w:rsid w:val="003E6988"/>
    <w:rsid w:val="003F7BF6"/>
    <w:rsid w:val="00402729"/>
    <w:rsid w:val="00403994"/>
    <w:rsid w:val="0040433E"/>
    <w:rsid w:val="00405138"/>
    <w:rsid w:val="00406600"/>
    <w:rsid w:val="004141F7"/>
    <w:rsid w:val="00415D06"/>
    <w:rsid w:val="00422AEE"/>
    <w:rsid w:val="00431C6D"/>
    <w:rsid w:val="004362DB"/>
    <w:rsid w:val="00454D7B"/>
    <w:rsid w:val="0045509C"/>
    <w:rsid w:val="00456CDE"/>
    <w:rsid w:val="00463435"/>
    <w:rsid w:val="0047540A"/>
    <w:rsid w:val="00484E72"/>
    <w:rsid w:val="00493E81"/>
    <w:rsid w:val="004A3155"/>
    <w:rsid w:val="004A4004"/>
    <w:rsid w:val="004A501B"/>
    <w:rsid w:val="004A6908"/>
    <w:rsid w:val="004B2097"/>
    <w:rsid w:val="004B343A"/>
    <w:rsid w:val="004C34FB"/>
    <w:rsid w:val="004C5876"/>
    <w:rsid w:val="004C7524"/>
    <w:rsid w:val="004D2A70"/>
    <w:rsid w:val="004D7082"/>
    <w:rsid w:val="004D73D0"/>
    <w:rsid w:val="004E0B35"/>
    <w:rsid w:val="004E100E"/>
    <w:rsid w:val="004E2FF2"/>
    <w:rsid w:val="004E601C"/>
    <w:rsid w:val="004F1E13"/>
    <w:rsid w:val="004F7E21"/>
    <w:rsid w:val="00500AE5"/>
    <w:rsid w:val="0050787C"/>
    <w:rsid w:val="00510141"/>
    <w:rsid w:val="005253DA"/>
    <w:rsid w:val="00525DD0"/>
    <w:rsid w:val="005357EB"/>
    <w:rsid w:val="00536C40"/>
    <w:rsid w:val="00543EAD"/>
    <w:rsid w:val="005537EF"/>
    <w:rsid w:val="00554A8F"/>
    <w:rsid w:val="005550EC"/>
    <w:rsid w:val="00562545"/>
    <w:rsid w:val="00573D96"/>
    <w:rsid w:val="00587718"/>
    <w:rsid w:val="00596EEE"/>
    <w:rsid w:val="005A0D1D"/>
    <w:rsid w:val="005A2420"/>
    <w:rsid w:val="005A6B4B"/>
    <w:rsid w:val="005B066D"/>
    <w:rsid w:val="005C6475"/>
    <w:rsid w:val="005D1FBE"/>
    <w:rsid w:val="005E3FEF"/>
    <w:rsid w:val="005E5362"/>
    <w:rsid w:val="005E669A"/>
    <w:rsid w:val="005F0518"/>
    <w:rsid w:val="005F0AAF"/>
    <w:rsid w:val="006026FC"/>
    <w:rsid w:val="006031E1"/>
    <w:rsid w:val="0060550F"/>
    <w:rsid w:val="00606666"/>
    <w:rsid w:val="00613107"/>
    <w:rsid w:val="00613166"/>
    <w:rsid w:val="00626B6E"/>
    <w:rsid w:val="00656001"/>
    <w:rsid w:val="006757C3"/>
    <w:rsid w:val="0067718D"/>
    <w:rsid w:val="006A1A4E"/>
    <w:rsid w:val="006A1E58"/>
    <w:rsid w:val="006B0313"/>
    <w:rsid w:val="006B2C9F"/>
    <w:rsid w:val="006C0669"/>
    <w:rsid w:val="006C138A"/>
    <w:rsid w:val="006C2269"/>
    <w:rsid w:val="006D3AB2"/>
    <w:rsid w:val="006D7FFA"/>
    <w:rsid w:val="006E4191"/>
    <w:rsid w:val="006E4A6D"/>
    <w:rsid w:val="006E788E"/>
    <w:rsid w:val="006F0689"/>
    <w:rsid w:val="00703A91"/>
    <w:rsid w:val="00704B5D"/>
    <w:rsid w:val="0072527B"/>
    <w:rsid w:val="007275E6"/>
    <w:rsid w:val="00732C35"/>
    <w:rsid w:val="00740FB5"/>
    <w:rsid w:val="007411D6"/>
    <w:rsid w:val="0074307D"/>
    <w:rsid w:val="007439D2"/>
    <w:rsid w:val="0074496A"/>
    <w:rsid w:val="00752D54"/>
    <w:rsid w:val="00755E6D"/>
    <w:rsid w:val="00755F64"/>
    <w:rsid w:val="007569C1"/>
    <w:rsid w:val="00756BFA"/>
    <w:rsid w:val="00763593"/>
    <w:rsid w:val="007643DB"/>
    <w:rsid w:val="00791B85"/>
    <w:rsid w:val="0079374F"/>
    <w:rsid w:val="007966C8"/>
    <w:rsid w:val="007A326A"/>
    <w:rsid w:val="007B0487"/>
    <w:rsid w:val="007B7D2B"/>
    <w:rsid w:val="007D2397"/>
    <w:rsid w:val="007D443C"/>
    <w:rsid w:val="007D6421"/>
    <w:rsid w:val="007E15D8"/>
    <w:rsid w:val="007E1F60"/>
    <w:rsid w:val="007E2CD3"/>
    <w:rsid w:val="007F46B7"/>
    <w:rsid w:val="008029FB"/>
    <w:rsid w:val="0080584F"/>
    <w:rsid w:val="00813E7E"/>
    <w:rsid w:val="008247F0"/>
    <w:rsid w:val="0085002C"/>
    <w:rsid w:val="008713B1"/>
    <w:rsid w:val="00871C43"/>
    <w:rsid w:val="00874782"/>
    <w:rsid w:val="00875ECC"/>
    <w:rsid w:val="00877E8F"/>
    <w:rsid w:val="00880F74"/>
    <w:rsid w:val="00883869"/>
    <w:rsid w:val="00890B64"/>
    <w:rsid w:val="008A03B2"/>
    <w:rsid w:val="008A3B47"/>
    <w:rsid w:val="008A7A23"/>
    <w:rsid w:val="008A7B08"/>
    <w:rsid w:val="008A7D5D"/>
    <w:rsid w:val="008B2F47"/>
    <w:rsid w:val="008C6D2A"/>
    <w:rsid w:val="008D04F4"/>
    <w:rsid w:val="008D1D30"/>
    <w:rsid w:val="008D2373"/>
    <w:rsid w:val="008E0DFB"/>
    <w:rsid w:val="008E56F8"/>
    <w:rsid w:val="008F3214"/>
    <w:rsid w:val="008F3C4B"/>
    <w:rsid w:val="008F6D44"/>
    <w:rsid w:val="008F73A3"/>
    <w:rsid w:val="0090330E"/>
    <w:rsid w:val="00913D59"/>
    <w:rsid w:val="00914F2F"/>
    <w:rsid w:val="00923C21"/>
    <w:rsid w:val="00924347"/>
    <w:rsid w:val="009257EC"/>
    <w:rsid w:val="00937A80"/>
    <w:rsid w:val="00943823"/>
    <w:rsid w:val="00944D1E"/>
    <w:rsid w:val="009479B3"/>
    <w:rsid w:val="00954420"/>
    <w:rsid w:val="009559F4"/>
    <w:rsid w:val="009656C0"/>
    <w:rsid w:val="0096624E"/>
    <w:rsid w:val="00966C78"/>
    <w:rsid w:val="0097394F"/>
    <w:rsid w:val="00973B03"/>
    <w:rsid w:val="00974FB8"/>
    <w:rsid w:val="00975744"/>
    <w:rsid w:val="009773A0"/>
    <w:rsid w:val="0098016B"/>
    <w:rsid w:val="00982B57"/>
    <w:rsid w:val="00983866"/>
    <w:rsid w:val="0099181D"/>
    <w:rsid w:val="009A575A"/>
    <w:rsid w:val="009A63AD"/>
    <w:rsid w:val="009B1D7E"/>
    <w:rsid w:val="009B38D5"/>
    <w:rsid w:val="009B4F2B"/>
    <w:rsid w:val="009B5260"/>
    <w:rsid w:val="009B7193"/>
    <w:rsid w:val="009C13A9"/>
    <w:rsid w:val="009C2028"/>
    <w:rsid w:val="009C57E2"/>
    <w:rsid w:val="009F3178"/>
    <w:rsid w:val="009F61CE"/>
    <w:rsid w:val="00A01F78"/>
    <w:rsid w:val="00A02113"/>
    <w:rsid w:val="00A024ED"/>
    <w:rsid w:val="00A06824"/>
    <w:rsid w:val="00A2369B"/>
    <w:rsid w:val="00A31659"/>
    <w:rsid w:val="00A31DEA"/>
    <w:rsid w:val="00A41D75"/>
    <w:rsid w:val="00A42F34"/>
    <w:rsid w:val="00A4398E"/>
    <w:rsid w:val="00A529D5"/>
    <w:rsid w:val="00A631E6"/>
    <w:rsid w:val="00A72A28"/>
    <w:rsid w:val="00A85A98"/>
    <w:rsid w:val="00A862F3"/>
    <w:rsid w:val="00AB3150"/>
    <w:rsid w:val="00AB575B"/>
    <w:rsid w:val="00AB7470"/>
    <w:rsid w:val="00AC494C"/>
    <w:rsid w:val="00AD18FB"/>
    <w:rsid w:val="00AD20D0"/>
    <w:rsid w:val="00AE206B"/>
    <w:rsid w:val="00AF1631"/>
    <w:rsid w:val="00AF2E72"/>
    <w:rsid w:val="00AF4A26"/>
    <w:rsid w:val="00AF7EDD"/>
    <w:rsid w:val="00B019B4"/>
    <w:rsid w:val="00B02B85"/>
    <w:rsid w:val="00B02EA7"/>
    <w:rsid w:val="00B04598"/>
    <w:rsid w:val="00B05543"/>
    <w:rsid w:val="00B05F61"/>
    <w:rsid w:val="00B06B9D"/>
    <w:rsid w:val="00B13EC7"/>
    <w:rsid w:val="00B15F7F"/>
    <w:rsid w:val="00B23422"/>
    <w:rsid w:val="00B31312"/>
    <w:rsid w:val="00B336FE"/>
    <w:rsid w:val="00B37A23"/>
    <w:rsid w:val="00B56A54"/>
    <w:rsid w:val="00B65105"/>
    <w:rsid w:val="00B71026"/>
    <w:rsid w:val="00B71D9C"/>
    <w:rsid w:val="00B72EEC"/>
    <w:rsid w:val="00B73462"/>
    <w:rsid w:val="00B83A58"/>
    <w:rsid w:val="00B90FCF"/>
    <w:rsid w:val="00B91368"/>
    <w:rsid w:val="00B916FF"/>
    <w:rsid w:val="00B96900"/>
    <w:rsid w:val="00B97458"/>
    <w:rsid w:val="00BA2FAE"/>
    <w:rsid w:val="00BA6308"/>
    <w:rsid w:val="00BA7984"/>
    <w:rsid w:val="00BB4FC7"/>
    <w:rsid w:val="00BC6C6B"/>
    <w:rsid w:val="00BD7115"/>
    <w:rsid w:val="00BE28B6"/>
    <w:rsid w:val="00BE5402"/>
    <w:rsid w:val="00BE6208"/>
    <w:rsid w:val="00BE7428"/>
    <w:rsid w:val="00C048B8"/>
    <w:rsid w:val="00C10D70"/>
    <w:rsid w:val="00C305AC"/>
    <w:rsid w:val="00C333F5"/>
    <w:rsid w:val="00C36AC2"/>
    <w:rsid w:val="00C4313F"/>
    <w:rsid w:val="00C60006"/>
    <w:rsid w:val="00C73CCA"/>
    <w:rsid w:val="00C74258"/>
    <w:rsid w:val="00C95972"/>
    <w:rsid w:val="00C97525"/>
    <w:rsid w:val="00CA24C5"/>
    <w:rsid w:val="00CA3A93"/>
    <w:rsid w:val="00CC36E3"/>
    <w:rsid w:val="00CD24AB"/>
    <w:rsid w:val="00CD3197"/>
    <w:rsid w:val="00CE02DF"/>
    <w:rsid w:val="00CE05CC"/>
    <w:rsid w:val="00CE3D8D"/>
    <w:rsid w:val="00CF3764"/>
    <w:rsid w:val="00CF68F7"/>
    <w:rsid w:val="00D01541"/>
    <w:rsid w:val="00D03A07"/>
    <w:rsid w:val="00D079D4"/>
    <w:rsid w:val="00D20CBB"/>
    <w:rsid w:val="00D219D7"/>
    <w:rsid w:val="00D23259"/>
    <w:rsid w:val="00D23B63"/>
    <w:rsid w:val="00D30A35"/>
    <w:rsid w:val="00D42554"/>
    <w:rsid w:val="00D520AA"/>
    <w:rsid w:val="00D57220"/>
    <w:rsid w:val="00D57F2C"/>
    <w:rsid w:val="00D760D6"/>
    <w:rsid w:val="00D8394F"/>
    <w:rsid w:val="00D9691C"/>
    <w:rsid w:val="00DA0161"/>
    <w:rsid w:val="00DA66CC"/>
    <w:rsid w:val="00DA7519"/>
    <w:rsid w:val="00DB05EE"/>
    <w:rsid w:val="00DB50CD"/>
    <w:rsid w:val="00DB517D"/>
    <w:rsid w:val="00DF072F"/>
    <w:rsid w:val="00DF1991"/>
    <w:rsid w:val="00DF7A60"/>
    <w:rsid w:val="00E02C42"/>
    <w:rsid w:val="00E163E6"/>
    <w:rsid w:val="00E17714"/>
    <w:rsid w:val="00E259DA"/>
    <w:rsid w:val="00E26BC7"/>
    <w:rsid w:val="00E30328"/>
    <w:rsid w:val="00E31A26"/>
    <w:rsid w:val="00E4339B"/>
    <w:rsid w:val="00E44332"/>
    <w:rsid w:val="00E4458D"/>
    <w:rsid w:val="00E4616F"/>
    <w:rsid w:val="00E50C19"/>
    <w:rsid w:val="00E5430C"/>
    <w:rsid w:val="00E5440A"/>
    <w:rsid w:val="00E54A33"/>
    <w:rsid w:val="00E60C55"/>
    <w:rsid w:val="00E82C62"/>
    <w:rsid w:val="00E83D95"/>
    <w:rsid w:val="00E8615C"/>
    <w:rsid w:val="00E96D4B"/>
    <w:rsid w:val="00EB393A"/>
    <w:rsid w:val="00EB4226"/>
    <w:rsid w:val="00EC4580"/>
    <w:rsid w:val="00EC5812"/>
    <w:rsid w:val="00EC606E"/>
    <w:rsid w:val="00EF15F9"/>
    <w:rsid w:val="00EF4E2A"/>
    <w:rsid w:val="00F00A60"/>
    <w:rsid w:val="00F115B9"/>
    <w:rsid w:val="00F135A7"/>
    <w:rsid w:val="00F24A95"/>
    <w:rsid w:val="00F31002"/>
    <w:rsid w:val="00F33A39"/>
    <w:rsid w:val="00F44B26"/>
    <w:rsid w:val="00F46A50"/>
    <w:rsid w:val="00F55028"/>
    <w:rsid w:val="00F55252"/>
    <w:rsid w:val="00F64E35"/>
    <w:rsid w:val="00F66C8B"/>
    <w:rsid w:val="00F67403"/>
    <w:rsid w:val="00F718D8"/>
    <w:rsid w:val="00F76BDD"/>
    <w:rsid w:val="00F84C90"/>
    <w:rsid w:val="00F86A8E"/>
    <w:rsid w:val="00FA5F7C"/>
    <w:rsid w:val="00FB316D"/>
    <w:rsid w:val="00FB36C3"/>
    <w:rsid w:val="00FB3C2C"/>
    <w:rsid w:val="00FD48F2"/>
    <w:rsid w:val="00FE39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1E6"/>
    <w:pPr>
      <w:spacing w:line="480" w:lineRule="auto"/>
    </w:pPr>
  </w:style>
  <w:style w:type="paragraph" w:styleId="Heading1">
    <w:name w:val="heading 1"/>
    <w:basedOn w:val="Normal"/>
    <w:next w:val="Normal"/>
    <w:link w:val="Heading1Char"/>
    <w:uiPriority w:val="9"/>
    <w:qFormat/>
    <w:rsid w:val="003F7BF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F7BF6"/>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F7BF6"/>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AD7"/>
    <w:rPr>
      <w:rFonts w:ascii="Tahoma" w:hAnsi="Tahoma" w:cs="Tahoma"/>
      <w:sz w:val="16"/>
      <w:szCs w:val="16"/>
    </w:rPr>
  </w:style>
  <w:style w:type="character" w:customStyle="1" w:styleId="Heading1Char">
    <w:name w:val="Heading 1 Char"/>
    <w:basedOn w:val="DefaultParagraphFont"/>
    <w:link w:val="Heading1"/>
    <w:uiPriority w:val="9"/>
    <w:rsid w:val="003F7BF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F7BF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F7BF6"/>
    <w:rPr>
      <w:rFonts w:asciiTheme="majorHAnsi" w:eastAsiaTheme="majorEastAsia" w:hAnsiTheme="majorHAnsi" w:cstheme="majorBidi"/>
      <w:b/>
      <w:bCs/>
    </w:rPr>
  </w:style>
  <w:style w:type="character" w:styleId="CommentReference">
    <w:name w:val="annotation reference"/>
    <w:basedOn w:val="DefaultParagraphFont"/>
    <w:uiPriority w:val="99"/>
    <w:semiHidden/>
    <w:unhideWhenUsed/>
    <w:rsid w:val="00EC4580"/>
    <w:rPr>
      <w:sz w:val="16"/>
      <w:szCs w:val="16"/>
    </w:rPr>
  </w:style>
  <w:style w:type="paragraph" w:styleId="CommentText">
    <w:name w:val="annotation text"/>
    <w:basedOn w:val="Normal"/>
    <w:link w:val="CommentTextChar"/>
    <w:uiPriority w:val="99"/>
    <w:semiHidden/>
    <w:unhideWhenUsed/>
    <w:rsid w:val="00EC4580"/>
    <w:pPr>
      <w:spacing w:line="240" w:lineRule="auto"/>
    </w:pPr>
    <w:rPr>
      <w:sz w:val="20"/>
      <w:szCs w:val="20"/>
    </w:rPr>
  </w:style>
  <w:style w:type="character" w:customStyle="1" w:styleId="CommentTextChar">
    <w:name w:val="Comment Text Char"/>
    <w:basedOn w:val="DefaultParagraphFont"/>
    <w:link w:val="CommentText"/>
    <w:uiPriority w:val="99"/>
    <w:semiHidden/>
    <w:rsid w:val="00EC4580"/>
    <w:rPr>
      <w:sz w:val="20"/>
      <w:szCs w:val="20"/>
    </w:rPr>
  </w:style>
  <w:style w:type="paragraph" w:styleId="CommentSubject">
    <w:name w:val="annotation subject"/>
    <w:basedOn w:val="CommentText"/>
    <w:next w:val="CommentText"/>
    <w:link w:val="CommentSubjectChar"/>
    <w:uiPriority w:val="99"/>
    <w:semiHidden/>
    <w:unhideWhenUsed/>
    <w:rsid w:val="00EC4580"/>
    <w:rPr>
      <w:b/>
      <w:bCs/>
    </w:rPr>
  </w:style>
  <w:style w:type="character" w:customStyle="1" w:styleId="CommentSubjectChar">
    <w:name w:val="Comment Subject Char"/>
    <w:basedOn w:val="CommentTextChar"/>
    <w:link w:val="CommentSubject"/>
    <w:uiPriority w:val="99"/>
    <w:semiHidden/>
    <w:rsid w:val="00EC4580"/>
    <w:rPr>
      <w:b/>
      <w:bCs/>
      <w:sz w:val="20"/>
      <w:szCs w:val="20"/>
    </w:rPr>
  </w:style>
  <w:style w:type="paragraph" w:styleId="Caption">
    <w:name w:val="caption"/>
    <w:basedOn w:val="Normal"/>
    <w:next w:val="Normal"/>
    <w:uiPriority w:val="35"/>
    <w:unhideWhenUsed/>
    <w:qFormat/>
    <w:rsid w:val="00FB3C2C"/>
    <w:pPr>
      <w:spacing w:line="240" w:lineRule="auto"/>
    </w:pPr>
    <w:rPr>
      <w:b/>
      <w:bCs/>
      <w:sz w:val="18"/>
      <w:szCs w:val="18"/>
    </w:rPr>
  </w:style>
  <w:style w:type="table" w:styleId="TableGrid">
    <w:name w:val="Table Grid"/>
    <w:basedOn w:val="TableNormal"/>
    <w:uiPriority w:val="59"/>
    <w:rsid w:val="00E26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82B57"/>
    <w:pPr>
      <w:tabs>
        <w:tab w:val="center" w:pos="4153"/>
        <w:tab w:val="right" w:pos="8306"/>
      </w:tabs>
      <w:spacing w:after="0" w:line="240" w:lineRule="auto"/>
    </w:pPr>
    <w:rPr>
      <w:rFonts w:ascii="Times New Roman" w:eastAsia="Times New Roman" w:hAnsi="Times New Roman" w:cs="Times New Roman"/>
      <w:sz w:val="24"/>
      <w:szCs w:val="20"/>
      <w:lang w:val="en-US" w:eastAsia="en-GB"/>
    </w:rPr>
  </w:style>
  <w:style w:type="character" w:customStyle="1" w:styleId="FooterChar">
    <w:name w:val="Footer Char"/>
    <w:basedOn w:val="DefaultParagraphFont"/>
    <w:link w:val="Footer"/>
    <w:uiPriority w:val="99"/>
    <w:rsid w:val="00982B57"/>
    <w:rPr>
      <w:rFonts w:ascii="Times New Roman" w:eastAsia="Times New Roman" w:hAnsi="Times New Roman" w:cs="Times New Roman"/>
      <w:sz w:val="24"/>
      <w:szCs w:val="20"/>
      <w:lang w:val="en-US" w:eastAsia="en-GB"/>
    </w:rPr>
  </w:style>
  <w:style w:type="paragraph" w:styleId="ListParagraph">
    <w:name w:val="List Paragraph"/>
    <w:basedOn w:val="Normal"/>
    <w:uiPriority w:val="34"/>
    <w:qFormat/>
    <w:rsid w:val="009B4F2B"/>
    <w:pPr>
      <w:ind w:left="720"/>
      <w:contextualSpacing/>
    </w:pPr>
  </w:style>
  <w:style w:type="character" w:styleId="Hyperlink">
    <w:name w:val="Hyperlink"/>
    <w:basedOn w:val="DefaultParagraphFont"/>
    <w:uiPriority w:val="99"/>
    <w:unhideWhenUsed/>
    <w:rsid w:val="00A01F78"/>
    <w:rPr>
      <w:color w:val="0000FF" w:themeColor="hyperlink"/>
      <w:u w:val="single"/>
    </w:rPr>
  </w:style>
  <w:style w:type="paragraph" w:styleId="NoSpacing">
    <w:name w:val="No Spacing"/>
    <w:uiPriority w:val="1"/>
    <w:qFormat/>
    <w:rsid w:val="00A631E6"/>
    <w:pPr>
      <w:spacing w:after="0" w:line="240" w:lineRule="auto"/>
    </w:pPr>
  </w:style>
  <w:style w:type="character" w:styleId="FollowedHyperlink">
    <w:name w:val="FollowedHyperlink"/>
    <w:basedOn w:val="DefaultParagraphFont"/>
    <w:uiPriority w:val="99"/>
    <w:semiHidden/>
    <w:unhideWhenUsed/>
    <w:rsid w:val="002D2192"/>
    <w:rPr>
      <w:color w:val="800080" w:themeColor="followedHyperlink"/>
      <w:u w:val="single"/>
    </w:rPr>
  </w:style>
  <w:style w:type="paragraph" w:styleId="Header">
    <w:name w:val="header"/>
    <w:basedOn w:val="Normal"/>
    <w:link w:val="HeaderChar"/>
    <w:uiPriority w:val="99"/>
    <w:unhideWhenUsed/>
    <w:rsid w:val="00456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1E6"/>
    <w:pPr>
      <w:spacing w:line="480" w:lineRule="auto"/>
    </w:pPr>
  </w:style>
  <w:style w:type="paragraph" w:styleId="Heading1">
    <w:name w:val="heading 1"/>
    <w:basedOn w:val="Normal"/>
    <w:next w:val="Normal"/>
    <w:link w:val="Heading1Char"/>
    <w:uiPriority w:val="9"/>
    <w:qFormat/>
    <w:rsid w:val="003F7BF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F7BF6"/>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F7BF6"/>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AD7"/>
    <w:rPr>
      <w:rFonts w:ascii="Tahoma" w:hAnsi="Tahoma" w:cs="Tahoma"/>
      <w:sz w:val="16"/>
      <w:szCs w:val="16"/>
    </w:rPr>
  </w:style>
  <w:style w:type="character" w:customStyle="1" w:styleId="Heading1Char">
    <w:name w:val="Heading 1 Char"/>
    <w:basedOn w:val="DefaultParagraphFont"/>
    <w:link w:val="Heading1"/>
    <w:uiPriority w:val="9"/>
    <w:rsid w:val="003F7BF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F7BF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F7BF6"/>
    <w:rPr>
      <w:rFonts w:asciiTheme="majorHAnsi" w:eastAsiaTheme="majorEastAsia" w:hAnsiTheme="majorHAnsi" w:cstheme="majorBidi"/>
      <w:b/>
      <w:bCs/>
    </w:rPr>
  </w:style>
  <w:style w:type="character" w:styleId="CommentReference">
    <w:name w:val="annotation reference"/>
    <w:basedOn w:val="DefaultParagraphFont"/>
    <w:uiPriority w:val="99"/>
    <w:semiHidden/>
    <w:unhideWhenUsed/>
    <w:rsid w:val="00EC4580"/>
    <w:rPr>
      <w:sz w:val="16"/>
      <w:szCs w:val="16"/>
    </w:rPr>
  </w:style>
  <w:style w:type="paragraph" w:styleId="CommentText">
    <w:name w:val="annotation text"/>
    <w:basedOn w:val="Normal"/>
    <w:link w:val="CommentTextChar"/>
    <w:uiPriority w:val="99"/>
    <w:semiHidden/>
    <w:unhideWhenUsed/>
    <w:rsid w:val="00EC4580"/>
    <w:pPr>
      <w:spacing w:line="240" w:lineRule="auto"/>
    </w:pPr>
    <w:rPr>
      <w:sz w:val="20"/>
      <w:szCs w:val="20"/>
    </w:rPr>
  </w:style>
  <w:style w:type="character" w:customStyle="1" w:styleId="CommentTextChar">
    <w:name w:val="Comment Text Char"/>
    <w:basedOn w:val="DefaultParagraphFont"/>
    <w:link w:val="CommentText"/>
    <w:uiPriority w:val="99"/>
    <w:semiHidden/>
    <w:rsid w:val="00EC4580"/>
    <w:rPr>
      <w:sz w:val="20"/>
      <w:szCs w:val="20"/>
    </w:rPr>
  </w:style>
  <w:style w:type="paragraph" w:styleId="CommentSubject">
    <w:name w:val="annotation subject"/>
    <w:basedOn w:val="CommentText"/>
    <w:next w:val="CommentText"/>
    <w:link w:val="CommentSubjectChar"/>
    <w:uiPriority w:val="99"/>
    <w:semiHidden/>
    <w:unhideWhenUsed/>
    <w:rsid w:val="00EC4580"/>
    <w:rPr>
      <w:b/>
      <w:bCs/>
    </w:rPr>
  </w:style>
  <w:style w:type="character" w:customStyle="1" w:styleId="CommentSubjectChar">
    <w:name w:val="Comment Subject Char"/>
    <w:basedOn w:val="CommentTextChar"/>
    <w:link w:val="CommentSubject"/>
    <w:uiPriority w:val="99"/>
    <w:semiHidden/>
    <w:rsid w:val="00EC4580"/>
    <w:rPr>
      <w:b/>
      <w:bCs/>
      <w:sz w:val="20"/>
      <w:szCs w:val="20"/>
    </w:rPr>
  </w:style>
  <w:style w:type="paragraph" w:styleId="Caption">
    <w:name w:val="caption"/>
    <w:basedOn w:val="Normal"/>
    <w:next w:val="Normal"/>
    <w:uiPriority w:val="35"/>
    <w:unhideWhenUsed/>
    <w:qFormat/>
    <w:rsid w:val="00FB3C2C"/>
    <w:pPr>
      <w:spacing w:line="240" w:lineRule="auto"/>
    </w:pPr>
    <w:rPr>
      <w:b/>
      <w:bCs/>
      <w:sz w:val="18"/>
      <w:szCs w:val="18"/>
    </w:rPr>
  </w:style>
  <w:style w:type="table" w:styleId="TableGrid">
    <w:name w:val="Table Grid"/>
    <w:basedOn w:val="TableNormal"/>
    <w:uiPriority w:val="59"/>
    <w:rsid w:val="00E26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82B57"/>
    <w:pPr>
      <w:tabs>
        <w:tab w:val="center" w:pos="4153"/>
        <w:tab w:val="right" w:pos="8306"/>
      </w:tabs>
      <w:spacing w:after="0" w:line="240" w:lineRule="auto"/>
    </w:pPr>
    <w:rPr>
      <w:rFonts w:ascii="Times New Roman" w:eastAsia="Times New Roman" w:hAnsi="Times New Roman" w:cs="Times New Roman"/>
      <w:sz w:val="24"/>
      <w:szCs w:val="20"/>
      <w:lang w:val="en-US" w:eastAsia="en-GB"/>
    </w:rPr>
  </w:style>
  <w:style w:type="character" w:customStyle="1" w:styleId="FooterChar">
    <w:name w:val="Footer Char"/>
    <w:basedOn w:val="DefaultParagraphFont"/>
    <w:link w:val="Footer"/>
    <w:uiPriority w:val="99"/>
    <w:rsid w:val="00982B57"/>
    <w:rPr>
      <w:rFonts w:ascii="Times New Roman" w:eastAsia="Times New Roman" w:hAnsi="Times New Roman" w:cs="Times New Roman"/>
      <w:sz w:val="24"/>
      <w:szCs w:val="20"/>
      <w:lang w:val="en-US" w:eastAsia="en-GB"/>
    </w:rPr>
  </w:style>
  <w:style w:type="paragraph" w:styleId="ListParagraph">
    <w:name w:val="List Paragraph"/>
    <w:basedOn w:val="Normal"/>
    <w:uiPriority w:val="34"/>
    <w:qFormat/>
    <w:rsid w:val="009B4F2B"/>
    <w:pPr>
      <w:ind w:left="720"/>
      <w:contextualSpacing/>
    </w:pPr>
  </w:style>
  <w:style w:type="character" w:styleId="Hyperlink">
    <w:name w:val="Hyperlink"/>
    <w:basedOn w:val="DefaultParagraphFont"/>
    <w:uiPriority w:val="99"/>
    <w:unhideWhenUsed/>
    <w:rsid w:val="00A01F78"/>
    <w:rPr>
      <w:color w:val="0000FF" w:themeColor="hyperlink"/>
      <w:u w:val="single"/>
    </w:rPr>
  </w:style>
  <w:style w:type="paragraph" w:styleId="NoSpacing">
    <w:name w:val="No Spacing"/>
    <w:uiPriority w:val="1"/>
    <w:qFormat/>
    <w:rsid w:val="00A631E6"/>
    <w:pPr>
      <w:spacing w:after="0" w:line="240" w:lineRule="auto"/>
    </w:pPr>
  </w:style>
  <w:style w:type="character" w:styleId="FollowedHyperlink">
    <w:name w:val="FollowedHyperlink"/>
    <w:basedOn w:val="DefaultParagraphFont"/>
    <w:uiPriority w:val="99"/>
    <w:semiHidden/>
    <w:unhideWhenUsed/>
    <w:rsid w:val="002D2192"/>
    <w:rPr>
      <w:color w:val="800080" w:themeColor="followedHyperlink"/>
      <w:u w:val="single"/>
    </w:rPr>
  </w:style>
  <w:style w:type="paragraph" w:styleId="Header">
    <w:name w:val="header"/>
    <w:basedOn w:val="Normal"/>
    <w:link w:val="HeaderChar"/>
    <w:uiPriority w:val="99"/>
    <w:unhideWhenUsed/>
    <w:rsid w:val="00456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stgeorges.nhs.uk/docs/pathology/handbook.pdf"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23021-7B1E-4095-838C-6B2BDC28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May</dc:creator>
  <cp:lastModifiedBy>Jennifer May</cp:lastModifiedBy>
  <cp:revision>2</cp:revision>
  <cp:lastPrinted>2012-08-14T13:52:00Z</cp:lastPrinted>
  <dcterms:created xsi:type="dcterms:W3CDTF">2013-02-27T15:38:00Z</dcterms:created>
  <dcterms:modified xsi:type="dcterms:W3CDTF">2013-02-27T15:38:00Z</dcterms:modified>
</cp:coreProperties>
</file>