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F632" w14:textId="456D181B" w:rsidR="00472457" w:rsidRPr="00472457" w:rsidRDefault="00472457" w:rsidP="006C4682">
      <w:pPr>
        <w:spacing w:line="480" w:lineRule="auto"/>
        <w:rPr>
          <w:b/>
          <w:color w:val="000000"/>
        </w:rPr>
      </w:pPr>
      <w:r w:rsidRPr="00472457">
        <w:rPr>
          <w:b/>
          <w:color w:val="000000"/>
        </w:rPr>
        <w:t>Title:</w:t>
      </w:r>
    </w:p>
    <w:p w14:paraId="47E8B4CE" w14:textId="77777777" w:rsidR="00472457" w:rsidRDefault="00472457" w:rsidP="006C4682">
      <w:pPr>
        <w:spacing w:line="480" w:lineRule="auto"/>
        <w:rPr>
          <w:color w:val="000000"/>
        </w:rPr>
      </w:pPr>
    </w:p>
    <w:p w14:paraId="65F78E60" w14:textId="4CC01739" w:rsidR="00472457" w:rsidRDefault="00472457" w:rsidP="006C4682">
      <w:pPr>
        <w:spacing w:line="480" w:lineRule="auto"/>
        <w:rPr>
          <w:b/>
          <w:color w:val="000000"/>
        </w:rPr>
      </w:pPr>
      <w:r w:rsidRPr="0014640A">
        <w:rPr>
          <w:b/>
          <w:color w:val="000000"/>
        </w:rPr>
        <w:t>Peri-orbital and Orbital cellulitis in children - a survey</w:t>
      </w:r>
      <w:r w:rsidR="00AD1581">
        <w:rPr>
          <w:b/>
          <w:color w:val="000000"/>
        </w:rPr>
        <w:t xml:space="preserve"> of </w:t>
      </w:r>
      <w:r w:rsidR="002B463A">
        <w:rPr>
          <w:b/>
          <w:color w:val="000000"/>
        </w:rPr>
        <w:t>Emergency</w:t>
      </w:r>
      <w:r w:rsidR="00AD1581">
        <w:rPr>
          <w:b/>
          <w:color w:val="000000"/>
        </w:rPr>
        <w:t xml:space="preserve"> Physicians</w:t>
      </w:r>
      <w:r w:rsidRPr="0014640A">
        <w:rPr>
          <w:b/>
          <w:color w:val="000000"/>
        </w:rPr>
        <w:t xml:space="preserve"> and analysis of c</w:t>
      </w:r>
      <w:r w:rsidR="00AD1581">
        <w:rPr>
          <w:b/>
          <w:color w:val="000000"/>
        </w:rPr>
        <w:t>linical</w:t>
      </w:r>
      <w:r w:rsidRPr="0014640A">
        <w:rPr>
          <w:b/>
          <w:color w:val="000000"/>
        </w:rPr>
        <w:t xml:space="preserve"> practice</w:t>
      </w:r>
      <w:r w:rsidR="00AD1581">
        <w:rPr>
          <w:b/>
          <w:color w:val="000000"/>
        </w:rPr>
        <w:t xml:space="preserve"> guidelines</w:t>
      </w:r>
      <w:r w:rsidRPr="0014640A">
        <w:rPr>
          <w:b/>
          <w:color w:val="000000"/>
        </w:rPr>
        <w:t xml:space="preserve"> </w:t>
      </w:r>
      <w:r w:rsidRPr="00472457">
        <w:rPr>
          <w:b/>
          <w:color w:val="000000"/>
        </w:rPr>
        <w:t xml:space="preserve">across the PERUKI network. </w:t>
      </w:r>
    </w:p>
    <w:p w14:paraId="44BF016D" w14:textId="77777777" w:rsidR="00472457" w:rsidRDefault="00472457" w:rsidP="006C4682">
      <w:pPr>
        <w:spacing w:line="480" w:lineRule="auto"/>
        <w:rPr>
          <w:b/>
          <w:color w:val="000000"/>
        </w:rPr>
      </w:pPr>
    </w:p>
    <w:p w14:paraId="320F6B0A" w14:textId="072E896A" w:rsidR="00472457" w:rsidRPr="00472457" w:rsidRDefault="00472457" w:rsidP="006C4682">
      <w:pPr>
        <w:spacing w:line="480" w:lineRule="auto"/>
        <w:rPr>
          <w:rFonts w:cs="Arial"/>
          <w:b/>
        </w:rPr>
      </w:pPr>
      <w:r w:rsidRPr="0014640A">
        <w:rPr>
          <w:rFonts w:cs="Arial"/>
          <w:b/>
        </w:rPr>
        <w:t>Corresponding author</w:t>
      </w:r>
      <w:r w:rsidRPr="00472457">
        <w:rPr>
          <w:rFonts w:cs="Arial"/>
          <w:b/>
        </w:rPr>
        <w:t>:</w:t>
      </w:r>
    </w:p>
    <w:p w14:paraId="460646FF" w14:textId="77777777" w:rsidR="00F917BA" w:rsidRDefault="00F917BA" w:rsidP="00F917BA">
      <w:pPr>
        <w:spacing w:line="480" w:lineRule="auto"/>
        <w:rPr>
          <w:rFonts w:cs="Arial"/>
        </w:rPr>
      </w:pPr>
      <w:r>
        <w:rPr>
          <w:rFonts w:cs="Arial"/>
        </w:rPr>
        <w:t>Meriel Tolhurst-Cleaver</w:t>
      </w:r>
    </w:p>
    <w:p w14:paraId="79DE7688" w14:textId="77777777" w:rsidR="00F917BA" w:rsidRDefault="00F917BA" w:rsidP="00F917BA">
      <w:pPr>
        <w:spacing w:line="480" w:lineRule="auto"/>
        <w:rPr>
          <w:rFonts w:cs="Arial"/>
        </w:rPr>
      </w:pPr>
      <w:r>
        <w:rPr>
          <w:rFonts w:cs="Arial"/>
        </w:rPr>
        <w:t>Alder Hey Children’s Hospital, East Prescot Road, Liverpool, L14 5AB</w:t>
      </w:r>
    </w:p>
    <w:p w14:paraId="66762DB3" w14:textId="77777777" w:rsidR="00F917BA" w:rsidRDefault="00F917BA" w:rsidP="00F917BA">
      <w:pPr>
        <w:spacing w:line="480" w:lineRule="auto"/>
        <w:rPr>
          <w:color w:val="000000"/>
        </w:rPr>
      </w:pPr>
      <w:r w:rsidRPr="00821124">
        <w:rPr>
          <w:color w:val="000000"/>
        </w:rPr>
        <w:t>Tel</w:t>
      </w:r>
      <w:r>
        <w:rPr>
          <w:color w:val="000000"/>
        </w:rPr>
        <w:t>ephone 07476564564</w:t>
      </w:r>
    </w:p>
    <w:p w14:paraId="5EC41440" w14:textId="77777777" w:rsidR="00F917BA" w:rsidRPr="00821124" w:rsidRDefault="00F917BA" w:rsidP="00F917BA">
      <w:pPr>
        <w:spacing w:line="480" w:lineRule="auto"/>
        <w:rPr>
          <w:color w:val="000000"/>
        </w:rPr>
      </w:pPr>
      <w:r w:rsidRPr="00821124">
        <w:rPr>
          <w:color w:val="000000"/>
        </w:rPr>
        <w:t>E</w:t>
      </w:r>
      <w:r>
        <w:rPr>
          <w:rStyle w:val="apple-converted-space"/>
          <w:color w:val="000000"/>
        </w:rPr>
        <w:t>mail Meriel.tolhurst-cleaver@alderhey.nhs.uk</w:t>
      </w:r>
      <w:r w:rsidDel="00AC71F9">
        <w:t xml:space="preserve"> </w:t>
      </w:r>
    </w:p>
    <w:p w14:paraId="39662452" w14:textId="77777777" w:rsidR="00472457" w:rsidRDefault="00472457" w:rsidP="006C4682">
      <w:pPr>
        <w:spacing w:line="480" w:lineRule="auto"/>
        <w:rPr>
          <w:rFonts w:cs="Arial"/>
          <w:b/>
        </w:rPr>
      </w:pPr>
    </w:p>
    <w:p w14:paraId="1E8C3BD4" w14:textId="77777777" w:rsidR="00472457" w:rsidRDefault="00472457" w:rsidP="006C4682">
      <w:pPr>
        <w:spacing w:line="480" w:lineRule="auto"/>
        <w:rPr>
          <w:rFonts w:cs="Arial"/>
        </w:rPr>
      </w:pPr>
      <w:r w:rsidRPr="00472457">
        <w:rPr>
          <w:rFonts w:cs="Arial"/>
          <w:b/>
        </w:rPr>
        <w:t>Authors</w:t>
      </w:r>
      <w:r w:rsidRPr="00472457">
        <w:rPr>
          <w:rFonts w:cs="Arial"/>
        </w:rPr>
        <w:t>:</w:t>
      </w:r>
    </w:p>
    <w:p w14:paraId="24CD14B7" w14:textId="77777777" w:rsidR="00472457" w:rsidRPr="00472457" w:rsidRDefault="00472457" w:rsidP="006C4682">
      <w:pPr>
        <w:spacing w:line="480" w:lineRule="auto"/>
        <w:rPr>
          <w:rFonts w:cs="Arial"/>
        </w:rPr>
      </w:pPr>
    </w:p>
    <w:p w14:paraId="18C4A51A" w14:textId="10377FB5" w:rsidR="00472457" w:rsidRPr="0014640A" w:rsidRDefault="00472457" w:rsidP="006C4682">
      <w:pPr>
        <w:spacing w:line="480" w:lineRule="auto"/>
        <w:rPr>
          <w:rFonts w:cs="Arial"/>
        </w:rPr>
      </w:pPr>
      <w:r w:rsidRPr="0014640A">
        <w:rPr>
          <w:rFonts w:cs="Arial"/>
        </w:rPr>
        <w:t>Meriel Tolhurst-Cleaver, Paediatric Emergency Department, Alder Hey Children’s Hospital, Liverpool, UK</w:t>
      </w:r>
    </w:p>
    <w:p w14:paraId="33E64F9E" w14:textId="590C71E5" w:rsidR="00472457" w:rsidRPr="0014640A" w:rsidRDefault="00472457" w:rsidP="006C4682">
      <w:pPr>
        <w:spacing w:line="480" w:lineRule="auto"/>
        <w:rPr>
          <w:rFonts w:cs="Arial"/>
        </w:rPr>
      </w:pPr>
      <w:r w:rsidRPr="0014640A">
        <w:rPr>
          <w:rFonts w:cs="Arial"/>
          <w:bCs/>
          <w:color w:val="000000"/>
        </w:rPr>
        <w:t>Jordan Evans</w:t>
      </w:r>
      <w:r w:rsidRPr="0014640A">
        <w:rPr>
          <w:rFonts w:cs="Arial"/>
          <w:color w:val="000000"/>
        </w:rPr>
        <w:t xml:space="preserve">, </w:t>
      </w:r>
      <w:r w:rsidRPr="0014640A">
        <w:rPr>
          <w:rFonts w:cs="Arial"/>
          <w:bCs/>
          <w:color w:val="000000"/>
        </w:rPr>
        <w:t>Paediatric Emergency Department, University Hospital of Wales, Cardiff, UK</w:t>
      </w:r>
    </w:p>
    <w:p w14:paraId="275CD0EA" w14:textId="77777777" w:rsidR="00472457" w:rsidRPr="0014640A" w:rsidRDefault="00472457" w:rsidP="006C4682">
      <w:pPr>
        <w:spacing w:line="480" w:lineRule="auto"/>
        <w:rPr>
          <w:rFonts w:cs="Arial"/>
        </w:rPr>
      </w:pPr>
      <w:r w:rsidRPr="0014640A">
        <w:rPr>
          <w:rFonts w:cs="Arial"/>
        </w:rPr>
        <w:t xml:space="preserve">Thomas Waterfield, Centre for Experimental Medicine, </w:t>
      </w:r>
      <w:proofErr w:type="spellStart"/>
      <w:r w:rsidRPr="0014640A">
        <w:rPr>
          <w:rFonts w:cs="Arial"/>
        </w:rPr>
        <w:t>Wellcome</w:t>
      </w:r>
      <w:proofErr w:type="spellEnd"/>
      <w:r w:rsidRPr="0014640A">
        <w:rPr>
          <w:rFonts w:cs="Arial"/>
        </w:rPr>
        <w:t xml:space="preserve"> Wolfson Institute of Experimental Medicine, Queen’s University Belfast, Belfast, UK</w:t>
      </w:r>
    </w:p>
    <w:p w14:paraId="2EC76738" w14:textId="77777777" w:rsidR="00472457" w:rsidRPr="0014640A" w:rsidRDefault="00472457" w:rsidP="006C4682">
      <w:pPr>
        <w:spacing w:line="480" w:lineRule="auto"/>
        <w:rPr>
          <w:rFonts w:cs="Arial"/>
        </w:rPr>
      </w:pPr>
      <w:r w:rsidRPr="0014640A">
        <w:rPr>
          <w:rFonts w:cs="Arial"/>
        </w:rPr>
        <w:t>Jonathan Adamson, Emergency Department, Birmingham Women’s and Children’s NHS Foundation Trust, Birmingham, UK</w:t>
      </w:r>
    </w:p>
    <w:p w14:paraId="7E07A669" w14:textId="77777777" w:rsidR="00FA4427" w:rsidRPr="0014640A" w:rsidRDefault="00FA4427" w:rsidP="00FA4427">
      <w:pPr>
        <w:spacing w:line="480" w:lineRule="auto"/>
        <w:rPr>
          <w:rFonts w:cs="Arial"/>
        </w:rPr>
      </w:pPr>
      <w:r w:rsidRPr="0014640A">
        <w:rPr>
          <w:rFonts w:cs="Arial"/>
        </w:rPr>
        <w:t>Robin Marlow, Paediatric Emergency Department, Bristol Royal Hospital for Children, Upper Maudlin Street, Bristol, UK;</w:t>
      </w:r>
    </w:p>
    <w:p w14:paraId="32CF8A63" w14:textId="77777777" w:rsidR="00472457" w:rsidRPr="0014640A" w:rsidRDefault="00472457" w:rsidP="006C4682">
      <w:pPr>
        <w:spacing w:line="480" w:lineRule="auto"/>
        <w:rPr>
          <w:rFonts w:cs="Arial"/>
        </w:rPr>
      </w:pPr>
      <w:r w:rsidRPr="0014640A">
        <w:rPr>
          <w:rFonts w:cs="Arial"/>
        </w:rPr>
        <w:t xml:space="preserve">Mark </w:t>
      </w:r>
      <w:proofErr w:type="spellStart"/>
      <w:r w:rsidRPr="0014640A">
        <w:rPr>
          <w:rFonts w:cs="Arial"/>
        </w:rPr>
        <w:t>Lyttle</w:t>
      </w:r>
      <w:proofErr w:type="spellEnd"/>
      <w:r w:rsidRPr="0014640A">
        <w:rPr>
          <w:rFonts w:cs="Arial"/>
        </w:rPr>
        <w:t>, Consultant PEM, Bristol Royal Hospital for Children, Upper Maudlin Street, Bristol, UK; Faculty of Health and Applied Sciences, University of the West of England, Bristol, UK</w:t>
      </w:r>
    </w:p>
    <w:p w14:paraId="5EFCD6E6" w14:textId="77777777" w:rsidR="00472457" w:rsidRPr="0014640A" w:rsidRDefault="00472457" w:rsidP="006C4682">
      <w:pPr>
        <w:spacing w:line="480" w:lineRule="auto"/>
        <w:rPr>
          <w:rFonts w:cs="Arial"/>
        </w:rPr>
      </w:pPr>
      <w:r w:rsidRPr="0014640A">
        <w:rPr>
          <w:rFonts w:cs="Arial"/>
        </w:rPr>
        <w:lastRenderedPageBreak/>
        <w:t xml:space="preserve">Damian Roland, SAPPHIRE Group, Health Sciences, Leicester University, Leicester, UK &amp; Paediatric Emergency Medicine Leicester Academic (PEMLA) group, Children’s Emergency Department, Leicester Royal Infirmary, Leicester, UK. </w:t>
      </w:r>
    </w:p>
    <w:p w14:paraId="2D653F99" w14:textId="77777777" w:rsidR="00124021" w:rsidRDefault="00124021" w:rsidP="006C4682">
      <w:pPr>
        <w:spacing w:line="480" w:lineRule="auto"/>
        <w:rPr>
          <w:rFonts w:cs="Arial"/>
          <w:b/>
        </w:rPr>
      </w:pPr>
    </w:p>
    <w:p w14:paraId="189EAEF9" w14:textId="3B46FD03" w:rsidR="00472457" w:rsidRDefault="00472457" w:rsidP="006C4682">
      <w:pPr>
        <w:spacing w:line="480" w:lineRule="auto"/>
        <w:rPr>
          <w:rFonts w:cs="Arial"/>
          <w:b/>
        </w:rPr>
      </w:pPr>
      <w:r>
        <w:rPr>
          <w:rFonts w:cs="Arial"/>
          <w:b/>
        </w:rPr>
        <w:t>Keywords</w:t>
      </w:r>
      <w:r w:rsidR="00723ED7">
        <w:rPr>
          <w:rFonts w:cs="Arial"/>
          <w:b/>
        </w:rPr>
        <w:t xml:space="preserve"> (</w:t>
      </w:r>
      <w:proofErr w:type="spellStart"/>
      <w:r w:rsidR="00723ED7">
        <w:rPr>
          <w:rFonts w:cs="Arial"/>
          <w:b/>
        </w:rPr>
        <w:t>MeSH</w:t>
      </w:r>
      <w:proofErr w:type="spellEnd"/>
      <w:r w:rsidR="00723ED7">
        <w:rPr>
          <w:rFonts w:cs="Arial"/>
          <w:b/>
        </w:rPr>
        <w:t xml:space="preserve"> terms)</w:t>
      </w:r>
      <w:r>
        <w:rPr>
          <w:rFonts w:cs="Arial"/>
          <w:b/>
        </w:rPr>
        <w:t>:</w:t>
      </w:r>
    </w:p>
    <w:p w14:paraId="184B89D0" w14:textId="77777777" w:rsidR="00723ED7" w:rsidRDefault="00472457" w:rsidP="006C4682">
      <w:pPr>
        <w:spacing w:line="480" w:lineRule="auto"/>
        <w:rPr>
          <w:rFonts w:cs="Arial"/>
        </w:rPr>
      </w:pPr>
      <w:proofErr w:type="spellStart"/>
      <w:r w:rsidRPr="00472457">
        <w:rPr>
          <w:rFonts w:cs="Arial"/>
        </w:rPr>
        <w:t>Pediatric</w:t>
      </w:r>
      <w:proofErr w:type="spellEnd"/>
      <w:r w:rsidRPr="00472457">
        <w:rPr>
          <w:rFonts w:cs="Arial"/>
        </w:rPr>
        <w:t xml:space="preserve"> Emergency Medicine; Ophthalmology; </w:t>
      </w:r>
      <w:r>
        <w:rPr>
          <w:rFonts w:cs="Arial"/>
        </w:rPr>
        <w:t>Orbital Cellulitis; Practice guideline</w:t>
      </w:r>
      <w:r w:rsidR="00723ED7">
        <w:rPr>
          <w:rFonts w:cs="Arial"/>
        </w:rPr>
        <w:t>; Surveys and questionnaires</w:t>
      </w:r>
    </w:p>
    <w:p w14:paraId="0F491A3E" w14:textId="77777777" w:rsidR="00723ED7" w:rsidRDefault="00723ED7" w:rsidP="006C4682">
      <w:pPr>
        <w:spacing w:line="480" w:lineRule="auto"/>
        <w:rPr>
          <w:rFonts w:cs="Arial"/>
        </w:rPr>
      </w:pPr>
    </w:p>
    <w:p w14:paraId="02807852" w14:textId="3B901623" w:rsidR="00723ED7" w:rsidRDefault="00723ED7" w:rsidP="006C4682">
      <w:pPr>
        <w:spacing w:line="480" w:lineRule="auto"/>
        <w:jc w:val="both"/>
        <w:rPr>
          <w:rFonts w:cs="Arial"/>
        </w:rPr>
      </w:pPr>
      <w:r w:rsidRPr="00723ED7">
        <w:rPr>
          <w:rFonts w:cs="Arial"/>
          <w:b/>
        </w:rPr>
        <w:t>Word Count:</w:t>
      </w:r>
      <w:r>
        <w:rPr>
          <w:rFonts w:cs="Arial"/>
          <w:b/>
        </w:rPr>
        <w:t xml:space="preserve"> </w:t>
      </w:r>
      <w:r>
        <w:rPr>
          <w:rFonts w:cs="Arial"/>
        </w:rPr>
        <w:t>(Excluding abstract, figures and references)</w:t>
      </w:r>
      <w:r w:rsidR="00C215F4">
        <w:rPr>
          <w:rFonts w:cs="Arial"/>
        </w:rPr>
        <w:t xml:space="preserve">: </w:t>
      </w:r>
      <w:r w:rsidR="009224D2">
        <w:rPr>
          <w:rFonts w:cs="Arial"/>
        </w:rPr>
        <w:t>1</w:t>
      </w:r>
      <w:r w:rsidR="005C59BE">
        <w:rPr>
          <w:rFonts w:cs="Arial"/>
        </w:rPr>
        <w:t>026</w:t>
      </w:r>
    </w:p>
    <w:p w14:paraId="0EA1AD63" w14:textId="33C96608" w:rsidR="00C215F4" w:rsidRPr="00C215F4" w:rsidRDefault="00C215F4" w:rsidP="006C4682">
      <w:pPr>
        <w:spacing w:line="480" w:lineRule="auto"/>
        <w:jc w:val="both"/>
        <w:rPr>
          <w:rFonts w:cs="Arial"/>
        </w:rPr>
      </w:pPr>
    </w:p>
    <w:p w14:paraId="7FE466BC" w14:textId="77777777" w:rsidR="00723ED7" w:rsidRDefault="00723ED7" w:rsidP="006C4682">
      <w:pPr>
        <w:spacing w:line="480" w:lineRule="auto"/>
        <w:rPr>
          <w:rFonts w:cs="Arial"/>
        </w:rPr>
      </w:pPr>
    </w:p>
    <w:p w14:paraId="6345E3D4" w14:textId="77777777" w:rsidR="00472457" w:rsidRDefault="00472457" w:rsidP="006C4682">
      <w:pPr>
        <w:spacing w:line="48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7203D6B3" w14:textId="1D4D8297" w:rsidR="00B174EC" w:rsidRPr="00B174EC" w:rsidRDefault="00723ED7" w:rsidP="00B174EC">
      <w:pPr>
        <w:rPr>
          <w:lang w:eastAsia="en-US"/>
        </w:rPr>
      </w:pPr>
      <w:r w:rsidRPr="0014640A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lastRenderedPageBreak/>
        <w:t>A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BSTRACT</w:t>
      </w:r>
    </w:p>
    <w:p w14:paraId="07B34802" w14:textId="77777777" w:rsidR="00723ED7" w:rsidRPr="0014640A" w:rsidRDefault="00723ED7" w:rsidP="00B174EC">
      <w:pPr>
        <w:pStyle w:val="Heading1"/>
        <w:rPr>
          <w:rFonts w:cs="Arial"/>
          <w:b/>
        </w:rPr>
      </w:pPr>
    </w:p>
    <w:p w14:paraId="7DB3394F" w14:textId="2C70B09B" w:rsidR="00723ED7" w:rsidRPr="00923375" w:rsidRDefault="00E522DA" w:rsidP="006C4682">
      <w:pPr>
        <w:spacing w:line="480" w:lineRule="auto"/>
        <w:jc w:val="both"/>
        <w:rPr>
          <w:rFonts w:cs="Arial"/>
        </w:rPr>
      </w:pPr>
      <w:r w:rsidRPr="0022584F">
        <w:rPr>
          <w:rFonts w:cs="Arial"/>
          <w:b/>
          <w:bCs/>
        </w:rPr>
        <w:t>Background</w:t>
      </w:r>
    </w:p>
    <w:p w14:paraId="5FAA7E30" w14:textId="38CF34A2" w:rsidR="00723ED7" w:rsidRPr="0014640A" w:rsidRDefault="00502128" w:rsidP="006C4682">
      <w:pPr>
        <w:spacing w:line="480" w:lineRule="auto"/>
        <w:jc w:val="both"/>
        <w:rPr>
          <w:rFonts w:cs="Arial"/>
        </w:rPr>
      </w:pPr>
      <w:r>
        <w:rPr>
          <w:rFonts w:cs="Arial"/>
        </w:rPr>
        <w:t>Due to</w:t>
      </w:r>
      <w:r w:rsidR="009F1D5C">
        <w:rPr>
          <w:rFonts w:cs="Arial"/>
        </w:rPr>
        <w:t xml:space="preserve"> </w:t>
      </w:r>
      <w:r w:rsidR="00E135E2">
        <w:rPr>
          <w:rFonts w:cs="Arial"/>
        </w:rPr>
        <w:t>limited</w:t>
      </w:r>
      <w:r w:rsidR="00723ED7" w:rsidRPr="0014640A">
        <w:rPr>
          <w:rFonts w:cs="Arial"/>
        </w:rPr>
        <w:t xml:space="preserve"> evidence to guide management of peri-orbital celluliti</w:t>
      </w:r>
      <w:r w:rsidR="00723ED7">
        <w:rPr>
          <w:rFonts w:cs="Arial"/>
        </w:rPr>
        <w:t>s</w:t>
      </w:r>
      <w:r w:rsidR="009F1D5C">
        <w:rPr>
          <w:rFonts w:cs="Arial"/>
        </w:rPr>
        <w:t xml:space="preserve"> (POC)</w:t>
      </w:r>
      <w:r w:rsidR="00723ED7">
        <w:rPr>
          <w:rFonts w:cs="Arial"/>
        </w:rPr>
        <w:t>; we</w:t>
      </w:r>
      <w:r w:rsidR="00723ED7" w:rsidRPr="0014640A">
        <w:rPr>
          <w:rFonts w:cs="Arial"/>
        </w:rPr>
        <w:t xml:space="preserve"> </w:t>
      </w:r>
      <w:r w:rsidR="00AD1581">
        <w:rPr>
          <w:rFonts w:cs="Arial"/>
        </w:rPr>
        <w:t>surveyed</w:t>
      </w:r>
      <w:r w:rsidR="00723ED7" w:rsidRPr="0014640A">
        <w:rPr>
          <w:rFonts w:cs="Arial"/>
        </w:rPr>
        <w:t xml:space="preserve"> current practice</w:t>
      </w:r>
      <w:r w:rsidR="008F4945">
        <w:rPr>
          <w:rFonts w:cs="Arial"/>
        </w:rPr>
        <w:t xml:space="preserve"> and assessed quality and consistency</w:t>
      </w:r>
      <w:r w:rsidR="00AD1581">
        <w:rPr>
          <w:rFonts w:cs="Arial"/>
        </w:rPr>
        <w:t xml:space="preserve"> </w:t>
      </w:r>
      <w:r w:rsidR="00723ED7" w:rsidRPr="0014640A">
        <w:rPr>
          <w:rFonts w:cs="Arial"/>
        </w:rPr>
        <w:t>of local clinical practice guidelines (CPG</w:t>
      </w:r>
      <w:r w:rsidR="009F1D5C">
        <w:rPr>
          <w:rFonts w:cs="Arial"/>
        </w:rPr>
        <w:t>s</w:t>
      </w:r>
      <w:r w:rsidR="00723ED7" w:rsidRPr="0014640A">
        <w:rPr>
          <w:rFonts w:cs="Arial"/>
        </w:rPr>
        <w:t>) to</w:t>
      </w:r>
      <w:r w:rsidR="00723ED7">
        <w:rPr>
          <w:rFonts w:cs="Arial"/>
        </w:rPr>
        <w:t xml:space="preserve"> </w:t>
      </w:r>
      <w:r w:rsidR="00723ED7" w:rsidRPr="0014640A">
        <w:rPr>
          <w:rFonts w:cs="Arial"/>
        </w:rPr>
        <w:t>highlight future research priorities.</w:t>
      </w:r>
    </w:p>
    <w:p w14:paraId="2AB7E642" w14:textId="1700A8A9" w:rsidR="00723ED7" w:rsidRPr="00923375" w:rsidRDefault="00A6605F" w:rsidP="006C4682">
      <w:pPr>
        <w:spacing w:line="480" w:lineRule="auto"/>
        <w:jc w:val="both"/>
        <w:rPr>
          <w:rFonts w:cs="Arial"/>
          <w:b/>
        </w:rPr>
      </w:pPr>
      <w:r w:rsidRPr="00923375">
        <w:rPr>
          <w:rFonts w:cs="Arial"/>
          <w:b/>
        </w:rPr>
        <w:t>Methods</w:t>
      </w:r>
    </w:p>
    <w:p w14:paraId="6C093E40" w14:textId="570AB91A" w:rsidR="00723ED7" w:rsidRPr="00226E89" w:rsidRDefault="00723ED7" w:rsidP="0022584F">
      <w:pPr>
        <w:spacing w:line="480" w:lineRule="auto"/>
      </w:pPr>
      <w:r w:rsidRPr="00E522DA">
        <w:t>A</w:t>
      </w:r>
      <w:r w:rsidR="00A6605F" w:rsidRPr="00E522DA">
        <w:t xml:space="preserve"> </w:t>
      </w:r>
      <w:r w:rsidRPr="00E522DA">
        <w:t xml:space="preserve">web-based survey </w:t>
      </w:r>
      <w:r w:rsidR="00A6605F" w:rsidRPr="00E522DA">
        <w:t xml:space="preserve">was </w:t>
      </w:r>
      <w:r w:rsidRPr="00E522DA">
        <w:t>sent to</w:t>
      </w:r>
      <w:r w:rsidR="00E522DA" w:rsidRPr="00E522DA">
        <w:t xml:space="preserve"> </w:t>
      </w:r>
      <w:r w:rsidR="00E135E2">
        <w:t>a</w:t>
      </w:r>
      <w:r w:rsidR="00E522DA" w:rsidRPr="00E522DA">
        <w:t xml:space="preserve"> designated</w:t>
      </w:r>
      <w:r w:rsidRPr="00E522DA">
        <w:t xml:space="preserve"> </w:t>
      </w:r>
      <w:r w:rsidR="00A6605F" w:rsidRPr="00E522DA">
        <w:t>emergency physician</w:t>
      </w:r>
      <w:r w:rsidR="00A42905">
        <w:t xml:space="preserve"> (</w:t>
      </w:r>
      <w:r w:rsidR="001F68F8">
        <w:t xml:space="preserve">who </w:t>
      </w:r>
      <w:r w:rsidR="00226E89">
        <w:t xml:space="preserve">clinically </w:t>
      </w:r>
      <w:r w:rsidR="00A42905">
        <w:t xml:space="preserve">assess </w:t>
      </w:r>
      <w:r w:rsidR="00A6605F" w:rsidRPr="00E522DA">
        <w:t>children</w:t>
      </w:r>
      <w:r w:rsidR="00A42905">
        <w:t>)</w:t>
      </w:r>
      <w:r w:rsidR="00226E89">
        <w:t>,</w:t>
      </w:r>
      <w:r w:rsidR="00A6605F" w:rsidRPr="00E522DA">
        <w:t xml:space="preserve"> at </w:t>
      </w:r>
      <w:r w:rsidRPr="00E522DA">
        <w:t>Paediatric Emergency Research United Kingdom and Ireland (PERUKI) sites</w:t>
      </w:r>
      <w:r w:rsidR="00A6605F" w:rsidRPr="00E522DA">
        <w:t xml:space="preserve"> between 23</w:t>
      </w:r>
      <w:r w:rsidR="00A6605F" w:rsidRPr="00E522DA">
        <w:rPr>
          <w:vertAlign w:val="superscript"/>
        </w:rPr>
        <w:t>rd</w:t>
      </w:r>
      <w:r w:rsidR="00A6605F" w:rsidRPr="00E522DA">
        <w:t xml:space="preserve"> November 2018 to 22</w:t>
      </w:r>
      <w:r w:rsidR="00A6605F" w:rsidRPr="00E522DA">
        <w:rPr>
          <w:vertAlign w:val="superscript"/>
        </w:rPr>
        <w:t>nd</w:t>
      </w:r>
      <w:r w:rsidR="00A6605F" w:rsidRPr="00E522DA">
        <w:t xml:space="preserve"> January 2019.</w:t>
      </w:r>
      <w:r w:rsidR="00E135E2">
        <w:t xml:space="preserve"> </w:t>
      </w:r>
      <w:r w:rsidR="00502128">
        <w:rPr>
          <w:color w:val="000000" w:themeColor="text1"/>
          <w:shd w:val="clear" w:color="auto" w:fill="FFFFFF"/>
        </w:rPr>
        <w:t>A</w:t>
      </w:r>
      <w:r w:rsidR="00E522DA" w:rsidRPr="0022584F">
        <w:rPr>
          <w:color w:val="000000" w:themeColor="text1"/>
          <w:shd w:val="clear" w:color="auto" w:fill="FFFFFF"/>
        </w:rPr>
        <w:t xml:space="preserve"> nominated site lead</w:t>
      </w:r>
      <w:r w:rsidR="001326DD" w:rsidRPr="0022584F">
        <w:rPr>
          <w:color w:val="000000" w:themeColor="text1"/>
          <w:shd w:val="clear" w:color="auto" w:fill="FFFFFF"/>
        </w:rPr>
        <w:t xml:space="preserve"> </w:t>
      </w:r>
      <w:r w:rsidR="00E522DA" w:rsidRPr="0022584F">
        <w:rPr>
          <w:color w:val="000000" w:themeColor="text1"/>
          <w:shd w:val="clear" w:color="auto" w:fill="FFFFFF"/>
        </w:rPr>
        <w:t>offer</w:t>
      </w:r>
      <w:r w:rsidR="00226E89" w:rsidRPr="0022584F">
        <w:rPr>
          <w:color w:val="000000" w:themeColor="text1"/>
          <w:shd w:val="clear" w:color="auto" w:fill="FFFFFF"/>
        </w:rPr>
        <w:t>ed</w:t>
      </w:r>
      <w:r w:rsidR="00E522DA" w:rsidRPr="0022584F">
        <w:rPr>
          <w:color w:val="000000" w:themeColor="text1"/>
          <w:shd w:val="clear" w:color="auto" w:fill="FFFFFF"/>
        </w:rPr>
        <w:t xml:space="preserve"> </w:t>
      </w:r>
      <w:r w:rsidR="00E135E2" w:rsidRPr="0022584F">
        <w:rPr>
          <w:color w:val="000000" w:themeColor="text1"/>
          <w:shd w:val="clear" w:color="auto" w:fill="FFFFFF"/>
        </w:rPr>
        <w:t>one response as a</w:t>
      </w:r>
      <w:r w:rsidR="00E522DA" w:rsidRPr="0022584F">
        <w:rPr>
          <w:color w:val="000000" w:themeColor="text1"/>
          <w:shd w:val="clear" w:color="auto" w:fill="FFFFFF"/>
        </w:rPr>
        <w:t xml:space="preserve"> department</w:t>
      </w:r>
      <w:r w:rsidR="00226E89" w:rsidRPr="0022584F">
        <w:rPr>
          <w:color w:val="000000" w:themeColor="text1"/>
          <w:shd w:val="clear" w:color="auto" w:fill="FFFFFF"/>
        </w:rPr>
        <w:t>-</w:t>
      </w:r>
      <w:r w:rsidR="00E522DA" w:rsidRPr="0022584F">
        <w:rPr>
          <w:color w:val="000000" w:themeColor="text1"/>
          <w:shd w:val="clear" w:color="auto" w:fill="FFFFFF"/>
        </w:rPr>
        <w:t xml:space="preserve">wide perspective </w:t>
      </w:r>
      <w:r w:rsidR="004C2C13" w:rsidRPr="0022584F">
        <w:rPr>
          <w:color w:val="000000" w:themeColor="text1"/>
          <w:shd w:val="clear" w:color="auto" w:fill="FFFFFF"/>
        </w:rPr>
        <w:t xml:space="preserve">on </w:t>
      </w:r>
      <w:r w:rsidR="00A313A6" w:rsidRPr="0022584F">
        <w:rPr>
          <w:rFonts w:cs="Arial"/>
          <w:color w:val="000000" w:themeColor="text1"/>
        </w:rPr>
        <w:t>admission</w:t>
      </w:r>
      <w:r w:rsidR="004C2C13">
        <w:rPr>
          <w:rFonts w:cs="Arial"/>
        </w:rPr>
        <w:t xml:space="preserve">, </w:t>
      </w:r>
      <w:r w:rsidR="00A42905">
        <w:rPr>
          <w:rFonts w:cs="Arial"/>
        </w:rPr>
        <w:t xml:space="preserve">severity </w:t>
      </w:r>
      <w:r w:rsidR="00A313A6">
        <w:rPr>
          <w:rFonts w:cs="Arial"/>
        </w:rPr>
        <w:t>assessment, treatment, disposition and specialty</w:t>
      </w:r>
      <w:r w:rsidR="00923375">
        <w:rPr>
          <w:rFonts w:cs="Arial"/>
        </w:rPr>
        <w:t xml:space="preserve"> consultation request</w:t>
      </w:r>
      <w:r w:rsidR="00A313A6">
        <w:rPr>
          <w:rFonts w:cs="Arial"/>
        </w:rPr>
        <w:t xml:space="preserve">. </w:t>
      </w:r>
      <w:r w:rsidR="00A6605F">
        <w:rPr>
          <w:rFonts w:cs="Arial"/>
        </w:rPr>
        <w:t xml:space="preserve"> </w:t>
      </w:r>
      <w:r>
        <w:rPr>
          <w:rFonts w:cs="Arial"/>
        </w:rPr>
        <w:t>S</w:t>
      </w:r>
      <w:r w:rsidRPr="0014640A">
        <w:rPr>
          <w:rFonts w:cs="Arial"/>
        </w:rPr>
        <w:t>ites share</w:t>
      </w:r>
      <w:r>
        <w:rPr>
          <w:rFonts w:cs="Arial"/>
        </w:rPr>
        <w:t>d</w:t>
      </w:r>
      <w:r w:rsidRPr="0014640A">
        <w:rPr>
          <w:rFonts w:cs="Arial"/>
        </w:rPr>
        <w:t xml:space="preserve"> their </w:t>
      </w:r>
      <w:r w:rsidR="00923375">
        <w:rPr>
          <w:rFonts w:cs="Arial"/>
        </w:rPr>
        <w:t>CPG</w:t>
      </w:r>
      <w:r w:rsidR="00FC3586">
        <w:rPr>
          <w:rFonts w:cs="Arial"/>
        </w:rPr>
        <w:t>. T</w:t>
      </w:r>
      <w:r w:rsidRPr="0014640A">
        <w:rPr>
          <w:rFonts w:cs="Arial"/>
        </w:rPr>
        <w:t>hese were</w:t>
      </w:r>
      <w:r w:rsidR="00FC3586">
        <w:rPr>
          <w:rFonts w:cs="Arial"/>
        </w:rPr>
        <w:t xml:space="preserve"> </w:t>
      </w:r>
      <w:r w:rsidRPr="0014640A">
        <w:rPr>
          <w:rFonts w:cs="Arial"/>
        </w:rPr>
        <w:t>compared</w:t>
      </w:r>
      <w:r w:rsidR="004C2C13">
        <w:rPr>
          <w:rFonts w:cs="Arial"/>
        </w:rPr>
        <w:t xml:space="preserve"> using a standardised data</w:t>
      </w:r>
      <w:r w:rsidR="00774B03">
        <w:rPr>
          <w:rFonts w:cs="Arial"/>
        </w:rPr>
        <w:t xml:space="preserve"> </w:t>
      </w:r>
      <w:r w:rsidR="004C2C13">
        <w:rPr>
          <w:rFonts w:cs="Arial"/>
        </w:rPr>
        <w:t>collection tool</w:t>
      </w:r>
      <w:r w:rsidR="00923375">
        <w:rPr>
          <w:rFonts w:cs="Arial"/>
        </w:rPr>
        <w:t>,</w:t>
      </w:r>
      <w:r w:rsidR="004C2C13">
        <w:rPr>
          <w:rFonts w:cs="Arial"/>
        </w:rPr>
        <w:t xml:space="preserve"> and quality assessed </w:t>
      </w:r>
      <w:r w:rsidR="00E135E2">
        <w:rPr>
          <w:rFonts w:cs="Arial"/>
        </w:rPr>
        <w:t xml:space="preserve">using </w:t>
      </w:r>
      <w:r w:rsidR="004C2C13">
        <w:rPr>
          <w:rFonts w:cs="Arial"/>
        </w:rPr>
        <w:t>S</w:t>
      </w:r>
      <w:r w:rsidR="004C2C13" w:rsidRPr="009E78DA">
        <w:rPr>
          <w:rFonts w:cs="Arial"/>
        </w:rPr>
        <w:t xml:space="preserve">tandardised </w:t>
      </w:r>
      <w:r w:rsidR="004C2C13">
        <w:rPr>
          <w:rFonts w:cs="Arial"/>
        </w:rPr>
        <w:t>R</w:t>
      </w:r>
      <w:r w:rsidR="004C2C13" w:rsidRPr="009E78DA">
        <w:rPr>
          <w:rFonts w:cs="Arial"/>
        </w:rPr>
        <w:t xml:space="preserve">eporting </w:t>
      </w:r>
      <w:r w:rsidR="004C2C13">
        <w:rPr>
          <w:rFonts w:cs="Arial"/>
        </w:rPr>
        <w:t>P</w:t>
      </w:r>
      <w:r w:rsidR="004C2C13" w:rsidRPr="009E78DA">
        <w:rPr>
          <w:rFonts w:cs="Arial"/>
        </w:rPr>
        <w:t xml:space="preserve">ractice </w:t>
      </w:r>
      <w:r w:rsidR="004C2C13">
        <w:rPr>
          <w:rFonts w:cs="Arial"/>
        </w:rPr>
        <w:t>G</w:t>
      </w:r>
      <w:r w:rsidR="004C2C13" w:rsidRPr="009E78DA">
        <w:rPr>
          <w:rFonts w:cs="Arial"/>
        </w:rPr>
        <w:t xml:space="preserve">uidelines in </w:t>
      </w:r>
      <w:r w:rsidR="004C2C13">
        <w:rPr>
          <w:rFonts w:cs="Arial"/>
        </w:rPr>
        <w:t>H</w:t>
      </w:r>
      <w:r w:rsidR="004C2C13" w:rsidRPr="009E78DA">
        <w:rPr>
          <w:rFonts w:cs="Arial"/>
        </w:rPr>
        <w:t>ealth</w:t>
      </w:r>
      <w:r w:rsidR="004C2C13">
        <w:rPr>
          <w:rFonts w:cs="Arial"/>
        </w:rPr>
        <w:t>c</w:t>
      </w:r>
      <w:r w:rsidR="004C2C13" w:rsidRPr="009E78DA">
        <w:rPr>
          <w:rFonts w:cs="Arial"/>
        </w:rPr>
        <w:t xml:space="preserve">are </w:t>
      </w:r>
      <w:r w:rsidR="004C2C13">
        <w:rPr>
          <w:rFonts w:cs="Arial"/>
        </w:rPr>
        <w:t>(</w:t>
      </w:r>
      <w:r w:rsidR="004C2C13" w:rsidRPr="009E78DA">
        <w:rPr>
          <w:rFonts w:cs="Arial"/>
        </w:rPr>
        <w:t>RIGHT</w:t>
      </w:r>
      <w:r w:rsidR="004C2C13">
        <w:rPr>
          <w:rFonts w:cs="Arial"/>
        </w:rPr>
        <w:t>)</w:t>
      </w:r>
      <w:r w:rsidR="004C2C13" w:rsidRPr="009E78DA">
        <w:rPr>
          <w:rFonts w:cs="Arial"/>
        </w:rPr>
        <w:t xml:space="preserve"> </w:t>
      </w:r>
      <w:r w:rsidR="004C2C13">
        <w:rPr>
          <w:rFonts w:cs="Arial"/>
        </w:rPr>
        <w:t>criteria</w:t>
      </w:r>
      <w:r w:rsidR="00FC3586">
        <w:rPr>
          <w:rFonts w:cs="Arial"/>
        </w:rPr>
        <w:t xml:space="preserve">. Survey responses were also compared against CPG recommendations. </w:t>
      </w:r>
    </w:p>
    <w:p w14:paraId="4A9A6F6E" w14:textId="01908D0A" w:rsidR="00723ED7" w:rsidRDefault="00723ED7" w:rsidP="006C4682">
      <w:pPr>
        <w:spacing w:line="480" w:lineRule="auto"/>
        <w:jc w:val="both"/>
        <w:rPr>
          <w:rFonts w:cs="Arial"/>
          <w:b/>
        </w:rPr>
      </w:pPr>
      <w:r w:rsidRPr="0014640A">
        <w:rPr>
          <w:rFonts w:cs="Arial"/>
          <w:b/>
        </w:rPr>
        <w:t xml:space="preserve">Results </w:t>
      </w:r>
    </w:p>
    <w:p w14:paraId="1E32B2D7" w14:textId="665179A0" w:rsidR="00A313A6" w:rsidRDefault="009E094B" w:rsidP="006C4682">
      <w:pPr>
        <w:spacing w:line="480" w:lineRule="auto"/>
        <w:rPr>
          <w:rFonts w:cs="Arial"/>
        </w:rPr>
      </w:pPr>
      <w:r w:rsidRPr="009E094B">
        <w:rPr>
          <w:color w:val="000000"/>
          <w:shd w:val="clear" w:color="auto" w:fill="FFFFFF"/>
        </w:rPr>
        <w:t>83%</w:t>
      </w:r>
      <w:r w:rsidR="00774B0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(49</w:t>
      </w:r>
      <w:r w:rsidR="00774B03">
        <w:rPr>
          <w:color w:val="000000"/>
          <w:shd w:val="clear" w:color="auto" w:fill="FFFFFF"/>
        </w:rPr>
        <w:t>/</w:t>
      </w:r>
      <w:r w:rsidR="0046544B">
        <w:rPr>
          <w:color w:val="000000"/>
          <w:shd w:val="clear" w:color="auto" w:fill="FFFFFF"/>
        </w:rPr>
        <w:t>5</w:t>
      </w:r>
      <w:r w:rsidRPr="009E094B">
        <w:rPr>
          <w:color w:val="000000"/>
          <w:shd w:val="clear" w:color="auto" w:fill="FFFFFF"/>
        </w:rPr>
        <w:t>9</w:t>
      </w:r>
      <w:r w:rsidR="00774B03">
        <w:rPr>
          <w:color w:val="000000"/>
          <w:shd w:val="clear" w:color="auto" w:fill="FFFFFF"/>
        </w:rPr>
        <w:t>)</w:t>
      </w:r>
      <w:r w:rsidRPr="009E094B">
        <w:rPr>
          <w:color w:val="000000"/>
          <w:shd w:val="clear" w:color="auto" w:fill="FFFFFF"/>
        </w:rPr>
        <w:t xml:space="preserve"> institutions invited</w:t>
      </w:r>
      <w:r w:rsidR="00774B03">
        <w:rPr>
          <w:color w:val="000000"/>
          <w:shd w:val="clear" w:color="auto" w:fill="FFFFFF"/>
        </w:rPr>
        <w:t xml:space="preserve"> submitted an individual survey response</w:t>
      </w:r>
      <w:r>
        <w:rPr>
          <w:color w:val="000000"/>
          <w:shd w:val="clear" w:color="auto" w:fill="FFFFFF"/>
        </w:rPr>
        <w:t xml:space="preserve">. 67% of responding sites </w:t>
      </w:r>
      <w:r w:rsidR="00923375">
        <w:rPr>
          <w:color w:val="000000"/>
          <w:shd w:val="clear" w:color="auto" w:fill="FFFFFF"/>
        </w:rPr>
        <w:t>had</w:t>
      </w:r>
      <w:r>
        <w:rPr>
          <w:color w:val="000000"/>
          <w:shd w:val="clear" w:color="auto" w:fill="FFFFFF"/>
        </w:rPr>
        <w:t xml:space="preserve"> a CPG and 63% (31/49) submitted these.</w:t>
      </w:r>
      <w:r w:rsidR="0046544B">
        <w:rPr>
          <w:color w:val="000000"/>
          <w:shd w:val="clear" w:color="auto" w:fill="FFFFFF"/>
        </w:rPr>
        <w:t xml:space="preserve"> </w:t>
      </w:r>
      <w:r w:rsidR="005349F0">
        <w:rPr>
          <w:rFonts w:cs="Arial"/>
        </w:rPr>
        <w:t>CPG</w:t>
      </w:r>
      <w:r w:rsidR="00E135E2">
        <w:rPr>
          <w:rFonts w:cs="Arial"/>
        </w:rPr>
        <w:t xml:space="preserve"> quality </w:t>
      </w:r>
      <w:r w:rsidR="005349F0">
        <w:rPr>
          <w:rFonts w:cs="Arial"/>
        </w:rPr>
        <w:t>was poor</w:t>
      </w:r>
      <w:r w:rsidR="00B64D2A">
        <w:rPr>
          <w:rFonts w:cs="Arial"/>
        </w:rPr>
        <w:t xml:space="preserve"> </w:t>
      </w:r>
      <w:r w:rsidR="0046544B">
        <w:rPr>
          <w:rFonts w:cs="Arial"/>
        </w:rPr>
        <w:t xml:space="preserve">(mean </w:t>
      </w:r>
      <w:r w:rsidR="005349F0">
        <w:rPr>
          <w:rFonts w:cs="Arial"/>
        </w:rPr>
        <w:t>6.</w:t>
      </w:r>
      <w:r w:rsidR="00E135E2">
        <w:rPr>
          <w:rFonts w:cs="Arial"/>
        </w:rPr>
        <w:t>7/35</w:t>
      </w:r>
      <w:r w:rsidR="006D6D8F">
        <w:rPr>
          <w:rFonts w:cs="Arial"/>
        </w:rPr>
        <w:t xml:space="preserve"> </w:t>
      </w:r>
      <w:r w:rsidR="005349F0">
        <w:rPr>
          <w:rFonts w:cs="Arial"/>
        </w:rPr>
        <w:t xml:space="preserve">RIGHT </w:t>
      </w:r>
      <w:r w:rsidR="00774B03">
        <w:rPr>
          <w:rFonts w:cs="Arial"/>
        </w:rPr>
        <w:t>c</w:t>
      </w:r>
      <w:r w:rsidR="005349F0">
        <w:rPr>
          <w:rFonts w:cs="Arial"/>
        </w:rPr>
        <w:t>riteria.</w:t>
      </w:r>
      <w:r w:rsidR="00B64D2A">
        <w:rPr>
          <w:rFonts w:cs="Arial"/>
        </w:rPr>
        <w:t>)</w:t>
      </w:r>
      <w:r w:rsidR="005349F0">
        <w:rPr>
          <w:rFonts w:cs="Arial"/>
        </w:rPr>
        <w:t xml:space="preserve"> </w:t>
      </w:r>
      <w:r w:rsidR="005349F0" w:rsidRPr="0014640A">
        <w:rPr>
          <w:rFonts w:cs="Arial"/>
        </w:rPr>
        <w:t xml:space="preserve">21 different </w:t>
      </w:r>
      <w:r w:rsidR="005349F0" w:rsidRPr="00263B9C">
        <w:rPr>
          <w:rFonts w:cs="Arial"/>
        </w:rPr>
        <w:t>severity</w:t>
      </w:r>
      <w:r w:rsidR="00923375">
        <w:rPr>
          <w:rFonts w:cs="Arial"/>
        </w:rPr>
        <w:t xml:space="preserve"> markers</w:t>
      </w:r>
      <w:r w:rsidR="005349F0" w:rsidRPr="006E5FEB">
        <w:rPr>
          <w:rFonts w:cs="Arial"/>
        </w:rPr>
        <w:t xml:space="preserve"> </w:t>
      </w:r>
      <w:r w:rsidR="005349F0">
        <w:rPr>
          <w:rFonts w:cs="Arial"/>
        </w:rPr>
        <w:t xml:space="preserve">were </w:t>
      </w:r>
      <w:r w:rsidR="005349F0" w:rsidRPr="0014640A">
        <w:rPr>
          <w:rFonts w:cs="Arial"/>
        </w:rPr>
        <w:t>identified across CPGs</w:t>
      </w:r>
      <w:r w:rsidR="00A313A6">
        <w:rPr>
          <w:rFonts w:cs="Arial"/>
        </w:rPr>
        <w:t xml:space="preserve">. </w:t>
      </w:r>
      <w:r w:rsidR="006001CB">
        <w:rPr>
          <w:rFonts w:cs="Arial"/>
        </w:rPr>
        <w:t xml:space="preserve">Most CPGS recommend investigations for severe disease, yet 23% (7/31) advise blood culture universally. </w:t>
      </w:r>
      <w:r w:rsidR="005349F0" w:rsidRPr="0014640A">
        <w:rPr>
          <w:rFonts w:cs="Arial"/>
        </w:rPr>
        <w:t xml:space="preserve">90% of CPGs </w:t>
      </w:r>
      <w:r w:rsidR="00A42905">
        <w:rPr>
          <w:rFonts w:cs="Arial"/>
        </w:rPr>
        <w:t>advise</w:t>
      </w:r>
      <w:r w:rsidR="005349F0" w:rsidRPr="0014640A">
        <w:rPr>
          <w:rFonts w:cs="Arial"/>
        </w:rPr>
        <w:t xml:space="preserve"> discharge with oral antibiotics for milder cases</w:t>
      </w:r>
      <w:r w:rsidR="00B64D2A">
        <w:rPr>
          <w:rFonts w:cs="Arial"/>
        </w:rPr>
        <w:t>,</w:t>
      </w:r>
      <w:r w:rsidR="005349F0" w:rsidRPr="0014640A">
        <w:rPr>
          <w:rFonts w:cs="Arial"/>
        </w:rPr>
        <w:t xml:space="preserve"> </w:t>
      </w:r>
      <w:r w:rsidR="00923375">
        <w:rPr>
          <w:rFonts w:cs="Arial"/>
        </w:rPr>
        <w:t xml:space="preserve">yet </w:t>
      </w:r>
      <w:r w:rsidR="00A313A6" w:rsidRPr="0014640A">
        <w:rPr>
          <w:rFonts w:cs="Arial"/>
        </w:rPr>
        <w:t xml:space="preserve">86% </w:t>
      </w:r>
      <w:r w:rsidR="00B64D2A">
        <w:rPr>
          <w:rFonts w:cs="Arial"/>
        </w:rPr>
        <w:t>of respondents reported department</w:t>
      </w:r>
      <w:r w:rsidR="001326DD">
        <w:rPr>
          <w:rFonts w:cs="Arial"/>
        </w:rPr>
        <w:t>al</w:t>
      </w:r>
      <w:r w:rsidR="00B64D2A">
        <w:rPr>
          <w:rFonts w:cs="Arial"/>
        </w:rPr>
        <w:t xml:space="preserve"> </w:t>
      </w:r>
      <w:r w:rsidR="00A313A6" w:rsidRPr="0014640A">
        <w:rPr>
          <w:rFonts w:cs="Arial"/>
        </w:rPr>
        <w:t>admi</w:t>
      </w:r>
      <w:r w:rsidR="001326DD">
        <w:rPr>
          <w:rFonts w:cs="Arial"/>
        </w:rPr>
        <w:t xml:space="preserve">ssion of </w:t>
      </w:r>
      <w:r w:rsidR="00A313A6" w:rsidRPr="0014640A">
        <w:rPr>
          <w:rFonts w:cs="Arial"/>
        </w:rPr>
        <w:t xml:space="preserve">all </w:t>
      </w:r>
      <w:r w:rsidR="009F1D5C">
        <w:rPr>
          <w:rFonts w:cs="Arial"/>
        </w:rPr>
        <w:t xml:space="preserve">POC </w:t>
      </w:r>
      <w:r w:rsidR="00A313A6" w:rsidRPr="0014640A">
        <w:rPr>
          <w:rFonts w:cs="Arial"/>
        </w:rPr>
        <w:t>patients</w:t>
      </w:r>
      <w:r w:rsidR="005349F0">
        <w:rPr>
          <w:rFonts w:cs="Arial"/>
        </w:rPr>
        <w:t xml:space="preserve">. </w:t>
      </w:r>
      <w:r w:rsidR="00A313A6">
        <w:rPr>
          <w:rFonts w:cs="Arial"/>
        </w:rPr>
        <w:t>Nearly all respondents included proptosis, system</w:t>
      </w:r>
      <w:r w:rsidR="00A42905">
        <w:rPr>
          <w:rFonts w:cs="Arial"/>
        </w:rPr>
        <w:t>ically</w:t>
      </w:r>
      <w:r w:rsidR="00A313A6">
        <w:rPr>
          <w:rFonts w:cs="Arial"/>
        </w:rPr>
        <w:t xml:space="preserve"> </w:t>
      </w:r>
      <w:r w:rsidR="00A42905">
        <w:rPr>
          <w:rFonts w:cs="Arial"/>
        </w:rPr>
        <w:t xml:space="preserve">unwell </w:t>
      </w:r>
      <w:r w:rsidR="00A313A6">
        <w:rPr>
          <w:rFonts w:cs="Arial"/>
        </w:rPr>
        <w:t xml:space="preserve">and visual disturbance as indications for admission; but </w:t>
      </w:r>
      <w:r w:rsidR="00B64D2A">
        <w:rPr>
          <w:rFonts w:cs="Arial"/>
        </w:rPr>
        <w:t>differed</w:t>
      </w:r>
      <w:r w:rsidR="00A313A6">
        <w:rPr>
          <w:rFonts w:cs="Arial"/>
        </w:rPr>
        <w:t xml:space="preserve"> regarding</w:t>
      </w:r>
      <w:r w:rsidR="00B64D2A">
        <w:rPr>
          <w:rFonts w:cs="Arial"/>
        </w:rPr>
        <w:t xml:space="preserve"> importance of</w:t>
      </w:r>
      <w:r w:rsidR="00A313A6">
        <w:rPr>
          <w:rFonts w:cs="Arial"/>
        </w:rPr>
        <w:t xml:space="preserve"> </w:t>
      </w:r>
      <w:r w:rsidR="00B64D2A">
        <w:rPr>
          <w:rFonts w:cs="Arial"/>
        </w:rPr>
        <w:t>other signs</w:t>
      </w:r>
      <w:r w:rsidR="005349F0">
        <w:rPr>
          <w:rFonts w:cs="Arial"/>
        </w:rPr>
        <w:t xml:space="preserve">. </w:t>
      </w:r>
      <w:r w:rsidR="00A313A6">
        <w:rPr>
          <w:rFonts w:cs="Arial"/>
        </w:rPr>
        <w:t xml:space="preserve"> </w:t>
      </w:r>
    </w:p>
    <w:p w14:paraId="05A2E051" w14:textId="4C085B2B" w:rsidR="00723ED7" w:rsidRPr="00124021" w:rsidRDefault="00E522DA" w:rsidP="006C4682">
      <w:pPr>
        <w:spacing w:line="480" w:lineRule="auto"/>
        <w:rPr>
          <w:rFonts w:cs="Arial"/>
          <w:b/>
        </w:rPr>
      </w:pPr>
      <w:r>
        <w:rPr>
          <w:rFonts w:cs="Arial"/>
          <w:b/>
        </w:rPr>
        <w:t>Conclusions</w:t>
      </w:r>
    </w:p>
    <w:p w14:paraId="548428D0" w14:textId="7C3907B4" w:rsidR="00723ED7" w:rsidRDefault="00723ED7" w:rsidP="006C4682">
      <w:pPr>
        <w:spacing w:line="480" w:lineRule="auto"/>
        <w:rPr>
          <w:rFonts w:cs="Arial"/>
        </w:rPr>
      </w:pPr>
      <w:r w:rsidRPr="0014640A">
        <w:rPr>
          <w:rFonts w:cs="Arial"/>
        </w:rPr>
        <w:lastRenderedPageBreak/>
        <w:t>We demonstrated variation in practice</w:t>
      </w:r>
      <w:r>
        <w:rPr>
          <w:rFonts w:cs="Arial"/>
        </w:rPr>
        <w:t xml:space="preserve"> </w:t>
      </w:r>
      <w:r w:rsidRPr="0014640A">
        <w:rPr>
          <w:rFonts w:cs="Arial"/>
        </w:rPr>
        <w:t>across</w:t>
      </w:r>
      <w:r w:rsidR="00226E89">
        <w:rPr>
          <w:rFonts w:cs="Arial"/>
        </w:rPr>
        <w:t xml:space="preserve"> the</w:t>
      </w:r>
      <w:r w:rsidRPr="0014640A">
        <w:rPr>
          <w:rFonts w:cs="Arial"/>
        </w:rPr>
        <w:t xml:space="preserve"> </w:t>
      </w:r>
      <w:r w:rsidR="00226E89">
        <w:rPr>
          <w:rFonts w:cs="Arial"/>
        </w:rPr>
        <w:t xml:space="preserve">PERUKI network </w:t>
      </w:r>
      <w:r w:rsidRPr="0014640A">
        <w:rPr>
          <w:rFonts w:cs="Arial"/>
        </w:rPr>
        <w:t xml:space="preserve">in </w:t>
      </w:r>
      <w:r w:rsidR="005349F0">
        <w:rPr>
          <w:rFonts w:cs="Arial"/>
        </w:rPr>
        <w:t>assessment of severity</w:t>
      </w:r>
      <w:r w:rsidR="005349F0" w:rsidRPr="0014640A">
        <w:rPr>
          <w:rFonts w:cs="Arial"/>
        </w:rPr>
        <w:t xml:space="preserve"> </w:t>
      </w:r>
      <w:r w:rsidRPr="0014640A">
        <w:rPr>
          <w:rFonts w:cs="Arial"/>
        </w:rPr>
        <w:t xml:space="preserve">and management of </w:t>
      </w:r>
      <w:r w:rsidR="009F1D5C">
        <w:rPr>
          <w:rFonts w:cs="Arial"/>
        </w:rPr>
        <w:t>POC</w:t>
      </w:r>
      <w:r w:rsidR="008F4945">
        <w:rPr>
          <w:rFonts w:cs="Arial"/>
        </w:rPr>
        <w:t>.</w:t>
      </w:r>
      <w:r w:rsidR="00A6605F">
        <w:rPr>
          <w:rFonts w:cs="Arial"/>
        </w:rPr>
        <w:t xml:space="preserve"> CPGs</w:t>
      </w:r>
      <w:r w:rsidR="00226E89">
        <w:rPr>
          <w:rFonts w:cs="Arial"/>
        </w:rPr>
        <w:t xml:space="preserve"> </w:t>
      </w:r>
      <w:r w:rsidR="008F4945">
        <w:rPr>
          <w:rFonts w:cs="Arial"/>
        </w:rPr>
        <w:t>vary in recommendations</w:t>
      </w:r>
      <w:r w:rsidR="00974041">
        <w:rPr>
          <w:rFonts w:cs="Arial"/>
        </w:rPr>
        <w:t>,</w:t>
      </w:r>
      <w:r w:rsidR="008F4945">
        <w:rPr>
          <w:rFonts w:cs="Arial"/>
        </w:rPr>
        <w:t xml:space="preserve"> and </w:t>
      </w:r>
      <w:r w:rsidR="00A6605F">
        <w:rPr>
          <w:rFonts w:cs="Arial"/>
        </w:rPr>
        <w:t>clinical practice</w:t>
      </w:r>
      <w:r w:rsidR="008F4945">
        <w:rPr>
          <w:rFonts w:cs="Arial"/>
        </w:rPr>
        <w:t xml:space="preserve"> appears to differ from CPGs. </w:t>
      </w:r>
      <w:r w:rsidR="00A6605F">
        <w:rPr>
          <w:rFonts w:cs="Arial"/>
        </w:rPr>
        <w:t xml:space="preserve"> </w:t>
      </w:r>
      <w:r w:rsidRPr="0014640A">
        <w:rPr>
          <w:rFonts w:cs="Arial"/>
        </w:rPr>
        <w:t xml:space="preserve"> Guidelines were generally of poor quality when compared against RIGHT standards.</w:t>
      </w:r>
    </w:p>
    <w:p w14:paraId="1E182937" w14:textId="1FF1F029" w:rsidR="00566633" w:rsidRDefault="00566633" w:rsidP="006C4682">
      <w:pPr>
        <w:spacing w:line="480" w:lineRule="auto"/>
        <w:rPr>
          <w:rFonts w:cs="Arial"/>
        </w:rPr>
      </w:pPr>
    </w:p>
    <w:p w14:paraId="69A8EB29" w14:textId="77777777" w:rsidR="00B61002" w:rsidRDefault="00B61002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1F970BD2" w14:textId="192CE063" w:rsidR="00566633" w:rsidRPr="00566633" w:rsidRDefault="00566633" w:rsidP="006C4682">
      <w:pPr>
        <w:spacing w:line="480" w:lineRule="auto"/>
        <w:rPr>
          <w:rFonts w:cs="Arial"/>
          <w:b/>
          <w:bCs/>
        </w:rPr>
      </w:pPr>
      <w:r w:rsidRPr="00566633">
        <w:rPr>
          <w:rFonts w:cs="Arial"/>
          <w:b/>
          <w:bCs/>
        </w:rPr>
        <w:lastRenderedPageBreak/>
        <w:t>What is known on this subject?</w:t>
      </w:r>
    </w:p>
    <w:p w14:paraId="6AE8E8D2" w14:textId="08B487F6" w:rsidR="00566633" w:rsidRPr="00566633" w:rsidRDefault="00566633" w:rsidP="006D6D8F">
      <w:pPr>
        <w:spacing w:line="480" w:lineRule="auto"/>
        <w:ind w:left="720" w:hanging="720"/>
        <w:rPr>
          <w:rFonts w:cs="Arial"/>
        </w:rPr>
      </w:pPr>
      <w:r w:rsidRPr="00566633">
        <w:rPr>
          <w:rFonts w:cs="Arial"/>
        </w:rPr>
        <w:t>•</w:t>
      </w:r>
      <w:r w:rsidRPr="00566633">
        <w:rPr>
          <w:rFonts w:cs="Arial"/>
        </w:rPr>
        <w:tab/>
        <w:t>Periorbital infection is relatively common in children</w:t>
      </w:r>
      <w:r w:rsidR="00410AF5">
        <w:rPr>
          <w:rFonts w:cs="Arial"/>
        </w:rPr>
        <w:t xml:space="preserve"> although r</w:t>
      </w:r>
      <w:r w:rsidR="00B61002">
        <w:rPr>
          <w:rFonts w:cs="Arial"/>
        </w:rPr>
        <w:t>isks of the most serious complications have been reduced by s</w:t>
      </w:r>
      <w:r w:rsidRPr="00566633">
        <w:rPr>
          <w:rFonts w:cs="Arial"/>
        </w:rPr>
        <w:t>uccessful vaccination programmes</w:t>
      </w:r>
    </w:p>
    <w:p w14:paraId="2177FD6C" w14:textId="06450B13" w:rsidR="00566633" w:rsidRDefault="00566633" w:rsidP="00566633">
      <w:pPr>
        <w:spacing w:line="480" w:lineRule="auto"/>
        <w:ind w:left="720" w:hanging="720"/>
        <w:rPr>
          <w:rFonts w:cs="Arial"/>
        </w:rPr>
      </w:pPr>
      <w:r w:rsidRPr="00566633">
        <w:rPr>
          <w:rFonts w:cs="Arial"/>
        </w:rPr>
        <w:t>•</w:t>
      </w:r>
      <w:r w:rsidRPr="00566633">
        <w:rPr>
          <w:rFonts w:cs="Arial"/>
        </w:rPr>
        <w:tab/>
      </w:r>
      <w:r w:rsidR="00EC6557">
        <w:rPr>
          <w:rFonts w:cs="Arial"/>
        </w:rPr>
        <w:t>There has been no large-scale assessment of practice for management of this infection and no national or international guidelines exist.</w:t>
      </w:r>
    </w:p>
    <w:p w14:paraId="6C10A21D" w14:textId="55282F97" w:rsidR="00566633" w:rsidRDefault="00566633" w:rsidP="00566633">
      <w:pPr>
        <w:spacing w:line="480" w:lineRule="auto"/>
        <w:ind w:left="720" w:hanging="720"/>
        <w:rPr>
          <w:rFonts w:cs="Arial"/>
        </w:rPr>
      </w:pPr>
    </w:p>
    <w:p w14:paraId="01B693D8" w14:textId="07CF5457" w:rsidR="00566633" w:rsidRPr="00566633" w:rsidRDefault="00566633" w:rsidP="00566633">
      <w:pPr>
        <w:spacing w:line="480" w:lineRule="auto"/>
        <w:ind w:left="720" w:hanging="720"/>
        <w:rPr>
          <w:rFonts w:cs="Arial"/>
          <w:b/>
          <w:bCs/>
        </w:rPr>
      </w:pPr>
      <w:r w:rsidRPr="00566633">
        <w:rPr>
          <w:rFonts w:cs="Arial"/>
          <w:b/>
          <w:bCs/>
        </w:rPr>
        <w:t>What this study adds?</w:t>
      </w:r>
    </w:p>
    <w:p w14:paraId="5246D61C" w14:textId="432631D3" w:rsidR="00566633" w:rsidRPr="00566633" w:rsidRDefault="00566633" w:rsidP="00EC6557">
      <w:pPr>
        <w:spacing w:line="480" w:lineRule="auto"/>
        <w:ind w:left="720" w:hanging="720"/>
        <w:rPr>
          <w:rFonts w:cs="Arial"/>
        </w:rPr>
      </w:pPr>
      <w:r w:rsidRPr="00566633">
        <w:rPr>
          <w:rFonts w:cs="Arial"/>
        </w:rPr>
        <w:t>•</w:t>
      </w:r>
      <w:r w:rsidRPr="00566633">
        <w:rPr>
          <w:rFonts w:cs="Arial"/>
        </w:rPr>
        <w:tab/>
      </w:r>
      <w:r w:rsidR="003C6890">
        <w:rPr>
          <w:rFonts w:cs="Arial"/>
        </w:rPr>
        <w:t xml:space="preserve">In </w:t>
      </w:r>
      <w:r w:rsidR="00EC6557">
        <w:rPr>
          <w:rFonts w:cs="Arial"/>
        </w:rPr>
        <w:t xml:space="preserve">this survey </w:t>
      </w:r>
      <w:r w:rsidR="00FC3586">
        <w:rPr>
          <w:rFonts w:cs="Arial"/>
        </w:rPr>
        <w:t>of respondents</w:t>
      </w:r>
      <w:r w:rsidR="00EC6557">
        <w:rPr>
          <w:rFonts w:cs="Arial"/>
        </w:rPr>
        <w:t xml:space="preserve"> from PERUKI sites, we found that t</w:t>
      </w:r>
      <w:r w:rsidR="00EC6557" w:rsidRPr="00566633">
        <w:rPr>
          <w:rFonts w:cs="Arial"/>
        </w:rPr>
        <w:t>he assessment of severity, the approach to investigation</w:t>
      </w:r>
      <w:r w:rsidR="00EC6557">
        <w:rPr>
          <w:rFonts w:cs="Arial"/>
        </w:rPr>
        <w:t xml:space="preserve">, </w:t>
      </w:r>
      <w:r w:rsidR="00EC6557" w:rsidRPr="00566633">
        <w:rPr>
          <w:rFonts w:cs="Arial"/>
        </w:rPr>
        <w:t>management and follow up varies significantly between institutions</w:t>
      </w:r>
      <w:r w:rsidR="00EC6557">
        <w:rPr>
          <w:rFonts w:cs="Arial"/>
        </w:rPr>
        <w:t xml:space="preserve">. </w:t>
      </w:r>
      <w:r w:rsidR="003C6890">
        <w:rPr>
          <w:rFonts w:cs="Arial"/>
        </w:rPr>
        <w:t>CPGs</w:t>
      </w:r>
      <w:r w:rsidR="00EC6557">
        <w:rPr>
          <w:rFonts w:cs="Arial"/>
        </w:rPr>
        <w:t xml:space="preserve"> </w:t>
      </w:r>
      <w:r w:rsidRPr="00566633">
        <w:rPr>
          <w:rFonts w:cs="Arial"/>
        </w:rPr>
        <w:t>var</w:t>
      </w:r>
      <w:r w:rsidR="003C6890">
        <w:rPr>
          <w:rFonts w:cs="Arial"/>
        </w:rPr>
        <w:t>y significantly, and</w:t>
      </w:r>
      <w:r w:rsidRPr="00566633">
        <w:rPr>
          <w:rFonts w:cs="Arial"/>
        </w:rPr>
        <w:t xml:space="preserve"> no CPG report</w:t>
      </w:r>
      <w:r w:rsidR="003C6890">
        <w:rPr>
          <w:rFonts w:cs="Arial"/>
        </w:rPr>
        <w:t>s</w:t>
      </w:r>
      <w:r w:rsidRPr="00566633">
        <w:rPr>
          <w:rFonts w:cs="Arial"/>
        </w:rPr>
        <w:t xml:space="preserve"> if or how evidence from clinical research has been used in its development</w:t>
      </w:r>
    </w:p>
    <w:p w14:paraId="0290E1B1" w14:textId="5ADC9606" w:rsidR="00566633" w:rsidRPr="00566633" w:rsidRDefault="00566633" w:rsidP="00566633">
      <w:pPr>
        <w:spacing w:line="480" w:lineRule="auto"/>
        <w:ind w:left="720" w:hanging="720"/>
        <w:rPr>
          <w:rFonts w:cs="Arial"/>
        </w:rPr>
      </w:pPr>
      <w:r w:rsidRPr="00566633">
        <w:rPr>
          <w:rFonts w:cs="Arial"/>
        </w:rPr>
        <w:t>•</w:t>
      </w:r>
      <w:r w:rsidRPr="00566633">
        <w:rPr>
          <w:rFonts w:cs="Arial"/>
        </w:rPr>
        <w:tab/>
      </w:r>
      <w:r w:rsidR="00EC6557">
        <w:rPr>
          <w:rFonts w:cs="Arial"/>
        </w:rPr>
        <w:t xml:space="preserve">Respondents frequently reported practice inconsistent with the CPG. </w:t>
      </w:r>
    </w:p>
    <w:p w14:paraId="37E3388A" w14:textId="200C82ED" w:rsidR="00566633" w:rsidRPr="0014640A" w:rsidRDefault="00566633" w:rsidP="00566633">
      <w:pPr>
        <w:spacing w:line="480" w:lineRule="auto"/>
        <w:ind w:left="720" w:hanging="720"/>
        <w:rPr>
          <w:rFonts w:cs="Arial"/>
        </w:rPr>
      </w:pPr>
      <w:r w:rsidRPr="00566633">
        <w:rPr>
          <w:rFonts w:cs="Arial"/>
        </w:rPr>
        <w:t>•</w:t>
      </w:r>
      <w:r w:rsidRPr="00566633">
        <w:rPr>
          <w:rFonts w:cs="Arial"/>
        </w:rPr>
        <w:tab/>
      </w:r>
      <w:r w:rsidR="00EC6557">
        <w:rPr>
          <w:rFonts w:cs="Arial"/>
        </w:rPr>
        <w:t>These findings suggest</w:t>
      </w:r>
      <w:r w:rsidRPr="00566633">
        <w:rPr>
          <w:rFonts w:cs="Arial"/>
        </w:rPr>
        <w:t xml:space="preserve"> a need for periorbital and orbital cellulitis national consensus guidance</w:t>
      </w:r>
    </w:p>
    <w:p w14:paraId="21E3C0BF" w14:textId="77777777" w:rsidR="00472457" w:rsidRDefault="00472457" w:rsidP="006C4682">
      <w:pPr>
        <w:spacing w:line="480" w:lineRule="auto"/>
        <w:rPr>
          <w:rFonts w:cs="Arial"/>
          <w:b/>
        </w:rPr>
      </w:pPr>
    </w:p>
    <w:p w14:paraId="7141ACD4" w14:textId="77777777" w:rsidR="003B3341" w:rsidRDefault="003B3341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27F82F6" w14:textId="3BAA8C0E" w:rsidR="00C039A8" w:rsidRPr="006C4682" w:rsidRDefault="003D2BD9" w:rsidP="00C039A8">
      <w:pPr>
        <w:spacing w:line="480" w:lineRule="auto"/>
        <w:rPr>
          <w:rFonts w:cs="Arial"/>
          <w:b/>
        </w:rPr>
      </w:pPr>
      <w:r w:rsidRPr="009E78DA">
        <w:rPr>
          <w:rFonts w:cs="Arial"/>
          <w:b/>
        </w:rPr>
        <w:lastRenderedPageBreak/>
        <w:t>INTRODUCTION</w:t>
      </w:r>
    </w:p>
    <w:p w14:paraId="1171CF02" w14:textId="5A3268C6" w:rsidR="00974D7C" w:rsidRPr="00124021" w:rsidRDefault="00C039A8" w:rsidP="00C039A8">
      <w:pPr>
        <w:spacing w:line="480" w:lineRule="auto"/>
        <w:jc w:val="both"/>
        <w:rPr>
          <w:rFonts w:cs="Arial"/>
          <w:color w:val="000000" w:themeColor="text1"/>
          <w:vertAlign w:val="superscript"/>
        </w:rPr>
      </w:pPr>
      <w:r w:rsidRPr="009E78DA">
        <w:rPr>
          <w:rFonts w:cs="Arial"/>
        </w:rPr>
        <w:t xml:space="preserve">Periorbital infection is a common </w:t>
      </w:r>
      <w:r>
        <w:rPr>
          <w:rFonts w:cs="Arial"/>
        </w:rPr>
        <w:t xml:space="preserve">paediatric </w:t>
      </w:r>
      <w:r w:rsidRPr="009E78DA">
        <w:rPr>
          <w:rFonts w:cs="Arial"/>
        </w:rPr>
        <w:t>presentation.</w:t>
      </w:r>
      <w:r w:rsidRPr="009E78DA">
        <w:rPr>
          <w:rFonts w:cs="Arial"/>
          <w:vertAlign w:val="superscript"/>
        </w:rPr>
        <w:t>1</w:t>
      </w:r>
      <w:r>
        <w:rPr>
          <w:rFonts w:cs="Arial"/>
          <w:vertAlign w:val="superscript"/>
        </w:rPr>
        <w:t>-3</w:t>
      </w:r>
      <w:r w:rsidRPr="009E78DA">
        <w:rPr>
          <w:rFonts w:cs="Arial"/>
        </w:rPr>
        <w:t xml:space="preserve"> </w:t>
      </w:r>
      <w:r>
        <w:rPr>
          <w:rFonts w:cs="Arial"/>
        </w:rPr>
        <w:t>Normally</w:t>
      </w:r>
      <w:r w:rsidRPr="009E78DA">
        <w:rPr>
          <w:rFonts w:cs="Arial"/>
        </w:rPr>
        <w:t>, infection remains anterior to the orbital septum (</w:t>
      </w:r>
      <w:proofErr w:type="spellStart"/>
      <w:r w:rsidRPr="009E78DA">
        <w:rPr>
          <w:rFonts w:cs="Arial"/>
        </w:rPr>
        <w:t>preseptal</w:t>
      </w:r>
      <w:proofErr w:type="spellEnd"/>
      <w:r w:rsidRPr="009E78DA">
        <w:rPr>
          <w:rFonts w:cs="Arial"/>
        </w:rPr>
        <w:t xml:space="preserve"> cellulitis)</w:t>
      </w:r>
      <w:r w:rsidR="0025130D">
        <w:rPr>
          <w:rFonts w:cs="Arial"/>
        </w:rPr>
        <w:t>. When infection</w:t>
      </w:r>
      <w:r w:rsidRPr="009E78DA">
        <w:rPr>
          <w:rFonts w:cs="Arial"/>
        </w:rPr>
        <w:t xml:space="preserve"> extend</w:t>
      </w:r>
      <w:r w:rsidR="0025130D">
        <w:rPr>
          <w:rFonts w:cs="Arial"/>
        </w:rPr>
        <w:t>s</w:t>
      </w:r>
      <w:r w:rsidRPr="009E78DA">
        <w:rPr>
          <w:rFonts w:cs="Arial"/>
        </w:rPr>
        <w:t xml:space="preserve"> </w:t>
      </w:r>
      <w:r w:rsidR="0025130D">
        <w:rPr>
          <w:rFonts w:cs="Arial"/>
        </w:rPr>
        <w:t>further</w:t>
      </w:r>
      <w:r w:rsidRPr="009E78DA">
        <w:rPr>
          <w:rFonts w:cs="Arial"/>
        </w:rPr>
        <w:t xml:space="preserve"> (orbital cellulitis</w:t>
      </w:r>
      <w:r w:rsidR="0025130D">
        <w:rPr>
          <w:rFonts w:cs="Arial"/>
        </w:rPr>
        <w:t xml:space="preserve">) there is </w:t>
      </w:r>
      <w:r>
        <w:rPr>
          <w:rFonts w:cs="Arial"/>
        </w:rPr>
        <w:t>potential</w:t>
      </w:r>
      <w:r w:rsidRPr="009E78DA">
        <w:rPr>
          <w:rFonts w:cs="Arial"/>
        </w:rPr>
        <w:t xml:space="preserve"> risk to </w:t>
      </w:r>
      <w:r w:rsidR="004D3F89">
        <w:rPr>
          <w:rFonts w:cs="Arial"/>
        </w:rPr>
        <w:t>sight</w:t>
      </w:r>
      <w:r w:rsidR="00891518">
        <w:rPr>
          <w:rFonts w:cs="Arial"/>
        </w:rPr>
        <w:t xml:space="preserve">, </w:t>
      </w:r>
      <w:r w:rsidRPr="009E78DA">
        <w:rPr>
          <w:rFonts w:cs="Arial"/>
        </w:rPr>
        <w:t>a</w:t>
      </w:r>
      <w:r>
        <w:rPr>
          <w:rFonts w:cs="Arial"/>
        </w:rPr>
        <w:t>nd</w:t>
      </w:r>
      <w:r w:rsidRPr="009E78DA">
        <w:rPr>
          <w:rFonts w:cs="Arial"/>
        </w:rPr>
        <w:t xml:space="preserve"> </w:t>
      </w:r>
      <w:r w:rsidR="004D3F89">
        <w:rPr>
          <w:rFonts w:cs="Arial"/>
        </w:rPr>
        <w:t xml:space="preserve">of </w:t>
      </w:r>
      <w:r w:rsidRPr="009E78DA">
        <w:rPr>
          <w:rFonts w:cs="Arial"/>
        </w:rPr>
        <w:t>life-threatening intracranial sequelae</w:t>
      </w:r>
      <w:r w:rsidR="0025130D">
        <w:rPr>
          <w:rFonts w:cs="Arial"/>
        </w:rPr>
        <w:t>,</w:t>
      </w:r>
      <w:r w:rsidRPr="009E78DA">
        <w:rPr>
          <w:rFonts w:cs="Arial"/>
        </w:rPr>
        <w:t xml:space="preserve"> </w:t>
      </w:r>
      <w:r>
        <w:rPr>
          <w:rFonts w:cs="Arial"/>
        </w:rPr>
        <w:t>including</w:t>
      </w:r>
      <w:r w:rsidRPr="009E78DA">
        <w:rPr>
          <w:rFonts w:cs="Arial"/>
        </w:rPr>
        <w:t xml:space="preserve"> meningitis, cerebral abscess or cavernous sinus thrombosis.</w:t>
      </w:r>
      <w:r w:rsidRPr="009E78DA">
        <w:rPr>
          <w:rFonts w:cs="Arial"/>
          <w:vertAlign w:val="superscript"/>
        </w:rPr>
        <w:t>1-4</w:t>
      </w:r>
      <w:r>
        <w:rPr>
          <w:rFonts w:cs="Arial"/>
          <w:vertAlign w:val="superscript"/>
        </w:rPr>
        <w:t xml:space="preserve"> </w:t>
      </w:r>
      <w:r w:rsidRPr="009E78DA">
        <w:rPr>
          <w:rFonts w:cs="Arial"/>
        </w:rPr>
        <w:t>The</w:t>
      </w:r>
      <w:r w:rsidR="002B463A">
        <w:rPr>
          <w:rFonts w:cs="Arial"/>
        </w:rPr>
        <w:t xml:space="preserve"> risk of these</w:t>
      </w:r>
      <w:r>
        <w:rPr>
          <w:rFonts w:cs="Arial"/>
        </w:rPr>
        <w:t xml:space="preserve"> traditionally </w:t>
      </w:r>
      <w:r w:rsidRPr="009E78DA">
        <w:rPr>
          <w:rFonts w:cs="Arial"/>
        </w:rPr>
        <w:t>mandate</w:t>
      </w:r>
      <w:r>
        <w:rPr>
          <w:rFonts w:cs="Arial"/>
        </w:rPr>
        <w:t>d cautious management with intravenous antibiotic</w:t>
      </w:r>
      <w:r w:rsidR="00EB53D1">
        <w:rPr>
          <w:rFonts w:cs="Arial"/>
        </w:rPr>
        <w:t>s</w:t>
      </w:r>
      <w:r w:rsidR="002B463A">
        <w:rPr>
          <w:rFonts w:cs="Arial"/>
        </w:rPr>
        <w:t>. H</w:t>
      </w:r>
      <w:r w:rsidR="00EB53D1">
        <w:rPr>
          <w:rFonts w:cs="Arial"/>
        </w:rPr>
        <w:t>owever</w:t>
      </w:r>
      <w:r w:rsidR="000C11BE">
        <w:rPr>
          <w:rFonts w:cs="Arial"/>
        </w:rPr>
        <w:t>,</w:t>
      </w:r>
      <w:r w:rsidR="00EB53D1">
        <w:rPr>
          <w:rFonts w:cs="Arial"/>
        </w:rPr>
        <w:t xml:space="preserve"> </w:t>
      </w:r>
      <w:r w:rsidR="00D26332">
        <w:rPr>
          <w:rFonts w:cs="Arial"/>
        </w:rPr>
        <w:t>complications</w:t>
      </w:r>
      <w:r w:rsidR="00EB53D1">
        <w:rPr>
          <w:rFonts w:cs="Arial"/>
        </w:rPr>
        <w:t xml:space="preserve"> </w:t>
      </w:r>
      <w:r w:rsidR="002B463A">
        <w:rPr>
          <w:rFonts w:cs="Arial"/>
        </w:rPr>
        <w:t>ha</w:t>
      </w:r>
      <w:r w:rsidR="00D26332">
        <w:rPr>
          <w:rFonts w:cs="Arial"/>
        </w:rPr>
        <w:t>ve</w:t>
      </w:r>
      <w:r w:rsidR="002B463A">
        <w:rPr>
          <w:rFonts w:cs="Arial"/>
        </w:rPr>
        <w:t xml:space="preserve"> decreased </w:t>
      </w:r>
      <w:r w:rsidRPr="009E78DA">
        <w:rPr>
          <w:rFonts w:cs="Arial"/>
        </w:rPr>
        <w:t xml:space="preserve">with </w:t>
      </w:r>
      <w:r w:rsidRPr="009E78DA">
        <w:rPr>
          <w:rFonts w:cs="Arial"/>
          <w:i/>
          <w:iCs/>
        </w:rPr>
        <w:t>Haemophilus influenza</w:t>
      </w:r>
      <w:r w:rsidRPr="009E78DA">
        <w:rPr>
          <w:rFonts w:cs="Arial"/>
        </w:rPr>
        <w:t xml:space="preserve"> type B </w:t>
      </w:r>
      <w:r w:rsidR="002B463A">
        <w:rPr>
          <w:rFonts w:cs="Arial"/>
        </w:rPr>
        <w:t>vaccination programmes</w:t>
      </w:r>
      <w:r w:rsidR="00D26332">
        <w:rPr>
          <w:rFonts w:cs="Arial"/>
        </w:rPr>
        <w:t>,</w:t>
      </w:r>
      <w:r>
        <w:rPr>
          <w:rFonts w:cs="Arial"/>
          <w:vertAlign w:val="superscript"/>
        </w:rPr>
        <w:t>5</w:t>
      </w:r>
      <w:r>
        <w:rPr>
          <w:rFonts w:cs="Arial"/>
        </w:rPr>
        <w:t xml:space="preserve"> </w:t>
      </w:r>
      <w:r w:rsidR="00D26332">
        <w:rPr>
          <w:rFonts w:cs="Arial"/>
        </w:rPr>
        <w:t xml:space="preserve">and </w:t>
      </w:r>
      <w:r>
        <w:rPr>
          <w:rFonts w:cs="Arial"/>
        </w:rPr>
        <w:t xml:space="preserve">changes in practice including </w:t>
      </w:r>
      <w:r w:rsidRPr="009E78DA">
        <w:rPr>
          <w:rFonts w:cs="Arial"/>
        </w:rPr>
        <w:t xml:space="preserve">ambulatory </w:t>
      </w:r>
      <w:r>
        <w:rPr>
          <w:rFonts w:cs="Arial"/>
        </w:rPr>
        <w:t xml:space="preserve">intravenous </w:t>
      </w:r>
      <w:r w:rsidRPr="009E78DA">
        <w:rPr>
          <w:rFonts w:cs="Arial"/>
        </w:rPr>
        <w:t xml:space="preserve">treatment, minimal investigations and </w:t>
      </w:r>
      <w:r>
        <w:rPr>
          <w:rFonts w:cs="Arial"/>
        </w:rPr>
        <w:t>first</w:t>
      </w:r>
      <w:r w:rsidR="006318C8">
        <w:rPr>
          <w:rFonts w:cs="Arial"/>
        </w:rPr>
        <w:t>-l</w:t>
      </w:r>
      <w:r>
        <w:rPr>
          <w:rFonts w:cs="Arial"/>
        </w:rPr>
        <w:t xml:space="preserve">ine </w:t>
      </w:r>
      <w:r w:rsidRPr="009E78DA">
        <w:rPr>
          <w:rFonts w:cs="Arial"/>
        </w:rPr>
        <w:t>oral antibiotics</w:t>
      </w:r>
      <w:r w:rsidR="00D26332">
        <w:rPr>
          <w:rFonts w:cs="Arial"/>
        </w:rPr>
        <w:t xml:space="preserve"> have resulted</w:t>
      </w:r>
      <w:r w:rsidRPr="009E78DA">
        <w:rPr>
          <w:rFonts w:cs="Arial"/>
        </w:rPr>
        <w:t>.</w:t>
      </w:r>
      <w:r>
        <w:rPr>
          <w:rFonts w:cs="Arial"/>
        </w:rPr>
        <w:t xml:space="preserve"> </w:t>
      </w:r>
      <w:r w:rsidR="00974D7C" w:rsidRPr="00124021">
        <w:rPr>
          <w:rFonts w:cs="Arial"/>
          <w:color w:val="000000" w:themeColor="text1"/>
        </w:rPr>
        <w:t>To date, only s</w:t>
      </w:r>
      <w:r w:rsidRPr="00124021">
        <w:rPr>
          <w:rFonts w:cs="Arial"/>
          <w:color w:val="000000" w:themeColor="text1"/>
        </w:rPr>
        <w:t>mall</w:t>
      </w:r>
      <w:r w:rsidR="00D81F44" w:rsidRPr="00124021">
        <w:rPr>
          <w:rFonts w:cs="Arial"/>
          <w:color w:val="000000" w:themeColor="text1"/>
        </w:rPr>
        <w:t>-</w:t>
      </w:r>
      <w:r w:rsidRPr="00124021">
        <w:rPr>
          <w:rFonts w:cs="Arial"/>
          <w:color w:val="000000" w:themeColor="text1"/>
        </w:rPr>
        <w:t>scale audit of this practice</w:t>
      </w:r>
      <w:r w:rsidR="00974D7C" w:rsidRPr="00124021">
        <w:rPr>
          <w:rFonts w:cs="Arial"/>
          <w:color w:val="000000" w:themeColor="text1"/>
        </w:rPr>
        <w:t xml:space="preserve"> change</w:t>
      </w:r>
      <w:r w:rsidRPr="00124021">
        <w:rPr>
          <w:rFonts w:cs="Arial"/>
          <w:color w:val="000000" w:themeColor="text1"/>
        </w:rPr>
        <w:t xml:space="preserve"> has </w:t>
      </w:r>
      <w:r w:rsidR="0020226D">
        <w:rPr>
          <w:rFonts w:cs="Arial"/>
          <w:color w:val="000000" w:themeColor="text1"/>
        </w:rPr>
        <w:t>occurred</w:t>
      </w:r>
      <w:r w:rsidRPr="00124021">
        <w:rPr>
          <w:rFonts w:cs="Arial"/>
          <w:color w:val="000000" w:themeColor="text1"/>
        </w:rPr>
        <w:t>.</w:t>
      </w:r>
      <w:r w:rsidRPr="00124021">
        <w:rPr>
          <w:rFonts w:cs="Arial"/>
          <w:color w:val="000000" w:themeColor="text1"/>
          <w:vertAlign w:val="superscript"/>
        </w:rPr>
        <w:t xml:space="preserve">6  </w:t>
      </w:r>
    </w:p>
    <w:p w14:paraId="73C9AB3F" w14:textId="77777777" w:rsidR="00974D7C" w:rsidRDefault="00974D7C" w:rsidP="00C039A8">
      <w:pPr>
        <w:spacing w:line="480" w:lineRule="auto"/>
        <w:jc w:val="both"/>
        <w:rPr>
          <w:rFonts w:cs="Arial"/>
          <w:vertAlign w:val="superscript"/>
        </w:rPr>
      </w:pPr>
    </w:p>
    <w:p w14:paraId="77F7B3C2" w14:textId="67C5AF8D" w:rsidR="00711DE9" w:rsidRDefault="00C039A8" w:rsidP="00C039A8">
      <w:pPr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There is no </w:t>
      </w:r>
      <w:r w:rsidRPr="009E78DA">
        <w:rPr>
          <w:rFonts w:cs="Arial"/>
        </w:rPr>
        <w:t xml:space="preserve">national </w:t>
      </w:r>
      <w:r>
        <w:rPr>
          <w:rFonts w:cs="Arial"/>
        </w:rPr>
        <w:t xml:space="preserve">clinical </w:t>
      </w:r>
      <w:r w:rsidR="009F51F7">
        <w:rPr>
          <w:rFonts w:cs="Arial"/>
        </w:rPr>
        <w:t xml:space="preserve">practice </w:t>
      </w:r>
      <w:r w:rsidRPr="009E78DA">
        <w:rPr>
          <w:rFonts w:cs="Arial"/>
        </w:rPr>
        <w:t>guideline</w:t>
      </w:r>
      <w:r w:rsidR="009F51F7">
        <w:rPr>
          <w:rFonts w:cs="Arial"/>
        </w:rPr>
        <w:t xml:space="preserve"> (CPG)</w:t>
      </w:r>
      <w:r>
        <w:rPr>
          <w:rFonts w:cs="Arial"/>
        </w:rPr>
        <w:t xml:space="preserve"> in the UK or Ireland, nor established international</w:t>
      </w:r>
      <w:r w:rsidRPr="009E78DA">
        <w:rPr>
          <w:rFonts w:cs="Arial"/>
        </w:rPr>
        <w:t xml:space="preserve"> </w:t>
      </w:r>
      <w:r>
        <w:rPr>
          <w:rFonts w:cs="Arial"/>
        </w:rPr>
        <w:t>guideline</w:t>
      </w:r>
      <w:r w:rsidR="00410AF5">
        <w:rPr>
          <w:rFonts w:cs="Arial"/>
        </w:rPr>
        <w:t>s</w:t>
      </w:r>
      <w:r>
        <w:rPr>
          <w:rFonts w:cs="Arial"/>
        </w:rPr>
        <w:t xml:space="preserve">. This </w:t>
      </w:r>
      <w:r w:rsidR="00410AF5">
        <w:rPr>
          <w:rFonts w:cs="Arial"/>
        </w:rPr>
        <w:t>likely</w:t>
      </w:r>
      <w:r w:rsidR="00AB00DE">
        <w:rPr>
          <w:rFonts w:cs="Arial"/>
        </w:rPr>
        <w:t xml:space="preserve"> </w:t>
      </w:r>
      <w:r>
        <w:rPr>
          <w:rFonts w:cs="Arial"/>
        </w:rPr>
        <w:t xml:space="preserve">reflects </w:t>
      </w:r>
      <w:r w:rsidR="00D26332">
        <w:rPr>
          <w:rFonts w:cs="Arial"/>
        </w:rPr>
        <w:t>paucity</w:t>
      </w:r>
      <w:r>
        <w:rPr>
          <w:rFonts w:cs="Arial"/>
        </w:rPr>
        <w:t xml:space="preserve"> of </w:t>
      </w:r>
      <w:r w:rsidR="00D26332">
        <w:rPr>
          <w:rFonts w:cs="Arial"/>
        </w:rPr>
        <w:t xml:space="preserve">high-quality </w:t>
      </w:r>
      <w:r>
        <w:rPr>
          <w:rFonts w:cs="Arial"/>
        </w:rPr>
        <w:t>evidence with no multicentre randomised controlled trials in adult or paediatric population</w:t>
      </w:r>
      <w:r w:rsidR="00D26332">
        <w:rPr>
          <w:rFonts w:cs="Arial"/>
        </w:rPr>
        <w:t>s</w:t>
      </w:r>
      <w:r>
        <w:rPr>
          <w:rFonts w:cs="Arial"/>
        </w:rPr>
        <w:t>. Therefore</w:t>
      </w:r>
      <w:r w:rsidR="0025130D">
        <w:rPr>
          <w:rFonts w:cs="Arial"/>
        </w:rPr>
        <w:t>,</w:t>
      </w:r>
      <w:r>
        <w:rPr>
          <w:rFonts w:cs="Arial"/>
        </w:rPr>
        <w:t xml:space="preserve"> uncertainty </w:t>
      </w:r>
      <w:r w:rsidR="0025130D">
        <w:rPr>
          <w:rFonts w:cs="Arial"/>
        </w:rPr>
        <w:t xml:space="preserve">exists </w:t>
      </w:r>
      <w:r>
        <w:rPr>
          <w:rFonts w:cs="Arial"/>
        </w:rPr>
        <w:t>for</w:t>
      </w:r>
      <w:r w:rsidR="0025130D">
        <w:rPr>
          <w:rFonts w:cs="Arial"/>
        </w:rPr>
        <w:t xml:space="preserve"> </w:t>
      </w:r>
      <w:r>
        <w:rPr>
          <w:rFonts w:cs="Arial"/>
        </w:rPr>
        <w:t>clinicians</w:t>
      </w:r>
      <w:r w:rsidR="003C6890">
        <w:rPr>
          <w:rFonts w:cs="Arial"/>
        </w:rPr>
        <w:t xml:space="preserve"> who must </w:t>
      </w:r>
      <w:r w:rsidR="00711DE9">
        <w:rPr>
          <w:rFonts w:cs="Arial"/>
        </w:rPr>
        <w:t>weigh individual</w:t>
      </w:r>
      <w:r>
        <w:rPr>
          <w:color w:val="000000" w:themeColor="text1"/>
          <w:lang w:val="en-AU"/>
        </w:rPr>
        <w:t xml:space="preserve"> patient </w:t>
      </w:r>
      <w:r w:rsidR="00711DE9">
        <w:rPr>
          <w:color w:val="000000" w:themeColor="text1"/>
          <w:lang w:val="en-AU"/>
        </w:rPr>
        <w:t>risk of</w:t>
      </w:r>
      <w:r w:rsidR="00711DE9" w:rsidRPr="00024683">
        <w:rPr>
          <w:color w:val="000000" w:themeColor="text1"/>
          <w:lang w:val="en-AU"/>
        </w:rPr>
        <w:t xml:space="preserve"> complications due to undertreatment</w:t>
      </w:r>
      <w:r w:rsidR="0025130D">
        <w:rPr>
          <w:color w:val="000000" w:themeColor="text1"/>
          <w:lang w:val="en-AU"/>
        </w:rPr>
        <w:t>,</w:t>
      </w:r>
      <w:r>
        <w:rPr>
          <w:color w:val="000000" w:themeColor="text1"/>
          <w:lang w:val="en-AU"/>
        </w:rPr>
        <w:t xml:space="preserve"> </w:t>
      </w:r>
      <w:r w:rsidR="00711DE9">
        <w:rPr>
          <w:color w:val="000000" w:themeColor="text1"/>
          <w:lang w:val="en-AU"/>
        </w:rPr>
        <w:t>against</w:t>
      </w:r>
      <w:r w:rsidRPr="00024683">
        <w:rPr>
          <w:color w:val="000000" w:themeColor="text1"/>
          <w:lang w:val="en-AU"/>
        </w:rPr>
        <w:t xml:space="preserve"> risks of admission</w:t>
      </w:r>
      <w:r>
        <w:rPr>
          <w:color w:val="000000" w:themeColor="text1"/>
          <w:lang w:val="en-AU"/>
        </w:rPr>
        <w:t xml:space="preserve">, </w:t>
      </w:r>
      <w:r w:rsidR="00711DE9">
        <w:rPr>
          <w:color w:val="000000" w:themeColor="text1"/>
          <w:lang w:val="en-AU"/>
        </w:rPr>
        <w:t>a</w:t>
      </w:r>
      <w:r w:rsidR="00CB1EBC">
        <w:rPr>
          <w:color w:val="000000" w:themeColor="text1"/>
          <w:lang w:val="en-AU"/>
        </w:rPr>
        <w:t>nd</w:t>
      </w:r>
      <w:r>
        <w:rPr>
          <w:color w:val="000000" w:themeColor="text1"/>
          <w:lang w:val="en-AU"/>
        </w:rPr>
        <w:t xml:space="preserve"> </w:t>
      </w:r>
      <w:r w:rsidR="00711DE9">
        <w:rPr>
          <w:color w:val="000000" w:themeColor="text1"/>
          <w:lang w:val="en-AU"/>
        </w:rPr>
        <w:t xml:space="preserve">responsible </w:t>
      </w:r>
      <w:r w:rsidRPr="00024683">
        <w:rPr>
          <w:color w:val="000000" w:themeColor="text1"/>
          <w:lang w:val="en-AU"/>
        </w:rPr>
        <w:t>antibiotic stewardship</w:t>
      </w:r>
      <w:r>
        <w:rPr>
          <w:color w:val="000000" w:themeColor="text1"/>
          <w:lang w:val="en-AU"/>
        </w:rPr>
        <w:t>.</w:t>
      </w:r>
      <w:r>
        <w:rPr>
          <w:rFonts w:cs="Arial"/>
        </w:rPr>
        <w:t xml:space="preserve">  </w:t>
      </w:r>
    </w:p>
    <w:p w14:paraId="08DA235C" w14:textId="77777777" w:rsidR="00711DE9" w:rsidRDefault="00711DE9" w:rsidP="00C039A8">
      <w:pPr>
        <w:spacing w:line="480" w:lineRule="auto"/>
        <w:jc w:val="both"/>
        <w:rPr>
          <w:rFonts w:cs="Arial"/>
        </w:rPr>
      </w:pPr>
    </w:p>
    <w:p w14:paraId="20CFFCD3" w14:textId="01C4AE73" w:rsidR="00C039A8" w:rsidRPr="00DC611A" w:rsidRDefault="00491237" w:rsidP="00C039A8">
      <w:pPr>
        <w:spacing w:line="480" w:lineRule="auto"/>
        <w:jc w:val="both"/>
        <w:rPr>
          <w:rFonts w:cs="Arial"/>
        </w:rPr>
      </w:pPr>
      <w:r>
        <w:rPr>
          <w:rFonts w:cs="Arial"/>
        </w:rPr>
        <w:t>This project</w:t>
      </w:r>
      <w:r w:rsidR="00C039A8" w:rsidRPr="009E78DA">
        <w:rPr>
          <w:rFonts w:cs="Arial"/>
        </w:rPr>
        <w:t xml:space="preserve"> </w:t>
      </w:r>
      <w:r w:rsidR="00711DE9">
        <w:rPr>
          <w:rFonts w:cs="Arial"/>
        </w:rPr>
        <w:t>analysed</w:t>
      </w:r>
      <w:r w:rsidR="00C039A8" w:rsidRPr="009E78DA">
        <w:rPr>
          <w:rFonts w:cs="Arial"/>
        </w:rPr>
        <w:t xml:space="preserve"> available </w:t>
      </w:r>
      <w:r w:rsidR="00C039A8">
        <w:rPr>
          <w:rFonts w:cs="Arial"/>
        </w:rPr>
        <w:t xml:space="preserve">local </w:t>
      </w:r>
      <w:r w:rsidR="00711DE9">
        <w:rPr>
          <w:rFonts w:cs="Arial"/>
        </w:rPr>
        <w:t xml:space="preserve">written </w:t>
      </w:r>
      <w:r w:rsidR="00C039A8" w:rsidRPr="009E78DA">
        <w:rPr>
          <w:rFonts w:cs="Arial"/>
        </w:rPr>
        <w:t>guidanc</w:t>
      </w:r>
      <w:r w:rsidR="00EB53D1">
        <w:rPr>
          <w:rFonts w:cs="Arial"/>
        </w:rPr>
        <w:t xml:space="preserve">e </w:t>
      </w:r>
      <w:r w:rsidR="00711DE9">
        <w:rPr>
          <w:rFonts w:cs="Arial"/>
        </w:rPr>
        <w:t>and contrasted</w:t>
      </w:r>
      <w:r w:rsidR="00C039A8" w:rsidRPr="009E78DA">
        <w:rPr>
          <w:rFonts w:cs="Arial"/>
        </w:rPr>
        <w:t xml:space="preserve"> current practice of </w:t>
      </w:r>
      <w:r w:rsidR="00711DE9">
        <w:rPr>
          <w:rFonts w:cs="Arial"/>
        </w:rPr>
        <w:t xml:space="preserve">UK </w:t>
      </w:r>
      <w:r w:rsidR="00C039A8" w:rsidRPr="009E78DA">
        <w:rPr>
          <w:rFonts w:cs="Arial"/>
        </w:rPr>
        <w:t>clinicians</w:t>
      </w:r>
      <w:r w:rsidR="00711DE9">
        <w:rPr>
          <w:rFonts w:cs="Arial"/>
        </w:rPr>
        <w:t>.</w:t>
      </w:r>
      <w:r w:rsidR="00C039A8" w:rsidRPr="009E78DA">
        <w:rPr>
          <w:rFonts w:cs="Arial"/>
        </w:rPr>
        <w:t xml:space="preserve"> </w:t>
      </w:r>
      <w:r w:rsidR="0020226D">
        <w:rPr>
          <w:rFonts w:cs="Arial"/>
        </w:rPr>
        <w:t>Aiming</w:t>
      </w:r>
      <w:r w:rsidR="00711DE9">
        <w:rPr>
          <w:rFonts w:cs="Arial"/>
        </w:rPr>
        <w:t xml:space="preserve"> to</w:t>
      </w:r>
      <w:r w:rsidR="00C039A8" w:rsidRPr="009E78DA">
        <w:rPr>
          <w:rFonts w:cs="Arial"/>
        </w:rPr>
        <w:t xml:space="preserve"> identif</w:t>
      </w:r>
      <w:r w:rsidR="00711DE9">
        <w:rPr>
          <w:rFonts w:cs="Arial"/>
        </w:rPr>
        <w:t>y both</w:t>
      </w:r>
      <w:r w:rsidR="00C039A8" w:rsidRPr="009E78DA">
        <w:rPr>
          <w:rFonts w:cs="Arial"/>
        </w:rPr>
        <w:t xml:space="preserve"> consensus and</w:t>
      </w:r>
      <w:r w:rsidR="00C039A8">
        <w:rPr>
          <w:rFonts w:cs="Arial"/>
        </w:rPr>
        <w:t xml:space="preserve"> equipoise</w:t>
      </w:r>
      <w:r w:rsidR="00711DE9">
        <w:rPr>
          <w:rFonts w:cs="Arial"/>
        </w:rPr>
        <w:t>,</w:t>
      </w:r>
      <w:r w:rsidR="00C039A8" w:rsidRPr="009E78DA">
        <w:rPr>
          <w:rFonts w:cs="Arial"/>
        </w:rPr>
        <w:t xml:space="preserve"> </w:t>
      </w:r>
      <w:r w:rsidR="00C039A8">
        <w:rPr>
          <w:rFonts w:cs="Arial"/>
        </w:rPr>
        <w:t>enabling prioritisation of future research.</w:t>
      </w:r>
    </w:p>
    <w:p w14:paraId="387514B5" w14:textId="77777777" w:rsidR="003B3341" w:rsidRDefault="003B3341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2C79719" w14:textId="4F8B9237" w:rsidR="001F5458" w:rsidRPr="009E78DA" w:rsidRDefault="001F5458" w:rsidP="006C4682">
      <w:pPr>
        <w:spacing w:line="480" w:lineRule="auto"/>
        <w:jc w:val="both"/>
        <w:rPr>
          <w:rFonts w:cs="Arial"/>
          <w:b/>
        </w:rPr>
      </w:pPr>
      <w:r w:rsidRPr="009E78DA">
        <w:rPr>
          <w:rFonts w:cs="Arial"/>
          <w:b/>
        </w:rPr>
        <w:lastRenderedPageBreak/>
        <w:t>METHODS</w:t>
      </w:r>
    </w:p>
    <w:p w14:paraId="461E2412" w14:textId="03D8299F" w:rsidR="00BE5D03" w:rsidRDefault="00491237" w:rsidP="00D02071">
      <w:pPr>
        <w:spacing w:line="480" w:lineRule="auto"/>
        <w:jc w:val="both"/>
        <w:rPr>
          <w:rFonts w:cs="Arial"/>
        </w:rPr>
      </w:pPr>
      <w:r>
        <w:rPr>
          <w:rFonts w:cs="Arial"/>
        </w:rPr>
        <w:t>An o</w:t>
      </w:r>
      <w:r w:rsidR="00BE5D03">
        <w:rPr>
          <w:rFonts w:cs="Arial"/>
        </w:rPr>
        <w:t xml:space="preserve">nline survey </w:t>
      </w:r>
      <w:r w:rsidR="00B61002">
        <w:rPr>
          <w:rFonts w:cs="Arial"/>
        </w:rPr>
        <w:t>(</w:t>
      </w:r>
      <w:r w:rsidR="00BE5D03">
        <w:rPr>
          <w:rFonts w:cs="Arial"/>
        </w:rPr>
        <w:t>SurveyMonkey</w:t>
      </w:r>
      <w:r w:rsidR="00C039A8">
        <w:rPr>
          <w:rFonts w:cs="Arial"/>
        </w:rPr>
        <w:t>, www.surveymonkey.com</w:t>
      </w:r>
      <w:r w:rsidR="00B61002">
        <w:rPr>
          <w:rFonts w:cs="Arial"/>
        </w:rPr>
        <w:t xml:space="preserve">) </w:t>
      </w:r>
      <w:r>
        <w:rPr>
          <w:rFonts w:cs="Arial"/>
        </w:rPr>
        <w:t xml:space="preserve">was </w:t>
      </w:r>
      <w:r w:rsidR="005776CF">
        <w:rPr>
          <w:rFonts w:cs="Arial"/>
        </w:rPr>
        <w:t xml:space="preserve">undertaken </w:t>
      </w:r>
      <w:r w:rsidR="00B61002">
        <w:rPr>
          <w:rFonts w:cs="Arial"/>
        </w:rPr>
        <w:t>23</w:t>
      </w:r>
      <w:r w:rsidR="00B61002" w:rsidRPr="00320613">
        <w:rPr>
          <w:rFonts w:cs="Arial"/>
          <w:vertAlign w:val="superscript"/>
        </w:rPr>
        <w:t>rd</w:t>
      </w:r>
      <w:r w:rsidR="00B61002">
        <w:rPr>
          <w:rFonts w:cs="Arial"/>
        </w:rPr>
        <w:t xml:space="preserve"> November 2018 to 22</w:t>
      </w:r>
      <w:r w:rsidR="00B61002" w:rsidRPr="00320613">
        <w:rPr>
          <w:rFonts w:cs="Arial"/>
          <w:vertAlign w:val="superscript"/>
        </w:rPr>
        <w:t>nd</w:t>
      </w:r>
      <w:r w:rsidR="00B61002">
        <w:rPr>
          <w:rFonts w:cs="Arial"/>
        </w:rPr>
        <w:t xml:space="preserve"> January 2019</w:t>
      </w:r>
      <w:r w:rsidR="00BE5D03">
        <w:rPr>
          <w:rFonts w:cs="Arial"/>
        </w:rPr>
        <w:t>. One response was sought from each Paediatric Emergency Research in the UK &amp; Ireland (PERUKI)</w:t>
      </w:r>
      <w:r w:rsidR="00BA764A">
        <w:rPr>
          <w:rFonts w:cs="Arial"/>
        </w:rPr>
        <w:t xml:space="preserve"> site lead across the </w:t>
      </w:r>
      <w:r w:rsidR="00B61002">
        <w:rPr>
          <w:rFonts w:cs="Arial"/>
        </w:rPr>
        <w:t>research network. Respondents</w:t>
      </w:r>
      <w:r w:rsidR="00AD1581">
        <w:rPr>
          <w:rFonts w:cs="Arial"/>
        </w:rPr>
        <w:t xml:space="preserve"> were </w:t>
      </w:r>
      <w:r w:rsidR="00410AF5">
        <w:rPr>
          <w:rFonts w:cs="Arial"/>
        </w:rPr>
        <w:t xml:space="preserve">emergency </w:t>
      </w:r>
      <w:r w:rsidR="00BA764A">
        <w:rPr>
          <w:rFonts w:cs="Arial"/>
        </w:rPr>
        <w:t>consultants</w:t>
      </w:r>
      <w:r w:rsidR="00410AF5">
        <w:rPr>
          <w:rFonts w:cs="Arial"/>
        </w:rPr>
        <w:t xml:space="preserve"> </w:t>
      </w:r>
      <w:r w:rsidR="00AD1581">
        <w:rPr>
          <w:rFonts w:cs="Arial"/>
        </w:rPr>
        <w:t xml:space="preserve">(Adult </w:t>
      </w:r>
      <w:r w:rsidR="00B61002">
        <w:rPr>
          <w:rFonts w:cs="Arial"/>
        </w:rPr>
        <w:t>or</w:t>
      </w:r>
      <w:r w:rsidR="00AD1581">
        <w:rPr>
          <w:rFonts w:cs="Arial"/>
        </w:rPr>
        <w:t xml:space="preserve"> Paediatric) </w:t>
      </w:r>
      <w:r w:rsidR="00C16CC2">
        <w:rPr>
          <w:rFonts w:cs="Arial"/>
        </w:rPr>
        <w:t>clinically assessing children</w:t>
      </w:r>
      <w:r w:rsidR="00AD1581">
        <w:rPr>
          <w:rFonts w:cs="Arial"/>
        </w:rPr>
        <w:t>.</w:t>
      </w:r>
      <w:r w:rsidR="00B61002">
        <w:rPr>
          <w:rFonts w:cs="Arial"/>
        </w:rPr>
        <w:t xml:space="preserve"> </w:t>
      </w:r>
      <w:r w:rsidR="00BE5D03">
        <w:rPr>
          <w:rFonts w:cs="Arial"/>
        </w:rPr>
        <w:t>This study is reported in line with the CHERRIES statement</w:t>
      </w:r>
      <w:r w:rsidR="00AB74A6">
        <w:rPr>
          <w:rFonts w:cs="Arial"/>
        </w:rPr>
        <w:t>.</w:t>
      </w:r>
      <w:r w:rsidR="00AB74A6">
        <w:rPr>
          <w:rFonts w:cs="Arial"/>
          <w:vertAlign w:val="superscript"/>
        </w:rPr>
        <w:t>7</w:t>
      </w:r>
    </w:p>
    <w:p w14:paraId="49FF6231" w14:textId="76E904AB" w:rsidR="00EC6557" w:rsidRPr="00BA764A" w:rsidRDefault="00EC6557" w:rsidP="00D02071">
      <w:pPr>
        <w:spacing w:line="480" w:lineRule="auto"/>
        <w:jc w:val="both"/>
        <w:rPr>
          <w:rFonts w:cs="Arial"/>
          <w:b/>
          <w:bCs/>
        </w:rPr>
      </w:pPr>
      <w:r w:rsidRPr="00BA764A">
        <w:rPr>
          <w:rFonts w:cs="Arial"/>
          <w:b/>
          <w:bCs/>
        </w:rPr>
        <w:t>Survey instrument</w:t>
      </w:r>
    </w:p>
    <w:p w14:paraId="7BCEF452" w14:textId="0E2C2300" w:rsidR="0026423D" w:rsidRDefault="00BE5D03" w:rsidP="0022584F">
      <w:pPr>
        <w:spacing w:line="480" w:lineRule="auto"/>
        <w:rPr>
          <w:rFonts w:cs="Arial"/>
        </w:rPr>
      </w:pPr>
      <w:r w:rsidRPr="00D02071">
        <w:t xml:space="preserve">Survey content was derived from existing literature </w:t>
      </w:r>
      <w:r w:rsidR="00CB1EBC">
        <w:t xml:space="preserve">(author </w:t>
      </w:r>
      <w:r w:rsidRPr="00D02071">
        <w:t xml:space="preserve">MTC) and refined iteratively by the study team. </w:t>
      </w:r>
      <w:r w:rsidR="00CB1EBC">
        <w:t>The</w:t>
      </w:r>
      <w:r w:rsidR="0026423D" w:rsidRPr="00D02071">
        <w:t xml:space="preserve"> survey </w:t>
      </w:r>
      <w:r w:rsidR="005C5DDF" w:rsidRPr="00D02071">
        <w:t>was piloted by the PERUKI Research Steering Committee before release</w:t>
      </w:r>
      <w:r w:rsidR="00B61002" w:rsidRPr="00D02071">
        <w:t xml:space="preserve"> (</w:t>
      </w:r>
      <w:r w:rsidR="006F73F7" w:rsidRPr="00D02071">
        <w:t>See supplementary 1</w:t>
      </w:r>
      <w:r w:rsidR="00B61002" w:rsidRPr="00D02071">
        <w:t>)</w:t>
      </w:r>
      <w:r w:rsidR="00DE449B" w:rsidRPr="00D02071">
        <w:t>.</w:t>
      </w:r>
      <w:r w:rsidR="00D02071" w:rsidRPr="0022584F">
        <w:rPr>
          <w:color w:val="1F497D"/>
          <w:shd w:val="clear" w:color="auto" w:fill="FFFFFF"/>
        </w:rPr>
        <w:t xml:space="preserve"> </w:t>
      </w:r>
      <w:r w:rsidR="00657938">
        <w:rPr>
          <w:color w:val="1F497D"/>
          <w:shd w:val="clear" w:color="auto" w:fill="FFFFFF"/>
        </w:rPr>
        <w:t>In the</w:t>
      </w:r>
      <w:r w:rsidR="00D02071" w:rsidRPr="0022584F">
        <w:rPr>
          <w:color w:val="1F497D"/>
          <w:shd w:val="clear" w:color="auto" w:fill="FFFFFF"/>
        </w:rPr>
        <w:t xml:space="preserve"> survey</w:t>
      </w:r>
      <w:r w:rsidR="00657938">
        <w:rPr>
          <w:color w:val="1F497D"/>
          <w:shd w:val="clear" w:color="auto" w:fill="FFFFFF"/>
        </w:rPr>
        <w:t xml:space="preserve">, </w:t>
      </w:r>
      <w:r w:rsidR="00D02071" w:rsidRPr="0022584F">
        <w:rPr>
          <w:color w:val="1F497D"/>
          <w:shd w:val="clear" w:color="auto" w:fill="FFFFFF"/>
        </w:rPr>
        <w:t xml:space="preserve">a nominated site lead was </w:t>
      </w:r>
      <w:r w:rsidR="00657938">
        <w:rPr>
          <w:color w:val="1F497D"/>
          <w:shd w:val="clear" w:color="auto" w:fill="FFFFFF"/>
        </w:rPr>
        <w:t xml:space="preserve">asked </w:t>
      </w:r>
      <w:r w:rsidR="00D02071" w:rsidRPr="0022584F">
        <w:rPr>
          <w:color w:val="1F497D"/>
          <w:shd w:val="clear" w:color="auto" w:fill="FFFFFF"/>
        </w:rPr>
        <w:t>to offer a department</w:t>
      </w:r>
      <w:r w:rsidR="006318C8">
        <w:rPr>
          <w:color w:val="1F497D"/>
          <w:shd w:val="clear" w:color="auto" w:fill="FFFFFF"/>
        </w:rPr>
        <w:t>-</w:t>
      </w:r>
      <w:r w:rsidR="00D02071" w:rsidRPr="0022584F">
        <w:rPr>
          <w:color w:val="1F497D"/>
          <w:shd w:val="clear" w:color="auto" w:fill="FFFFFF"/>
        </w:rPr>
        <w:t xml:space="preserve">wide perspective as opposed to </w:t>
      </w:r>
      <w:r w:rsidR="00657938">
        <w:rPr>
          <w:color w:val="1F497D"/>
          <w:shd w:val="clear" w:color="auto" w:fill="FFFFFF"/>
        </w:rPr>
        <w:t>answering</w:t>
      </w:r>
      <w:r w:rsidR="00D02071" w:rsidRPr="0022584F">
        <w:rPr>
          <w:color w:val="1F497D"/>
          <w:shd w:val="clear" w:color="auto" w:fill="FFFFFF"/>
        </w:rPr>
        <w:t xml:space="preserve"> based on individual practice</w:t>
      </w:r>
      <w:r w:rsidR="00657938">
        <w:rPr>
          <w:color w:val="1F497D"/>
          <w:shd w:val="clear" w:color="auto" w:fill="FFFFFF"/>
        </w:rPr>
        <w:t xml:space="preserve"> alone</w:t>
      </w:r>
      <w:r w:rsidR="00D02071" w:rsidRPr="0022584F">
        <w:rPr>
          <w:color w:val="1F497D"/>
          <w:shd w:val="clear" w:color="auto" w:fill="FFFFFF"/>
        </w:rPr>
        <w:t>.</w:t>
      </w:r>
      <w:r w:rsidR="000C11BE">
        <w:rPr>
          <w:rFonts w:cs="Arial"/>
        </w:rPr>
        <w:t xml:space="preserve"> </w:t>
      </w:r>
      <w:r w:rsidR="00410AF5">
        <w:rPr>
          <w:rFonts w:cs="Arial"/>
        </w:rPr>
        <w:t xml:space="preserve">Respondents were asked about </w:t>
      </w:r>
      <w:r w:rsidR="00236A41">
        <w:rPr>
          <w:rFonts w:cs="Arial"/>
        </w:rPr>
        <w:t>specialties on-</w:t>
      </w:r>
      <w:r w:rsidR="00657938">
        <w:rPr>
          <w:rFonts w:cs="Arial"/>
        </w:rPr>
        <w:t>site</w:t>
      </w:r>
      <w:r w:rsidR="008F4945">
        <w:rPr>
          <w:rFonts w:cs="Arial"/>
        </w:rPr>
        <w:t>, frequency of</w:t>
      </w:r>
      <w:r w:rsidR="00AB00DE">
        <w:rPr>
          <w:rFonts w:cs="Arial"/>
        </w:rPr>
        <w:t xml:space="preserve"> </w:t>
      </w:r>
      <w:r w:rsidR="00657938">
        <w:rPr>
          <w:rFonts w:cs="Arial"/>
        </w:rPr>
        <w:t>cases</w:t>
      </w:r>
      <w:r w:rsidR="008F4945">
        <w:rPr>
          <w:rFonts w:cs="Arial"/>
        </w:rPr>
        <w:t>, and proportion of patients admitted</w:t>
      </w:r>
      <w:r w:rsidR="000C11BE">
        <w:rPr>
          <w:rFonts w:cs="Arial"/>
        </w:rPr>
        <w:t>. The</w:t>
      </w:r>
      <w:r w:rsidR="00657938">
        <w:rPr>
          <w:rFonts w:cs="Arial"/>
        </w:rPr>
        <w:t xml:space="preserve"> survey also included </w:t>
      </w:r>
      <w:r w:rsidR="008F4945">
        <w:rPr>
          <w:rFonts w:cs="Arial"/>
        </w:rPr>
        <w:t>assessment, treatment and disposition</w:t>
      </w:r>
      <w:r w:rsidR="00657938">
        <w:rPr>
          <w:rFonts w:cs="Arial"/>
        </w:rPr>
        <w:t xml:space="preserve"> of </w:t>
      </w:r>
      <w:r w:rsidR="00C16CC2">
        <w:rPr>
          <w:rFonts w:cs="Arial"/>
        </w:rPr>
        <w:t>patients</w:t>
      </w:r>
      <w:r w:rsidR="008F4945">
        <w:rPr>
          <w:rFonts w:cs="Arial"/>
        </w:rPr>
        <w:t xml:space="preserve">, and </w:t>
      </w:r>
      <w:r w:rsidR="00C16CC2">
        <w:rPr>
          <w:rFonts w:cs="Arial"/>
        </w:rPr>
        <w:t xml:space="preserve">questions on </w:t>
      </w:r>
      <w:r w:rsidR="008F4945">
        <w:rPr>
          <w:rFonts w:cs="Arial"/>
        </w:rPr>
        <w:t>four clinical scenarios.</w:t>
      </w:r>
    </w:p>
    <w:p w14:paraId="732022B2" w14:textId="77777777" w:rsidR="00D02071" w:rsidRPr="00AB00DE" w:rsidRDefault="00D02071" w:rsidP="0022584F"/>
    <w:p w14:paraId="763B7D2D" w14:textId="4526F8B4" w:rsidR="00EC6557" w:rsidRDefault="008F4945" w:rsidP="006C4682">
      <w:pPr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In addition, respondents </w:t>
      </w:r>
      <w:r w:rsidR="00EA43E4" w:rsidRPr="009E78DA">
        <w:rPr>
          <w:rFonts w:cs="Arial"/>
        </w:rPr>
        <w:t xml:space="preserve">were asked to submit their local CPG.  </w:t>
      </w:r>
    </w:p>
    <w:p w14:paraId="08D603C4" w14:textId="67157D12" w:rsidR="00EC6557" w:rsidRDefault="00EC6557" w:rsidP="006C4682">
      <w:pPr>
        <w:spacing w:line="480" w:lineRule="auto"/>
        <w:jc w:val="both"/>
        <w:rPr>
          <w:rFonts w:cs="Arial"/>
        </w:rPr>
      </w:pPr>
      <w:r w:rsidRPr="009E78DA">
        <w:rPr>
          <w:rFonts w:cs="Arial"/>
        </w:rPr>
        <w:t>Survey data w</w:t>
      </w:r>
      <w:r>
        <w:rPr>
          <w:rFonts w:cs="Arial"/>
        </w:rPr>
        <w:t>as analysed using Microsoft Excel (Microsoft Corporation).</w:t>
      </w:r>
      <w:r w:rsidR="00625CFF">
        <w:rPr>
          <w:rFonts w:cs="Arial"/>
        </w:rPr>
        <w:t xml:space="preserve"> </w:t>
      </w:r>
      <w:r w:rsidR="00320613">
        <w:rPr>
          <w:rFonts w:cs="Arial"/>
        </w:rPr>
        <w:t xml:space="preserve">CPGs were assessed </w:t>
      </w:r>
      <w:r w:rsidR="00FA4E13" w:rsidRPr="009E78DA">
        <w:rPr>
          <w:rFonts w:cs="Arial"/>
        </w:rPr>
        <w:t>using a standardised data collection tool</w:t>
      </w:r>
      <w:r w:rsidR="00175071" w:rsidRPr="009E78DA">
        <w:rPr>
          <w:rFonts w:cs="Arial"/>
        </w:rPr>
        <w:t xml:space="preserve"> (</w:t>
      </w:r>
      <w:r w:rsidR="006F73F7">
        <w:rPr>
          <w:rFonts w:cs="Arial"/>
        </w:rPr>
        <w:t>See supplementary 2</w:t>
      </w:r>
      <w:r w:rsidR="00175071" w:rsidRPr="009E78DA">
        <w:rPr>
          <w:rFonts w:cs="Arial"/>
        </w:rPr>
        <w:t>)</w:t>
      </w:r>
      <w:r w:rsidR="00236A41">
        <w:rPr>
          <w:rFonts w:cs="Arial"/>
        </w:rPr>
        <w:t xml:space="preserve"> that</w:t>
      </w:r>
      <w:r w:rsidR="00320613">
        <w:rPr>
          <w:rFonts w:cs="Arial"/>
        </w:rPr>
        <w:t xml:space="preserve"> </w:t>
      </w:r>
      <w:r w:rsidR="00175071" w:rsidRPr="009E78DA">
        <w:rPr>
          <w:rFonts w:cs="Arial"/>
        </w:rPr>
        <w:t>was pilote</w:t>
      </w:r>
      <w:r w:rsidR="004A4F42">
        <w:rPr>
          <w:rFonts w:cs="Arial"/>
        </w:rPr>
        <w:t>d</w:t>
      </w:r>
      <w:r w:rsidR="003C6890">
        <w:rPr>
          <w:rFonts w:cs="Arial"/>
        </w:rPr>
        <w:t xml:space="preserve"> </w:t>
      </w:r>
      <w:r w:rsidR="005776CF">
        <w:rPr>
          <w:rFonts w:cs="Arial"/>
        </w:rPr>
        <w:t xml:space="preserve">and </w:t>
      </w:r>
      <w:r w:rsidR="008504CA">
        <w:rPr>
          <w:rFonts w:cs="Arial"/>
        </w:rPr>
        <w:t xml:space="preserve">edited </w:t>
      </w:r>
      <w:r w:rsidR="003C6890">
        <w:rPr>
          <w:rFonts w:cs="Arial"/>
        </w:rPr>
        <w:t>to ensure accurate data</w:t>
      </w:r>
      <w:r w:rsidR="005776CF">
        <w:rPr>
          <w:rFonts w:cs="Arial"/>
        </w:rPr>
        <w:t>.</w:t>
      </w:r>
      <w:r w:rsidR="00B61002">
        <w:rPr>
          <w:rFonts w:cs="Arial"/>
        </w:rPr>
        <w:t xml:space="preserve"> </w:t>
      </w:r>
      <w:r w:rsidR="00236A41">
        <w:rPr>
          <w:rFonts w:cs="Arial"/>
        </w:rPr>
        <w:t xml:space="preserve">Two assessors (MTC, JE) independently undertook data extraction, and a third assessor </w:t>
      </w:r>
      <w:r w:rsidR="005776CF">
        <w:rPr>
          <w:rFonts w:cs="Arial"/>
        </w:rPr>
        <w:t>(TW) arbitrate</w:t>
      </w:r>
      <w:r w:rsidR="004A4F42">
        <w:rPr>
          <w:rFonts w:cs="Arial"/>
        </w:rPr>
        <w:t>d</w:t>
      </w:r>
      <w:r w:rsidR="00B61002">
        <w:rPr>
          <w:rFonts w:cs="Arial"/>
        </w:rPr>
        <w:t xml:space="preserve"> </w:t>
      </w:r>
      <w:r w:rsidR="006A6F59">
        <w:rPr>
          <w:rFonts w:cs="Arial"/>
        </w:rPr>
        <w:t>to establish consensu</w:t>
      </w:r>
      <w:r w:rsidR="00C039A8">
        <w:rPr>
          <w:rFonts w:cs="Arial"/>
        </w:rPr>
        <w:t>s</w:t>
      </w:r>
      <w:r w:rsidR="00175071" w:rsidRPr="009E78DA">
        <w:rPr>
          <w:rFonts w:cs="Arial"/>
        </w:rPr>
        <w:t xml:space="preserve">. </w:t>
      </w:r>
      <w:r w:rsidRPr="009E78DA">
        <w:rPr>
          <w:rFonts w:cs="Arial"/>
        </w:rPr>
        <w:t xml:space="preserve">The quality of CPGs </w:t>
      </w:r>
      <w:proofErr w:type="gramStart"/>
      <w:r w:rsidRPr="009E78DA">
        <w:rPr>
          <w:rFonts w:cs="Arial"/>
        </w:rPr>
        <w:t>were</w:t>
      </w:r>
      <w:proofErr w:type="gramEnd"/>
      <w:r w:rsidRPr="009E78DA">
        <w:rPr>
          <w:rFonts w:cs="Arial"/>
        </w:rPr>
        <w:t xml:space="preserve"> judged against </w:t>
      </w:r>
      <w:r>
        <w:rPr>
          <w:rFonts w:cs="Arial"/>
        </w:rPr>
        <w:t>S</w:t>
      </w:r>
      <w:r w:rsidRPr="009E78DA">
        <w:rPr>
          <w:rFonts w:cs="Arial"/>
        </w:rPr>
        <w:t xml:space="preserve">tandardised </w:t>
      </w:r>
      <w:r>
        <w:rPr>
          <w:rFonts w:cs="Arial"/>
        </w:rPr>
        <w:t>R</w:t>
      </w:r>
      <w:r w:rsidRPr="009E78DA">
        <w:rPr>
          <w:rFonts w:cs="Arial"/>
        </w:rPr>
        <w:t xml:space="preserve">eporting </w:t>
      </w:r>
      <w:r>
        <w:rPr>
          <w:rFonts w:cs="Arial"/>
        </w:rPr>
        <w:t>P</w:t>
      </w:r>
      <w:r w:rsidRPr="009E78DA">
        <w:rPr>
          <w:rFonts w:cs="Arial"/>
        </w:rPr>
        <w:t xml:space="preserve">ractice </w:t>
      </w:r>
      <w:r>
        <w:rPr>
          <w:rFonts w:cs="Arial"/>
        </w:rPr>
        <w:t>G</w:t>
      </w:r>
      <w:r w:rsidRPr="009E78DA">
        <w:rPr>
          <w:rFonts w:cs="Arial"/>
        </w:rPr>
        <w:t xml:space="preserve">uidelines in </w:t>
      </w:r>
      <w:r>
        <w:rPr>
          <w:rFonts w:cs="Arial"/>
        </w:rPr>
        <w:t>H</w:t>
      </w:r>
      <w:r w:rsidRPr="009E78DA">
        <w:rPr>
          <w:rFonts w:cs="Arial"/>
        </w:rPr>
        <w:t>ealth</w:t>
      </w:r>
      <w:r>
        <w:rPr>
          <w:rFonts w:cs="Arial"/>
        </w:rPr>
        <w:t>c</w:t>
      </w:r>
      <w:r w:rsidRPr="009E78DA">
        <w:rPr>
          <w:rFonts w:cs="Arial"/>
        </w:rPr>
        <w:t xml:space="preserve">are </w:t>
      </w:r>
      <w:r>
        <w:rPr>
          <w:rFonts w:cs="Arial"/>
        </w:rPr>
        <w:t>(</w:t>
      </w:r>
      <w:r w:rsidRPr="009E78DA">
        <w:rPr>
          <w:rFonts w:cs="Arial"/>
        </w:rPr>
        <w:t>RIGHT</w:t>
      </w:r>
      <w:r>
        <w:rPr>
          <w:rFonts w:cs="Arial"/>
        </w:rPr>
        <w:t>)</w:t>
      </w:r>
      <w:r w:rsidRPr="009E78DA">
        <w:rPr>
          <w:rFonts w:cs="Arial"/>
        </w:rPr>
        <w:t xml:space="preserve"> criteria.</w:t>
      </w:r>
      <w:r>
        <w:rPr>
          <w:rFonts w:cs="Arial"/>
          <w:color w:val="000000" w:themeColor="text1"/>
          <w:vertAlign w:val="superscript"/>
        </w:rPr>
        <w:t>8</w:t>
      </w:r>
    </w:p>
    <w:p w14:paraId="3F450E16" w14:textId="4EF42C92" w:rsidR="00FA4E13" w:rsidRDefault="00FA4E13" w:rsidP="006C4682">
      <w:pPr>
        <w:spacing w:line="480" w:lineRule="auto"/>
        <w:jc w:val="both"/>
        <w:rPr>
          <w:rFonts w:cs="Arial"/>
        </w:rPr>
      </w:pPr>
      <w:r w:rsidRPr="009E78DA">
        <w:rPr>
          <w:rFonts w:cs="Arial"/>
        </w:rPr>
        <w:t>Simple descriptive statistics were used to analyse data</w:t>
      </w:r>
      <w:r w:rsidR="008F4945">
        <w:rPr>
          <w:rFonts w:cs="Arial"/>
        </w:rPr>
        <w:t>.</w:t>
      </w:r>
      <w:r w:rsidRPr="009E78DA">
        <w:rPr>
          <w:rFonts w:cs="Arial"/>
        </w:rPr>
        <w:t xml:space="preserve"> </w:t>
      </w:r>
      <w:r w:rsidR="006644F6" w:rsidRPr="009E78DA">
        <w:rPr>
          <w:rFonts w:cs="Arial"/>
        </w:rPr>
        <w:t xml:space="preserve"> </w:t>
      </w:r>
    </w:p>
    <w:p w14:paraId="773C511C" w14:textId="77777777" w:rsidR="00EC6557" w:rsidRDefault="00EC6557" w:rsidP="007524DD">
      <w:pPr>
        <w:spacing w:line="480" w:lineRule="auto"/>
      </w:pPr>
    </w:p>
    <w:p w14:paraId="5772778F" w14:textId="77777777" w:rsidR="00EC6557" w:rsidRDefault="00EC6557" w:rsidP="007524DD">
      <w:pPr>
        <w:spacing w:line="480" w:lineRule="auto"/>
      </w:pPr>
      <w:r>
        <w:t>Ethics</w:t>
      </w:r>
    </w:p>
    <w:p w14:paraId="0BC0EA87" w14:textId="59374ACF" w:rsidR="007524DD" w:rsidRPr="007524DD" w:rsidRDefault="003C6890" w:rsidP="007524DD">
      <w:pPr>
        <w:spacing w:line="480" w:lineRule="auto"/>
        <w:rPr>
          <w:color w:val="000000" w:themeColor="text1"/>
        </w:rPr>
      </w:pPr>
      <w:r w:rsidRPr="003C6890">
        <w:lastRenderedPageBreak/>
        <w:t xml:space="preserve">This survey </w:t>
      </w:r>
      <w:r w:rsidR="00625CFF" w:rsidRPr="003C6890">
        <w:t>assessed reported</w:t>
      </w:r>
      <w:r w:rsidRPr="003C6890">
        <w:t xml:space="preserve"> </w:t>
      </w:r>
      <w:r w:rsidR="00E93E78">
        <w:t>practice</w:t>
      </w:r>
      <w:r w:rsidRPr="003C6890">
        <w:t>.</w:t>
      </w:r>
      <w:r w:rsidR="003C3637">
        <w:t xml:space="preserve"> </w:t>
      </w:r>
      <w:r>
        <w:t>F</w:t>
      </w:r>
      <w:r w:rsidR="003C3637">
        <w:t xml:space="preserve">ormal ethics review </w:t>
      </w:r>
      <w:r w:rsidR="009E3013">
        <w:t>was</w:t>
      </w:r>
      <w:r w:rsidR="00BB0721">
        <w:t xml:space="preserve"> </w:t>
      </w:r>
      <w:r w:rsidR="009E3013">
        <w:t xml:space="preserve">not required </w:t>
      </w:r>
      <w:r w:rsidR="0022637F">
        <w:t>as per</w:t>
      </w:r>
      <w:r w:rsidR="003C3637">
        <w:t xml:space="preserve"> the Framework for Health and Social Care Research UK. Consent was implied by participation.</w:t>
      </w:r>
      <w:r w:rsidR="00AD1581">
        <w:t xml:space="preserve"> </w:t>
      </w:r>
      <w:r w:rsidR="007524DD" w:rsidRPr="007524DD">
        <w:rPr>
          <w:color w:val="000000" w:themeColor="text1"/>
          <w:shd w:val="clear" w:color="auto" w:fill="FFFFFF"/>
        </w:rPr>
        <w:t xml:space="preserve">There was no patient or public involvement in </w:t>
      </w:r>
      <w:r w:rsidR="009E3013">
        <w:rPr>
          <w:color w:val="000000" w:themeColor="text1"/>
          <w:shd w:val="clear" w:color="auto" w:fill="FFFFFF"/>
        </w:rPr>
        <w:t>study</w:t>
      </w:r>
      <w:r w:rsidR="009E3013" w:rsidRPr="007524DD">
        <w:rPr>
          <w:color w:val="000000" w:themeColor="text1"/>
          <w:shd w:val="clear" w:color="auto" w:fill="FFFFFF"/>
        </w:rPr>
        <w:t xml:space="preserve"> </w:t>
      </w:r>
      <w:r w:rsidR="007524DD" w:rsidRPr="007524DD">
        <w:rPr>
          <w:color w:val="000000" w:themeColor="text1"/>
          <w:shd w:val="clear" w:color="auto" w:fill="FFFFFF"/>
        </w:rPr>
        <w:t xml:space="preserve">design or </w:t>
      </w:r>
      <w:r w:rsidR="007524DD">
        <w:rPr>
          <w:color w:val="000000" w:themeColor="text1"/>
        </w:rPr>
        <w:t xml:space="preserve">implementation. </w:t>
      </w:r>
    </w:p>
    <w:p w14:paraId="1212D9ED" w14:textId="071E0783" w:rsidR="001F5458" w:rsidRPr="009E78DA" w:rsidRDefault="00FE38F6" w:rsidP="00124021">
      <w:pPr>
        <w:rPr>
          <w:rFonts w:cs="Arial"/>
          <w:b/>
        </w:rPr>
      </w:pPr>
      <w:r>
        <w:rPr>
          <w:rFonts w:cs="Arial"/>
          <w:b/>
        </w:rPr>
        <w:br w:type="page"/>
      </w:r>
      <w:r w:rsidR="00B6764B" w:rsidRPr="009E78DA">
        <w:rPr>
          <w:rFonts w:cs="Arial"/>
          <w:b/>
        </w:rPr>
        <w:lastRenderedPageBreak/>
        <w:t>RESULTS</w:t>
      </w:r>
    </w:p>
    <w:p w14:paraId="25566D8C" w14:textId="1578FC63" w:rsidR="00052B61" w:rsidRPr="009E78DA" w:rsidRDefault="003C3637" w:rsidP="006C4682">
      <w:pPr>
        <w:spacing w:line="480" w:lineRule="auto"/>
        <w:jc w:val="both"/>
        <w:rPr>
          <w:rFonts w:cs="Arial"/>
        </w:rPr>
      </w:pPr>
      <w:r>
        <w:rPr>
          <w:rFonts w:cs="Arial"/>
          <w:bCs/>
        </w:rPr>
        <w:t xml:space="preserve">49/59 (83%) sites provided complete responses. </w:t>
      </w:r>
      <w:r w:rsidR="00462EB9" w:rsidRPr="009E78DA">
        <w:rPr>
          <w:rFonts w:cs="Arial"/>
          <w:bCs/>
        </w:rPr>
        <w:t>43% (21/49) were from district general hospitals</w:t>
      </w:r>
      <w:r w:rsidR="00400C46">
        <w:rPr>
          <w:rFonts w:cs="Arial"/>
          <w:bCs/>
        </w:rPr>
        <w:t xml:space="preserve"> and 57</w:t>
      </w:r>
      <w:r w:rsidR="00462EB9" w:rsidRPr="009E78DA">
        <w:rPr>
          <w:rFonts w:cs="Arial"/>
          <w:bCs/>
        </w:rPr>
        <w:t>% (</w:t>
      </w:r>
      <w:r w:rsidR="00400C46">
        <w:rPr>
          <w:rFonts w:cs="Arial"/>
          <w:bCs/>
        </w:rPr>
        <w:t>28</w:t>
      </w:r>
      <w:r w:rsidR="00462EB9" w:rsidRPr="009E78DA">
        <w:rPr>
          <w:rFonts w:cs="Arial"/>
          <w:bCs/>
        </w:rPr>
        <w:t>/49) from tertiary hospitals</w:t>
      </w:r>
      <w:r w:rsidR="00400C46">
        <w:rPr>
          <w:rFonts w:cs="Arial"/>
          <w:bCs/>
        </w:rPr>
        <w:t>.</w:t>
      </w:r>
      <w:r w:rsidR="00462EB9" w:rsidRPr="009E78DA">
        <w:rPr>
          <w:rFonts w:cs="Arial"/>
          <w:bCs/>
        </w:rPr>
        <w:t xml:space="preserve">  </w:t>
      </w:r>
      <w:r w:rsidR="00623824" w:rsidRPr="009E78DA">
        <w:rPr>
          <w:rFonts w:cs="Arial"/>
        </w:rPr>
        <w:t xml:space="preserve">Of the </w:t>
      </w:r>
      <w:r w:rsidR="00BE2213" w:rsidRPr="000A5056">
        <w:rPr>
          <w:rFonts w:cs="Arial"/>
        </w:rPr>
        <w:t>49 participa</w:t>
      </w:r>
      <w:r w:rsidR="00BE2213" w:rsidRPr="00510141">
        <w:rPr>
          <w:rFonts w:cs="Arial"/>
        </w:rPr>
        <w:t>ting</w:t>
      </w:r>
      <w:r w:rsidR="00623824" w:rsidRPr="009E78DA">
        <w:rPr>
          <w:rFonts w:cs="Arial"/>
        </w:rPr>
        <w:t xml:space="preserve"> sites</w:t>
      </w:r>
      <w:r w:rsidR="00AD1581">
        <w:rPr>
          <w:rFonts w:cs="Arial"/>
        </w:rPr>
        <w:t>,</w:t>
      </w:r>
      <w:r w:rsidR="000B1986" w:rsidRPr="009E78DA">
        <w:rPr>
          <w:rFonts w:cs="Arial"/>
        </w:rPr>
        <w:t xml:space="preserve"> 67%</w:t>
      </w:r>
      <w:r w:rsidR="00623824" w:rsidRPr="009E78DA">
        <w:rPr>
          <w:rFonts w:cs="Arial"/>
        </w:rPr>
        <w:t xml:space="preserve"> </w:t>
      </w:r>
      <w:r w:rsidR="000B1986" w:rsidRPr="009E78DA">
        <w:rPr>
          <w:rFonts w:cs="Arial"/>
        </w:rPr>
        <w:t>(</w:t>
      </w:r>
      <w:r w:rsidR="00623824" w:rsidRPr="009E78DA">
        <w:rPr>
          <w:rFonts w:cs="Arial"/>
        </w:rPr>
        <w:t>33</w:t>
      </w:r>
      <w:r w:rsidR="000B1986" w:rsidRPr="009E78DA">
        <w:rPr>
          <w:rFonts w:cs="Arial"/>
        </w:rPr>
        <w:t>/49)</w:t>
      </w:r>
      <w:r w:rsidR="00623824" w:rsidRPr="009E78DA">
        <w:rPr>
          <w:rFonts w:cs="Arial"/>
        </w:rPr>
        <w:t xml:space="preserve"> had a </w:t>
      </w:r>
      <w:r w:rsidR="00BE2213" w:rsidRPr="000A5056">
        <w:rPr>
          <w:rFonts w:cs="Arial"/>
        </w:rPr>
        <w:t>local CPG</w:t>
      </w:r>
      <w:r w:rsidR="00052B61">
        <w:rPr>
          <w:rFonts w:cs="Arial"/>
        </w:rPr>
        <w:t xml:space="preserve"> of which 31 were obtained, representing 53% of eligible PERUKI sites. </w:t>
      </w:r>
    </w:p>
    <w:p w14:paraId="5F398641" w14:textId="77777777" w:rsidR="00B61002" w:rsidRDefault="00B61002" w:rsidP="00DF5076">
      <w:pPr>
        <w:spacing w:line="480" w:lineRule="auto"/>
        <w:jc w:val="both"/>
        <w:rPr>
          <w:rFonts w:cs="Arial"/>
          <w:b/>
          <w:bCs/>
        </w:rPr>
      </w:pPr>
    </w:p>
    <w:p w14:paraId="03905281" w14:textId="5D772985" w:rsidR="008A6F88" w:rsidRPr="009E78DA" w:rsidRDefault="00B61002" w:rsidP="006C4682">
      <w:pPr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Q</w:t>
      </w:r>
      <w:r w:rsidR="008A6F88" w:rsidRPr="009E78DA">
        <w:rPr>
          <w:rFonts w:cs="Arial"/>
          <w:b/>
          <w:bCs/>
        </w:rPr>
        <w:t xml:space="preserve">uality of CPGs </w:t>
      </w:r>
    </w:p>
    <w:p w14:paraId="6514794B" w14:textId="540CD99C" w:rsidR="00B61002" w:rsidRPr="009E78DA" w:rsidRDefault="00236A41" w:rsidP="006C4682">
      <w:pPr>
        <w:spacing w:line="480" w:lineRule="auto"/>
        <w:jc w:val="both"/>
        <w:rPr>
          <w:rFonts w:cs="Arial"/>
        </w:rPr>
      </w:pPr>
      <w:r>
        <w:rPr>
          <w:rFonts w:cs="Arial"/>
        </w:rPr>
        <w:t>CPG q</w:t>
      </w:r>
      <w:r w:rsidR="00FC2223" w:rsidRPr="009E78DA">
        <w:rPr>
          <w:rFonts w:cs="Arial"/>
        </w:rPr>
        <w:t>uality was poor when judged usin</w:t>
      </w:r>
      <w:r>
        <w:rPr>
          <w:rFonts w:cs="Arial"/>
        </w:rPr>
        <w:t>g</w:t>
      </w:r>
      <w:r w:rsidR="00FC2223" w:rsidRPr="009E78DA">
        <w:rPr>
          <w:rFonts w:cs="Arial"/>
        </w:rPr>
        <w:t xml:space="preserve"> RIGHT criteria</w:t>
      </w:r>
      <w:r w:rsidR="005776CF">
        <w:rPr>
          <w:rFonts w:cs="Arial"/>
        </w:rPr>
        <w:t>;</w:t>
      </w:r>
      <w:r w:rsidR="00FC2223" w:rsidRPr="009E78DA">
        <w:rPr>
          <w:rFonts w:cs="Arial"/>
        </w:rPr>
        <w:t xml:space="preserve"> mean </w:t>
      </w:r>
      <w:r w:rsidR="00A82AC7" w:rsidRPr="009E78DA">
        <w:rPr>
          <w:rFonts w:cs="Arial"/>
        </w:rPr>
        <w:t>score 6.7</w:t>
      </w:r>
      <w:r>
        <w:rPr>
          <w:rFonts w:cs="Arial"/>
        </w:rPr>
        <w:t>/35</w:t>
      </w:r>
      <w:r w:rsidR="00FC2223" w:rsidRPr="009E78DA">
        <w:rPr>
          <w:rFonts w:cs="Arial"/>
        </w:rPr>
        <w:t xml:space="preserve"> (range 2-14)</w:t>
      </w:r>
      <w:r w:rsidR="00012929" w:rsidRPr="009E78DA">
        <w:rPr>
          <w:rFonts w:cs="Arial"/>
        </w:rPr>
        <w:t xml:space="preserve"> (22 criteria</w:t>
      </w:r>
      <w:r w:rsidR="00F96490">
        <w:rPr>
          <w:rFonts w:cs="Arial"/>
        </w:rPr>
        <w:t xml:space="preserve">, </w:t>
      </w:r>
      <w:r w:rsidR="00A15FA7">
        <w:rPr>
          <w:rFonts w:cs="Arial"/>
        </w:rPr>
        <w:t>13</w:t>
      </w:r>
      <w:r w:rsidR="00012929" w:rsidRPr="009E78DA">
        <w:rPr>
          <w:rFonts w:cs="Arial"/>
        </w:rPr>
        <w:t xml:space="preserve"> sub-sections</w:t>
      </w:r>
      <w:r w:rsidR="001019A2">
        <w:rPr>
          <w:rFonts w:cs="Arial"/>
        </w:rPr>
        <w:t xml:space="preserve">; </w:t>
      </w:r>
      <w:r w:rsidR="00946F67">
        <w:rPr>
          <w:rFonts w:cs="Arial"/>
        </w:rPr>
        <w:t>data supplement</w:t>
      </w:r>
      <w:r w:rsidR="00FC2223" w:rsidRPr="009E78DA">
        <w:rPr>
          <w:rFonts w:cs="Arial"/>
        </w:rPr>
        <w:t>)</w:t>
      </w:r>
      <w:r w:rsidR="00A82AC7" w:rsidRPr="009E78DA">
        <w:rPr>
          <w:rFonts w:cs="Arial"/>
        </w:rPr>
        <w:t xml:space="preserve">. </w:t>
      </w:r>
      <w:r w:rsidR="00B71B64" w:rsidRPr="009E78DA">
        <w:rPr>
          <w:rFonts w:cs="Arial"/>
        </w:rPr>
        <w:t xml:space="preserve">The </w:t>
      </w:r>
      <w:r w:rsidR="00B61002">
        <w:rPr>
          <w:rFonts w:cs="Arial"/>
        </w:rPr>
        <w:t>poorest scoring</w:t>
      </w:r>
      <w:r w:rsidR="00B71B64" w:rsidRPr="009E78DA">
        <w:rPr>
          <w:rFonts w:cs="Arial"/>
        </w:rPr>
        <w:t xml:space="preserve"> criteria involved evidence</w:t>
      </w:r>
      <w:r w:rsidR="0022637F">
        <w:rPr>
          <w:rFonts w:cs="Arial"/>
        </w:rPr>
        <w:t>-</w:t>
      </w:r>
      <w:r w:rsidR="00B61002">
        <w:rPr>
          <w:rFonts w:cs="Arial"/>
        </w:rPr>
        <w:t>base</w:t>
      </w:r>
      <w:r w:rsidR="00B71B64" w:rsidRPr="009E78DA">
        <w:rPr>
          <w:rFonts w:cs="Arial"/>
        </w:rPr>
        <w:t xml:space="preserve"> (</w:t>
      </w:r>
      <w:r w:rsidR="00891518" w:rsidRPr="009E78DA">
        <w:rPr>
          <w:rFonts w:cs="Arial"/>
        </w:rPr>
        <w:t>e.g.,</w:t>
      </w:r>
      <w:r w:rsidR="00B71B64" w:rsidRPr="009E78DA">
        <w:rPr>
          <w:rFonts w:cs="Arial"/>
        </w:rPr>
        <w:t xml:space="preserve"> what questions </w:t>
      </w:r>
      <w:r w:rsidR="004A4F42">
        <w:rPr>
          <w:rFonts w:cs="Arial"/>
        </w:rPr>
        <w:t>CPG</w:t>
      </w:r>
      <w:r w:rsidR="00321CC2">
        <w:rPr>
          <w:rFonts w:cs="Arial"/>
        </w:rPr>
        <w:t xml:space="preserve"> was based on</w:t>
      </w:r>
      <w:r w:rsidR="00B71B64" w:rsidRPr="009E78DA">
        <w:rPr>
          <w:rFonts w:cs="Arial"/>
        </w:rPr>
        <w:t>, how outcomes were selected, strength of recommendations, gaps in evidenc</w:t>
      </w:r>
      <w:r w:rsidR="00F96490">
        <w:rPr>
          <w:rFonts w:cs="Arial"/>
        </w:rPr>
        <w:t xml:space="preserve">e and </w:t>
      </w:r>
      <w:r w:rsidR="00B71B64" w:rsidRPr="009E78DA">
        <w:rPr>
          <w:rFonts w:cs="Arial"/>
        </w:rPr>
        <w:t xml:space="preserve">limitations).  </w:t>
      </w:r>
      <w:r w:rsidR="00443062" w:rsidRPr="009E78DA">
        <w:rPr>
          <w:rFonts w:cs="Arial"/>
        </w:rPr>
        <w:t>58%</w:t>
      </w:r>
      <w:r w:rsidR="008A6F88" w:rsidRPr="009E78DA">
        <w:rPr>
          <w:rFonts w:cs="Arial"/>
        </w:rPr>
        <w:t xml:space="preserve"> (18/31)</w:t>
      </w:r>
      <w:r w:rsidR="00443062" w:rsidRPr="009E78DA">
        <w:rPr>
          <w:rFonts w:cs="Arial"/>
        </w:rPr>
        <w:t xml:space="preserve"> of CPGs </w:t>
      </w:r>
      <w:r w:rsidR="00E93E78">
        <w:rPr>
          <w:rFonts w:cs="Arial"/>
        </w:rPr>
        <w:t>reported</w:t>
      </w:r>
      <w:r w:rsidR="00E93E78" w:rsidRPr="009E78DA">
        <w:rPr>
          <w:rFonts w:cs="Arial"/>
        </w:rPr>
        <w:t xml:space="preserve"> </w:t>
      </w:r>
      <w:r w:rsidR="00443062" w:rsidRPr="009E78DA">
        <w:rPr>
          <w:rFonts w:cs="Arial"/>
        </w:rPr>
        <w:t>a quality</w:t>
      </w:r>
      <w:r w:rsidR="00F96490">
        <w:rPr>
          <w:rFonts w:cs="Arial"/>
        </w:rPr>
        <w:t>-</w:t>
      </w:r>
      <w:r w:rsidR="00443062" w:rsidRPr="009E78DA">
        <w:rPr>
          <w:rFonts w:cs="Arial"/>
        </w:rPr>
        <w:t xml:space="preserve">assurance process. </w:t>
      </w:r>
    </w:p>
    <w:p w14:paraId="6AE4D01E" w14:textId="77777777" w:rsidR="007F422E" w:rsidRPr="009E78DA" w:rsidRDefault="007F422E" w:rsidP="00124021">
      <w:pPr>
        <w:spacing w:line="480" w:lineRule="auto"/>
        <w:jc w:val="both"/>
        <w:rPr>
          <w:rFonts w:cs="Arial"/>
          <w:b/>
          <w:bCs/>
        </w:rPr>
      </w:pPr>
    </w:p>
    <w:p w14:paraId="1AD590D7" w14:textId="1034312C" w:rsidR="00623824" w:rsidRPr="009E78DA" w:rsidRDefault="008A6F88" w:rsidP="006C4682">
      <w:pPr>
        <w:spacing w:line="480" w:lineRule="auto"/>
        <w:rPr>
          <w:rFonts w:cs="Arial"/>
          <w:b/>
          <w:bCs/>
        </w:rPr>
      </w:pPr>
      <w:r w:rsidRPr="009E78DA">
        <w:rPr>
          <w:rFonts w:cs="Arial"/>
          <w:b/>
          <w:bCs/>
        </w:rPr>
        <w:t>Assessing severity</w:t>
      </w:r>
    </w:p>
    <w:p w14:paraId="06941909" w14:textId="7DB5969A" w:rsidR="00D05445" w:rsidRPr="009E78DA" w:rsidRDefault="00B61002" w:rsidP="006C4682">
      <w:pPr>
        <w:spacing w:line="480" w:lineRule="auto"/>
        <w:jc w:val="both"/>
        <w:rPr>
          <w:rFonts w:cs="Arial"/>
          <w:b/>
          <w:i/>
          <w:color w:val="C0504D" w:themeColor="accent2"/>
        </w:rPr>
      </w:pPr>
      <w:r>
        <w:rPr>
          <w:color w:val="000000"/>
        </w:rPr>
        <w:t>Across</w:t>
      </w:r>
      <w:r w:rsidRPr="00124021">
        <w:rPr>
          <w:color w:val="000000"/>
        </w:rPr>
        <w:t xml:space="preserve"> CPG</w:t>
      </w:r>
      <w:r>
        <w:rPr>
          <w:color w:val="000000"/>
        </w:rPr>
        <w:t>s</w:t>
      </w:r>
      <w:r w:rsidRPr="00124021">
        <w:rPr>
          <w:color w:val="000000"/>
        </w:rPr>
        <w:t xml:space="preserve">, </w:t>
      </w:r>
      <w:r w:rsidR="003A1B59" w:rsidRPr="009E78DA">
        <w:rPr>
          <w:rFonts w:cs="Arial"/>
        </w:rPr>
        <w:t>21</w:t>
      </w:r>
      <w:r w:rsidR="00D05445" w:rsidRPr="009E78DA">
        <w:rPr>
          <w:rFonts w:cs="Arial"/>
        </w:rPr>
        <w:t xml:space="preserve"> different features</w:t>
      </w:r>
      <w:r>
        <w:rPr>
          <w:rFonts w:cs="Arial"/>
        </w:rPr>
        <w:t xml:space="preserve"> were</w:t>
      </w:r>
      <w:r w:rsidR="00D05445" w:rsidRPr="009E78DA">
        <w:rPr>
          <w:rFonts w:cs="Arial"/>
        </w:rPr>
        <w:t xml:space="preserve"> listed</w:t>
      </w:r>
      <w:r w:rsidR="00F96490">
        <w:rPr>
          <w:rFonts w:cs="Arial"/>
        </w:rPr>
        <w:t xml:space="preserve"> i</w:t>
      </w:r>
      <w:r w:rsidR="00D05445" w:rsidRPr="009E78DA">
        <w:rPr>
          <w:rFonts w:cs="Arial"/>
        </w:rPr>
        <w:t xml:space="preserve">n </w:t>
      </w:r>
      <w:r w:rsidR="001019A2" w:rsidRPr="009E78DA">
        <w:rPr>
          <w:rFonts w:cs="Arial"/>
        </w:rPr>
        <w:t xml:space="preserve">severity </w:t>
      </w:r>
      <w:r w:rsidR="00D05445" w:rsidRPr="009E78DA">
        <w:rPr>
          <w:rFonts w:cs="Arial"/>
        </w:rPr>
        <w:t xml:space="preserve">assessment </w:t>
      </w:r>
      <w:r>
        <w:rPr>
          <w:rFonts w:cs="Arial"/>
        </w:rPr>
        <w:t xml:space="preserve">including clinical </w:t>
      </w:r>
      <w:r w:rsidR="007F422E">
        <w:rPr>
          <w:rFonts w:cs="Arial"/>
        </w:rPr>
        <w:t>findings</w:t>
      </w:r>
      <w:r>
        <w:rPr>
          <w:rFonts w:cs="Arial"/>
        </w:rPr>
        <w:t xml:space="preserve">, </w:t>
      </w:r>
      <w:r w:rsidR="00F96490">
        <w:rPr>
          <w:rFonts w:cs="Arial"/>
        </w:rPr>
        <w:t>investigation results</w:t>
      </w:r>
      <w:r>
        <w:rPr>
          <w:rFonts w:cs="Arial"/>
        </w:rPr>
        <w:t xml:space="preserve"> and age (Figure 1</w:t>
      </w:r>
      <w:r w:rsidR="00625CFF">
        <w:rPr>
          <w:rFonts w:cs="Arial"/>
        </w:rPr>
        <w:t>a</w:t>
      </w:r>
      <w:r>
        <w:rPr>
          <w:rFonts w:cs="Arial"/>
        </w:rPr>
        <w:t>)</w:t>
      </w:r>
      <w:r w:rsidR="003A1B59" w:rsidRPr="009E78DA">
        <w:rPr>
          <w:rFonts w:cs="Arial"/>
        </w:rPr>
        <w:t xml:space="preserve">. </w:t>
      </w:r>
      <w:r>
        <w:rPr>
          <w:rFonts w:cs="Arial"/>
        </w:rPr>
        <w:t>Most common were p</w:t>
      </w:r>
      <w:r w:rsidR="00D05445" w:rsidRPr="009E78DA">
        <w:rPr>
          <w:rFonts w:cs="Arial"/>
        </w:rPr>
        <w:t xml:space="preserve">roptosis, </w:t>
      </w:r>
      <w:r w:rsidR="003A1B59" w:rsidRPr="009E78DA">
        <w:rPr>
          <w:rFonts w:cs="Arial"/>
        </w:rPr>
        <w:t>ophthalmoplegia</w:t>
      </w:r>
      <w:r w:rsidR="004E62A4">
        <w:rPr>
          <w:rFonts w:cs="Arial"/>
        </w:rPr>
        <w:t>,</w:t>
      </w:r>
      <w:r w:rsidR="003A1B59" w:rsidRPr="009E78DA">
        <w:rPr>
          <w:rFonts w:cs="Arial"/>
        </w:rPr>
        <w:t xml:space="preserve"> systemic illness, visual disturbance and failure of oral antibiotics.</w:t>
      </w:r>
      <w:r w:rsidR="00D05445" w:rsidRPr="009E78DA">
        <w:rPr>
          <w:rFonts w:cs="Arial"/>
        </w:rPr>
        <w:t xml:space="preserve"> </w:t>
      </w:r>
      <w:r>
        <w:rPr>
          <w:rFonts w:cs="Arial"/>
        </w:rPr>
        <w:t xml:space="preserve">The same features were </w:t>
      </w:r>
      <w:r w:rsidR="001019A2">
        <w:rPr>
          <w:rFonts w:cs="Arial"/>
        </w:rPr>
        <w:t>identified</w:t>
      </w:r>
      <w:r>
        <w:rPr>
          <w:rFonts w:cs="Arial"/>
        </w:rPr>
        <w:t xml:space="preserve"> </w:t>
      </w:r>
      <w:r w:rsidR="006001CB">
        <w:rPr>
          <w:rFonts w:cs="Arial"/>
        </w:rPr>
        <w:t xml:space="preserve">by </w:t>
      </w:r>
      <w:r w:rsidR="00891518">
        <w:rPr>
          <w:rFonts w:cs="Arial"/>
        </w:rPr>
        <w:t xml:space="preserve">survey </w:t>
      </w:r>
      <w:r>
        <w:rPr>
          <w:rFonts w:cs="Arial"/>
        </w:rPr>
        <w:t>respon</w:t>
      </w:r>
      <w:r w:rsidR="006001CB">
        <w:rPr>
          <w:rFonts w:cs="Arial"/>
        </w:rPr>
        <w:t>dents</w:t>
      </w:r>
      <w:r>
        <w:rPr>
          <w:rFonts w:cs="Arial"/>
        </w:rPr>
        <w:t xml:space="preserve"> as the most common indicators for admission </w:t>
      </w:r>
      <w:r w:rsidR="00625CFF">
        <w:rPr>
          <w:rFonts w:cs="Arial"/>
        </w:rPr>
        <w:t xml:space="preserve">(Figure 1b) </w:t>
      </w:r>
      <w:r>
        <w:rPr>
          <w:rFonts w:cs="Arial"/>
        </w:rPr>
        <w:t>and CT scan</w:t>
      </w:r>
      <w:r w:rsidR="00BB0721">
        <w:rPr>
          <w:rFonts w:cs="Arial"/>
        </w:rPr>
        <w:t xml:space="preserve"> </w:t>
      </w:r>
      <w:r w:rsidR="004A4F42">
        <w:rPr>
          <w:rFonts w:cs="Arial"/>
        </w:rPr>
        <w:t>(</w:t>
      </w:r>
      <w:r w:rsidR="009F51F7">
        <w:rPr>
          <w:rFonts w:cs="Arial"/>
        </w:rPr>
        <w:t>T</w:t>
      </w:r>
      <w:r w:rsidR="004A4F42">
        <w:rPr>
          <w:rFonts w:cs="Arial"/>
        </w:rPr>
        <w:t>able 2)</w:t>
      </w:r>
      <w:r w:rsidR="00E93E78">
        <w:rPr>
          <w:rFonts w:cs="Arial"/>
        </w:rPr>
        <w:t xml:space="preserve">. However, other than </w:t>
      </w:r>
      <w:r w:rsidR="00BB0721">
        <w:rPr>
          <w:rFonts w:cs="Arial"/>
        </w:rPr>
        <w:t>those listed above</w:t>
      </w:r>
      <w:r w:rsidR="00E93E78">
        <w:rPr>
          <w:rFonts w:cs="Arial"/>
        </w:rPr>
        <w:t>, the importance attached to these varied. (</w:t>
      </w:r>
      <w:r w:rsidR="00625CFF">
        <w:rPr>
          <w:rFonts w:cs="Arial"/>
        </w:rPr>
        <w:t xml:space="preserve">Figure 1b &amp; supplementary </w:t>
      </w:r>
      <w:r w:rsidR="009F51F7">
        <w:rPr>
          <w:rFonts w:cs="Arial"/>
        </w:rPr>
        <w:t>F</w:t>
      </w:r>
      <w:r w:rsidR="00625CFF">
        <w:rPr>
          <w:rFonts w:cs="Arial"/>
        </w:rPr>
        <w:t>igure 2</w:t>
      </w:r>
      <w:r w:rsidR="00E93E78">
        <w:rPr>
          <w:rFonts w:cs="Arial"/>
        </w:rPr>
        <w:t>)</w:t>
      </w:r>
    </w:p>
    <w:p w14:paraId="7EFF3CC1" w14:textId="77777777" w:rsidR="00FC2223" w:rsidRPr="009E78DA" w:rsidRDefault="00FC2223" w:rsidP="006C4682">
      <w:pPr>
        <w:spacing w:line="480" w:lineRule="auto"/>
        <w:rPr>
          <w:rFonts w:cs="Arial"/>
        </w:rPr>
      </w:pPr>
    </w:p>
    <w:p w14:paraId="654698E0" w14:textId="3A5F98F7" w:rsidR="000B1986" w:rsidRPr="009E78DA" w:rsidRDefault="00B71B64" w:rsidP="006C4682">
      <w:pPr>
        <w:spacing w:line="480" w:lineRule="auto"/>
        <w:rPr>
          <w:rFonts w:cs="Arial"/>
          <w:b/>
          <w:iCs/>
        </w:rPr>
      </w:pPr>
      <w:r w:rsidRPr="009E78DA">
        <w:rPr>
          <w:rFonts w:cs="Arial"/>
          <w:b/>
          <w:iCs/>
        </w:rPr>
        <w:t>I</w:t>
      </w:r>
      <w:r w:rsidR="0031500A" w:rsidRPr="009E78DA">
        <w:rPr>
          <w:rFonts w:cs="Arial"/>
          <w:b/>
          <w:iCs/>
        </w:rPr>
        <w:t>nvestigations</w:t>
      </w:r>
    </w:p>
    <w:p w14:paraId="03F9D950" w14:textId="06A3C2F0" w:rsidR="00B61002" w:rsidRPr="009E78DA" w:rsidRDefault="00011007" w:rsidP="001019A2">
      <w:pPr>
        <w:spacing w:line="480" w:lineRule="auto"/>
      </w:pPr>
      <w:r>
        <w:t>M</w:t>
      </w:r>
      <w:r w:rsidR="006B3497">
        <w:t xml:space="preserve">ost </w:t>
      </w:r>
      <w:r>
        <w:t xml:space="preserve">CPGs </w:t>
      </w:r>
      <w:r w:rsidR="007F422E">
        <w:t>re</w:t>
      </w:r>
      <w:r>
        <w:t xml:space="preserve">commend </w:t>
      </w:r>
      <w:r w:rsidR="007F422E">
        <w:t xml:space="preserve">investigations only </w:t>
      </w:r>
      <w:r w:rsidR="00F96490">
        <w:t xml:space="preserve">in </w:t>
      </w:r>
      <w:r w:rsidR="007F422E">
        <w:t>severe disease</w:t>
      </w:r>
      <w:r>
        <w:t>, 77% (24/31) and 90% (28/21) for blood tests and CT head respectively</w:t>
      </w:r>
      <w:r w:rsidR="00A8170F">
        <w:t xml:space="preserve"> </w:t>
      </w:r>
      <w:r w:rsidR="007F422E">
        <w:t>(Table 1). 86</w:t>
      </w:r>
      <w:r w:rsidR="00625CFF">
        <w:t xml:space="preserve">% </w:t>
      </w:r>
      <w:r w:rsidR="009F51F7" w:rsidRPr="00510141">
        <w:t xml:space="preserve">(42/49) </w:t>
      </w:r>
      <w:r w:rsidR="00625CFF" w:rsidRPr="00510141">
        <w:t>of</w:t>
      </w:r>
      <w:r w:rsidR="007F422E">
        <w:t xml:space="preserve"> respondents </w:t>
      </w:r>
      <w:r w:rsidR="007F422E" w:rsidRPr="00510141">
        <w:t>state</w:t>
      </w:r>
      <w:r>
        <w:t>d</w:t>
      </w:r>
      <w:r w:rsidR="007F422E" w:rsidRPr="00510141">
        <w:t xml:space="preserve"> they </w:t>
      </w:r>
      <w:r>
        <w:t xml:space="preserve">do blood tests on a </w:t>
      </w:r>
      <w:r w:rsidR="007F422E" w:rsidRPr="00510141">
        <w:t>systemically unwell child</w:t>
      </w:r>
      <w:r w:rsidR="007F422E">
        <w:t xml:space="preserve"> </w:t>
      </w:r>
      <w:r w:rsidR="00F96490">
        <w:t xml:space="preserve">and </w:t>
      </w:r>
      <w:r>
        <w:t>only</w:t>
      </w:r>
      <w:r w:rsidR="00625CFF">
        <w:t xml:space="preserve"> </w:t>
      </w:r>
      <w:r w:rsidR="00625CFF" w:rsidRPr="00510141">
        <w:t>4</w:t>
      </w:r>
      <w:r w:rsidR="00CE6D9A" w:rsidRPr="009E78DA">
        <w:t xml:space="preserve">% (2/49) </w:t>
      </w:r>
      <w:r w:rsidR="001019A2">
        <w:t>reported</w:t>
      </w:r>
      <w:r w:rsidR="00CE6D9A" w:rsidRPr="009E78DA">
        <w:t xml:space="preserve"> </w:t>
      </w:r>
      <w:r w:rsidR="00B61002">
        <w:t>perform</w:t>
      </w:r>
      <w:r w:rsidR="001019A2">
        <w:t>ing</w:t>
      </w:r>
      <w:r w:rsidR="00CE6D9A" w:rsidRPr="009E78DA">
        <w:t xml:space="preserve"> blood tests </w:t>
      </w:r>
      <w:r w:rsidR="0022637F">
        <w:t>universally</w:t>
      </w:r>
      <w:r w:rsidR="009F51F7">
        <w:t xml:space="preserve"> </w:t>
      </w:r>
      <w:r w:rsidR="00A8170F">
        <w:t xml:space="preserve">(Table </w:t>
      </w:r>
      <w:r w:rsidR="009F51F7">
        <w:t>1</w:t>
      </w:r>
      <w:r w:rsidR="00A8170F">
        <w:t>)</w:t>
      </w:r>
      <w:r w:rsidR="007F422E">
        <w:t xml:space="preserve">. </w:t>
      </w:r>
      <w:r w:rsidR="00CE6D9A" w:rsidRPr="009E78DA">
        <w:t xml:space="preserve"> </w:t>
      </w:r>
    </w:p>
    <w:p w14:paraId="71C17F1A" w14:textId="77777777" w:rsidR="007F422E" w:rsidRDefault="007F422E" w:rsidP="006C4682">
      <w:pPr>
        <w:spacing w:line="480" w:lineRule="auto"/>
        <w:rPr>
          <w:rFonts w:cs="Arial"/>
          <w:b/>
        </w:rPr>
      </w:pPr>
    </w:p>
    <w:p w14:paraId="4EA96650" w14:textId="556AB912" w:rsidR="007F422E" w:rsidRPr="009E78DA" w:rsidRDefault="007F422E" w:rsidP="00234CD0">
      <w:pPr>
        <w:spacing w:line="480" w:lineRule="auto"/>
        <w:rPr>
          <w:rFonts w:cs="Arial"/>
        </w:rPr>
      </w:pPr>
      <w:r>
        <w:rPr>
          <w:rFonts w:cs="Arial"/>
          <w:b/>
        </w:rPr>
        <w:lastRenderedPageBreak/>
        <w:t>Treatment and Disposition</w:t>
      </w:r>
    </w:p>
    <w:p w14:paraId="416A1B7D" w14:textId="2A7CE57C" w:rsidR="00234CD0" w:rsidRDefault="006B3497" w:rsidP="0022584F">
      <w:pPr>
        <w:spacing w:after="160" w:line="480" w:lineRule="auto"/>
      </w:pPr>
      <w:r w:rsidRPr="00234CD0">
        <w:rPr>
          <w:rFonts w:cs="Arial"/>
        </w:rPr>
        <w:t xml:space="preserve">90% of CPGs recommended oral </w:t>
      </w:r>
      <w:r w:rsidR="00A8170F">
        <w:rPr>
          <w:rFonts w:cs="Arial"/>
        </w:rPr>
        <w:t xml:space="preserve">antibiotics first-line </w:t>
      </w:r>
      <w:r w:rsidR="00F263B1" w:rsidRPr="00234CD0">
        <w:rPr>
          <w:rFonts w:cs="Arial"/>
        </w:rPr>
        <w:t>for mild peri-orbi</w:t>
      </w:r>
      <w:r w:rsidR="00F96490">
        <w:rPr>
          <w:rFonts w:cs="Arial"/>
        </w:rPr>
        <w:t>tal cellulitis</w:t>
      </w:r>
      <w:r w:rsidR="00A8170F">
        <w:rPr>
          <w:rFonts w:cs="Arial"/>
        </w:rPr>
        <w:t xml:space="preserve">. </w:t>
      </w:r>
      <w:r w:rsidR="006001CB" w:rsidRPr="00234CD0">
        <w:rPr>
          <w:rFonts w:cs="Arial"/>
        </w:rPr>
        <w:t>Site</w:t>
      </w:r>
      <w:r w:rsidRPr="00234CD0">
        <w:rPr>
          <w:rFonts w:cs="Arial"/>
        </w:rPr>
        <w:t xml:space="preserve"> responses mirrored </w:t>
      </w:r>
      <w:r w:rsidR="0011191E">
        <w:rPr>
          <w:rFonts w:cs="Arial"/>
        </w:rPr>
        <w:t>this</w:t>
      </w:r>
      <w:r w:rsidRPr="00234CD0">
        <w:rPr>
          <w:rFonts w:cs="Arial"/>
        </w:rPr>
        <w:t>;</w:t>
      </w:r>
      <w:r w:rsidR="00234CD0">
        <w:t xml:space="preserve"> 78% (38/49) offer oral antibiotics to patients not requiring admission. </w:t>
      </w:r>
      <w:r w:rsidR="00943B70">
        <w:t>90% of CPGs recommend, and 96% of respondents stated they use co-amoxiclav as first-line oral antibiotic</w:t>
      </w:r>
      <w:r w:rsidR="00F96490">
        <w:t xml:space="preserve"> (Table 1). </w:t>
      </w:r>
    </w:p>
    <w:p w14:paraId="3138A127" w14:textId="3F87A02A" w:rsidR="00C039A8" w:rsidRDefault="007F422E" w:rsidP="00B61002">
      <w:pPr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Only 10% of CPGs </w:t>
      </w:r>
      <w:r w:rsidRPr="009E78DA">
        <w:rPr>
          <w:rFonts w:cs="Arial"/>
        </w:rPr>
        <w:t xml:space="preserve">advocate </w:t>
      </w:r>
      <w:r>
        <w:rPr>
          <w:rFonts w:cs="Arial"/>
        </w:rPr>
        <w:t>universal</w:t>
      </w:r>
      <w:r w:rsidRPr="009E78DA">
        <w:rPr>
          <w:rFonts w:cs="Arial"/>
        </w:rPr>
        <w:t xml:space="preserve"> admission </w:t>
      </w:r>
      <w:r w:rsidR="006B3497">
        <w:rPr>
          <w:rFonts w:cs="Arial"/>
        </w:rPr>
        <w:t>while</w:t>
      </w:r>
      <w:r>
        <w:rPr>
          <w:rFonts w:cs="Arial"/>
        </w:rPr>
        <w:t xml:space="preserve"> </w:t>
      </w:r>
      <w:r w:rsidR="00C039A8" w:rsidRPr="009E78DA">
        <w:rPr>
          <w:rFonts w:cs="Arial"/>
        </w:rPr>
        <w:t xml:space="preserve">86% (42/49) of </w:t>
      </w:r>
      <w:r w:rsidR="00C039A8">
        <w:rPr>
          <w:rFonts w:cs="Arial"/>
        </w:rPr>
        <w:t xml:space="preserve">survey </w:t>
      </w:r>
      <w:r w:rsidR="00C039A8" w:rsidRPr="009E78DA">
        <w:rPr>
          <w:rFonts w:cs="Arial"/>
        </w:rPr>
        <w:t>respondents reported that the</w:t>
      </w:r>
      <w:r w:rsidR="00C039A8">
        <w:rPr>
          <w:rFonts w:cs="Arial"/>
        </w:rPr>
        <w:t>ir</w:t>
      </w:r>
      <w:r w:rsidR="00C039A8" w:rsidRPr="009E78DA">
        <w:rPr>
          <w:rFonts w:cs="Arial"/>
        </w:rPr>
        <w:t xml:space="preserve"> department typically admitted all </w:t>
      </w:r>
      <w:r>
        <w:rPr>
          <w:rFonts w:cs="Arial"/>
        </w:rPr>
        <w:t>p</w:t>
      </w:r>
      <w:r w:rsidR="00C039A8">
        <w:rPr>
          <w:rFonts w:cs="Arial"/>
        </w:rPr>
        <w:t xml:space="preserve">aediatric </w:t>
      </w:r>
      <w:r w:rsidR="00C039A8" w:rsidRPr="009E78DA">
        <w:rPr>
          <w:rFonts w:cs="Arial"/>
        </w:rPr>
        <w:t>periorbital infection</w:t>
      </w:r>
      <w:r>
        <w:rPr>
          <w:rFonts w:cs="Arial"/>
        </w:rPr>
        <w:t>s</w:t>
      </w:r>
      <w:r w:rsidR="00C039A8" w:rsidRPr="009E78DA">
        <w:rPr>
          <w:rFonts w:cs="Arial"/>
        </w:rPr>
        <w:t xml:space="preserve">.  </w:t>
      </w:r>
    </w:p>
    <w:p w14:paraId="707BFE1B" w14:textId="21EDE56F" w:rsidR="00FC2223" w:rsidRPr="009E78DA" w:rsidRDefault="00FC2223" w:rsidP="006C4682">
      <w:pPr>
        <w:spacing w:line="480" w:lineRule="auto"/>
        <w:rPr>
          <w:rFonts w:cs="Arial"/>
          <w:b/>
          <w:iCs/>
        </w:rPr>
      </w:pPr>
    </w:p>
    <w:p w14:paraId="3E879A82" w14:textId="58CBCC1B" w:rsidR="00FC2223" w:rsidRPr="009E78DA" w:rsidRDefault="00B71B64" w:rsidP="006C4682">
      <w:pPr>
        <w:spacing w:line="480" w:lineRule="auto"/>
        <w:jc w:val="both"/>
        <w:rPr>
          <w:rFonts w:cs="Arial"/>
          <w:b/>
          <w:i/>
        </w:rPr>
      </w:pPr>
      <w:r w:rsidRPr="009E78DA">
        <w:rPr>
          <w:rFonts w:cs="Arial"/>
          <w:b/>
          <w:iCs/>
        </w:rPr>
        <w:t>Specialist Review</w:t>
      </w:r>
    </w:p>
    <w:p w14:paraId="0008EBC1" w14:textId="4757B05A" w:rsidR="00FA2CCD" w:rsidRPr="009E78DA" w:rsidRDefault="00B71B64" w:rsidP="00104F10">
      <w:pPr>
        <w:spacing w:line="480" w:lineRule="auto"/>
        <w:jc w:val="both"/>
        <w:rPr>
          <w:rFonts w:cs="Arial"/>
          <w:bCs/>
          <w:iCs/>
        </w:rPr>
      </w:pPr>
      <w:r w:rsidRPr="009E78DA">
        <w:t>I</w:t>
      </w:r>
      <w:r w:rsidR="00104F10">
        <w:t>f</w:t>
      </w:r>
      <w:r w:rsidRPr="009E78DA">
        <w:t xml:space="preserve"> </w:t>
      </w:r>
      <w:r w:rsidR="00104F10" w:rsidRPr="009E78DA">
        <w:t xml:space="preserve">patients </w:t>
      </w:r>
      <w:r w:rsidR="00104F10">
        <w:t xml:space="preserve">are </w:t>
      </w:r>
      <w:r w:rsidR="00104F10" w:rsidRPr="009E78DA">
        <w:t>admitted</w:t>
      </w:r>
      <w:r w:rsidRPr="009E78DA">
        <w:t xml:space="preserve">, </w:t>
      </w:r>
      <w:r w:rsidR="00A7762F" w:rsidRPr="009E78DA">
        <w:t>84% (26/31) of CPGs recommend ophthalmology review, and 68% (21/31) ENT review</w:t>
      </w:r>
      <w:r w:rsidRPr="009E78DA">
        <w:t>.</w:t>
      </w:r>
      <w:r w:rsidR="00B61002">
        <w:rPr>
          <w:rFonts w:cs="Arial"/>
          <w:bCs/>
          <w:iCs/>
        </w:rPr>
        <w:t xml:space="preserve"> </w:t>
      </w:r>
      <w:r w:rsidR="00011007">
        <w:rPr>
          <w:rFonts w:cs="Arial"/>
          <w:bCs/>
          <w:iCs/>
        </w:rPr>
        <w:t>R</w:t>
      </w:r>
      <w:r w:rsidR="009F51F7">
        <w:rPr>
          <w:rFonts w:cs="Arial"/>
          <w:bCs/>
          <w:iCs/>
        </w:rPr>
        <w:t>espondents</w:t>
      </w:r>
      <w:r w:rsidR="00011007">
        <w:rPr>
          <w:rFonts w:cs="Arial"/>
          <w:bCs/>
          <w:iCs/>
        </w:rPr>
        <w:t xml:space="preserve"> </w:t>
      </w:r>
      <w:r w:rsidR="007B063E">
        <w:rPr>
          <w:rFonts w:cs="Arial"/>
          <w:bCs/>
          <w:iCs/>
        </w:rPr>
        <w:t>always</w:t>
      </w:r>
      <w:r w:rsidR="00EA3E5A">
        <w:rPr>
          <w:rFonts w:cs="Arial"/>
          <w:bCs/>
          <w:iCs/>
        </w:rPr>
        <w:t xml:space="preserve"> request</w:t>
      </w:r>
      <w:r w:rsidR="00B61002">
        <w:rPr>
          <w:rFonts w:cs="Arial"/>
          <w:bCs/>
          <w:iCs/>
        </w:rPr>
        <w:t xml:space="preserve"> </w:t>
      </w:r>
      <w:r w:rsidR="00104F10">
        <w:rPr>
          <w:rFonts w:cs="Arial"/>
          <w:bCs/>
          <w:iCs/>
        </w:rPr>
        <w:t>inpatient review</w:t>
      </w:r>
      <w:r w:rsidR="00011007">
        <w:rPr>
          <w:rFonts w:cs="Arial"/>
          <w:bCs/>
          <w:iCs/>
        </w:rPr>
        <w:t xml:space="preserve"> less frequently</w:t>
      </w:r>
      <w:r w:rsidR="0011191E">
        <w:rPr>
          <w:rFonts w:cs="Arial"/>
          <w:bCs/>
          <w:iCs/>
        </w:rPr>
        <w:t>,</w:t>
      </w:r>
      <w:r w:rsidR="00011007">
        <w:rPr>
          <w:rFonts w:cs="Arial"/>
          <w:bCs/>
          <w:iCs/>
        </w:rPr>
        <w:t xml:space="preserve"> (</w:t>
      </w:r>
      <w:r w:rsidR="00B61002" w:rsidRPr="009E78DA">
        <w:rPr>
          <w:rFonts w:cs="Arial"/>
        </w:rPr>
        <w:t>63% (31/49)</w:t>
      </w:r>
      <w:r w:rsidR="00B61002">
        <w:rPr>
          <w:rFonts w:cs="Arial"/>
        </w:rPr>
        <w:t xml:space="preserve"> and </w:t>
      </w:r>
      <w:r w:rsidR="00B61002">
        <w:rPr>
          <w:rFonts w:cs="Arial"/>
          <w:bCs/>
          <w:iCs/>
        </w:rPr>
        <w:t>37</w:t>
      </w:r>
      <w:r w:rsidR="000B1986" w:rsidRPr="009E78DA">
        <w:rPr>
          <w:rFonts w:cs="Arial"/>
        </w:rPr>
        <w:t>% (</w:t>
      </w:r>
      <w:r w:rsidR="00B61002">
        <w:rPr>
          <w:rFonts w:cs="Arial"/>
        </w:rPr>
        <w:t>18</w:t>
      </w:r>
      <w:r w:rsidR="000B1986" w:rsidRPr="009E78DA">
        <w:rPr>
          <w:rFonts w:cs="Arial"/>
        </w:rPr>
        <w:t>/49)</w:t>
      </w:r>
      <w:r w:rsidR="00B61002">
        <w:rPr>
          <w:rFonts w:cs="Arial"/>
        </w:rPr>
        <w:t xml:space="preserve"> for Ophthalmology and ENT respectivel</w:t>
      </w:r>
      <w:r w:rsidR="007B063E">
        <w:rPr>
          <w:rFonts w:cs="Arial"/>
        </w:rPr>
        <w:t>y</w:t>
      </w:r>
      <w:r w:rsidR="00011007">
        <w:rPr>
          <w:rFonts w:cs="Arial"/>
        </w:rPr>
        <w:t>)</w:t>
      </w:r>
      <w:r w:rsidR="007B063E">
        <w:rPr>
          <w:rFonts w:cs="Arial"/>
        </w:rPr>
        <w:t xml:space="preserve"> (Table 1).</w:t>
      </w:r>
    </w:p>
    <w:p w14:paraId="4F0F713E" w14:textId="06D27118" w:rsidR="00FC2223" w:rsidRPr="009E78DA" w:rsidRDefault="00FC2223" w:rsidP="006C4682">
      <w:pPr>
        <w:spacing w:line="480" w:lineRule="auto"/>
        <w:rPr>
          <w:rFonts w:cs="Arial"/>
          <w:iCs/>
        </w:rPr>
      </w:pPr>
    </w:p>
    <w:p w14:paraId="3AD12D0D" w14:textId="5895FE80" w:rsidR="00B61002" w:rsidRPr="009E78DA" w:rsidRDefault="001F5458" w:rsidP="006C4682">
      <w:pPr>
        <w:spacing w:line="480" w:lineRule="auto"/>
        <w:rPr>
          <w:rFonts w:cs="Arial"/>
          <w:b/>
        </w:rPr>
      </w:pPr>
      <w:r w:rsidRPr="009E78DA">
        <w:rPr>
          <w:rFonts w:cs="Arial"/>
          <w:b/>
        </w:rPr>
        <w:t>Follow-up</w:t>
      </w:r>
    </w:p>
    <w:p w14:paraId="6E5A1F9F" w14:textId="7E6ECB82" w:rsidR="00A002C2" w:rsidRPr="009E78DA" w:rsidRDefault="00A002C2" w:rsidP="00124021">
      <w:pPr>
        <w:spacing w:line="480" w:lineRule="auto"/>
        <w:rPr>
          <w:rFonts w:cs="Arial"/>
        </w:rPr>
      </w:pPr>
      <w:r w:rsidRPr="009E78DA">
        <w:rPr>
          <w:rFonts w:cs="Arial"/>
        </w:rPr>
        <w:t>74% (23/31) of CPGs</w:t>
      </w:r>
      <w:r w:rsidR="00B61002">
        <w:rPr>
          <w:rFonts w:cs="Arial"/>
        </w:rPr>
        <w:t xml:space="preserve"> </w:t>
      </w:r>
      <w:r w:rsidR="00104F10">
        <w:rPr>
          <w:rFonts w:cs="Arial"/>
        </w:rPr>
        <w:t>lacked</w:t>
      </w:r>
      <w:r w:rsidR="00B61002">
        <w:rPr>
          <w:rFonts w:cs="Arial"/>
        </w:rPr>
        <w:t xml:space="preserve"> follow-up guidance</w:t>
      </w:r>
      <w:r w:rsidRPr="009E78DA">
        <w:rPr>
          <w:rFonts w:cs="Arial"/>
        </w:rPr>
        <w:t xml:space="preserve">. </w:t>
      </w:r>
      <w:r w:rsidR="00052B61">
        <w:rPr>
          <w:rFonts w:cs="Arial"/>
        </w:rPr>
        <w:t>26% (</w:t>
      </w:r>
      <w:r w:rsidR="00B61002">
        <w:rPr>
          <w:rFonts w:cs="Arial"/>
        </w:rPr>
        <w:t>8/31</w:t>
      </w:r>
      <w:r w:rsidR="00052B61">
        <w:rPr>
          <w:rFonts w:cs="Arial"/>
        </w:rPr>
        <w:t>)</w:t>
      </w:r>
      <w:r w:rsidR="00B61002">
        <w:rPr>
          <w:rFonts w:cs="Arial"/>
        </w:rPr>
        <w:t xml:space="preserve"> made</w:t>
      </w:r>
      <w:r w:rsidR="00B72FFC" w:rsidRPr="009E78DA">
        <w:rPr>
          <w:rFonts w:cs="Arial"/>
        </w:rPr>
        <w:t xml:space="preserve"> discharge recommendation</w:t>
      </w:r>
      <w:r w:rsidR="005B291B">
        <w:rPr>
          <w:rFonts w:cs="Arial"/>
        </w:rPr>
        <w:t>s including</w:t>
      </w:r>
      <w:r w:rsidR="00B61002">
        <w:rPr>
          <w:rFonts w:cs="Arial"/>
        </w:rPr>
        <w:t xml:space="preserve"> follow-up </w:t>
      </w:r>
      <w:r w:rsidR="00052B61">
        <w:rPr>
          <w:rFonts w:cs="Arial"/>
        </w:rPr>
        <w:t xml:space="preserve">16% </w:t>
      </w:r>
      <w:r w:rsidR="00B61002">
        <w:rPr>
          <w:rFonts w:cs="Arial"/>
        </w:rPr>
        <w:t>(</w:t>
      </w:r>
      <w:r w:rsidR="007B525D">
        <w:rPr>
          <w:rFonts w:cs="Arial"/>
        </w:rPr>
        <w:t>5</w:t>
      </w:r>
      <w:r w:rsidR="00B61002">
        <w:rPr>
          <w:rFonts w:cs="Arial"/>
        </w:rPr>
        <w:t xml:space="preserve">/31), safety netting advice </w:t>
      </w:r>
      <w:r w:rsidR="00052B61">
        <w:rPr>
          <w:rFonts w:cs="Arial"/>
        </w:rPr>
        <w:t xml:space="preserve">6% </w:t>
      </w:r>
      <w:r w:rsidR="00B61002">
        <w:rPr>
          <w:rFonts w:cs="Arial"/>
        </w:rPr>
        <w:t xml:space="preserve">(2/31) and open access </w:t>
      </w:r>
      <w:r w:rsidR="00052B61">
        <w:rPr>
          <w:rFonts w:cs="Arial"/>
        </w:rPr>
        <w:t xml:space="preserve">3% </w:t>
      </w:r>
      <w:r w:rsidR="00B61002">
        <w:rPr>
          <w:rFonts w:cs="Arial"/>
        </w:rPr>
        <w:t xml:space="preserve">(1/31). </w:t>
      </w:r>
      <w:r w:rsidR="00B72FFC" w:rsidRPr="009E78DA">
        <w:rPr>
          <w:rFonts w:cs="Arial"/>
        </w:rPr>
        <w:t xml:space="preserve"> </w:t>
      </w:r>
    </w:p>
    <w:p w14:paraId="582AFC4F" w14:textId="6C6D6976" w:rsidR="00A002C2" w:rsidRPr="009E78DA" w:rsidRDefault="00104F10" w:rsidP="006C4682">
      <w:pPr>
        <w:spacing w:line="480" w:lineRule="auto"/>
        <w:jc w:val="both"/>
        <w:rPr>
          <w:rFonts w:cs="Arial"/>
        </w:rPr>
      </w:pPr>
      <w:r>
        <w:rPr>
          <w:rFonts w:cs="Arial"/>
        </w:rPr>
        <w:t>However, individual</w:t>
      </w:r>
      <w:r w:rsidR="00B61002">
        <w:rPr>
          <w:rFonts w:cs="Arial"/>
        </w:rPr>
        <w:t xml:space="preserve"> responses </w:t>
      </w:r>
      <w:r>
        <w:rPr>
          <w:rFonts w:cs="Arial"/>
        </w:rPr>
        <w:t>indicated</w:t>
      </w:r>
      <w:r w:rsidR="00B61002">
        <w:rPr>
          <w:rFonts w:cs="Arial"/>
        </w:rPr>
        <w:t xml:space="preserve"> </w:t>
      </w:r>
      <w:r>
        <w:rPr>
          <w:rFonts w:cs="Arial"/>
        </w:rPr>
        <w:t>7</w:t>
      </w:r>
      <w:r w:rsidR="00FC10BF">
        <w:rPr>
          <w:rFonts w:cs="Arial"/>
        </w:rPr>
        <w:t>8</w:t>
      </w:r>
      <w:r w:rsidR="00B61002">
        <w:rPr>
          <w:rFonts w:cs="Arial"/>
        </w:rPr>
        <w:t>% (</w:t>
      </w:r>
      <w:r>
        <w:rPr>
          <w:rFonts w:cs="Arial"/>
        </w:rPr>
        <w:t>38/49</w:t>
      </w:r>
      <w:r w:rsidR="00B61002">
        <w:rPr>
          <w:rFonts w:cs="Arial"/>
        </w:rPr>
        <w:t xml:space="preserve">) </w:t>
      </w:r>
      <w:r>
        <w:rPr>
          <w:rFonts w:cs="Arial"/>
        </w:rPr>
        <w:t xml:space="preserve">of </w:t>
      </w:r>
      <w:proofErr w:type="gramStart"/>
      <w:r>
        <w:rPr>
          <w:rFonts w:cs="Arial"/>
        </w:rPr>
        <w:t>clinicians</w:t>
      </w:r>
      <w:proofErr w:type="gramEnd"/>
      <w:r>
        <w:rPr>
          <w:rFonts w:cs="Arial"/>
        </w:rPr>
        <w:t xml:space="preserve"> follow-up cases</w:t>
      </w:r>
      <w:r w:rsidR="00B61002">
        <w:rPr>
          <w:rFonts w:cs="Arial"/>
        </w:rPr>
        <w:t xml:space="preserve">. </w:t>
      </w:r>
      <w:r w:rsidR="00FC10BF">
        <w:rPr>
          <w:rFonts w:cs="Arial"/>
        </w:rPr>
        <w:t>45</w:t>
      </w:r>
      <w:r w:rsidR="00A002C2" w:rsidRPr="009E78DA">
        <w:rPr>
          <w:rFonts w:cs="Arial"/>
        </w:rPr>
        <w:t>% (</w:t>
      </w:r>
      <w:r w:rsidR="00FC10BF">
        <w:rPr>
          <w:rFonts w:cs="Arial"/>
        </w:rPr>
        <w:t>22</w:t>
      </w:r>
      <w:r w:rsidR="00A002C2" w:rsidRPr="009E78DA">
        <w:rPr>
          <w:rFonts w:cs="Arial"/>
        </w:rPr>
        <w:t xml:space="preserve">/49) </w:t>
      </w:r>
      <w:r w:rsidR="005B291B">
        <w:rPr>
          <w:rFonts w:cs="Arial"/>
        </w:rPr>
        <w:t xml:space="preserve">with ED or paediatrics </w:t>
      </w:r>
      <w:r w:rsidR="00B61002">
        <w:rPr>
          <w:rFonts w:cs="Arial"/>
        </w:rPr>
        <w:t>and</w:t>
      </w:r>
      <w:r w:rsidR="00C01BB2" w:rsidRPr="009E78DA">
        <w:rPr>
          <w:rFonts w:cs="Arial"/>
        </w:rPr>
        <w:t xml:space="preserve"> </w:t>
      </w:r>
      <w:r w:rsidR="00FC10BF">
        <w:rPr>
          <w:rFonts w:cs="Arial"/>
        </w:rPr>
        <w:t>24</w:t>
      </w:r>
      <w:r w:rsidR="00C01BB2" w:rsidRPr="009E78DA">
        <w:rPr>
          <w:rFonts w:cs="Arial"/>
        </w:rPr>
        <w:t>%</w:t>
      </w:r>
      <w:r w:rsidR="00A002C2" w:rsidRPr="009E78DA">
        <w:rPr>
          <w:rFonts w:cs="Arial"/>
        </w:rPr>
        <w:t xml:space="preserve"> </w:t>
      </w:r>
      <w:r w:rsidR="00C01BB2" w:rsidRPr="009E78DA">
        <w:rPr>
          <w:rFonts w:cs="Arial"/>
        </w:rPr>
        <w:t>(</w:t>
      </w:r>
      <w:r w:rsidR="00FC10BF">
        <w:rPr>
          <w:rFonts w:cs="Arial"/>
        </w:rPr>
        <w:t>12</w:t>
      </w:r>
      <w:r w:rsidR="00A002C2" w:rsidRPr="009E78DA">
        <w:rPr>
          <w:rFonts w:cs="Arial"/>
        </w:rPr>
        <w:t>/49</w:t>
      </w:r>
      <w:r w:rsidR="00C01BB2" w:rsidRPr="009E78DA">
        <w:rPr>
          <w:rFonts w:cs="Arial"/>
        </w:rPr>
        <w:t>)</w:t>
      </w:r>
      <w:r w:rsidR="002C606D">
        <w:rPr>
          <w:rFonts w:cs="Arial"/>
        </w:rPr>
        <w:t xml:space="preserve"> </w:t>
      </w:r>
      <w:r w:rsidR="00B61002">
        <w:rPr>
          <w:rFonts w:cs="Arial"/>
        </w:rPr>
        <w:t>arrange speciality follow-up.</w:t>
      </w:r>
    </w:p>
    <w:p w14:paraId="5EA3F01F" w14:textId="77777777" w:rsidR="00B61002" w:rsidRDefault="00B61002" w:rsidP="006C4682">
      <w:pPr>
        <w:spacing w:line="480" w:lineRule="auto"/>
        <w:rPr>
          <w:rFonts w:cs="Arial"/>
          <w:b/>
        </w:rPr>
      </w:pPr>
    </w:p>
    <w:p w14:paraId="2DA9B3B9" w14:textId="2933ED2F" w:rsidR="00091AC0" w:rsidRPr="009E78DA" w:rsidRDefault="00091AC0" w:rsidP="006C4682">
      <w:pPr>
        <w:spacing w:line="480" w:lineRule="auto"/>
        <w:rPr>
          <w:rFonts w:cs="Arial"/>
          <w:b/>
        </w:rPr>
      </w:pPr>
      <w:r w:rsidRPr="009E78DA">
        <w:rPr>
          <w:rFonts w:cs="Arial"/>
          <w:b/>
        </w:rPr>
        <w:t>D</w:t>
      </w:r>
      <w:r w:rsidR="00B61002">
        <w:rPr>
          <w:rFonts w:cs="Arial"/>
          <w:b/>
        </w:rPr>
        <w:t>ISCUSSION</w:t>
      </w:r>
    </w:p>
    <w:p w14:paraId="10D9DFF3" w14:textId="6469CE76" w:rsidR="00EA3E5A" w:rsidRDefault="00091AC0" w:rsidP="00EB53D1">
      <w:pPr>
        <w:spacing w:line="480" w:lineRule="auto"/>
        <w:jc w:val="both"/>
        <w:rPr>
          <w:rFonts w:cs="Arial"/>
          <w:bCs/>
        </w:rPr>
      </w:pPr>
      <w:r w:rsidRPr="009E78DA">
        <w:rPr>
          <w:rFonts w:cs="Arial"/>
          <w:bCs/>
        </w:rPr>
        <w:t>T</w:t>
      </w:r>
      <w:r w:rsidR="0080200D" w:rsidRPr="009E78DA">
        <w:rPr>
          <w:rFonts w:cs="Arial"/>
          <w:bCs/>
        </w:rPr>
        <w:t xml:space="preserve">his study </w:t>
      </w:r>
      <w:r w:rsidR="00EB53D1">
        <w:rPr>
          <w:rFonts w:cs="Arial"/>
          <w:bCs/>
        </w:rPr>
        <w:t>demonstrates practice variation in the manage</w:t>
      </w:r>
      <w:r w:rsidR="00891518">
        <w:rPr>
          <w:rFonts w:cs="Arial"/>
          <w:bCs/>
        </w:rPr>
        <w:t>ment</w:t>
      </w:r>
      <w:r w:rsidR="00EB53D1">
        <w:rPr>
          <w:rFonts w:cs="Arial"/>
          <w:bCs/>
        </w:rPr>
        <w:t xml:space="preserve"> of paediatric peri-orbital cellulitis</w:t>
      </w:r>
      <w:r w:rsidR="0080200D" w:rsidRPr="009E78DA">
        <w:rPr>
          <w:rFonts w:cs="Arial"/>
          <w:bCs/>
        </w:rPr>
        <w:t xml:space="preserve"> </w:t>
      </w:r>
      <w:r w:rsidR="00EB53D1">
        <w:rPr>
          <w:rFonts w:cs="Arial"/>
          <w:bCs/>
        </w:rPr>
        <w:t xml:space="preserve">in the </w:t>
      </w:r>
      <w:r w:rsidR="0080200D" w:rsidRPr="009E78DA">
        <w:rPr>
          <w:rFonts w:cs="Arial"/>
          <w:bCs/>
        </w:rPr>
        <w:t>UK</w:t>
      </w:r>
      <w:r w:rsidR="0022637F">
        <w:rPr>
          <w:rFonts w:cs="Arial"/>
          <w:bCs/>
        </w:rPr>
        <w:t>,</w:t>
      </w:r>
      <w:r w:rsidR="0080200D" w:rsidRPr="009E78DA">
        <w:rPr>
          <w:rFonts w:cs="Arial"/>
          <w:bCs/>
        </w:rPr>
        <w:t xml:space="preserve"> with </w:t>
      </w:r>
      <w:r w:rsidR="0022637F" w:rsidRPr="009E78DA">
        <w:rPr>
          <w:rFonts w:cs="Arial"/>
          <w:bCs/>
        </w:rPr>
        <w:t>varying quality</w:t>
      </w:r>
      <w:r w:rsidR="0022637F" w:rsidRPr="009E78DA" w:rsidDel="0022637F">
        <w:rPr>
          <w:rFonts w:cs="Arial"/>
          <w:bCs/>
        </w:rPr>
        <w:t xml:space="preserve"> </w:t>
      </w:r>
      <w:r w:rsidR="00891518">
        <w:rPr>
          <w:rFonts w:cs="Arial"/>
          <w:bCs/>
        </w:rPr>
        <w:t>across</w:t>
      </w:r>
      <w:r w:rsidR="0022637F">
        <w:rPr>
          <w:rFonts w:cs="Arial"/>
          <w:bCs/>
        </w:rPr>
        <w:t xml:space="preserve"> </w:t>
      </w:r>
      <w:r w:rsidR="0080200D" w:rsidRPr="009E78DA">
        <w:rPr>
          <w:rFonts w:cs="Arial"/>
          <w:bCs/>
        </w:rPr>
        <w:t>3</w:t>
      </w:r>
      <w:r w:rsidR="00321CC2">
        <w:rPr>
          <w:rFonts w:cs="Arial"/>
          <w:bCs/>
        </w:rPr>
        <w:t>1</w:t>
      </w:r>
      <w:r w:rsidR="0080200D" w:rsidRPr="009E78DA">
        <w:rPr>
          <w:rFonts w:cs="Arial"/>
          <w:bCs/>
        </w:rPr>
        <w:t xml:space="preserve"> </w:t>
      </w:r>
      <w:r w:rsidR="00B61002">
        <w:rPr>
          <w:rFonts w:cs="Arial"/>
          <w:bCs/>
        </w:rPr>
        <w:t xml:space="preserve">local </w:t>
      </w:r>
      <w:r w:rsidR="0080200D" w:rsidRPr="009E78DA">
        <w:rPr>
          <w:rFonts w:cs="Arial"/>
          <w:bCs/>
        </w:rPr>
        <w:t xml:space="preserve">CPGs. </w:t>
      </w:r>
      <w:r w:rsidR="00491237">
        <w:rPr>
          <w:rFonts w:cs="Arial"/>
          <w:bCs/>
        </w:rPr>
        <w:t>The</w:t>
      </w:r>
      <w:r w:rsidR="00721BC8" w:rsidRPr="009E78DA">
        <w:rPr>
          <w:rFonts w:cs="Arial"/>
          <w:bCs/>
        </w:rPr>
        <w:t xml:space="preserve"> lack of </w:t>
      </w:r>
      <w:r w:rsidR="00491237">
        <w:rPr>
          <w:rFonts w:cs="Arial"/>
          <w:bCs/>
        </w:rPr>
        <w:t>evidence-base</w:t>
      </w:r>
      <w:r w:rsidR="00721BC8" w:rsidRPr="009E78DA">
        <w:rPr>
          <w:rFonts w:cs="Arial"/>
          <w:bCs/>
        </w:rPr>
        <w:t xml:space="preserve"> in diagnos</w:t>
      </w:r>
      <w:r w:rsidR="00B61002">
        <w:rPr>
          <w:rFonts w:cs="Arial"/>
          <w:bCs/>
        </w:rPr>
        <w:t>ing</w:t>
      </w:r>
      <w:r w:rsidR="00721BC8" w:rsidRPr="009E78DA">
        <w:rPr>
          <w:rFonts w:cs="Arial"/>
          <w:bCs/>
        </w:rPr>
        <w:t xml:space="preserve"> </w:t>
      </w:r>
      <w:r w:rsidR="0011191E">
        <w:rPr>
          <w:rFonts w:cs="Arial"/>
          <w:bCs/>
        </w:rPr>
        <w:t xml:space="preserve">and </w:t>
      </w:r>
      <w:r w:rsidR="0022637F">
        <w:rPr>
          <w:rFonts w:cs="Arial"/>
          <w:bCs/>
        </w:rPr>
        <w:t xml:space="preserve">stratifying </w:t>
      </w:r>
      <w:r w:rsidR="00721BC8" w:rsidRPr="009E78DA">
        <w:rPr>
          <w:rFonts w:cs="Arial"/>
          <w:bCs/>
        </w:rPr>
        <w:t>severity is</w:t>
      </w:r>
      <w:r w:rsidR="0022637F">
        <w:rPr>
          <w:rFonts w:cs="Arial"/>
          <w:bCs/>
        </w:rPr>
        <w:t xml:space="preserve"> the </w:t>
      </w:r>
      <w:r w:rsidR="00EB53D1">
        <w:rPr>
          <w:rFonts w:cs="Arial"/>
          <w:bCs/>
        </w:rPr>
        <w:t xml:space="preserve">likely </w:t>
      </w:r>
      <w:r w:rsidR="0022637F">
        <w:rPr>
          <w:rFonts w:cs="Arial"/>
          <w:bCs/>
        </w:rPr>
        <w:t>aetiology of this variance</w:t>
      </w:r>
      <w:r w:rsidR="00EB53D1">
        <w:rPr>
          <w:rFonts w:cs="Arial"/>
          <w:bCs/>
        </w:rPr>
        <w:t xml:space="preserve"> (n</w:t>
      </w:r>
      <w:r w:rsidR="00EB53D1" w:rsidRPr="009E78DA">
        <w:rPr>
          <w:rFonts w:cs="Arial"/>
          <w:bCs/>
        </w:rPr>
        <w:t xml:space="preserve">o CPG reported </w:t>
      </w:r>
      <w:r w:rsidR="00EB53D1">
        <w:rPr>
          <w:rFonts w:cs="Arial"/>
          <w:bCs/>
        </w:rPr>
        <w:lastRenderedPageBreak/>
        <w:t xml:space="preserve">any </w:t>
      </w:r>
      <w:r w:rsidR="00EB53D1" w:rsidRPr="009E78DA">
        <w:rPr>
          <w:rFonts w:cs="Arial"/>
          <w:bCs/>
        </w:rPr>
        <w:t>evidence</w:t>
      </w:r>
      <w:r w:rsidR="00EB53D1">
        <w:rPr>
          <w:rFonts w:cs="Arial"/>
          <w:bCs/>
        </w:rPr>
        <w:t>-base</w:t>
      </w:r>
      <w:r w:rsidR="00891518">
        <w:rPr>
          <w:rFonts w:cs="Arial"/>
          <w:bCs/>
        </w:rPr>
        <w:t xml:space="preserve"> </w:t>
      </w:r>
      <w:r w:rsidR="00EB53D1" w:rsidRPr="009E78DA">
        <w:rPr>
          <w:rFonts w:cs="Arial"/>
          <w:bCs/>
        </w:rPr>
        <w:t>to inform the guidance</w:t>
      </w:r>
      <w:r w:rsidR="00EB53D1">
        <w:rPr>
          <w:rFonts w:cs="Arial"/>
          <w:bCs/>
        </w:rPr>
        <w:t>)</w:t>
      </w:r>
      <w:r w:rsidR="00266B83">
        <w:rPr>
          <w:rFonts w:cs="Arial"/>
          <w:bCs/>
        </w:rPr>
        <w:t xml:space="preserve">. The </w:t>
      </w:r>
      <w:r w:rsidR="00107175">
        <w:rPr>
          <w:rFonts w:cs="Arial"/>
          <w:bCs/>
        </w:rPr>
        <w:t xml:space="preserve">survey also </w:t>
      </w:r>
      <w:r w:rsidR="00E87722">
        <w:rPr>
          <w:rFonts w:cs="Arial"/>
          <w:bCs/>
        </w:rPr>
        <w:t>mirrored this</w:t>
      </w:r>
      <w:r w:rsidR="00266B83">
        <w:rPr>
          <w:rFonts w:cs="Arial"/>
          <w:bCs/>
        </w:rPr>
        <w:t xml:space="preserve">, demonstrating both </w:t>
      </w:r>
      <w:r w:rsidR="00E87722">
        <w:rPr>
          <w:rFonts w:cs="Arial"/>
          <w:bCs/>
        </w:rPr>
        <w:t>variation</w:t>
      </w:r>
      <w:r w:rsidR="00266B83">
        <w:rPr>
          <w:rFonts w:cs="Arial"/>
          <w:bCs/>
        </w:rPr>
        <w:t xml:space="preserve"> between different sites and also against CPG recommendations. </w:t>
      </w:r>
      <w:r w:rsidR="00E87722">
        <w:rPr>
          <w:rFonts w:cs="Arial"/>
          <w:bCs/>
        </w:rPr>
        <w:t xml:space="preserve"> </w:t>
      </w:r>
    </w:p>
    <w:p w14:paraId="40A9823E" w14:textId="77777777" w:rsidR="00266B83" w:rsidRDefault="00266B83" w:rsidP="00EB53D1">
      <w:pPr>
        <w:spacing w:line="480" w:lineRule="auto"/>
        <w:jc w:val="both"/>
        <w:rPr>
          <w:rFonts w:cs="Arial"/>
          <w:bCs/>
        </w:rPr>
      </w:pPr>
    </w:p>
    <w:p w14:paraId="60814338" w14:textId="4B22D8B0" w:rsidR="003C6890" w:rsidRDefault="005B291B" w:rsidP="00EB53D1">
      <w:pPr>
        <w:spacing w:line="480" w:lineRule="auto"/>
        <w:jc w:val="both"/>
        <w:rPr>
          <w:rFonts w:cs="Arial"/>
          <w:bCs/>
        </w:rPr>
      </w:pPr>
      <w:r>
        <w:rPr>
          <w:rFonts w:cs="Arial"/>
          <w:bCs/>
        </w:rPr>
        <w:t>A</w:t>
      </w:r>
      <w:r w:rsidR="003C6890" w:rsidRPr="009E78DA">
        <w:rPr>
          <w:rFonts w:cs="Arial"/>
          <w:bCs/>
        </w:rPr>
        <w:t xml:space="preserve"> strength</w:t>
      </w:r>
      <w:r>
        <w:rPr>
          <w:rFonts w:cs="Arial"/>
          <w:bCs/>
        </w:rPr>
        <w:t xml:space="preserve"> </w:t>
      </w:r>
      <w:r w:rsidR="003C6890" w:rsidRPr="009E78DA">
        <w:rPr>
          <w:rFonts w:cs="Arial"/>
          <w:bCs/>
        </w:rPr>
        <w:t xml:space="preserve">of this research is that it reflects </w:t>
      </w:r>
      <w:r w:rsidR="00266B83">
        <w:rPr>
          <w:rFonts w:cs="Arial"/>
          <w:bCs/>
        </w:rPr>
        <w:t>reported departmental management</w:t>
      </w:r>
      <w:r w:rsidR="003C6890">
        <w:rPr>
          <w:rFonts w:cs="Arial"/>
          <w:bCs/>
        </w:rPr>
        <w:t xml:space="preserve">, as well as </w:t>
      </w:r>
      <w:r w:rsidR="00266B83">
        <w:rPr>
          <w:rFonts w:cs="Arial"/>
          <w:bCs/>
        </w:rPr>
        <w:t xml:space="preserve">reviewing </w:t>
      </w:r>
      <w:r w:rsidR="003C6890">
        <w:rPr>
          <w:rFonts w:cs="Arial"/>
          <w:bCs/>
        </w:rPr>
        <w:t>CPGs</w:t>
      </w:r>
      <w:r w:rsidR="003C6890" w:rsidRPr="009E78DA">
        <w:rPr>
          <w:rFonts w:cs="Arial"/>
          <w:bCs/>
        </w:rPr>
        <w:t xml:space="preserve"> and </w:t>
      </w:r>
      <w:r w:rsidR="00266B83">
        <w:rPr>
          <w:rFonts w:cs="Arial"/>
          <w:bCs/>
        </w:rPr>
        <w:t>so</w:t>
      </w:r>
      <w:r w:rsidR="003C6890" w:rsidRPr="009E78DA">
        <w:rPr>
          <w:rFonts w:cs="Arial"/>
          <w:bCs/>
        </w:rPr>
        <w:t xml:space="preserve"> provides wide coverage of current UK</w:t>
      </w:r>
      <w:r w:rsidR="00266B83">
        <w:rPr>
          <w:rFonts w:cs="Arial"/>
          <w:bCs/>
        </w:rPr>
        <w:t xml:space="preserve"> practice</w:t>
      </w:r>
      <w:r w:rsidR="003C6890" w:rsidRPr="009E78DA">
        <w:rPr>
          <w:rFonts w:cs="Arial"/>
          <w:bCs/>
        </w:rPr>
        <w:t>.  Limitations included a single</w:t>
      </w:r>
      <w:r w:rsidR="001A71A0">
        <w:rPr>
          <w:rFonts w:cs="Arial"/>
          <w:bCs/>
        </w:rPr>
        <w:t xml:space="preserve"> </w:t>
      </w:r>
      <w:r w:rsidR="003C6890" w:rsidRPr="009E78DA">
        <w:rPr>
          <w:rFonts w:cs="Arial"/>
          <w:bCs/>
        </w:rPr>
        <w:t xml:space="preserve">respondent from each site reporting perceived </w:t>
      </w:r>
      <w:r w:rsidR="003C6890">
        <w:rPr>
          <w:rFonts w:cs="Arial"/>
          <w:bCs/>
        </w:rPr>
        <w:t xml:space="preserve">departmental </w:t>
      </w:r>
      <w:r w:rsidR="003C6890" w:rsidRPr="009E78DA">
        <w:rPr>
          <w:rFonts w:cs="Arial"/>
          <w:bCs/>
        </w:rPr>
        <w:t xml:space="preserve">practice.  </w:t>
      </w:r>
      <w:r w:rsidR="003C6890">
        <w:rPr>
          <w:rFonts w:cs="Arial"/>
          <w:bCs/>
        </w:rPr>
        <w:t>I</w:t>
      </w:r>
      <w:r w:rsidR="003C6890" w:rsidRPr="009E78DA">
        <w:rPr>
          <w:rFonts w:cs="Arial"/>
          <w:bCs/>
        </w:rPr>
        <w:t>nevitably this will introduce bias.  Furthermore</w:t>
      </w:r>
      <w:r w:rsidR="003C6890">
        <w:rPr>
          <w:rFonts w:cs="Arial"/>
          <w:bCs/>
        </w:rPr>
        <w:t>,</w:t>
      </w:r>
      <w:r w:rsidR="003C6890" w:rsidRPr="009E78DA">
        <w:rPr>
          <w:rFonts w:cs="Arial"/>
          <w:bCs/>
        </w:rPr>
        <w:t xml:space="preserve"> </w:t>
      </w:r>
      <w:r w:rsidR="00ED1F35">
        <w:rPr>
          <w:rFonts w:cs="Arial"/>
          <w:bCs/>
        </w:rPr>
        <w:t>all sites were members of a research collaborative</w:t>
      </w:r>
      <w:r w:rsidR="00266B83">
        <w:rPr>
          <w:rFonts w:cs="Arial"/>
          <w:bCs/>
        </w:rPr>
        <w:t>,</w:t>
      </w:r>
      <w:r w:rsidR="00ED1F35">
        <w:rPr>
          <w:rFonts w:cs="Arial"/>
          <w:bCs/>
        </w:rPr>
        <w:t xml:space="preserve"> and</w:t>
      </w:r>
      <w:r w:rsidR="00ED1F35" w:rsidRPr="009E78DA">
        <w:rPr>
          <w:rFonts w:cs="Arial"/>
          <w:bCs/>
        </w:rPr>
        <w:t xml:space="preserve"> </w:t>
      </w:r>
      <w:r w:rsidR="003C6890">
        <w:rPr>
          <w:rFonts w:cs="Arial"/>
          <w:bCs/>
        </w:rPr>
        <w:t xml:space="preserve">survey </w:t>
      </w:r>
      <w:r w:rsidR="003C6890" w:rsidRPr="009E78DA">
        <w:rPr>
          <w:rFonts w:cs="Arial"/>
          <w:bCs/>
        </w:rPr>
        <w:t>respondents were PERUKI site leads and consultant</w:t>
      </w:r>
      <w:r w:rsidR="003C6890">
        <w:rPr>
          <w:rFonts w:cs="Arial"/>
          <w:bCs/>
        </w:rPr>
        <w:t>s</w:t>
      </w:r>
      <w:r w:rsidR="00ED1F35">
        <w:rPr>
          <w:rFonts w:cs="Arial"/>
          <w:bCs/>
        </w:rPr>
        <w:t>.</w:t>
      </w:r>
      <w:r w:rsidR="003C6890" w:rsidRPr="009E78DA">
        <w:rPr>
          <w:rFonts w:cs="Arial"/>
          <w:bCs/>
        </w:rPr>
        <w:t xml:space="preserve">  Th</w:t>
      </w:r>
      <w:r w:rsidR="00DC5814">
        <w:rPr>
          <w:rFonts w:cs="Arial"/>
          <w:bCs/>
        </w:rPr>
        <w:t>is</w:t>
      </w:r>
      <w:r w:rsidR="003C6890" w:rsidRPr="009E78DA">
        <w:rPr>
          <w:rFonts w:cs="Arial"/>
          <w:bCs/>
        </w:rPr>
        <w:t xml:space="preserve"> population</w:t>
      </w:r>
      <w:r w:rsidR="003C6890">
        <w:rPr>
          <w:rFonts w:cs="Arial"/>
          <w:bCs/>
        </w:rPr>
        <w:t xml:space="preserve"> </w:t>
      </w:r>
      <w:r w:rsidR="00ED1F35">
        <w:rPr>
          <w:rFonts w:cs="Arial"/>
          <w:bCs/>
        </w:rPr>
        <w:t>may not be representative of all sites and clinical decision makers</w:t>
      </w:r>
      <w:r w:rsidR="003C6890" w:rsidRPr="009E78DA">
        <w:rPr>
          <w:rFonts w:cs="Arial"/>
          <w:bCs/>
        </w:rPr>
        <w:t>.</w:t>
      </w:r>
      <w:r w:rsidR="00ED1F35">
        <w:rPr>
          <w:rFonts w:cs="Arial"/>
          <w:bCs/>
        </w:rPr>
        <w:t xml:space="preserve"> Further limitations were that not all sites responded and </w:t>
      </w:r>
      <w:proofErr w:type="gramStart"/>
      <w:r w:rsidR="00ED1F35">
        <w:rPr>
          <w:rFonts w:cs="Arial"/>
          <w:bCs/>
        </w:rPr>
        <w:t>2  CPGs</w:t>
      </w:r>
      <w:proofErr w:type="gramEnd"/>
      <w:r w:rsidR="00ED1F35">
        <w:rPr>
          <w:rFonts w:cs="Arial"/>
          <w:bCs/>
        </w:rPr>
        <w:t xml:space="preserve"> were unobtainable and therefore not assessed.</w:t>
      </w:r>
    </w:p>
    <w:p w14:paraId="0E6DBAD9" w14:textId="77777777" w:rsidR="00EA3E5A" w:rsidRPr="009E78DA" w:rsidRDefault="00EA3E5A" w:rsidP="00EB53D1">
      <w:pPr>
        <w:spacing w:line="480" w:lineRule="auto"/>
        <w:jc w:val="both"/>
        <w:rPr>
          <w:rFonts w:cs="Arial"/>
          <w:bCs/>
        </w:rPr>
      </w:pPr>
    </w:p>
    <w:p w14:paraId="171B87EB" w14:textId="12DFAAA9" w:rsidR="00B71B64" w:rsidRPr="006641CD" w:rsidRDefault="00B71B64" w:rsidP="006C4682">
      <w:pPr>
        <w:spacing w:line="480" w:lineRule="auto"/>
        <w:jc w:val="both"/>
        <w:rPr>
          <w:rFonts w:cs="Arial"/>
          <w:bCs/>
        </w:rPr>
      </w:pPr>
      <w:r w:rsidRPr="006641CD">
        <w:rPr>
          <w:rFonts w:cs="Arial"/>
          <w:bCs/>
        </w:rPr>
        <w:t>The heterogeneity demonstrated suggests need for national</w:t>
      </w:r>
      <w:r w:rsidR="00B61002">
        <w:rPr>
          <w:rFonts w:cs="Arial"/>
          <w:bCs/>
        </w:rPr>
        <w:t>, evidence-based</w:t>
      </w:r>
      <w:r w:rsidRPr="006641CD">
        <w:rPr>
          <w:rFonts w:cs="Arial"/>
          <w:bCs/>
        </w:rPr>
        <w:t xml:space="preserve"> guidanc</w:t>
      </w:r>
      <w:r w:rsidR="00B61002">
        <w:rPr>
          <w:rFonts w:cs="Arial"/>
          <w:bCs/>
        </w:rPr>
        <w:t>e that</w:t>
      </w:r>
      <w:r w:rsidRPr="006641CD">
        <w:rPr>
          <w:rFonts w:cs="Arial"/>
          <w:bCs/>
        </w:rPr>
        <w:t xml:space="preserve"> address</w:t>
      </w:r>
      <w:r w:rsidR="00B61002">
        <w:rPr>
          <w:rFonts w:cs="Arial"/>
          <w:bCs/>
        </w:rPr>
        <w:t>es</w:t>
      </w:r>
      <w:r w:rsidRPr="006641CD">
        <w:rPr>
          <w:rFonts w:cs="Arial"/>
          <w:bCs/>
        </w:rPr>
        <w:t xml:space="preserve"> the following:</w:t>
      </w:r>
    </w:p>
    <w:p w14:paraId="0230A8E4" w14:textId="1B50DA20" w:rsidR="0080200D" w:rsidRPr="00124021" w:rsidRDefault="00B61002" w:rsidP="006C4682">
      <w:pPr>
        <w:pStyle w:val="ListParagraph"/>
        <w:numPr>
          <w:ilvl w:val="0"/>
          <w:numId w:val="4"/>
        </w:numPr>
        <w:spacing w:line="480" w:lineRule="auto"/>
        <w:jc w:val="both"/>
        <w:rPr>
          <w:bCs/>
        </w:rPr>
      </w:pPr>
      <w:r w:rsidRPr="00124021">
        <w:rPr>
          <w:bCs/>
        </w:rPr>
        <w:t>Which c</w:t>
      </w:r>
      <w:r w:rsidR="00B86769" w:rsidRPr="00124021">
        <w:rPr>
          <w:bCs/>
        </w:rPr>
        <w:t>riteria</w:t>
      </w:r>
      <w:r w:rsidR="00EE2675">
        <w:rPr>
          <w:bCs/>
        </w:rPr>
        <w:t xml:space="preserve"> or investigations</w:t>
      </w:r>
      <w:r w:rsidR="00B86769" w:rsidRPr="00124021">
        <w:rPr>
          <w:bCs/>
        </w:rPr>
        <w:t xml:space="preserve"> </w:t>
      </w:r>
      <w:r w:rsidR="00D509DC">
        <w:rPr>
          <w:bCs/>
        </w:rPr>
        <w:t>should</w:t>
      </w:r>
      <w:r w:rsidR="00EE2675">
        <w:rPr>
          <w:bCs/>
        </w:rPr>
        <w:t xml:space="preserve"> be used to</w:t>
      </w:r>
      <w:r w:rsidR="00B86769" w:rsidRPr="00124021">
        <w:rPr>
          <w:bCs/>
        </w:rPr>
        <w:t xml:space="preserve"> d</w:t>
      </w:r>
      <w:r w:rsidR="0080200D" w:rsidRPr="00124021">
        <w:rPr>
          <w:bCs/>
        </w:rPr>
        <w:t xml:space="preserve">efine </w:t>
      </w:r>
      <w:r w:rsidR="00B86769" w:rsidRPr="00124021">
        <w:rPr>
          <w:bCs/>
        </w:rPr>
        <w:t>sever</w:t>
      </w:r>
      <w:r w:rsidR="005C59BE">
        <w:rPr>
          <w:bCs/>
        </w:rPr>
        <w:t>ity of</w:t>
      </w:r>
      <w:r w:rsidR="00B86769" w:rsidRPr="00124021">
        <w:rPr>
          <w:bCs/>
        </w:rPr>
        <w:t xml:space="preserve"> disease</w:t>
      </w:r>
      <w:r w:rsidRPr="00124021">
        <w:rPr>
          <w:bCs/>
        </w:rPr>
        <w:t>?</w:t>
      </w:r>
    </w:p>
    <w:p w14:paraId="2DC1579A" w14:textId="07CCC602" w:rsidR="0080200D" w:rsidRPr="00DC5814" w:rsidRDefault="00B86769" w:rsidP="00DC5814">
      <w:pPr>
        <w:pStyle w:val="ListParagraph"/>
        <w:numPr>
          <w:ilvl w:val="0"/>
          <w:numId w:val="4"/>
        </w:numPr>
        <w:spacing w:line="480" w:lineRule="auto"/>
        <w:jc w:val="both"/>
        <w:rPr>
          <w:bCs/>
        </w:rPr>
      </w:pPr>
      <w:r w:rsidRPr="00124021">
        <w:rPr>
          <w:bCs/>
        </w:rPr>
        <w:t>Which patients</w:t>
      </w:r>
      <w:r w:rsidR="0080200D" w:rsidRPr="00124021">
        <w:rPr>
          <w:bCs/>
        </w:rPr>
        <w:t xml:space="preserve"> require</w:t>
      </w:r>
      <w:r w:rsidR="00AC4204">
        <w:rPr>
          <w:bCs/>
        </w:rPr>
        <w:t xml:space="preserve"> admission</w:t>
      </w:r>
      <w:r w:rsidR="00DC5814">
        <w:rPr>
          <w:bCs/>
        </w:rPr>
        <w:t xml:space="preserve"> and</w:t>
      </w:r>
      <w:r w:rsidR="00ED1F35" w:rsidRPr="00DC5814">
        <w:rPr>
          <w:bCs/>
        </w:rPr>
        <w:t xml:space="preserve"> </w:t>
      </w:r>
      <w:r w:rsidR="0080200D" w:rsidRPr="00DC5814">
        <w:rPr>
          <w:bCs/>
        </w:rPr>
        <w:t>specialist</w:t>
      </w:r>
      <w:r w:rsidRPr="00DC5814">
        <w:rPr>
          <w:bCs/>
        </w:rPr>
        <w:t xml:space="preserve"> </w:t>
      </w:r>
      <w:r w:rsidR="0080200D" w:rsidRPr="00DC5814">
        <w:rPr>
          <w:bCs/>
        </w:rPr>
        <w:t>input</w:t>
      </w:r>
      <w:r w:rsidRPr="00DC5814">
        <w:rPr>
          <w:bCs/>
        </w:rPr>
        <w:t>?</w:t>
      </w:r>
      <w:r w:rsidR="0080200D" w:rsidRPr="00DC5814">
        <w:rPr>
          <w:bCs/>
        </w:rPr>
        <w:t xml:space="preserve"> </w:t>
      </w:r>
    </w:p>
    <w:p w14:paraId="35860057" w14:textId="41D7DDA5" w:rsidR="00B86769" w:rsidRPr="00124021" w:rsidRDefault="00B86769" w:rsidP="006C4682">
      <w:pPr>
        <w:pStyle w:val="ListParagraph"/>
        <w:numPr>
          <w:ilvl w:val="0"/>
          <w:numId w:val="4"/>
        </w:numPr>
        <w:spacing w:line="480" w:lineRule="auto"/>
        <w:jc w:val="both"/>
        <w:rPr>
          <w:bCs/>
        </w:rPr>
      </w:pPr>
      <w:r w:rsidRPr="00124021">
        <w:rPr>
          <w:bCs/>
        </w:rPr>
        <w:t xml:space="preserve">Which </w:t>
      </w:r>
      <w:r w:rsidR="00B61002" w:rsidRPr="00124021">
        <w:rPr>
          <w:bCs/>
        </w:rPr>
        <w:t>a</w:t>
      </w:r>
      <w:r w:rsidRPr="00124021">
        <w:rPr>
          <w:bCs/>
        </w:rPr>
        <w:t>ntibiotics</w:t>
      </w:r>
      <w:r w:rsidR="00B61002" w:rsidRPr="00124021">
        <w:rPr>
          <w:bCs/>
        </w:rPr>
        <w:t xml:space="preserve"> should be used, by </w:t>
      </w:r>
      <w:r w:rsidRPr="00124021">
        <w:rPr>
          <w:bCs/>
        </w:rPr>
        <w:t>which route</w:t>
      </w:r>
      <w:r w:rsidR="00D509DC">
        <w:rPr>
          <w:bCs/>
        </w:rPr>
        <w:t>,</w:t>
      </w:r>
      <w:r w:rsidRPr="00124021">
        <w:rPr>
          <w:bCs/>
        </w:rPr>
        <w:t xml:space="preserve"> and for how long?</w:t>
      </w:r>
    </w:p>
    <w:p w14:paraId="3A15DFA8" w14:textId="7B357549" w:rsidR="0025130D" w:rsidRDefault="00D509DC" w:rsidP="006C4682">
      <w:pPr>
        <w:spacing w:line="480" w:lineRule="auto"/>
        <w:jc w:val="both"/>
        <w:rPr>
          <w:rFonts w:cs="Arial"/>
          <w:bCs/>
        </w:rPr>
      </w:pPr>
      <w:r>
        <w:rPr>
          <w:rFonts w:cs="Arial"/>
          <w:bCs/>
        </w:rPr>
        <w:t>I</w:t>
      </w:r>
      <w:r w:rsidR="0025130D">
        <w:rPr>
          <w:rFonts w:cs="Arial"/>
          <w:bCs/>
        </w:rPr>
        <w:t xml:space="preserve">mproved </w:t>
      </w:r>
      <w:r>
        <w:rPr>
          <w:rFonts w:cs="Arial"/>
          <w:bCs/>
        </w:rPr>
        <w:t>understanding</w:t>
      </w:r>
      <w:r w:rsidR="0025130D">
        <w:rPr>
          <w:rFonts w:cs="Arial"/>
          <w:bCs/>
        </w:rPr>
        <w:t xml:space="preserve"> </w:t>
      </w:r>
      <w:r>
        <w:rPr>
          <w:rFonts w:cs="Arial"/>
          <w:bCs/>
        </w:rPr>
        <w:t xml:space="preserve">may </w:t>
      </w:r>
      <w:r w:rsidR="0025130D">
        <w:rPr>
          <w:rFonts w:cs="Arial"/>
          <w:bCs/>
        </w:rPr>
        <w:t>decrease admissions or parenteral antibiotic usage</w:t>
      </w:r>
      <w:r>
        <w:rPr>
          <w:rFonts w:cs="Arial"/>
          <w:bCs/>
        </w:rPr>
        <w:t>, whilst maintaining safety</w:t>
      </w:r>
      <w:r w:rsidR="0025130D">
        <w:rPr>
          <w:rFonts w:cs="Arial"/>
          <w:bCs/>
        </w:rPr>
        <w:t xml:space="preserve">. </w:t>
      </w:r>
    </w:p>
    <w:p w14:paraId="51BF6485" w14:textId="77777777" w:rsidR="00FD5DB4" w:rsidRDefault="00FD5DB4" w:rsidP="006C4682">
      <w:pPr>
        <w:spacing w:line="480" w:lineRule="auto"/>
        <w:jc w:val="both"/>
        <w:rPr>
          <w:rFonts w:cs="Arial"/>
          <w:bCs/>
        </w:rPr>
      </w:pPr>
    </w:p>
    <w:p w14:paraId="7EEDFB77" w14:textId="60761DA4" w:rsidR="00B61002" w:rsidRDefault="00B61002" w:rsidP="006C4682">
      <w:pPr>
        <w:spacing w:line="480" w:lineRule="auto"/>
        <w:jc w:val="both"/>
        <w:rPr>
          <w:rFonts w:cs="Arial"/>
          <w:b/>
          <w:bCs/>
        </w:rPr>
      </w:pPr>
    </w:p>
    <w:p w14:paraId="2E5C0075" w14:textId="20B8FE80" w:rsidR="00DC5814" w:rsidRDefault="00DC5814" w:rsidP="006C4682">
      <w:pPr>
        <w:spacing w:line="480" w:lineRule="auto"/>
        <w:jc w:val="both"/>
        <w:rPr>
          <w:rFonts w:cs="Arial"/>
          <w:b/>
          <w:bCs/>
        </w:rPr>
      </w:pPr>
    </w:p>
    <w:p w14:paraId="74082D11" w14:textId="39616EB6" w:rsidR="00DC5814" w:rsidRDefault="00DC5814" w:rsidP="006C4682">
      <w:pPr>
        <w:spacing w:line="480" w:lineRule="auto"/>
        <w:jc w:val="both"/>
        <w:rPr>
          <w:rFonts w:cs="Arial"/>
          <w:b/>
          <w:bCs/>
        </w:rPr>
      </w:pPr>
    </w:p>
    <w:p w14:paraId="69E120AB" w14:textId="77777777" w:rsidR="00DC5814" w:rsidRDefault="00DC5814" w:rsidP="006C4682">
      <w:pPr>
        <w:spacing w:line="480" w:lineRule="auto"/>
        <w:jc w:val="both"/>
        <w:rPr>
          <w:rFonts w:cs="Arial"/>
          <w:b/>
          <w:bCs/>
        </w:rPr>
      </w:pPr>
    </w:p>
    <w:p w14:paraId="5B940809" w14:textId="77777777" w:rsidR="00B61002" w:rsidRDefault="00B61002" w:rsidP="006C4682">
      <w:pPr>
        <w:spacing w:line="480" w:lineRule="auto"/>
        <w:jc w:val="both"/>
        <w:rPr>
          <w:rFonts w:cs="Arial"/>
          <w:b/>
          <w:bCs/>
        </w:rPr>
      </w:pPr>
    </w:p>
    <w:p w14:paraId="4E912244" w14:textId="77777777" w:rsidR="00966818" w:rsidRDefault="00966818" w:rsidP="006C4682">
      <w:pPr>
        <w:spacing w:line="480" w:lineRule="auto"/>
        <w:jc w:val="both"/>
        <w:rPr>
          <w:rFonts w:cs="Arial"/>
          <w:b/>
          <w:bCs/>
        </w:rPr>
      </w:pPr>
    </w:p>
    <w:p w14:paraId="2C0111BB" w14:textId="642A8730" w:rsidR="000E709A" w:rsidRPr="000E709A" w:rsidRDefault="000E709A" w:rsidP="006C4682">
      <w:pPr>
        <w:spacing w:line="480" w:lineRule="auto"/>
        <w:jc w:val="both"/>
        <w:rPr>
          <w:rFonts w:cs="Arial"/>
          <w:b/>
          <w:bCs/>
        </w:rPr>
      </w:pPr>
      <w:r w:rsidRPr="000E709A">
        <w:rPr>
          <w:rFonts w:cs="Arial"/>
          <w:b/>
          <w:bCs/>
        </w:rPr>
        <w:lastRenderedPageBreak/>
        <w:t>Declarations</w:t>
      </w:r>
    </w:p>
    <w:p w14:paraId="785C384A" w14:textId="792ACBAC" w:rsidR="000E709A" w:rsidRPr="000E709A" w:rsidRDefault="000E709A" w:rsidP="006C4682">
      <w:pPr>
        <w:spacing w:line="48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Ethics Approval and Consent to Participate</w:t>
      </w:r>
    </w:p>
    <w:p w14:paraId="6AB6732E" w14:textId="646B608F" w:rsidR="000E709A" w:rsidRDefault="000E709A" w:rsidP="006C4682">
      <w:pPr>
        <w:spacing w:line="480" w:lineRule="auto"/>
        <w:jc w:val="both"/>
        <w:rPr>
          <w:color w:val="000000"/>
        </w:rPr>
      </w:pPr>
      <w:r w:rsidRPr="009E78DA">
        <w:rPr>
          <w:color w:val="000000"/>
        </w:rPr>
        <w:t>Under current United Kingdom health research authority guidance this work did not require research ethics committee review as was determined to be service evaluation.</w:t>
      </w:r>
    </w:p>
    <w:p w14:paraId="2ADBDC6C" w14:textId="77777777" w:rsidR="000E709A" w:rsidRDefault="000E709A" w:rsidP="006C4682">
      <w:pPr>
        <w:spacing w:line="480" w:lineRule="auto"/>
        <w:jc w:val="both"/>
        <w:rPr>
          <w:color w:val="000000"/>
        </w:rPr>
      </w:pPr>
    </w:p>
    <w:p w14:paraId="7C93B8A7" w14:textId="5B6D886E" w:rsidR="000E709A" w:rsidRPr="000E709A" w:rsidRDefault="000E709A" w:rsidP="006C4682">
      <w:pPr>
        <w:spacing w:line="480" w:lineRule="auto"/>
        <w:jc w:val="both"/>
        <w:rPr>
          <w:b/>
          <w:color w:val="000000"/>
        </w:rPr>
      </w:pPr>
      <w:r w:rsidRPr="000E709A">
        <w:rPr>
          <w:b/>
          <w:color w:val="000000"/>
        </w:rPr>
        <w:t>Consent for Publication</w:t>
      </w:r>
    </w:p>
    <w:p w14:paraId="0E1F2224" w14:textId="7A995B3C" w:rsidR="000E709A" w:rsidRDefault="000E709A" w:rsidP="006C4682">
      <w:pPr>
        <w:spacing w:line="480" w:lineRule="auto"/>
        <w:jc w:val="both"/>
        <w:rPr>
          <w:rFonts w:cs="Arial"/>
        </w:rPr>
      </w:pPr>
      <w:r>
        <w:rPr>
          <w:color w:val="000000"/>
        </w:rPr>
        <w:t>Not Applicable</w:t>
      </w:r>
    </w:p>
    <w:p w14:paraId="760B8847" w14:textId="77777777" w:rsidR="000E709A" w:rsidRPr="0005580A" w:rsidRDefault="000E709A" w:rsidP="006C4682">
      <w:pPr>
        <w:spacing w:line="480" w:lineRule="auto"/>
        <w:jc w:val="both"/>
        <w:rPr>
          <w:rFonts w:cs="Arial"/>
          <w:b/>
        </w:rPr>
      </w:pPr>
    </w:p>
    <w:p w14:paraId="63561792" w14:textId="00C44392" w:rsidR="000E709A" w:rsidRPr="0005580A" w:rsidRDefault="000E709A" w:rsidP="0005580A">
      <w:pPr>
        <w:spacing w:line="480" w:lineRule="auto"/>
        <w:jc w:val="both"/>
        <w:rPr>
          <w:rFonts w:cs="Arial"/>
          <w:b/>
        </w:rPr>
      </w:pPr>
      <w:r w:rsidRPr="0005580A">
        <w:rPr>
          <w:rFonts w:cs="Arial"/>
          <w:b/>
        </w:rPr>
        <w:t>Availability of Data and Materials</w:t>
      </w:r>
    </w:p>
    <w:p w14:paraId="4E8650FF" w14:textId="6AEAE23B" w:rsidR="0005580A" w:rsidRDefault="0005580A" w:rsidP="0005580A">
      <w:pPr>
        <w:spacing w:before="100" w:beforeAutospacing="1" w:after="96" w:line="480" w:lineRule="auto"/>
        <w:rPr>
          <w:rFonts w:cs="Segoe UI"/>
        </w:rPr>
      </w:pPr>
      <w:r>
        <w:rPr>
          <w:rFonts w:cs="Segoe UI"/>
        </w:rPr>
        <w:t>The datasets</w:t>
      </w:r>
      <w:r w:rsidRPr="0005580A">
        <w:rPr>
          <w:rFonts w:cs="Segoe UI"/>
        </w:rPr>
        <w:t xml:space="preserve"> analysed during the current study</w:t>
      </w:r>
      <w:r>
        <w:rPr>
          <w:rFonts w:cs="Segoe UI"/>
        </w:rPr>
        <w:t xml:space="preserve"> are</w:t>
      </w:r>
      <w:r w:rsidRPr="0005580A">
        <w:rPr>
          <w:rFonts w:cs="Segoe UI"/>
        </w:rPr>
        <w:t xml:space="preserve"> available from the corresponding author on reasonable request.</w:t>
      </w:r>
    </w:p>
    <w:p w14:paraId="7C96A112" w14:textId="77777777" w:rsidR="00B61002" w:rsidRPr="0005580A" w:rsidRDefault="00B61002" w:rsidP="0005580A">
      <w:pPr>
        <w:spacing w:before="100" w:beforeAutospacing="1" w:after="96" w:line="480" w:lineRule="auto"/>
        <w:rPr>
          <w:rFonts w:cs="Segoe UI"/>
        </w:rPr>
      </w:pPr>
    </w:p>
    <w:p w14:paraId="30DF476F" w14:textId="21822B3F" w:rsidR="000E709A" w:rsidRPr="0005580A" w:rsidRDefault="0005580A" w:rsidP="006C4682">
      <w:pPr>
        <w:spacing w:line="480" w:lineRule="auto"/>
        <w:jc w:val="both"/>
        <w:rPr>
          <w:rFonts w:cs="Arial"/>
          <w:b/>
        </w:rPr>
      </w:pPr>
      <w:r w:rsidRPr="0005580A">
        <w:rPr>
          <w:rFonts w:cs="Arial"/>
          <w:b/>
        </w:rPr>
        <w:t>Competing Interests</w:t>
      </w:r>
    </w:p>
    <w:p w14:paraId="566FFE78" w14:textId="47CF5082" w:rsidR="0005580A" w:rsidRPr="000E709A" w:rsidRDefault="0005580A" w:rsidP="006C4682">
      <w:pPr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The authors declare that they have no competing interests. </w:t>
      </w:r>
    </w:p>
    <w:p w14:paraId="46BDDFFD" w14:textId="77777777" w:rsidR="0005580A" w:rsidRDefault="0005580A" w:rsidP="006C4682">
      <w:pPr>
        <w:spacing w:line="480" w:lineRule="auto"/>
        <w:jc w:val="both"/>
        <w:rPr>
          <w:rFonts w:cs="Arial"/>
          <w:b/>
          <w:bCs/>
        </w:rPr>
      </w:pPr>
    </w:p>
    <w:p w14:paraId="4D4FD6F5" w14:textId="300CD3CC" w:rsidR="006A6F59" w:rsidRPr="006A6F59" w:rsidRDefault="0005580A" w:rsidP="006C4682">
      <w:pPr>
        <w:spacing w:line="48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Funding </w:t>
      </w:r>
    </w:p>
    <w:p w14:paraId="6B31B20C" w14:textId="7F5C1BBC" w:rsidR="006A6F59" w:rsidRPr="006A6F59" w:rsidRDefault="006A6F59" w:rsidP="006C4682">
      <w:pPr>
        <w:spacing w:line="480" w:lineRule="auto"/>
        <w:jc w:val="both"/>
        <w:rPr>
          <w:rFonts w:cs="Arial"/>
          <w:bCs/>
        </w:rPr>
      </w:pPr>
      <w:r w:rsidRPr="006A6F59">
        <w:rPr>
          <w:rFonts w:cs="Arial"/>
          <w:bCs/>
        </w:rPr>
        <w:t>T</w:t>
      </w:r>
      <w:r w:rsidRPr="006A6F59">
        <w:rPr>
          <w:color w:val="000000"/>
        </w:rPr>
        <w:t>his research received no specific grant from any funding agency in the public, commercial or not-for-profit sectors.</w:t>
      </w:r>
    </w:p>
    <w:p w14:paraId="49018EE0" w14:textId="77777777" w:rsidR="000B1986" w:rsidRDefault="000B1986" w:rsidP="006C4682">
      <w:pPr>
        <w:spacing w:line="480" w:lineRule="auto"/>
        <w:jc w:val="both"/>
        <w:rPr>
          <w:rFonts w:cs="Arial"/>
          <w:b/>
        </w:rPr>
      </w:pPr>
    </w:p>
    <w:p w14:paraId="240E9867" w14:textId="44B994F1" w:rsidR="00C215F4" w:rsidRDefault="0005580A" w:rsidP="006C4682">
      <w:pPr>
        <w:spacing w:line="480" w:lineRule="auto"/>
        <w:jc w:val="both"/>
        <w:rPr>
          <w:rFonts w:cs="Arial"/>
          <w:b/>
        </w:rPr>
      </w:pPr>
      <w:r>
        <w:rPr>
          <w:rFonts w:cs="Arial"/>
          <w:b/>
        </w:rPr>
        <w:t>Author’s Contributions</w:t>
      </w:r>
    </w:p>
    <w:p w14:paraId="450A84E8" w14:textId="77777777" w:rsidR="00C215F4" w:rsidRDefault="00C215F4" w:rsidP="006C4682">
      <w:pPr>
        <w:spacing w:line="480" w:lineRule="auto"/>
      </w:pPr>
      <w:r>
        <w:t>Conceptualised and led study: MT-C</w:t>
      </w:r>
    </w:p>
    <w:p w14:paraId="3F998A8E" w14:textId="77777777" w:rsidR="00C215F4" w:rsidRDefault="00C215F4" w:rsidP="006C4682">
      <w:pPr>
        <w:spacing w:line="480" w:lineRule="auto"/>
      </w:pPr>
      <w:r>
        <w:t>Contributed to the design of the study:  All authors (MT-C, JE, TW, RM, JA, DR, ML)</w:t>
      </w:r>
    </w:p>
    <w:p w14:paraId="00652E00" w14:textId="77777777" w:rsidR="00C215F4" w:rsidRDefault="00C215F4" w:rsidP="006C4682">
      <w:pPr>
        <w:spacing w:line="480" w:lineRule="auto"/>
      </w:pPr>
      <w:r>
        <w:t>Developed the survey: MT-C, JE</w:t>
      </w:r>
    </w:p>
    <w:p w14:paraId="44A26342" w14:textId="77777777" w:rsidR="00C215F4" w:rsidRDefault="00C215F4" w:rsidP="006C4682">
      <w:pPr>
        <w:spacing w:line="480" w:lineRule="auto"/>
      </w:pPr>
      <w:r>
        <w:t>Analysed the survey data: MT-C</w:t>
      </w:r>
    </w:p>
    <w:p w14:paraId="24C6A9BB" w14:textId="77777777" w:rsidR="00C215F4" w:rsidRDefault="00C215F4" w:rsidP="006C4682">
      <w:pPr>
        <w:spacing w:line="480" w:lineRule="auto"/>
      </w:pPr>
      <w:r>
        <w:lastRenderedPageBreak/>
        <w:t>Analysed the clinical practice guidelines:  MT-C, JE, TW</w:t>
      </w:r>
    </w:p>
    <w:p w14:paraId="746A291F" w14:textId="77777777" w:rsidR="00C215F4" w:rsidRDefault="00C215F4" w:rsidP="006C4682">
      <w:pPr>
        <w:spacing w:line="480" w:lineRule="auto"/>
      </w:pPr>
      <w:r>
        <w:t>Drafted the manuscript:  MT-C, JE, TW, RM, JA</w:t>
      </w:r>
    </w:p>
    <w:p w14:paraId="27B88153" w14:textId="77777777" w:rsidR="00C215F4" w:rsidRDefault="00C215F4" w:rsidP="006C4682">
      <w:pPr>
        <w:spacing w:line="480" w:lineRule="auto"/>
      </w:pPr>
      <w:r>
        <w:t>Critically reviewed the manuscript and contributed to its revision: DR, ML</w:t>
      </w:r>
    </w:p>
    <w:p w14:paraId="6C4618C1" w14:textId="77777777" w:rsidR="00C215F4" w:rsidRDefault="00C215F4" w:rsidP="006C4682">
      <w:pPr>
        <w:spacing w:line="480" w:lineRule="auto"/>
      </w:pPr>
      <w:r>
        <w:t>Supervised all aspects of the work: TW, DR, ML</w:t>
      </w:r>
    </w:p>
    <w:p w14:paraId="58308884" w14:textId="77777777" w:rsidR="00C215F4" w:rsidRDefault="00C215F4" w:rsidP="006C4682">
      <w:pPr>
        <w:spacing w:line="480" w:lineRule="auto"/>
      </w:pPr>
      <w:r>
        <w:t>All authors approved the final manuscript and share accountability for the study as a whole.</w:t>
      </w:r>
    </w:p>
    <w:p w14:paraId="5EF972B8" w14:textId="77777777" w:rsidR="00C215F4" w:rsidRDefault="00C215F4" w:rsidP="006C4682">
      <w:pPr>
        <w:spacing w:line="480" w:lineRule="auto"/>
        <w:jc w:val="both"/>
        <w:rPr>
          <w:rFonts w:cs="Arial"/>
          <w:b/>
        </w:rPr>
      </w:pPr>
    </w:p>
    <w:p w14:paraId="22D07D89" w14:textId="72D80A76" w:rsidR="0005580A" w:rsidRDefault="0005580A" w:rsidP="006C4682">
      <w:pPr>
        <w:spacing w:line="48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Acknowledgements </w:t>
      </w:r>
    </w:p>
    <w:p w14:paraId="15016DA5" w14:textId="73437DB3" w:rsidR="0005580A" w:rsidRDefault="0005580A" w:rsidP="006C4682">
      <w:pPr>
        <w:spacing w:line="480" w:lineRule="auto"/>
        <w:jc w:val="both"/>
        <w:rPr>
          <w:rFonts w:cs="Arial"/>
        </w:rPr>
      </w:pPr>
      <w:r w:rsidRPr="0005580A">
        <w:rPr>
          <w:rFonts w:cs="Arial"/>
        </w:rPr>
        <w:t>Not applicable</w:t>
      </w:r>
    </w:p>
    <w:p w14:paraId="311E49C2" w14:textId="77777777" w:rsidR="0005580A" w:rsidRPr="0005580A" w:rsidRDefault="0005580A" w:rsidP="006C4682">
      <w:pPr>
        <w:spacing w:line="480" w:lineRule="auto"/>
        <w:jc w:val="both"/>
        <w:rPr>
          <w:rFonts w:cs="Arial"/>
        </w:rPr>
      </w:pPr>
    </w:p>
    <w:p w14:paraId="1CD162F4" w14:textId="77777777" w:rsidR="001F5458" w:rsidRPr="00052B61" w:rsidRDefault="001F5458" w:rsidP="006C4682">
      <w:pPr>
        <w:spacing w:line="480" w:lineRule="auto"/>
        <w:rPr>
          <w:b/>
          <w:color w:val="000000" w:themeColor="text1"/>
        </w:rPr>
      </w:pPr>
      <w:r w:rsidRPr="00052B61">
        <w:rPr>
          <w:b/>
          <w:color w:val="000000" w:themeColor="text1"/>
        </w:rPr>
        <w:t>References</w:t>
      </w:r>
    </w:p>
    <w:p w14:paraId="4B2373C9" w14:textId="71F3D754" w:rsidR="00BE2213" w:rsidRPr="00DF5076" w:rsidRDefault="00BE2213" w:rsidP="006C46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rPr>
          <w:color w:val="000000" w:themeColor="text1"/>
        </w:rPr>
      </w:pPr>
      <w:r w:rsidRPr="00DF5076">
        <w:rPr>
          <w:color w:val="000000" w:themeColor="text1"/>
        </w:rPr>
        <w:t>Swift AC, Charlton G. </w:t>
      </w:r>
      <w:r w:rsidRPr="00DF5076">
        <w:rPr>
          <w:color w:val="000000" w:themeColor="text1"/>
          <w:shd w:val="clear" w:color="auto" w:fill="FFFFFF"/>
        </w:rPr>
        <w:t xml:space="preserve">Sinusitis and the acute orbit in children. J </w:t>
      </w:r>
      <w:proofErr w:type="spellStart"/>
      <w:r w:rsidRPr="00DF5076">
        <w:rPr>
          <w:color w:val="000000" w:themeColor="text1"/>
          <w:shd w:val="clear" w:color="auto" w:fill="FFFFFF"/>
        </w:rPr>
        <w:t>Laryngol</w:t>
      </w:r>
      <w:proofErr w:type="spellEnd"/>
      <w:r w:rsidRPr="00DF5076">
        <w:rPr>
          <w:color w:val="000000" w:themeColor="text1"/>
          <w:shd w:val="clear" w:color="auto" w:fill="FFFFFF"/>
        </w:rPr>
        <w:t xml:space="preserve"> </w:t>
      </w:r>
      <w:proofErr w:type="spellStart"/>
      <w:r w:rsidRPr="00DF5076">
        <w:rPr>
          <w:color w:val="000000" w:themeColor="text1"/>
          <w:shd w:val="clear" w:color="auto" w:fill="FFFFFF"/>
        </w:rPr>
        <w:t>Otol</w:t>
      </w:r>
      <w:proofErr w:type="spellEnd"/>
      <w:r w:rsidRPr="00DF5076">
        <w:rPr>
          <w:color w:val="000000" w:themeColor="text1"/>
          <w:shd w:val="clear" w:color="auto" w:fill="FFFFFF"/>
        </w:rPr>
        <w:t> </w:t>
      </w:r>
      <w:proofErr w:type="gramStart"/>
      <w:r w:rsidRPr="00DF5076">
        <w:rPr>
          <w:color w:val="000000" w:themeColor="text1"/>
          <w:shd w:val="clear" w:color="auto" w:fill="FFFFFF"/>
        </w:rPr>
        <w:t>1990;</w:t>
      </w:r>
      <w:r w:rsidRPr="00DF5076">
        <w:rPr>
          <w:b/>
          <w:bCs/>
          <w:color w:val="000000" w:themeColor="text1"/>
          <w:shd w:val="clear" w:color="auto" w:fill="FFFFFF"/>
        </w:rPr>
        <w:t>104</w:t>
      </w:r>
      <w:r w:rsidRPr="00DF5076">
        <w:rPr>
          <w:color w:val="000000" w:themeColor="text1"/>
          <w:shd w:val="clear" w:color="auto" w:fill="FFFFFF"/>
        </w:rPr>
        <w:t>:213</w:t>
      </w:r>
      <w:proofErr w:type="gramEnd"/>
      <w:r w:rsidRPr="00DF5076">
        <w:rPr>
          <w:color w:val="000000" w:themeColor="text1"/>
          <w:shd w:val="clear" w:color="auto" w:fill="FFFFFF"/>
        </w:rPr>
        <w:t>–6.</w:t>
      </w:r>
      <w:hyperlink r:id="rId8" w:history="1">
        <w:r w:rsidRPr="00DF5076">
          <w:rPr>
            <w:color w:val="000000" w:themeColor="text1"/>
          </w:rPr>
          <w:t>doi:10.1017/S0022215100112319</w:t>
        </w:r>
      </w:hyperlink>
      <w:r w:rsidRPr="00DF5076">
        <w:rPr>
          <w:color w:val="000000" w:themeColor="text1"/>
          <w:shd w:val="clear" w:color="auto" w:fill="FFFFFF"/>
        </w:rPr>
        <w:t> </w:t>
      </w:r>
    </w:p>
    <w:p w14:paraId="2A1DC9C0" w14:textId="77777777" w:rsidR="00BE2213" w:rsidRPr="00DF5076" w:rsidRDefault="00BE2213" w:rsidP="006C46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rPr>
          <w:color w:val="000000" w:themeColor="text1"/>
        </w:rPr>
      </w:pPr>
      <w:r w:rsidRPr="00DF5076">
        <w:rPr>
          <w:color w:val="000000" w:themeColor="text1"/>
        </w:rPr>
        <w:t xml:space="preserve">Howe L, Jones NS. </w:t>
      </w:r>
      <w:r w:rsidRPr="00DF5076">
        <w:rPr>
          <w:color w:val="000000" w:themeColor="text1"/>
          <w:shd w:val="clear" w:color="auto" w:fill="FFFFFF"/>
        </w:rPr>
        <w:t xml:space="preserve">Guidelines for the management of periorbital cellulitis/abscess. Clin </w:t>
      </w:r>
      <w:proofErr w:type="spellStart"/>
      <w:r w:rsidRPr="00DF5076">
        <w:rPr>
          <w:color w:val="000000" w:themeColor="text1"/>
          <w:shd w:val="clear" w:color="auto" w:fill="FFFFFF"/>
        </w:rPr>
        <w:t>Otolaryngol</w:t>
      </w:r>
      <w:proofErr w:type="spellEnd"/>
      <w:r w:rsidRPr="00DF5076">
        <w:rPr>
          <w:color w:val="000000" w:themeColor="text1"/>
          <w:shd w:val="clear" w:color="auto" w:fill="FFFFFF"/>
        </w:rPr>
        <w:t xml:space="preserve"> Allied Sci</w:t>
      </w:r>
      <w:proofErr w:type="gramStart"/>
      <w:r w:rsidRPr="00DF5076">
        <w:rPr>
          <w:color w:val="000000" w:themeColor="text1"/>
          <w:shd w:val="clear" w:color="auto" w:fill="FFFFFF"/>
        </w:rPr>
        <w:t>2004;</w:t>
      </w:r>
      <w:r w:rsidRPr="00DF5076">
        <w:rPr>
          <w:b/>
          <w:bCs/>
          <w:color w:val="000000" w:themeColor="text1"/>
          <w:shd w:val="clear" w:color="auto" w:fill="FFFFFF"/>
        </w:rPr>
        <w:t>29</w:t>
      </w:r>
      <w:r w:rsidRPr="00DF5076">
        <w:rPr>
          <w:color w:val="000000" w:themeColor="text1"/>
          <w:shd w:val="clear" w:color="auto" w:fill="FFFFFF"/>
        </w:rPr>
        <w:t>:725</w:t>
      </w:r>
      <w:proofErr w:type="gramEnd"/>
      <w:r w:rsidRPr="00DF5076">
        <w:rPr>
          <w:color w:val="000000" w:themeColor="text1"/>
          <w:shd w:val="clear" w:color="auto" w:fill="FFFFFF"/>
        </w:rPr>
        <w:t>–8.</w:t>
      </w:r>
      <w:hyperlink r:id="rId9" w:history="1">
        <w:r w:rsidRPr="00DF5076">
          <w:rPr>
            <w:color w:val="000000" w:themeColor="text1"/>
          </w:rPr>
          <w:t>doi:10.1111/j.1365-2273.2004.00889.x</w:t>
        </w:r>
      </w:hyperlink>
      <w:r w:rsidRPr="00DF5076">
        <w:rPr>
          <w:color w:val="000000" w:themeColor="text1"/>
          <w:shd w:val="clear" w:color="auto" w:fill="FFFFFF"/>
        </w:rPr>
        <w:t> </w:t>
      </w:r>
    </w:p>
    <w:p w14:paraId="53D19B86" w14:textId="77777777" w:rsidR="00BE2213" w:rsidRPr="00DF5076" w:rsidRDefault="00BE2213" w:rsidP="006C46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rPr>
          <w:color w:val="000000" w:themeColor="text1"/>
        </w:rPr>
      </w:pPr>
      <w:r w:rsidRPr="00DF5076">
        <w:rPr>
          <w:color w:val="000000" w:themeColor="text1"/>
        </w:rPr>
        <w:t>Liu IT, Kao SC, Wang AG </w:t>
      </w:r>
      <w:r w:rsidRPr="00DF5076">
        <w:rPr>
          <w:i/>
          <w:iCs/>
          <w:color w:val="000000" w:themeColor="text1"/>
        </w:rPr>
        <w:t>et al</w:t>
      </w:r>
      <w:r w:rsidRPr="00DF5076">
        <w:rPr>
          <w:color w:val="000000" w:themeColor="text1"/>
          <w:shd w:val="clear" w:color="auto" w:fill="FFFFFF"/>
        </w:rPr>
        <w:t>. </w:t>
      </w:r>
      <w:proofErr w:type="spellStart"/>
      <w:r w:rsidRPr="00DF5076">
        <w:rPr>
          <w:color w:val="000000" w:themeColor="text1"/>
          <w:shd w:val="clear" w:color="auto" w:fill="FFFFFF"/>
        </w:rPr>
        <w:t>Preseptal</w:t>
      </w:r>
      <w:proofErr w:type="spellEnd"/>
      <w:r w:rsidRPr="00DF5076">
        <w:rPr>
          <w:color w:val="000000" w:themeColor="text1"/>
          <w:shd w:val="clear" w:color="auto" w:fill="FFFFFF"/>
        </w:rPr>
        <w:t xml:space="preserve"> and orbital cellulitis: a 10-year review of hospitalized patients. J Chin Med Assoc</w:t>
      </w:r>
      <w:proofErr w:type="gramStart"/>
      <w:r w:rsidRPr="00DF5076">
        <w:rPr>
          <w:color w:val="000000" w:themeColor="text1"/>
          <w:shd w:val="clear" w:color="auto" w:fill="FFFFFF"/>
        </w:rPr>
        <w:t>2006;</w:t>
      </w:r>
      <w:r w:rsidRPr="00DF5076">
        <w:rPr>
          <w:b/>
          <w:bCs/>
          <w:color w:val="000000" w:themeColor="text1"/>
          <w:shd w:val="clear" w:color="auto" w:fill="FFFFFF"/>
        </w:rPr>
        <w:t>69</w:t>
      </w:r>
      <w:r w:rsidRPr="00DF5076">
        <w:rPr>
          <w:color w:val="000000" w:themeColor="text1"/>
          <w:shd w:val="clear" w:color="auto" w:fill="FFFFFF"/>
        </w:rPr>
        <w:t>:415</w:t>
      </w:r>
      <w:proofErr w:type="gramEnd"/>
      <w:r w:rsidRPr="00DF5076">
        <w:rPr>
          <w:color w:val="000000" w:themeColor="text1"/>
          <w:shd w:val="clear" w:color="auto" w:fill="FFFFFF"/>
        </w:rPr>
        <w:t>–22.</w:t>
      </w:r>
      <w:hyperlink r:id="rId10" w:history="1">
        <w:r w:rsidRPr="00DF5076">
          <w:rPr>
            <w:color w:val="000000" w:themeColor="text1"/>
          </w:rPr>
          <w:t>doi:10.1016/S1726-4901(09)70284-9</w:t>
        </w:r>
      </w:hyperlink>
      <w:r w:rsidRPr="00DF5076">
        <w:rPr>
          <w:color w:val="000000" w:themeColor="text1"/>
          <w:shd w:val="clear" w:color="auto" w:fill="FFFFFF"/>
        </w:rPr>
        <w:t> </w:t>
      </w:r>
    </w:p>
    <w:p w14:paraId="2B48362D" w14:textId="77777777" w:rsidR="00BE2213" w:rsidRPr="00DF5076" w:rsidRDefault="00BE2213" w:rsidP="006C46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rPr>
          <w:color w:val="000000" w:themeColor="text1"/>
        </w:rPr>
      </w:pPr>
      <w:r w:rsidRPr="00DF5076">
        <w:rPr>
          <w:color w:val="000000" w:themeColor="text1"/>
        </w:rPr>
        <w:t xml:space="preserve">Chandler JR, </w:t>
      </w:r>
      <w:proofErr w:type="spellStart"/>
      <w:r w:rsidRPr="00DF5076">
        <w:rPr>
          <w:color w:val="000000" w:themeColor="text1"/>
        </w:rPr>
        <w:t>Langenbrunner</w:t>
      </w:r>
      <w:proofErr w:type="spellEnd"/>
      <w:r w:rsidRPr="00DF5076">
        <w:rPr>
          <w:color w:val="000000" w:themeColor="text1"/>
        </w:rPr>
        <w:t> DJ, Stevens ER</w:t>
      </w:r>
      <w:r w:rsidRPr="00DF5076">
        <w:rPr>
          <w:color w:val="000000" w:themeColor="text1"/>
          <w:shd w:val="clear" w:color="auto" w:fill="FFFFFF"/>
        </w:rPr>
        <w:t>. The pathogenesis of orbital complications in acute sinusitis. Laryngoscope</w:t>
      </w:r>
      <w:proofErr w:type="gramStart"/>
      <w:r w:rsidRPr="00DF5076">
        <w:rPr>
          <w:color w:val="000000" w:themeColor="text1"/>
          <w:shd w:val="clear" w:color="auto" w:fill="FFFFFF"/>
        </w:rPr>
        <w:t>1970;</w:t>
      </w:r>
      <w:r w:rsidRPr="00DF5076">
        <w:rPr>
          <w:b/>
          <w:bCs/>
          <w:color w:val="000000" w:themeColor="text1"/>
          <w:shd w:val="clear" w:color="auto" w:fill="FFFFFF"/>
        </w:rPr>
        <w:t>80</w:t>
      </w:r>
      <w:r w:rsidRPr="00DF5076">
        <w:rPr>
          <w:color w:val="000000" w:themeColor="text1"/>
          <w:shd w:val="clear" w:color="auto" w:fill="FFFFFF"/>
        </w:rPr>
        <w:t>:1414</w:t>
      </w:r>
      <w:proofErr w:type="gramEnd"/>
      <w:r w:rsidRPr="00DF5076">
        <w:rPr>
          <w:color w:val="000000" w:themeColor="text1"/>
          <w:shd w:val="clear" w:color="auto" w:fill="FFFFFF"/>
        </w:rPr>
        <w:t>–28.</w:t>
      </w:r>
      <w:hyperlink r:id="rId11" w:history="1">
        <w:r w:rsidRPr="00DF5076">
          <w:rPr>
            <w:color w:val="000000" w:themeColor="text1"/>
          </w:rPr>
          <w:t>doi:10.1288/00005537-197009000-00007</w:t>
        </w:r>
      </w:hyperlink>
    </w:p>
    <w:p w14:paraId="0C5335AA" w14:textId="60FCC6D2" w:rsidR="00BE2213" w:rsidRPr="00DF5076" w:rsidRDefault="00BE2213" w:rsidP="00E658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rPr>
          <w:color w:val="000000" w:themeColor="text1"/>
        </w:rPr>
      </w:pPr>
      <w:r w:rsidRPr="00DF5076">
        <w:rPr>
          <w:color w:val="000000" w:themeColor="text1"/>
        </w:rPr>
        <w:t xml:space="preserve">Ambati BK, Ambati J, Azar N </w:t>
      </w:r>
      <w:r w:rsidRPr="00DF5076">
        <w:rPr>
          <w:i/>
          <w:iCs/>
          <w:color w:val="000000" w:themeColor="text1"/>
        </w:rPr>
        <w:t>et al</w:t>
      </w:r>
      <w:r w:rsidRPr="00DF5076">
        <w:rPr>
          <w:color w:val="000000" w:themeColor="text1"/>
          <w:shd w:val="clear" w:color="auto" w:fill="FFFFFF"/>
        </w:rPr>
        <w:t>. Periorbital and orbital cellulitis before and after the advent of Haemophilus influenzae type B vaccination. Ophthalmology </w:t>
      </w:r>
      <w:proofErr w:type="gramStart"/>
      <w:r w:rsidRPr="00DF5076">
        <w:rPr>
          <w:color w:val="000000" w:themeColor="text1"/>
          <w:shd w:val="clear" w:color="auto" w:fill="FFFFFF"/>
        </w:rPr>
        <w:t>2000;</w:t>
      </w:r>
      <w:r w:rsidRPr="00DF5076">
        <w:rPr>
          <w:b/>
          <w:bCs/>
          <w:color w:val="000000" w:themeColor="text1"/>
          <w:shd w:val="clear" w:color="auto" w:fill="FFFFFF"/>
        </w:rPr>
        <w:t>107</w:t>
      </w:r>
      <w:r w:rsidRPr="00DF5076">
        <w:rPr>
          <w:color w:val="000000" w:themeColor="text1"/>
          <w:shd w:val="clear" w:color="auto" w:fill="FFFFFF"/>
        </w:rPr>
        <w:t>:1450</w:t>
      </w:r>
      <w:proofErr w:type="gramEnd"/>
      <w:r w:rsidRPr="00DF5076">
        <w:rPr>
          <w:color w:val="000000" w:themeColor="text1"/>
          <w:shd w:val="clear" w:color="auto" w:fill="FFFFFF"/>
        </w:rPr>
        <w:t>–3.</w:t>
      </w:r>
      <w:r w:rsidR="00E658AC" w:rsidRPr="00DF5076">
        <w:rPr>
          <w:color w:val="000000" w:themeColor="text1"/>
          <w:shd w:val="clear" w:color="auto" w:fill="FFFFFF"/>
        </w:rPr>
        <w:t xml:space="preserve"> </w:t>
      </w:r>
      <w:hyperlink r:id="rId12" w:history="1">
        <w:r w:rsidRPr="00DF5076">
          <w:rPr>
            <w:color w:val="000000" w:themeColor="text1"/>
          </w:rPr>
          <w:t>doi:10.1016/S0161-6420(00)00178-0</w:t>
        </w:r>
      </w:hyperlink>
    </w:p>
    <w:p w14:paraId="16DB16CA" w14:textId="77777777" w:rsidR="00B61002" w:rsidRPr="00DF5076" w:rsidRDefault="00B61002" w:rsidP="00B610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rPr>
          <w:color w:val="000000" w:themeColor="text1"/>
        </w:rPr>
      </w:pPr>
      <w:proofErr w:type="spellStart"/>
      <w:r w:rsidRPr="00DF5076">
        <w:rPr>
          <w:color w:val="000000" w:themeColor="text1"/>
        </w:rPr>
        <w:lastRenderedPageBreak/>
        <w:t>Tsimpida</w:t>
      </w:r>
      <w:proofErr w:type="spellEnd"/>
      <w:r w:rsidRPr="00DF5076">
        <w:rPr>
          <w:color w:val="000000" w:themeColor="text1"/>
        </w:rPr>
        <w:t xml:space="preserve"> M, Gore DM, </w:t>
      </w:r>
      <w:proofErr w:type="spellStart"/>
      <w:r w:rsidRPr="00DF5076">
        <w:rPr>
          <w:color w:val="000000" w:themeColor="text1"/>
        </w:rPr>
        <w:t>Petrou</w:t>
      </w:r>
      <w:proofErr w:type="spellEnd"/>
      <w:r w:rsidRPr="00DF5076">
        <w:rPr>
          <w:color w:val="000000" w:themeColor="text1"/>
        </w:rPr>
        <w:t xml:space="preserve"> P, Ashwin Reddy MA. Protocol-guided management of paediatric peri-orbital cellulitis: an audit of multidisciplinary care. J Eval Clin </w:t>
      </w:r>
      <w:proofErr w:type="spellStart"/>
      <w:r w:rsidRPr="00DF5076">
        <w:rPr>
          <w:color w:val="000000" w:themeColor="text1"/>
        </w:rPr>
        <w:t>Pract</w:t>
      </w:r>
      <w:proofErr w:type="spellEnd"/>
      <w:r w:rsidRPr="00DF5076">
        <w:rPr>
          <w:color w:val="000000" w:themeColor="text1"/>
        </w:rPr>
        <w:t xml:space="preserve">. 2011 Jun;17(3):503-6. </w:t>
      </w:r>
      <w:proofErr w:type="spellStart"/>
      <w:r w:rsidRPr="00DF5076">
        <w:rPr>
          <w:color w:val="000000" w:themeColor="text1"/>
          <w:shd w:val="clear" w:color="auto" w:fill="FFFFFF"/>
        </w:rPr>
        <w:t>doi</w:t>
      </w:r>
      <w:proofErr w:type="spellEnd"/>
      <w:r w:rsidRPr="00DF5076">
        <w:rPr>
          <w:color w:val="000000" w:themeColor="text1"/>
          <w:shd w:val="clear" w:color="auto" w:fill="FFFFFF"/>
        </w:rPr>
        <w:t>: 10.1111/j.1365-2753.2010.</w:t>
      </w:r>
      <w:proofErr w:type="gramStart"/>
      <w:r w:rsidRPr="00DF5076">
        <w:rPr>
          <w:color w:val="000000" w:themeColor="text1"/>
          <w:shd w:val="clear" w:color="auto" w:fill="FFFFFF"/>
        </w:rPr>
        <w:t>01452.x.</w:t>
      </w:r>
      <w:proofErr w:type="gramEnd"/>
      <w:r w:rsidRPr="00DF5076">
        <w:rPr>
          <w:color w:val="000000" w:themeColor="text1"/>
          <w:shd w:val="clear" w:color="auto" w:fill="FFFFFF"/>
        </w:rPr>
        <w:t xml:space="preserve"> </w:t>
      </w:r>
      <w:proofErr w:type="spellStart"/>
      <w:r w:rsidRPr="00DF5076">
        <w:rPr>
          <w:color w:val="000000" w:themeColor="text1"/>
          <w:shd w:val="clear" w:color="auto" w:fill="FFFFFF"/>
        </w:rPr>
        <w:t>Epub</w:t>
      </w:r>
      <w:proofErr w:type="spellEnd"/>
      <w:r w:rsidRPr="00DF5076">
        <w:rPr>
          <w:color w:val="000000" w:themeColor="text1"/>
          <w:shd w:val="clear" w:color="auto" w:fill="FFFFFF"/>
        </w:rPr>
        <w:t xml:space="preserve"> 2010 Oct 12. PMID: 21569181.</w:t>
      </w:r>
    </w:p>
    <w:p w14:paraId="3AA2734D" w14:textId="77777777" w:rsidR="00F917BA" w:rsidRPr="00DF5076" w:rsidRDefault="00F917BA" w:rsidP="00F917BA">
      <w:pPr>
        <w:pStyle w:val="ListParagraph"/>
        <w:numPr>
          <w:ilvl w:val="0"/>
          <w:numId w:val="6"/>
        </w:numPr>
        <w:spacing w:line="480" w:lineRule="auto"/>
        <w:rPr>
          <w:color w:val="000000" w:themeColor="text1"/>
          <w:lang w:eastAsia="en-GB"/>
        </w:rPr>
      </w:pPr>
      <w:proofErr w:type="spellStart"/>
      <w:r w:rsidRPr="00DF5076">
        <w:rPr>
          <w:color w:val="000000" w:themeColor="text1"/>
          <w:shd w:val="clear" w:color="auto" w:fill="FFFFFF"/>
          <w:lang w:eastAsia="en-GB"/>
        </w:rPr>
        <w:t>Eysenbach</w:t>
      </w:r>
      <w:proofErr w:type="spellEnd"/>
      <w:r w:rsidRPr="00DF5076">
        <w:rPr>
          <w:color w:val="000000" w:themeColor="text1"/>
          <w:shd w:val="clear" w:color="auto" w:fill="FFFFFF"/>
          <w:lang w:eastAsia="en-GB"/>
        </w:rPr>
        <w:t xml:space="preserve"> G. Improving the quality of Web surveys: the Checklist for Reporting Results of Internet E-Surveys (CHERRIES). J Med Internet Res. 2004 Sep 29;6(3</w:t>
      </w:r>
      <w:proofErr w:type="gramStart"/>
      <w:r w:rsidRPr="00DF5076">
        <w:rPr>
          <w:color w:val="000000" w:themeColor="text1"/>
          <w:shd w:val="clear" w:color="auto" w:fill="FFFFFF"/>
          <w:lang w:eastAsia="en-GB"/>
        </w:rPr>
        <w:t>):e</w:t>
      </w:r>
      <w:proofErr w:type="gramEnd"/>
      <w:r w:rsidRPr="00DF5076">
        <w:rPr>
          <w:color w:val="000000" w:themeColor="text1"/>
          <w:shd w:val="clear" w:color="auto" w:fill="FFFFFF"/>
          <w:lang w:eastAsia="en-GB"/>
        </w:rPr>
        <w:t xml:space="preserve">34. </w:t>
      </w:r>
      <w:proofErr w:type="spellStart"/>
      <w:r w:rsidRPr="00DF5076">
        <w:rPr>
          <w:color w:val="000000" w:themeColor="text1"/>
          <w:shd w:val="clear" w:color="auto" w:fill="FFFFFF"/>
          <w:lang w:eastAsia="en-GB"/>
        </w:rPr>
        <w:t>doi</w:t>
      </w:r>
      <w:proofErr w:type="spellEnd"/>
      <w:r w:rsidRPr="00DF5076">
        <w:rPr>
          <w:color w:val="000000" w:themeColor="text1"/>
          <w:shd w:val="clear" w:color="auto" w:fill="FFFFFF"/>
          <w:lang w:eastAsia="en-GB"/>
        </w:rPr>
        <w:t>: 10.2196/jmir.6.</w:t>
      </w:r>
      <w:proofErr w:type="gramStart"/>
      <w:r w:rsidRPr="00DF5076">
        <w:rPr>
          <w:color w:val="000000" w:themeColor="text1"/>
          <w:shd w:val="clear" w:color="auto" w:fill="FFFFFF"/>
          <w:lang w:eastAsia="en-GB"/>
        </w:rPr>
        <w:t>3.e</w:t>
      </w:r>
      <w:proofErr w:type="gramEnd"/>
      <w:r w:rsidRPr="00DF5076">
        <w:rPr>
          <w:color w:val="000000" w:themeColor="text1"/>
          <w:shd w:val="clear" w:color="auto" w:fill="FFFFFF"/>
          <w:lang w:eastAsia="en-GB"/>
        </w:rPr>
        <w:t>34. Erratum in: doi:10.2196/jmir.2042. PMID: 15471760; PMCID: PMC1550605.</w:t>
      </w:r>
    </w:p>
    <w:p w14:paraId="11548E5E" w14:textId="56E9EA8F" w:rsidR="000B1986" w:rsidRPr="00DF5076" w:rsidRDefault="00D06C85" w:rsidP="006C4682">
      <w:pPr>
        <w:pStyle w:val="ListParagraph"/>
        <w:numPr>
          <w:ilvl w:val="0"/>
          <w:numId w:val="6"/>
        </w:numPr>
        <w:spacing w:line="480" w:lineRule="auto"/>
        <w:rPr>
          <w:color w:val="000000" w:themeColor="text1"/>
          <w:shd w:val="clear" w:color="auto" w:fill="FFFFFF"/>
        </w:rPr>
      </w:pPr>
      <w:hyperlink r:id="rId13" w:history="1">
        <w:r w:rsidR="00BE2213" w:rsidRPr="00DF5076">
          <w:rPr>
            <w:rStyle w:val="Hyperlink"/>
            <w:color w:val="000000" w:themeColor="text1"/>
            <w:u w:val="none"/>
          </w:rPr>
          <w:t>Chen Y</w:t>
        </w:r>
      </w:hyperlink>
      <w:r w:rsidR="00BE2213" w:rsidRPr="00DF5076">
        <w:rPr>
          <w:color w:val="000000" w:themeColor="text1"/>
          <w:shd w:val="clear" w:color="auto" w:fill="FFFFFF"/>
        </w:rPr>
        <w:t>,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hyperlink r:id="rId14" w:history="1">
        <w:r w:rsidR="00BE2213" w:rsidRPr="00DF5076">
          <w:rPr>
            <w:rStyle w:val="Hyperlink"/>
            <w:color w:val="000000" w:themeColor="text1"/>
            <w:u w:val="none"/>
          </w:rPr>
          <w:t>Yang K</w:t>
        </w:r>
      </w:hyperlink>
      <w:r w:rsidR="00BE2213" w:rsidRPr="00DF5076">
        <w:rPr>
          <w:color w:val="000000" w:themeColor="text1"/>
          <w:shd w:val="clear" w:color="auto" w:fill="FFFFFF"/>
        </w:rPr>
        <w:t>,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="00097A91" w:rsidRPr="00DF5076">
        <w:fldChar w:fldCharType="begin"/>
      </w:r>
      <w:r w:rsidR="00097A91" w:rsidRPr="00DF5076">
        <w:rPr>
          <w:color w:val="000000" w:themeColor="text1"/>
        </w:rPr>
        <w:instrText xml:space="preserve"> HYPERLINK "https://www.ncbi.nlm.nih.gov/pubmed/?term=Maru%C5%A1ic%20A%5BAuthor%5D&amp;cauthor=true&amp;cauthor_uid=27893062" </w:instrText>
      </w:r>
      <w:r w:rsidR="00097A91" w:rsidRPr="00DF5076">
        <w:fldChar w:fldCharType="separate"/>
      </w:r>
      <w:r w:rsidR="00BE2213" w:rsidRPr="00DF5076">
        <w:rPr>
          <w:rStyle w:val="Hyperlink"/>
          <w:color w:val="000000" w:themeColor="text1"/>
          <w:u w:val="none"/>
        </w:rPr>
        <w:t>Marušic</w:t>
      </w:r>
      <w:proofErr w:type="spellEnd"/>
      <w:r w:rsidR="00BE2213" w:rsidRPr="00DF5076">
        <w:rPr>
          <w:rStyle w:val="Hyperlink"/>
          <w:color w:val="000000" w:themeColor="text1"/>
          <w:u w:val="none"/>
        </w:rPr>
        <w:t xml:space="preserve"> A</w:t>
      </w:r>
      <w:r w:rsidR="00097A91" w:rsidRPr="00DF5076">
        <w:rPr>
          <w:rStyle w:val="Hyperlink"/>
          <w:color w:val="000000" w:themeColor="text1"/>
          <w:u w:val="none"/>
        </w:rPr>
        <w:fldChar w:fldCharType="end"/>
      </w:r>
      <w:r w:rsidR="00BE2213" w:rsidRPr="00DF5076">
        <w:rPr>
          <w:color w:val="000000" w:themeColor="text1"/>
          <w:shd w:val="clear" w:color="auto" w:fill="FFFFFF"/>
        </w:rPr>
        <w:t>,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="00097A91" w:rsidRPr="00DF5076">
        <w:fldChar w:fldCharType="begin"/>
      </w:r>
      <w:r w:rsidR="00097A91" w:rsidRPr="00DF5076">
        <w:rPr>
          <w:color w:val="000000" w:themeColor="text1"/>
        </w:rPr>
        <w:instrText xml:space="preserve"> HYPERLINK "https://www.ncbi.nlm.nih.gov/pubmed/?term=Qaseem%20A%5BAuthor%5D&amp;cauthor=true&amp;cauthor_uid=27893062" </w:instrText>
      </w:r>
      <w:r w:rsidR="00097A91" w:rsidRPr="00DF5076">
        <w:fldChar w:fldCharType="separate"/>
      </w:r>
      <w:r w:rsidR="00BE2213" w:rsidRPr="00DF5076">
        <w:rPr>
          <w:rStyle w:val="Hyperlink"/>
          <w:color w:val="000000" w:themeColor="text1"/>
          <w:u w:val="none"/>
        </w:rPr>
        <w:t>Qaseem</w:t>
      </w:r>
      <w:proofErr w:type="spellEnd"/>
      <w:r w:rsidR="00BE2213" w:rsidRPr="00DF5076">
        <w:rPr>
          <w:rStyle w:val="Hyperlink"/>
          <w:color w:val="000000" w:themeColor="text1"/>
          <w:u w:val="none"/>
        </w:rPr>
        <w:t xml:space="preserve"> A</w:t>
      </w:r>
      <w:r w:rsidR="00097A91" w:rsidRPr="00DF5076">
        <w:rPr>
          <w:rStyle w:val="Hyperlink"/>
          <w:color w:val="000000" w:themeColor="text1"/>
          <w:u w:val="none"/>
        </w:rPr>
        <w:fldChar w:fldCharType="end"/>
      </w:r>
      <w:r w:rsidR="00BE2213" w:rsidRPr="00DF5076">
        <w:rPr>
          <w:color w:val="000000" w:themeColor="text1"/>
          <w:shd w:val="clear" w:color="auto" w:fill="FFFFFF"/>
        </w:rPr>
        <w:t>,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="00097A91" w:rsidRPr="00DF5076">
        <w:fldChar w:fldCharType="begin"/>
      </w:r>
      <w:r w:rsidR="00097A91" w:rsidRPr="00DF5076">
        <w:rPr>
          <w:color w:val="000000" w:themeColor="text1"/>
        </w:rPr>
        <w:instrText xml:space="preserve"> HYPERLINK "https://www.ncbi.nlm.nih.gov/pubmed/?term=Meerpohl%20JJ%5BAuthor%5D&amp;cauthor=true&amp;cauthor_uid=27893062" </w:instrText>
      </w:r>
      <w:r w:rsidR="00097A91" w:rsidRPr="00DF5076">
        <w:fldChar w:fldCharType="separate"/>
      </w:r>
      <w:r w:rsidR="00BE2213" w:rsidRPr="00DF5076">
        <w:rPr>
          <w:rStyle w:val="Hyperlink"/>
          <w:color w:val="000000" w:themeColor="text1"/>
          <w:u w:val="none"/>
        </w:rPr>
        <w:t>Meerpohl</w:t>
      </w:r>
      <w:proofErr w:type="spellEnd"/>
      <w:r w:rsidR="00BE2213" w:rsidRPr="00DF5076">
        <w:rPr>
          <w:rStyle w:val="Hyperlink"/>
          <w:color w:val="000000" w:themeColor="text1"/>
          <w:u w:val="none"/>
        </w:rPr>
        <w:t xml:space="preserve"> JJ</w:t>
      </w:r>
      <w:r w:rsidR="00097A91" w:rsidRPr="00DF5076">
        <w:rPr>
          <w:rStyle w:val="Hyperlink"/>
          <w:color w:val="000000" w:themeColor="text1"/>
          <w:u w:val="none"/>
        </w:rPr>
        <w:fldChar w:fldCharType="end"/>
      </w:r>
      <w:r w:rsidR="00BE2213" w:rsidRPr="00DF5076">
        <w:rPr>
          <w:color w:val="000000" w:themeColor="text1"/>
          <w:shd w:val="clear" w:color="auto" w:fill="FFFFFF"/>
        </w:rPr>
        <w:t>,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="00A30ED8">
        <w:fldChar w:fldCharType="begin"/>
      </w:r>
      <w:r w:rsidR="00A30ED8">
        <w:instrText xml:space="preserve"> HYPERLINK "https://www.ncbi.nlm.nih.gov/pubmed/?term=Flottorp%20S%5BAuthor%5D&amp;cauthor=true&amp;cauthor_uid=27893062" </w:instrText>
      </w:r>
      <w:r w:rsidR="00A30ED8">
        <w:fldChar w:fldCharType="separate"/>
      </w:r>
      <w:r w:rsidR="00BE2213" w:rsidRPr="00DF5076">
        <w:rPr>
          <w:rStyle w:val="Hyperlink"/>
          <w:color w:val="000000" w:themeColor="text1"/>
          <w:u w:val="none"/>
        </w:rPr>
        <w:t>Flottorp</w:t>
      </w:r>
      <w:proofErr w:type="spellEnd"/>
      <w:r w:rsidR="00BE2213" w:rsidRPr="00DF5076">
        <w:rPr>
          <w:rStyle w:val="Hyperlink"/>
          <w:color w:val="000000" w:themeColor="text1"/>
          <w:u w:val="none"/>
        </w:rPr>
        <w:t xml:space="preserve"> S</w:t>
      </w:r>
      <w:r w:rsidR="00A30ED8">
        <w:rPr>
          <w:rStyle w:val="Hyperlink"/>
          <w:color w:val="000000" w:themeColor="text1"/>
          <w:u w:val="none"/>
        </w:rPr>
        <w:fldChar w:fldCharType="end"/>
      </w:r>
      <w:r w:rsidR="00BE2213" w:rsidRPr="00DF5076">
        <w:rPr>
          <w:color w:val="000000" w:themeColor="text1"/>
          <w:shd w:val="clear" w:color="auto" w:fill="FFFFFF"/>
        </w:rPr>
        <w:t>,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="00097A91" w:rsidRPr="00DF5076">
        <w:fldChar w:fldCharType="begin"/>
      </w:r>
      <w:r w:rsidR="00097A91" w:rsidRPr="00DF5076">
        <w:rPr>
          <w:color w:val="000000" w:themeColor="text1"/>
        </w:rPr>
        <w:instrText xml:space="preserve"> HYPERLINK "https://www.ncbi.nlm.nih.gov/pubmed/?term=Akl%20EA%5BAuthor%5D&amp;cauthor=true&amp;cauthor_uid=27893062" </w:instrText>
      </w:r>
      <w:r w:rsidR="00097A91" w:rsidRPr="00DF5076">
        <w:fldChar w:fldCharType="separate"/>
      </w:r>
      <w:r w:rsidR="00BE2213" w:rsidRPr="00DF5076">
        <w:rPr>
          <w:rStyle w:val="Hyperlink"/>
          <w:color w:val="000000" w:themeColor="text1"/>
          <w:u w:val="none"/>
        </w:rPr>
        <w:t>Akl</w:t>
      </w:r>
      <w:proofErr w:type="spellEnd"/>
      <w:r w:rsidR="00BE2213" w:rsidRPr="00DF5076">
        <w:rPr>
          <w:rStyle w:val="Hyperlink"/>
          <w:color w:val="000000" w:themeColor="text1"/>
          <w:u w:val="none"/>
        </w:rPr>
        <w:t xml:space="preserve"> EA</w:t>
      </w:r>
      <w:r w:rsidR="00097A91" w:rsidRPr="00DF5076">
        <w:rPr>
          <w:rStyle w:val="Hyperlink"/>
          <w:color w:val="000000" w:themeColor="text1"/>
          <w:u w:val="none"/>
        </w:rPr>
        <w:fldChar w:fldCharType="end"/>
      </w:r>
      <w:r w:rsidR="00BE2213" w:rsidRPr="00DF5076">
        <w:rPr>
          <w:color w:val="000000" w:themeColor="text1"/>
          <w:shd w:val="clear" w:color="auto" w:fill="FFFFFF"/>
        </w:rPr>
        <w:t>,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="00097A91" w:rsidRPr="00DF5076">
        <w:fldChar w:fldCharType="begin"/>
      </w:r>
      <w:r w:rsidR="00097A91" w:rsidRPr="00DF5076">
        <w:rPr>
          <w:color w:val="000000" w:themeColor="text1"/>
        </w:rPr>
        <w:instrText xml:space="preserve"> HYPERLINK "https://www.ncbi.nlm.nih.gov/pubmed/?term=Sch%C3%BCnemann%20HJ%5BAuthor%5D&amp;cauthor=true&amp;cauthor_uid=27893062" </w:instrText>
      </w:r>
      <w:r w:rsidR="00097A91" w:rsidRPr="00DF5076">
        <w:fldChar w:fldCharType="separate"/>
      </w:r>
      <w:r w:rsidR="00BE2213" w:rsidRPr="00DF5076">
        <w:rPr>
          <w:rStyle w:val="Hyperlink"/>
          <w:color w:val="000000" w:themeColor="text1"/>
          <w:u w:val="none"/>
        </w:rPr>
        <w:t>Schünemann</w:t>
      </w:r>
      <w:proofErr w:type="spellEnd"/>
      <w:r w:rsidR="00BE2213" w:rsidRPr="00DF5076">
        <w:rPr>
          <w:rStyle w:val="Hyperlink"/>
          <w:color w:val="000000" w:themeColor="text1"/>
          <w:u w:val="none"/>
        </w:rPr>
        <w:t xml:space="preserve"> HJ</w:t>
      </w:r>
      <w:r w:rsidR="00097A91" w:rsidRPr="00DF5076">
        <w:rPr>
          <w:rStyle w:val="Hyperlink"/>
          <w:color w:val="000000" w:themeColor="text1"/>
          <w:u w:val="none"/>
        </w:rPr>
        <w:fldChar w:fldCharType="end"/>
      </w:r>
      <w:r w:rsidR="00BE2213" w:rsidRPr="00DF5076">
        <w:rPr>
          <w:color w:val="000000" w:themeColor="text1"/>
          <w:shd w:val="clear" w:color="auto" w:fill="FFFFFF"/>
        </w:rPr>
        <w:t>,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hyperlink r:id="rId15" w:history="1">
        <w:r w:rsidR="00BE2213" w:rsidRPr="00DF5076">
          <w:rPr>
            <w:rStyle w:val="Hyperlink"/>
            <w:color w:val="000000" w:themeColor="text1"/>
            <w:u w:val="none"/>
          </w:rPr>
          <w:t>Chan ES</w:t>
        </w:r>
      </w:hyperlink>
      <w:r w:rsidR="00BE2213" w:rsidRPr="00DF5076">
        <w:rPr>
          <w:color w:val="000000" w:themeColor="text1"/>
          <w:shd w:val="clear" w:color="auto" w:fill="FFFFFF"/>
        </w:rPr>
        <w:t>,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hyperlink r:id="rId16" w:history="1">
        <w:r w:rsidR="00BE2213" w:rsidRPr="00DF5076">
          <w:rPr>
            <w:rStyle w:val="Hyperlink"/>
            <w:color w:val="000000" w:themeColor="text1"/>
            <w:u w:val="none"/>
          </w:rPr>
          <w:t>Falck-</w:t>
        </w:r>
        <w:proofErr w:type="spellStart"/>
        <w:r w:rsidR="00BE2213" w:rsidRPr="00DF5076">
          <w:rPr>
            <w:rStyle w:val="Hyperlink"/>
            <w:color w:val="000000" w:themeColor="text1"/>
            <w:u w:val="none"/>
          </w:rPr>
          <w:t>Ytter</w:t>
        </w:r>
        <w:proofErr w:type="spellEnd"/>
        <w:r w:rsidR="00BE2213" w:rsidRPr="00DF5076">
          <w:rPr>
            <w:rStyle w:val="Hyperlink"/>
            <w:color w:val="000000" w:themeColor="text1"/>
            <w:u w:val="none"/>
          </w:rPr>
          <w:t xml:space="preserve"> Y</w:t>
        </w:r>
      </w:hyperlink>
      <w:r w:rsidR="00BE2213" w:rsidRPr="00DF5076">
        <w:rPr>
          <w:color w:val="000000" w:themeColor="text1"/>
          <w:shd w:val="clear" w:color="auto" w:fill="FFFFFF"/>
        </w:rPr>
        <w:t>,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hyperlink r:id="rId17" w:history="1">
        <w:r w:rsidR="00BE2213" w:rsidRPr="00DF5076">
          <w:rPr>
            <w:rStyle w:val="Hyperlink"/>
            <w:color w:val="000000" w:themeColor="text1"/>
            <w:u w:val="none"/>
          </w:rPr>
          <w:t>Ahmed F</w:t>
        </w:r>
      </w:hyperlink>
      <w:r w:rsidR="00BE2213" w:rsidRPr="00DF5076">
        <w:rPr>
          <w:color w:val="000000" w:themeColor="text1"/>
          <w:shd w:val="clear" w:color="auto" w:fill="FFFFFF"/>
        </w:rPr>
        <w:t>,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hyperlink r:id="rId18" w:history="1">
        <w:r w:rsidR="00BE2213" w:rsidRPr="00DF5076">
          <w:rPr>
            <w:rStyle w:val="Hyperlink"/>
            <w:color w:val="000000" w:themeColor="text1"/>
            <w:u w:val="none"/>
          </w:rPr>
          <w:t>Barber S</w:t>
        </w:r>
      </w:hyperlink>
      <w:r w:rsidR="00BE2213" w:rsidRPr="00DF5076">
        <w:rPr>
          <w:color w:val="000000" w:themeColor="text1"/>
          <w:shd w:val="clear" w:color="auto" w:fill="FFFFFF"/>
        </w:rPr>
        <w:t>,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hyperlink r:id="rId19" w:history="1">
        <w:r w:rsidR="00BE2213" w:rsidRPr="00DF5076">
          <w:rPr>
            <w:rStyle w:val="Hyperlink"/>
            <w:color w:val="000000" w:themeColor="text1"/>
            <w:u w:val="none"/>
          </w:rPr>
          <w:t>Chen C</w:t>
        </w:r>
      </w:hyperlink>
      <w:r w:rsidR="00BE2213" w:rsidRPr="00DF5076">
        <w:rPr>
          <w:color w:val="000000" w:themeColor="text1"/>
          <w:shd w:val="clear" w:color="auto" w:fill="FFFFFF"/>
        </w:rPr>
        <w:t>,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hyperlink r:id="rId20" w:history="1">
        <w:r w:rsidR="00BE2213" w:rsidRPr="00DF5076">
          <w:rPr>
            <w:rStyle w:val="Hyperlink"/>
            <w:color w:val="000000" w:themeColor="text1"/>
            <w:u w:val="none"/>
          </w:rPr>
          <w:t>Zhang M</w:t>
        </w:r>
      </w:hyperlink>
      <w:r w:rsidR="00BE2213" w:rsidRPr="00DF5076">
        <w:rPr>
          <w:color w:val="000000" w:themeColor="text1"/>
          <w:shd w:val="clear" w:color="auto" w:fill="FFFFFF"/>
        </w:rPr>
        <w:t>,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hyperlink r:id="rId21" w:history="1">
        <w:r w:rsidR="00BE2213" w:rsidRPr="00DF5076">
          <w:rPr>
            <w:rStyle w:val="Hyperlink"/>
            <w:color w:val="000000" w:themeColor="text1"/>
            <w:u w:val="none"/>
          </w:rPr>
          <w:t>Xu B</w:t>
        </w:r>
      </w:hyperlink>
      <w:r w:rsidR="00BE2213" w:rsidRPr="00DF5076">
        <w:rPr>
          <w:color w:val="000000" w:themeColor="text1"/>
          <w:shd w:val="clear" w:color="auto" w:fill="FFFFFF"/>
        </w:rPr>
        <w:t>,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hyperlink r:id="rId22" w:history="1">
        <w:r w:rsidR="00BE2213" w:rsidRPr="00DF5076">
          <w:rPr>
            <w:rStyle w:val="Hyperlink"/>
            <w:color w:val="000000" w:themeColor="text1"/>
            <w:u w:val="none"/>
          </w:rPr>
          <w:t>Tian J</w:t>
        </w:r>
      </w:hyperlink>
      <w:r w:rsidR="00BE2213" w:rsidRPr="00DF5076">
        <w:rPr>
          <w:color w:val="000000" w:themeColor="text1"/>
          <w:shd w:val="clear" w:color="auto" w:fill="FFFFFF"/>
        </w:rPr>
        <w:t>,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hyperlink r:id="rId23" w:history="1">
        <w:r w:rsidR="00BE2213" w:rsidRPr="00DF5076">
          <w:rPr>
            <w:rStyle w:val="Hyperlink"/>
            <w:color w:val="000000" w:themeColor="text1"/>
            <w:u w:val="none"/>
          </w:rPr>
          <w:t>Song F</w:t>
        </w:r>
      </w:hyperlink>
      <w:r w:rsidR="00BE2213" w:rsidRPr="00DF5076">
        <w:rPr>
          <w:color w:val="000000" w:themeColor="text1"/>
          <w:shd w:val="clear" w:color="auto" w:fill="FFFFFF"/>
        </w:rPr>
        <w:t>,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hyperlink r:id="rId24" w:history="1">
        <w:r w:rsidR="00BE2213" w:rsidRPr="00DF5076">
          <w:rPr>
            <w:rStyle w:val="Hyperlink"/>
            <w:color w:val="000000" w:themeColor="text1"/>
            <w:u w:val="none"/>
          </w:rPr>
          <w:t>Shang H</w:t>
        </w:r>
      </w:hyperlink>
      <w:r w:rsidR="00BE2213" w:rsidRPr="00DF5076">
        <w:rPr>
          <w:color w:val="000000" w:themeColor="text1"/>
          <w:shd w:val="clear" w:color="auto" w:fill="FFFFFF"/>
        </w:rPr>
        <w:t>,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hyperlink r:id="rId25" w:history="1">
        <w:r w:rsidR="00BE2213" w:rsidRPr="00DF5076">
          <w:rPr>
            <w:rStyle w:val="Hyperlink"/>
            <w:color w:val="000000" w:themeColor="text1"/>
            <w:u w:val="none"/>
          </w:rPr>
          <w:t>Tang K</w:t>
        </w:r>
      </w:hyperlink>
      <w:r w:rsidR="00BE2213" w:rsidRPr="00DF5076">
        <w:rPr>
          <w:color w:val="000000" w:themeColor="text1"/>
          <w:shd w:val="clear" w:color="auto" w:fill="FFFFFF"/>
        </w:rPr>
        <w:t>,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hyperlink r:id="rId26" w:history="1">
        <w:r w:rsidR="00BE2213" w:rsidRPr="00DF5076">
          <w:rPr>
            <w:rStyle w:val="Hyperlink"/>
            <w:color w:val="000000" w:themeColor="text1"/>
            <w:u w:val="none"/>
          </w:rPr>
          <w:t>Wang Q</w:t>
        </w:r>
      </w:hyperlink>
      <w:r w:rsidR="00BE2213" w:rsidRPr="00DF5076">
        <w:rPr>
          <w:color w:val="000000" w:themeColor="text1"/>
          <w:shd w:val="clear" w:color="auto" w:fill="FFFFFF"/>
        </w:rPr>
        <w:t>,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hyperlink r:id="rId27" w:history="1">
        <w:r w:rsidR="00BE2213" w:rsidRPr="00DF5076">
          <w:rPr>
            <w:rStyle w:val="Hyperlink"/>
            <w:color w:val="000000" w:themeColor="text1"/>
            <w:u w:val="none"/>
          </w:rPr>
          <w:t>Norris SL</w:t>
        </w:r>
      </w:hyperlink>
      <w:r w:rsidR="00BE2213" w:rsidRPr="00DF5076">
        <w:rPr>
          <w:color w:val="000000" w:themeColor="text1"/>
          <w:shd w:val="clear" w:color="auto" w:fill="FFFFFF"/>
        </w:rPr>
        <w:t>;</w:t>
      </w:r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hyperlink r:id="rId28" w:history="1">
        <w:r w:rsidR="00BE2213" w:rsidRPr="00DF5076">
          <w:rPr>
            <w:rStyle w:val="highlight"/>
            <w:color w:val="000000" w:themeColor="text1"/>
          </w:rPr>
          <w:t>RIGHT</w:t>
        </w:r>
        <w:r w:rsidR="00BE2213" w:rsidRPr="00DF5076">
          <w:rPr>
            <w:rStyle w:val="apple-converted-space"/>
            <w:color w:val="000000" w:themeColor="text1"/>
          </w:rPr>
          <w:t> </w:t>
        </w:r>
        <w:r w:rsidR="00BE2213" w:rsidRPr="00DF5076">
          <w:rPr>
            <w:rStyle w:val="Hyperlink"/>
            <w:color w:val="000000" w:themeColor="text1"/>
            <w:u w:val="none"/>
          </w:rPr>
          <w:t>(</w:t>
        </w:r>
        <w:r w:rsidR="00BE2213" w:rsidRPr="00DF5076">
          <w:rPr>
            <w:rStyle w:val="highlight"/>
            <w:color w:val="000000" w:themeColor="text1"/>
          </w:rPr>
          <w:t>Reporting</w:t>
        </w:r>
        <w:r w:rsidR="00BE2213" w:rsidRPr="00DF5076">
          <w:rPr>
            <w:rStyle w:val="apple-converted-space"/>
            <w:color w:val="000000" w:themeColor="text1"/>
          </w:rPr>
          <w:t> </w:t>
        </w:r>
        <w:r w:rsidR="00BE2213" w:rsidRPr="00DF5076">
          <w:rPr>
            <w:rStyle w:val="Hyperlink"/>
            <w:color w:val="000000" w:themeColor="text1"/>
            <w:u w:val="none"/>
          </w:rPr>
          <w:t>Items for</w:t>
        </w:r>
        <w:r w:rsidR="00BE2213" w:rsidRPr="00DF5076">
          <w:rPr>
            <w:rStyle w:val="apple-converted-space"/>
            <w:color w:val="000000" w:themeColor="text1"/>
          </w:rPr>
          <w:t> </w:t>
        </w:r>
        <w:r w:rsidR="00BE2213" w:rsidRPr="00DF5076">
          <w:rPr>
            <w:rStyle w:val="highlight"/>
            <w:color w:val="000000" w:themeColor="text1"/>
          </w:rPr>
          <w:t>Practice Guidelines</w:t>
        </w:r>
        <w:r w:rsidR="00BE2213" w:rsidRPr="00DF5076">
          <w:rPr>
            <w:rStyle w:val="apple-converted-space"/>
            <w:color w:val="000000" w:themeColor="text1"/>
          </w:rPr>
          <w:t> </w:t>
        </w:r>
        <w:r w:rsidR="00BE2213" w:rsidRPr="00DF5076">
          <w:rPr>
            <w:rStyle w:val="Hyperlink"/>
            <w:color w:val="000000" w:themeColor="text1"/>
            <w:u w:val="none"/>
          </w:rPr>
          <w:t>in Healthcare) Working Group</w:t>
        </w:r>
      </w:hyperlink>
      <w:r w:rsidR="00BE2213" w:rsidRPr="00DF5076">
        <w:rPr>
          <w:color w:val="000000" w:themeColor="text1"/>
          <w:shd w:val="clear" w:color="auto" w:fill="FFFFFF"/>
        </w:rPr>
        <w:t xml:space="preserve">. </w:t>
      </w:r>
      <w:r w:rsidR="00BE2213" w:rsidRPr="00DF5076">
        <w:rPr>
          <w:color w:val="000000" w:themeColor="text1"/>
        </w:rPr>
        <w:t xml:space="preserve">A Reporting Tool for Practice Guidelines in Health Care: The RIGHT Statement. </w:t>
      </w:r>
      <w:hyperlink r:id="rId29" w:tooltip="Annals of internal medicine." w:history="1">
        <w:r w:rsidR="00BE2213" w:rsidRPr="00DF5076">
          <w:rPr>
            <w:rStyle w:val="Hyperlink"/>
            <w:color w:val="000000" w:themeColor="text1"/>
            <w:u w:val="none"/>
          </w:rPr>
          <w:t>Ann Intern Med.</w:t>
        </w:r>
      </w:hyperlink>
      <w:r w:rsidR="00BE2213" w:rsidRPr="00DF5076">
        <w:rPr>
          <w:rStyle w:val="apple-converted-space"/>
          <w:color w:val="000000" w:themeColor="text1"/>
          <w:shd w:val="clear" w:color="auto" w:fill="FFFFFF"/>
        </w:rPr>
        <w:t> </w:t>
      </w:r>
      <w:r w:rsidR="00BE2213" w:rsidRPr="00DF5076">
        <w:rPr>
          <w:color w:val="000000" w:themeColor="text1"/>
          <w:shd w:val="clear" w:color="auto" w:fill="FFFFFF"/>
        </w:rPr>
        <w:t xml:space="preserve">2017 Jan 17;166(2):128-132. </w:t>
      </w:r>
      <w:proofErr w:type="spellStart"/>
      <w:r w:rsidR="00BE2213" w:rsidRPr="00DF5076">
        <w:rPr>
          <w:color w:val="000000" w:themeColor="text1"/>
          <w:shd w:val="clear" w:color="auto" w:fill="FFFFFF"/>
        </w:rPr>
        <w:t>doi</w:t>
      </w:r>
      <w:proofErr w:type="spellEnd"/>
      <w:r w:rsidR="00BE2213" w:rsidRPr="00DF5076">
        <w:rPr>
          <w:color w:val="000000" w:themeColor="text1"/>
          <w:shd w:val="clear" w:color="auto" w:fill="FFFFFF"/>
        </w:rPr>
        <w:t xml:space="preserve">: 10.7326/M16-1565. </w:t>
      </w:r>
      <w:proofErr w:type="spellStart"/>
      <w:r w:rsidR="00BE2213" w:rsidRPr="00DF5076">
        <w:rPr>
          <w:color w:val="000000" w:themeColor="text1"/>
          <w:shd w:val="clear" w:color="auto" w:fill="FFFFFF"/>
        </w:rPr>
        <w:t>Epub</w:t>
      </w:r>
      <w:proofErr w:type="spellEnd"/>
      <w:r w:rsidR="00BE2213" w:rsidRPr="00DF5076">
        <w:rPr>
          <w:color w:val="000000" w:themeColor="text1"/>
          <w:shd w:val="clear" w:color="auto" w:fill="FFFFFF"/>
        </w:rPr>
        <w:t xml:space="preserve"> 2016 Nov 22.</w:t>
      </w:r>
    </w:p>
    <w:p w14:paraId="0F86FDA1" w14:textId="77777777" w:rsidR="00091AC0" w:rsidRDefault="00091AC0" w:rsidP="006C4682">
      <w:pPr>
        <w:spacing w:line="480" w:lineRule="auto"/>
      </w:pPr>
    </w:p>
    <w:p w14:paraId="495DEDBB" w14:textId="77777777" w:rsidR="00400C46" w:rsidRDefault="00400C46" w:rsidP="006C4682">
      <w:pPr>
        <w:spacing w:line="480" w:lineRule="auto"/>
      </w:pPr>
    </w:p>
    <w:p w14:paraId="7D5BD411" w14:textId="302269AE" w:rsidR="00966818" w:rsidRPr="00CE7950" w:rsidRDefault="00C14D98" w:rsidP="00966818">
      <w:pPr>
        <w:rPr>
          <w:b/>
          <w:bCs/>
        </w:rPr>
      </w:pPr>
      <w:r>
        <w:rPr>
          <w:rFonts w:cs="Arial"/>
        </w:rPr>
        <w:br w:type="page"/>
      </w:r>
      <w:r w:rsidR="00966818" w:rsidRPr="0022584F">
        <w:rPr>
          <w:b/>
          <w:bCs/>
          <w:color w:val="000000" w:themeColor="text1"/>
        </w:rPr>
        <w:lastRenderedPageBreak/>
        <w:t>Table 1 – Results of CPG</w:t>
      </w:r>
      <w:r w:rsidR="00966818">
        <w:rPr>
          <w:b/>
          <w:bCs/>
          <w:color w:val="000000" w:themeColor="text1"/>
        </w:rPr>
        <w:t xml:space="preserve"> review</w:t>
      </w:r>
      <w:r w:rsidR="00966818" w:rsidRPr="0022584F">
        <w:rPr>
          <w:b/>
          <w:bCs/>
          <w:color w:val="000000" w:themeColor="text1"/>
        </w:rPr>
        <w:t xml:space="preserve"> and Survey Responses 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1701"/>
        <w:gridCol w:w="141"/>
        <w:gridCol w:w="1843"/>
      </w:tblGrid>
      <w:tr w:rsidR="00966818" w:rsidRPr="008F36B5" w14:paraId="5AB1EFAD" w14:textId="77777777" w:rsidTr="0022584F">
        <w:trPr>
          <w:trHeight w:val="416"/>
        </w:trPr>
        <w:tc>
          <w:tcPr>
            <w:tcW w:w="2122" w:type="dxa"/>
            <w:tcBorders>
              <w:bottom w:val="thinThickSmallGap" w:sz="24" w:space="0" w:color="auto"/>
            </w:tcBorders>
          </w:tcPr>
          <w:p w14:paraId="46E38211" w14:textId="77777777" w:rsidR="00966818" w:rsidRPr="008F36B5" w:rsidRDefault="00966818" w:rsidP="00D47D46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  <w:right w:val="single" w:sz="24" w:space="0" w:color="auto"/>
            </w:tcBorders>
          </w:tcPr>
          <w:p w14:paraId="2101A39D" w14:textId="77777777" w:rsidR="00966818" w:rsidRDefault="00966818" w:rsidP="00D47D46">
            <w:pPr>
              <w:jc w:val="center"/>
              <w:rPr>
                <w:b/>
              </w:rPr>
            </w:pPr>
            <w:r w:rsidRPr="008F36B5">
              <w:rPr>
                <w:b/>
              </w:rPr>
              <w:t>CPG Recommendations</w:t>
            </w:r>
          </w:p>
          <w:p w14:paraId="56EE84EB" w14:textId="77777777" w:rsidR="00966818" w:rsidRPr="008F36B5" w:rsidRDefault="00966818" w:rsidP="00D47D46">
            <w:pPr>
              <w:jc w:val="center"/>
              <w:rPr>
                <w:b/>
              </w:rPr>
            </w:pPr>
            <w:r>
              <w:rPr>
                <w:b/>
              </w:rPr>
              <w:t>N=31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  <w:bottom w:val="thinThickSmallGap" w:sz="24" w:space="0" w:color="auto"/>
            </w:tcBorders>
          </w:tcPr>
          <w:p w14:paraId="176DFEC5" w14:textId="77777777" w:rsidR="00966818" w:rsidRDefault="00966818" w:rsidP="00D47D46">
            <w:pPr>
              <w:keepNext/>
              <w:keepLines/>
              <w:jc w:val="center"/>
              <w:outlineLvl w:val="7"/>
              <w:rPr>
                <w:b/>
              </w:rPr>
            </w:pPr>
            <w:r w:rsidRPr="008F36B5">
              <w:rPr>
                <w:b/>
              </w:rPr>
              <w:t>Survey Responses</w:t>
            </w:r>
          </w:p>
          <w:p w14:paraId="71D38569" w14:textId="77777777" w:rsidR="00966818" w:rsidRPr="008F36B5" w:rsidRDefault="00966818" w:rsidP="00D47D46">
            <w:pPr>
              <w:keepNext/>
              <w:keepLines/>
              <w:jc w:val="center"/>
              <w:outlineLvl w:val="7"/>
              <w:rPr>
                <w:b/>
              </w:rPr>
            </w:pPr>
            <w:r>
              <w:rPr>
                <w:b/>
              </w:rPr>
              <w:t>N=49</w:t>
            </w:r>
          </w:p>
        </w:tc>
      </w:tr>
      <w:tr w:rsidR="00966818" w:rsidRPr="008F36B5" w14:paraId="267BD89A" w14:textId="77777777" w:rsidTr="0022584F">
        <w:tc>
          <w:tcPr>
            <w:tcW w:w="2122" w:type="dxa"/>
            <w:tcBorders>
              <w:top w:val="thinThickSmallGap" w:sz="24" w:space="0" w:color="auto"/>
            </w:tcBorders>
          </w:tcPr>
          <w:p w14:paraId="7744944A" w14:textId="77777777" w:rsidR="00966818" w:rsidRPr="008F36B5" w:rsidRDefault="00966818" w:rsidP="00D47D46">
            <w:pPr>
              <w:keepNext/>
              <w:keepLines/>
              <w:jc w:val="center"/>
              <w:outlineLvl w:val="7"/>
              <w:rPr>
                <w:b/>
              </w:rPr>
            </w:pPr>
            <w:r w:rsidRPr="008F36B5">
              <w:rPr>
                <w:b/>
              </w:rPr>
              <w:t>Number of severity variables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single" w:sz="24" w:space="0" w:color="auto"/>
            </w:tcBorders>
          </w:tcPr>
          <w:p w14:paraId="1CF9CFEC" w14:textId="77777777" w:rsidR="00966818" w:rsidRPr="008F36B5" w:rsidRDefault="00966818" w:rsidP="00D47D46">
            <w:pPr>
              <w:keepNext/>
              <w:keepLines/>
              <w:jc w:val="center"/>
              <w:outlineLvl w:val="7"/>
            </w:pPr>
            <w:r w:rsidRPr="008F36B5">
              <w:t>21</w:t>
            </w:r>
          </w:p>
        </w:tc>
        <w:tc>
          <w:tcPr>
            <w:tcW w:w="3685" w:type="dxa"/>
            <w:gridSpan w:val="3"/>
            <w:tcBorders>
              <w:top w:val="thinThickSmallGap" w:sz="24" w:space="0" w:color="auto"/>
              <w:left w:val="single" w:sz="24" w:space="0" w:color="auto"/>
            </w:tcBorders>
          </w:tcPr>
          <w:p w14:paraId="36AA6016" w14:textId="77777777" w:rsidR="00966818" w:rsidRPr="008F36B5" w:rsidRDefault="00966818" w:rsidP="00D47D46">
            <w:pPr>
              <w:keepNext/>
              <w:keepLines/>
              <w:jc w:val="center"/>
              <w:outlineLvl w:val="7"/>
            </w:pPr>
            <w:r w:rsidRPr="008F36B5">
              <w:t>23</w:t>
            </w:r>
          </w:p>
          <w:p w14:paraId="4134ED2E" w14:textId="77777777" w:rsidR="00966818" w:rsidRPr="008F36B5" w:rsidRDefault="00966818" w:rsidP="00D47D46">
            <w:pPr>
              <w:keepNext/>
              <w:keepLines/>
              <w:jc w:val="center"/>
              <w:outlineLvl w:val="7"/>
              <w:rPr>
                <w:i/>
                <w:iCs/>
              </w:rPr>
            </w:pPr>
            <w:r w:rsidRPr="008F36B5">
              <w:rPr>
                <w:i/>
                <w:iCs/>
              </w:rPr>
              <w:t>(</w:t>
            </w:r>
            <w:proofErr w:type="gramStart"/>
            <w:r w:rsidRPr="008F36B5">
              <w:rPr>
                <w:i/>
                <w:iCs/>
              </w:rPr>
              <w:t>indicators</w:t>
            </w:r>
            <w:proofErr w:type="gramEnd"/>
            <w:r w:rsidRPr="008F36B5">
              <w:rPr>
                <w:i/>
                <w:iCs/>
              </w:rPr>
              <w:t xml:space="preserve"> for admission used as surrogate marker for severity)</w:t>
            </w:r>
          </w:p>
        </w:tc>
      </w:tr>
      <w:tr w:rsidR="00966818" w:rsidRPr="008F36B5" w14:paraId="3699AB44" w14:textId="77777777" w:rsidTr="0022584F">
        <w:tc>
          <w:tcPr>
            <w:tcW w:w="2122" w:type="dxa"/>
            <w:tcBorders>
              <w:top w:val="thinThickSmallGap" w:sz="18" w:space="0" w:color="auto"/>
            </w:tcBorders>
          </w:tcPr>
          <w:p w14:paraId="7F308DC1" w14:textId="77777777" w:rsidR="00966818" w:rsidRPr="008F36B5" w:rsidRDefault="00966818" w:rsidP="00D47D46">
            <w:pPr>
              <w:keepNext/>
              <w:keepLines/>
              <w:outlineLvl w:val="7"/>
              <w:rPr>
                <w:b/>
              </w:rPr>
            </w:pPr>
            <w:r>
              <w:rPr>
                <w:b/>
              </w:rPr>
              <w:t>Investigations</w:t>
            </w:r>
            <w:r w:rsidRPr="008F36B5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thinThickSmallGap" w:sz="18" w:space="0" w:color="auto"/>
              <w:right w:val="single" w:sz="24" w:space="0" w:color="auto"/>
            </w:tcBorders>
          </w:tcPr>
          <w:p w14:paraId="04BB2A44" w14:textId="020D5181" w:rsidR="00966818" w:rsidRPr="008F36B5" w:rsidRDefault="00966818" w:rsidP="0022584F">
            <w:pPr>
              <w:keepNext/>
              <w:keepLines/>
              <w:jc w:val="center"/>
              <w:outlineLvl w:val="7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thinThickSmallGap" w:sz="18" w:space="0" w:color="auto"/>
              <w:left w:val="single" w:sz="24" w:space="0" w:color="auto"/>
            </w:tcBorders>
          </w:tcPr>
          <w:p w14:paraId="57969EA4" w14:textId="3E85D2F9" w:rsidR="00966818" w:rsidRPr="008F36B5" w:rsidRDefault="00966818" w:rsidP="0022584F">
            <w:pPr>
              <w:keepNext/>
              <w:keepLines/>
              <w:jc w:val="center"/>
              <w:outlineLvl w:val="7"/>
              <w:rPr>
                <w:b/>
              </w:rPr>
            </w:pPr>
            <w:r>
              <w:rPr>
                <w:b/>
              </w:rPr>
              <w:t>Discharged</w:t>
            </w:r>
          </w:p>
        </w:tc>
        <w:tc>
          <w:tcPr>
            <w:tcW w:w="1843" w:type="dxa"/>
            <w:tcBorders>
              <w:top w:val="thinThickSmallGap" w:sz="18" w:space="0" w:color="auto"/>
            </w:tcBorders>
          </w:tcPr>
          <w:p w14:paraId="23BD7762" w14:textId="43977F25" w:rsidR="00966818" w:rsidRPr="008F36B5" w:rsidRDefault="00966818" w:rsidP="0022584F">
            <w:pPr>
              <w:keepNext/>
              <w:keepLines/>
              <w:jc w:val="center"/>
              <w:outlineLvl w:val="7"/>
              <w:rPr>
                <w:b/>
              </w:rPr>
            </w:pPr>
            <w:r>
              <w:rPr>
                <w:b/>
              </w:rPr>
              <w:t>Admitted</w:t>
            </w:r>
          </w:p>
        </w:tc>
      </w:tr>
      <w:tr w:rsidR="00966818" w:rsidRPr="008F36B5" w14:paraId="01F4F81E" w14:textId="77777777" w:rsidTr="0022584F">
        <w:tc>
          <w:tcPr>
            <w:tcW w:w="2122" w:type="dxa"/>
          </w:tcPr>
          <w:p w14:paraId="058FFD0F" w14:textId="77777777" w:rsidR="00966818" w:rsidRPr="008F36B5" w:rsidRDefault="00966818" w:rsidP="00D47D46">
            <w:pPr>
              <w:keepNext/>
              <w:keepLines/>
              <w:jc w:val="center"/>
              <w:outlineLvl w:val="7"/>
            </w:pPr>
            <w:r>
              <w:rPr>
                <w:b/>
              </w:rPr>
              <w:t>Blood tests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7FEBD361" w14:textId="39BC0E1F" w:rsidR="00966818" w:rsidRPr="008F36B5" w:rsidRDefault="00E50A3A" w:rsidP="00D47D46">
            <w:pPr>
              <w:keepNext/>
              <w:keepLines/>
              <w:jc w:val="center"/>
              <w:outlineLvl w:val="7"/>
            </w:pPr>
            <w:r>
              <w:rPr>
                <w:sz w:val="20"/>
                <w:szCs w:val="20"/>
              </w:rPr>
              <w:t>†</w:t>
            </w:r>
            <w:r>
              <w:rPr>
                <w:sz w:val="20"/>
                <w:szCs w:val="20"/>
              </w:rPr>
              <w:t xml:space="preserve"> </w:t>
            </w:r>
            <w:r w:rsidR="00966818">
              <w:t>77</w:t>
            </w:r>
            <w:r w:rsidR="00966818" w:rsidRPr="008F36B5">
              <w:t>% (</w:t>
            </w:r>
            <w:r w:rsidR="00966818">
              <w:t>24/</w:t>
            </w:r>
            <w:r w:rsidR="00966818" w:rsidRPr="008F36B5">
              <w:t>31)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</w:tcBorders>
          </w:tcPr>
          <w:p w14:paraId="15193384" w14:textId="64D55C64" w:rsidR="00966818" w:rsidRDefault="00966818" w:rsidP="00D47D46">
            <w:pPr>
              <w:keepNext/>
              <w:keepLines/>
              <w:jc w:val="center"/>
              <w:outlineLvl w:val="7"/>
            </w:pPr>
            <w:r>
              <w:t>4% (2/49) on all patients</w:t>
            </w:r>
          </w:p>
          <w:p w14:paraId="02DA0B6D" w14:textId="21D3DAAF" w:rsidR="00966818" w:rsidRPr="008F36B5" w:rsidRDefault="00966818" w:rsidP="00D47D46">
            <w:pPr>
              <w:keepNext/>
              <w:keepLines/>
              <w:jc w:val="center"/>
              <w:outlineLvl w:val="7"/>
            </w:pPr>
            <w:r>
              <w:t>86% (42/49) on systemically unwell patient</w:t>
            </w:r>
          </w:p>
        </w:tc>
      </w:tr>
      <w:tr w:rsidR="00966818" w:rsidRPr="008F36B5" w14:paraId="2998ECE8" w14:textId="77777777" w:rsidTr="0022584F">
        <w:tc>
          <w:tcPr>
            <w:tcW w:w="2122" w:type="dxa"/>
          </w:tcPr>
          <w:p w14:paraId="2DDF4E20" w14:textId="77777777" w:rsidR="00966818" w:rsidRPr="008F36B5" w:rsidRDefault="00966818" w:rsidP="00D47D46">
            <w:pPr>
              <w:jc w:val="center"/>
            </w:pPr>
            <w:r w:rsidRPr="008F36B5">
              <w:rPr>
                <w:b/>
              </w:rPr>
              <w:t>CT-Orbit/Brain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1EE1CB13" w14:textId="3D8AC5BD" w:rsidR="00966818" w:rsidRPr="008F36B5" w:rsidRDefault="00E50A3A" w:rsidP="00E50A3A">
            <w:pPr>
              <w:jc w:val="center"/>
            </w:pPr>
            <w:r>
              <w:rPr>
                <w:sz w:val="20"/>
                <w:szCs w:val="20"/>
              </w:rPr>
              <w:t>†</w:t>
            </w:r>
            <w:r>
              <w:rPr>
                <w:sz w:val="20"/>
                <w:szCs w:val="20"/>
              </w:rPr>
              <w:t xml:space="preserve"> </w:t>
            </w:r>
            <w:r w:rsidR="00966818">
              <w:t>90</w:t>
            </w:r>
            <w:r w:rsidR="00966818" w:rsidRPr="008F36B5">
              <w:t>% (28/31)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</w:tcBorders>
          </w:tcPr>
          <w:p w14:paraId="57386574" w14:textId="77777777" w:rsidR="00966818" w:rsidRPr="008F36B5" w:rsidRDefault="00966818" w:rsidP="00D47D46">
            <w:pPr>
              <w:jc w:val="center"/>
            </w:pPr>
            <w:r w:rsidRPr="008F36B5">
              <w:t>*</w:t>
            </w:r>
          </w:p>
        </w:tc>
      </w:tr>
      <w:tr w:rsidR="00966818" w:rsidRPr="008F36B5" w14:paraId="23A05C9B" w14:textId="77777777" w:rsidTr="0022584F">
        <w:tc>
          <w:tcPr>
            <w:tcW w:w="2122" w:type="dxa"/>
          </w:tcPr>
          <w:p w14:paraId="6AC54AFC" w14:textId="77777777" w:rsidR="00966818" w:rsidRPr="008F36B5" w:rsidRDefault="00966818" w:rsidP="00D47D46">
            <w:pPr>
              <w:jc w:val="center"/>
            </w:pPr>
            <w:r w:rsidRPr="008F36B5">
              <w:rPr>
                <w:b/>
              </w:rPr>
              <w:t>Eye Swab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2DDA830F" w14:textId="1975F70E" w:rsidR="00966818" w:rsidRPr="008F36B5" w:rsidRDefault="00E50A3A" w:rsidP="00D47D46">
            <w:pPr>
              <w:jc w:val="center"/>
            </w:pPr>
            <w:r>
              <w:rPr>
                <w:sz w:val="20"/>
                <w:szCs w:val="20"/>
              </w:rPr>
              <w:t>†</w:t>
            </w:r>
            <w:r>
              <w:rPr>
                <w:sz w:val="20"/>
                <w:szCs w:val="20"/>
              </w:rPr>
              <w:t xml:space="preserve"> </w:t>
            </w:r>
            <w:r w:rsidR="00966818">
              <w:t>55</w:t>
            </w:r>
            <w:r w:rsidR="00966818" w:rsidRPr="008F36B5">
              <w:t>% (</w:t>
            </w:r>
            <w:r w:rsidR="00966818">
              <w:t>17</w:t>
            </w:r>
            <w:r w:rsidR="00966818" w:rsidRPr="008F36B5">
              <w:t>/31)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32E2A44D" w14:textId="77777777" w:rsidR="00966818" w:rsidRPr="008F36B5" w:rsidRDefault="00966818" w:rsidP="00D47D46">
            <w:pPr>
              <w:jc w:val="center"/>
            </w:pPr>
            <w:r>
              <w:t>24% (12/49)</w:t>
            </w:r>
          </w:p>
        </w:tc>
        <w:tc>
          <w:tcPr>
            <w:tcW w:w="1984" w:type="dxa"/>
            <w:gridSpan w:val="2"/>
          </w:tcPr>
          <w:p w14:paraId="332B6A78" w14:textId="5BE49A71" w:rsidR="00966818" w:rsidRPr="008F36B5" w:rsidRDefault="00966818" w:rsidP="00E50A3A">
            <w:pPr>
              <w:jc w:val="center"/>
            </w:pPr>
            <w:r w:rsidRPr="008F36B5">
              <w:t>53% (26/49)</w:t>
            </w:r>
          </w:p>
        </w:tc>
      </w:tr>
      <w:tr w:rsidR="00966818" w:rsidRPr="008F36B5" w14:paraId="7AC88CBD" w14:textId="77777777" w:rsidTr="0022584F">
        <w:tc>
          <w:tcPr>
            <w:tcW w:w="2122" w:type="dxa"/>
          </w:tcPr>
          <w:p w14:paraId="5A0D6612" w14:textId="77777777" w:rsidR="00966818" w:rsidRPr="008F36B5" w:rsidRDefault="00966818" w:rsidP="00D47D46">
            <w:pPr>
              <w:jc w:val="center"/>
            </w:pPr>
            <w:r w:rsidRPr="008F36B5">
              <w:rPr>
                <w:b/>
              </w:rPr>
              <w:t>Nasal Swab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4F11B07B" w14:textId="0969CA52" w:rsidR="00966818" w:rsidRPr="008F36B5" w:rsidRDefault="00E50A3A" w:rsidP="00D47D46">
            <w:pPr>
              <w:jc w:val="center"/>
            </w:pPr>
            <w:r>
              <w:rPr>
                <w:sz w:val="20"/>
                <w:szCs w:val="20"/>
              </w:rPr>
              <w:t>†</w:t>
            </w:r>
            <w:r>
              <w:rPr>
                <w:sz w:val="20"/>
                <w:szCs w:val="20"/>
              </w:rPr>
              <w:t xml:space="preserve"> </w:t>
            </w:r>
            <w:r w:rsidR="00966818">
              <w:t>2</w:t>
            </w:r>
            <w:r w:rsidR="00966818" w:rsidRPr="008F36B5">
              <w:t>6% (</w:t>
            </w:r>
            <w:r w:rsidR="00966818">
              <w:t>8</w:t>
            </w:r>
            <w:r w:rsidR="00966818" w:rsidRPr="008F36B5">
              <w:t>/31)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102365C8" w14:textId="1C5BA675" w:rsidR="00966818" w:rsidRPr="008F36B5" w:rsidRDefault="00966818" w:rsidP="00E50A3A">
            <w:pPr>
              <w:jc w:val="center"/>
            </w:pPr>
            <w:r>
              <w:t>71% (35/49)</w:t>
            </w:r>
          </w:p>
        </w:tc>
        <w:tc>
          <w:tcPr>
            <w:tcW w:w="1984" w:type="dxa"/>
            <w:gridSpan w:val="2"/>
          </w:tcPr>
          <w:p w14:paraId="39047350" w14:textId="77777777" w:rsidR="00966818" w:rsidRPr="008F36B5" w:rsidRDefault="00966818" w:rsidP="00D47D46">
            <w:pPr>
              <w:jc w:val="center"/>
            </w:pPr>
            <w:r>
              <w:t>8% (4/49)</w:t>
            </w:r>
          </w:p>
        </w:tc>
      </w:tr>
      <w:tr w:rsidR="00AA748F" w:rsidRPr="008F36B5" w14:paraId="0748595D" w14:textId="77777777" w:rsidTr="0022584F">
        <w:tc>
          <w:tcPr>
            <w:tcW w:w="5524" w:type="dxa"/>
            <w:gridSpan w:val="2"/>
            <w:tcBorders>
              <w:top w:val="thinThickSmallGap" w:sz="18" w:space="0" w:color="auto"/>
              <w:right w:val="single" w:sz="24" w:space="0" w:color="auto"/>
            </w:tcBorders>
          </w:tcPr>
          <w:p w14:paraId="7B535D41" w14:textId="77777777" w:rsidR="00AA748F" w:rsidRPr="008F36B5" w:rsidRDefault="00AA748F" w:rsidP="00D47D46">
            <w:r>
              <w:rPr>
                <w:b/>
              </w:rPr>
              <w:t>Specialty Referrals</w:t>
            </w:r>
          </w:p>
        </w:tc>
        <w:tc>
          <w:tcPr>
            <w:tcW w:w="3685" w:type="dxa"/>
            <w:gridSpan w:val="3"/>
            <w:tcBorders>
              <w:top w:val="thinThickSmallGap" w:sz="18" w:space="0" w:color="auto"/>
              <w:left w:val="single" w:sz="24" w:space="0" w:color="auto"/>
            </w:tcBorders>
          </w:tcPr>
          <w:p w14:paraId="7ACC3634" w14:textId="53CD055B" w:rsidR="00AA748F" w:rsidRPr="008F36B5" w:rsidRDefault="00AA748F" w:rsidP="00D47D46"/>
        </w:tc>
      </w:tr>
      <w:tr w:rsidR="00966818" w:rsidRPr="008F36B5" w14:paraId="71A3B51C" w14:textId="77777777" w:rsidTr="0022584F">
        <w:trPr>
          <w:trHeight w:val="403"/>
        </w:trPr>
        <w:tc>
          <w:tcPr>
            <w:tcW w:w="2122" w:type="dxa"/>
            <w:vMerge w:val="restart"/>
          </w:tcPr>
          <w:p w14:paraId="7D98EA9F" w14:textId="77777777" w:rsidR="00966818" w:rsidRPr="008F36B5" w:rsidRDefault="00966818" w:rsidP="00D47D46">
            <w:pPr>
              <w:jc w:val="center"/>
              <w:rPr>
                <w:b/>
              </w:rPr>
            </w:pPr>
            <w:r w:rsidRPr="008F36B5">
              <w:rPr>
                <w:b/>
              </w:rPr>
              <w:t>ENT</w:t>
            </w:r>
          </w:p>
        </w:tc>
        <w:tc>
          <w:tcPr>
            <w:tcW w:w="3402" w:type="dxa"/>
            <w:vMerge w:val="restart"/>
            <w:tcBorders>
              <w:right w:val="single" w:sz="24" w:space="0" w:color="auto"/>
            </w:tcBorders>
          </w:tcPr>
          <w:p w14:paraId="6E6DCB8C" w14:textId="77777777" w:rsidR="00966818" w:rsidRPr="008F36B5" w:rsidRDefault="00966818" w:rsidP="00D47D46">
            <w:pPr>
              <w:jc w:val="center"/>
            </w:pPr>
            <w:r>
              <w:t>‘</w:t>
            </w:r>
            <w:proofErr w:type="gramStart"/>
            <w:r>
              <w:t>routine</w:t>
            </w:r>
            <w:proofErr w:type="gramEnd"/>
            <w:r>
              <w:t xml:space="preserve"> review’ </w:t>
            </w:r>
            <w:r w:rsidRPr="008F36B5">
              <w:t>68% (21/31)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0526A862" w14:textId="77777777" w:rsidR="00966818" w:rsidRPr="008F36B5" w:rsidRDefault="00966818" w:rsidP="00D47D46">
            <w:pPr>
              <w:jc w:val="center"/>
            </w:pPr>
            <w:r w:rsidRPr="008F36B5">
              <w:t>Always</w:t>
            </w:r>
            <w:r>
              <w:t xml:space="preserve"> – 14% (7/49)</w:t>
            </w:r>
          </w:p>
        </w:tc>
        <w:tc>
          <w:tcPr>
            <w:tcW w:w="1984" w:type="dxa"/>
            <w:gridSpan w:val="2"/>
          </w:tcPr>
          <w:p w14:paraId="37166815" w14:textId="77777777" w:rsidR="00966818" w:rsidRPr="008F36B5" w:rsidRDefault="00966818" w:rsidP="00D47D46">
            <w:pPr>
              <w:jc w:val="center"/>
            </w:pPr>
            <w:r w:rsidRPr="008F36B5">
              <w:t>Always –37% (18/49)</w:t>
            </w:r>
          </w:p>
        </w:tc>
      </w:tr>
      <w:tr w:rsidR="00966818" w:rsidRPr="008F36B5" w14:paraId="1D76073A" w14:textId="77777777" w:rsidTr="0022584F">
        <w:trPr>
          <w:trHeight w:val="402"/>
        </w:trPr>
        <w:tc>
          <w:tcPr>
            <w:tcW w:w="2122" w:type="dxa"/>
            <w:vMerge/>
          </w:tcPr>
          <w:p w14:paraId="3067D7F4" w14:textId="77777777" w:rsidR="00966818" w:rsidRPr="008F36B5" w:rsidRDefault="00966818" w:rsidP="00D47D46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single" w:sz="24" w:space="0" w:color="auto"/>
            </w:tcBorders>
          </w:tcPr>
          <w:p w14:paraId="1AD46AF5" w14:textId="77777777" w:rsidR="00966818" w:rsidRPr="008F36B5" w:rsidRDefault="00966818" w:rsidP="00D47D46">
            <w:pPr>
              <w:jc w:val="center"/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6217FF23" w14:textId="77777777" w:rsidR="00966818" w:rsidRPr="008F36B5" w:rsidRDefault="00966818" w:rsidP="00D47D46">
            <w:pPr>
              <w:jc w:val="center"/>
            </w:pPr>
            <w:r w:rsidRPr="008F36B5">
              <w:t>Sometimes</w:t>
            </w:r>
            <w:r>
              <w:t xml:space="preserve"> – 57% (28/49)</w:t>
            </w:r>
          </w:p>
        </w:tc>
        <w:tc>
          <w:tcPr>
            <w:tcW w:w="1984" w:type="dxa"/>
            <w:gridSpan w:val="2"/>
          </w:tcPr>
          <w:p w14:paraId="4DA3BC27" w14:textId="77777777" w:rsidR="00966818" w:rsidRPr="008F36B5" w:rsidRDefault="00966818" w:rsidP="00D47D46">
            <w:pPr>
              <w:jc w:val="center"/>
            </w:pPr>
            <w:r w:rsidRPr="008F36B5">
              <w:t>Sometimes – 59% (29/49)</w:t>
            </w:r>
          </w:p>
        </w:tc>
      </w:tr>
      <w:tr w:rsidR="00966818" w:rsidRPr="008F36B5" w14:paraId="3A9FBA59" w14:textId="77777777" w:rsidTr="0022584F">
        <w:trPr>
          <w:trHeight w:val="402"/>
        </w:trPr>
        <w:tc>
          <w:tcPr>
            <w:tcW w:w="2122" w:type="dxa"/>
            <w:vMerge/>
          </w:tcPr>
          <w:p w14:paraId="53FFF47E" w14:textId="77777777" w:rsidR="00966818" w:rsidRPr="008F36B5" w:rsidRDefault="00966818" w:rsidP="00D47D46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single" w:sz="24" w:space="0" w:color="auto"/>
            </w:tcBorders>
          </w:tcPr>
          <w:p w14:paraId="1D535700" w14:textId="77777777" w:rsidR="00966818" w:rsidRPr="008F36B5" w:rsidRDefault="00966818" w:rsidP="00D47D46">
            <w:pPr>
              <w:jc w:val="center"/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14:paraId="213D4A95" w14:textId="77777777" w:rsidR="00966818" w:rsidRPr="008F36B5" w:rsidRDefault="00966818" w:rsidP="00D47D46">
            <w:pPr>
              <w:jc w:val="center"/>
            </w:pPr>
            <w:r w:rsidRPr="008F36B5">
              <w:t>Never</w:t>
            </w:r>
            <w:r>
              <w:t xml:space="preserve"> – 29% (14/49)</w:t>
            </w:r>
          </w:p>
        </w:tc>
        <w:tc>
          <w:tcPr>
            <w:tcW w:w="1984" w:type="dxa"/>
            <w:gridSpan w:val="2"/>
          </w:tcPr>
          <w:p w14:paraId="4762F6B8" w14:textId="77777777" w:rsidR="00966818" w:rsidRPr="008F36B5" w:rsidRDefault="00966818" w:rsidP="00D47D46">
            <w:pPr>
              <w:jc w:val="center"/>
            </w:pPr>
            <w:r w:rsidRPr="008F36B5">
              <w:t>Never – 4% (2/49)</w:t>
            </w:r>
          </w:p>
        </w:tc>
      </w:tr>
      <w:tr w:rsidR="00966818" w:rsidRPr="008F36B5" w14:paraId="0700236B" w14:textId="77777777" w:rsidTr="0022584F">
        <w:trPr>
          <w:trHeight w:val="400"/>
        </w:trPr>
        <w:tc>
          <w:tcPr>
            <w:tcW w:w="2122" w:type="dxa"/>
            <w:vMerge w:val="restart"/>
          </w:tcPr>
          <w:p w14:paraId="1CBCC971" w14:textId="77777777" w:rsidR="00966818" w:rsidRPr="008F36B5" w:rsidRDefault="00966818" w:rsidP="00D47D46">
            <w:pPr>
              <w:jc w:val="center"/>
              <w:rPr>
                <w:b/>
              </w:rPr>
            </w:pPr>
            <w:r w:rsidRPr="008F36B5">
              <w:rPr>
                <w:b/>
              </w:rPr>
              <w:t>Ophthalmology</w:t>
            </w:r>
          </w:p>
        </w:tc>
        <w:tc>
          <w:tcPr>
            <w:tcW w:w="3402" w:type="dxa"/>
            <w:vMerge w:val="restart"/>
            <w:tcBorders>
              <w:right w:val="single" w:sz="24" w:space="0" w:color="auto"/>
            </w:tcBorders>
          </w:tcPr>
          <w:p w14:paraId="1188B71D" w14:textId="77777777" w:rsidR="00966818" w:rsidRPr="008F36B5" w:rsidRDefault="00966818" w:rsidP="00D47D46">
            <w:pPr>
              <w:jc w:val="center"/>
            </w:pPr>
            <w:r>
              <w:t>‘</w:t>
            </w:r>
            <w:proofErr w:type="gramStart"/>
            <w:r>
              <w:t>routine</w:t>
            </w:r>
            <w:proofErr w:type="gramEnd"/>
            <w:r>
              <w:t xml:space="preserve"> review’ </w:t>
            </w:r>
            <w:r w:rsidRPr="008F36B5">
              <w:t>84% (26/31)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8" w:space="0" w:color="auto"/>
            </w:tcBorders>
          </w:tcPr>
          <w:p w14:paraId="44E59CD1" w14:textId="77777777" w:rsidR="00966818" w:rsidRPr="008F36B5" w:rsidRDefault="00966818" w:rsidP="00D47D46">
            <w:pPr>
              <w:jc w:val="center"/>
            </w:pPr>
            <w:r w:rsidRPr="008F36B5">
              <w:t xml:space="preserve">Always – </w:t>
            </w:r>
            <w:r>
              <w:t>29</w:t>
            </w:r>
            <w:r w:rsidRPr="008F36B5">
              <w:t>% (</w:t>
            </w:r>
            <w:r>
              <w:t>14</w:t>
            </w:r>
            <w:r w:rsidRPr="008F36B5">
              <w:t>/49)</w:t>
            </w:r>
          </w:p>
        </w:tc>
        <w:tc>
          <w:tcPr>
            <w:tcW w:w="1984" w:type="dxa"/>
            <w:gridSpan w:val="2"/>
          </w:tcPr>
          <w:p w14:paraId="37BDCA21" w14:textId="77777777" w:rsidR="00966818" w:rsidRPr="008F36B5" w:rsidRDefault="00966818" w:rsidP="00D47D46">
            <w:pPr>
              <w:jc w:val="center"/>
            </w:pPr>
            <w:r w:rsidRPr="008F36B5">
              <w:t>Always – 63% (31/49)</w:t>
            </w:r>
          </w:p>
        </w:tc>
      </w:tr>
      <w:tr w:rsidR="00966818" w:rsidRPr="008F36B5" w14:paraId="24C29E26" w14:textId="77777777" w:rsidTr="0022584F">
        <w:trPr>
          <w:trHeight w:val="400"/>
        </w:trPr>
        <w:tc>
          <w:tcPr>
            <w:tcW w:w="2122" w:type="dxa"/>
            <w:vMerge/>
          </w:tcPr>
          <w:p w14:paraId="2B5B61AA" w14:textId="77777777" w:rsidR="00966818" w:rsidRPr="008F36B5" w:rsidRDefault="00966818" w:rsidP="00D47D46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single" w:sz="24" w:space="0" w:color="auto"/>
            </w:tcBorders>
          </w:tcPr>
          <w:p w14:paraId="6BBE8D86" w14:textId="77777777" w:rsidR="00966818" w:rsidRPr="008F36B5" w:rsidRDefault="00966818" w:rsidP="00D47D46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</w:tcBorders>
          </w:tcPr>
          <w:p w14:paraId="0848348F" w14:textId="77777777" w:rsidR="00966818" w:rsidRPr="008F36B5" w:rsidRDefault="00966818" w:rsidP="00D47D46">
            <w:pPr>
              <w:jc w:val="center"/>
            </w:pPr>
            <w:r w:rsidRPr="008F36B5">
              <w:t>Sometimes –</w:t>
            </w:r>
            <w:r>
              <w:t>61% (30/49)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515148F" w14:textId="77777777" w:rsidR="00966818" w:rsidRPr="008F36B5" w:rsidRDefault="00966818" w:rsidP="00D47D46">
            <w:pPr>
              <w:jc w:val="center"/>
            </w:pPr>
            <w:r w:rsidRPr="008F36B5">
              <w:t>Sometimes –37% (18/49)</w:t>
            </w:r>
          </w:p>
        </w:tc>
      </w:tr>
      <w:tr w:rsidR="00966818" w:rsidRPr="008F36B5" w14:paraId="5B49BF17" w14:textId="77777777" w:rsidTr="0022584F">
        <w:trPr>
          <w:trHeight w:val="400"/>
        </w:trPr>
        <w:tc>
          <w:tcPr>
            <w:tcW w:w="2122" w:type="dxa"/>
            <w:vMerge/>
            <w:tcBorders>
              <w:bottom w:val="thinThickSmallGap" w:sz="18" w:space="0" w:color="auto"/>
            </w:tcBorders>
          </w:tcPr>
          <w:p w14:paraId="5939D65E" w14:textId="77777777" w:rsidR="00966818" w:rsidRPr="008F36B5" w:rsidRDefault="00966818" w:rsidP="00D47D46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SmallGap" w:sz="18" w:space="0" w:color="auto"/>
              <w:right w:val="single" w:sz="24" w:space="0" w:color="auto"/>
            </w:tcBorders>
          </w:tcPr>
          <w:p w14:paraId="1AE1C7B1" w14:textId="77777777" w:rsidR="00966818" w:rsidRPr="008F36B5" w:rsidRDefault="00966818" w:rsidP="00D47D4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thinThickSmallGap" w:sz="18" w:space="0" w:color="auto"/>
            </w:tcBorders>
          </w:tcPr>
          <w:p w14:paraId="62B68839" w14:textId="77777777" w:rsidR="00966818" w:rsidRPr="008F36B5" w:rsidRDefault="00966818" w:rsidP="00D47D46">
            <w:pPr>
              <w:jc w:val="center"/>
            </w:pPr>
            <w:r>
              <w:t>Never – 10% (5/49)</w:t>
            </w:r>
          </w:p>
        </w:tc>
        <w:tc>
          <w:tcPr>
            <w:tcW w:w="1984" w:type="dxa"/>
            <w:gridSpan w:val="2"/>
            <w:tcBorders>
              <w:bottom w:val="thinThickSmallGap" w:sz="18" w:space="0" w:color="auto"/>
            </w:tcBorders>
          </w:tcPr>
          <w:p w14:paraId="0F94D205" w14:textId="77777777" w:rsidR="00966818" w:rsidRPr="008F36B5" w:rsidRDefault="00966818" w:rsidP="00D47D46">
            <w:pPr>
              <w:jc w:val="center"/>
            </w:pPr>
            <w:r>
              <w:t>Never = 0% (0/49)</w:t>
            </w:r>
          </w:p>
        </w:tc>
      </w:tr>
      <w:tr w:rsidR="00966818" w:rsidRPr="008F36B5" w14:paraId="05338D32" w14:textId="77777777" w:rsidTr="0022584F">
        <w:trPr>
          <w:trHeight w:val="403"/>
        </w:trPr>
        <w:tc>
          <w:tcPr>
            <w:tcW w:w="2122" w:type="dxa"/>
            <w:vMerge w:val="restart"/>
            <w:tcBorders>
              <w:top w:val="thinThickSmallGap" w:sz="18" w:space="0" w:color="auto"/>
            </w:tcBorders>
          </w:tcPr>
          <w:p w14:paraId="3734B4D1" w14:textId="77777777" w:rsidR="00966818" w:rsidRPr="008F36B5" w:rsidRDefault="00966818" w:rsidP="00D47D46">
            <w:pPr>
              <w:jc w:val="center"/>
              <w:rPr>
                <w:b/>
              </w:rPr>
            </w:pPr>
            <w:r w:rsidRPr="008F36B5">
              <w:rPr>
                <w:b/>
              </w:rPr>
              <w:t>Prescription of nasal decongestants</w:t>
            </w:r>
          </w:p>
        </w:tc>
        <w:tc>
          <w:tcPr>
            <w:tcW w:w="3402" w:type="dxa"/>
            <w:vMerge w:val="restart"/>
            <w:tcBorders>
              <w:top w:val="thinThickSmallGap" w:sz="18" w:space="0" w:color="auto"/>
              <w:right w:val="single" w:sz="24" w:space="0" w:color="auto"/>
            </w:tcBorders>
          </w:tcPr>
          <w:p w14:paraId="7C097922" w14:textId="77777777" w:rsidR="00966818" w:rsidRPr="008F36B5" w:rsidRDefault="00966818" w:rsidP="00D47D46">
            <w:pPr>
              <w:jc w:val="center"/>
            </w:pPr>
            <w:r w:rsidRPr="008F36B5">
              <w:t>55%</w:t>
            </w:r>
            <w:r>
              <w:t xml:space="preserve"> </w:t>
            </w:r>
            <w:r w:rsidRPr="008F36B5">
              <w:t>(17/31)</w:t>
            </w:r>
          </w:p>
        </w:tc>
        <w:tc>
          <w:tcPr>
            <w:tcW w:w="1701" w:type="dxa"/>
            <w:tcBorders>
              <w:top w:val="thinThickSmallGap" w:sz="18" w:space="0" w:color="auto"/>
              <w:left w:val="single" w:sz="24" w:space="0" w:color="auto"/>
              <w:bottom w:val="single" w:sz="8" w:space="0" w:color="auto"/>
            </w:tcBorders>
          </w:tcPr>
          <w:p w14:paraId="12790AEF" w14:textId="77777777" w:rsidR="00966818" w:rsidRPr="008F36B5" w:rsidRDefault="00966818" w:rsidP="00D47D46">
            <w:pPr>
              <w:jc w:val="center"/>
            </w:pPr>
            <w:r w:rsidRPr="008F36B5">
              <w:t>Always – 24% (</w:t>
            </w:r>
            <w:r>
              <w:t>10</w:t>
            </w:r>
            <w:r w:rsidRPr="008F36B5">
              <w:t>/49)</w:t>
            </w:r>
          </w:p>
        </w:tc>
        <w:tc>
          <w:tcPr>
            <w:tcW w:w="1984" w:type="dxa"/>
            <w:gridSpan w:val="2"/>
            <w:tcBorders>
              <w:top w:val="thinThickSmallGap" w:sz="18" w:space="0" w:color="auto"/>
            </w:tcBorders>
          </w:tcPr>
          <w:p w14:paraId="48A536C9" w14:textId="77777777" w:rsidR="00966818" w:rsidRPr="008F36B5" w:rsidRDefault="00966818" w:rsidP="00D47D46">
            <w:pPr>
              <w:jc w:val="center"/>
            </w:pPr>
            <w:r w:rsidRPr="008F36B5">
              <w:t>Always – 24% (12/49)</w:t>
            </w:r>
          </w:p>
        </w:tc>
      </w:tr>
      <w:tr w:rsidR="00966818" w:rsidRPr="008F36B5" w14:paraId="7AE877BE" w14:textId="77777777" w:rsidTr="0022584F">
        <w:trPr>
          <w:trHeight w:val="402"/>
        </w:trPr>
        <w:tc>
          <w:tcPr>
            <w:tcW w:w="2122" w:type="dxa"/>
            <w:vMerge/>
          </w:tcPr>
          <w:p w14:paraId="25BC7847" w14:textId="77777777" w:rsidR="00966818" w:rsidRPr="008F36B5" w:rsidRDefault="00966818" w:rsidP="00D47D46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single" w:sz="24" w:space="0" w:color="auto"/>
            </w:tcBorders>
          </w:tcPr>
          <w:p w14:paraId="4A5F0FB6" w14:textId="77777777" w:rsidR="00966818" w:rsidRPr="008F36B5" w:rsidRDefault="00966818" w:rsidP="00D47D46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14:paraId="3BEAA3BE" w14:textId="77777777" w:rsidR="00966818" w:rsidRPr="008F36B5" w:rsidRDefault="00966818" w:rsidP="00D47D46">
            <w:pPr>
              <w:jc w:val="center"/>
            </w:pPr>
            <w:r w:rsidRPr="008F36B5">
              <w:t xml:space="preserve">Sometimes – </w:t>
            </w:r>
            <w:r>
              <w:t>3</w:t>
            </w:r>
            <w:r w:rsidRPr="008F36B5">
              <w:t>9% (</w:t>
            </w:r>
            <w:r>
              <w:t>19</w:t>
            </w:r>
            <w:r w:rsidRPr="008F36B5">
              <w:t>/49)</w:t>
            </w:r>
          </w:p>
        </w:tc>
        <w:tc>
          <w:tcPr>
            <w:tcW w:w="1984" w:type="dxa"/>
            <w:gridSpan w:val="2"/>
          </w:tcPr>
          <w:p w14:paraId="339875B5" w14:textId="77777777" w:rsidR="00966818" w:rsidRPr="008F36B5" w:rsidRDefault="00966818" w:rsidP="00D47D46">
            <w:pPr>
              <w:jc w:val="center"/>
            </w:pPr>
            <w:r w:rsidRPr="008F36B5">
              <w:t>Sometimes – 49% (22/49)</w:t>
            </w:r>
          </w:p>
        </w:tc>
      </w:tr>
      <w:tr w:rsidR="00966818" w:rsidRPr="008F36B5" w14:paraId="0CBF2548" w14:textId="77777777" w:rsidTr="0022584F">
        <w:trPr>
          <w:trHeight w:val="402"/>
        </w:trPr>
        <w:tc>
          <w:tcPr>
            <w:tcW w:w="2122" w:type="dxa"/>
            <w:vMerge/>
            <w:tcBorders>
              <w:bottom w:val="thinThickSmallGap" w:sz="18" w:space="0" w:color="auto"/>
            </w:tcBorders>
          </w:tcPr>
          <w:p w14:paraId="4346AFCE" w14:textId="77777777" w:rsidR="00966818" w:rsidRPr="008F36B5" w:rsidRDefault="00966818" w:rsidP="00D47D46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SmallGap" w:sz="18" w:space="0" w:color="auto"/>
              <w:right w:val="single" w:sz="24" w:space="0" w:color="auto"/>
            </w:tcBorders>
          </w:tcPr>
          <w:p w14:paraId="09D34E60" w14:textId="77777777" w:rsidR="00966818" w:rsidRPr="008F36B5" w:rsidRDefault="00966818" w:rsidP="00D47D46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18" w:space="0" w:color="auto"/>
            </w:tcBorders>
          </w:tcPr>
          <w:p w14:paraId="0A7278DE" w14:textId="77777777" w:rsidR="00966818" w:rsidRPr="008F36B5" w:rsidRDefault="00966818" w:rsidP="00D47D46">
            <w:pPr>
              <w:jc w:val="center"/>
            </w:pPr>
            <w:r w:rsidRPr="008F36B5">
              <w:t>N</w:t>
            </w:r>
            <w:r>
              <w:t>ever</w:t>
            </w:r>
            <w:r w:rsidRPr="008F36B5">
              <w:t xml:space="preserve"> – </w:t>
            </w:r>
            <w:r>
              <w:t>5</w:t>
            </w:r>
            <w:r w:rsidRPr="008F36B5">
              <w:t>1% (</w:t>
            </w:r>
            <w:r>
              <w:t>2</w:t>
            </w:r>
            <w:r w:rsidRPr="008F36B5">
              <w:t>5/49)</w:t>
            </w:r>
          </w:p>
        </w:tc>
        <w:tc>
          <w:tcPr>
            <w:tcW w:w="1984" w:type="dxa"/>
            <w:gridSpan w:val="2"/>
            <w:tcBorders>
              <w:bottom w:val="thinThickSmallGap" w:sz="18" w:space="0" w:color="auto"/>
            </w:tcBorders>
          </w:tcPr>
          <w:p w14:paraId="649394C5" w14:textId="77777777" w:rsidR="00966818" w:rsidRPr="008F36B5" w:rsidRDefault="00966818" w:rsidP="00D47D46">
            <w:pPr>
              <w:jc w:val="center"/>
            </w:pPr>
            <w:r w:rsidRPr="008F36B5">
              <w:t>N</w:t>
            </w:r>
            <w:r>
              <w:t>ever</w:t>
            </w:r>
            <w:r w:rsidRPr="008F36B5">
              <w:t xml:space="preserve"> – 31% (15/49)</w:t>
            </w:r>
          </w:p>
        </w:tc>
      </w:tr>
      <w:tr w:rsidR="00966818" w:rsidRPr="008F36B5" w14:paraId="12FCA4F3" w14:textId="77777777" w:rsidTr="0022584F">
        <w:trPr>
          <w:trHeight w:val="280"/>
        </w:trPr>
        <w:tc>
          <w:tcPr>
            <w:tcW w:w="2122" w:type="dxa"/>
            <w:tcBorders>
              <w:bottom w:val="single" w:sz="4" w:space="0" w:color="auto"/>
            </w:tcBorders>
          </w:tcPr>
          <w:p w14:paraId="1C05FB39" w14:textId="77777777" w:rsidR="00966818" w:rsidRPr="008F36B5" w:rsidRDefault="00966818" w:rsidP="00D47D46">
            <w:pPr>
              <w:jc w:val="center"/>
              <w:rPr>
                <w:b/>
              </w:rPr>
            </w:pPr>
            <w:r>
              <w:rPr>
                <w:b/>
              </w:rPr>
              <w:t xml:space="preserve">Follow-up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24" w:space="0" w:color="auto"/>
            </w:tcBorders>
          </w:tcPr>
          <w:p w14:paraId="2C8378CC" w14:textId="77777777" w:rsidR="00966818" w:rsidRPr="008F36B5" w:rsidRDefault="00966818" w:rsidP="00D47D46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</w:tcBorders>
          </w:tcPr>
          <w:p w14:paraId="4ABE01B3" w14:textId="77777777" w:rsidR="00966818" w:rsidRPr="008F36B5" w:rsidRDefault="00966818" w:rsidP="00D47D46">
            <w:pPr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65416D3" w14:textId="77777777" w:rsidR="00966818" w:rsidRPr="008F36B5" w:rsidRDefault="00966818" w:rsidP="00D47D46">
            <w:pPr>
              <w:jc w:val="center"/>
            </w:pPr>
          </w:p>
        </w:tc>
      </w:tr>
      <w:tr w:rsidR="00966818" w:rsidRPr="008F36B5" w14:paraId="3FC24D34" w14:textId="77777777" w:rsidTr="0022584F">
        <w:trPr>
          <w:trHeight w:val="402"/>
        </w:trPr>
        <w:tc>
          <w:tcPr>
            <w:tcW w:w="2122" w:type="dxa"/>
            <w:tcBorders>
              <w:bottom w:val="single" w:sz="4" w:space="0" w:color="auto"/>
            </w:tcBorders>
          </w:tcPr>
          <w:p w14:paraId="0150C158" w14:textId="7A01760A" w:rsidR="00966818" w:rsidRDefault="00966818" w:rsidP="00D47D46">
            <w:pPr>
              <w:jc w:val="center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24" w:space="0" w:color="auto"/>
            </w:tcBorders>
          </w:tcPr>
          <w:p w14:paraId="1215EFE3" w14:textId="77777777" w:rsidR="00966818" w:rsidRPr="008F36B5" w:rsidRDefault="00966818" w:rsidP="00D47D46">
            <w:pPr>
              <w:jc w:val="center"/>
            </w:pPr>
            <w:r>
              <w:t>13% (4/31)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6EA0A3AA" w14:textId="77777777" w:rsidR="00966818" w:rsidRPr="008F36B5" w:rsidRDefault="00966818" w:rsidP="00D47D46">
            <w:pPr>
              <w:jc w:val="center"/>
            </w:pPr>
            <w:r>
              <w:t>24% (12/49)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3B3B20C" w14:textId="655C3CD3" w:rsidR="00966818" w:rsidRPr="008F36B5" w:rsidRDefault="00AA748F" w:rsidP="00D47D46">
            <w:pPr>
              <w:jc w:val="center"/>
            </w:pPr>
            <w:r>
              <w:t>N/A</w:t>
            </w:r>
          </w:p>
        </w:tc>
      </w:tr>
      <w:tr w:rsidR="00966818" w:rsidRPr="008F36B5" w14:paraId="3CD533F6" w14:textId="77777777" w:rsidTr="0022584F">
        <w:trPr>
          <w:trHeight w:val="402"/>
        </w:trPr>
        <w:tc>
          <w:tcPr>
            <w:tcW w:w="2122" w:type="dxa"/>
            <w:tcBorders>
              <w:bottom w:val="single" w:sz="4" w:space="0" w:color="auto"/>
            </w:tcBorders>
          </w:tcPr>
          <w:p w14:paraId="1C188B60" w14:textId="030613C8" w:rsidR="00966818" w:rsidRDefault="00966818" w:rsidP="00D47D46">
            <w:pPr>
              <w:jc w:val="center"/>
              <w:rPr>
                <w:b/>
              </w:rPr>
            </w:pPr>
            <w:r>
              <w:rPr>
                <w:b/>
              </w:rPr>
              <w:t>Paed</w:t>
            </w:r>
            <w:r w:rsidR="00AA748F">
              <w:rPr>
                <w:b/>
              </w:rPr>
              <w:t>i</w:t>
            </w:r>
            <w:r>
              <w:rPr>
                <w:b/>
              </w:rPr>
              <w:t>atric or ED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24" w:space="0" w:color="auto"/>
            </w:tcBorders>
          </w:tcPr>
          <w:p w14:paraId="74A7A04A" w14:textId="77777777" w:rsidR="00966818" w:rsidRPr="008F36B5" w:rsidRDefault="00966818" w:rsidP="00D47D46">
            <w:pPr>
              <w:jc w:val="center"/>
            </w:pPr>
            <w:r>
              <w:t>3% (1/31)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5DBD1C7C" w14:textId="77777777" w:rsidR="00966818" w:rsidRPr="008F36B5" w:rsidRDefault="00966818" w:rsidP="00D47D46">
            <w:pPr>
              <w:jc w:val="center"/>
            </w:pPr>
            <w:r>
              <w:t>45% (22/49)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FAA693" w14:textId="4CCCF336" w:rsidR="00966818" w:rsidRPr="008F36B5" w:rsidRDefault="00AA748F" w:rsidP="00D47D46">
            <w:pPr>
              <w:jc w:val="center"/>
            </w:pPr>
            <w:r>
              <w:t>N/A</w:t>
            </w:r>
          </w:p>
        </w:tc>
      </w:tr>
      <w:tr w:rsidR="00966818" w:rsidRPr="008F36B5" w14:paraId="68B8B082" w14:textId="77777777" w:rsidTr="0022584F">
        <w:trPr>
          <w:trHeight w:val="281"/>
        </w:trPr>
        <w:tc>
          <w:tcPr>
            <w:tcW w:w="2122" w:type="dxa"/>
            <w:tcBorders>
              <w:bottom w:val="single" w:sz="4" w:space="0" w:color="auto"/>
            </w:tcBorders>
          </w:tcPr>
          <w:p w14:paraId="5A37470C" w14:textId="5BB97A2D" w:rsidR="00966818" w:rsidRDefault="00966818" w:rsidP="00D47D46">
            <w:pPr>
              <w:jc w:val="center"/>
              <w:rPr>
                <w:b/>
              </w:rPr>
            </w:pPr>
            <w:r>
              <w:rPr>
                <w:b/>
              </w:rPr>
              <w:t>GP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24" w:space="0" w:color="auto"/>
            </w:tcBorders>
          </w:tcPr>
          <w:p w14:paraId="15AD79AB" w14:textId="77777777" w:rsidR="00966818" w:rsidRPr="008F36B5" w:rsidRDefault="00966818" w:rsidP="00D47D46">
            <w:pPr>
              <w:jc w:val="center"/>
            </w:pPr>
            <w:r>
              <w:t>0% (0/31)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3B215496" w14:textId="77777777" w:rsidR="00966818" w:rsidRPr="008F36B5" w:rsidRDefault="00966818" w:rsidP="00D47D46">
            <w:pPr>
              <w:jc w:val="center"/>
            </w:pPr>
            <w:r>
              <w:t>4% (2/49)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8B6D291" w14:textId="38F25EE3" w:rsidR="00966818" w:rsidRPr="008F36B5" w:rsidRDefault="00AA748F" w:rsidP="00D47D46">
            <w:pPr>
              <w:jc w:val="center"/>
            </w:pPr>
            <w:r>
              <w:t>N/A</w:t>
            </w:r>
          </w:p>
        </w:tc>
      </w:tr>
      <w:tr w:rsidR="00966818" w:rsidRPr="008F36B5" w14:paraId="305E6CBB" w14:textId="77777777" w:rsidTr="0022584F">
        <w:trPr>
          <w:trHeight w:val="402"/>
        </w:trPr>
        <w:tc>
          <w:tcPr>
            <w:tcW w:w="2122" w:type="dxa"/>
            <w:tcBorders>
              <w:bottom w:val="single" w:sz="4" w:space="0" w:color="auto"/>
            </w:tcBorders>
          </w:tcPr>
          <w:p w14:paraId="10584F09" w14:textId="77777777" w:rsidR="00966818" w:rsidRDefault="00966818" w:rsidP="00D47D46">
            <w:pPr>
              <w:jc w:val="center"/>
              <w:rPr>
                <w:b/>
              </w:rPr>
            </w:pPr>
            <w:r>
              <w:rPr>
                <w:b/>
              </w:rPr>
              <w:t>Open access/ safety netting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24" w:space="0" w:color="auto"/>
            </w:tcBorders>
          </w:tcPr>
          <w:p w14:paraId="26DCBDA6" w14:textId="77777777" w:rsidR="00966818" w:rsidRPr="008F36B5" w:rsidRDefault="00966818" w:rsidP="00D47D46">
            <w:pPr>
              <w:jc w:val="center"/>
            </w:pPr>
            <w:r>
              <w:t>10% (3/31)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7D6457AD" w14:textId="77777777" w:rsidR="00966818" w:rsidRDefault="00966818" w:rsidP="00D47D46">
            <w:pPr>
              <w:jc w:val="center"/>
            </w:pPr>
            <w:r>
              <w:t>4% (2/49)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D8487E7" w14:textId="3083FFFC" w:rsidR="00966818" w:rsidRPr="008F36B5" w:rsidRDefault="00AA748F" w:rsidP="00D47D46">
            <w:pPr>
              <w:jc w:val="center"/>
            </w:pPr>
            <w:r>
              <w:t>N/A</w:t>
            </w:r>
          </w:p>
        </w:tc>
      </w:tr>
      <w:tr w:rsidR="00966818" w:rsidRPr="008F36B5" w14:paraId="094CA41E" w14:textId="77777777" w:rsidTr="0022584F">
        <w:trPr>
          <w:trHeight w:val="402"/>
        </w:trPr>
        <w:tc>
          <w:tcPr>
            <w:tcW w:w="2122" w:type="dxa"/>
            <w:tcBorders>
              <w:bottom w:val="single" w:sz="4" w:space="0" w:color="auto"/>
            </w:tcBorders>
          </w:tcPr>
          <w:p w14:paraId="317E042C" w14:textId="454EFD58" w:rsidR="00966818" w:rsidRDefault="00966818" w:rsidP="00D47D4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AA748F">
              <w:rPr>
                <w:b/>
              </w:rPr>
              <w:t>il</w:t>
            </w:r>
            <w:r>
              <w:rPr>
                <w:b/>
              </w:rPr>
              <w:t xml:space="preserve"> specified/ arranged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24" w:space="0" w:color="auto"/>
            </w:tcBorders>
          </w:tcPr>
          <w:p w14:paraId="4A72D557" w14:textId="77777777" w:rsidR="00966818" w:rsidRPr="008F36B5" w:rsidRDefault="00966818" w:rsidP="00D47D46">
            <w:pPr>
              <w:jc w:val="center"/>
            </w:pPr>
            <w:r>
              <w:t>74% (23/31)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326F3DC7" w14:textId="77777777" w:rsidR="00966818" w:rsidRPr="008F36B5" w:rsidRDefault="00966818" w:rsidP="00D47D46">
            <w:pPr>
              <w:jc w:val="center"/>
            </w:pPr>
            <w:r>
              <w:t>12% (6/49)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0A1C698" w14:textId="7EE645B1" w:rsidR="00966818" w:rsidRPr="008F36B5" w:rsidRDefault="00AA748F" w:rsidP="00D47D46">
            <w:pPr>
              <w:jc w:val="center"/>
            </w:pPr>
            <w:r>
              <w:t>N/A</w:t>
            </w:r>
          </w:p>
        </w:tc>
      </w:tr>
      <w:tr w:rsidR="00966818" w:rsidRPr="008F36B5" w14:paraId="35BCDA9A" w14:textId="77777777" w:rsidTr="0022584F">
        <w:trPr>
          <w:trHeight w:val="402"/>
        </w:trPr>
        <w:tc>
          <w:tcPr>
            <w:tcW w:w="2122" w:type="dxa"/>
            <w:tcBorders>
              <w:bottom w:val="thinThickSmallGap" w:sz="18" w:space="0" w:color="auto"/>
            </w:tcBorders>
          </w:tcPr>
          <w:p w14:paraId="5C40BFC7" w14:textId="77777777" w:rsidR="00966818" w:rsidRDefault="00966818" w:rsidP="00D47D46">
            <w:pPr>
              <w:jc w:val="center"/>
              <w:rPr>
                <w:b/>
              </w:rPr>
            </w:pPr>
            <w:r>
              <w:rPr>
                <w:b/>
              </w:rPr>
              <w:t xml:space="preserve">Other </w:t>
            </w:r>
          </w:p>
        </w:tc>
        <w:tc>
          <w:tcPr>
            <w:tcW w:w="3402" w:type="dxa"/>
            <w:tcBorders>
              <w:bottom w:val="thinThickSmallGap" w:sz="18" w:space="0" w:color="auto"/>
              <w:right w:val="single" w:sz="24" w:space="0" w:color="auto"/>
            </w:tcBorders>
          </w:tcPr>
          <w:p w14:paraId="3B0A2DEE" w14:textId="77777777" w:rsidR="00966818" w:rsidRPr="008F36B5" w:rsidRDefault="00966818" w:rsidP="00D47D46">
            <w:pPr>
              <w:jc w:val="center"/>
            </w:pPr>
            <w:r>
              <w:t>0% (0/31)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thinThickSmallGap" w:sz="18" w:space="0" w:color="auto"/>
            </w:tcBorders>
          </w:tcPr>
          <w:p w14:paraId="1090C7E0" w14:textId="77777777" w:rsidR="00966818" w:rsidRDefault="00966818" w:rsidP="00D47D46">
            <w:pPr>
              <w:jc w:val="center"/>
            </w:pPr>
            <w:r>
              <w:t>10% (5/49)</w:t>
            </w:r>
          </w:p>
        </w:tc>
        <w:tc>
          <w:tcPr>
            <w:tcW w:w="1984" w:type="dxa"/>
            <w:gridSpan w:val="2"/>
            <w:tcBorders>
              <w:bottom w:val="thinThickSmallGap" w:sz="18" w:space="0" w:color="auto"/>
            </w:tcBorders>
          </w:tcPr>
          <w:p w14:paraId="1D5089A2" w14:textId="2C35FB0F" w:rsidR="00966818" w:rsidRPr="008F36B5" w:rsidRDefault="00AA748F" w:rsidP="00D47D46">
            <w:pPr>
              <w:jc w:val="center"/>
            </w:pPr>
            <w:r>
              <w:t>N/A</w:t>
            </w:r>
          </w:p>
        </w:tc>
      </w:tr>
      <w:tr w:rsidR="00966818" w:rsidRPr="008F36B5" w14:paraId="51998897" w14:textId="77777777" w:rsidTr="0022584F">
        <w:trPr>
          <w:trHeight w:val="541"/>
        </w:trPr>
        <w:tc>
          <w:tcPr>
            <w:tcW w:w="2122" w:type="dxa"/>
            <w:tcBorders>
              <w:top w:val="thinThickSmallGap" w:sz="24" w:space="0" w:color="auto"/>
            </w:tcBorders>
          </w:tcPr>
          <w:p w14:paraId="291B1C1D" w14:textId="1872BDAA" w:rsidR="00966818" w:rsidRDefault="00966818" w:rsidP="00D47D46">
            <w:pPr>
              <w:jc w:val="center"/>
              <w:rPr>
                <w:b/>
              </w:rPr>
            </w:pPr>
            <w:r w:rsidRPr="008F36B5">
              <w:rPr>
                <w:b/>
              </w:rPr>
              <w:t xml:space="preserve">Oral antibiotics </w:t>
            </w:r>
            <w:r w:rsidR="00E50A3A">
              <w:rPr>
                <w:b/>
              </w:rPr>
              <w:t>for mild disease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single" w:sz="24" w:space="0" w:color="auto"/>
            </w:tcBorders>
          </w:tcPr>
          <w:p w14:paraId="10125A08" w14:textId="77777777" w:rsidR="00966818" w:rsidRPr="008F36B5" w:rsidRDefault="00966818" w:rsidP="00D47D46">
            <w:pPr>
              <w:jc w:val="center"/>
            </w:pPr>
            <w:r w:rsidRPr="008F36B5">
              <w:t>90% (28/31)</w:t>
            </w:r>
          </w:p>
        </w:tc>
        <w:tc>
          <w:tcPr>
            <w:tcW w:w="3685" w:type="dxa"/>
            <w:gridSpan w:val="3"/>
            <w:tcBorders>
              <w:top w:val="thinThickSmallGap" w:sz="24" w:space="0" w:color="auto"/>
              <w:left w:val="single" w:sz="24" w:space="0" w:color="auto"/>
            </w:tcBorders>
          </w:tcPr>
          <w:p w14:paraId="2B14A20D" w14:textId="77777777" w:rsidR="00966818" w:rsidRPr="00B95165" w:rsidRDefault="00966818" w:rsidP="00D47D46">
            <w:pPr>
              <w:jc w:val="center"/>
            </w:pPr>
            <w:r w:rsidRPr="008F36B5">
              <w:t>78% (39/49)</w:t>
            </w:r>
          </w:p>
        </w:tc>
      </w:tr>
      <w:tr w:rsidR="00966818" w:rsidRPr="008F36B5" w14:paraId="1EDB2FAC" w14:textId="77777777" w:rsidTr="00D47D46">
        <w:trPr>
          <w:trHeight w:val="287"/>
        </w:trPr>
        <w:tc>
          <w:tcPr>
            <w:tcW w:w="9209" w:type="dxa"/>
            <w:gridSpan w:val="5"/>
          </w:tcPr>
          <w:p w14:paraId="0A19E7B8" w14:textId="77777777" w:rsidR="00966818" w:rsidRPr="008F36B5" w:rsidRDefault="00966818" w:rsidP="00D47D46">
            <w:r w:rsidRPr="008F36B5">
              <w:rPr>
                <w:b/>
              </w:rPr>
              <w:t>1</w:t>
            </w:r>
            <w:r w:rsidRPr="008F36B5">
              <w:rPr>
                <w:b/>
                <w:vertAlign w:val="superscript"/>
              </w:rPr>
              <w:t>st</w:t>
            </w:r>
            <w:r w:rsidRPr="008F36B5">
              <w:rPr>
                <w:b/>
              </w:rPr>
              <w:t xml:space="preserve"> line oral antibiotic</w:t>
            </w:r>
          </w:p>
        </w:tc>
      </w:tr>
      <w:tr w:rsidR="00966818" w:rsidRPr="008F36B5" w14:paraId="738D0E86" w14:textId="77777777" w:rsidTr="0022584F">
        <w:trPr>
          <w:trHeight w:val="68"/>
        </w:trPr>
        <w:tc>
          <w:tcPr>
            <w:tcW w:w="2122" w:type="dxa"/>
          </w:tcPr>
          <w:p w14:paraId="59C0AB4E" w14:textId="77777777" w:rsidR="00966818" w:rsidRDefault="00966818" w:rsidP="00D47D46">
            <w:pPr>
              <w:jc w:val="center"/>
              <w:rPr>
                <w:b/>
              </w:rPr>
            </w:pPr>
            <w:r w:rsidRPr="008F36B5">
              <w:t>Co-amoxiclav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4F78B6A9" w14:textId="77777777" w:rsidR="00966818" w:rsidRPr="008F36B5" w:rsidRDefault="00966818" w:rsidP="00D47D46">
            <w:pPr>
              <w:jc w:val="center"/>
            </w:pPr>
            <w:r w:rsidRPr="008F36B5">
              <w:t>90% (28/31)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</w:tcBorders>
          </w:tcPr>
          <w:p w14:paraId="65045DBD" w14:textId="08ADC3CA" w:rsidR="00966818" w:rsidRPr="00B95165" w:rsidRDefault="00966818" w:rsidP="00D47D46">
            <w:pPr>
              <w:jc w:val="center"/>
            </w:pPr>
            <w:r w:rsidRPr="008F36B5">
              <w:t>96% (47/49)</w:t>
            </w:r>
          </w:p>
        </w:tc>
      </w:tr>
      <w:tr w:rsidR="00966818" w:rsidRPr="008F36B5" w14:paraId="43083971" w14:textId="77777777" w:rsidTr="0022584F">
        <w:trPr>
          <w:trHeight w:val="266"/>
        </w:trPr>
        <w:tc>
          <w:tcPr>
            <w:tcW w:w="2122" w:type="dxa"/>
          </w:tcPr>
          <w:p w14:paraId="057315FB" w14:textId="77777777" w:rsidR="00966818" w:rsidRPr="008F36B5" w:rsidRDefault="00966818" w:rsidP="00D47D46">
            <w:pPr>
              <w:jc w:val="center"/>
            </w:pPr>
            <w:r w:rsidRPr="008F36B5">
              <w:t>Not applicable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2B1EF5DB" w14:textId="77777777" w:rsidR="00966818" w:rsidRDefault="00966818" w:rsidP="00D47D46">
            <w:pPr>
              <w:jc w:val="center"/>
            </w:pPr>
            <w:r w:rsidRPr="008F36B5">
              <w:t>10% (3/31)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</w:tcBorders>
          </w:tcPr>
          <w:p w14:paraId="5DCAAAD3" w14:textId="77777777" w:rsidR="00966818" w:rsidRPr="008F36B5" w:rsidRDefault="00966818" w:rsidP="00D47D46">
            <w:pPr>
              <w:jc w:val="center"/>
            </w:pPr>
            <w:r w:rsidRPr="008F36B5">
              <w:t>4% (2/49)</w:t>
            </w:r>
          </w:p>
        </w:tc>
      </w:tr>
      <w:tr w:rsidR="00966818" w:rsidRPr="008F36B5" w14:paraId="1CA1B556" w14:textId="77777777" w:rsidTr="00D47D46">
        <w:trPr>
          <w:trHeight w:val="285"/>
        </w:trPr>
        <w:tc>
          <w:tcPr>
            <w:tcW w:w="9209" w:type="dxa"/>
            <w:gridSpan w:val="5"/>
          </w:tcPr>
          <w:p w14:paraId="2D908742" w14:textId="77777777" w:rsidR="00966818" w:rsidRPr="008F36B5" w:rsidRDefault="00966818" w:rsidP="00D47D46">
            <w:r w:rsidRPr="008F36B5">
              <w:rPr>
                <w:b/>
              </w:rPr>
              <w:lastRenderedPageBreak/>
              <w:t>Recommended minimum duration of oral antibiotics (days)</w:t>
            </w:r>
          </w:p>
        </w:tc>
      </w:tr>
      <w:tr w:rsidR="00966818" w:rsidRPr="008F36B5" w14:paraId="777AB363" w14:textId="77777777" w:rsidTr="0022584F">
        <w:trPr>
          <w:trHeight w:val="274"/>
        </w:trPr>
        <w:tc>
          <w:tcPr>
            <w:tcW w:w="2122" w:type="dxa"/>
          </w:tcPr>
          <w:p w14:paraId="02B66D3A" w14:textId="77777777" w:rsidR="00966818" w:rsidRDefault="00966818" w:rsidP="00D47D46">
            <w:pPr>
              <w:contextualSpacing/>
              <w:jc w:val="center"/>
              <w:rPr>
                <w:b/>
              </w:rPr>
            </w:pPr>
            <w:r w:rsidRPr="008F36B5">
              <w:t>5-7 days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2B88FA67" w14:textId="77777777" w:rsidR="00966818" w:rsidRPr="008F36B5" w:rsidRDefault="00966818" w:rsidP="00D47D46">
            <w:pPr>
              <w:contextualSpacing/>
              <w:jc w:val="center"/>
            </w:pPr>
            <w:r w:rsidRPr="008F36B5">
              <w:t>23% (7/31)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</w:tcBorders>
          </w:tcPr>
          <w:p w14:paraId="40FAFAF7" w14:textId="77777777" w:rsidR="00966818" w:rsidRPr="008F36B5" w:rsidRDefault="00966818" w:rsidP="00D47D46">
            <w:pPr>
              <w:contextualSpacing/>
              <w:jc w:val="center"/>
            </w:pPr>
            <w:r w:rsidRPr="008F36B5">
              <w:t>67% (33/49)</w:t>
            </w:r>
          </w:p>
        </w:tc>
      </w:tr>
      <w:tr w:rsidR="00966818" w:rsidRPr="008F36B5" w14:paraId="33B2B49B" w14:textId="77777777" w:rsidTr="0022584F">
        <w:trPr>
          <w:trHeight w:val="296"/>
        </w:trPr>
        <w:tc>
          <w:tcPr>
            <w:tcW w:w="2122" w:type="dxa"/>
          </w:tcPr>
          <w:p w14:paraId="3940DF1E" w14:textId="77777777" w:rsidR="00966818" w:rsidRDefault="00966818" w:rsidP="00D47D46">
            <w:pPr>
              <w:contextualSpacing/>
              <w:jc w:val="center"/>
              <w:rPr>
                <w:b/>
              </w:rPr>
            </w:pPr>
            <w:r w:rsidRPr="008F36B5">
              <w:t>8-10 days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08BC4902" w14:textId="77777777" w:rsidR="00966818" w:rsidRPr="008F36B5" w:rsidRDefault="00966818" w:rsidP="00D47D46">
            <w:pPr>
              <w:contextualSpacing/>
              <w:jc w:val="center"/>
            </w:pPr>
            <w:r w:rsidRPr="008F36B5">
              <w:t>26% (8/31)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</w:tcBorders>
          </w:tcPr>
          <w:p w14:paraId="3A4993AA" w14:textId="77777777" w:rsidR="00966818" w:rsidRPr="008F36B5" w:rsidRDefault="00966818" w:rsidP="00D47D46">
            <w:pPr>
              <w:contextualSpacing/>
              <w:jc w:val="center"/>
            </w:pPr>
            <w:r w:rsidRPr="008F36B5">
              <w:t>18% (9/49)</w:t>
            </w:r>
          </w:p>
        </w:tc>
      </w:tr>
      <w:tr w:rsidR="00966818" w:rsidRPr="008F36B5" w14:paraId="23AEE717" w14:textId="77777777" w:rsidTr="0022584F">
        <w:trPr>
          <w:trHeight w:val="305"/>
        </w:trPr>
        <w:tc>
          <w:tcPr>
            <w:tcW w:w="2122" w:type="dxa"/>
          </w:tcPr>
          <w:p w14:paraId="69C75B99" w14:textId="77777777" w:rsidR="00966818" w:rsidRDefault="00966818" w:rsidP="00D47D46">
            <w:pPr>
              <w:contextualSpacing/>
              <w:jc w:val="center"/>
              <w:rPr>
                <w:b/>
              </w:rPr>
            </w:pPr>
            <w:r w:rsidRPr="008F36B5">
              <w:t>11-14 days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2011ECC1" w14:textId="77777777" w:rsidR="00966818" w:rsidRPr="008F36B5" w:rsidRDefault="00966818" w:rsidP="00D47D46">
            <w:pPr>
              <w:contextualSpacing/>
              <w:jc w:val="center"/>
            </w:pPr>
            <w:r w:rsidRPr="008F36B5">
              <w:t>10% (3/31)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</w:tcBorders>
          </w:tcPr>
          <w:p w14:paraId="6AB4585D" w14:textId="77777777" w:rsidR="00966818" w:rsidRPr="008F36B5" w:rsidRDefault="00966818" w:rsidP="00D47D46">
            <w:pPr>
              <w:contextualSpacing/>
              <w:jc w:val="center"/>
            </w:pPr>
            <w:r w:rsidRPr="008F36B5">
              <w:t>6% (3/49)</w:t>
            </w:r>
          </w:p>
        </w:tc>
      </w:tr>
      <w:tr w:rsidR="00966818" w:rsidRPr="008F36B5" w14:paraId="080C66D3" w14:textId="77777777" w:rsidTr="0022584F">
        <w:trPr>
          <w:trHeight w:val="327"/>
        </w:trPr>
        <w:tc>
          <w:tcPr>
            <w:tcW w:w="2122" w:type="dxa"/>
          </w:tcPr>
          <w:p w14:paraId="07E42823" w14:textId="77777777" w:rsidR="00966818" w:rsidRPr="008F36B5" w:rsidRDefault="00966818" w:rsidP="00D47D46">
            <w:pPr>
              <w:contextualSpacing/>
              <w:jc w:val="center"/>
            </w:pPr>
            <w:r w:rsidRPr="008F36B5">
              <w:t>Not stated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56E484D4" w14:textId="77777777" w:rsidR="00966818" w:rsidRPr="008F36B5" w:rsidRDefault="00966818" w:rsidP="00D47D46">
            <w:pPr>
              <w:contextualSpacing/>
              <w:jc w:val="center"/>
            </w:pPr>
            <w:r w:rsidRPr="008F36B5">
              <w:t>32% (10/31)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</w:tcBorders>
          </w:tcPr>
          <w:p w14:paraId="17C8A91C" w14:textId="77777777" w:rsidR="00966818" w:rsidRPr="008F36B5" w:rsidRDefault="00966818" w:rsidP="00D47D46">
            <w:pPr>
              <w:contextualSpacing/>
              <w:jc w:val="center"/>
            </w:pPr>
            <w:r w:rsidRPr="008F36B5">
              <w:t>4% (2/49)</w:t>
            </w:r>
          </w:p>
        </w:tc>
      </w:tr>
      <w:tr w:rsidR="00966818" w:rsidRPr="008F36B5" w14:paraId="18625CF7" w14:textId="77777777" w:rsidTr="0022584F">
        <w:trPr>
          <w:trHeight w:val="541"/>
        </w:trPr>
        <w:tc>
          <w:tcPr>
            <w:tcW w:w="2122" w:type="dxa"/>
          </w:tcPr>
          <w:p w14:paraId="5ED16359" w14:textId="77777777" w:rsidR="00966818" w:rsidRPr="008F36B5" w:rsidRDefault="00966818" w:rsidP="00D47D46">
            <w:pPr>
              <w:contextualSpacing/>
              <w:jc w:val="center"/>
            </w:pPr>
            <w:r>
              <w:t>Not applicable/ other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21DD3E1A" w14:textId="77777777" w:rsidR="00966818" w:rsidRPr="008F36B5" w:rsidRDefault="00966818" w:rsidP="00D47D46">
            <w:pPr>
              <w:contextualSpacing/>
              <w:jc w:val="center"/>
            </w:pPr>
            <w:r w:rsidRPr="008F36B5">
              <w:t>10% (3/31)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</w:tcBorders>
          </w:tcPr>
          <w:p w14:paraId="3FA42D15" w14:textId="77777777" w:rsidR="00966818" w:rsidRPr="008F36B5" w:rsidRDefault="00966818" w:rsidP="00D47D46">
            <w:pPr>
              <w:contextualSpacing/>
              <w:jc w:val="center"/>
            </w:pPr>
            <w:r>
              <w:t>4</w:t>
            </w:r>
            <w:r w:rsidRPr="008F36B5">
              <w:t>% (2/49)</w:t>
            </w:r>
          </w:p>
        </w:tc>
      </w:tr>
      <w:tr w:rsidR="00966818" w:rsidRPr="008F36B5" w14:paraId="48656C88" w14:textId="77777777" w:rsidTr="00D47D46">
        <w:trPr>
          <w:trHeight w:val="298"/>
        </w:trPr>
        <w:tc>
          <w:tcPr>
            <w:tcW w:w="9209" w:type="dxa"/>
            <w:gridSpan w:val="5"/>
          </w:tcPr>
          <w:p w14:paraId="10953D82" w14:textId="77777777" w:rsidR="00966818" w:rsidRDefault="00966818" w:rsidP="00D47D46">
            <w:pPr>
              <w:contextualSpacing/>
            </w:pPr>
            <w:r w:rsidRPr="008F36B5">
              <w:rPr>
                <w:b/>
              </w:rPr>
              <w:t>1</w:t>
            </w:r>
            <w:r w:rsidRPr="008F36B5">
              <w:rPr>
                <w:b/>
                <w:vertAlign w:val="superscript"/>
              </w:rPr>
              <w:t>st</w:t>
            </w:r>
            <w:r w:rsidRPr="008F36B5">
              <w:rPr>
                <w:b/>
              </w:rPr>
              <w:t xml:space="preserve"> line intravenous antibiotic if required</w:t>
            </w:r>
          </w:p>
        </w:tc>
      </w:tr>
      <w:tr w:rsidR="00966818" w:rsidRPr="008F36B5" w14:paraId="6487151A" w14:textId="77777777" w:rsidTr="0022584F">
        <w:trPr>
          <w:trHeight w:val="119"/>
        </w:trPr>
        <w:tc>
          <w:tcPr>
            <w:tcW w:w="2122" w:type="dxa"/>
          </w:tcPr>
          <w:p w14:paraId="7601821B" w14:textId="77777777" w:rsidR="00966818" w:rsidRDefault="00966818" w:rsidP="00D47D46">
            <w:pPr>
              <w:jc w:val="center"/>
              <w:rPr>
                <w:b/>
              </w:rPr>
            </w:pPr>
            <w:r w:rsidRPr="008F36B5">
              <w:t>Ceftriaxone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32E94ACF" w14:textId="77777777" w:rsidR="00966818" w:rsidRPr="008F36B5" w:rsidRDefault="00966818" w:rsidP="00D47D46">
            <w:pPr>
              <w:jc w:val="center"/>
            </w:pPr>
            <w:r w:rsidRPr="008F36B5">
              <w:t xml:space="preserve">55% (17/31) 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</w:tcBorders>
          </w:tcPr>
          <w:p w14:paraId="3AE7AA8F" w14:textId="77777777" w:rsidR="00966818" w:rsidRPr="00B95165" w:rsidRDefault="00966818" w:rsidP="00D47D46">
            <w:pPr>
              <w:jc w:val="center"/>
            </w:pPr>
            <w:r w:rsidRPr="008F36B5">
              <w:t xml:space="preserve">51% (25/49) </w:t>
            </w:r>
          </w:p>
        </w:tc>
      </w:tr>
      <w:tr w:rsidR="00966818" w:rsidRPr="008F36B5" w14:paraId="7EA29B54" w14:textId="77777777" w:rsidTr="0022584F">
        <w:trPr>
          <w:trHeight w:val="294"/>
        </w:trPr>
        <w:tc>
          <w:tcPr>
            <w:tcW w:w="2122" w:type="dxa"/>
          </w:tcPr>
          <w:p w14:paraId="2D416887" w14:textId="77777777" w:rsidR="00966818" w:rsidRDefault="00966818" w:rsidP="00D47D46">
            <w:pPr>
              <w:jc w:val="center"/>
              <w:rPr>
                <w:b/>
              </w:rPr>
            </w:pPr>
            <w:r w:rsidRPr="008F36B5">
              <w:t>Co</w:t>
            </w:r>
            <w:r>
              <w:t>-</w:t>
            </w:r>
            <w:r w:rsidRPr="008F36B5">
              <w:t>amoxiclav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4153D3F7" w14:textId="77777777" w:rsidR="00966818" w:rsidRPr="008F36B5" w:rsidRDefault="00966818" w:rsidP="00D47D46">
            <w:pPr>
              <w:jc w:val="center"/>
            </w:pPr>
            <w:r w:rsidRPr="008F36B5">
              <w:t>29% (9/31)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</w:tcBorders>
          </w:tcPr>
          <w:p w14:paraId="47F78B2A" w14:textId="77777777" w:rsidR="00966818" w:rsidRPr="008F36B5" w:rsidRDefault="00966818" w:rsidP="00D47D46">
            <w:pPr>
              <w:jc w:val="center"/>
            </w:pPr>
            <w:r w:rsidRPr="008F36B5">
              <w:t>39% (19/49)</w:t>
            </w:r>
          </w:p>
        </w:tc>
      </w:tr>
      <w:tr w:rsidR="00966818" w:rsidRPr="008F36B5" w14:paraId="418651D4" w14:textId="77777777" w:rsidTr="0022584F">
        <w:trPr>
          <w:trHeight w:val="303"/>
        </w:trPr>
        <w:tc>
          <w:tcPr>
            <w:tcW w:w="2122" w:type="dxa"/>
          </w:tcPr>
          <w:p w14:paraId="3F2DD3E3" w14:textId="77777777" w:rsidR="00966818" w:rsidRDefault="00966818" w:rsidP="00D47D46">
            <w:pPr>
              <w:jc w:val="center"/>
              <w:rPr>
                <w:b/>
              </w:rPr>
            </w:pPr>
            <w:r w:rsidRPr="008F36B5">
              <w:t>Cefotaxime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5C26745E" w14:textId="77777777" w:rsidR="00966818" w:rsidRPr="008F36B5" w:rsidRDefault="00966818" w:rsidP="00D47D46">
            <w:pPr>
              <w:jc w:val="center"/>
            </w:pPr>
            <w:r w:rsidRPr="008F36B5">
              <w:t>13% (4/31)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</w:tcBorders>
          </w:tcPr>
          <w:p w14:paraId="4A4B303C" w14:textId="77777777" w:rsidR="00966818" w:rsidRPr="008F36B5" w:rsidRDefault="00966818" w:rsidP="00D47D46">
            <w:pPr>
              <w:jc w:val="center"/>
            </w:pPr>
            <w:r w:rsidRPr="008F36B5">
              <w:t>6% (3/49)</w:t>
            </w:r>
          </w:p>
        </w:tc>
      </w:tr>
      <w:tr w:rsidR="00966818" w:rsidRPr="008F36B5" w14:paraId="3919C9F5" w14:textId="77777777" w:rsidTr="0022584F">
        <w:trPr>
          <w:trHeight w:val="325"/>
        </w:trPr>
        <w:tc>
          <w:tcPr>
            <w:tcW w:w="2122" w:type="dxa"/>
          </w:tcPr>
          <w:p w14:paraId="58FDF84C" w14:textId="77777777" w:rsidR="00966818" w:rsidRDefault="00966818" w:rsidP="00D47D46">
            <w:pPr>
              <w:jc w:val="center"/>
              <w:rPr>
                <w:b/>
              </w:rPr>
            </w:pPr>
            <w:r w:rsidRPr="008F36B5">
              <w:t>Cefuroxime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222B63FD" w14:textId="77777777" w:rsidR="00966818" w:rsidRPr="008F36B5" w:rsidRDefault="00966818" w:rsidP="00D47D46">
            <w:pPr>
              <w:jc w:val="center"/>
            </w:pPr>
            <w:r w:rsidRPr="008F36B5">
              <w:t>3% (1/31)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</w:tcBorders>
          </w:tcPr>
          <w:p w14:paraId="75A7955B" w14:textId="77777777" w:rsidR="00966818" w:rsidRPr="008F36B5" w:rsidRDefault="00966818" w:rsidP="00D47D46">
            <w:pPr>
              <w:jc w:val="center"/>
            </w:pPr>
            <w:r w:rsidRPr="008F36B5">
              <w:t>2% (1/49)</w:t>
            </w:r>
          </w:p>
        </w:tc>
      </w:tr>
      <w:tr w:rsidR="00966818" w:rsidRPr="008F36B5" w14:paraId="0940BEA6" w14:textId="77777777" w:rsidTr="0022584F">
        <w:trPr>
          <w:trHeight w:val="191"/>
        </w:trPr>
        <w:tc>
          <w:tcPr>
            <w:tcW w:w="2122" w:type="dxa"/>
          </w:tcPr>
          <w:p w14:paraId="2D658642" w14:textId="77777777" w:rsidR="00966818" w:rsidRDefault="00966818" w:rsidP="00D47D46">
            <w:pPr>
              <w:jc w:val="center"/>
              <w:rPr>
                <w:b/>
              </w:rPr>
            </w:pPr>
            <w:r w:rsidRPr="008F36B5">
              <w:t>Unknown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2ADC6C0B" w14:textId="77777777" w:rsidR="00966818" w:rsidRPr="008F36B5" w:rsidRDefault="00966818" w:rsidP="00D47D46">
            <w:pPr>
              <w:jc w:val="center"/>
            </w:pPr>
            <w:r>
              <w:t>*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</w:tcBorders>
          </w:tcPr>
          <w:p w14:paraId="6529A235" w14:textId="77777777" w:rsidR="00966818" w:rsidRPr="008F36B5" w:rsidRDefault="00966818" w:rsidP="00D47D46">
            <w:pPr>
              <w:jc w:val="center"/>
            </w:pPr>
            <w:r w:rsidRPr="008F36B5">
              <w:t>2% (1/49)</w:t>
            </w:r>
          </w:p>
        </w:tc>
      </w:tr>
      <w:tr w:rsidR="00966818" w:rsidRPr="008F36B5" w14:paraId="5C2BF16F" w14:textId="77777777" w:rsidTr="00D47D46">
        <w:trPr>
          <w:trHeight w:val="297"/>
        </w:trPr>
        <w:tc>
          <w:tcPr>
            <w:tcW w:w="9209" w:type="dxa"/>
            <w:gridSpan w:val="5"/>
          </w:tcPr>
          <w:p w14:paraId="13DE8F4B" w14:textId="77777777" w:rsidR="00966818" w:rsidRPr="008F36B5" w:rsidRDefault="00966818" w:rsidP="00D47D46">
            <w:r w:rsidRPr="008F36B5">
              <w:rPr>
                <w:b/>
              </w:rPr>
              <w:t>Additional antimicrobial advised first line in addition to 3</w:t>
            </w:r>
            <w:r w:rsidRPr="008F36B5">
              <w:rPr>
                <w:b/>
                <w:vertAlign w:val="superscript"/>
              </w:rPr>
              <w:t>rd</w:t>
            </w:r>
            <w:r w:rsidRPr="008F36B5">
              <w:rPr>
                <w:b/>
              </w:rPr>
              <w:t xml:space="preserve"> generation cephalosporin</w:t>
            </w:r>
          </w:p>
        </w:tc>
      </w:tr>
      <w:tr w:rsidR="00966818" w:rsidRPr="008F36B5" w14:paraId="71629C55" w14:textId="77777777" w:rsidTr="0022584F">
        <w:trPr>
          <w:trHeight w:val="327"/>
        </w:trPr>
        <w:tc>
          <w:tcPr>
            <w:tcW w:w="2122" w:type="dxa"/>
          </w:tcPr>
          <w:p w14:paraId="1CDA0A37" w14:textId="77777777" w:rsidR="00966818" w:rsidRDefault="00966818" w:rsidP="00D47D46">
            <w:pPr>
              <w:jc w:val="center"/>
              <w:rPr>
                <w:b/>
              </w:rPr>
            </w:pPr>
            <w:r w:rsidRPr="008F36B5">
              <w:t>Metronidazole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73C6A01E" w14:textId="77777777" w:rsidR="00966818" w:rsidRPr="008F36B5" w:rsidRDefault="00966818" w:rsidP="00D47D46">
            <w:pPr>
              <w:jc w:val="center"/>
            </w:pPr>
            <w:r w:rsidRPr="008F36B5">
              <w:t>29% (9/31)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</w:tcBorders>
          </w:tcPr>
          <w:p w14:paraId="25F98B52" w14:textId="77777777" w:rsidR="00966818" w:rsidRPr="00B95165" w:rsidRDefault="00966818" w:rsidP="00D47D46">
            <w:pPr>
              <w:jc w:val="center"/>
            </w:pPr>
            <w:r w:rsidRPr="008F36B5">
              <w:t xml:space="preserve">24% </w:t>
            </w:r>
            <w:r w:rsidRPr="008F36B5">
              <w:rPr>
                <w:color w:val="000000" w:themeColor="text1"/>
              </w:rPr>
              <w:t>(12/49)</w:t>
            </w:r>
          </w:p>
        </w:tc>
      </w:tr>
      <w:tr w:rsidR="00966818" w:rsidRPr="008F36B5" w14:paraId="4DB2E3DF" w14:textId="77777777" w:rsidTr="0022584F">
        <w:trPr>
          <w:trHeight w:val="419"/>
        </w:trPr>
        <w:tc>
          <w:tcPr>
            <w:tcW w:w="2122" w:type="dxa"/>
          </w:tcPr>
          <w:p w14:paraId="6F145705" w14:textId="77777777" w:rsidR="00966818" w:rsidRDefault="00966818" w:rsidP="00D47D46">
            <w:pPr>
              <w:jc w:val="center"/>
              <w:rPr>
                <w:b/>
              </w:rPr>
            </w:pPr>
            <w:r w:rsidRPr="008F36B5">
              <w:t>Flucloxacillin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7A5B5B9D" w14:textId="77777777" w:rsidR="00966818" w:rsidRPr="008F36B5" w:rsidRDefault="00966818" w:rsidP="00D47D46">
            <w:pPr>
              <w:jc w:val="center"/>
            </w:pPr>
            <w:r w:rsidRPr="008F36B5">
              <w:t>19% (6/31)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</w:tcBorders>
          </w:tcPr>
          <w:p w14:paraId="1DD69F88" w14:textId="77777777" w:rsidR="00966818" w:rsidRPr="008F36B5" w:rsidRDefault="00966818" w:rsidP="00D47D46">
            <w:pPr>
              <w:jc w:val="center"/>
            </w:pPr>
            <w:r w:rsidRPr="008F36B5">
              <w:t>18% (9/49)</w:t>
            </w:r>
          </w:p>
        </w:tc>
      </w:tr>
      <w:tr w:rsidR="00966818" w:rsidRPr="008F36B5" w14:paraId="484215D3" w14:textId="77777777" w:rsidTr="00D47D46">
        <w:trPr>
          <w:trHeight w:val="419"/>
        </w:trPr>
        <w:tc>
          <w:tcPr>
            <w:tcW w:w="9209" w:type="dxa"/>
            <w:gridSpan w:val="5"/>
          </w:tcPr>
          <w:p w14:paraId="62DCB614" w14:textId="77777777" w:rsidR="00966818" w:rsidRPr="008F36B5" w:rsidRDefault="00966818" w:rsidP="00D47D46">
            <w:r w:rsidRPr="008F36B5">
              <w:rPr>
                <w:b/>
              </w:rPr>
              <w:t>Recommended minimum duration before changing to oral antibiotics (days)</w:t>
            </w:r>
          </w:p>
        </w:tc>
      </w:tr>
      <w:tr w:rsidR="00966818" w:rsidRPr="008F36B5" w14:paraId="3F13D608" w14:textId="77777777" w:rsidTr="0022584F">
        <w:trPr>
          <w:trHeight w:val="347"/>
        </w:trPr>
        <w:tc>
          <w:tcPr>
            <w:tcW w:w="2122" w:type="dxa"/>
          </w:tcPr>
          <w:p w14:paraId="2A4C2375" w14:textId="77777777" w:rsidR="00966818" w:rsidRDefault="00966818" w:rsidP="00D47D46">
            <w:pPr>
              <w:jc w:val="center"/>
              <w:rPr>
                <w:b/>
              </w:rPr>
            </w:pPr>
            <w:r w:rsidRPr="008F36B5">
              <w:t>24 hours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45F9173F" w14:textId="77777777" w:rsidR="00966818" w:rsidRPr="008F36B5" w:rsidRDefault="00966818" w:rsidP="00D47D46">
            <w:pPr>
              <w:jc w:val="center"/>
            </w:pPr>
            <w:r w:rsidRPr="008F36B5">
              <w:t>6% (2/31)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</w:tcBorders>
          </w:tcPr>
          <w:p w14:paraId="7FFD9A42" w14:textId="77777777" w:rsidR="00966818" w:rsidRPr="00B95165" w:rsidRDefault="00966818" w:rsidP="00D47D46">
            <w:pPr>
              <w:jc w:val="center"/>
            </w:pPr>
            <w:r w:rsidRPr="008F36B5">
              <w:t>31% (15/49)</w:t>
            </w:r>
          </w:p>
        </w:tc>
      </w:tr>
      <w:tr w:rsidR="00966818" w:rsidRPr="008F36B5" w14:paraId="3D7D4DB8" w14:textId="77777777" w:rsidTr="0022584F">
        <w:trPr>
          <w:trHeight w:val="281"/>
        </w:trPr>
        <w:tc>
          <w:tcPr>
            <w:tcW w:w="2122" w:type="dxa"/>
          </w:tcPr>
          <w:p w14:paraId="7706B4B7" w14:textId="77777777" w:rsidR="00966818" w:rsidRDefault="00966818" w:rsidP="00D47D46">
            <w:pPr>
              <w:jc w:val="center"/>
              <w:rPr>
                <w:b/>
              </w:rPr>
            </w:pPr>
            <w:r w:rsidRPr="008F36B5">
              <w:t>48 hours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574FB914" w14:textId="77777777" w:rsidR="00966818" w:rsidRPr="008F36B5" w:rsidRDefault="00966818" w:rsidP="00D47D46">
            <w:pPr>
              <w:jc w:val="center"/>
            </w:pPr>
            <w:r w:rsidRPr="008F36B5">
              <w:t xml:space="preserve">16% </w:t>
            </w:r>
            <w:r>
              <w:t>(</w:t>
            </w:r>
            <w:r w:rsidRPr="008F36B5">
              <w:t>5/31)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</w:tcBorders>
          </w:tcPr>
          <w:p w14:paraId="287C23FC" w14:textId="77777777" w:rsidR="00966818" w:rsidRPr="008F36B5" w:rsidRDefault="00966818" w:rsidP="00D47D46">
            <w:pPr>
              <w:jc w:val="center"/>
            </w:pPr>
            <w:r w:rsidRPr="008F36B5">
              <w:t>35% (17/49)</w:t>
            </w:r>
          </w:p>
        </w:tc>
      </w:tr>
      <w:tr w:rsidR="00966818" w:rsidRPr="008F36B5" w14:paraId="788F28AE" w14:textId="77777777" w:rsidTr="0022584F">
        <w:trPr>
          <w:trHeight w:val="271"/>
        </w:trPr>
        <w:tc>
          <w:tcPr>
            <w:tcW w:w="2122" w:type="dxa"/>
          </w:tcPr>
          <w:p w14:paraId="0B1B5726" w14:textId="77777777" w:rsidR="00966818" w:rsidRPr="008F36B5" w:rsidRDefault="00966818" w:rsidP="00D47D46">
            <w:pPr>
              <w:jc w:val="center"/>
            </w:pPr>
            <w:r w:rsidRPr="008F36B5">
              <w:t>&gt;7 days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32EB1556" w14:textId="77777777" w:rsidR="00966818" w:rsidRPr="008F36B5" w:rsidRDefault="00966818" w:rsidP="00D47D46">
            <w:pPr>
              <w:jc w:val="center"/>
            </w:pPr>
            <w:r>
              <w:t>0%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</w:tcBorders>
          </w:tcPr>
          <w:p w14:paraId="7F9E577C" w14:textId="77777777" w:rsidR="00966818" w:rsidRPr="008F36B5" w:rsidRDefault="00966818" w:rsidP="00D47D46">
            <w:pPr>
              <w:jc w:val="center"/>
            </w:pPr>
            <w:r w:rsidRPr="008F36B5">
              <w:t>2% (1/49)</w:t>
            </w:r>
          </w:p>
        </w:tc>
      </w:tr>
      <w:tr w:rsidR="00966818" w:rsidRPr="008F36B5" w14:paraId="290E8521" w14:textId="77777777" w:rsidTr="0022584F">
        <w:trPr>
          <w:trHeight w:val="275"/>
        </w:trPr>
        <w:tc>
          <w:tcPr>
            <w:tcW w:w="2122" w:type="dxa"/>
          </w:tcPr>
          <w:p w14:paraId="27188623" w14:textId="77777777" w:rsidR="00966818" w:rsidRPr="008F36B5" w:rsidRDefault="00966818" w:rsidP="00D47D46">
            <w:pPr>
              <w:jc w:val="center"/>
            </w:pPr>
            <w:r>
              <w:t>Other</w:t>
            </w: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72DEA7FB" w14:textId="77777777" w:rsidR="00966818" w:rsidRDefault="00966818" w:rsidP="00D47D46">
            <w:pPr>
              <w:jc w:val="center"/>
            </w:pPr>
            <w:r>
              <w:t>24% (7/31)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</w:tcBorders>
          </w:tcPr>
          <w:p w14:paraId="62DF3C05" w14:textId="77777777" w:rsidR="00966818" w:rsidRPr="008F36B5" w:rsidRDefault="00966818" w:rsidP="00D47D46">
            <w:pPr>
              <w:jc w:val="center"/>
            </w:pPr>
            <w:r>
              <w:t>36% (18/49)</w:t>
            </w:r>
          </w:p>
        </w:tc>
      </w:tr>
      <w:tr w:rsidR="00966818" w:rsidRPr="008F36B5" w14:paraId="18DD3BD6" w14:textId="77777777" w:rsidTr="0022584F">
        <w:trPr>
          <w:trHeight w:val="278"/>
        </w:trPr>
        <w:tc>
          <w:tcPr>
            <w:tcW w:w="2122" w:type="dxa"/>
            <w:tcBorders>
              <w:bottom w:val="single" w:sz="8" w:space="0" w:color="auto"/>
            </w:tcBorders>
          </w:tcPr>
          <w:p w14:paraId="2D15F963" w14:textId="77777777" w:rsidR="00966818" w:rsidRDefault="00966818" w:rsidP="00D47D46">
            <w:pPr>
              <w:jc w:val="center"/>
            </w:pPr>
            <w:r>
              <w:t>Not Stated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24" w:space="0" w:color="auto"/>
            </w:tcBorders>
          </w:tcPr>
          <w:p w14:paraId="3F0D1FDC" w14:textId="77777777" w:rsidR="00966818" w:rsidRDefault="00966818" w:rsidP="00D47D46">
            <w:pPr>
              <w:jc w:val="center"/>
            </w:pPr>
            <w:r w:rsidRPr="008F36B5">
              <w:t>55% (17/31)</w:t>
            </w:r>
          </w:p>
        </w:tc>
        <w:tc>
          <w:tcPr>
            <w:tcW w:w="3685" w:type="dxa"/>
            <w:gridSpan w:val="3"/>
            <w:tcBorders>
              <w:left w:val="single" w:sz="24" w:space="0" w:color="auto"/>
              <w:bottom w:val="nil"/>
            </w:tcBorders>
          </w:tcPr>
          <w:p w14:paraId="758C0D0A" w14:textId="77777777" w:rsidR="00966818" w:rsidRPr="008F36B5" w:rsidRDefault="00966818" w:rsidP="00D47D46">
            <w:pPr>
              <w:jc w:val="center"/>
            </w:pPr>
          </w:p>
        </w:tc>
      </w:tr>
    </w:tbl>
    <w:p w14:paraId="7B49D125" w14:textId="5888A9DF" w:rsidR="00234B41" w:rsidRPr="00E50A3A" w:rsidRDefault="00966818" w:rsidP="00AA748F">
      <w:pPr>
        <w:rPr>
          <w:bCs/>
        </w:rPr>
        <w:sectPr w:rsidR="00234B41" w:rsidRPr="00E50A3A" w:rsidSect="00FC5F09">
          <w:footerReference w:type="even" r:id="rId30"/>
          <w:footerReference w:type="default" r:id="rId31"/>
          <w:pgSz w:w="11900" w:h="16840"/>
          <w:pgMar w:top="1440" w:right="1127" w:bottom="1440" w:left="1800" w:header="708" w:footer="708" w:gutter="0"/>
          <w:cols w:space="708"/>
          <w:docGrid w:linePitch="326"/>
        </w:sectPr>
      </w:pPr>
      <w:r w:rsidRPr="008F36B5">
        <w:t>*In table refers to data not available</w:t>
      </w:r>
      <w:r>
        <w:t>.</w:t>
      </w:r>
      <w:r w:rsidR="00E50A3A">
        <w:t xml:space="preserve">  </w:t>
      </w:r>
      <w:r w:rsidR="00E50A3A">
        <w:rPr>
          <w:sz w:val="20"/>
          <w:szCs w:val="20"/>
        </w:rPr>
        <w:t>†</w:t>
      </w:r>
      <w:r w:rsidR="00E50A3A" w:rsidRPr="00E50A3A">
        <w:rPr>
          <w:bCs/>
          <w:sz w:val="20"/>
          <w:szCs w:val="20"/>
        </w:rPr>
        <w:t xml:space="preserve"> </w:t>
      </w:r>
      <w:r w:rsidR="00E50A3A" w:rsidRPr="0022584F">
        <w:rPr>
          <w:bCs/>
        </w:rPr>
        <w:t>Specified for severe disease</w:t>
      </w:r>
    </w:p>
    <w:p w14:paraId="7030D953" w14:textId="77777777" w:rsidR="00234B41" w:rsidRPr="00B10EBB" w:rsidRDefault="00234B41" w:rsidP="00234B41">
      <w:pPr>
        <w:rPr>
          <w:b/>
          <w:bCs/>
          <w:color w:val="000000" w:themeColor="text1"/>
        </w:rPr>
      </w:pPr>
      <w:r w:rsidRPr="00B10EBB">
        <w:rPr>
          <w:b/>
          <w:bCs/>
          <w:color w:val="000000" w:themeColor="text1"/>
        </w:rPr>
        <w:lastRenderedPageBreak/>
        <w:t xml:space="preserve">Table 2. A. Survey responses to case vignettes. B. Management indicated by clinical variables 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6516"/>
        <w:gridCol w:w="425"/>
        <w:gridCol w:w="567"/>
        <w:gridCol w:w="709"/>
        <w:gridCol w:w="567"/>
        <w:gridCol w:w="709"/>
        <w:gridCol w:w="567"/>
        <w:gridCol w:w="567"/>
        <w:gridCol w:w="283"/>
        <w:gridCol w:w="284"/>
        <w:gridCol w:w="567"/>
        <w:gridCol w:w="567"/>
        <w:gridCol w:w="1235"/>
        <w:gridCol w:w="1316"/>
      </w:tblGrid>
      <w:tr w:rsidR="00234B41" w:rsidRPr="00AD26A9" w14:paraId="475F479E" w14:textId="77777777" w:rsidTr="00D47D46">
        <w:trPr>
          <w:trHeight w:val="219"/>
        </w:trPr>
        <w:tc>
          <w:tcPr>
            <w:tcW w:w="14879" w:type="dxa"/>
            <w:gridSpan w:val="14"/>
            <w:tcBorders>
              <w:top w:val="thinThickSmallGap" w:sz="24" w:space="0" w:color="auto"/>
            </w:tcBorders>
          </w:tcPr>
          <w:p w14:paraId="1D0E444F" w14:textId="77777777" w:rsidR="00234B41" w:rsidRPr="00B10EBB" w:rsidRDefault="00234B41" w:rsidP="00234B41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eastAsiaTheme="minorEastAsia"/>
                <w:sz w:val="22"/>
                <w:szCs w:val="22"/>
                <w:lang w:val="en-US"/>
              </w:rPr>
            </w:pPr>
            <w:r w:rsidRPr="00B10EBB">
              <w:rPr>
                <w:rFonts w:eastAsiaTheme="minorEastAsia"/>
                <w:b/>
                <w:sz w:val="22"/>
                <w:szCs w:val="22"/>
                <w:lang w:val="en-US"/>
              </w:rPr>
              <w:t>Case Vignettes</w:t>
            </w:r>
          </w:p>
        </w:tc>
      </w:tr>
      <w:tr w:rsidR="00234B41" w:rsidRPr="00AD26A9" w14:paraId="0E642CEF" w14:textId="77777777" w:rsidTr="00D47D46">
        <w:tc>
          <w:tcPr>
            <w:tcW w:w="6516" w:type="dxa"/>
          </w:tcPr>
          <w:p w14:paraId="2D4B45BA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b/>
                <w:sz w:val="22"/>
                <w:szCs w:val="22"/>
              </w:rPr>
              <w:t>Case</w:t>
            </w:r>
          </w:p>
        </w:tc>
        <w:tc>
          <w:tcPr>
            <w:tcW w:w="4394" w:type="dxa"/>
            <w:gridSpan w:val="8"/>
          </w:tcPr>
          <w:p w14:paraId="3BBEB56E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b/>
                <w:sz w:val="22"/>
                <w:szCs w:val="22"/>
              </w:rPr>
              <w:t>Antibiotic Therapy</w:t>
            </w:r>
          </w:p>
        </w:tc>
        <w:tc>
          <w:tcPr>
            <w:tcW w:w="3969" w:type="dxa"/>
            <w:gridSpan w:val="5"/>
          </w:tcPr>
          <w:p w14:paraId="1E431408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b/>
                <w:sz w:val="22"/>
                <w:szCs w:val="22"/>
              </w:rPr>
              <w:t>Disposition</w:t>
            </w:r>
          </w:p>
        </w:tc>
      </w:tr>
      <w:tr w:rsidR="00234B41" w:rsidRPr="00AD26A9" w14:paraId="5534A155" w14:textId="77777777" w:rsidTr="00D47D46">
        <w:tc>
          <w:tcPr>
            <w:tcW w:w="6516" w:type="dxa"/>
          </w:tcPr>
          <w:p w14:paraId="341C7EE1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443C3E1A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b/>
                <w:sz w:val="22"/>
                <w:szCs w:val="22"/>
              </w:rPr>
              <w:t>None</w:t>
            </w:r>
          </w:p>
        </w:tc>
        <w:tc>
          <w:tcPr>
            <w:tcW w:w="1276" w:type="dxa"/>
            <w:gridSpan w:val="2"/>
          </w:tcPr>
          <w:p w14:paraId="56274668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b/>
                <w:sz w:val="22"/>
                <w:szCs w:val="22"/>
              </w:rPr>
              <w:t>Oral</w:t>
            </w:r>
          </w:p>
        </w:tc>
        <w:tc>
          <w:tcPr>
            <w:tcW w:w="1417" w:type="dxa"/>
            <w:gridSpan w:val="3"/>
          </w:tcPr>
          <w:p w14:paraId="3BC4F141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AD26A9">
              <w:rPr>
                <w:b/>
                <w:sz w:val="22"/>
                <w:szCs w:val="22"/>
              </w:rPr>
              <w:t>IV</w:t>
            </w:r>
            <w:r w:rsidRPr="00AD26A9">
              <w:rPr>
                <w:b/>
                <w:sz w:val="22"/>
                <w:szCs w:val="22"/>
                <w:vertAlign w:val="superscript"/>
              </w:rPr>
              <w:t>~</w:t>
            </w:r>
          </w:p>
        </w:tc>
        <w:tc>
          <w:tcPr>
            <w:tcW w:w="1418" w:type="dxa"/>
            <w:gridSpan w:val="3"/>
          </w:tcPr>
          <w:p w14:paraId="0D680C8E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b/>
                <w:sz w:val="22"/>
                <w:szCs w:val="22"/>
              </w:rPr>
              <w:t>Admit</w:t>
            </w:r>
          </w:p>
        </w:tc>
        <w:tc>
          <w:tcPr>
            <w:tcW w:w="1235" w:type="dxa"/>
          </w:tcPr>
          <w:p w14:paraId="6BB65111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AD26A9">
              <w:rPr>
                <w:b/>
                <w:sz w:val="22"/>
                <w:szCs w:val="22"/>
              </w:rPr>
              <w:t>Discharge with f/u</w:t>
            </w:r>
            <w:r w:rsidRPr="00AD26A9">
              <w:rPr>
                <w:b/>
                <w:sz w:val="22"/>
                <w:szCs w:val="22"/>
                <w:vertAlign w:val="superscript"/>
              </w:rPr>
              <w:t>~</w:t>
            </w:r>
          </w:p>
        </w:tc>
        <w:tc>
          <w:tcPr>
            <w:tcW w:w="1316" w:type="dxa"/>
          </w:tcPr>
          <w:p w14:paraId="4C50DCD4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b/>
                <w:sz w:val="22"/>
                <w:szCs w:val="22"/>
              </w:rPr>
              <w:t>Discharge without f/u</w:t>
            </w:r>
          </w:p>
        </w:tc>
      </w:tr>
      <w:tr w:rsidR="00234B41" w:rsidRPr="00AD26A9" w14:paraId="4441D42A" w14:textId="77777777" w:rsidTr="00D47D46">
        <w:tc>
          <w:tcPr>
            <w:tcW w:w="6516" w:type="dxa"/>
          </w:tcPr>
          <w:p w14:paraId="5F1E1E6E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b/>
                <w:i/>
                <w:sz w:val="22"/>
                <w:szCs w:val="22"/>
              </w:rPr>
              <w:t>Case 1: 4-year-old, systemically well, no visual disturbance, mild erythema of the lower lid only with no swelling.</w:t>
            </w:r>
          </w:p>
        </w:tc>
        <w:tc>
          <w:tcPr>
            <w:tcW w:w="1701" w:type="dxa"/>
            <w:gridSpan w:val="3"/>
          </w:tcPr>
          <w:p w14:paraId="21825906" w14:textId="77777777" w:rsidR="00234B41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22%</w:t>
            </w:r>
          </w:p>
          <w:p w14:paraId="209E06B6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(11/49)</w:t>
            </w:r>
          </w:p>
        </w:tc>
        <w:tc>
          <w:tcPr>
            <w:tcW w:w="1276" w:type="dxa"/>
            <w:gridSpan w:val="2"/>
          </w:tcPr>
          <w:p w14:paraId="69742B30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76% (37/49)</w:t>
            </w:r>
          </w:p>
        </w:tc>
        <w:tc>
          <w:tcPr>
            <w:tcW w:w="1417" w:type="dxa"/>
            <w:gridSpan w:val="3"/>
          </w:tcPr>
          <w:p w14:paraId="28A9BDAF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 xml:space="preserve">0%          </w:t>
            </w:r>
            <w:proofErr w:type="gramStart"/>
            <w:r w:rsidRPr="00AD26A9">
              <w:rPr>
                <w:sz w:val="22"/>
                <w:szCs w:val="22"/>
              </w:rPr>
              <w:t xml:space="preserve">   (</w:t>
            </w:r>
            <w:proofErr w:type="gramEnd"/>
            <w:r w:rsidRPr="00AD26A9">
              <w:rPr>
                <w:sz w:val="22"/>
                <w:szCs w:val="22"/>
              </w:rPr>
              <w:t>0)</w:t>
            </w:r>
          </w:p>
        </w:tc>
        <w:tc>
          <w:tcPr>
            <w:tcW w:w="1418" w:type="dxa"/>
            <w:gridSpan w:val="3"/>
          </w:tcPr>
          <w:p w14:paraId="12DEB5F9" w14:textId="77777777" w:rsidR="00234B41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4%</w:t>
            </w:r>
          </w:p>
          <w:p w14:paraId="04F7CB4E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(2/49)</w:t>
            </w:r>
          </w:p>
        </w:tc>
        <w:tc>
          <w:tcPr>
            <w:tcW w:w="1235" w:type="dxa"/>
          </w:tcPr>
          <w:p w14:paraId="313F2B81" w14:textId="77777777" w:rsidR="00234B41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55%</w:t>
            </w:r>
          </w:p>
          <w:p w14:paraId="5F74C83B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(27/49)</w:t>
            </w:r>
          </w:p>
        </w:tc>
        <w:tc>
          <w:tcPr>
            <w:tcW w:w="1316" w:type="dxa"/>
          </w:tcPr>
          <w:p w14:paraId="1E326D81" w14:textId="77777777" w:rsidR="00234B41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37%</w:t>
            </w:r>
          </w:p>
          <w:p w14:paraId="0F9FC130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(18/49)</w:t>
            </w:r>
          </w:p>
        </w:tc>
      </w:tr>
      <w:tr w:rsidR="00234B41" w:rsidRPr="00AD26A9" w14:paraId="7E53ABDF" w14:textId="77777777" w:rsidTr="00D47D46">
        <w:tc>
          <w:tcPr>
            <w:tcW w:w="6516" w:type="dxa"/>
          </w:tcPr>
          <w:p w14:paraId="1A1640B8" w14:textId="77777777" w:rsidR="00234B41" w:rsidRPr="00AD26A9" w:rsidRDefault="00234B41" w:rsidP="00D47D46">
            <w:pPr>
              <w:jc w:val="center"/>
              <w:rPr>
                <w:b/>
                <w:i/>
                <w:sz w:val="22"/>
                <w:szCs w:val="22"/>
              </w:rPr>
            </w:pPr>
            <w:r w:rsidRPr="00AD26A9">
              <w:rPr>
                <w:b/>
                <w:i/>
                <w:sz w:val="22"/>
                <w:szCs w:val="22"/>
              </w:rPr>
              <w:t>Case 2: More severe 2-year-old, very oedematous eye, clingy and unsettled, not febrile. No visual disturbance or ophthalmoplegia.</w:t>
            </w:r>
          </w:p>
        </w:tc>
        <w:tc>
          <w:tcPr>
            <w:tcW w:w="1701" w:type="dxa"/>
            <w:gridSpan w:val="3"/>
          </w:tcPr>
          <w:p w14:paraId="62BD80A0" w14:textId="77777777" w:rsidR="00234B41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0%</w:t>
            </w:r>
          </w:p>
          <w:p w14:paraId="1AFC534B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(0)</w:t>
            </w:r>
          </w:p>
        </w:tc>
        <w:tc>
          <w:tcPr>
            <w:tcW w:w="1276" w:type="dxa"/>
            <w:gridSpan w:val="2"/>
          </w:tcPr>
          <w:p w14:paraId="5D141D91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37% (18/49)</w:t>
            </w:r>
          </w:p>
        </w:tc>
        <w:tc>
          <w:tcPr>
            <w:tcW w:w="1417" w:type="dxa"/>
            <w:gridSpan w:val="3"/>
          </w:tcPr>
          <w:p w14:paraId="67BF1BCA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63% (31/49)</w:t>
            </w:r>
          </w:p>
        </w:tc>
        <w:tc>
          <w:tcPr>
            <w:tcW w:w="1418" w:type="dxa"/>
            <w:gridSpan w:val="3"/>
          </w:tcPr>
          <w:p w14:paraId="299A059A" w14:textId="77777777" w:rsidR="00234B41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 xml:space="preserve">72% </w:t>
            </w:r>
          </w:p>
          <w:p w14:paraId="14D5AA08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(35/49)</w:t>
            </w:r>
          </w:p>
        </w:tc>
        <w:tc>
          <w:tcPr>
            <w:tcW w:w="1235" w:type="dxa"/>
          </w:tcPr>
          <w:p w14:paraId="63E8BA83" w14:textId="77777777" w:rsidR="00234B41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20%</w:t>
            </w:r>
          </w:p>
          <w:p w14:paraId="724829F9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(10/49)</w:t>
            </w:r>
          </w:p>
        </w:tc>
        <w:tc>
          <w:tcPr>
            <w:tcW w:w="1316" w:type="dxa"/>
          </w:tcPr>
          <w:p w14:paraId="557F355C" w14:textId="77777777" w:rsidR="00234B41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6%</w:t>
            </w:r>
          </w:p>
          <w:p w14:paraId="0C2EE6A9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(3/49)</w:t>
            </w:r>
          </w:p>
        </w:tc>
      </w:tr>
      <w:tr w:rsidR="00234B41" w:rsidRPr="00AD26A9" w14:paraId="35D8C88D" w14:textId="77777777" w:rsidTr="00D47D46">
        <w:tc>
          <w:tcPr>
            <w:tcW w:w="6516" w:type="dxa"/>
          </w:tcPr>
          <w:p w14:paraId="6AF578FA" w14:textId="77777777" w:rsidR="00234B41" w:rsidRPr="00AD26A9" w:rsidRDefault="00234B41" w:rsidP="00D47D46">
            <w:pPr>
              <w:jc w:val="center"/>
              <w:rPr>
                <w:b/>
                <w:i/>
                <w:sz w:val="22"/>
                <w:szCs w:val="22"/>
              </w:rPr>
            </w:pPr>
            <w:r w:rsidRPr="00AD26A9">
              <w:rPr>
                <w:b/>
                <w:i/>
                <w:sz w:val="22"/>
                <w:szCs w:val="22"/>
              </w:rPr>
              <w:t>Case 3: Afebrile, systemically well, 6-year-old with moderate oedema and redness of the eye but no visual disturbance or other eye signs</w:t>
            </w:r>
          </w:p>
        </w:tc>
        <w:tc>
          <w:tcPr>
            <w:tcW w:w="1701" w:type="dxa"/>
            <w:gridSpan w:val="3"/>
          </w:tcPr>
          <w:p w14:paraId="662F0F78" w14:textId="77777777" w:rsidR="00234B41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 xml:space="preserve">6% </w:t>
            </w:r>
          </w:p>
          <w:p w14:paraId="36716A27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(3/49)</w:t>
            </w:r>
          </w:p>
        </w:tc>
        <w:tc>
          <w:tcPr>
            <w:tcW w:w="1276" w:type="dxa"/>
            <w:gridSpan w:val="2"/>
          </w:tcPr>
          <w:p w14:paraId="380221CD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72% (35/49)</w:t>
            </w:r>
          </w:p>
        </w:tc>
        <w:tc>
          <w:tcPr>
            <w:tcW w:w="1417" w:type="dxa"/>
            <w:gridSpan w:val="3"/>
          </w:tcPr>
          <w:p w14:paraId="44D781D3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22% (11/49)</w:t>
            </w:r>
          </w:p>
        </w:tc>
        <w:tc>
          <w:tcPr>
            <w:tcW w:w="1418" w:type="dxa"/>
            <w:gridSpan w:val="3"/>
          </w:tcPr>
          <w:p w14:paraId="1A9C5904" w14:textId="77777777" w:rsidR="00234B41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 xml:space="preserve">18% </w:t>
            </w:r>
          </w:p>
          <w:p w14:paraId="7B0FAE5D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(9/49)</w:t>
            </w:r>
          </w:p>
        </w:tc>
        <w:tc>
          <w:tcPr>
            <w:tcW w:w="1235" w:type="dxa"/>
          </w:tcPr>
          <w:p w14:paraId="23A123AB" w14:textId="77777777" w:rsidR="00234B41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65%</w:t>
            </w:r>
          </w:p>
          <w:p w14:paraId="77E21097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(32/49)</w:t>
            </w:r>
          </w:p>
        </w:tc>
        <w:tc>
          <w:tcPr>
            <w:tcW w:w="1316" w:type="dxa"/>
          </w:tcPr>
          <w:p w14:paraId="36A356E9" w14:textId="77777777" w:rsidR="00234B41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12%</w:t>
            </w:r>
          </w:p>
          <w:p w14:paraId="3349EB68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(6/49)</w:t>
            </w:r>
          </w:p>
        </w:tc>
      </w:tr>
      <w:tr w:rsidR="00234B41" w:rsidRPr="00AD26A9" w14:paraId="24B88091" w14:textId="77777777" w:rsidTr="00D47D46">
        <w:tc>
          <w:tcPr>
            <w:tcW w:w="6516" w:type="dxa"/>
            <w:tcBorders>
              <w:bottom w:val="thinThickSmallGap" w:sz="24" w:space="0" w:color="auto"/>
            </w:tcBorders>
          </w:tcPr>
          <w:p w14:paraId="5892A5E8" w14:textId="77777777" w:rsidR="00234B41" w:rsidRPr="00AD26A9" w:rsidRDefault="00234B41" w:rsidP="00D47D46">
            <w:pPr>
              <w:jc w:val="center"/>
              <w:rPr>
                <w:b/>
                <w:i/>
                <w:sz w:val="22"/>
                <w:szCs w:val="22"/>
              </w:rPr>
            </w:pPr>
            <w:r w:rsidRPr="00AD26A9">
              <w:rPr>
                <w:b/>
                <w:i/>
                <w:sz w:val="22"/>
                <w:szCs w:val="22"/>
              </w:rPr>
              <w:t>Case 4:</w:t>
            </w:r>
            <w:r w:rsidRPr="00AD26A9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S</w:t>
            </w:r>
            <w:r w:rsidRPr="00AD26A9">
              <w:rPr>
                <w:b/>
                <w:i/>
                <w:sz w:val="22"/>
                <w:szCs w:val="22"/>
              </w:rPr>
              <w:t xml:space="preserve">ystemically well, 6-year-old with moderate oedema and </w:t>
            </w:r>
            <w:r>
              <w:rPr>
                <w:b/>
                <w:i/>
                <w:sz w:val="22"/>
                <w:szCs w:val="22"/>
              </w:rPr>
              <w:t xml:space="preserve">eye </w:t>
            </w:r>
            <w:r w:rsidRPr="00AD26A9">
              <w:rPr>
                <w:b/>
                <w:i/>
                <w:sz w:val="22"/>
                <w:szCs w:val="22"/>
              </w:rPr>
              <w:t>redness, no visual disturbance or other eye signs</w:t>
            </w:r>
            <w:r w:rsidRPr="00AD26A9">
              <w:rPr>
                <w:sz w:val="22"/>
                <w:szCs w:val="22"/>
              </w:rPr>
              <w:t xml:space="preserve">, </w:t>
            </w:r>
            <w:r w:rsidRPr="00AD26A9">
              <w:rPr>
                <w:b/>
                <w:i/>
                <w:sz w:val="22"/>
                <w:szCs w:val="22"/>
              </w:rPr>
              <w:t>fever 38.0</w:t>
            </w:r>
            <w:r>
              <w:rPr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1701" w:type="dxa"/>
            <w:gridSpan w:val="3"/>
            <w:tcBorders>
              <w:bottom w:val="thinThickSmallGap" w:sz="24" w:space="0" w:color="auto"/>
            </w:tcBorders>
          </w:tcPr>
          <w:p w14:paraId="0CF3A993" w14:textId="77777777" w:rsidR="00234B41" w:rsidRDefault="00234B41" w:rsidP="00D47D46">
            <w:pPr>
              <w:jc w:val="center"/>
              <w:rPr>
                <w:bCs/>
                <w:sz w:val="22"/>
                <w:szCs w:val="22"/>
              </w:rPr>
            </w:pPr>
            <w:r w:rsidRPr="00AD26A9">
              <w:rPr>
                <w:bCs/>
                <w:sz w:val="22"/>
                <w:szCs w:val="22"/>
              </w:rPr>
              <w:t>0%</w:t>
            </w:r>
          </w:p>
          <w:p w14:paraId="7ABD1C47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bCs/>
                <w:sz w:val="22"/>
                <w:szCs w:val="22"/>
              </w:rPr>
              <w:t>(0)</w:t>
            </w: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14:paraId="43F2D29E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49% (24/49)</w:t>
            </w:r>
          </w:p>
        </w:tc>
        <w:tc>
          <w:tcPr>
            <w:tcW w:w="1417" w:type="dxa"/>
            <w:gridSpan w:val="3"/>
            <w:tcBorders>
              <w:bottom w:val="thinThickSmallGap" w:sz="24" w:space="0" w:color="auto"/>
            </w:tcBorders>
          </w:tcPr>
          <w:p w14:paraId="5586D6EE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51% (25/49)</w:t>
            </w:r>
          </w:p>
        </w:tc>
        <w:tc>
          <w:tcPr>
            <w:tcW w:w="1418" w:type="dxa"/>
            <w:gridSpan w:val="3"/>
            <w:tcBorders>
              <w:bottom w:val="thinThickSmallGap" w:sz="24" w:space="0" w:color="auto"/>
            </w:tcBorders>
          </w:tcPr>
          <w:p w14:paraId="30F05901" w14:textId="77777777" w:rsidR="00234B41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 xml:space="preserve">59% </w:t>
            </w:r>
          </w:p>
          <w:p w14:paraId="0F934E76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(29/49)</w:t>
            </w:r>
          </w:p>
        </w:tc>
        <w:tc>
          <w:tcPr>
            <w:tcW w:w="1235" w:type="dxa"/>
            <w:tcBorders>
              <w:bottom w:val="thinThickSmallGap" w:sz="24" w:space="0" w:color="auto"/>
            </w:tcBorders>
          </w:tcPr>
          <w:p w14:paraId="2135C934" w14:textId="77777777" w:rsidR="00234B41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35%</w:t>
            </w:r>
          </w:p>
          <w:p w14:paraId="27749C8B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(17/49)</w:t>
            </w:r>
          </w:p>
        </w:tc>
        <w:tc>
          <w:tcPr>
            <w:tcW w:w="1316" w:type="dxa"/>
            <w:tcBorders>
              <w:bottom w:val="thinThickSmallGap" w:sz="24" w:space="0" w:color="auto"/>
            </w:tcBorders>
          </w:tcPr>
          <w:p w14:paraId="3FA6535E" w14:textId="77777777" w:rsidR="00234B41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4%</w:t>
            </w:r>
          </w:p>
          <w:p w14:paraId="6AD912F0" w14:textId="77777777" w:rsidR="00234B41" w:rsidRPr="00AD26A9" w:rsidRDefault="00234B41" w:rsidP="00D47D46">
            <w:pPr>
              <w:jc w:val="center"/>
              <w:rPr>
                <w:b/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(2/49)</w:t>
            </w:r>
          </w:p>
        </w:tc>
      </w:tr>
      <w:tr w:rsidR="00234B41" w:rsidRPr="00AD26A9" w14:paraId="4C9BEC47" w14:textId="77777777" w:rsidTr="00D47D46">
        <w:tc>
          <w:tcPr>
            <w:tcW w:w="651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5290C6C" w14:textId="77777777" w:rsidR="00234B41" w:rsidRPr="00B10EBB" w:rsidRDefault="00234B41" w:rsidP="00234B41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14" w:hanging="357"/>
              <w:rPr>
                <w:rFonts w:eastAsiaTheme="minorEastAsia"/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</w:rPr>
              <w:t>Management indicated by clinical variables</w:t>
            </w:r>
          </w:p>
        </w:tc>
        <w:tc>
          <w:tcPr>
            <w:tcW w:w="5812" w:type="dxa"/>
            <w:gridSpan w:val="11"/>
            <w:tcBorders>
              <w:top w:val="thinThickSmallGap" w:sz="24" w:space="0" w:color="auto"/>
              <w:bottom w:val="single" w:sz="4" w:space="0" w:color="auto"/>
            </w:tcBorders>
          </w:tcPr>
          <w:p w14:paraId="22CE6B98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O</w:t>
            </w:r>
            <w:r w:rsidRPr="00AD26A9">
              <w:rPr>
                <w:sz w:val="22"/>
                <w:szCs w:val="22"/>
              </w:rPr>
              <w:t>f respondents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64027052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</w:p>
        </w:tc>
      </w:tr>
      <w:tr w:rsidR="00234B41" w:rsidRPr="00AD26A9" w14:paraId="7CE31945" w14:textId="77777777" w:rsidTr="00D47D46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14C44E9D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A08A950" w14:textId="77777777" w:rsidR="00234B41" w:rsidRPr="00AD26A9" w:rsidRDefault="00234B41" w:rsidP="00D47D46">
            <w:pPr>
              <w:jc w:val="center"/>
              <w:rPr>
                <w:b/>
                <w:bCs/>
                <w:sz w:val="22"/>
                <w:szCs w:val="22"/>
              </w:rPr>
            </w:pPr>
            <w:r w:rsidRPr="00AD26A9">
              <w:rPr>
                <w:b/>
                <w:bCs/>
                <w:sz w:val="22"/>
                <w:szCs w:val="22"/>
              </w:rPr>
              <w:t>Admission indicated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543874" w14:textId="77777777" w:rsidR="00234B41" w:rsidRPr="00AD26A9" w:rsidRDefault="00234B41" w:rsidP="00D47D46">
            <w:pPr>
              <w:jc w:val="center"/>
              <w:rPr>
                <w:b/>
                <w:bCs/>
                <w:sz w:val="22"/>
                <w:szCs w:val="22"/>
              </w:rPr>
            </w:pPr>
            <w:r w:rsidRPr="00AD26A9">
              <w:rPr>
                <w:b/>
                <w:bCs/>
                <w:sz w:val="22"/>
                <w:szCs w:val="22"/>
              </w:rPr>
              <w:t>CT indicated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3F06A48A" w14:textId="77777777" w:rsidR="00234B41" w:rsidRPr="00AD26A9" w:rsidRDefault="00234B41" w:rsidP="00D47D46">
            <w:pPr>
              <w:jc w:val="center"/>
              <w:rPr>
                <w:b/>
                <w:bCs/>
                <w:sz w:val="22"/>
                <w:szCs w:val="22"/>
              </w:rPr>
            </w:pPr>
            <w:r w:rsidRPr="00AD26A9">
              <w:rPr>
                <w:b/>
                <w:bCs/>
                <w:sz w:val="22"/>
                <w:szCs w:val="22"/>
              </w:rPr>
              <w:t>Blood test indicated</w:t>
            </w:r>
          </w:p>
        </w:tc>
      </w:tr>
      <w:tr w:rsidR="00234B41" w:rsidRPr="00AD26A9" w14:paraId="151BB9D8" w14:textId="77777777" w:rsidTr="00D47D46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2F4D75C9" w14:textId="77777777" w:rsidR="00234B41" w:rsidRPr="00AD26A9" w:rsidRDefault="00234B41" w:rsidP="00D47D46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Likert Scale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9AC7477" w14:textId="77777777" w:rsidR="00234B41" w:rsidRPr="00AD26A9" w:rsidRDefault="00234B41" w:rsidP="00D47D46">
            <w:pPr>
              <w:jc w:val="center"/>
              <w:rPr>
                <w:b/>
                <w:bCs/>
                <w:sz w:val="22"/>
                <w:szCs w:val="22"/>
              </w:rPr>
            </w:pPr>
            <w:r w:rsidRPr="00AD26A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FCC7E7" w14:textId="77777777" w:rsidR="00234B41" w:rsidRPr="00AD26A9" w:rsidRDefault="00234B41" w:rsidP="00D47D46">
            <w:pPr>
              <w:jc w:val="center"/>
              <w:rPr>
                <w:b/>
                <w:bCs/>
                <w:sz w:val="22"/>
                <w:szCs w:val="22"/>
              </w:rPr>
            </w:pPr>
            <w:r w:rsidRPr="00AD26A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8DDE7B" w14:textId="77777777" w:rsidR="00234B41" w:rsidRPr="00AD26A9" w:rsidRDefault="00234B41" w:rsidP="00D47D46">
            <w:pPr>
              <w:jc w:val="center"/>
              <w:rPr>
                <w:b/>
                <w:bCs/>
                <w:sz w:val="22"/>
                <w:szCs w:val="22"/>
              </w:rPr>
            </w:pPr>
            <w:r w:rsidRPr="00AD26A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9CEE5F" w14:textId="77777777" w:rsidR="00234B41" w:rsidRPr="00AD26A9" w:rsidRDefault="00234B41" w:rsidP="00D47D46">
            <w:pPr>
              <w:jc w:val="center"/>
              <w:rPr>
                <w:b/>
                <w:bCs/>
                <w:sz w:val="22"/>
                <w:szCs w:val="22"/>
              </w:rPr>
            </w:pPr>
            <w:r w:rsidRPr="00AD26A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14:paraId="17719C9D" w14:textId="77777777" w:rsidR="00234B41" w:rsidRPr="00AD26A9" w:rsidRDefault="00234B41" w:rsidP="00D47D46">
            <w:pPr>
              <w:jc w:val="center"/>
              <w:rPr>
                <w:b/>
                <w:bCs/>
                <w:sz w:val="22"/>
                <w:szCs w:val="22"/>
              </w:rPr>
            </w:pPr>
            <w:r w:rsidRPr="00AD26A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7C91EE4D" w14:textId="77777777" w:rsidR="00234B41" w:rsidRPr="00AD26A9" w:rsidRDefault="00234B41" w:rsidP="00D47D46">
            <w:pPr>
              <w:jc w:val="center"/>
              <w:rPr>
                <w:b/>
                <w:bCs/>
                <w:sz w:val="22"/>
                <w:szCs w:val="22"/>
              </w:rPr>
            </w:pPr>
            <w:r w:rsidRPr="00AD26A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6FF3D1" w14:textId="77777777" w:rsidR="00234B41" w:rsidRPr="00AD26A9" w:rsidRDefault="00234B41" w:rsidP="00D47D46">
            <w:pPr>
              <w:jc w:val="center"/>
              <w:rPr>
                <w:b/>
                <w:bCs/>
                <w:sz w:val="22"/>
                <w:szCs w:val="22"/>
              </w:rPr>
            </w:pPr>
            <w:r w:rsidRPr="00AD26A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94582" w14:textId="77777777" w:rsidR="00234B41" w:rsidRPr="00AD26A9" w:rsidRDefault="00234B41" w:rsidP="00D47D46">
            <w:pPr>
              <w:jc w:val="center"/>
              <w:rPr>
                <w:b/>
                <w:bCs/>
                <w:sz w:val="22"/>
                <w:szCs w:val="22"/>
              </w:rPr>
            </w:pPr>
            <w:r w:rsidRPr="00AD26A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1C68FD" w14:textId="77777777" w:rsidR="00234B41" w:rsidRPr="00AD26A9" w:rsidRDefault="00234B41" w:rsidP="00D47D46">
            <w:pPr>
              <w:jc w:val="center"/>
              <w:rPr>
                <w:b/>
                <w:bCs/>
                <w:sz w:val="22"/>
                <w:szCs w:val="22"/>
              </w:rPr>
            </w:pPr>
            <w:r w:rsidRPr="00AD26A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EF486CD" w14:textId="77777777" w:rsidR="00234B41" w:rsidRPr="00AD26A9" w:rsidRDefault="00234B41" w:rsidP="00D47D46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  <w:r w:rsidRPr="00AD26A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EF5" w14:textId="77777777" w:rsidR="00234B41" w:rsidRPr="00AD26A9" w:rsidRDefault="00234B41" w:rsidP="00D47D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4B41" w:rsidRPr="00AD26A9" w14:paraId="73C449C3" w14:textId="77777777" w:rsidTr="00D47D46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63B548F7" w14:textId="77777777" w:rsidR="00234B41" w:rsidRPr="00AD26A9" w:rsidRDefault="00234B41" w:rsidP="00D47D46">
            <w:pPr>
              <w:jc w:val="center"/>
              <w:rPr>
                <w:b/>
                <w:iCs/>
                <w:sz w:val="22"/>
                <w:szCs w:val="22"/>
              </w:rPr>
            </w:pPr>
            <w:r w:rsidRPr="00AD26A9">
              <w:rPr>
                <w:b/>
                <w:iCs/>
                <w:sz w:val="22"/>
                <w:szCs w:val="22"/>
              </w:rPr>
              <w:t xml:space="preserve">Young age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CBD2018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8515EE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A723CE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154F3B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98D6985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6115DA0C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5AEA2F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D6CF2A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D639AC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46F7D43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4253DE6" w14:textId="77777777" w:rsidR="00234B41" w:rsidRPr="00AD26A9" w:rsidRDefault="00234B41" w:rsidP="00D47D46">
            <w:pPr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AD26A9">
              <w:rPr>
                <w:sz w:val="22"/>
                <w:szCs w:val="22"/>
              </w:rPr>
              <w:t>24%</w:t>
            </w:r>
          </w:p>
        </w:tc>
      </w:tr>
      <w:tr w:rsidR="00234B41" w:rsidRPr="00AD26A9" w14:paraId="43FEE685" w14:textId="77777777" w:rsidTr="00D47D46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4C4EBA4C" w14:textId="77777777" w:rsidR="00234B41" w:rsidRPr="00AD26A9" w:rsidRDefault="00234B41" w:rsidP="00D47D46">
            <w:pPr>
              <w:jc w:val="center"/>
              <w:rPr>
                <w:b/>
                <w:iCs/>
                <w:sz w:val="22"/>
                <w:szCs w:val="22"/>
              </w:rPr>
            </w:pPr>
            <w:r w:rsidRPr="00AD26A9">
              <w:rPr>
                <w:b/>
                <w:iCs/>
                <w:sz w:val="22"/>
                <w:szCs w:val="22"/>
              </w:rPr>
              <w:t>Systemically unwell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34DC437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6D13D9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9F4992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D63970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2663789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66D3EF1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814518E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89A2A8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31DA6D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09567CF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6EBC2C5D" w14:textId="77777777" w:rsidR="00234B41" w:rsidRPr="00AD26A9" w:rsidRDefault="00234B41" w:rsidP="00D47D46">
            <w:pPr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AD26A9">
              <w:rPr>
                <w:sz w:val="22"/>
                <w:szCs w:val="22"/>
              </w:rPr>
              <w:t>86%</w:t>
            </w:r>
          </w:p>
        </w:tc>
      </w:tr>
      <w:tr w:rsidR="00234B41" w:rsidRPr="00AD26A9" w14:paraId="4B4B2C9F" w14:textId="77777777" w:rsidTr="00D47D46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24DE442D" w14:textId="77777777" w:rsidR="00234B41" w:rsidRPr="00AD26A9" w:rsidRDefault="00234B41" w:rsidP="00D47D46">
            <w:pPr>
              <w:jc w:val="center"/>
              <w:rPr>
                <w:b/>
                <w:iCs/>
                <w:sz w:val="22"/>
                <w:szCs w:val="22"/>
              </w:rPr>
            </w:pPr>
            <w:r w:rsidRPr="00AD26A9">
              <w:rPr>
                <w:b/>
                <w:iCs/>
                <w:sz w:val="22"/>
                <w:szCs w:val="22"/>
              </w:rPr>
              <w:t>Fever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DEA2D3D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D67486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40F9CC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BBB4AB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C0EC862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2E2A1D49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0B25083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C78701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933443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248D4C4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4F1748A8" w14:textId="77777777" w:rsidR="00234B41" w:rsidRPr="00AD26A9" w:rsidRDefault="00234B41" w:rsidP="00D47D46">
            <w:pPr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AD26A9">
              <w:rPr>
                <w:sz w:val="22"/>
                <w:szCs w:val="22"/>
              </w:rPr>
              <w:t>51%</w:t>
            </w:r>
          </w:p>
        </w:tc>
      </w:tr>
      <w:tr w:rsidR="00234B41" w:rsidRPr="00AD26A9" w14:paraId="529DD840" w14:textId="77777777" w:rsidTr="00D47D46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1DFBB691" w14:textId="77777777" w:rsidR="00234B41" w:rsidRPr="00AD26A9" w:rsidRDefault="00234B41" w:rsidP="00D47D46">
            <w:pPr>
              <w:jc w:val="center"/>
              <w:rPr>
                <w:b/>
                <w:iCs/>
                <w:sz w:val="22"/>
                <w:szCs w:val="22"/>
              </w:rPr>
            </w:pPr>
            <w:r w:rsidRPr="00AD26A9">
              <w:rPr>
                <w:b/>
                <w:iCs/>
                <w:sz w:val="22"/>
                <w:szCs w:val="22"/>
              </w:rPr>
              <w:t>Proptosis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C97943E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1EF7E0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180EB0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F84643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AC4764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53B9302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8378BD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BBA94D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5AC31E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1FC2F10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65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52A6587F" w14:textId="77777777" w:rsidR="00234B41" w:rsidRPr="00AD26A9" w:rsidRDefault="00234B41" w:rsidP="00D47D46">
            <w:pPr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AD26A9">
              <w:rPr>
                <w:sz w:val="22"/>
                <w:szCs w:val="22"/>
              </w:rPr>
              <w:t>65%</w:t>
            </w:r>
          </w:p>
        </w:tc>
      </w:tr>
      <w:tr w:rsidR="00234B41" w:rsidRPr="00AD26A9" w14:paraId="2FCA0CB7" w14:textId="77777777" w:rsidTr="00D47D46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0C7E0078" w14:textId="77777777" w:rsidR="00234B41" w:rsidRPr="00AD26A9" w:rsidRDefault="00234B41" w:rsidP="00D47D46">
            <w:pPr>
              <w:jc w:val="center"/>
              <w:rPr>
                <w:b/>
                <w:iCs/>
                <w:sz w:val="22"/>
                <w:szCs w:val="22"/>
              </w:rPr>
            </w:pPr>
            <w:r w:rsidRPr="00AD26A9">
              <w:rPr>
                <w:b/>
                <w:iCs/>
                <w:sz w:val="22"/>
                <w:szCs w:val="22"/>
              </w:rPr>
              <w:t>Ophthalmoplegia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8E4C0AD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C098D1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B38050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4E569A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65D2E1B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FBEABAF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CD254C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1CD4D1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1D014F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DC8140F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67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FB64D8E" w14:textId="77777777" w:rsidR="00234B41" w:rsidRPr="00AD26A9" w:rsidRDefault="00234B41" w:rsidP="00D47D46">
            <w:pPr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AD26A9">
              <w:rPr>
                <w:sz w:val="22"/>
                <w:szCs w:val="22"/>
              </w:rPr>
              <w:t>65%</w:t>
            </w:r>
          </w:p>
        </w:tc>
      </w:tr>
      <w:tr w:rsidR="00234B41" w:rsidRPr="00AD26A9" w14:paraId="4A96FDAA" w14:textId="77777777" w:rsidTr="00D47D46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755690EF" w14:textId="77777777" w:rsidR="00234B41" w:rsidRPr="00AD26A9" w:rsidRDefault="00234B41" w:rsidP="00D47D46">
            <w:pPr>
              <w:jc w:val="center"/>
              <w:rPr>
                <w:b/>
                <w:iCs/>
                <w:sz w:val="22"/>
                <w:szCs w:val="22"/>
              </w:rPr>
            </w:pPr>
            <w:r w:rsidRPr="00AD26A9">
              <w:rPr>
                <w:b/>
                <w:iCs/>
                <w:sz w:val="22"/>
                <w:szCs w:val="22"/>
              </w:rPr>
              <w:t>Chemosis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5031378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0E92C6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2187E6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6777D1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D6C711B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343BED07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0105AC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43996A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6129CA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A8CD94A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7878BA7B" w14:textId="77777777" w:rsidR="00234B41" w:rsidRPr="00AD26A9" w:rsidRDefault="00234B41" w:rsidP="00D47D46">
            <w:pPr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AD26A9">
              <w:rPr>
                <w:sz w:val="22"/>
                <w:szCs w:val="22"/>
              </w:rPr>
              <w:t>14%</w:t>
            </w:r>
          </w:p>
        </w:tc>
      </w:tr>
      <w:tr w:rsidR="00234B41" w:rsidRPr="00AD26A9" w14:paraId="26A1E7E2" w14:textId="77777777" w:rsidTr="00D47D46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1D8E3BB3" w14:textId="77777777" w:rsidR="00234B41" w:rsidRPr="00AD26A9" w:rsidRDefault="00234B41" w:rsidP="00D47D46">
            <w:pPr>
              <w:jc w:val="center"/>
              <w:rPr>
                <w:b/>
                <w:iCs/>
                <w:sz w:val="22"/>
                <w:szCs w:val="22"/>
              </w:rPr>
            </w:pPr>
            <w:r w:rsidRPr="00AD26A9">
              <w:rPr>
                <w:b/>
                <w:iCs/>
                <w:sz w:val="22"/>
                <w:szCs w:val="22"/>
              </w:rPr>
              <w:t>Conjunctival Injection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4950CCE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191F51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D3303A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EE1E0D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103B1AA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45C39189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B3193F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DC75FB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A6EDD4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DFEE170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461B769B" w14:textId="77777777" w:rsidR="00234B41" w:rsidRPr="00AD26A9" w:rsidRDefault="00234B41" w:rsidP="00D47D46">
            <w:pPr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AD26A9">
              <w:rPr>
                <w:sz w:val="22"/>
                <w:szCs w:val="22"/>
              </w:rPr>
              <w:t>10%</w:t>
            </w:r>
          </w:p>
        </w:tc>
      </w:tr>
      <w:tr w:rsidR="00234B41" w:rsidRPr="00AD26A9" w14:paraId="2160891C" w14:textId="77777777" w:rsidTr="00D47D46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2C499F32" w14:textId="77777777" w:rsidR="00234B41" w:rsidRPr="00AD26A9" w:rsidRDefault="00234B41" w:rsidP="00D47D46">
            <w:pPr>
              <w:jc w:val="center"/>
              <w:rPr>
                <w:b/>
                <w:iCs/>
                <w:sz w:val="22"/>
                <w:szCs w:val="22"/>
              </w:rPr>
            </w:pPr>
            <w:r w:rsidRPr="00AD26A9">
              <w:rPr>
                <w:b/>
                <w:iCs/>
                <w:sz w:val="22"/>
                <w:szCs w:val="22"/>
              </w:rPr>
              <w:t>Upper &amp; lower lid involvement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F6D0FB1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FFBA90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A5082C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373C01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E05B8CC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7C8F3A0E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B32406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79B43F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04CC52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71F544F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77F23177" w14:textId="77777777" w:rsidR="00234B41" w:rsidRPr="00AD26A9" w:rsidRDefault="00234B41" w:rsidP="00D47D46">
            <w:pPr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AD26A9">
              <w:rPr>
                <w:sz w:val="22"/>
                <w:szCs w:val="22"/>
              </w:rPr>
              <w:t>16%</w:t>
            </w:r>
          </w:p>
        </w:tc>
      </w:tr>
      <w:tr w:rsidR="00234B41" w:rsidRPr="00AD26A9" w14:paraId="60868595" w14:textId="77777777" w:rsidTr="00D47D46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0F78B9C9" w14:textId="77777777" w:rsidR="00234B41" w:rsidRPr="00AD26A9" w:rsidRDefault="00234B41" w:rsidP="00D47D46">
            <w:pPr>
              <w:jc w:val="center"/>
              <w:rPr>
                <w:b/>
                <w:iCs/>
                <w:sz w:val="22"/>
                <w:szCs w:val="22"/>
              </w:rPr>
            </w:pPr>
            <w:r w:rsidRPr="00AD26A9">
              <w:rPr>
                <w:b/>
                <w:iCs/>
                <w:sz w:val="22"/>
                <w:szCs w:val="22"/>
              </w:rPr>
              <w:t>Severity of erythema + oedema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57C19DB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F8A520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E389CC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2A5AC2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0E8A3DD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47E31187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244361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39CA30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0E6747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29D18CF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0FCDAD85" w14:textId="77777777" w:rsidR="00234B41" w:rsidRPr="00AD26A9" w:rsidRDefault="00234B41" w:rsidP="00D47D46">
            <w:pPr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AD26A9">
              <w:rPr>
                <w:sz w:val="22"/>
                <w:szCs w:val="22"/>
              </w:rPr>
              <w:t>43%</w:t>
            </w:r>
          </w:p>
        </w:tc>
      </w:tr>
      <w:tr w:rsidR="00234B41" w:rsidRPr="00AD26A9" w14:paraId="7F0F5E6C" w14:textId="77777777" w:rsidTr="00D47D46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23BF7CCC" w14:textId="77777777" w:rsidR="00234B41" w:rsidRPr="00AD26A9" w:rsidRDefault="00234B41" w:rsidP="00D47D46">
            <w:pPr>
              <w:jc w:val="center"/>
              <w:rPr>
                <w:b/>
                <w:iCs/>
                <w:sz w:val="22"/>
                <w:szCs w:val="22"/>
              </w:rPr>
            </w:pPr>
            <w:r w:rsidRPr="00AD26A9">
              <w:rPr>
                <w:b/>
                <w:iCs/>
                <w:sz w:val="22"/>
                <w:szCs w:val="22"/>
              </w:rPr>
              <w:t>Tenderness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4236585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FA56C3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DF6091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885977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7DD0C50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662E29FC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0D88FC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4CD641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C469FC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622B162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7BFB9EFE" w14:textId="77777777" w:rsidR="00234B41" w:rsidRPr="00AD26A9" w:rsidRDefault="00234B41" w:rsidP="00D47D46">
            <w:pPr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AD26A9">
              <w:rPr>
                <w:sz w:val="22"/>
                <w:szCs w:val="22"/>
              </w:rPr>
              <w:t>20%</w:t>
            </w:r>
          </w:p>
        </w:tc>
      </w:tr>
      <w:tr w:rsidR="00234B41" w:rsidRPr="00AD26A9" w14:paraId="1A4A56BB" w14:textId="77777777" w:rsidTr="00D47D46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0BA641A9" w14:textId="77777777" w:rsidR="00234B41" w:rsidRPr="00AD26A9" w:rsidRDefault="00234B41" w:rsidP="00D47D46">
            <w:pPr>
              <w:jc w:val="center"/>
              <w:rPr>
                <w:b/>
                <w:iCs/>
                <w:sz w:val="22"/>
                <w:szCs w:val="22"/>
              </w:rPr>
            </w:pPr>
            <w:r w:rsidRPr="00AD26A9">
              <w:rPr>
                <w:b/>
                <w:iCs/>
                <w:sz w:val="22"/>
                <w:szCs w:val="22"/>
              </w:rPr>
              <w:t>Inability to examine eye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4319D95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76FE8B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101B26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EE5600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6605A2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60F2E434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297C40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908988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F8D78F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37268C9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572AA6B5" w14:textId="77777777" w:rsidR="00234B41" w:rsidRPr="00AD26A9" w:rsidRDefault="00234B41" w:rsidP="00D47D46">
            <w:pPr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AD26A9">
              <w:rPr>
                <w:sz w:val="22"/>
                <w:szCs w:val="22"/>
              </w:rPr>
              <w:t>49%</w:t>
            </w:r>
          </w:p>
        </w:tc>
      </w:tr>
      <w:tr w:rsidR="00234B41" w:rsidRPr="00AD26A9" w14:paraId="13C22EE6" w14:textId="77777777" w:rsidTr="00D47D46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30EE09C5" w14:textId="77777777" w:rsidR="00234B41" w:rsidRPr="00AD26A9" w:rsidRDefault="00234B41" w:rsidP="00D47D46">
            <w:pPr>
              <w:jc w:val="center"/>
              <w:rPr>
                <w:b/>
                <w:iCs/>
                <w:sz w:val="22"/>
                <w:szCs w:val="22"/>
              </w:rPr>
            </w:pPr>
            <w:r w:rsidRPr="00AD26A9">
              <w:rPr>
                <w:b/>
                <w:iCs/>
                <w:sz w:val="22"/>
                <w:szCs w:val="22"/>
              </w:rPr>
              <w:t>Pain on eye movement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6F98922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0EAA88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B0DA54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B4A7D4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797254B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4C7E6757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4F5E2E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CE1EE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D42B6C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9929E68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39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8D3E343" w14:textId="77777777" w:rsidR="00234B41" w:rsidRPr="00AD26A9" w:rsidRDefault="00234B41" w:rsidP="00D47D46">
            <w:pPr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AD26A9">
              <w:rPr>
                <w:sz w:val="22"/>
                <w:szCs w:val="22"/>
              </w:rPr>
              <w:t>63%</w:t>
            </w:r>
          </w:p>
        </w:tc>
      </w:tr>
      <w:tr w:rsidR="00234B41" w:rsidRPr="00AD26A9" w14:paraId="2DC8F64A" w14:textId="77777777" w:rsidTr="00D47D46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1B8DF1D1" w14:textId="77777777" w:rsidR="00234B41" w:rsidRPr="00AD26A9" w:rsidRDefault="00234B41" w:rsidP="00D47D46">
            <w:pPr>
              <w:jc w:val="center"/>
              <w:rPr>
                <w:b/>
                <w:iCs/>
                <w:sz w:val="22"/>
                <w:szCs w:val="22"/>
              </w:rPr>
            </w:pPr>
            <w:r w:rsidRPr="00AD26A9">
              <w:rPr>
                <w:b/>
                <w:iCs/>
                <w:sz w:val="22"/>
                <w:szCs w:val="22"/>
              </w:rPr>
              <w:t>Speed of spread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F82A49C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F1CBAA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1F0E2C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6FB0E2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5E1B487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ED78480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02D3BA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16D60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4DB772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0835367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0923643C" w14:textId="77777777" w:rsidR="00234B41" w:rsidRPr="00AD26A9" w:rsidRDefault="00234B41" w:rsidP="00D47D46">
            <w:pPr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AD26A9">
              <w:rPr>
                <w:sz w:val="22"/>
                <w:szCs w:val="22"/>
              </w:rPr>
              <w:t>52%</w:t>
            </w:r>
          </w:p>
        </w:tc>
      </w:tr>
      <w:tr w:rsidR="00234B41" w:rsidRPr="00AD26A9" w14:paraId="2531B8C6" w14:textId="77777777" w:rsidTr="00D47D46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119D39F8" w14:textId="77777777" w:rsidR="00234B41" w:rsidRPr="00AD26A9" w:rsidRDefault="00234B41" w:rsidP="00D47D46">
            <w:pPr>
              <w:jc w:val="center"/>
              <w:rPr>
                <w:b/>
                <w:iCs/>
                <w:sz w:val="22"/>
                <w:szCs w:val="22"/>
              </w:rPr>
            </w:pPr>
            <w:r w:rsidRPr="00AD26A9">
              <w:rPr>
                <w:b/>
                <w:iCs/>
                <w:sz w:val="22"/>
                <w:szCs w:val="22"/>
              </w:rPr>
              <w:t>Failure to tolerate oral antibiotics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7C5A4B3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4C5D6A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A8850D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04F986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5E54D30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46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CF1D87" w14:textId="77777777" w:rsidR="00234B41" w:rsidRPr="00AD26A9" w:rsidRDefault="00234B41" w:rsidP="00D47D46">
            <w:pPr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AD26A9">
              <w:rPr>
                <w:sz w:val="22"/>
                <w:szCs w:val="22"/>
              </w:rPr>
              <w:t>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CAC9DE2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*</w:t>
            </w:r>
          </w:p>
        </w:tc>
      </w:tr>
      <w:tr w:rsidR="00234B41" w:rsidRPr="00AD26A9" w14:paraId="0DE3D571" w14:textId="77777777" w:rsidTr="00D47D46">
        <w:trPr>
          <w:trHeight w:val="83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7F8A5D51" w14:textId="77777777" w:rsidR="00234B41" w:rsidRPr="00AD26A9" w:rsidRDefault="00234B41" w:rsidP="00D47D46">
            <w:pPr>
              <w:jc w:val="center"/>
              <w:rPr>
                <w:b/>
                <w:iCs/>
                <w:sz w:val="22"/>
                <w:szCs w:val="22"/>
              </w:rPr>
            </w:pPr>
            <w:r w:rsidRPr="00AD26A9">
              <w:rPr>
                <w:b/>
                <w:iCs/>
                <w:sz w:val="22"/>
                <w:szCs w:val="22"/>
              </w:rPr>
              <w:t>Failure of oral antibiotics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A2AE103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072234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B8174E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62F32F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A1848D7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74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F0FC2" w14:textId="77777777" w:rsidR="00234B41" w:rsidRPr="00AD26A9" w:rsidRDefault="00234B41" w:rsidP="00D47D46">
            <w:pPr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AD26A9">
              <w:rPr>
                <w:sz w:val="22"/>
                <w:szCs w:val="22"/>
              </w:rPr>
              <w:t>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6FC7366" w14:textId="77777777" w:rsidR="00234B41" w:rsidRPr="00AD26A9" w:rsidRDefault="00234B41" w:rsidP="00D47D46">
            <w:pPr>
              <w:jc w:val="center"/>
              <w:rPr>
                <w:sz w:val="22"/>
                <w:szCs w:val="22"/>
              </w:rPr>
            </w:pPr>
            <w:r w:rsidRPr="00AD26A9">
              <w:rPr>
                <w:sz w:val="22"/>
                <w:szCs w:val="22"/>
              </w:rPr>
              <w:t>*</w:t>
            </w:r>
          </w:p>
        </w:tc>
      </w:tr>
    </w:tbl>
    <w:p w14:paraId="78800B2B" w14:textId="77777777" w:rsidR="00234B41" w:rsidRPr="002A4366" w:rsidRDefault="00234B41" w:rsidP="00234B41">
      <w:pPr>
        <w:rPr>
          <w:sz w:val="20"/>
          <w:szCs w:val="20"/>
        </w:rPr>
      </w:pPr>
      <w:r w:rsidRPr="002A4366">
        <w:rPr>
          <w:sz w:val="20"/>
          <w:szCs w:val="20"/>
        </w:rPr>
        <w:t>*In table refers to data not available</w:t>
      </w:r>
      <w:r>
        <w:rPr>
          <w:sz w:val="20"/>
          <w:szCs w:val="20"/>
        </w:rPr>
        <w:t xml:space="preserve">. </w:t>
      </w:r>
      <w:r w:rsidRPr="002A4366">
        <w:rPr>
          <w:sz w:val="20"/>
          <w:szCs w:val="20"/>
        </w:rPr>
        <w:t>~ f/u = follow-up</w:t>
      </w:r>
      <w:r>
        <w:rPr>
          <w:sz w:val="20"/>
          <w:szCs w:val="20"/>
        </w:rPr>
        <w:t xml:space="preserve">. </w:t>
      </w:r>
      <w:r w:rsidRPr="002A4366">
        <w:rPr>
          <w:b/>
          <w:sz w:val="20"/>
          <w:szCs w:val="20"/>
        </w:rPr>
        <w:t>Likert scale</w:t>
      </w:r>
      <w:r w:rsidRPr="002A4366">
        <w:rPr>
          <w:sz w:val="20"/>
          <w:szCs w:val="20"/>
        </w:rPr>
        <w:t xml:space="preserve"> 1 = Never, 2 = Rarely 3 = Sometimes, 4 = Frequently, 5 = Always</w:t>
      </w:r>
    </w:p>
    <w:p w14:paraId="45C78E2F" w14:textId="1BF1597D" w:rsidR="00400C46" w:rsidRPr="00510141" w:rsidRDefault="00400C46" w:rsidP="006C4682">
      <w:pPr>
        <w:spacing w:line="480" w:lineRule="auto"/>
      </w:pPr>
    </w:p>
    <w:sectPr w:rsidR="00400C46" w:rsidRPr="00510141" w:rsidSect="0022584F">
      <w:pgSz w:w="16840" w:h="11900" w:orient="landscape"/>
      <w:pgMar w:top="1127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180D" w14:textId="77777777" w:rsidR="00D06C85" w:rsidRDefault="00D06C85" w:rsidP="00ED1D59">
      <w:r>
        <w:separator/>
      </w:r>
    </w:p>
  </w:endnote>
  <w:endnote w:type="continuationSeparator" w:id="0">
    <w:p w14:paraId="75A7C18F" w14:textId="77777777" w:rsidR="00D06C85" w:rsidRDefault="00D06C85" w:rsidP="00ED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AD45" w14:textId="77777777" w:rsidR="00320613" w:rsidRDefault="00320613" w:rsidP="004724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72DCC" w14:textId="77777777" w:rsidR="00320613" w:rsidRDefault="00320613" w:rsidP="009E78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C46" w14:textId="5532F607" w:rsidR="00320613" w:rsidRDefault="00320613" w:rsidP="004724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C46">
      <w:rPr>
        <w:rStyle w:val="PageNumber"/>
        <w:noProof/>
      </w:rPr>
      <w:t>8</w:t>
    </w:r>
    <w:r>
      <w:rPr>
        <w:rStyle w:val="PageNumber"/>
      </w:rPr>
      <w:fldChar w:fldCharType="end"/>
    </w:r>
  </w:p>
  <w:p w14:paraId="3EECE138" w14:textId="77777777" w:rsidR="00320613" w:rsidRDefault="00320613" w:rsidP="009E78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1A29" w14:textId="77777777" w:rsidR="00D06C85" w:rsidRDefault="00D06C85" w:rsidP="00ED1D59">
      <w:r>
        <w:separator/>
      </w:r>
    </w:p>
  </w:footnote>
  <w:footnote w:type="continuationSeparator" w:id="0">
    <w:p w14:paraId="461A7A03" w14:textId="77777777" w:rsidR="00D06C85" w:rsidRDefault="00D06C85" w:rsidP="00ED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4077"/>
    <w:multiLevelType w:val="multilevel"/>
    <w:tmpl w:val="CE4E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B6C4B"/>
    <w:multiLevelType w:val="hybridMultilevel"/>
    <w:tmpl w:val="83BE7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6FC5"/>
    <w:multiLevelType w:val="hybridMultilevel"/>
    <w:tmpl w:val="15DAD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1409"/>
    <w:multiLevelType w:val="multilevel"/>
    <w:tmpl w:val="A0B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76CE1"/>
    <w:multiLevelType w:val="hybridMultilevel"/>
    <w:tmpl w:val="5B0C4D8A"/>
    <w:lvl w:ilvl="0" w:tplc="7F9053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159AF"/>
    <w:multiLevelType w:val="hybridMultilevel"/>
    <w:tmpl w:val="1EA6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C3B54"/>
    <w:multiLevelType w:val="hybridMultilevel"/>
    <w:tmpl w:val="A016D468"/>
    <w:lvl w:ilvl="0" w:tplc="702E1D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E5746"/>
    <w:multiLevelType w:val="multilevel"/>
    <w:tmpl w:val="BE8E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D3058F"/>
    <w:multiLevelType w:val="hybridMultilevel"/>
    <w:tmpl w:val="AEA45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37913"/>
    <w:multiLevelType w:val="hybridMultilevel"/>
    <w:tmpl w:val="DB641F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58"/>
    <w:rsid w:val="000054D3"/>
    <w:rsid w:val="000078A5"/>
    <w:rsid w:val="00011007"/>
    <w:rsid w:val="00012929"/>
    <w:rsid w:val="000201BE"/>
    <w:rsid w:val="00023A97"/>
    <w:rsid w:val="00030656"/>
    <w:rsid w:val="000311CB"/>
    <w:rsid w:val="0003682E"/>
    <w:rsid w:val="000516D1"/>
    <w:rsid w:val="00052B61"/>
    <w:rsid w:val="00054C4F"/>
    <w:rsid w:val="0005580A"/>
    <w:rsid w:val="00091AC0"/>
    <w:rsid w:val="00093D01"/>
    <w:rsid w:val="00097A91"/>
    <w:rsid w:val="000A5056"/>
    <w:rsid w:val="000A7DA3"/>
    <w:rsid w:val="000B1986"/>
    <w:rsid w:val="000C11BE"/>
    <w:rsid w:val="000D07AD"/>
    <w:rsid w:val="000E709A"/>
    <w:rsid w:val="000F1251"/>
    <w:rsid w:val="000F7CBA"/>
    <w:rsid w:val="001019A2"/>
    <w:rsid w:val="0010263B"/>
    <w:rsid w:val="00104F10"/>
    <w:rsid w:val="00107175"/>
    <w:rsid w:val="0011191E"/>
    <w:rsid w:val="00124021"/>
    <w:rsid w:val="0012556A"/>
    <w:rsid w:val="001326DD"/>
    <w:rsid w:val="00137692"/>
    <w:rsid w:val="0014640A"/>
    <w:rsid w:val="00154783"/>
    <w:rsid w:val="00175071"/>
    <w:rsid w:val="00187AC3"/>
    <w:rsid w:val="00190F26"/>
    <w:rsid w:val="001A0250"/>
    <w:rsid w:val="001A2713"/>
    <w:rsid w:val="001A71A0"/>
    <w:rsid w:val="001B5C47"/>
    <w:rsid w:val="001D1B47"/>
    <w:rsid w:val="001E1D30"/>
    <w:rsid w:val="001F5458"/>
    <w:rsid w:val="001F68F8"/>
    <w:rsid w:val="0020226D"/>
    <w:rsid w:val="0020464F"/>
    <w:rsid w:val="00220D54"/>
    <w:rsid w:val="0022584F"/>
    <w:rsid w:val="0022637F"/>
    <w:rsid w:val="00226E89"/>
    <w:rsid w:val="00234B41"/>
    <w:rsid w:val="00234CD0"/>
    <w:rsid w:val="00236A41"/>
    <w:rsid w:val="0025130D"/>
    <w:rsid w:val="0026423D"/>
    <w:rsid w:val="00266B83"/>
    <w:rsid w:val="002B217B"/>
    <w:rsid w:val="002B463A"/>
    <w:rsid w:val="002B798B"/>
    <w:rsid w:val="002C606D"/>
    <w:rsid w:val="002E0941"/>
    <w:rsid w:val="002E73D1"/>
    <w:rsid w:val="00302368"/>
    <w:rsid w:val="00313838"/>
    <w:rsid w:val="0031500A"/>
    <w:rsid w:val="00317287"/>
    <w:rsid w:val="00320613"/>
    <w:rsid w:val="00321CC2"/>
    <w:rsid w:val="00343C4C"/>
    <w:rsid w:val="00355CDE"/>
    <w:rsid w:val="00355F0C"/>
    <w:rsid w:val="003747E9"/>
    <w:rsid w:val="003A1B59"/>
    <w:rsid w:val="003B3341"/>
    <w:rsid w:val="003C1B6E"/>
    <w:rsid w:val="003C3637"/>
    <w:rsid w:val="003C6890"/>
    <w:rsid w:val="003D2070"/>
    <w:rsid w:val="003D2B0E"/>
    <w:rsid w:val="003D2BD9"/>
    <w:rsid w:val="003E6975"/>
    <w:rsid w:val="003F1404"/>
    <w:rsid w:val="003F456F"/>
    <w:rsid w:val="00400C46"/>
    <w:rsid w:val="00410AF5"/>
    <w:rsid w:val="00426D68"/>
    <w:rsid w:val="00443062"/>
    <w:rsid w:val="00462EB9"/>
    <w:rsid w:val="0046544B"/>
    <w:rsid w:val="00472457"/>
    <w:rsid w:val="00481937"/>
    <w:rsid w:val="00491237"/>
    <w:rsid w:val="0049705A"/>
    <w:rsid w:val="004A35C9"/>
    <w:rsid w:val="004A4F42"/>
    <w:rsid w:val="004C2C13"/>
    <w:rsid w:val="004D3F89"/>
    <w:rsid w:val="004E0493"/>
    <w:rsid w:val="004E1EE5"/>
    <w:rsid w:val="004E62A4"/>
    <w:rsid w:val="004E78B9"/>
    <w:rsid w:val="004F3CEB"/>
    <w:rsid w:val="00502128"/>
    <w:rsid w:val="00510141"/>
    <w:rsid w:val="005212BF"/>
    <w:rsid w:val="005349F0"/>
    <w:rsid w:val="00537210"/>
    <w:rsid w:val="00554D0F"/>
    <w:rsid w:val="00556DF4"/>
    <w:rsid w:val="00563B5C"/>
    <w:rsid w:val="00566633"/>
    <w:rsid w:val="00570D2D"/>
    <w:rsid w:val="0057100B"/>
    <w:rsid w:val="005776CF"/>
    <w:rsid w:val="00582DDD"/>
    <w:rsid w:val="005918F9"/>
    <w:rsid w:val="005A6243"/>
    <w:rsid w:val="005B291B"/>
    <w:rsid w:val="005C59BE"/>
    <w:rsid w:val="005C5DDF"/>
    <w:rsid w:val="005D110E"/>
    <w:rsid w:val="005F3811"/>
    <w:rsid w:val="006001CB"/>
    <w:rsid w:val="0061488B"/>
    <w:rsid w:val="00623824"/>
    <w:rsid w:val="00625CFF"/>
    <w:rsid w:val="00627587"/>
    <w:rsid w:val="006318C8"/>
    <w:rsid w:val="00640FB8"/>
    <w:rsid w:val="00657938"/>
    <w:rsid w:val="006641CD"/>
    <w:rsid w:val="006644F6"/>
    <w:rsid w:val="006A125C"/>
    <w:rsid w:val="006A6F59"/>
    <w:rsid w:val="006B3497"/>
    <w:rsid w:val="006B5C6D"/>
    <w:rsid w:val="006C1B99"/>
    <w:rsid w:val="006C4682"/>
    <w:rsid w:val="006D6D8F"/>
    <w:rsid w:val="006E5FEB"/>
    <w:rsid w:val="006F1476"/>
    <w:rsid w:val="006F73F7"/>
    <w:rsid w:val="00702289"/>
    <w:rsid w:val="00711DE9"/>
    <w:rsid w:val="00721BC8"/>
    <w:rsid w:val="00723ED7"/>
    <w:rsid w:val="00740E4B"/>
    <w:rsid w:val="007471ED"/>
    <w:rsid w:val="007524DD"/>
    <w:rsid w:val="00774B03"/>
    <w:rsid w:val="0078140F"/>
    <w:rsid w:val="007B063E"/>
    <w:rsid w:val="007B1281"/>
    <w:rsid w:val="007B525D"/>
    <w:rsid w:val="007C444B"/>
    <w:rsid w:val="007E3D57"/>
    <w:rsid w:val="007F043D"/>
    <w:rsid w:val="007F10B0"/>
    <w:rsid w:val="007F1F4C"/>
    <w:rsid w:val="007F422E"/>
    <w:rsid w:val="0080200D"/>
    <w:rsid w:val="0083416C"/>
    <w:rsid w:val="008504CA"/>
    <w:rsid w:val="0086169A"/>
    <w:rsid w:val="00891518"/>
    <w:rsid w:val="008916DF"/>
    <w:rsid w:val="0089754D"/>
    <w:rsid w:val="008A6F88"/>
    <w:rsid w:val="008B2DD7"/>
    <w:rsid w:val="008D219B"/>
    <w:rsid w:val="008E1E3B"/>
    <w:rsid w:val="008E6321"/>
    <w:rsid w:val="008F4945"/>
    <w:rsid w:val="00901391"/>
    <w:rsid w:val="009173E5"/>
    <w:rsid w:val="009224D2"/>
    <w:rsid w:val="00923375"/>
    <w:rsid w:val="00943B70"/>
    <w:rsid w:val="00946F67"/>
    <w:rsid w:val="0095663A"/>
    <w:rsid w:val="00966818"/>
    <w:rsid w:val="00974041"/>
    <w:rsid w:val="00974D7C"/>
    <w:rsid w:val="009A4CEC"/>
    <w:rsid w:val="009D73D8"/>
    <w:rsid w:val="009E094B"/>
    <w:rsid w:val="009E3013"/>
    <w:rsid w:val="009E47E7"/>
    <w:rsid w:val="009E5436"/>
    <w:rsid w:val="009E78DA"/>
    <w:rsid w:val="009F1D5C"/>
    <w:rsid w:val="009F51F7"/>
    <w:rsid w:val="00A002C2"/>
    <w:rsid w:val="00A15FA7"/>
    <w:rsid w:val="00A30ED8"/>
    <w:rsid w:val="00A313A6"/>
    <w:rsid w:val="00A323BA"/>
    <w:rsid w:val="00A42440"/>
    <w:rsid w:val="00A42905"/>
    <w:rsid w:val="00A6605F"/>
    <w:rsid w:val="00A67349"/>
    <w:rsid w:val="00A7762F"/>
    <w:rsid w:val="00A8170F"/>
    <w:rsid w:val="00A82AC7"/>
    <w:rsid w:val="00AA748F"/>
    <w:rsid w:val="00AB00DE"/>
    <w:rsid w:val="00AB74A6"/>
    <w:rsid w:val="00AC4204"/>
    <w:rsid w:val="00AD1581"/>
    <w:rsid w:val="00B1473B"/>
    <w:rsid w:val="00B174EC"/>
    <w:rsid w:val="00B61002"/>
    <w:rsid w:val="00B64D2A"/>
    <w:rsid w:val="00B6764B"/>
    <w:rsid w:val="00B7083B"/>
    <w:rsid w:val="00B71B64"/>
    <w:rsid w:val="00B72C72"/>
    <w:rsid w:val="00B72FFC"/>
    <w:rsid w:val="00B86769"/>
    <w:rsid w:val="00BA3C36"/>
    <w:rsid w:val="00BA764A"/>
    <w:rsid w:val="00BB0721"/>
    <w:rsid w:val="00BB52E0"/>
    <w:rsid w:val="00BD786B"/>
    <w:rsid w:val="00BE2213"/>
    <w:rsid w:val="00BE5D03"/>
    <w:rsid w:val="00C005D2"/>
    <w:rsid w:val="00C01BB2"/>
    <w:rsid w:val="00C03951"/>
    <w:rsid w:val="00C039A8"/>
    <w:rsid w:val="00C14D98"/>
    <w:rsid w:val="00C16CC2"/>
    <w:rsid w:val="00C215F4"/>
    <w:rsid w:val="00C32F9D"/>
    <w:rsid w:val="00C34130"/>
    <w:rsid w:val="00C50A3D"/>
    <w:rsid w:val="00C614A6"/>
    <w:rsid w:val="00C6712A"/>
    <w:rsid w:val="00C76D0A"/>
    <w:rsid w:val="00C81560"/>
    <w:rsid w:val="00C93087"/>
    <w:rsid w:val="00C95CB4"/>
    <w:rsid w:val="00CB1EBC"/>
    <w:rsid w:val="00CC0CBA"/>
    <w:rsid w:val="00CC3BF0"/>
    <w:rsid w:val="00CE6D9A"/>
    <w:rsid w:val="00CF43E0"/>
    <w:rsid w:val="00D02071"/>
    <w:rsid w:val="00D05445"/>
    <w:rsid w:val="00D06C85"/>
    <w:rsid w:val="00D22A42"/>
    <w:rsid w:val="00D24E7F"/>
    <w:rsid w:val="00D26332"/>
    <w:rsid w:val="00D40100"/>
    <w:rsid w:val="00D509DC"/>
    <w:rsid w:val="00D524AC"/>
    <w:rsid w:val="00D53C6C"/>
    <w:rsid w:val="00D659D5"/>
    <w:rsid w:val="00D81F44"/>
    <w:rsid w:val="00DA76D1"/>
    <w:rsid w:val="00DB7562"/>
    <w:rsid w:val="00DC464D"/>
    <w:rsid w:val="00DC5814"/>
    <w:rsid w:val="00DD1247"/>
    <w:rsid w:val="00DD364F"/>
    <w:rsid w:val="00DE449B"/>
    <w:rsid w:val="00DE5C47"/>
    <w:rsid w:val="00DF0FAA"/>
    <w:rsid w:val="00DF5076"/>
    <w:rsid w:val="00E135E2"/>
    <w:rsid w:val="00E17C7C"/>
    <w:rsid w:val="00E27455"/>
    <w:rsid w:val="00E32FCF"/>
    <w:rsid w:val="00E50A3A"/>
    <w:rsid w:val="00E522DA"/>
    <w:rsid w:val="00E63E46"/>
    <w:rsid w:val="00E658AC"/>
    <w:rsid w:val="00E81491"/>
    <w:rsid w:val="00E87722"/>
    <w:rsid w:val="00E91F8C"/>
    <w:rsid w:val="00E93E78"/>
    <w:rsid w:val="00EA3E5A"/>
    <w:rsid w:val="00EA3EB6"/>
    <w:rsid w:val="00EA43E4"/>
    <w:rsid w:val="00EA7FE6"/>
    <w:rsid w:val="00EB53D1"/>
    <w:rsid w:val="00EB72B4"/>
    <w:rsid w:val="00EC365D"/>
    <w:rsid w:val="00EC6557"/>
    <w:rsid w:val="00ED136B"/>
    <w:rsid w:val="00ED1D59"/>
    <w:rsid w:val="00ED1F35"/>
    <w:rsid w:val="00ED52D3"/>
    <w:rsid w:val="00EE2675"/>
    <w:rsid w:val="00F17A8D"/>
    <w:rsid w:val="00F25AEE"/>
    <w:rsid w:val="00F263B1"/>
    <w:rsid w:val="00F319AD"/>
    <w:rsid w:val="00F4173B"/>
    <w:rsid w:val="00F46191"/>
    <w:rsid w:val="00F475AB"/>
    <w:rsid w:val="00F514E3"/>
    <w:rsid w:val="00F66CFB"/>
    <w:rsid w:val="00F749DB"/>
    <w:rsid w:val="00F917BA"/>
    <w:rsid w:val="00F96490"/>
    <w:rsid w:val="00FA2C3D"/>
    <w:rsid w:val="00FA2CCD"/>
    <w:rsid w:val="00FA4427"/>
    <w:rsid w:val="00FA4E13"/>
    <w:rsid w:val="00FB227A"/>
    <w:rsid w:val="00FC010F"/>
    <w:rsid w:val="00FC10BF"/>
    <w:rsid w:val="00FC2223"/>
    <w:rsid w:val="00FC3586"/>
    <w:rsid w:val="00FC5F09"/>
    <w:rsid w:val="00FC6935"/>
    <w:rsid w:val="00FD5DB4"/>
    <w:rsid w:val="00FE38F6"/>
    <w:rsid w:val="00FE45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D5C4F"/>
  <w15:docId w15:val="{575E27B3-454A-CD44-9176-22262BCE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4DD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A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58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7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798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98B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98B"/>
    <w:rPr>
      <w:rFonts w:eastAsiaTheme="minorHAnsi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3A97"/>
    <w:pPr>
      <w:ind w:left="720"/>
      <w:contextualSpacing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23A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Revision">
    <w:name w:val="Revision"/>
    <w:hidden/>
    <w:uiPriority w:val="99"/>
    <w:semiHidden/>
    <w:rsid w:val="00623824"/>
    <w:rPr>
      <w:rFonts w:eastAsiaTheme="minorHAnsi"/>
      <w:sz w:val="22"/>
      <w:szCs w:val="22"/>
      <w:lang w:val="en-GB"/>
    </w:rPr>
  </w:style>
  <w:style w:type="paragraph" w:customStyle="1" w:styleId="contributor">
    <w:name w:val="contributor"/>
    <w:basedOn w:val="Normal"/>
    <w:rsid w:val="00C76D0A"/>
    <w:pPr>
      <w:spacing w:before="100" w:beforeAutospacing="1" w:after="100" w:afterAutospacing="1"/>
    </w:pPr>
  </w:style>
  <w:style w:type="character" w:customStyle="1" w:styleId="name">
    <w:name w:val="name"/>
    <w:basedOn w:val="DefaultParagraphFont"/>
    <w:rsid w:val="00C76D0A"/>
  </w:style>
  <w:style w:type="character" w:styleId="Hyperlink">
    <w:name w:val="Hyperlink"/>
    <w:basedOn w:val="DefaultParagraphFont"/>
    <w:uiPriority w:val="99"/>
    <w:unhideWhenUsed/>
    <w:rsid w:val="00C76D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6D0A"/>
  </w:style>
  <w:style w:type="paragraph" w:customStyle="1" w:styleId="last">
    <w:name w:val="last"/>
    <w:basedOn w:val="Normal"/>
    <w:rsid w:val="00C76D0A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0078A5"/>
  </w:style>
  <w:style w:type="character" w:styleId="Emphasis">
    <w:name w:val="Emphasis"/>
    <w:basedOn w:val="DefaultParagraphFont"/>
    <w:uiPriority w:val="20"/>
    <w:qFormat/>
    <w:rsid w:val="00B71B6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A505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1D5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1D59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D1D59"/>
  </w:style>
  <w:style w:type="character" w:styleId="LineNumber">
    <w:name w:val="line number"/>
    <w:basedOn w:val="DefaultParagraphFont"/>
    <w:uiPriority w:val="99"/>
    <w:semiHidden/>
    <w:unhideWhenUsed/>
    <w:rsid w:val="006C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5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8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9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6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13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Chen%20Y%5BAuthor%5D&amp;cauthor=true&amp;cauthor_uid=27893062" TargetMode="External"/><Relationship Id="rId18" Type="http://schemas.openxmlformats.org/officeDocument/2006/relationships/hyperlink" Target="https://www.ncbi.nlm.nih.gov/pubmed/?term=Barber%20S%5BAuthor%5D&amp;cauthor=true&amp;cauthor_uid=27893062" TargetMode="External"/><Relationship Id="rId26" Type="http://schemas.openxmlformats.org/officeDocument/2006/relationships/hyperlink" Target="https://www.ncbi.nlm.nih.gov/pubmed/?term=Wang%20Q%5BAuthor%5D&amp;cauthor=true&amp;cauthor_uid=278930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term=Xu%20B%5BAuthor%5D&amp;cauthor=true&amp;cauthor_uid=2789306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016/S0161-6420(00)00178-0" TargetMode="External"/><Relationship Id="rId17" Type="http://schemas.openxmlformats.org/officeDocument/2006/relationships/hyperlink" Target="https://www.ncbi.nlm.nih.gov/pubmed/?term=Ahmed%20F%5BAuthor%5D&amp;cauthor=true&amp;cauthor_uid=27893062" TargetMode="External"/><Relationship Id="rId25" Type="http://schemas.openxmlformats.org/officeDocument/2006/relationships/hyperlink" Target="https://www.ncbi.nlm.nih.gov/pubmed/?term=Tang%20K%5BAuthor%5D&amp;cauthor=true&amp;cauthor_uid=2789306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Falck-Ytter%20Y%5BAuthor%5D&amp;cauthor=true&amp;cauthor_uid=27893062" TargetMode="External"/><Relationship Id="rId20" Type="http://schemas.openxmlformats.org/officeDocument/2006/relationships/hyperlink" Target="https://www.ncbi.nlm.nih.gov/pubmed/?term=Zhang%20M%5BAuthor%5D&amp;cauthor=true&amp;cauthor_uid=27893062" TargetMode="External"/><Relationship Id="rId29" Type="http://schemas.openxmlformats.org/officeDocument/2006/relationships/hyperlink" Target="https://www.ncbi.nlm.nih.gov/pubmed/278930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288/00005537-197009000-00007" TargetMode="External"/><Relationship Id="rId24" Type="http://schemas.openxmlformats.org/officeDocument/2006/relationships/hyperlink" Target="https://www.ncbi.nlm.nih.gov/pubmed/?term=Shang%20H%5BAuthor%5D&amp;cauthor=true&amp;cauthor_uid=2789306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Chan%20ES%5BAuthor%5D&amp;cauthor=true&amp;cauthor_uid=27893062" TargetMode="External"/><Relationship Id="rId23" Type="http://schemas.openxmlformats.org/officeDocument/2006/relationships/hyperlink" Target="https://www.ncbi.nlm.nih.gov/pubmed/?term=Song%20F%5BAuthor%5D&amp;cauthor=true&amp;cauthor_uid=27893062" TargetMode="External"/><Relationship Id="rId28" Type="http://schemas.openxmlformats.org/officeDocument/2006/relationships/hyperlink" Target="https://www.ncbi.nlm.nih.gov/pubmed/?term=RIGHT%20(Reporting%20Items%20for%20Practice%20Guidelines%20in%20Healthcare)%20Working%20Group%5BCorporate%20Author%5D" TargetMode="External"/><Relationship Id="rId10" Type="http://schemas.openxmlformats.org/officeDocument/2006/relationships/hyperlink" Target="http://dx.doi.org/10.1016/S1726-4901(09)70284-9" TargetMode="External"/><Relationship Id="rId19" Type="http://schemas.openxmlformats.org/officeDocument/2006/relationships/hyperlink" Target="https://www.ncbi.nlm.nih.gov/pubmed/?term=Chen%20C%5BAuthor%5D&amp;cauthor=true&amp;cauthor_uid=27893062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x.doi.org/10.1111/j.1365-2273.2004.00889.x" TargetMode="External"/><Relationship Id="rId14" Type="http://schemas.openxmlformats.org/officeDocument/2006/relationships/hyperlink" Target="https://www.ncbi.nlm.nih.gov/pubmed/?term=Yang%20K%5BAuthor%5D&amp;cauthor=true&amp;cauthor_uid=27893062" TargetMode="External"/><Relationship Id="rId22" Type="http://schemas.openxmlformats.org/officeDocument/2006/relationships/hyperlink" Target="https://www.ncbi.nlm.nih.gov/pubmed/?term=Tian%20J%5BAuthor%5D&amp;cauthor=true&amp;cauthor_uid=27893062" TargetMode="External"/><Relationship Id="rId27" Type="http://schemas.openxmlformats.org/officeDocument/2006/relationships/hyperlink" Target="https://www.ncbi.nlm.nih.gov/pubmed/?term=Norris%20SL%5BAuthor%5D&amp;cauthor=true&amp;cauthor_uid=27893062" TargetMode="External"/><Relationship Id="rId30" Type="http://schemas.openxmlformats.org/officeDocument/2006/relationships/footer" Target="footer1.xml"/><Relationship Id="rId8" Type="http://schemas.openxmlformats.org/officeDocument/2006/relationships/hyperlink" Target="http://dx.doi.org/10.1017/S0022215100112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A159-43FA-B04B-AA30-BA13B594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Meriel Tolhurst-Cleaver</dc:creator>
  <cp:lastModifiedBy>meriel_tc meriel_tc</cp:lastModifiedBy>
  <cp:revision>2</cp:revision>
  <dcterms:created xsi:type="dcterms:W3CDTF">2022-01-31T22:27:00Z</dcterms:created>
  <dcterms:modified xsi:type="dcterms:W3CDTF">2022-01-31T22:27:00Z</dcterms:modified>
</cp:coreProperties>
</file>