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58F" w:rsidRPr="005560C3" w:rsidRDefault="005560C3" w:rsidP="003160BA">
      <w:pPr>
        <w:spacing w:line="360" w:lineRule="auto"/>
        <w:jc w:val="both"/>
        <w:rPr>
          <w:rFonts w:ascii="Arial" w:hAnsi="Arial" w:cs="Arial"/>
          <w:b/>
          <w:sz w:val="24"/>
          <w:szCs w:val="24"/>
          <w:u w:val="single"/>
        </w:rPr>
      </w:pPr>
      <w:r w:rsidRPr="005560C3">
        <w:rPr>
          <w:rFonts w:ascii="Arial" w:hAnsi="Arial" w:cs="Arial"/>
          <w:b/>
          <w:sz w:val="24"/>
          <w:szCs w:val="24"/>
          <w:u w:val="single"/>
        </w:rPr>
        <w:t>AGE AND DISABILITY DISCRIMINATION: CREEPING CHALLENGES FOR THE MILITARY</w:t>
      </w:r>
    </w:p>
    <w:p w:rsidR="001A758F" w:rsidRDefault="001A758F" w:rsidP="003160BA">
      <w:pPr>
        <w:spacing w:line="360" w:lineRule="auto"/>
        <w:jc w:val="both"/>
        <w:rPr>
          <w:rFonts w:ascii="Arial" w:hAnsi="Arial" w:cs="Arial"/>
          <w:sz w:val="24"/>
          <w:szCs w:val="24"/>
        </w:rPr>
      </w:pPr>
    </w:p>
    <w:p w:rsidR="005560C3" w:rsidRDefault="005560C3" w:rsidP="003160BA">
      <w:pPr>
        <w:spacing w:line="360" w:lineRule="auto"/>
        <w:jc w:val="both"/>
        <w:rPr>
          <w:rFonts w:ascii="Arial" w:hAnsi="Arial" w:cs="Arial"/>
          <w:sz w:val="24"/>
          <w:szCs w:val="24"/>
        </w:rPr>
      </w:pPr>
      <w:r w:rsidRPr="005560C3">
        <w:rPr>
          <w:rFonts w:ascii="Arial" w:hAnsi="Arial" w:cs="Arial"/>
          <w:sz w:val="24"/>
          <w:szCs w:val="24"/>
        </w:rPr>
        <w:t>The principle of equality, and its legal rights to non-discrimination, has had a considerable impact on all aspects of society, the military included. The latest evidence of this in the US are the repeal of DADT and the abolition of the restriction of women serving in ground combat roles, both of which are grounded in pragmatic policy decisions but also in legal and theoretical reasoning. In the UK there are two specific areas that are not covered by the Equality Act 2010 as it applies to the armed forces, namely non-discrimination on the basis of age and disability. However, the impact of EU law is starting to be felt, and the reality of reduced manpower for all three services could see a pragmatic reassessment required for the reconsideration of the restriction of age and disability discrimination as applied to the military. This paper will analyse the legal situation and consider the possibilities of the restrictions being removed in the future in the light of practical requirements.</w:t>
      </w:r>
    </w:p>
    <w:p w:rsidR="005560C3" w:rsidRDefault="005560C3" w:rsidP="003160BA">
      <w:pPr>
        <w:spacing w:line="360" w:lineRule="auto"/>
        <w:jc w:val="both"/>
        <w:rPr>
          <w:rFonts w:ascii="Arial" w:hAnsi="Arial" w:cs="Arial"/>
          <w:sz w:val="24"/>
          <w:szCs w:val="24"/>
        </w:rPr>
      </w:pPr>
    </w:p>
    <w:p w:rsidR="00F30907" w:rsidRDefault="00F30907" w:rsidP="003160BA">
      <w:pPr>
        <w:spacing w:line="360" w:lineRule="auto"/>
        <w:jc w:val="both"/>
        <w:rPr>
          <w:rFonts w:ascii="Arial" w:hAnsi="Arial" w:cs="Arial"/>
          <w:sz w:val="24"/>
          <w:szCs w:val="24"/>
        </w:rPr>
      </w:pPr>
      <w:r>
        <w:rPr>
          <w:rFonts w:ascii="Arial" w:hAnsi="Arial" w:cs="Arial"/>
          <w:b/>
          <w:sz w:val="24"/>
          <w:szCs w:val="24"/>
          <w:u w:val="single"/>
        </w:rPr>
        <w:t>Introduction</w:t>
      </w:r>
    </w:p>
    <w:p w:rsidR="00F30907" w:rsidRDefault="00F30907" w:rsidP="003160BA">
      <w:pPr>
        <w:spacing w:line="360" w:lineRule="auto"/>
        <w:jc w:val="both"/>
        <w:rPr>
          <w:rFonts w:ascii="Arial" w:hAnsi="Arial" w:cs="Arial"/>
          <w:sz w:val="24"/>
          <w:szCs w:val="24"/>
        </w:rPr>
      </w:pPr>
      <w:r>
        <w:rPr>
          <w:rFonts w:ascii="Arial" w:hAnsi="Arial" w:cs="Arial"/>
          <w:sz w:val="24"/>
          <w:szCs w:val="24"/>
        </w:rPr>
        <w:t>Equality has developed in the C20th and C21st into a fundamental principle at the heart of the western democratic model of governance. However it has been suggested that equality is an empty vessel</w:t>
      </w:r>
      <w:r w:rsidR="00B105AC">
        <w:rPr>
          <w:rStyle w:val="FootnoteReference"/>
          <w:rFonts w:ascii="Arial" w:hAnsi="Arial" w:cs="Arial"/>
          <w:sz w:val="24"/>
          <w:szCs w:val="24"/>
        </w:rPr>
        <w:footnoteReference w:id="1"/>
      </w:r>
      <w:r>
        <w:rPr>
          <w:rFonts w:ascii="Arial" w:hAnsi="Arial" w:cs="Arial"/>
          <w:sz w:val="24"/>
          <w:szCs w:val="24"/>
        </w:rPr>
        <w:t xml:space="preserve"> that can only be filled through the principle of non-discrimination</w:t>
      </w:r>
      <w:r w:rsidR="00B105AC">
        <w:rPr>
          <w:rStyle w:val="FootnoteReference"/>
          <w:rFonts w:ascii="Arial" w:hAnsi="Arial" w:cs="Arial"/>
          <w:sz w:val="24"/>
          <w:szCs w:val="24"/>
        </w:rPr>
        <w:footnoteReference w:id="2"/>
      </w:r>
      <w:r>
        <w:rPr>
          <w:rFonts w:ascii="Arial" w:hAnsi="Arial" w:cs="Arial"/>
          <w:sz w:val="24"/>
          <w:szCs w:val="24"/>
        </w:rPr>
        <w:t>. This overarching principle of non-discrimination holds that an individual should not be treated unfairly on the basis of a defining characteristic in comparison with others who do not exhibit that characteristic.</w:t>
      </w:r>
      <w:r w:rsidR="008F7DCC">
        <w:rPr>
          <w:rFonts w:ascii="Arial" w:hAnsi="Arial" w:cs="Arial"/>
          <w:sz w:val="24"/>
          <w:szCs w:val="24"/>
        </w:rPr>
        <w:t xml:space="preserve"> In the UK two characteristics have been protected through law since the 1960s and 1970, namely race</w:t>
      </w:r>
      <w:r w:rsidR="00B105AC">
        <w:rPr>
          <w:rStyle w:val="FootnoteReference"/>
          <w:rFonts w:ascii="Arial" w:hAnsi="Arial" w:cs="Arial"/>
          <w:sz w:val="24"/>
          <w:szCs w:val="24"/>
        </w:rPr>
        <w:footnoteReference w:id="3"/>
      </w:r>
      <w:r w:rsidR="008F7DCC">
        <w:rPr>
          <w:rFonts w:ascii="Arial" w:hAnsi="Arial" w:cs="Arial"/>
          <w:sz w:val="24"/>
          <w:szCs w:val="24"/>
        </w:rPr>
        <w:t xml:space="preserve"> and sex</w:t>
      </w:r>
      <w:r w:rsidR="00B105AC">
        <w:rPr>
          <w:rStyle w:val="FootnoteReference"/>
          <w:rFonts w:ascii="Arial" w:hAnsi="Arial" w:cs="Arial"/>
          <w:sz w:val="24"/>
          <w:szCs w:val="24"/>
        </w:rPr>
        <w:footnoteReference w:id="4"/>
      </w:r>
      <w:r w:rsidR="008F7DCC">
        <w:rPr>
          <w:rFonts w:ascii="Arial" w:hAnsi="Arial" w:cs="Arial"/>
          <w:sz w:val="24"/>
          <w:szCs w:val="24"/>
        </w:rPr>
        <w:t xml:space="preserve"> respectively, later added to </w:t>
      </w:r>
      <w:r w:rsidR="00B75CF1">
        <w:rPr>
          <w:rFonts w:ascii="Arial" w:hAnsi="Arial" w:cs="Arial"/>
          <w:sz w:val="24"/>
          <w:szCs w:val="24"/>
        </w:rPr>
        <w:t xml:space="preserve">incrementally </w:t>
      </w:r>
      <w:r w:rsidR="008F7DCC">
        <w:rPr>
          <w:rFonts w:ascii="Arial" w:hAnsi="Arial" w:cs="Arial"/>
          <w:sz w:val="24"/>
          <w:szCs w:val="24"/>
        </w:rPr>
        <w:t xml:space="preserve">by sexual </w:t>
      </w:r>
      <w:r w:rsidR="008F7DCC">
        <w:rPr>
          <w:rFonts w:ascii="Arial" w:hAnsi="Arial" w:cs="Arial"/>
          <w:sz w:val="24"/>
          <w:szCs w:val="24"/>
        </w:rPr>
        <w:lastRenderedPageBreak/>
        <w:t>orientation</w:t>
      </w:r>
      <w:r w:rsidR="00B75CF1">
        <w:rPr>
          <w:rFonts w:ascii="Arial" w:hAnsi="Arial" w:cs="Arial"/>
          <w:sz w:val="24"/>
          <w:szCs w:val="24"/>
        </w:rPr>
        <w:t>. It was not though until 2000 and through the EU’s legislative process</w:t>
      </w:r>
      <w:r w:rsidR="00B105AC">
        <w:rPr>
          <w:rStyle w:val="FootnoteReference"/>
          <w:rFonts w:ascii="Arial" w:hAnsi="Arial" w:cs="Arial"/>
          <w:sz w:val="24"/>
          <w:szCs w:val="24"/>
        </w:rPr>
        <w:footnoteReference w:id="5"/>
      </w:r>
      <w:r w:rsidR="00B75CF1">
        <w:rPr>
          <w:rFonts w:ascii="Arial" w:hAnsi="Arial" w:cs="Arial"/>
          <w:sz w:val="24"/>
          <w:szCs w:val="24"/>
        </w:rPr>
        <w:t xml:space="preserve"> that </w:t>
      </w:r>
      <w:r w:rsidR="00B75CF1">
        <w:rPr>
          <w:rFonts w:ascii="Arial" w:hAnsi="Arial" w:cs="Arial"/>
          <w:i/>
          <w:sz w:val="24"/>
          <w:szCs w:val="24"/>
        </w:rPr>
        <w:t>inter alia</w:t>
      </w:r>
      <w:r w:rsidR="00B75CF1">
        <w:rPr>
          <w:rFonts w:ascii="Arial" w:hAnsi="Arial" w:cs="Arial"/>
          <w:sz w:val="24"/>
          <w:szCs w:val="24"/>
        </w:rPr>
        <w:t xml:space="preserve"> age and disability were added.</w:t>
      </w:r>
      <w:r w:rsidR="00525B50">
        <w:rPr>
          <w:rFonts w:ascii="Arial" w:hAnsi="Arial" w:cs="Arial"/>
          <w:sz w:val="24"/>
          <w:szCs w:val="24"/>
        </w:rPr>
        <w:t xml:space="preserve"> Disability has been augmented by the UN Convention on the Rights of Persons with Disabilities </w:t>
      </w:r>
      <w:r w:rsidR="00AE1973">
        <w:rPr>
          <w:rFonts w:ascii="Arial" w:hAnsi="Arial" w:cs="Arial"/>
          <w:sz w:val="24"/>
          <w:szCs w:val="24"/>
        </w:rPr>
        <w:t xml:space="preserve">(UNCRPD) </w:t>
      </w:r>
      <w:r w:rsidR="00525B50">
        <w:rPr>
          <w:rFonts w:ascii="Arial" w:hAnsi="Arial" w:cs="Arial"/>
          <w:sz w:val="24"/>
          <w:szCs w:val="24"/>
        </w:rPr>
        <w:t>that has been ratified by the EU and UK. This has been codified in the Equality Act 2010</w:t>
      </w:r>
      <w:r w:rsidR="003B54AC">
        <w:rPr>
          <w:rFonts w:ascii="Arial" w:hAnsi="Arial" w:cs="Arial"/>
          <w:sz w:val="24"/>
          <w:szCs w:val="24"/>
        </w:rPr>
        <w:t xml:space="preserve"> (EA10)</w:t>
      </w:r>
      <w:r w:rsidR="00525B50">
        <w:rPr>
          <w:rFonts w:ascii="Arial" w:hAnsi="Arial" w:cs="Arial"/>
          <w:sz w:val="24"/>
          <w:szCs w:val="24"/>
        </w:rPr>
        <w:t>. This paper will examine the legal position with age and disability as it applies to the armed forces in the UK and possible alternative positions.</w:t>
      </w:r>
    </w:p>
    <w:p w:rsidR="00525B50" w:rsidRDefault="00525B50" w:rsidP="003160BA">
      <w:pPr>
        <w:spacing w:line="360" w:lineRule="auto"/>
        <w:jc w:val="both"/>
        <w:rPr>
          <w:rFonts w:ascii="Arial" w:hAnsi="Arial" w:cs="Arial"/>
          <w:sz w:val="24"/>
          <w:szCs w:val="24"/>
        </w:rPr>
      </w:pPr>
    </w:p>
    <w:p w:rsidR="00525B50" w:rsidRDefault="00525B50" w:rsidP="003160BA">
      <w:pPr>
        <w:spacing w:line="360" w:lineRule="auto"/>
        <w:jc w:val="both"/>
        <w:rPr>
          <w:rFonts w:ascii="Arial" w:hAnsi="Arial" w:cs="Arial"/>
          <w:sz w:val="24"/>
          <w:szCs w:val="24"/>
        </w:rPr>
      </w:pPr>
      <w:r>
        <w:rPr>
          <w:rFonts w:ascii="Arial" w:hAnsi="Arial" w:cs="Arial"/>
          <w:b/>
          <w:sz w:val="24"/>
          <w:szCs w:val="24"/>
          <w:u w:val="single"/>
        </w:rPr>
        <w:t>Legal Position</w:t>
      </w:r>
    </w:p>
    <w:p w:rsidR="003B54AC" w:rsidRDefault="003B54AC" w:rsidP="003B54AC">
      <w:pPr>
        <w:spacing w:line="360" w:lineRule="auto"/>
        <w:jc w:val="both"/>
        <w:rPr>
          <w:rFonts w:ascii="Arial" w:hAnsi="Arial" w:cs="Arial"/>
          <w:sz w:val="24"/>
          <w:szCs w:val="24"/>
        </w:rPr>
      </w:pPr>
    </w:p>
    <w:p w:rsidR="003B54AC" w:rsidRDefault="003B54AC" w:rsidP="003B54AC">
      <w:pPr>
        <w:spacing w:line="360" w:lineRule="auto"/>
        <w:jc w:val="both"/>
        <w:rPr>
          <w:rFonts w:ascii="Arial" w:hAnsi="Arial" w:cs="Arial"/>
          <w:sz w:val="24"/>
          <w:szCs w:val="24"/>
        </w:rPr>
      </w:pPr>
      <w:r>
        <w:rPr>
          <w:rFonts w:ascii="Arial" w:hAnsi="Arial" w:cs="Arial"/>
          <w:sz w:val="24"/>
          <w:szCs w:val="24"/>
        </w:rPr>
        <w:t>The UK EA10 has three distinctive features. First, it is comprehensive, creating a unitary conception of equality and a single enforcement body, the Equality and Human Rights Commission. Second, it ‘harmonises, clarifies and extends the concepts of discrimination</w:t>
      </w:r>
      <w:r>
        <w:rPr>
          <w:rStyle w:val="FootnoteReference"/>
          <w:rFonts w:ascii="Arial" w:hAnsi="Arial" w:cs="Arial"/>
          <w:sz w:val="24"/>
          <w:szCs w:val="24"/>
        </w:rPr>
        <w:footnoteReference w:id="6"/>
      </w:r>
      <w:r>
        <w:rPr>
          <w:rFonts w:ascii="Arial" w:hAnsi="Arial" w:cs="Arial"/>
          <w:sz w:val="24"/>
          <w:szCs w:val="24"/>
        </w:rPr>
        <w:t>, harassment</w:t>
      </w:r>
      <w:r>
        <w:rPr>
          <w:rStyle w:val="FootnoteReference"/>
          <w:rFonts w:ascii="Arial" w:hAnsi="Arial" w:cs="Arial"/>
          <w:sz w:val="24"/>
          <w:szCs w:val="24"/>
        </w:rPr>
        <w:footnoteReference w:id="7"/>
      </w:r>
      <w:r>
        <w:rPr>
          <w:rFonts w:ascii="Arial" w:hAnsi="Arial" w:cs="Arial"/>
          <w:sz w:val="24"/>
          <w:szCs w:val="24"/>
        </w:rPr>
        <w:t xml:space="preserve"> and victimisation</w:t>
      </w:r>
      <w:r>
        <w:rPr>
          <w:rStyle w:val="FootnoteReference"/>
          <w:rFonts w:ascii="Arial" w:hAnsi="Arial" w:cs="Arial"/>
          <w:sz w:val="24"/>
          <w:szCs w:val="24"/>
        </w:rPr>
        <w:footnoteReference w:id="8"/>
      </w:r>
      <w:r>
        <w:rPr>
          <w:rFonts w:ascii="Arial" w:hAnsi="Arial" w:cs="Arial"/>
          <w:sz w:val="24"/>
          <w:szCs w:val="24"/>
        </w:rPr>
        <w:t xml:space="preserve"> and applies them across nine protected characteristics’</w:t>
      </w:r>
      <w:r>
        <w:rPr>
          <w:rStyle w:val="FootnoteReference"/>
          <w:rFonts w:ascii="Arial" w:hAnsi="Arial" w:cs="Arial"/>
          <w:sz w:val="24"/>
          <w:szCs w:val="24"/>
        </w:rPr>
        <w:footnoteReference w:id="9"/>
      </w:r>
      <w:r>
        <w:rPr>
          <w:rFonts w:ascii="Arial" w:hAnsi="Arial" w:cs="Arial"/>
          <w:sz w:val="24"/>
          <w:szCs w:val="24"/>
        </w:rPr>
        <w:t>, specifically, age, disability, gender reassignment, marriage and civil partnership, pregnancy and maternity, race, religion or belief, sex, and sexual orientation</w:t>
      </w:r>
      <w:r>
        <w:rPr>
          <w:rStyle w:val="FootnoteReference"/>
          <w:rFonts w:ascii="Arial" w:hAnsi="Arial" w:cs="Arial"/>
          <w:sz w:val="24"/>
          <w:szCs w:val="24"/>
        </w:rPr>
        <w:footnoteReference w:id="10"/>
      </w:r>
      <w:r>
        <w:rPr>
          <w:rFonts w:ascii="Arial" w:hAnsi="Arial" w:cs="Arial"/>
          <w:sz w:val="24"/>
          <w:szCs w:val="24"/>
        </w:rPr>
        <w:t xml:space="preserve">. Third, it transforms anti-discrimination protection into equality law although </w:t>
      </w:r>
      <w:r w:rsidRPr="005A7289">
        <w:rPr>
          <w:rFonts w:ascii="Arial" w:hAnsi="Arial" w:cs="Arial"/>
          <w:sz w:val="24"/>
          <w:szCs w:val="24"/>
        </w:rPr>
        <w:t>does not go as far as establishing a constitutional right to equality</w:t>
      </w:r>
      <w:r w:rsidRPr="005A7289">
        <w:rPr>
          <w:rFonts w:ascii="Arial" w:hAnsi="Arial" w:cs="Arial"/>
          <w:sz w:val="24"/>
          <w:szCs w:val="24"/>
          <w:vertAlign w:val="superscript"/>
        </w:rPr>
        <w:footnoteReference w:id="11"/>
      </w:r>
      <w:r>
        <w:rPr>
          <w:rFonts w:ascii="Arial" w:hAnsi="Arial" w:cs="Arial"/>
          <w:sz w:val="24"/>
          <w:szCs w:val="24"/>
        </w:rPr>
        <w:t>. This means that, unlike Germany</w:t>
      </w:r>
      <w:r>
        <w:rPr>
          <w:rStyle w:val="FootnoteReference"/>
          <w:rFonts w:ascii="Arial" w:hAnsi="Arial" w:cs="Arial"/>
          <w:sz w:val="24"/>
          <w:szCs w:val="24"/>
        </w:rPr>
        <w:footnoteReference w:id="12"/>
      </w:r>
      <w:r>
        <w:rPr>
          <w:rFonts w:ascii="Arial" w:hAnsi="Arial" w:cs="Arial"/>
          <w:sz w:val="24"/>
          <w:szCs w:val="24"/>
        </w:rPr>
        <w:t xml:space="preserve"> or South Africa</w:t>
      </w:r>
      <w:r>
        <w:rPr>
          <w:rStyle w:val="FootnoteReference"/>
          <w:rFonts w:ascii="Arial" w:hAnsi="Arial" w:cs="Arial"/>
          <w:sz w:val="24"/>
          <w:szCs w:val="24"/>
        </w:rPr>
        <w:footnoteReference w:id="13"/>
      </w:r>
      <w:r>
        <w:rPr>
          <w:rFonts w:ascii="Arial" w:hAnsi="Arial" w:cs="Arial"/>
          <w:sz w:val="24"/>
          <w:szCs w:val="24"/>
        </w:rPr>
        <w:t xml:space="preserve"> that utilise human dignity</w:t>
      </w:r>
      <w:r>
        <w:rPr>
          <w:rStyle w:val="FootnoteReference"/>
          <w:rFonts w:ascii="Arial" w:hAnsi="Arial" w:cs="Arial"/>
          <w:sz w:val="24"/>
          <w:szCs w:val="24"/>
        </w:rPr>
        <w:footnoteReference w:id="14"/>
      </w:r>
      <w:r>
        <w:rPr>
          <w:rFonts w:ascii="Arial" w:hAnsi="Arial" w:cs="Arial"/>
          <w:sz w:val="24"/>
          <w:szCs w:val="24"/>
        </w:rPr>
        <w:t xml:space="preserve"> as the moral value that underpins equality law</w:t>
      </w:r>
      <w:r>
        <w:rPr>
          <w:rStyle w:val="FootnoteReference"/>
          <w:rFonts w:ascii="Arial" w:hAnsi="Arial" w:cs="Arial"/>
          <w:sz w:val="24"/>
          <w:szCs w:val="24"/>
        </w:rPr>
        <w:footnoteReference w:id="15"/>
      </w:r>
      <w:r>
        <w:rPr>
          <w:rFonts w:ascii="Arial" w:hAnsi="Arial" w:cs="Arial"/>
          <w:sz w:val="24"/>
          <w:szCs w:val="24"/>
        </w:rPr>
        <w:t xml:space="preserve">, no one moral value </w:t>
      </w:r>
      <w:r>
        <w:rPr>
          <w:rFonts w:ascii="Arial" w:hAnsi="Arial" w:cs="Arial"/>
          <w:sz w:val="24"/>
          <w:szCs w:val="24"/>
        </w:rPr>
        <w:lastRenderedPageBreak/>
        <w:t>supports the equality edifice and indeed Hepple identifies seven meanings for equality</w:t>
      </w:r>
      <w:r>
        <w:rPr>
          <w:rStyle w:val="FootnoteReference"/>
          <w:rFonts w:ascii="Arial" w:hAnsi="Arial" w:cs="Arial"/>
          <w:sz w:val="24"/>
          <w:szCs w:val="24"/>
        </w:rPr>
        <w:footnoteReference w:id="16"/>
      </w:r>
      <w:r>
        <w:rPr>
          <w:rFonts w:ascii="Arial" w:hAnsi="Arial" w:cs="Arial"/>
          <w:sz w:val="24"/>
          <w:szCs w:val="24"/>
        </w:rPr>
        <w:t>.</w:t>
      </w:r>
    </w:p>
    <w:p w:rsidR="003B54AC" w:rsidRDefault="003B54AC" w:rsidP="003B54AC">
      <w:pPr>
        <w:spacing w:line="360" w:lineRule="auto"/>
        <w:jc w:val="both"/>
        <w:rPr>
          <w:rFonts w:ascii="Arial" w:hAnsi="Arial" w:cs="Arial"/>
          <w:sz w:val="24"/>
          <w:szCs w:val="24"/>
        </w:rPr>
      </w:pPr>
    </w:p>
    <w:p w:rsidR="003B54AC" w:rsidRDefault="003B54AC" w:rsidP="003B54AC">
      <w:pPr>
        <w:spacing w:line="360" w:lineRule="auto"/>
        <w:jc w:val="both"/>
        <w:rPr>
          <w:rFonts w:ascii="Arial" w:hAnsi="Arial" w:cs="Arial"/>
          <w:sz w:val="24"/>
          <w:szCs w:val="24"/>
        </w:rPr>
      </w:pPr>
      <w:r>
        <w:rPr>
          <w:rFonts w:ascii="Arial" w:hAnsi="Arial" w:cs="Arial"/>
          <w:sz w:val="24"/>
          <w:szCs w:val="24"/>
        </w:rPr>
        <w:t xml:space="preserve">The EA10 contains some innovative developments in general and for the armed forces in particular. The first is the </w:t>
      </w:r>
      <w:r w:rsidRPr="005A7289">
        <w:rPr>
          <w:rFonts w:ascii="Arial" w:hAnsi="Arial" w:cs="Arial"/>
          <w:sz w:val="24"/>
          <w:szCs w:val="24"/>
        </w:rPr>
        <w:t>duty on public sector authorities to mainstream equality of outcomes as a result of socio-economic disadvantage when making strategic decisions on the exercising of functions</w:t>
      </w:r>
      <w:r>
        <w:rPr>
          <w:rStyle w:val="FootnoteReference"/>
          <w:rFonts w:ascii="Arial" w:hAnsi="Arial" w:cs="Arial"/>
          <w:sz w:val="24"/>
          <w:szCs w:val="24"/>
        </w:rPr>
        <w:footnoteReference w:id="17"/>
      </w:r>
      <w:r w:rsidRPr="005A7289">
        <w:rPr>
          <w:rFonts w:ascii="Arial" w:hAnsi="Arial" w:cs="Arial"/>
          <w:sz w:val="24"/>
          <w:szCs w:val="24"/>
        </w:rPr>
        <w:t>. In the context of the military these authorities include Ministers of the Crown and government departments</w:t>
      </w:r>
      <w:r>
        <w:rPr>
          <w:rStyle w:val="FootnoteReference"/>
          <w:rFonts w:ascii="Arial" w:hAnsi="Arial" w:cs="Arial"/>
          <w:sz w:val="24"/>
          <w:szCs w:val="24"/>
        </w:rPr>
        <w:footnoteReference w:id="18"/>
      </w:r>
      <w:r w:rsidRPr="005A7289">
        <w:rPr>
          <w:rFonts w:ascii="Arial" w:hAnsi="Arial" w:cs="Arial"/>
          <w:sz w:val="24"/>
          <w:szCs w:val="24"/>
        </w:rPr>
        <w:t>. Fredman</w:t>
      </w:r>
      <w:r w:rsidRPr="005A7289">
        <w:rPr>
          <w:rFonts w:ascii="Arial" w:hAnsi="Arial" w:cs="Arial"/>
          <w:sz w:val="24"/>
          <w:szCs w:val="24"/>
          <w:vertAlign w:val="superscript"/>
        </w:rPr>
        <w:footnoteReference w:id="19"/>
      </w:r>
      <w:r>
        <w:rPr>
          <w:rFonts w:ascii="Arial" w:hAnsi="Arial" w:cs="Arial"/>
          <w:sz w:val="24"/>
          <w:szCs w:val="24"/>
        </w:rPr>
        <w:t xml:space="preserve"> suggested</w:t>
      </w:r>
      <w:r w:rsidRPr="005A7289">
        <w:rPr>
          <w:rFonts w:ascii="Arial" w:hAnsi="Arial" w:cs="Arial"/>
          <w:sz w:val="24"/>
          <w:szCs w:val="24"/>
        </w:rPr>
        <w:t xml:space="preserve"> that this </w:t>
      </w:r>
      <w:r>
        <w:rPr>
          <w:rFonts w:ascii="Arial" w:hAnsi="Arial" w:cs="Arial"/>
          <w:sz w:val="24"/>
          <w:szCs w:val="24"/>
        </w:rPr>
        <w:t>duty did</w:t>
      </w:r>
      <w:r w:rsidRPr="005A7289">
        <w:rPr>
          <w:rFonts w:ascii="Arial" w:hAnsi="Arial" w:cs="Arial"/>
          <w:sz w:val="24"/>
          <w:szCs w:val="24"/>
        </w:rPr>
        <w:t xml:space="preserve"> </w:t>
      </w:r>
      <w:r>
        <w:rPr>
          <w:rFonts w:ascii="Arial" w:hAnsi="Arial" w:cs="Arial"/>
          <w:sz w:val="24"/>
          <w:szCs w:val="24"/>
        </w:rPr>
        <w:t>not apply to the armed forces and on the face of the Act she wa</w:t>
      </w:r>
      <w:r w:rsidRPr="005A7289">
        <w:rPr>
          <w:rFonts w:ascii="Arial" w:hAnsi="Arial" w:cs="Arial"/>
          <w:sz w:val="24"/>
          <w:szCs w:val="24"/>
        </w:rPr>
        <w:t xml:space="preserve">s correct but it </w:t>
      </w:r>
      <w:r>
        <w:rPr>
          <w:rFonts w:ascii="Arial" w:hAnsi="Arial" w:cs="Arial"/>
          <w:sz w:val="24"/>
          <w:szCs w:val="24"/>
        </w:rPr>
        <w:t>would</w:t>
      </w:r>
      <w:r w:rsidRPr="005A7289">
        <w:rPr>
          <w:rFonts w:ascii="Arial" w:hAnsi="Arial" w:cs="Arial"/>
          <w:sz w:val="24"/>
          <w:szCs w:val="24"/>
        </w:rPr>
        <w:t xml:space="preserve"> </w:t>
      </w:r>
      <w:r>
        <w:rPr>
          <w:rFonts w:ascii="Arial" w:hAnsi="Arial" w:cs="Arial"/>
          <w:sz w:val="24"/>
          <w:szCs w:val="24"/>
        </w:rPr>
        <w:t>have applied to the Ministry of Defence (Mo</w:t>
      </w:r>
      <w:r w:rsidRPr="005A7289">
        <w:rPr>
          <w:rFonts w:ascii="Arial" w:hAnsi="Arial" w:cs="Arial"/>
          <w:sz w:val="24"/>
          <w:szCs w:val="24"/>
        </w:rPr>
        <w:t>D</w:t>
      </w:r>
      <w:r>
        <w:rPr>
          <w:rFonts w:ascii="Arial" w:hAnsi="Arial" w:cs="Arial"/>
          <w:sz w:val="24"/>
          <w:szCs w:val="24"/>
        </w:rPr>
        <w:t>)</w:t>
      </w:r>
      <w:r w:rsidRPr="005A7289">
        <w:rPr>
          <w:rFonts w:ascii="Arial" w:hAnsi="Arial" w:cs="Arial"/>
          <w:sz w:val="24"/>
          <w:szCs w:val="24"/>
        </w:rPr>
        <w:t xml:space="preserve"> and Secretary of State for Defence whe</w:t>
      </w:r>
      <w:r>
        <w:rPr>
          <w:rFonts w:ascii="Arial" w:hAnsi="Arial" w:cs="Arial"/>
          <w:sz w:val="24"/>
          <w:szCs w:val="24"/>
        </w:rPr>
        <w:t>n making strategic decisions, e</w:t>
      </w:r>
      <w:r w:rsidRPr="005A7289">
        <w:rPr>
          <w:rFonts w:ascii="Arial" w:hAnsi="Arial" w:cs="Arial"/>
          <w:sz w:val="24"/>
          <w:szCs w:val="24"/>
        </w:rPr>
        <w:t xml:space="preserve">.g. the </w:t>
      </w:r>
      <w:r>
        <w:rPr>
          <w:rFonts w:ascii="Arial" w:hAnsi="Arial" w:cs="Arial"/>
          <w:sz w:val="24"/>
          <w:szCs w:val="24"/>
        </w:rPr>
        <w:t xml:space="preserve">Strategic Defence and Security </w:t>
      </w:r>
      <w:r w:rsidRPr="005A7289">
        <w:rPr>
          <w:rFonts w:ascii="Arial" w:hAnsi="Arial" w:cs="Arial"/>
          <w:sz w:val="24"/>
          <w:szCs w:val="24"/>
        </w:rPr>
        <w:t>R</w:t>
      </w:r>
      <w:r>
        <w:rPr>
          <w:rFonts w:ascii="Arial" w:hAnsi="Arial" w:cs="Arial"/>
          <w:sz w:val="24"/>
          <w:szCs w:val="24"/>
        </w:rPr>
        <w:t>eview 2011</w:t>
      </w:r>
      <w:r>
        <w:rPr>
          <w:rStyle w:val="FootnoteReference"/>
          <w:rFonts w:ascii="Arial" w:hAnsi="Arial" w:cs="Arial"/>
          <w:sz w:val="24"/>
          <w:szCs w:val="24"/>
        </w:rPr>
        <w:footnoteReference w:id="20"/>
      </w:r>
      <w:r w:rsidRPr="005A7289">
        <w:rPr>
          <w:rFonts w:ascii="Arial" w:hAnsi="Arial" w:cs="Arial"/>
          <w:sz w:val="24"/>
          <w:szCs w:val="24"/>
        </w:rPr>
        <w:t>.</w:t>
      </w:r>
      <w:r>
        <w:rPr>
          <w:rFonts w:ascii="Arial" w:hAnsi="Arial" w:cs="Arial"/>
          <w:sz w:val="24"/>
          <w:szCs w:val="24"/>
        </w:rPr>
        <w:t xml:space="preserve"> As it was the Coalition government decided against bringing this duty into force although the aspirational nature of the obligation would have created difficulties for enforcement</w:t>
      </w:r>
      <w:r>
        <w:rPr>
          <w:rStyle w:val="FootnoteReference"/>
          <w:rFonts w:ascii="Arial" w:hAnsi="Arial" w:cs="Arial"/>
          <w:sz w:val="24"/>
          <w:szCs w:val="24"/>
        </w:rPr>
        <w:footnoteReference w:id="21"/>
      </w:r>
      <w:r>
        <w:rPr>
          <w:rFonts w:ascii="Arial" w:hAnsi="Arial" w:cs="Arial"/>
          <w:sz w:val="24"/>
          <w:szCs w:val="24"/>
        </w:rPr>
        <w:t>.</w:t>
      </w:r>
    </w:p>
    <w:p w:rsidR="003B54AC" w:rsidRDefault="003B54AC" w:rsidP="003B54AC">
      <w:pPr>
        <w:spacing w:line="360" w:lineRule="auto"/>
        <w:jc w:val="both"/>
        <w:rPr>
          <w:rFonts w:ascii="Arial" w:hAnsi="Arial" w:cs="Arial"/>
          <w:sz w:val="24"/>
          <w:szCs w:val="24"/>
        </w:rPr>
      </w:pPr>
    </w:p>
    <w:p w:rsidR="003B54AC" w:rsidRDefault="003B54AC" w:rsidP="003B54AC">
      <w:pPr>
        <w:spacing w:line="360" w:lineRule="auto"/>
        <w:jc w:val="both"/>
        <w:rPr>
          <w:rFonts w:ascii="Arial" w:hAnsi="Arial" w:cs="Arial"/>
          <w:sz w:val="24"/>
          <w:szCs w:val="24"/>
        </w:rPr>
      </w:pPr>
      <w:r>
        <w:rPr>
          <w:rFonts w:ascii="Arial" w:hAnsi="Arial" w:cs="Arial"/>
          <w:sz w:val="24"/>
          <w:szCs w:val="24"/>
        </w:rPr>
        <w:t>The armed forces are classified as a public authority</w:t>
      </w:r>
      <w:r>
        <w:rPr>
          <w:rStyle w:val="FootnoteReference"/>
          <w:rFonts w:ascii="Arial" w:hAnsi="Arial" w:cs="Arial"/>
          <w:sz w:val="24"/>
          <w:szCs w:val="24"/>
        </w:rPr>
        <w:footnoteReference w:id="22"/>
      </w:r>
      <w:r>
        <w:rPr>
          <w:rFonts w:ascii="Arial" w:hAnsi="Arial" w:cs="Arial"/>
          <w:sz w:val="24"/>
          <w:szCs w:val="24"/>
        </w:rPr>
        <w:t xml:space="preserve"> and the new public sector duty set out in section 149(1)</w:t>
      </w:r>
      <w:r>
        <w:rPr>
          <w:rStyle w:val="FootnoteReference"/>
          <w:rFonts w:ascii="Arial" w:hAnsi="Arial" w:cs="Arial"/>
          <w:sz w:val="24"/>
          <w:szCs w:val="24"/>
        </w:rPr>
        <w:footnoteReference w:id="23"/>
      </w:r>
      <w:r>
        <w:rPr>
          <w:rFonts w:ascii="Arial" w:hAnsi="Arial" w:cs="Arial"/>
          <w:sz w:val="24"/>
          <w:szCs w:val="24"/>
        </w:rPr>
        <w:t xml:space="preserve"> applies to the military and is extended to persons </w:t>
      </w:r>
      <w:r>
        <w:rPr>
          <w:rFonts w:ascii="Arial" w:hAnsi="Arial" w:cs="Arial"/>
          <w:sz w:val="24"/>
          <w:szCs w:val="24"/>
        </w:rPr>
        <w:lastRenderedPageBreak/>
        <w:t>performing a public function who are not public authorities</w:t>
      </w:r>
      <w:r>
        <w:rPr>
          <w:rStyle w:val="FootnoteReference"/>
          <w:rFonts w:ascii="Arial" w:hAnsi="Arial" w:cs="Arial"/>
          <w:sz w:val="24"/>
          <w:szCs w:val="24"/>
        </w:rPr>
        <w:footnoteReference w:id="24"/>
      </w:r>
      <w:r>
        <w:rPr>
          <w:rFonts w:ascii="Arial" w:hAnsi="Arial" w:cs="Arial"/>
          <w:sz w:val="24"/>
          <w:szCs w:val="24"/>
        </w:rPr>
        <w:t>. To demonstrate compliance with this duty, public authorities must publish annual equality information</w:t>
      </w:r>
      <w:r>
        <w:rPr>
          <w:rStyle w:val="FootnoteReference"/>
          <w:rFonts w:ascii="Arial" w:hAnsi="Arial" w:cs="Arial"/>
          <w:sz w:val="24"/>
          <w:szCs w:val="24"/>
        </w:rPr>
        <w:footnoteReference w:id="25"/>
      </w:r>
      <w:r>
        <w:rPr>
          <w:rFonts w:ascii="Arial" w:hAnsi="Arial" w:cs="Arial"/>
          <w:sz w:val="24"/>
          <w:szCs w:val="24"/>
        </w:rPr>
        <w:t xml:space="preserve"> covering all protected characteristics</w:t>
      </w:r>
      <w:r>
        <w:rPr>
          <w:rStyle w:val="FootnoteReference"/>
          <w:rFonts w:ascii="Arial" w:hAnsi="Arial" w:cs="Arial"/>
          <w:sz w:val="24"/>
          <w:szCs w:val="24"/>
        </w:rPr>
        <w:footnoteReference w:id="26"/>
      </w:r>
      <w:r>
        <w:rPr>
          <w:rFonts w:ascii="Arial" w:hAnsi="Arial" w:cs="Arial"/>
          <w:sz w:val="24"/>
          <w:szCs w:val="24"/>
        </w:rPr>
        <w:t xml:space="preserve">. Furthermore, according to section 29(6) of the EA10 ‘[a] </w:t>
      </w:r>
      <w:r w:rsidRPr="00800F9E">
        <w:rPr>
          <w:rFonts w:ascii="Arial" w:hAnsi="Arial" w:cs="Arial"/>
          <w:sz w:val="24"/>
          <w:szCs w:val="24"/>
        </w:rPr>
        <w:t>person must not, in the exercise of a public function that is not the provision</w:t>
      </w:r>
      <w:r>
        <w:rPr>
          <w:rFonts w:ascii="Arial" w:hAnsi="Arial" w:cs="Arial"/>
          <w:sz w:val="24"/>
          <w:szCs w:val="24"/>
        </w:rPr>
        <w:t xml:space="preserve"> </w:t>
      </w:r>
      <w:r w:rsidRPr="00800F9E">
        <w:rPr>
          <w:rFonts w:ascii="Arial" w:hAnsi="Arial" w:cs="Arial"/>
          <w:sz w:val="24"/>
          <w:szCs w:val="24"/>
        </w:rPr>
        <w:t>of a service to the public or a section of the public, do anything that constitutes</w:t>
      </w:r>
      <w:r>
        <w:rPr>
          <w:rFonts w:ascii="Arial" w:hAnsi="Arial" w:cs="Arial"/>
          <w:sz w:val="24"/>
          <w:szCs w:val="24"/>
        </w:rPr>
        <w:t xml:space="preserve"> </w:t>
      </w:r>
      <w:r w:rsidRPr="00800F9E">
        <w:rPr>
          <w:rFonts w:ascii="Arial" w:hAnsi="Arial" w:cs="Arial"/>
          <w:sz w:val="24"/>
          <w:szCs w:val="24"/>
        </w:rPr>
        <w:t>discrimination, harassment or victimisation.</w:t>
      </w:r>
      <w:r>
        <w:rPr>
          <w:rFonts w:ascii="Arial" w:hAnsi="Arial" w:cs="Arial"/>
          <w:sz w:val="24"/>
          <w:szCs w:val="24"/>
        </w:rPr>
        <w:t>’ However, this is disapplied when relating to relevant discrimination ‘for the purpose of ensuring the combat effectiveness of the armed forces’</w:t>
      </w:r>
      <w:r>
        <w:rPr>
          <w:rStyle w:val="FootnoteReference"/>
          <w:rFonts w:ascii="Arial" w:hAnsi="Arial" w:cs="Arial"/>
          <w:sz w:val="24"/>
          <w:szCs w:val="24"/>
        </w:rPr>
        <w:footnoteReference w:id="27"/>
      </w:r>
      <w:r>
        <w:rPr>
          <w:rFonts w:ascii="Arial" w:hAnsi="Arial" w:cs="Arial"/>
          <w:sz w:val="24"/>
          <w:szCs w:val="24"/>
        </w:rPr>
        <w:t xml:space="preserve"> with ‘relevant discrimination’ made up of four of the protected characteristics, age, disability, gender reassignment and sex but does not include race and sexual orientation. </w:t>
      </w:r>
    </w:p>
    <w:p w:rsidR="003B54AC" w:rsidRDefault="003B54AC" w:rsidP="003B54AC">
      <w:pPr>
        <w:spacing w:line="360" w:lineRule="auto"/>
        <w:jc w:val="both"/>
        <w:rPr>
          <w:rFonts w:ascii="Arial" w:hAnsi="Arial" w:cs="Arial"/>
          <w:sz w:val="24"/>
          <w:szCs w:val="24"/>
        </w:rPr>
      </w:pPr>
    </w:p>
    <w:p w:rsidR="003B54AC" w:rsidRDefault="003B54AC" w:rsidP="003B54AC">
      <w:pPr>
        <w:spacing w:line="360" w:lineRule="auto"/>
        <w:jc w:val="both"/>
        <w:rPr>
          <w:rFonts w:ascii="Arial" w:hAnsi="Arial" w:cs="Arial"/>
          <w:sz w:val="24"/>
          <w:szCs w:val="24"/>
        </w:rPr>
      </w:pPr>
      <w:r>
        <w:rPr>
          <w:rFonts w:ascii="Arial" w:hAnsi="Arial" w:cs="Arial"/>
          <w:sz w:val="24"/>
          <w:szCs w:val="24"/>
        </w:rPr>
        <w:t>As a general employer the armed forces are prohibited by section 39(1) from discriminating when deciding who to or not to employ and the terms of employment and in section 39(2) from discriminating against an employee over terms of employment, opportunities for promotion, transfer or training, dismissal or any other detriment. However, there is another exception provided for the military when deciding who to or not to employ and opportunities for employees for promotion, transfer or training ‘by applying...</w:t>
      </w:r>
      <w:r w:rsidRPr="008748A4">
        <w:rPr>
          <w:rFonts w:ascii="Arial" w:hAnsi="Arial" w:cs="Arial"/>
          <w:sz w:val="24"/>
          <w:szCs w:val="24"/>
        </w:rPr>
        <w:t>a relevant requirement if the person</w:t>
      </w:r>
      <w:r>
        <w:rPr>
          <w:rFonts w:ascii="Arial" w:hAnsi="Arial" w:cs="Arial"/>
          <w:sz w:val="24"/>
          <w:szCs w:val="24"/>
        </w:rPr>
        <w:t xml:space="preserve"> </w:t>
      </w:r>
      <w:r w:rsidRPr="008748A4">
        <w:rPr>
          <w:rFonts w:ascii="Arial" w:hAnsi="Arial" w:cs="Arial"/>
          <w:sz w:val="24"/>
          <w:szCs w:val="24"/>
        </w:rPr>
        <w:t>shows that the application is a proportionate means of ensuring the combat</w:t>
      </w:r>
      <w:r>
        <w:rPr>
          <w:rFonts w:ascii="Arial" w:hAnsi="Arial" w:cs="Arial"/>
          <w:sz w:val="24"/>
          <w:szCs w:val="24"/>
        </w:rPr>
        <w:t xml:space="preserve"> </w:t>
      </w:r>
      <w:r w:rsidRPr="008748A4">
        <w:rPr>
          <w:rFonts w:ascii="Arial" w:hAnsi="Arial" w:cs="Arial"/>
          <w:sz w:val="24"/>
          <w:szCs w:val="24"/>
        </w:rPr>
        <w:t>ef</w:t>
      </w:r>
      <w:r>
        <w:rPr>
          <w:rFonts w:ascii="Arial" w:hAnsi="Arial" w:cs="Arial"/>
          <w:sz w:val="24"/>
          <w:szCs w:val="24"/>
        </w:rPr>
        <w:t>fectiveness of the armed forces’</w:t>
      </w:r>
      <w:r>
        <w:rPr>
          <w:rStyle w:val="FootnoteReference"/>
          <w:rFonts w:ascii="Arial" w:hAnsi="Arial" w:cs="Arial"/>
          <w:sz w:val="24"/>
          <w:szCs w:val="24"/>
        </w:rPr>
        <w:footnoteReference w:id="28"/>
      </w:r>
      <w:r>
        <w:rPr>
          <w:rFonts w:ascii="Arial" w:hAnsi="Arial" w:cs="Arial"/>
          <w:sz w:val="24"/>
          <w:szCs w:val="24"/>
        </w:rPr>
        <w:t>, where a ‘relevant requirement’ is either to be a man or not to be a transsexual person</w:t>
      </w:r>
      <w:r>
        <w:rPr>
          <w:rStyle w:val="FootnoteReference"/>
          <w:rFonts w:ascii="Arial" w:hAnsi="Arial" w:cs="Arial"/>
          <w:sz w:val="24"/>
          <w:szCs w:val="24"/>
        </w:rPr>
        <w:footnoteReference w:id="29"/>
      </w:r>
      <w:r>
        <w:rPr>
          <w:rFonts w:ascii="Arial" w:hAnsi="Arial" w:cs="Arial"/>
          <w:sz w:val="24"/>
          <w:szCs w:val="24"/>
        </w:rPr>
        <w:t>. Furthermore, Part 5 on Work, which contains section 39, does not apply to service in the armed forces as far as relating to age or disability</w:t>
      </w:r>
      <w:r>
        <w:rPr>
          <w:rStyle w:val="FootnoteReference"/>
          <w:rFonts w:ascii="Arial" w:hAnsi="Arial" w:cs="Arial"/>
          <w:sz w:val="24"/>
          <w:szCs w:val="24"/>
        </w:rPr>
        <w:footnoteReference w:id="30"/>
      </w:r>
      <w:r>
        <w:rPr>
          <w:rFonts w:ascii="Arial" w:hAnsi="Arial" w:cs="Arial"/>
          <w:sz w:val="24"/>
          <w:szCs w:val="24"/>
        </w:rPr>
        <w:t>.</w:t>
      </w:r>
    </w:p>
    <w:p w:rsidR="003B54AC" w:rsidRDefault="003B54AC" w:rsidP="003B54AC">
      <w:pPr>
        <w:spacing w:line="360" w:lineRule="auto"/>
        <w:jc w:val="both"/>
        <w:rPr>
          <w:rFonts w:ascii="Arial" w:hAnsi="Arial" w:cs="Arial"/>
          <w:sz w:val="24"/>
          <w:szCs w:val="24"/>
        </w:rPr>
      </w:pPr>
    </w:p>
    <w:p w:rsidR="003B54AC" w:rsidRPr="003B54AC" w:rsidRDefault="003B54AC" w:rsidP="003B54AC">
      <w:pPr>
        <w:spacing w:line="360" w:lineRule="auto"/>
        <w:jc w:val="both"/>
        <w:rPr>
          <w:rFonts w:ascii="Arial" w:hAnsi="Arial" w:cs="Arial"/>
          <w:sz w:val="24"/>
          <w:szCs w:val="24"/>
        </w:rPr>
      </w:pPr>
      <w:r>
        <w:rPr>
          <w:rFonts w:ascii="Arial" w:hAnsi="Arial" w:cs="Arial"/>
          <w:sz w:val="24"/>
          <w:szCs w:val="24"/>
        </w:rPr>
        <w:lastRenderedPageBreak/>
        <w:t>Finally there is a general exception for national security but only to the extent that</w:t>
      </w:r>
      <w:r w:rsidRPr="00CD4DB5">
        <w:rPr>
          <w:rFonts w:ascii="Arial" w:hAnsi="Arial" w:cs="Arial"/>
          <w:sz w:val="24"/>
          <w:szCs w:val="24"/>
        </w:rPr>
        <w:t xml:space="preserve"> it is proportionate to do </w:t>
      </w:r>
      <w:r>
        <w:rPr>
          <w:rFonts w:ascii="Arial" w:hAnsi="Arial" w:cs="Arial"/>
          <w:sz w:val="24"/>
          <w:szCs w:val="24"/>
        </w:rPr>
        <w:t>so</w:t>
      </w:r>
      <w:r>
        <w:rPr>
          <w:rStyle w:val="FootnoteReference"/>
          <w:rFonts w:ascii="Arial" w:hAnsi="Arial" w:cs="Arial"/>
          <w:sz w:val="24"/>
          <w:szCs w:val="24"/>
        </w:rPr>
        <w:footnoteReference w:id="31"/>
      </w:r>
      <w:r>
        <w:rPr>
          <w:rFonts w:ascii="Arial" w:hAnsi="Arial" w:cs="Arial"/>
          <w:sz w:val="24"/>
          <w:szCs w:val="24"/>
        </w:rPr>
        <w:t>. However, there is no definition of national security and so the exception is uncertain.</w:t>
      </w:r>
    </w:p>
    <w:p w:rsidR="00525B50" w:rsidRDefault="00B105AC" w:rsidP="00B105AC">
      <w:pPr>
        <w:pStyle w:val="ListParagraph"/>
        <w:numPr>
          <w:ilvl w:val="0"/>
          <w:numId w:val="1"/>
        </w:numPr>
        <w:spacing w:line="360" w:lineRule="auto"/>
        <w:jc w:val="both"/>
        <w:rPr>
          <w:rFonts w:ascii="Arial" w:hAnsi="Arial" w:cs="Arial"/>
          <w:sz w:val="24"/>
          <w:szCs w:val="24"/>
        </w:rPr>
      </w:pPr>
      <w:r>
        <w:rPr>
          <w:rFonts w:ascii="Arial" w:hAnsi="Arial" w:cs="Arial"/>
          <w:sz w:val="24"/>
          <w:szCs w:val="24"/>
        </w:rPr>
        <w:t>Age</w:t>
      </w:r>
    </w:p>
    <w:p w:rsidR="00B105AC" w:rsidRDefault="00B105AC" w:rsidP="00B105AC">
      <w:pPr>
        <w:spacing w:line="360" w:lineRule="auto"/>
        <w:jc w:val="both"/>
        <w:rPr>
          <w:rFonts w:ascii="Arial" w:hAnsi="Arial" w:cs="Arial"/>
          <w:sz w:val="24"/>
          <w:szCs w:val="24"/>
        </w:rPr>
      </w:pPr>
      <w:r w:rsidRPr="00B105AC">
        <w:rPr>
          <w:rFonts w:ascii="Arial" w:hAnsi="Arial" w:cs="Arial"/>
          <w:sz w:val="24"/>
          <w:szCs w:val="24"/>
        </w:rPr>
        <w:t>Article 1 of the EU Framework Directive on</w:t>
      </w:r>
      <w:r>
        <w:rPr>
          <w:rFonts w:ascii="Arial" w:hAnsi="Arial" w:cs="Arial"/>
          <w:sz w:val="24"/>
          <w:szCs w:val="24"/>
        </w:rPr>
        <w:t xml:space="preserve"> Equal Treatment in Employment </w:t>
      </w:r>
      <w:r w:rsidRPr="00B105AC">
        <w:rPr>
          <w:rFonts w:ascii="Arial" w:hAnsi="Arial" w:cs="Arial"/>
          <w:sz w:val="24"/>
          <w:szCs w:val="24"/>
        </w:rPr>
        <w:t>provides for the p</w:t>
      </w:r>
      <w:r w:rsidR="003B54AC">
        <w:rPr>
          <w:rFonts w:ascii="Arial" w:hAnsi="Arial" w:cs="Arial"/>
          <w:sz w:val="24"/>
          <w:szCs w:val="24"/>
        </w:rPr>
        <w:t>rohibition of discrimination on</w:t>
      </w:r>
      <w:r w:rsidRPr="00B105AC">
        <w:rPr>
          <w:rFonts w:ascii="Arial" w:hAnsi="Arial" w:cs="Arial"/>
          <w:sz w:val="24"/>
          <w:szCs w:val="24"/>
        </w:rPr>
        <w:t xml:space="preserve"> </w:t>
      </w:r>
      <w:r w:rsidRPr="003B54AC">
        <w:rPr>
          <w:rFonts w:ascii="Arial" w:hAnsi="Arial" w:cs="Arial"/>
          <w:i/>
          <w:sz w:val="24"/>
          <w:szCs w:val="24"/>
        </w:rPr>
        <w:t>inter alia</w:t>
      </w:r>
      <w:r w:rsidRPr="00B105AC">
        <w:rPr>
          <w:rFonts w:ascii="Arial" w:hAnsi="Arial" w:cs="Arial"/>
          <w:sz w:val="24"/>
          <w:szCs w:val="24"/>
        </w:rPr>
        <w:t xml:space="preserve"> the grounds of age. However, Article 3(4) enables Member States to derogate from the Directive on the grounds of age for the armed forces.</w:t>
      </w:r>
      <w:r>
        <w:rPr>
          <w:rFonts w:ascii="Arial" w:hAnsi="Arial" w:cs="Arial"/>
          <w:sz w:val="24"/>
          <w:szCs w:val="24"/>
        </w:rPr>
        <w:t xml:space="preserve"> </w:t>
      </w:r>
      <w:r w:rsidR="00E033E0" w:rsidRPr="007B59B1">
        <w:rPr>
          <w:rFonts w:ascii="Arial" w:hAnsi="Arial" w:cs="Arial"/>
          <w:sz w:val="24"/>
          <w:szCs w:val="24"/>
        </w:rPr>
        <w:t xml:space="preserve">The UK, as we have seen in the EA10, has taken advantage of this derogation. There is a danger here though in a line of case law from the ECJ. In </w:t>
      </w:r>
      <w:r w:rsidR="00E033E0" w:rsidRPr="007C6283">
        <w:rPr>
          <w:rFonts w:ascii="Arial" w:hAnsi="Arial" w:cs="Arial"/>
          <w:i/>
          <w:sz w:val="24"/>
          <w:szCs w:val="24"/>
        </w:rPr>
        <w:t>Mangold</w:t>
      </w:r>
      <w:r w:rsidR="00E033E0" w:rsidRPr="00F72CE0">
        <w:rPr>
          <w:rStyle w:val="FootnoteReference"/>
          <w:rFonts w:ascii="Arial" w:hAnsi="Arial" w:cs="Arial"/>
          <w:sz w:val="24"/>
          <w:szCs w:val="24"/>
        </w:rPr>
        <w:footnoteReference w:id="32"/>
      </w:r>
      <w:r w:rsidR="00E033E0" w:rsidRPr="007B59B1">
        <w:rPr>
          <w:rFonts w:ascii="Arial" w:hAnsi="Arial" w:cs="Arial"/>
          <w:sz w:val="24"/>
          <w:szCs w:val="24"/>
        </w:rPr>
        <w:t xml:space="preserve"> the Court held that although the Directive could not apply when an individual brought an action against another individual (horizontal direct effect), discrimination on the basis of age was a general principle of EU Law and as such existed prior to the entry into force of the Directive. This has been further entrenched and extended in the case of </w:t>
      </w:r>
      <w:r w:rsidR="00E033E0" w:rsidRPr="007C6283">
        <w:rPr>
          <w:rFonts w:ascii="Arial" w:hAnsi="Arial" w:cs="Arial"/>
          <w:i/>
          <w:sz w:val="24"/>
          <w:szCs w:val="24"/>
        </w:rPr>
        <w:t>Kücükdeveci</w:t>
      </w:r>
      <w:r w:rsidR="00E033E0" w:rsidRPr="00F72CE0">
        <w:rPr>
          <w:rStyle w:val="FootnoteReference"/>
          <w:rFonts w:ascii="Arial" w:hAnsi="Arial" w:cs="Arial"/>
          <w:sz w:val="24"/>
          <w:szCs w:val="24"/>
        </w:rPr>
        <w:footnoteReference w:id="33"/>
      </w:r>
      <w:r w:rsidR="00E033E0" w:rsidRPr="007B59B1">
        <w:rPr>
          <w:rFonts w:ascii="Arial" w:hAnsi="Arial" w:cs="Arial"/>
          <w:sz w:val="24"/>
          <w:szCs w:val="24"/>
        </w:rPr>
        <w:t xml:space="preserve"> where the ECJ held that this fundamental right could be enforced by an individual in a national court.</w:t>
      </w:r>
    </w:p>
    <w:p w:rsidR="00DA0907" w:rsidRDefault="00DA0907" w:rsidP="00B105AC">
      <w:pPr>
        <w:spacing w:line="360" w:lineRule="auto"/>
        <w:jc w:val="both"/>
        <w:rPr>
          <w:rFonts w:ascii="Arial" w:hAnsi="Arial" w:cs="Arial"/>
          <w:sz w:val="24"/>
          <w:szCs w:val="24"/>
        </w:rPr>
      </w:pPr>
    </w:p>
    <w:p w:rsidR="00DA0907" w:rsidRDefault="00DA0907" w:rsidP="00B105AC">
      <w:pPr>
        <w:spacing w:line="360" w:lineRule="auto"/>
        <w:jc w:val="both"/>
        <w:rPr>
          <w:rFonts w:ascii="Arial" w:hAnsi="Arial" w:cs="Arial"/>
          <w:sz w:val="24"/>
          <w:szCs w:val="24"/>
        </w:rPr>
      </w:pPr>
      <w:r>
        <w:rPr>
          <w:rFonts w:ascii="Arial" w:hAnsi="Arial" w:cs="Arial"/>
          <w:sz w:val="24"/>
          <w:szCs w:val="24"/>
        </w:rPr>
        <w:t>For age discrimination can either be direct or indirect (EA10 ss 13 and 19) but such discrimination can be justified if it can be shown that it is a proportionate means of achieving a legitimate aim (EA10 s 13(2)).</w:t>
      </w:r>
    </w:p>
    <w:p w:rsidR="00E033E0" w:rsidRDefault="00E033E0" w:rsidP="00E033E0">
      <w:pPr>
        <w:pStyle w:val="ListParagraph"/>
        <w:numPr>
          <w:ilvl w:val="0"/>
          <w:numId w:val="1"/>
        </w:numPr>
        <w:spacing w:line="360" w:lineRule="auto"/>
        <w:jc w:val="both"/>
        <w:rPr>
          <w:rFonts w:ascii="Arial" w:hAnsi="Arial" w:cs="Arial"/>
          <w:sz w:val="24"/>
          <w:szCs w:val="24"/>
        </w:rPr>
      </w:pPr>
      <w:r>
        <w:rPr>
          <w:rFonts w:ascii="Arial" w:hAnsi="Arial" w:cs="Arial"/>
          <w:sz w:val="24"/>
          <w:szCs w:val="24"/>
        </w:rPr>
        <w:t>Disability</w:t>
      </w:r>
    </w:p>
    <w:p w:rsidR="00C31846" w:rsidRDefault="00E033E0" w:rsidP="00356E4C">
      <w:pPr>
        <w:spacing w:line="360" w:lineRule="auto"/>
        <w:jc w:val="both"/>
        <w:rPr>
          <w:rFonts w:ascii="Arial" w:hAnsi="Arial" w:cs="Arial"/>
          <w:sz w:val="24"/>
          <w:szCs w:val="24"/>
        </w:rPr>
      </w:pPr>
      <w:r>
        <w:rPr>
          <w:rFonts w:ascii="Arial" w:hAnsi="Arial" w:cs="Arial"/>
          <w:sz w:val="24"/>
          <w:szCs w:val="24"/>
        </w:rPr>
        <w:t xml:space="preserve">As with age above, the Directive prohibits discrimination on the basis of disability but Article 3(4) enables Member States to exclude this for the armed forces, which as we have seen the UK has taken advantage of. </w:t>
      </w:r>
      <w:r w:rsidR="00356E4C">
        <w:rPr>
          <w:rFonts w:ascii="Arial" w:hAnsi="Arial" w:cs="Arial"/>
          <w:sz w:val="24"/>
          <w:szCs w:val="24"/>
        </w:rPr>
        <w:t xml:space="preserve">Disability discrimination does though have a different angle to age discrimination with the adoption of the </w:t>
      </w:r>
      <w:r w:rsidR="00306E96">
        <w:rPr>
          <w:rFonts w:ascii="Arial" w:hAnsi="Arial" w:cs="Arial"/>
          <w:sz w:val="24"/>
          <w:szCs w:val="24"/>
        </w:rPr>
        <w:t>UNCRPD</w:t>
      </w:r>
      <w:r w:rsidR="00356E4C">
        <w:rPr>
          <w:rFonts w:ascii="Arial" w:hAnsi="Arial" w:cs="Arial"/>
          <w:sz w:val="24"/>
          <w:szCs w:val="24"/>
        </w:rPr>
        <w:t xml:space="preserve"> and the Optional Protocol. This instrument contains a broader definition of disability, does not require a comparator to establish discrimination and contains no exclusions. The UK ratified the </w:t>
      </w:r>
      <w:r w:rsidR="00306E96">
        <w:rPr>
          <w:rFonts w:ascii="Arial" w:hAnsi="Arial" w:cs="Arial"/>
          <w:sz w:val="24"/>
          <w:szCs w:val="24"/>
        </w:rPr>
        <w:t>UNCRPD</w:t>
      </w:r>
      <w:r w:rsidR="00356E4C">
        <w:rPr>
          <w:rFonts w:ascii="Arial" w:hAnsi="Arial" w:cs="Arial"/>
          <w:sz w:val="24"/>
          <w:szCs w:val="24"/>
        </w:rPr>
        <w:t xml:space="preserve"> and the Protocol in 2009 but has yet to give them effect in UK domestic law, whilst t</w:t>
      </w:r>
      <w:r w:rsidR="0074566B">
        <w:rPr>
          <w:rFonts w:ascii="Arial" w:hAnsi="Arial" w:cs="Arial"/>
          <w:sz w:val="24"/>
          <w:szCs w:val="24"/>
        </w:rPr>
        <w:t>he EU also ratified them in 2010</w:t>
      </w:r>
      <w:r w:rsidR="0074566B">
        <w:rPr>
          <w:rStyle w:val="FootnoteReference"/>
          <w:rFonts w:ascii="Arial" w:hAnsi="Arial" w:cs="Arial"/>
          <w:sz w:val="24"/>
          <w:szCs w:val="24"/>
        </w:rPr>
        <w:footnoteReference w:id="34"/>
      </w:r>
      <w:r w:rsidR="00356E4C">
        <w:rPr>
          <w:rFonts w:ascii="Arial" w:hAnsi="Arial" w:cs="Arial"/>
          <w:sz w:val="24"/>
          <w:szCs w:val="24"/>
        </w:rPr>
        <w:t>. The result of the EU’s ratification is that the EU Courts must take into consideration these instruments and read EU Law in accordance with them</w:t>
      </w:r>
      <w:r w:rsidR="00D31FE0">
        <w:rPr>
          <w:rStyle w:val="FootnoteReference"/>
          <w:rFonts w:ascii="Arial" w:hAnsi="Arial" w:cs="Arial"/>
          <w:sz w:val="24"/>
          <w:szCs w:val="24"/>
        </w:rPr>
        <w:footnoteReference w:id="35"/>
      </w:r>
      <w:r w:rsidR="00356E4C">
        <w:rPr>
          <w:rFonts w:ascii="Arial" w:hAnsi="Arial" w:cs="Arial"/>
          <w:sz w:val="24"/>
          <w:szCs w:val="24"/>
        </w:rPr>
        <w:t xml:space="preserve">. </w:t>
      </w:r>
      <w:r w:rsidR="008861A3">
        <w:rPr>
          <w:rFonts w:ascii="Arial" w:hAnsi="Arial" w:cs="Arial"/>
          <w:sz w:val="24"/>
          <w:szCs w:val="24"/>
        </w:rPr>
        <w:t xml:space="preserve">This was confirmed in </w:t>
      </w:r>
      <w:proofErr w:type="spellStart"/>
      <w:r w:rsidR="008861A3">
        <w:rPr>
          <w:rFonts w:ascii="Arial" w:hAnsi="Arial" w:cs="Arial"/>
          <w:i/>
          <w:sz w:val="24"/>
          <w:szCs w:val="24"/>
        </w:rPr>
        <w:t>Danmark</w:t>
      </w:r>
      <w:proofErr w:type="spellEnd"/>
      <w:r w:rsidR="008861A3">
        <w:rPr>
          <w:rStyle w:val="FootnoteReference"/>
          <w:rFonts w:ascii="Arial" w:hAnsi="Arial" w:cs="Arial"/>
          <w:i/>
          <w:sz w:val="24"/>
          <w:szCs w:val="24"/>
        </w:rPr>
        <w:footnoteReference w:id="36"/>
      </w:r>
      <w:r w:rsidR="008861A3">
        <w:rPr>
          <w:rFonts w:ascii="Arial" w:hAnsi="Arial" w:cs="Arial"/>
          <w:sz w:val="24"/>
          <w:szCs w:val="24"/>
        </w:rPr>
        <w:t xml:space="preserve"> </w:t>
      </w:r>
      <w:r w:rsidR="00900EA0">
        <w:rPr>
          <w:rFonts w:ascii="Arial" w:hAnsi="Arial" w:cs="Arial"/>
          <w:sz w:val="24"/>
          <w:szCs w:val="24"/>
        </w:rPr>
        <w:t xml:space="preserve">where the Court held that the provisions of the </w:t>
      </w:r>
      <w:r w:rsidR="00306E96">
        <w:rPr>
          <w:rFonts w:ascii="Arial" w:hAnsi="Arial" w:cs="Arial"/>
          <w:sz w:val="24"/>
          <w:szCs w:val="24"/>
        </w:rPr>
        <w:t>UNCRPD</w:t>
      </w:r>
      <w:r w:rsidR="00900EA0">
        <w:rPr>
          <w:rFonts w:ascii="Arial" w:hAnsi="Arial" w:cs="Arial"/>
          <w:sz w:val="24"/>
          <w:szCs w:val="24"/>
        </w:rPr>
        <w:t xml:space="preserve"> are “from the time of its entry into force, an integral part of the European Union order”. However, </w:t>
      </w:r>
      <w:r w:rsidR="00395EB8">
        <w:rPr>
          <w:rFonts w:ascii="Arial" w:hAnsi="Arial" w:cs="Arial"/>
          <w:sz w:val="24"/>
          <w:szCs w:val="24"/>
        </w:rPr>
        <w:t xml:space="preserve">Article </w:t>
      </w:r>
      <w:r w:rsidR="00C5693F">
        <w:rPr>
          <w:rFonts w:ascii="Arial" w:hAnsi="Arial" w:cs="Arial"/>
          <w:sz w:val="24"/>
          <w:szCs w:val="24"/>
        </w:rPr>
        <w:t>1(1) of the Decision notes a reservation</w:t>
      </w:r>
      <w:r w:rsidR="00AA157C">
        <w:rPr>
          <w:rFonts w:ascii="Arial" w:hAnsi="Arial" w:cs="Arial"/>
          <w:sz w:val="24"/>
          <w:szCs w:val="24"/>
        </w:rPr>
        <w:t xml:space="preserve"> to Article 27.1 of the </w:t>
      </w:r>
      <w:r w:rsidR="00306E96">
        <w:rPr>
          <w:rFonts w:ascii="Arial" w:hAnsi="Arial" w:cs="Arial"/>
          <w:sz w:val="24"/>
          <w:szCs w:val="24"/>
        </w:rPr>
        <w:t xml:space="preserve">UNCRPD </w:t>
      </w:r>
      <w:r w:rsidR="00AA157C">
        <w:rPr>
          <w:rFonts w:ascii="Arial" w:hAnsi="Arial" w:cs="Arial"/>
          <w:sz w:val="24"/>
          <w:szCs w:val="24"/>
        </w:rPr>
        <w:t xml:space="preserve">on Work and Employment, which explains that the </w:t>
      </w:r>
      <w:r w:rsidR="00306E96">
        <w:rPr>
          <w:rFonts w:ascii="Arial" w:hAnsi="Arial" w:cs="Arial"/>
          <w:sz w:val="24"/>
          <w:szCs w:val="24"/>
        </w:rPr>
        <w:t xml:space="preserve">UNCRPD </w:t>
      </w:r>
      <w:r w:rsidR="00AA157C">
        <w:rPr>
          <w:rFonts w:ascii="Arial" w:hAnsi="Arial" w:cs="Arial"/>
          <w:sz w:val="24"/>
          <w:szCs w:val="24"/>
        </w:rPr>
        <w:t>is concluded without prejudice to the right of Member States to derogate</w:t>
      </w:r>
      <w:r w:rsidR="00C31846">
        <w:rPr>
          <w:rFonts w:ascii="Arial" w:hAnsi="Arial" w:cs="Arial"/>
          <w:sz w:val="24"/>
          <w:szCs w:val="24"/>
        </w:rPr>
        <w:t xml:space="preserve"> to the extent of Article 3(4) of Directive 2000/78 by entering their own reservations</w:t>
      </w:r>
      <w:r w:rsidR="00C5693F">
        <w:rPr>
          <w:rFonts w:ascii="Arial" w:hAnsi="Arial" w:cs="Arial"/>
          <w:sz w:val="24"/>
          <w:szCs w:val="24"/>
        </w:rPr>
        <w:t xml:space="preserve"> </w:t>
      </w:r>
      <w:r w:rsidR="00C31846">
        <w:rPr>
          <w:rFonts w:ascii="Arial" w:hAnsi="Arial" w:cs="Arial"/>
          <w:sz w:val="24"/>
          <w:szCs w:val="24"/>
        </w:rPr>
        <w:t xml:space="preserve">to the </w:t>
      </w:r>
      <w:r w:rsidR="00306E96">
        <w:rPr>
          <w:rFonts w:ascii="Arial" w:hAnsi="Arial" w:cs="Arial"/>
          <w:sz w:val="24"/>
          <w:szCs w:val="24"/>
        </w:rPr>
        <w:t>UNCRPD</w:t>
      </w:r>
      <w:r w:rsidR="00C31846">
        <w:rPr>
          <w:rFonts w:ascii="Arial" w:hAnsi="Arial" w:cs="Arial"/>
          <w:sz w:val="24"/>
          <w:szCs w:val="24"/>
        </w:rPr>
        <w:t xml:space="preserve">. The UK’s Declaration to the </w:t>
      </w:r>
      <w:r w:rsidR="00306E96">
        <w:rPr>
          <w:rFonts w:ascii="Arial" w:hAnsi="Arial" w:cs="Arial"/>
          <w:sz w:val="24"/>
          <w:szCs w:val="24"/>
        </w:rPr>
        <w:t xml:space="preserve">UNCRPD </w:t>
      </w:r>
      <w:r w:rsidR="00C31846">
        <w:rPr>
          <w:rFonts w:ascii="Arial" w:hAnsi="Arial" w:cs="Arial"/>
          <w:sz w:val="24"/>
          <w:szCs w:val="24"/>
        </w:rPr>
        <w:t>states that the UK “</w:t>
      </w:r>
      <w:r w:rsidR="00C31846" w:rsidRPr="00C31846">
        <w:rPr>
          <w:rFonts w:ascii="Arial" w:hAnsi="Arial" w:cs="Arial"/>
          <w:sz w:val="24"/>
          <w:szCs w:val="24"/>
        </w:rPr>
        <w:t xml:space="preserve">accepts the provisions of the Convention, subject to the understanding that none of its obligations relating to equal treatment in employment and occupation, shall apply to the admission into or service in any of the </w:t>
      </w:r>
      <w:r w:rsidR="00C31846" w:rsidRPr="00C31846">
        <w:rPr>
          <w:rFonts w:ascii="Arial" w:hAnsi="Arial" w:cs="Arial"/>
          <w:sz w:val="24"/>
          <w:szCs w:val="24"/>
        </w:rPr>
        <w:lastRenderedPageBreak/>
        <w:t>naval, military or air forces of the Crown.</w:t>
      </w:r>
      <w:r w:rsidR="00C31846">
        <w:rPr>
          <w:rFonts w:ascii="Arial" w:hAnsi="Arial" w:cs="Arial"/>
          <w:sz w:val="24"/>
          <w:szCs w:val="24"/>
        </w:rPr>
        <w:t>” No cases have come before the</w:t>
      </w:r>
      <w:r w:rsidR="00356E4C">
        <w:rPr>
          <w:rFonts w:ascii="Arial" w:hAnsi="Arial" w:cs="Arial"/>
          <w:sz w:val="24"/>
          <w:szCs w:val="24"/>
        </w:rPr>
        <w:t xml:space="preserve"> CJEU</w:t>
      </w:r>
      <w:r w:rsidR="00C31846">
        <w:rPr>
          <w:rFonts w:ascii="Arial" w:hAnsi="Arial" w:cs="Arial"/>
          <w:sz w:val="24"/>
          <w:szCs w:val="24"/>
        </w:rPr>
        <w:t xml:space="preserve"> for interpretation of these provisions and at first blush it would appear that the armed forces exclusion from disability discrimination legislation is watertight. However</w:t>
      </w:r>
      <w:r w:rsidR="00356E4C">
        <w:rPr>
          <w:rFonts w:ascii="Arial" w:hAnsi="Arial" w:cs="Arial"/>
          <w:sz w:val="24"/>
          <w:szCs w:val="24"/>
        </w:rPr>
        <w:t>,</w:t>
      </w:r>
      <w:r w:rsidR="00C31846">
        <w:rPr>
          <w:rFonts w:ascii="Arial" w:hAnsi="Arial" w:cs="Arial"/>
          <w:sz w:val="24"/>
          <w:szCs w:val="24"/>
        </w:rPr>
        <w:t xml:space="preserve"> the CJEU, as can be seen in </w:t>
      </w:r>
      <w:r w:rsidR="00C31846">
        <w:rPr>
          <w:rFonts w:ascii="Arial" w:hAnsi="Arial" w:cs="Arial"/>
          <w:i/>
          <w:sz w:val="24"/>
          <w:szCs w:val="24"/>
        </w:rPr>
        <w:t>Mangold</w:t>
      </w:r>
      <w:r w:rsidR="00C31846">
        <w:rPr>
          <w:rFonts w:ascii="Arial" w:hAnsi="Arial" w:cs="Arial"/>
          <w:sz w:val="24"/>
          <w:szCs w:val="24"/>
        </w:rPr>
        <w:t xml:space="preserve"> and </w:t>
      </w:r>
      <w:r w:rsidR="00C31846">
        <w:rPr>
          <w:rFonts w:ascii="Arial" w:hAnsi="Arial" w:cs="Arial"/>
          <w:i/>
          <w:sz w:val="24"/>
          <w:szCs w:val="24"/>
        </w:rPr>
        <w:t>Kücükdeveci</w:t>
      </w:r>
      <w:r w:rsidR="00C31846">
        <w:rPr>
          <w:rFonts w:ascii="Arial" w:hAnsi="Arial" w:cs="Arial"/>
          <w:sz w:val="24"/>
          <w:szCs w:val="24"/>
        </w:rPr>
        <w:t xml:space="preserve">, can be an activist court and this </w:t>
      </w:r>
      <w:r w:rsidR="007C50D2">
        <w:rPr>
          <w:rFonts w:ascii="Arial" w:hAnsi="Arial" w:cs="Arial"/>
          <w:sz w:val="24"/>
          <w:szCs w:val="24"/>
        </w:rPr>
        <w:t>can be</w:t>
      </w:r>
      <w:r w:rsidR="00C31846">
        <w:rPr>
          <w:rFonts w:ascii="Arial" w:hAnsi="Arial" w:cs="Arial"/>
          <w:sz w:val="24"/>
          <w:szCs w:val="24"/>
        </w:rPr>
        <w:t xml:space="preserve"> stronger in situations where fundamental principles are involved</w:t>
      </w:r>
      <w:r w:rsidR="007C50D2">
        <w:rPr>
          <w:rFonts w:ascii="Arial" w:hAnsi="Arial" w:cs="Arial"/>
          <w:sz w:val="24"/>
          <w:szCs w:val="24"/>
        </w:rPr>
        <w:t>, such as equality and non-discrimination</w:t>
      </w:r>
      <w:r w:rsidR="00C31846">
        <w:rPr>
          <w:rFonts w:ascii="Arial" w:hAnsi="Arial" w:cs="Arial"/>
          <w:sz w:val="24"/>
          <w:szCs w:val="24"/>
        </w:rPr>
        <w:t>.</w:t>
      </w:r>
      <w:r w:rsidR="00356E4C">
        <w:rPr>
          <w:rFonts w:ascii="Arial" w:hAnsi="Arial" w:cs="Arial"/>
          <w:sz w:val="24"/>
          <w:szCs w:val="24"/>
        </w:rPr>
        <w:t xml:space="preserve"> </w:t>
      </w:r>
    </w:p>
    <w:p w:rsidR="00356E4C" w:rsidRDefault="007C50D2" w:rsidP="00356E4C">
      <w:pPr>
        <w:spacing w:line="360" w:lineRule="auto"/>
        <w:jc w:val="both"/>
        <w:rPr>
          <w:rFonts w:ascii="Arial" w:hAnsi="Arial" w:cs="Arial"/>
          <w:sz w:val="24"/>
          <w:szCs w:val="24"/>
        </w:rPr>
      </w:pPr>
      <w:r>
        <w:rPr>
          <w:rFonts w:ascii="Arial" w:hAnsi="Arial" w:cs="Arial"/>
          <w:sz w:val="24"/>
          <w:szCs w:val="24"/>
        </w:rPr>
        <w:t>However,</w:t>
      </w:r>
      <w:r w:rsidR="00356E4C">
        <w:rPr>
          <w:rFonts w:ascii="Arial" w:hAnsi="Arial" w:cs="Arial"/>
          <w:sz w:val="24"/>
          <w:szCs w:val="24"/>
        </w:rPr>
        <w:t xml:space="preserve"> the ECtHR (unconnected to the EU) has </w:t>
      </w:r>
      <w:r>
        <w:rPr>
          <w:rFonts w:ascii="Arial" w:hAnsi="Arial" w:cs="Arial"/>
          <w:sz w:val="24"/>
          <w:szCs w:val="24"/>
        </w:rPr>
        <w:t>started to take</w:t>
      </w:r>
      <w:r w:rsidR="00356E4C">
        <w:rPr>
          <w:rFonts w:ascii="Arial" w:hAnsi="Arial" w:cs="Arial"/>
          <w:sz w:val="24"/>
          <w:szCs w:val="24"/>
        </w:rPr>
        <w:t xml:space="preserve"> note of the </w:t>
      </w:r>
      <w:r w:rsidR="00306E96">
        <w:rPr>
          <w:rFonts w:ascii="Arial" w:hAnsi="Arial" w:cs="Arial"/>
          <w:sz w:val="24"/>
          <w:szCs w:val="24"/>
        </w:rPr>
        <w:t xml:space="preserve">UNCRPD </w:t>
      </w:r>
      <w:r w:rsidR="00356E4C">
        <w:rPr>
          <w:rFonts w:ascii="Arial" w:hAnsi="Arial" w:cs="Arial"/>
          <w:sz w:val="24"/>
          <w:szCs w:val="24"/>
        </w:rPr>
        <w:t>when ruling on the discrimination provisions of the ECHR</w:t>
      </w:r>
      <w:r w:rsidR="009A190F">
        <w:rPr>
          <w:rFonts w:ascii="Arial" w:hAnsi="Arial" w:cs="Arial"/>
          <w:sz w:val="24"/>
          <w:szCs w:val="24"/>
        </w:rPr>
        <w:t>.</w:t>
      </w:r>
      <w:r>
        <w:rPr>
          <w:rFonts w:ascii="Arial" w:hAnsi="Arial" w:cs="Arial"/>
          <w:sz w:val="24"/>
          <w:szCs w:val="24"/>
        </w:rPr>
        <w:t xml:space="preserve"> </w:t>
      </w:r>
      <w:r w:rsidR="00D63870">
        <w:rPr>
          <w:rFonts w:ascii="Arial" w:hAnsi="Arial" w:cs="Arial"/>
          <w:sz w:val="24"/>
          <w:szCs w:val="24"/>
        </w:rPr>
        <w:t>Article 14ECHR is parasitic and so for it to bite another convention right must be activated first. Most individuals claiming discrimination on the basis of a disability will first claim</w:t>
      </w:r>
      <w:r w:rsidR="000B20FC">
        <w:rPr>
          <w:rFonts w:ascii="Arial" w:hAnsi="Arial" w:cs="Arial"/>
          <w:sz w:val="24"/>
          <w:szCs w:val="24"/>
        </w:rPr>
        <w:t xml:space="preserve"> infringement of Article 3ECHR, the right to freedom from torture and inhumane treatment</w:t>
      </w:r>
      <w:r w:rsidR="000B20FC">
        <w:rPr>
          <w:rStyle w:val="FootnoteReference"/>
          <w:rFonts w:ascii="Arial" w:hAnsi="Arial" w:cs="Arial"/>
          <w:sz w:val="24"/>
          <w:szCs w:val="24"/>
        </w:rPr>
        <w:footnoteReference w:id="37"/>
      </w:r>
      <w:r w:rsidR="000B20FC">
        <w:rPr>
          <w:rFonts w:ascii="Arial" w:hAnsi="Arial" w:cs="Arial"/>
          <w:sz w:val="24"/>
          <w:szCs w:val="24"/>
        </w:rPr>
        <w:t>, or Article 8ECHR, the right to respect for private and family life</w:t>
      </w:r>
      <w:r w:rsidR="000B20FC">
        <w:rPr>
          <w:rStyle w:val="FootnoteReference"/>
          <w:rFonts w:ascii="Arial" w:hAnsi="Arial" w:cs="Arial"/>
          <w:sz w:val="24"/>
          <w:szCs w:val="24"/>
        </w:rPr>
        <w:footnoteReference w:id="38"/>
      </w:r>
      <w:r w:rsidR="000B20FC">
        <w:rPr>
          <w:rFonts w:ascii="Arial" w:hAnsi="Arial" w:cs="Arial"/>
          <w:sz w:val="24"/>
          <w:szCs w:val="24"/>
        </w:rPr>
        <w:t>.</w:t>
      </w:r>
      <w:r w:rsidR="00B2178F">
        <w:rPr>
          <w:rFonts w:ascii="Arial" w:hAnsi="Arial" w:cs="Arial"/>
          <w:sz w:val="24"/>
          <w:szCs w:val="24"/>
        </w:rPr>
        <w:t xml:space="preserve"> </w:t>
      </w:r>
      <w:proofErr w:type="spellStart"/>
      <w:r w:rsidR="00B2178F">
        <w:rPr>
          <w:rFonts w:ascii="Arial" w:hAnsi="Arial" w:cs="Arial"/>
          <w:sz w:val="24"/>
          <w:szCs w:val="24"/>
        </w:rPr>
        <w:t>Stavert</w:t>
      </w:r>
      <w:proofErr w:type="spellEnd"/>
      <w:r w:rsidR="00B2178F">
        <w:rPr>
          <w:rStyle w:val="FootnoteReference"/>
          <w:rFonts w:ascii="Arial" w:hAnsi="Arial" w:cs="Arial"/>
          <w:sz w:val="24"/>
          <w:szCs w:val="24"/>
        </w:rPr>
        <w:footnoteReference w:id="39"/>
      </w:r>
      <w:r w:rsidR="00B2178F">
        <w:rPr>
          <w:rFonts w:ascii="Arial" w:hAnsi="Arial" w:cs="Arial"/>
          <w:sz w:val="24"/>
          <w:szCs w:val="24"/>
        </w:rPr>
        <w:t xml:space="preserve"> and O’Brien</w:t>
      </w:r>
      <w:r w:rsidR="00B2178F">
        <w:rPr>
          <w:rStyle w:val="FootnoteReference"/>
          <w:rFonts w:ascii="Arial" w:hAnsi="Arial" w:cs="Arial"/>
          <w:sz w:val="24"/>
          <w:szCs w:val="24"/>
        </w:rPr>
        <w:footnoteReference w:id="40"/>
      </w:r>
      <w:r w:rsidR="00B2178F">
        <w:rPr>
          <w:rFonts w:ascii="Arial" w:hAnsi="Arial" w:cs="Arial"/>
          <w:sz w:val="24"/>
          <w:szCs w:val="24"/>
        </w:rPr>
        <w:t xml:space="preserve"> suggest that in the case of </w:t>
      </w:r>
      <w:proofErr w:type="spellStart"/>
      <w:r w:rsidR="00B2178F" w:rsidRPr="00B2178F">
        <w:rPr>
          <w:rFonts w:ascii="Arial" w:hAnsi="Arial" w:cs="Arial"/>
          <w:i/>
          <w:sz w:val="24"/>
          <w:szCs w:val="24"/>
        </w:rPr>
        <w:t>Glor</w:t>
      </w:r>
      <w:proofErr w:type="spellEnd"/>
      <w:r w:rsidR="00B2178F" w:rsidRPr="00B2178F">
        <w:rPr>
          <w:rFonts w:ascii="Arial" w:hAnsi="Arial" w:cs="Arial"/>
          <w:i/>
          <w:sz w:val="24"/>
          <w:szCs w:val="24"/>
        </w:rPr>
        <w:t xml:space="preserve"> v Switzerland</w:t>
      </w:r>
      <w:r w:rsidR="00B2178F">
        <w:rPr>
          <w:rStyle w:val="FootnoteReference"/>
          <w:rFonts w:ascii="Arial" w:hAnsi="Arial" w:cs="Arial"/>
          <w:sz w:val="24"/>
          <w:szCs w:val="24"/>
        </w:rPr>
        <w:footnoteReference w:id="41"/>
      </w:r>
      <w:r w:rsidR="00B2178F">
        <w:rPr>
          <w:rFonts w:ascii="Arial" w:hAnsi="Arial" w:cs="Arial"/>
          <w:sz w:val="24"/>
          <w:szCs w:val="24"/>
        </w:rPr>
        <w:t xml:space="preserve"> the ECtHR displayed tendencies to follow the principles contained in the </w:t>
      </w:r>
      <w:r w:rsidR="00306E96">
        <w:rPr>
          <w:rFonts w:ascii="Arial" w:hAnsi="Arial" w:cs="Arial"/>
          <w:sz w:val="24"/>
          <w:szCs w:val="24"/>
        </w:rPr>
        <w:t>UNCRPD</w:t>
      </w:r>
      <w:r w:rsidR="00B2178F">
        <w:rPr>
          <w:rFonts w:ascii="Arial" w:hAnsi="Arial" w:cs="Arial"/>
          <w:sz w:val="24"/>
          <w:szCs w:val="24"/>
        </w:rPr>
        <w:t xml:space="preserve">. </w:t>
      </w:r>
      <w:r w:rsidR="00AE1973">
        <w:rPr>
          <w:rFonts w:ascii="Arial" w:hAnsi="Arial" w:cs="Arial"/>
          <w:sz w:val="24"/>
          <w:szCs w:val="24"/>
        </w:rPr>
        <w:t xml:space="preserve">In </w:t>
      </w:r>
      <w:r w:rsidR="00AE1973" w:rsidRPr="00AE1973">
        <w:rPr>
          <w:rFonts w:ascii="Arial" w:hAnsi="Arial" w:cs="Arial"/>
          <w:i/>
          <w:sz w:val="24"/>
          <w:szCs w:val="24"/>
        </w:rPr>
        <w:t>Kiss v Hungary</w:t>
      </w:r>
      <w:r w:rsidR="00AE1973">
        <w:rPr>
          <w:rStyle w:val="FootnoteReference"/>
          <w:rFonts w:ascii="Arial" w:hAnsi="Arial" w:cs="Arial"/>
          <w:sz w:val="24"/>
          <w:szCs w:val="24"/>
        </w:rPr>
        <w:footnoteReference w:id="42"/>
      </w:r>
      <w:r w:rsidR="00AE1973">
        <w:rPr>
          <w:rFonts w:ascii="Arial" w:hAnsi="Arial" w:cs="Arial"/>
          <w:sz w:val="24"/>
          <w:szCs w:val="24"/>
        </w:rPr>
        <w:t xml:space="preserve"> the ECtHR sets out the appropriate provisions of the UNCRPD and the applicant and third party intervener use them to support their claim based on the ECHR, but the Court does not refer in its </w:t>
      </w:r>
      <w:r w:rsidR="00AE1973">
        <w:rPr>
          <w:rFonts w:ascii="Arial" w:hAnsi="Arial" w:cs="Arial"/>
          <w:i/>
          <w:sz w:val="24"/>
          <w:szCs w:val="24"/>
        </w:rPr>
        <w:t>ratio</w:t>
      </w:r>
      <w:r w:rsidR="00AE1973" w:rsidRPr="00AE1973">
        <w:rPr>
          <w:rFonts w:ascii="Arial" w:hAnsi="Arial" w:cs="Arial"/>
          <w:i/>
          <w:sz w:val="24"/>
          <w:szCs w:val="24"/>
        </w:rPr>
        <w:t xml:space="preserve"> decidendi</w:t>
      </w:r>
      <w:r w:rsidR="00AE1973">
        <w:rPr>
          <w:rFonts w:ascii="Arial" w:hAnsi="Arial" w:cs="Arial"/>
          <w:sz w:val="24"/>
          <w:szCs w:val="24"/>
        </w:rPr>
        <w:t xml:space="preserve"> to the UNCRPD.</w:t>
      </w:r>
    </w:p>
    <w:p w:rsidR="00DA0907" w:rsidRPr="00C63832" w:rsidRDefault="00DA0907" w:rsidP="00356E4C">
      <w:pPr>
        <w:spacing w:line="360" w:lineRule="auto"/>
        <w:jc w:val="both"/>
        <w:rPr>
          <w:rFonts w:ascii="Arial" w:hAnsi="Arial" w:cs="Arial"/>
          <w:sz w:val="24"/>
          <w:szCs w:val="24"/>
        </w:rPr>
      </w:pPr>
      <w:r>
        <w:rPr>
          <w:rFonts w:ascii="Arial" w:hAnsi="Arial" w:cs="Arial"/>
          <w:sz w:val="24"/>
          <w:szCs w:val="24"/>
        </w:rPr>
        <w:t>As with age there can be direct and indirect discrimination for</w:t>
      </w:r>
      <w:r w:rsidR="002300ED">
        <w:rPr>
          <w:rFonts w:ascii="Arial" w:hAnsi="Arial" w:cs="Arial"/>
          <w:sz w:val="24"/>
          <w:szCs w:val="24"/>
        </w:rPr>
        <w:t xml:space="preserve"> disability discrimination (EA10 ss 13 and 19) and there can be no reverse disability discrimination (EA10 s 13(3)) i.e. no discrimination if someone treats an able-bodied person less favourably than someone with a disability</w:t>
      </w:r>
      <w:r w:rsidR="00562027">
        <w:rPr>
          <w:rStyle w:val="FootnoteReference"/>
          <w:rFonts w:ascii="Arial" w:hAnsi="Arial" w:cs="Arial"/>
          <w:sz w:val="24"/>
          <w:szCs w:val="24"/>
        </w:rPr>
        <w:footnoteReference w:id="43"/>
      </w:r>
      <w:r w:rsidR="002300ED">
        <w:rPr>
          <w:rFonts w:ascii="Arial" w:hAnsi="Arial" w:cs="Arial"/>
          <w:sz w:val="24"/>
          <w:szCs w:val="24"/>
        </w:rPr>
        <w:t xml:space="preserve">. </w:t>
      </w:r>
      <w:r w:rsidR="00F366C6">
        <w:rPr>
          <w:rFonts w:ascii="Arial" w:hAnsi="Arial" w:cs="Arial"/>
          <w:sz w:val="24"/>
          <w:szCs w:val="24"/>
        </w:rPr>
        <w:t xml:space="preserve">Again like age discrimination, discriminatory treatment on the basis of disability can be justified if the treatment is a proportionate means of achieving a legitimate aim, with knowledge of the person’s disability being a necessary quality (EA10 s 15). No definition is included in the EA10 but the CJEU </w:t>
      </w:r>
      <w:r w:rsidR="00F366C6">
        <w:rPr>
          <w:rFonts w:ascii="Arial" w:hAnsi="Arial" w:cs="Arial"/>
          <w:sz w:val="24"/>
          <w:szCs w:val="24"/>
        </w:rPr>
        <w:lastRenderedPageBreak/>
        <w:t xml:space="preserve">in </w:t>
      </w:r>
      <w:proofErr w:type="spellStart"/>
      <w:r w:rsidR="00F366C6">
        <w:rPr>
          <w:rFonts w:ascii="Arial" w:hAnsi="Arial" w:cs="Arial"/>
          <w:i/>
          <w:sz w:val="24"/>
          <w:szCs w:val="24"/>
        </w:rPr>
        <w:t>Chacón</w:t>
      </w:r>
      <w:proofErr w:type="spellEnd"/>
      <w:r w:rsidR="00F366C6">
        <w:rPr>
          <w:rFonts w:ascii="Arial" w:hAnsi="Arial" w:cs="Arial"/>
          <w:i/>
          <w:sz w:val="24"/>
          <w:szCs w:val="24"/>
        </w:rPr>
        <w:t xml:space="preserve"> </w:t>
      </w:r>
      <w:proofErr w:type="spellStart"/>
      <w:r w:rsidR="00F366C6">
        <w:rPr>
          <w:rFonts w:ascii="Arial" w:hAnsi="Arial" w:cs="Arial"/>
          <w:i/>
          <w:sz w:val="24"/>
          <w:szCs w:val="24"/>
        </w:rPr>
        <w:t>Navas</w:t>
      </w:r>
      <w:proofErr w:type="spellEnd"/>
      <w:r w:rsidR="00F366C6">
        <w:rPr>
          <w:rStyle w:val="FootnoteReference"/>
          <w:rFonts w:ascii="Arial" w:hAnsi="Arial" w:cs="Arial"/>
          <w:i/>
          <w:sz w:val="24"/>
          <w:szCs w:val="24"/>
        </w:rPr>
        <w:footnoteReference w:id="44"/>
      </w:r>
      <w:r w:rsidR="002300ED">
        <w:rPr>
          <w:rFonts w:ascii="Arial" w:hAnsi="Arial" w:cs="Arial"/>
          <w:sz w:val="24"/>
          <w:szCs w:val="24"/>
        </w:rPr>
        <w:t xml:space="preserve"> </w:t>
      </w:r>
      <w:r w:rsidR="00F366C6">
        <w:rPr>
          <w:rFonts w:ascii="Arial" w:hAnsi="Arial" w:cs="Arial"/>
          <w:sz w:val="24"/>
          <w:szCs w:val="24"/>
        </w:rPr>
        <w:t>found that the concept of disability refers to a “limitation which results in particular from physical, mental or psychological impairments and which hinders the participation of the person concerned in professional life”</w:t>
      </w:r>
      <w:r w:rsidR="00F366C6">
        <w:rPr>
          <w:rStyle w:val="FootnoteReference"/>
          <w:rFonts w:ascii="Arial" w:hAnsi="Arial" w:cs="Arial"/>
          <w:sz w:val="24"/>
          <w:szCs w:val="24"/>
        </w:rPr>
        <w:footnoteReference w:id="45"/>
      </w:r>
      <w:r w:rsidR="00F366C6">
        <w:rPr>
          <w:rFonts w:ascii="Arial" w:hAnsi="Arial" w:cs="Arial"/>
          <w:sz w:val="24"/>
          <w:szCs w:val="24"/>
        </w:rPr>
        <w:t xml:space="preserve"> and it must be probable that it will last for a long time</w:t>
      </w:r>
      <w:r w:rsidR="00F366C6">
        <w:rPr>
          <w:rStyle w:val="FootnoteReference"/>
          <w:rFonts w:ascii="Arial" w:hAnsi="Arial" w:cs="Arial"/>
          <w:sz w:val="24"/>
          <w:szCs w:val="24"/>
        </w:rPr>
        <w:footnoteReference w:id="46"/>
      </w:r>
      <w:r w:rsidR="00F366C6">
        <w:rPr>
          <w:rFonts w:ascii="Arial" w:hAnsi="Arial" w:cs="Arial"/>
          <w:sz w:val="24"/>
          <w:szCs w:val="24"/>
        </w:rPr>
        <w:t>.</w:t>
      </w:r>
      <w:r w:rsidR="00C63832">
        <w:rPr>
          <w:rFonts w:ascii="Arial" w:hAnsi="Arial" w:cs="Arial"/>
          <w:sz w:val="24"/>
          <w:szCs w:val="24"/>
        </w:rPr>
        <w:t xml:space="preserve"> However, in </w:t>
      </w:r>
      <w:proofErr w:type="spellStart"/>
      <w:r w:rsidR="00C63832">
        <w:rPr>
          <w:rFonts w:ascii="Arial" w:hAnsi="Arial" w:cs="Arial"/>
          <w:i/>
          <w:sz w:val="24"/>
          <w:szCs w:val="24"/>
        </w:rPr>
        <w:t>Danmark</w:t>
      </w:r>
      <w:proofErr w:type="spellEnd"/>
      <w:r w:rsidR="00C63832">
        <w:rPr>
          <w:rFonts w:ascii="Arial" w:hAnsi="Arial" w:cs="Arial"/>
          <w:sz w:val="24"/>
          <w:szCs w:val="24"/>
        </w:rPr>
        <w:t xml:space="preserve"> the Court that this definition now needed to be read in accordance with Article 1 of the UNCRPD</w:t>
      </w:r>
      <w:r w:rsidR="00C63832">
        <w:rPr>
          <w:rStyle w:val="FootnoteReference"/>
          <w:rFonts w:ascii="Arial" w:hAnsi="Arial" w:cs="Arial"/>
          <w:sz w:val="24"/>
          <w:szCs w:val="24"/>
        </w:rPr>
        <w:footnoteReference w:id="47"/>
      </w:r>
      <w:r w:rsidR="00C63832">
        <w:rPr>
          <w:rFonts w:ascii="Arial" w:hAnsi="Arial" w:cs="Arial"/>
          <w:sz w:val="24"/>
          <w:szCs w:val="24"/>
        </w:rPr>
        <w:t xml:space="preserve"> and thus the definition in </w:t>
      </w:r>
      <w:proofErr w:type="spellStart"/>
      <w:r w:rsidR="00C63832">
        <w:rPr>
          <w:rFonts w:ascii="Arial" w:hAnsi="Arial" w:cs="Arial"/>
          <w:i/>
          <w:sz w:val="24"/>
          <w:szCs w:val="24"/>
        </w:rPr>
        <w:t>Chacón</w:t>
      </w:r>
      <w:proofErr w:type="spellEnd"/>
      <w:r w:rsidR="00C63832">
        <w:rPr>
          <w:rFonts w:ascii="Arial" w:hAnsi="Arial" w:cs="Arial"/>
          <w:i/>
          <w:sz w:val="24"/>
          <w:szCs w:val="24"/>
        </w:rPr>
        <w:t xml:space="preserve"> </w:t>
      </w:r>
      <w:proofErr w:type="spellStart"/>
      <w:r w:rsidR="00C63832">
        <w:rPr>
          <w:rFonts w:ascii="Arial" w:hAnsi="Arial" w:cs="Arial"/>
          <w:i/>
          <w:sz w:val="24"/>
          <w:szCs w:val="24"/>
        </w:rPr>
        <w:t>Navas</w:t>
      </w:r>
      <w:proofErr w:type="spellEnd"/>
      <w:r w:rsidR="00C63832">
        <w:rPr>
          <w:rFonts w:ascii="Arial" w:hAnsi="Arial" w:cs="Arial"/>
          <w:sz w:val="24"/>
          <w:szCs w:val="24"/>
        </w:rPr>
        <w:t xml:space="preserve"> could fall short in certain circumstances, though what those circumstances were was not explained</w:t>
      </w:r>
      <w:r w:rsidR="00C63832">
        <w:rPr>
          <w:rStyle w:val="FootnoteReference"/>
          <w:rFonts w:ascii="Arial" w:hAnsi="Arial" w:cs="Arial"/>
          <w:sz w:val="24"/>
          <w:szCs w:val="24"/>
        </w:rPr>
        <w:footnoteReference w:id="48"/>
      </w:r>
      <w:r w:rsidR="00C63832">
        <w:rPr>
          <w:rFonts w:ascii="Arial" w:hAnsi="Arial" w:cs="Arial"/>
          <w:sz w:val="24"/>
          <w:szCs w:val="24"/>
        </w:rPr>
        <w:t>. Discrimination occurs where the duty to make reasonable adjustments (EA10 s 21(1)) is not complied with (EA10 s 21(2)).</w:t>
      </w:r>
      <w:r w:rsidR="00562027">
        <w:rPr>
          <w:rFonts w:ascii="Arial" w:hAnsi="Arial" w:cs="Arial"/>
          <w:sz w:val="24"/>
          <w:szCs w:val="24"/>
        </w:rPr>
        <w:t xml:space="preserve"> Reasonable adjustments consist</w:t>
      </w:r>
      <w:r w:rsidR="00C63832">
        <w:rPr>
          <w:rFonts w:ascii="Arial" w:hAnsi="Arial" w:cs="Arial"/>
          <w:sz w:val="24"/>
          <w:szCs w:val="24"/>
        </w:rPr>
        <w:t xml:space="preserve"> of three requirements</w:t>
      </w:r>
      <w:r w:rsidR="00562027">
        <w:rPr>
          <w:rFonts w:ascii="Arial" w:hAnsi="Arial" w:cs="Arial"/>
          <w:sz w:val="24"/>
          <w:szCs w:val="24"/>
        </w:rPr>
        <w:t xml:space="preserve">: </w:t>
      </w:r>
      <w:r w:rsidR="00562027" w:rsidRPr="00562027">
        <w:rPr>
          <w:rFonts w:ascii="Arial" w:hAnsi="Arial" w:cs="Arial"/>
          <w:sz w:val="24"/>
          <w:szCs w:val="24"/>
        </w:rPr>
        <w:t>a provision, criterion or practice</w:t>
      </w:r>
      <w:r w:rsidR="00562027">
        <w:rPr>
          <w:rFonts w:ascii="Arial" w:hAnsi="Arial" w:cs="Arial"/>
          <w:sz w:val="24"/>
          <w:szCs w:val="24"/>
        </w:rPr>
        <w:t xml:space="preserve"> (EA10 s 19(3))</w:t>
      </w:r>
      <w:r w:rsidR="00562027">
        <w:rPr>
          <w:rStyle w:val="FootnoteReference"/>
          <w:rFonts w:ascii="Arial" w:hAnsi="Arial" w:cs="Arial"/>
          <w:sz w:val="24"/>
          <w:szCs w:val="24"/>
        </w:rPr>
        <w:footnoteReference w:id="49"/>
      </w:r>
      <w:r w:rsidR="00562027">
        <w:rPr>
          <w:rFonts w:ascii="Arial" w:hAnsi="Arial" w:cs="Arial"/>
          <w:sz w:val="24"/>
          <w:szCs w:val="24"/>
        </w:rPr>
        <w:t xml:space="preserve">; </w:t>
      </w:r>
      <w:r w:rsidR="00562027" w:rsidRPr="00562027">
        <w:rPr>
          <w:rFonts w:ascii="Arial" w:hAnsi="Arial" w:cs="Arial"/>
          <w:sz w:val="24"/>
          <w:szCs w:val="24"/>
        </w:rPr>
        <w:t>a physical feature</w:t>
      </w:r>
      <w:r w:rsidR="00562027">
        <w:rPr>
          <w:rFonts w:ascii="Arial" w:hAnsi="Arial" w:cs="Arial"/>
          <w:sz w:val="24"/>
          <w:szCs w:val="24"/>
        </w:rPr>
        <w:t xml:space="preserve"> (EA10 s 19(4))</w:t>
      </w:r>
      <w:r w:rsidR="00562027">
        <w:rPr>
          <w:rStyle w:val="FootnoteReference"/>
          <w:rFonts w:ascii="Arial" w:hAnsi="Arial" w:cs="Arial"/>
          <w:sz w:val="24"/>
          <w:szCs w:val="24"/>
        </w:rPr>
        <w:footnoteReference w:id="50"/>
      </w:r>
      <w:r w:rsidR="00562027">
        <w:rPr>
          <w:rFonts w:ascii="Arial" w:hAnsi="Arial" w:cs="Arial"/>
          <w:sz w:val="24"/>
          <w:szCs w:val="24"/>
        </w:rPr>
        <w:t xml:space="preserve">; and, </w:t>
      </w:r>
      <w:r w:rsidR="00562027" w:rsidRPr="00562027">
        <w:rPr>
          <w:rFonts w:ascii="Arial" w:hAnsi="Arial" w:cs="Arial"/>
          <w:sz w:val="24"/>
          <w:szCs w:val="24"/>
        </w:rPr>
        <w:t>a physical feature</w:t>
      </w:r>
      <w:r w:rsidR="00562027">
        <w:rPr>
          <w:rFonts w:ascii="Arial" w:hAnsi="Arial" w:cs="Arial"/>
          <w:sz w:val="24"/>
          <w:szCs w:val="24"/>
        </w:rPr>
        <w:t xml:space="preserve"> (EA10 s 19(5))</w:t>
      </w:r>
      <w:r w:rsidR="00562027">
        <w:rPr>
          <w:rStyle w:val="FootnoteReference"/>
          <w:rFonts w:ascii="Arial" w:hAnsi="Arial" w:cs="Arial"/>
          <w:sz w:val="24"/>
          <w:szCs w:val="24"/>
        </w:rPr>
        <w:footnoteReference w:id="51"/>
      </w:r>
      <w:r w:rsidR="00562027">
        <w:rPr>
          <w:rFonts w:ascii="Arial" w:hAnsi="Arial" w:cs="Arial"/>
          <w:sz w:val="24"/>
          <w:szCs w:val="24"/>
        </w:rPr>
        <w:t>.</w:t>
      </w:r>
    </w:p>
    <w:p w:rsidR="009A190F" w:rsidRDefault="009A190F" w:rsidP="00356E4C">
      <w:pPr>
        <w:spacing w:line="360" w:lineRule="auto"/>
        <w:jc w:val="both"/>
        <w:rPr>
          <w:rFonts w:ascii="Arial" w:hAnsi="Arial" w:cs="Arial"/>
          <w:sz w:val="24"/>
          <w:szCs w:val="24"/>
        </w:rPr>
      </w:pPr>
    </w:p>
    <w:p w:rsidR="009A190F" w:rsidRDefault="009A190F" w:rsidP="00356E4C">
      <w:pPr>
        <w:spacing w:line="360" w:lineRule="auto"/>
        <w:jc w:val="both"/>
        <w:rPr>
          <w:rFonts w:ascii="Arial" w:hAnsi="Arial" w:cs="Arial"/>
          <w:sz w:val="24"/>
          <w:szCs w:val="24"/>
        </w:rPr>
      </w:pPr>
      <w:r>
        <w:rPr>
          <w:rFonts w:ascii="Arial" w:hAnsi="Arial" w:cs="Arial"/>
          <w:b/>
          <w:sz w:val="24"/>
          <w:szCs w:val="24"/>
          <w:u w:val="single"/>
        </w:rPr>
        <w:t>Impact on Armed Forces</w:t>
      </w:r>
    </w:p>
    <w:p w:rsidR="009A190F" w:rsidRDefault="009A190F" w:rsidP="00356E4C">
      <w:pPr>
        <w:spacing w:line="360" w:lineRule="auto"/>
        <w:jc w:val="both"/>
        <w:rPr>
          <w:rFonts w:ascii="Arial" w:hAnsi="Arial" w:cs="Arial"/>
          <w:sz w:val="24"/>
          <w:szCs w:val="24"/>
        </w:rPr>
      </w:pPr>
    </w:p>
    <w:p w:rsidR="006A1B5C" w:rsidRPr="006A1B5C" w:rsidRDefault="006A1B5C" w:rsidP="00356E4C">
      <w:pPr>
        <w:spacing w:line="360" w:lineRule="auto"/>
        <w:jc w:val="both"/>
        <w:rPr>
          <w:rFonts w:ascii="Arial" w:hAnsi="Arial" w:cs="Arial"/>
          <w:sz w:val="24"/>
          <w:szCs w:val="24"/>
        </w:rPr>
      </w:pPr>
      <w:r>
        <w:rPr>
          <w:rFonts w:ascii="Arial" w:hAnsi="Arial" w:cs="Arial"/>
          <w:sz w:val="24"/>
          <w:szCs w:val="24"/>
        </w:rPr>
        <w:t xml:space="preserve">It is quite clear that as things stand at present the provisions of the EA10 on age and disability discrimination do not apply to the armed forces. There are though possible backdoor routes to their application. The first as we’ve seen in </w:t>
      </w:r>
      <w:r>
        <w:rPr>
          <w:rFonts w:ascii="Arial" w:hAnsi="Arial" w:cs="Arial"/>
          <w:i/>
          <w:sz w:val="24"/>
          <w:szCs w:val="24"/>
        </w:rPr>
        <w:t>Mangold</w:t>
      </w:r>
      <w:r>
        <w:rPr>
          <w:rFonts w:ascii="Arial" w:hAnsi="Arial" w:cs="Arial"/>
          <w:sz w:val="24"/>
          <w:szCs w:val="24"/>
        </w:rPr>
        <w:t xml:space="preserve"> and </w:t>
      </w:r>
      <w:r>
        <w:rPr>
          <w:rFonts w:ascii="Arial" w:hAnsi="Arial" w:cs="Arial"/>
          <w:i/>
          <w:sz w:val="24"/>
          <w:szCs w:val="24"/>
        </w:rPr>
        <w:t>Kücükdeveci</w:t>
      </w:r>
      <w:r>
        <w:rPr>
          <w:rFonts w:ascii="Arial" w:hAnsi="Arial" w:cs="Arial"/>
          <w:sz w:val="24"/>
          <w:szCs w:val="24"/>
        </w:rPr>
        <w:t xml:space="preserve"> for age discrimination the CJEU could find that the actual fundamental principle pre-exists the exclusion contained in Article 3(4) of Directive 2000/78. This could also apply to disability discrimination, although a Member State would have an opportunity to put forward reasons to justify any findings of discriminatory treatment so long </w:t>
      </w:r>
      <w:r w:rsidR="00315B20">
        <w:rPr>
          <w:rFonts w:ascii="Arial" w:hAnsi="Arial" w:cs="Arial"/>
          <w:sz w:val="24"/>
          <w:szCs w:val="24"/>
        </w:rPr>
        <w:t>as they were proportionate. The</w:t>
      </w:r>
      <w:r>
        <w:rPr>
          <w:rFonts w:ascii="Arial" w:hAnsi="Arial" w:cs="Arial"/>
          <w:sz w:val="24"/>
          <w:szCs w:val="24"/>
        </w:rPr>
        <w:t xml:space="preserve"> second is through the route of the ECtHR</w:t>
      </w:r>
      <w:r w:rsidR="00315B20">
        <w:rPr>
          <w:rFonts w:ascii="Arial" w:hAnsi="Arial" w:cs="Arial"/>
          <w:sz w:val="24"/>
          <w:szCs w:val="24"/>
        </w:rPr>
        <w:t xml:space="preserve"> </w:t>
      </w:r>
      <w:r w:rsidR="00315B20">
        <w:rPr>
          <w:rFonts w:ascii="Arial" w:hAnsi="Arial" w:cs="Arial"/>
          <w:sz w:val="24"/>
          <w:szCs w:val="24"/>
        </w:rPr>
        <w:lastRenderedPageBreak/>
        <w:t>and its employment of Article 14. It should be noted here that</w:t>
      </w:r>
      <w:r w:rsidR="00AB42D0">
        <w:rPr>
          <w:rFonts w:ascii="Arial" w:hAnsi="Arial" w:cs="Arial"/>
          <w:sz w:val="24"/>
          <w:szCs w:val="24"/>
        </w:rPr>
        <w:t xml:space="preserve"> the EU and ECHR are not connected (although Article 6(2</w:t>
      </w:r>
      <w:proofErr w:type="gramStart"/>
      <w:r w:rsidR="00AB42D0">
        <w:rPr>
          <w:rFonts w:ascii="Arial" w:hAnsi="Arial" w:cs="Arial"/>
          <w:sz w:val="24"/>
          <w:szCs w:val="24"/>
        </w:rPr>
        <w:t>)TEU</w:t>
      </w:r>
      <w:proofErr w:type="gramEnd"/>
      <w:r w:rsidR="00AB42D0">
        <w:rPr>
          <w:rFonts w:ascii="Arial" w:hAnsi="Arial" w:cs="Arial"/>
          <w:sz w:val="24"/>
          <w:szCs w:val="24"/>
        </w:rPr>
        <w:t xml:space="preserve"> requires the EU to accede to the ECHR) and the Council of Europe is not a signatory to the UNCRPD. This though has not stopped the ECtHR mentioning the UNCRPD as an instrument of International Law, nor of utilising the rationale behind the Convention in its reasoning</w:t>
      </w:r>
      <w:r w:rsidR="00AB42D0">
        <w:rPr>
          <w:rStyle w:val="FootnoteReference"/>
          <w:rFonts w:ascii="Arial" w:hAnsi="Arial" w:cs="Arial"/>
          <w:sz w:val="24"/>
          <w:szCs w:val="24"/>
        </w:rPr>
        <w:footnoteReference w:id="52"/>
      </w:r>
      <w:r w:rsidR="00AB42D0">
        <w:rPr>
          <w:rFonts w:ascii="Arial" w:hAnsi="Arial" w:cs="Arial"/>
          <w:sz w:val="24"/>
          <w:szCs w:val="24"/>
        </w:rPr>
        <w:t>. There is the possibility therefore that a challenge based on Article 14, through Article 3 or 8, could see the ECtHR hold discriminatory treatment of military personnel on the basis of disability as an infringement of basic human rights. As yet there has been no attempt to consider age discrimination in this arena. If infringement is found then the contracting State is likely to have a considerable margin of appreciation, though again this would need to be applied in accordance with the principle of proportionality.</w:t>
      </w:r>
    </w:p>
    <w:p w:rsidR="006A1B5C" w:rsidRDefault="006A1B5C" w:rsidP="00356E4C">
      <w:pPr>
        <w:spacing w:line="360" w:lineRule="auto"/>
        <w:jc w:val="both"/>
        <w:rPr>
          <w:rFonts w:ascii="Arial" w:hAnsi="Arial" w:cs="Arial"/>
          <w:sz w:val="24"/>
          <w:szCs w:val="24"/>
        </w:rPr>
      </w:pPr>
    </w:p>
    <w:p w:rsidR="009A190F" w:rsidRDefault="009A190F" w:rsidP="00356E4C">
      <w:pPr>
        <w:spacing w:line="360" w:lineRule="auto"/>
        <w:jc w:val="both"/>
        <w:rPr>
          <w:rFonts w:ascii="Arial" w:hAnsi="Arial" w:cs="Arial"/>
          <w:sz w:val="24"/>
          <w:szCs w:val="24"/>
        </w:rPr>
      </w:pPr>
      <w:r>
        <w:rPr>
          <w:rFonts w:ascii="Arial" w:hAnsi="Arial" w:cs="Arial"/>
          <w:sz w:val="24"/>
          <w:szCs w:val="24"/>
        </w:rPr>
        <w:t xml:space="preserve">There are </w:t>
      </w:r>
      <w:r w:rsidR="00D126E9">
        <w:rPr>
          <w:rFonts w:ascii="Arial" w:hAnsi="Arial" w:cs="Arial"/>
          <w:sz w:val="24"/>
          <w:szCs w:val="24"/>
        </w:rPr>
        <w:t>four</w:t>
      </w:r>
      <w:r>
        <w:rPr>
          <w:rFonts w:ascii="Arial" w:hAnsi="Arial" w:cs="Arial"/>
          <w:sz w:val="24"/>
          <w:szCs w:val="24"/>
        </w:rPr>
        <w:t xml:space="preserve"> specific times that the law could impact on the military during the service of armed forces personnel: recruitment; release; </w:t>
      </w:r>
      <w:r w:rsidR="00D126E9">
        <w:rPr>
          <w:rFonts w:ascii="Arial" w:hAnsi="Arial" w:cs="Arial"/>
          <w:sz w:val="24"/>
          <w:szCs w:val="24"/>
        </w:rPr>
        <w:t>specialist selection; and, promotion.</w:t>
      </w:r>
    </w:p>
    <w:p w:rsidR="00D126E9" w:rsidRDefault="00D126E9" w:rsidP="00D126E9">
      <w:pPr>
        <w:pStyle w:val="ListParagraph"/>
        <w:numPr>
          <w:ilvl w:val="0"/>
          <w:numId w:val="2"/>
        </w:numPr>
        <w:spacing w:line="360" w:lineRule="auto"/>
        <w:jc w:val="both"/>
        <w:rPr>
          <w:rFonts w:ascii="Arial" w:hAnsi="Arial" w:cs="Arial"/>
          <w:sz w:val="24"/>
          <w:szCs w:val="24"/>
        </w:rPr>
      </w:pPr>
      <w:r>
        <w:rPr>
          <w:rFonts w:ascii="Arial" w:hAnsi="Arial" w:cs="Arial"/>
          <w:sz w:val="24"/>
          <w:szCs w:val="24"/>
        </w:rPr>
        <w:t>Recruitment</w:t>
      </w:r>
    </w:p>
    <w:p w:rsidR="00D126E9" w:rsidRDefault="000C67C2" w:rsidP="00D126E9">
      <w:pPr>
        <w:spacing w:line="360" w:lineRule="auto"/>
        <w:jc w:val="both"/>
        <w:rPr>
          <w:rFonts w:ascii="Arial" w:hAnsi="Arial" w:cs="Arial"/>
          <w:sz w:val="24"/>
          <w:szCs w:val="24"/>
        </w:rPr>
      </w:pPr>
      <w:r>
        <w:rPr>
          <w:rFonts w:ascii="Arial" w:hAnsi="Arial" w:cs="Arial"/>
          <w:sz w:val="24"/>
          <w:szCs w:val="24"/>
        </w:rPr>
        <w:t xml:space="preserve">Each branch of the armed forces has different age requirements for recruitment, </w:t>
      </w:r>
      <w:r w:rsidR="008D44F3">
        <w:rPr>
          <w:rFonts w:ascii="Arial" w:hAnsi="Arial" w:cs="Arial"/>
          <w:sz w:val="24"/>
          <w:szCs w:val="24"/>
        </w:rPr>
        <w:t>which</w:t>
      </w:r>
      <w:r>
        <w:rPr>
          <w:rFonts w:ascii="Arial" w:hAnsi="Arial" w:cs="Arial"/>
          <w:sz w:val="24"/>
          <w:szCs w:val="24"/>
        </w:rPr>
        <w:t xml:space="preserve"> again differ for ratings and officers. Thus in the Army, ratings can join</w:t>
      </w:r>
      <w:r w:rsidR="008D44F3">
        <w:rPr>
          <w:rFonts w:ascii="Arial" w:hAnsi="Arial" w:cs="Arial"/>
          <w:sz w:val="24"/>
          <w:szCs w:val="24"/>
        </w:rPr>
        <w:t xml:space="preserve"> from the age of 16 up to a maximum of 33 (must have commenced Phase 1 training before 33</w:t>
      </w:r>
      <w:r w:rsidR="008D44F3" w:rsidRPr="008D44F3">
        <w:rPr>
          <w:rFonts w:ascii="Arial" w:hAnsi="Arial" w:cs="Arial"/>
          <w:sz w:val="24"/>
          <w:szCs w:val="24"/>
          <w:vertAlign w:val="superscript"/>
        </w:rPr>
        <w:t>rd</w:t>
      </w:r>
      <w:r w:rsidR="008D44F3">
        <w:rPr>
          <w:rFonts w:ascii="Arial" w:hAnsi="Arial" w:cs="Arial"/>
          <w:sz w:val="24"/>
          <w:szCs w:val="24"/>
        </w:rPr>
        <w:t xml:space="preserve"> birthday) and officers from 18 until 26, although this can be extended for some specialisations to 29. In the Navy ratings can join from age 16 (though some trades have different ages) until 36</w:t>
      </w:r>
      <w:r w:rsidR="00E67A2B">
        <w:rPr>
          <w:rFonts w:ascii="Arial" w:hAnsi="Arial" w:cs="Arial"/>
          <w:sz w:val="24"/>
          <w:szCs w:val="24"/>
        </w:rPr>
        <w:t xml:space="preserve"> (33 for Royal Marines)</w:t>
      </w:r>
      <w:r w:rsidR="008D44F3">
        <w:rPr>
          <w:rFonts w:ascii="Arial" w:hAnsi="Arial" w:cs="Arial"/>
          <w:sz w:val="24"/>
          <w:szCs w:val="24"/>
        </w:rPr>
        <w:t>, and officers</w:t>
      </w:r>
      <w:r w:rsidR="00E67A2B">
        <w:rPr>
          <w:rFonts w:ascii="Arial" w:hAnsi="Arial" w:cs="Arial"/>
          <w:sz w:val="24"/>
          <w:szCs w:val="24"/>
        </w:rPr>
        <w:t xml:space="preserve"> from 18 until 30. </w:t>
      </w:r>
      <w:r w:rsidR="00E67C25">
        <w:rPr>
          <w:rFonts w:ascii="Arial" w:hAnsi="Arial" w:cs="Arial"/>
          <w:sz w:val="24"/>
          <w:szCs w:val="24"/>
        </w:rPr>
        <w:t>The RAF has a different age structure dependent on jobs and ranks. For ratings the minimum age is 16 and maximum 29, whilst officers (focusing here on pilots) can join at 17 years and six months up to 25.</w:t>
      </w:r>
    </w:p>
    <w:p w:rsidR="00E67C25" w:rsidRPr="00D126E9" w:rsidRDefault="00E67C25" w:rsidP="00D126E9">
      <w:pPr>
        <w:spacing w:line="360" w:lineRule="auto"/>
        <w:jc w:val="both"/>
        <w:rPr>
          <w:rFonts w:ascii="Arial" w:hAnsi="Arial" w:cs="Arial"/>
          <w:sz w:val="24"/>
          <w:szCs w:val="24"/>
        </w:rPr>
      </w:pPr>
      <w:r>
        <w:rPr>
          <w:rFonts w:ascii="Arial" w:hAnsi="Arial" w:cs="Arial"/>
          <w:sz w:val="24"/>
          <w:szCs w:val="24"/>
        </w:rPr>
        <w:t>As such therefore there are reasonably strict minimum and maximum age limits.</w:t>
      </w:r>
      <w:bookmarkStart w:id="0" w:name="_GoBack"/>
      <w:bookmarkEnd w:id="0"/>
    </w:p>
    <w:sectPr w:rsidR="00E67C25" w:rsidRPr="00D126E9" w:rsidSect="00AE08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0A4" w:rsidRDefault="005970A4" w:rsidP="00B105AC">
      <w:pPr>
        <w:spacing w:after="0" w:line="240" w:lineRule="auto"/>
      </w:pPr>
      <w:r>
        <w:separator/>
      </w:r>
    </w:p>
  </w:endnote>
  <w:endnote w:type="continuationSeparator" w:id="0">
    <w:p w:rsidR="005970A4" w:rsidRDefault="005970A4" w:rsidP="00B1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0A4" w:rsidRDefault="005970A4" w:rsidP="00B105AC">
      <w:pPr>
        <w:spacing w:after="0" w:line="240" w:lineRule="auto"/>
      </w:pPr>
      <w:r>
        <w:separator/>
      </w:r>
    </w:p>
  </w:footnote>
  <w:footnote w:type="continuationSeparator" w:id="0">
    <w:p w:rsidR="005970A4" w:rsidRDefault="005970A4" w:rsidP="00B105AC">
      <w:pPr>
        <w:spacing w:after="0" w:line="240" w:lineRule="auto"/>
      </w:pPr>
      <w:r>
        <w:continuationSeparator/>
      </w:r>
    </w:p>
  </w:footnote>
  <w:footnote w:id="1">
    <w:p w:rsidR="00B105AC" w:rsidRPr="003B54AC" w:rsidRDefault="00B105AC">
      <w:pPr>
        <w:pStyle w:val="FootnoteText"/>
        <w:rPr>
          <w:rFonts w:ascii="Arial" w:hAnsi="Arial" w:cs="Arial"/>
          <w:sz w:val="24"/>
          <w:szCs w:val="24"/>
        </w:rPr>
      </w:pPr>
      <w:r w:rsidRPr="003B54AC">
        <w:rPr>
          <w:rStyle w:val="FootnoteReference"/>
          <w:rFonts w:ascii="Arial" w:hAnsi="Arial" w:cs="Arial"/>
          <w:sz w:val="24"/>
          <w:szCs w:val="24"/>
        </w:rPr>
        <w:footnoteRef/>
      </w:r>
      <w:r w:rsidRPr="003B54AC">
        <w:rPr>
          <w:rFonts w:ascii="Arial" w:hAnsi="Arial" w:cs="Arial"/>
          <w:sz w:val="24"/>
          <w:szCs w:val="24"/>
        </w:rPr>
        <w:t xml:space="preserve"> P.</w:t>
      </w:r>
      <w:r w:rsidRPr="00B105AC">
        <w:t xml:space="preserve"> </w:t>
      </w:r>
      <w:r w:rsidRPr="003B54AC">
        <w:rPr>
          <w:rFonts w:ascii="Arial" w:hAnsi="Arial" w:cs="Arial"/>
          <w:sz w:val="24"/>
          <w:szCs w:val="24"/>
        </w:rPr>
        <w:t>Westen, ‘The Empty Idea of Equality’ (1982) 95 HLR 537</w:t>
      </w:r>
    </w:p>
  </w:footnote>
  <w:footnote w:id="2">
    <w:p w:rsidR="00B105AC" w:rsidRPr="003B54AC" w:rsidRDefault="00B105AC">
      <w:pPr>
        <w:pStyle w:val="FootnoteText"/>
        <w:rPr>
          <w:rFonts w:ascii="Arial" w:hAnsi="Arial" w:cs="Arial"/>
          <w:sz w:val="24"/>
          <w:szCs w:val="24"/>
        </w:rPr>
      </w:pPr>
      <w:r w:rsidRPr="003B54AC">
        <w:rPr>
          <w:rStyle w:val="FootnoteReference"/>
          <w:rFonts w:ascii="Arial" w:hAnsi="Arial" w:cs="Arial"/>
          <w:sz w:val="24"/>
          <w:szCs w:val="24"/>
        </w:rPr>
        <w:footnoteRef/>
      </w:r>
      <w:r w:rsidRPr="003B54AC">
        <w:rPr>
          <w:rFonts w:ascii="Arial" w:hAnsi="Arial" w:cs="Arial"/>
          <w:sz w:val="24"/>
          <w:szCs w:val="24"/>
        </w:rPr>
        <w:t xml:space="preserve"> C. Barnard, ‘</w:t>
      </w:r>
      <w:proofErr w:type="gramStart"/>
      <w:r w:rsidRPr="003B54AC">
        <w:rPr>
          <w:rFonts w:ascii="Arial" w:hAnsi="Arial" w:cs="Arial"/>
          <w:sz w:val="24"/>
          <w:szCs w:val="24"/>
        </w:rPr>
        <w:t>The</w:t>
      </w:r>
      <w:proofErr w:type="gramEnd"/>
      <w:r w:rsidRPr="003B54AC">
        <w:rPr>
          <w:rFonts w:ascii="Arial" w:hAnsi="Arial" w:cs="Arial"/>
          <w:sz w:val="24"/>
          <w:szCs w:val="24"/>
        </w:rPr>
        <w:t xml:space="preserve"> Principle of Equality in the Community Context: P, Grant, Kalanke and Marschall: Four Uneasy Bedfellows?’ (1998) 57 CLJ 352; C. Barnard, ‘Gender Equality in the EU: A Balance Sheet’ in P. Alston, The EU and Human Rights (London: OUP, 1999) 215, 223</w:t>
      </w:r>
    </w:p>
  </w:footnote>
  <w:footnote w:id="3">
    <w:p w:rsidR="00B105AC" w:rsidRPr="003B54AC" w:rsidRDefault="00B105AC">
      <w:pPr>
        <w:pStyle w:val="FootnoteText"/>
        <w:rPr>
          <w:rFonts w:ascii="Arial" w:hAnsi="Arial" w:cs="Arial"/>
          <w:sz w:val="24"/>
          <w:szCs w:val="24"/>
        </w:rPr>
      </w:pPr>
      <w:r w:rsidRPr="003B54AC">
        <w:rPr>
          <w:rStyle w:val="FootnoteReference"/>
          <w:rFonts w:ascii="Arial" w:hAnsi="Arial" w:cs="Arial"/>
          <w:sz w:val="24"/>
          <w:szCs w:val="24"/>
        </w:rPr>
        <w:footnoteRef/>
      </w:r>
      <w:r w:rsidRPr="003B54AC">
        <w:rPr>
          <w:rFonts w:ascii="Arial" w:hAnsi="Arial" w:cs="Arial"/>
          <w:sz w:val="24"/>
          <w:szCs w:val="24"/>
        </w:rPr>
        <w:t xml:space="preserve"> Race Relations Acts 1967, 1968 and 1976</w:t>
      </w:r>
    </w:p>
  </w:footnote>
  <w:footnote w:id="4">
    <w:p w:rsidR="00B105AC" w:rsidRPr="003B54AC" w:rsidRDefault="00B105AC">
      <w:pPr>
        <w:pStyle w:val="FootnoteText"/>
        <w:rPr>
          <w:rFonts w:ascii="Arial" w:hAnsi="Arial" w:cs="Arial"/>
          <w:sz w:val="24"/>
          <w:szCs w:val="24"/>
        </w:rPr>
      </w:pPr>
      <w:r w:rsidRPr="003B54AC">
        <w:rPr>
          <w:rStyle w:val="FootnoteReference"/>
          <w:rFonts w:ascii="Arial" w:hAnsi="Arial" w:cs="Arial"/>
          <w:sz w:val="24"/>
          <w:szCs w:val="24"/>
        </w:rPr>
        <w:footnoteRef/>
      </w:r>
      <w:r w:rsidRPr="003B54AC">
        <w:rPr>
          <w:rFonts w:ascii="Arial" w:hAnsi="Arial" w:cs="Arial"/>
          <w:sz w:val="24"/>
          <w:szCs w:val="24"/>
        </w:rPr>
        <w:t xml:space="preserve"> Sex Discrimination Act 1975</w:t>
      </w:r>
    </w:p>
  </w:footnote>
  <w:footnote w:id="5">
    <w:p w:rsidR="00B105AC" w:rsidRDefault="00B105AC">
      <w:pPr>
        <w:pStyle w:val="FootnoteText"/>
      </w:pPr>
      <w:r w:rsidRPr="003B54AC">
        <w:rPr>
          <w:rStyle w:val="FootnoteReference"/>
          <w:rFonts w:ascii="Arial" w:hAnsi="Arial" w:cs="Arial"/>
          <w:sz w:val="24"/>
          <w:szCs w:val="24"/>
        </w:rPr>
        <w:footnoteRef/>
      </w:r>
      <w:r w:rsidRPr="003B54AC">
        <w:rPr>
          <w:rFonts w:ascii="Arial" w:hAnsi="Arial" w:cs="Arial"/>
          <w:sz w:val="24"/>
          <w:szCs w:val="24"/>
        </w:rPr>
        <w:t xml:space="preserve"> Directive 2000/78 establishing a general framework for equal treatment in employment and occupation, OJ 2000 L303/16</w:t>
      </w:r>
    </w:p>
  </w:footnote>
  <w:footnote w:id="6">
    <w:p w:rsidR="003B54AC" w:rsidRPr="005A7289" w:rsidRDefault="003B54AC" w:rsidP="003B54AC">
      <w:pPr>
        <w:pStyle w:val="FootnoteText"/>
        <w:jc w:val="both"/>
        <w:rPr>
          <w:rFonts w:ascii="Arial" w:hAnsi="Arial" w:cs="Arial"/>
          <w:sz w:val="24"/>
          <w:szCs w:val="24"/>
        </w:rPr>
      </w:pPr>
      <w:r w:rsidRPr="005A7289">
        <w:rPr>
          <w:rStyle w:val="FootnoteReference"/>
          <w:rFonts w:ascii="Arial" w:hAnsi="Arial" w:cs="Arial"/>
          <w:sz w:val="24"/>
          <w:szCs w:val="24"/>
        </w:rPr>
        <w:footnoteRef/>
      </w:r>
      <w:r w:rsidRPr="005A7289">
        <w:rPr>
          <w:rFonts w:ascii="Arial" w:hAnsi="Arial" w:cs="Arial"/>
          <w:sz w:val="24"/>
          <w:szCs w:val="24"/>
        </w:rPr>
        <w:t xml:space="preserve"> Direct discrimination is defined in EA10 s 13, indirect discrimination, applicable to all protected characteristics, is defined in EA10</w:t>
      </w:r>
      <w:r>
        <w:rPr>
          <w:rFonts w:ascii="Arial" w:hAnsi="Arial" w:cs="Arial"/>
          <w:sz w:val="24"/>
          <w:szCs w:val="24"/>
        </w:rPr>
        <w:t>,</w:t>
      </w:r>
      <w:r w:rsidRPr="005A7289">
        <w:rPr>
          <w:rFonts w:ascii="Arial" w:hAnsi="Arial" w:cs="Arial"/>
          <w:sz w:val="24"/>
          <w:szCs w:val="24"/>
        </w:rPr>
        <w:t xml:space="preserve"> s 19 and no real comparator is required to assess discrimination (EA10</w:t>
      </w:r>
      <w:r>
        <w:rPr>
          <w:rFonts w:ascii="Arial" w:hAnsi="Arial" w:cs="Arial"/>
          <w:sz w:val="24"/>
          <w:szCs w:val="24"/>
        </w:rPr>
        <w:t>,</w:t>
      </w:r>
      <w:r w:rsidRPr="005A7289">
        <w:rPr>
          <w:rFonts w:ascii="Arial" w:hAnsi="Arial" w:cs="Arial"/>
          <w:sz w:val="24"/>
          <w:szCs w:val="24"/>
        </w:rPr>
        <w:t xml:space="preserve"> ss 23 and 24)</w:t>
      </w:r>
      <w:r>
        <w:rPr>
          <w:rFonts w:ascii="Arial" w:hAnsi="Arial" w:cs="Arial"/>
          <w:sz w:val="24"/>
          <w:szCs w:val="24"/>
        </w:rPr>
        <w:t>. Furthermore EA10, s 14 contains a new provision on multiple discrimination</w:t>
      </w:r>
    </w:p>
  </w:footnote>
  <w:footnote w:id="7">
    <w:p w:rsidR="003B54AC" w:rsidRPr="005A7289" w:rsidRDefault="003B54AC" w:rsidP="003B54AC">
      <w:pPr>
        <w:pStyle w:val="FootnoteText"/>
        <w:jc w:val="both"/>
        <w:rPr>
          <w:rFonts w:ascii="Arial" w:hAnsi="Arial" w:cs="Arial"/>
          <w:sz w:val="24"/>
          <w:szCs w:val="24"/>
        </w:rPr>
      </w:pPr>
      <w:r w:rsidRPr="005A7289">
        <w:rPr>
          <w:rStyle w:val="FootnoteReference"/>
          <w:rFonts w:ascii="Arial" w:hAnsi="Arial" w:cs="Arial"/>
          <w:sz w:val="24"/>
          <w:szCs w:val="24"/>
        </w:rPr>
        <w:footnoteRef/>
      </w:r>
      <w:r w:rsidRPr="005A7289">
        <w:rPr>
          <w:rFonts w:ascii="Arial" w:hAnsi="Arial" w:cs="Arial"/>
          <w:sz w:val="24"/>
          <w:szCs w:val="24"/>
        </w:rPr>
        <w:t xml:space="preserve"> EA10</w:t>
      </w:r>
      <w:r>
        <w:rPr>
          <w:rFonts w:ascii="Arial" w:hAnsi="Arial" w:cs="Arial"/>
          <w:sz w:val="24"/>
          <w:szCs w:val="24"/>
        </w:rPr>
        <w:t>,</w:t>
      </w:r>
      <w:r w:rsidRPr="005A7289">
        <w:rPr>
          <w:rFonts w:ascii="Arial" w:hAnsi="Arial" w:cs="Arial"/>
          <w:sz w:val="24"/>
          <w:szCs w:val="24"/>
        </w:rPr>
        <w:t xml:space="preserve"> s 26</w:t>
      </w:r>
    </w:p>
  </w:footnote>
  <w:footnote w:id="8">
    <w:p w:rsidR="003B54AC" w:rsidRPr="005A7289" w:rsidRDefault="003B54AC" w:rsidP="003B54AC">
      <w:pPr>
        <w:pStyle w:val="FootnoteText"/>
        <w:jc w:val="both"/>
        <w:rPr>
          <w:rFonts w:ascii="Arial" w:hAnsi="Arial" w:cs="Arial"/>
          <w:sz w:val="24"/>
          <w:szCs w:val="24"/>
        </w:rPr>
      </w:pPr>
      <w:r w:rsidRPr="005A7289">
        <w:rPr>
          <w:rStyle w:val="FootnoteReference"/>
          <w:rFonts w:ascii="Arial" w:hAnsi="Arial" w:cs="Arial"/>
          <w:sz w:val="24"/>
          <w:szCs w:val="24"/>
        </w:rPr>
        <w:footnoteRef/>
      </w:r>
      <w:r w:rsidRPr="005A7289">
        <w:rPr>
          <w:rFonts w:ascii="Arial" w:hAnsi="Arial" w:cs="Arial"/>
          <w:sz w:val="24"/>
          <w:szCs w:val="24"/>
        </w:rPr>
        <w:t xml:space="preserve"> EA10</w:t>
      </w:r>
      <w:r>
        <w:rPr>
          <w:rFonts w:ascii="Arial" w:hAnsi="Arial" w:cs="Arial"/>
          <w:sz w:val="24"/>
          <w:szCs w:val="24"/>
        </w:rPr>
        <w:t>,</w:t>
      </w:r>
      <w:r w:rsidRPr="005A7289">
        <w:rPr>
          <w:rFonts w:ascii="Arial" w:hAnsi="Arial" w:cs="Arial"/>
          <w:sz w:val="24"/>
          <w:szCs w:val="24"/>
        </w:rPr>
        <w:t xml:space="preserve"> s 27</w:t>
      </w:r>
    </w:p>
  </w:footnote>
  <w:footnote w:id="9">
    <w:p w:rsidR="003B54AC" w:rsidRPr="005A7289" w:rsidRDefault="003B54AC" w:rsidP="003B54AC">
      <w:pPr>
        <w:pStyle w:val="FootnoteText"/>
        <w:jc w:val="both"/>
        <w:rPr>
          <w:rFonts w:ascii="Arial" w:hAnsi="Arial" w:cs="Arial"/>
          <w:sz w:val="24"/>
          <w:szCs w:val="24"/>
        </w:rPr>
      </w:pPr>
      <w:r w:rsidRPr="005A7289">
        <w:rPr>
          <w:rStyle w:val="FootnoteReference"/>
          <w:rFonts w:ascii="Arial" w:hAnsi="Arial" w:cs="Arial"/>
          <w:sz w:val="24"/>
          <w:szCs w:val="24"/>
        </w:rPr>
        <w:footnoteRef/>
      </w:r>
      <w:r>
        <w:rPr>
          <w:rFonts w:ascii="Arial" w:hAnsi="Arial" w:cs="Arial"/>
          <w:sz w:val="24"/>
          <w:szCs w:val="24"/>
        </w:rPr>
        <w:t xml:space="preserve"> ibid</w:t>
      </w:r>
    </w:p>
  </w:footnote>
  <w:footnote w:id="10">
    <w:p w:rsidR="003B54AC" w:rsidRPr="005A7289" w:rsidRDefault="003B54AC" w:rsidP="003B54AC">
      <w:pPr>
        <w:pStyle w:val="FootnoteText"/>
        <w:jc w:val="both"/>
        <w:rPr>
          <w:rFonts w:ascii="Arial" w:hAnsi="Arial" w:cs="Arial"/>
          <w:sz w:val="24"/>
          <w:szCs w:val="24"/>
        </w:rPr>
      </w:pPr>
      <w:r w:rsidRPr="005A7289">
        <w:rPr>
          <w:rStyle w:val="FootnoteReference"/>
          <w:rFonts w:ascii="Arial" w:hAnsi="Arial" w:cs="Arial"/>
          <w:sz w:val="24"/>
          <w:szCs w:val="24"/>
        </w:rPr>
        <w:footnoteRef/>
      </w:r>
      <w:r w:rsidRPr="005A7289">
        <w:rPr>
          <w:rFonts w:ascii="Arial" w:hAnsi="Arial" w:cs="Arial"/>
          <w:sz w:val="24"/>
          <w:szCs w:val="24"/>
        </w:rPr>
        <w:t xml:space="preserve"> EA10</w:t>
      </w:r>
      <w:r>
        <w:rPr>
          <w:rFonts w:ascii="Arial" w:hAnsi="Arial" w:cs="Arial"/>
          <w:sz w:val="24"/>
          <w:szCs w:val="24"/>
        </w:rPr>
        <w:t>,</w:t>
      </w:r>
      <w:r w:rsidRPr="005A7289">
        <w:rPr>
          <w:rFonts w:ascii="Arial" w:hAnsi="Arial" w:cs="Arial"/>
          <w:sz w:val="24"/>
          <w:szCs w:val="24"/>
        </w:rPr>
        <w:t xml:space="preserve"> s 4, with definitions of each characteristic provided in ss 5-12</w:t>
      </w:r>
    </w:p>
  </w:footnote>
  <w:footnote w:id="11">
    <w:p w:rsidR="003B54AC" w:rsidRPr="005A7289" w:rsidRDefault="003B54AC" w:rsidP="003B54AC">
      <w:pPr>
        <w:pStyle w:val="FootnoteText"/>
        <w:jc w:val="both"/>
        <w:rPr>
          <w:rFonts w:ascii="Arial" w:hAnsi="Arial" w:cs="Arial"/>
          <w:sz w:val="24"/>
          <w:szCs w:val="24"/>
        </w:rPr>
      </w:pPr>
      <w:r w:rsidRPr="005A7289">
        <w:rPr>
          <w:rStyle w:val="FootnoteReference"/>
          <w:rFonts w:ascii="Arial" w:hAnsi="Arial" w:cs="Arial"/>
          <w:sz w:val="24"/>
          <w:szCs w:val="24"/>
        </w:rPr>
        <w:footnoteRef/>
      </w:r>
      <w:r w:rsidRPr="005A7289">
        <w:rPr>
          <w:rFonts w:ascii="Arial" w:hAnsi="Arial" w:cs="Arial"/>
          <w:sz w:val="24"/>
          <w:szCs w:val="24"/>
        </w:rPr>
        <w:t xml:space="preserve"> J</w:t>
      </w:r>
      <w:r>
        <w:rPr>
          <w:rFonts w:ascii="Arial" w:hAnsi="Arial" w:cs="Arial"/>
          <w:sz w:val="24"/>
          <w:szCs w:val="24"/>
        </w:rPr>
        <w:t>.</w:t>
      </w:r>
      <w:r w:rsidRPr="005A7289">
        <w:rPr>
          <w:rFonts w:ascii="Arial" w:hAnsi="Arial" w:cs="Arial"/>
          <w:sz w:val="24"/>
          <w:szCs w:val="24"/>
        </w:rPr>
        <w:t xml:space="preserve"> Jowell, ‘Is Equality a Constitutional Principle?’ </w:t>
      </w:r>
      <w:proofErr w:type="gramStart"/>
      <w:r w:rsidRPr="005A7289">
        <w:rPr>
          <w:rFonts w:ascii="Arial" w:hAnsi="Arial" w:cs="Arial"/>
          <w:sz w:val="24"/>
          <w:szCs w:val="24"/>
        </w:rPr>
        <w:t xml:space="preserve">(1994) 47 </w:t>
      </w:r>
      <w:r w:rsidRPr="00805FA5">
        <w:rPr>
          <w:rFonts w:ascii="Arial" w:hAnsi="Arial" w:cs="Arial"/>
          <w:i/>
          <w:sz w:val="24"/>
          <w:szCs w:val="24"/>
        </w:rPr>
        <w:t>Current Legal Problems</w:t>
      </w:r>
      <w:r w:rsidRPr="005A7289">
        <w:rPr>
          <w:rFonts w:ascii="Arial" w:hAnsi="Arial" w:cs="Arial"/>
          <w:sz w:val="24"/>
          <w:szCs w:val="24"/>
        </w:rPr>
        <w:t xml:space="preserve"> 1.</w:t>
      </w:r>
      <w:proofErr w:type="gramEnd"/>
      <w:r w:rsidRPr="005A7289">
        <w:rPr>
          <w:rFonts w:ascii="Arial" w:hAnsi="Arial" w:cs="Arial"/>
          <w:sz w:val="24"/>
          <w:szCs w:val="24"/>
        </w:rPr>
        <w:t xml:space="preserve"> See also J</w:t>
      </w:r>
      <w:r>
        <w:rPr>
          <w:rFonts w:ascii="Arial" w:hAnsi="Arial" w:cs="Arial"/>
          <w:sz w:val="24"/>
          <w:szCs w:val="24"/>
        </w:rPr>
        <w:t>.</w:t>
      </w:r>
      <w:r w:rsidRPr="005A7289">
        <w:rPr>
          <w:rFonts w:ascii="Arial" w:hAnsi="Arial" w:cs="Arial"/>
          <w:sz w:val="24"/>
          <w:szCs w:val="24"/>
        </w:rPr>
        <w:t xml:space="preserve"> Stanton-Ife, ‘Should Equality Be a Constitutional Principle?’ (2000) 11 KCLJ 133 opposing Jowell’s argument</w:t>
      </w:r>
    </w:p>
  </w:footnote>
  <w:footnote w:id="12">
    <w:p w:rsidR="003B54AC" w:rsidRPr="005A7289" w:rsidRDefault="003B54AC" w:rsidP="003B54AC">
      <w:pPr>
        <w:pStyle w:val="FootnoteText"/>
        <w:jc w:val="both"/>
        <w:rPr>
          <w:rFonts w:ascii="Arial" w:hAnsi="Arial" w:cs="Arial"/>
          <w:sz w:val="24"/>
          <w:szCs w:val="24"/>
        </w:rPr>
      </w:pPr>
      <w:r w:rsidRPr="005A7289">
        <w:rPr>
          <w:rStyle w:val="FootnoteReference"/>
          <w:rFonts w:ascii="Arial" w:hAnsi="Arial" w:cs="Arial"/>
          <w:sz w:val="24"/>
          <w:szCs w:val="24"/>
        </w:rPr>
        <w:footnoteRef/>
      </w:r>
      <w:r w:rsidRPr="005A7289">
        <w:rPr>
          <w:rFonts w:ascii="Arial" w:hAnsi="Arial" w:cs="Arial"/>
          <w:sz w:val="24"/>
          <w:szCs w:val="24"/>
        </w:rPr>
        <w:t xml:space="preserve"> See J</w:t>
      </w:r>
      <w:r>
        <w:rPr>
          <w:rFonts w:ascii="Arial" w:hAnsi="Arial" w:cs="Arial"/>
          <w:sz w:val="24"/>
          <w:szCs w:val="24"/>
        </w:rPr>
        <w:t>.</w:t>
      </w:r>
      <w:r w:rsidRPr="005A7289">
        <w:rPr>
          <w:rFonts w:ascii="Arial" w:hAnsi="Arial" w:cs="Arial"/>
          <w:sz w:val="24"/>
          <w:szCs w:val="24"/>
        </w:rPr>
        <w:t xml:space="preserve"> Jones, ‘"Common Constitutional Traditions": Can the Meaning of Human Dignity under German Law Guide the European Court of Justice?’ [2004] PL 167</w:t>
      </w:r>
    </w:p>
  </w:footnote>
  <w:footnote w:id="13">
    <w:p w:rsidR="003B54AC" w:rsidRPr="005A7289" w:rsidRDefault="003B54AC" w:rsidP="003B54AC">
      <w:pPr>
        <w:pStyle w:val="FootnoteText"/>
        <w:jc w:val="both"/>
        <w:rPr>
          <w:rFonts w:ascii="Arial" w:hAnsi="Arial" w:cs="Arial"/>
          <w:sz w:val="24"/>
          <w:szCs w:val="24"/>
        </w:rPr>
      </w:pPr>
      <w:r w:rsidRPr="005A7289">
        <w:rPr>
          <w:rStyle w:val="FootnoteReference"/>
          <w:rFonts w:ascii="Arial" w:hAnsi="Arial" w:cs="Arial"/>
          <w:sz w:val="24"/>
          <w:szCs w:val="24"/>
        </w:rPr>
        <w:footnoteRef/>
      </w:r>
      <w:r w:rsidRPr="005A7289">
        <w:rPr>
          <w:rFonts w:ascii="Arial" w:hAnsi="Arial" w:cs="Arial"/>
          <w:sz w:val="24"/>
          <w:szCs w:val="24"/>
        </w:rPr>
        <w:t xml:space="preserve"> See E</w:t>
      </w:r>
      <w:r>
        <w:rPr>
          <w:rFonts w:ascii="Arial" w:hAnsi="Arial" w:cs="Arial"/>
          <w:sz w:val="24"/>
          <w:szCs w:val="24"/>
        </w:rPr>
        <w:t>.</w:t>
      </w:r>
      <w:r w:rsidRPr="005A7289">
        <w:rPr>
          <w:rFonts w:ascii="Arial" w:hAnsi="Arial" w:cs="Arial"/>
          <w:sz w:val="24"/>
          <w:szCs w:val="24"/>
        </w:rPr>
        <w:t xml:space="preserve"> Grant, ‘Dignity and Equality’ (2007) 7 </w:t>
      </w:r>
      <w:r w:rsidRPr="00805FA5">
        <w:rPr>
          <w:rFonts w:ascii="Arial" w:hAnsi="Arial" w:cs="Arial"/>
          <w:i/>
          <w:sz w:val="24"/>
          <w:szCs w:val="24"/>
        </w:rPr>
        <w:t>Human Rights Law Review</w:t>
      </w:r>
      <w:r w:rsidRPr="005A7289">
        <w:rPr>
          <w:rFonts w:ascii="Arial" w:hAnsi="Arial" w:cs="Arial"/>
          <w:sz w:val="24"/>
          <w:szCs w:val="24"/>
        </w:rPr>
        <w:t xml:space="preserve"> 299</w:t>
      </w:r>
    </w:p>
  </w:footnote>
  <w:footnote w:id="14">
    <w:p w:rsidR="003B54AC" w:rsidRPr="005A7289" w:rsidRDefault="003B54AC" w:rsidP="003B54AC">
      <w:pPr>
        <w:pStyle w:val="FootnoteText"/>
        <w:jc w:val="both"/>
        <w:rPr>
          <w:rFonts w:ascii="Arial" w:hAnsi="Arial" w:cs="Arial"/>
          <w:sz w:val="24"/>
          <w:szCs w:val="24"/>
        </w:rPr>
      </w:pPr>
      <w:r w:rsidRPr="005A7289">
        <w:rPr>
          <w:rStyle w:val="FootnoteReference"/>
          <w:rFonts w:ascii="Arial" w:hAnsi="Arial" w:cs="Arial"/>
          <w:sz w:val="24"/>
          <w:szCs w:val="24"/>
        </w:rPr>
        <w:footnoteRef/>
      </w:r>
      <w:r w:rsidRPr="005A7289">
        <w:rPr>
          <w:rFonts w:ascii="Arial" w:hAnsi="Arial" w:cs="Arial"/>
          <w:sz w:val="24"/>
          <w:szCs w:val="24"/>
        </w:rPr>
        <w:t xml:space="preserve"> This is a highly contested concept – see for example D</w:t>
      </w:r>
      <w:r>
        <w:rPr>
          <w:rFonts w:ascii="Arial" w:hAnsi="Arial" w:cs="Arial"/>
          <w:sz w:val="24"/>
          <w:szCs w:val="24"/>
        </w:rPr>
        <w:t>.</w:t>
      </w:r>
      <w:r w:rsidRPr="005A7289">
        <w:rPr>
          <w:rFonts w:ascii="Arial" w:hAnsi="Arial" w:cs="Arial"/>
          <w:sz w:val="24"/>
          <w:szCs w:val="24"/>
        </w:rPr>
        <w:t xml:space="preserve"> Beyleveld, R</w:t>
      </w:r>
      <w:r>
        <w:rPr>
          <w:rFonts w:ascii="Arial" w:hAnsi="Arial" w:cs="Arial"/>
          <w:sz w:val="24"/>
          <w:szCs w:val="24"/>
        </w:rPr>
        <w:t>.</w:t>
      </w:r>
      <w:r w:rsidRPr="005A7289">
        <w:rPr>
          <w:rFonts w:ascii="Arial" w:hAnsi="Arial" w:cs="Arial"/>
          <w:sz w:val="24"/>
          <w:szCs w:val="24"/>
        </w:rPr>
        <w:t xml:space="preserve"> Brownsword, ‘Human Dignity, Human Rights, and Human Genetics’ (1998) 61 MLR 661</w:t>
      </w:r>
      <w:r>
        <w:rPr>
          <w:rFonts w:ascii="Arial" w:hAnsi="Arial" w:cs="Arial"/>
          <w:sz w:val="24"/>
          <w:szCs w:val="24"/>
        </w:rPr>
        <w:t xml:space="preserve">, </w:t>
      </w:r>
      <w:r w:rsidRPr="005A7289">
        <w:rPr>
          <w:rFonts w:ascii="Arial" w:hAnsi="Arial" w:cs="Arial"/>
          <w:sz w:val="24"/>
          <w:szCs w:val="24"/>
        </w:rPr>
        <w:t>D</w:t>
      </w:r>
      <w:r>
        <w:rPr>
          <w:rFonts w:ascii="Arial" w:hAnsi="Arial" w:cs="Arial"/>
          <w:sz w:val="24"/>
          <w:szCs w:val="24"/>
        </w:rPr>
        <w:t>.</w:t>
      </w:r>
      <w:r w:rsidRPr="005A7289">
        <w:rPr>
          <w:rFonts w:ascii="Arial" w:hAnsi="Arial" w:cs="Arial"/>
          <w:sz w:val="24"/>
          <w:szCs w:val="24"/>
        </w:rPr>
        <w:t xml:space="preserve"> Feldman, ‘Human Dignity as a Legal Value’ [1999] PL 682 and [2000] PL 61 and </w:t>
      </w:r>
      <w:r>
        <w:rPr>
          <w:rFonts w:ascii="Arial" w:hAnsi="Arial" w:cs="Arial"/>
          <w:sz w:val="24"/>
          <w:szCs w:val="24"/>
        </w:rPr>
        <w:t>C. McCrudden, ‘Human Dignity and Judicial Interpretation of Human Rights’ (2008) 19 EJIL 655</w:t>
      </w:r>
    </w:p>
  </w:footnote>
  <w:footnote w:id="15">
    <w:p w:rsidR="003B54AC" w:rsidRPr="005A7289" w:rsidRDefault="003B54AC" w:rsidP="003B54AC">
      <w:pPr>
        <w:pStyle w:val="FootnoteText"/>
        <w:jc w:val="both"/>
        <w:rPr>
          <w:rFonts w:ascii="Arial" w:hAnsi="Arial" w:cs="Arial"/>
          <w:sz w:val="24"/>
          <w:szCs w:val="24"/>
        </w:rPr>
      </w:pPr>
      <w:r w:rsidRPr="005A7289">
        <w:rPr>
          <w:rStyle w:val="FootnoteReference"/>
          <w:rFonts w:ascii="Arial" w:hAnsi="Arial" w:cs="Arial"/>
          <w:sz w:val="24"/>
          <w:szCs w:val="24"/>
        </w:rPr>
        <w:footnoteRef/>
      </w:r>
      <w:r w:rsidRPr="005A7289">
        <w:rPr>
          <w:rFonts w:ascii="Arial" w:hAnsi="Arial" w:cs="Arial"/>
          <w:sz w:val="24"/>
          <w:szCs w:val="24"/>
        </w:rPr>
        <w:t xml:space="preserve"> See G</w:t>
      </w:r>
      <w:r>
        <w:rPr>
          <w:rFonts w:ascii="Arial" w:hAnsi="Arial" w:cs="Arial"/>
          <w:sz w:val="24"/>
          <w:szCs w:val="24"/>
        </w:rPr>
        <w:t>.</w:t>
      </w:r>
      <w:r w:rsidRPr="005A7289">
        <w:rPr>
          <w:rFonts w:ascii="Arial" w:hAnsi="Arial" w:cs="Arial"/>
          <w:sz w:val="24"/>
          <w:szCs w:val="24"/>
        </w:rPr>
        <w:t xml:space="preserve"> Moon, R</w:t>
      </w:r>
      <w:r>
        <w:rPr>
          <w:rFonts w:ascii="Arial" w:hAnsi="Arial" w:cs="Arial"/>
          <w:sz w:val="24"/>
          <w:szCs w:val="24"/>
        </w:rPr>
        <w:t>.</w:t>
      </w:r>
      <w:r w:rsidRPr="005A7289">
        <w:rPr>
          <w:rFonts w:ascii="Arial" w:hAnsi="Arial" w:cs="Arial"/>
          <w:sz w:val="24"/>
          <w:szCs w:val="24"/>
        </w:rPr>
        <w:t xml:space="preserve"> Allen, ‘Dignity Discourse in Discrimination Law: A Better Route to Equality?’ [2006] EHRLR 610 who suggest a structured approach to the use of dignity as the basis for equality law</w:t>
      </w:r>
    </w:p>
  </w:footnote>
  <w:footnote w:id="16">
    <w:p w:rsidR="003B54AC" w:rsidRPr="005A7289" w:rsidRDefault="003B54AC" w:rsidP="003B54AC">
      <w:pPr>
        <w:pStyle w:val="FootnoteText"/>
        <w:jc w:val="both"/>
        <w:rPr>
          <w:rFonts w:ascii="Arial" w:hAnsi="Arial" w:cs="Arial"/>
          <w:sz w:val="24"/>
          <w:szCs w:val="24"/>
        </w:rPr>
      </w:pPr>
      <w:r w:rsidRPr="005A7289">
        <w:rPr>
          <w:rStyle w:val="FootnoteReference"/>
          <w:rFonts w:ascii="Arial" w:hAnsi="Arial" w:cs="Arial"/>
          <w:sz w:val="24"/>
          <w:szCs w:val="24"/>
        </w:rPr>
        <w:footnoteRef/>
      </w:r>
      <w:r>
        <w:rPr>
          <w:rFonts w:ascii="Arial" w:hAnsi="Arial" w:cs="Arial"/>
          <w:sz w:val="24"/>
          <w:szCs w:val="24"/>
        </w:rPr>
        <w:t xml:space="preserve"> </w:t>
      </w:r>
      <w:r w:rsidRPr="005A7289">
        <w:rPr>
          <w:rFonts w:ascii="Arial" w:hAnsi="Arial" w:cs="Arial"/>
          <w:sz w:val="24"/>
          <w:szCs w:val="24"/>
        </w:rPr>
        <w:t>B</w:t>
      </w:r>
      <w:r>
        <w:rPr>
          <w:rFonts w:ascii="Arial" w:hAnsi="Arial" w:cs="Arial"/>
          <w:sz w:val="24"/>
          <w:szCs w:val="24"/>
        </w:rPr>
        <w:t>.</w:t>
      </w:r>
      <w:r w:rsidRPr="005A7289">
        <w:rPr>
          <w:rFonts w:ascii="Arial" w:hAnsi="Arial" w:cs="Arial"/>
          <w:sz w:val="24"/>
          <w:szCs w:val="24"/>
        </w:rPr>
        <w:t xml:space="preserve"> Hepple, </w:t>
      </w:r>
      <w:r w:rsidRPr="005A7289">
        <w:rPr>
          <w:rFonts w:ascii="Arial" w:hAnsi="Arial" w:cs="Arial"/>
          <w:i/>
          <w:sz w:val="24"/>
          <w:szCs w:val="24"/>
        </w:rPr>
        <w:t>Equality: The New Legal Framework</w:t>
      </w:r>
      <w:r w:rsidRPr="005A7289">
        <w:rPr>
          <w:rFonts w:ascii="Arial" w:hAnsi="Arial" w:cs="Arial"/>
          <w:sz w:val="24"/>
          <w:szCs w:val="24"/>
        </w:rPr>
        <w:t xml:space="preserve"> (Oxford</w:t>
      </w:r>
      <w:r>
        <w:rPr>
          <w:rFonts w:ascii="Arial" w:hAnsi="Arial" w:cs="Arial"/>
          <w:sz w:val="24"/>
          <w:szCs w:val="24"/>
        </w:rPr>
        <w:t>:</w:t>
      </w:r>
      <w:r w:rsidRPr="005A7289">
        <w:rPr>
          <w:rFonts w:ascii="Arial" w:hAnsi="Arial" w:cs="Arial"/>
          <w:sz w:val="24"/>
          <w:szCs w:val="24"/>
        </w:rPr>
        <w:t xml:space="preserve"> Hart Publishing, 2011) 12 and B</w:t>
      </w:r>
      <w:r>
        <w:rPr>
          <w:rFonts w:ascii="Arial" w:hAnsi="Arial" w:cs="Arial"/>
          <w:sz w:val="24"/>
          <w:szCs w:val="24"/>
        </w:rPr>
        <w:t>.</w:t>
      </w:r>
      <w:r w:rsidRPr="005A7289">
        <w:rPr>
          <w:rFonts w:ascii="Arial" w:hAnsi="Arial" w:cs="Arial"/>
          <w:sz w:val="24"/>
          <w:szCs w:val="24"/>
        </w:rPr>
        <w:t xml:space="preserve"> Hepple, ‘The Aims of </w:t>
      </w:r>
      <w:r>
        <w:rPr>
          <w:rFonts w:ascii="Arial" w:hAnsi="Arial" w:cs="Arial"/>
          <w:sz w:val="24"/>
          <w:szCs w:val="24"/>
        </w:rPr>
        <w:t>Equality Law’ (2008) 61 CLP 1,</w:t>
      </w:r>
      <w:r w:rsidRPr="005A7289">
        <w:rPr>
          <w:rFonts w:ascii="Arial" w:hAnsi="Arial" w:cs="Arial"/>
          <w:sz w:val="24"/>
          <w:szCs w:val="24"/>
        </w:rPr>
        <w:t xml:space="preserve"> 3</w:t>
      </w:r>
    </w:p>
  </w:footnote>
  <w:footnote w:id="17">
    <w:p w:rsidR="003B54AC" w:rsidRPr="00354F86" w:rsidRDefault="003B54AC" w:rsidP="003B54AC">
      <w:pPr>
        <w:pStyle w:val="FootnoteText"/>
        <w:jc w:val="both"/>
        <w:rPr>
          <w:rFonts w:ascii="Arial" w:hAnsi="Arial" w:cs="Arial"/>
          <w:sz w:val="24"/>
          <w:szCs w:val="24"/>
        </w:rPr>
      </w:pPr>
      <w:r w:rsidRPr="00354F86">
        <w:rPr>
          <w:rStyle w:val="FootnoteReference"/>
          <w:rFonts w:ascii="Arial" w:hAnsi="Arial" w:cs="Arial"/>
          <w:sz w:val="24"/>
          <w:szCs w:val="24"/>
        </w:rPr>
        <w:footnoteRef/>
      </w:r>
      <w:r w:rsidRPr="00354F86">
        <w:rPr>
          <w:rFonts w:ascii="Arial" w:hAnsi="Arial" w:cs="Arial"/>
          <w:sz w:val="24"/>
          <w:szCs w:val="24"/>
        </w:rPr>
        <w:t xml:space="preserve"> EA10</w:t>
      </w:r>
      <w:r>
        <w:rPr>
          <w:rFonts w:ascii="Arial" w:hAnsi="Arial" w:cs="Arial"/>
          <w:sz w:val="24"/>
          <w:szCs w:val="24"/>
        </w:rPr>
        <w:t>,</w:t>
      </w:r>
      <w:r w:rsidRPr="00354F86">
        <w:rPr>
          <w:rFonts w:ascii="Arial" w:hAnsi="Arial" w:cs="Arial"/>
          <w:sz w:val="24"/>
          <w:szCs w:val="24"/>
        </w:rPr>
        <w:t xml:space="preserve"> s 1(1)</w:t>
      </w:r>
    </w:p>
  </w:footnote>
  <w:footnote w:id="18">
    <w:p w:rsidR="003B54AC" w:rsidRDefault="003B54AC" w:rsidP="003B54AC">
      <w:pPr>
        <w:pStyle w:val="FootnoteText"/>
        <w:jc w:val="both"/>
      </w:pPr>
      <w:r w:rsidRPr="00354F86">
        <w:rPr>
          <w:rStyle w:val="FootnoteReference"/>
          <w:rFonts w:ascii="Arial" w:hAnsi="Arial" w:cs="Arial"/>
          <w:sz w:val="24"/>
          <w:szCs w:val="24"/>
        </w:rPr>
        <w:footnoteRef/>
      </w:r>
      <w:r w:rsidRPr="00354F86">
        <w:rPr>
          <w:rFonts w:ascii="Arial" w:hAnsi="Arial" w:cs="Arial"/>
          <w:sz w:val="24"/>
          <w:szCs w:val="24"/>
        </w:rPr>
        <w:t xml:space="preserve"> EA10</w:t>
      </w:r>
      <w:r>
        <w:rPr>
          <w:rFonts w:ascii="Arial" w:hAnsi="Arial" w:cs="Arial"/>
          <w:sz w:val="24"/>
          <w:szCs w:val="24"/>
        </w:rPr>
        <w:t>,</w:t>
      </w:r>
      <w:r w:rsidRPr="00354F86">
        <w:rPr>
          <w:rFonts w:ascii="Arial" w:hAnsi="Arial" w:cs="Arial"/>
          <w:sz w:val="24"/>
          <w:szCs w:val="24"/>
        </w:rPr>
        <w:t xml:space="preserve"> s 1(3)(a) and (b)</w:t>
      </w:r>
    </w:p>
  </w:footnote>
  <w:footnote w:id="19">
    <w:p w:rsidR="003B54AC" w:rsidRPr="00EA4326" w:rsidRDefault="003B54AC" w:rsidP="003B54AC">
      <w:pPr>
        <w:pStyle w:val="FootnoteText"/>
        <w:jc w:val="both"/>
        <w:rPr>
          <w:sz w:val="24"/>
          <w:szCs w:val="24"/>
        </w:rPr>
      </w:pPr>
      <w:r w:rsidRPr="00EA4326">
        <w:rPr>
          <w:rStyle w:val="FootnoteReference"/>
          <w:rFonts w:ascii="Arial" w:hAnsi="Arial" w:cs="Arial"/>
          <w:sz w:val="24"/>
          <w:szCs w:val="24"/>
        </w:rPr>
        <w:footnoteRef/>
      </w:r>
      <w:r w:rsidRPr="00EA4326">
        <w:rPr>
          <w:rFonts w:ascii="Arial" w:hAnsi="Arial" w:cs="Arial"/>
          <w:sz w:val="24"/>
          <w:szCs w:val="24"/>
        </w:rPr>
        <w:t xml:space="preserve"> S</w:t>
      </w:r>
      <w:r>
        <w:rPr>
          <w:rFonts w:ascii="Arial" w:hAnsi="Arial" w:cs="Arial"/>
          <w:sz w:val="24"/>
          <w:szCs w:val="24"/>
        </w:rPr>
        <w:t>.</w:t>
      </w:r>
      <w:r w:rsidRPr="00EA4326">
        <w:rPr>
          <w:rFonts w:ascii="Arial" w:hAnsi="Arial" w:cs="Arial"/>
          <w:sz w:val="24"/>
          <w:szCs w:val="24"/>
        </w:rPr>
        <w:t xml:space="preserve"> Fredman, ‘Positive Duties and Socio-Economic Disadvantage: Bringing Disadvantage Onto the Equa</w:t>
      </w:r>
      <w:r>
        <w:rPr>
          <w:rFonts w:ascii="Arial" w:hAnsi="Arial" w:cs="Arial"/>
          <w:sz w:val="24"/>
          <w:szCs w:val="24"/>
        </w:rPr>
        <w:t>lity Agenda’ [2010] EHRLR 290,</w:t>
      </w:r>
      <w:r w:rsidRPr="00EA4326">
        <w:rPr>
          <w:rFonts w:ascii="Arial" w:hAnsi="Arial" w:cs="Arial"/>
          <w:sz w:val="24"/>
          <w:szCs w:val="24"/>
        </w:rPr>
        <w:t xml:space="preserve"> 297</w:t>
      </w:r>
    </w:p>
  </w:footnote>
  <w:footnote w:id="20">
    <w:p w:rsidR="003B54AC" w:rsidRPr="00CD78DB" w:rsidRDefault="003B54AC" w:rsidP="003B54AC">
      <w:pPr>
        <w:pStyle w:val="FootnoteText"/>
        <w:jc w:val="both"/>
        <w:rPr>
          <w:rFonts w:ascii="Arial" w:hAnsi="Arial" w:cs="Arial"/>
          <w:sz w:val="24"/>
          <w:szCs w:val="24"/>
        </w:rPr>
      </w:pPr>
      <w:r w:rsidRPr="00CD78DB">
        <w:rPr>
          <w:rStyle w:val="FootnoteReference"/>
          <w:rFonts w:ascii="Arial" w:hAnsi="Arial" w:cs="Arial"/>
          <w:sz w:val="24"/>
          <w:szCs w:val="24"/>
        </w:rPr>
        <w:footnoteRef/>
      </w:r>
      <w:r w:rsidRPr="00CD78DB">
        <w:rPr>
          <w:rFonts w:ascii="Arial" w:hAnsi="Arial" w:cs="Arial"/>
          <w:sz w:val="24"/>
          <w:szCs w:val="24"/>
        </w:rPr>
        <w:t xml:space="preserve"> Ministry of Defence, </w:t>
      </w:r>
      <w:r w:rsidRPr="00CD78DB">
        <w:rPr>
          <w:rFonts w:ascii="Arial" w:hAnsi="Arial" w:cs="Arial"/>
          <w:i/>
          <w:sz w:val="24"/>
          <w:szCs w:val="24"/>
        </w:rPr>
        <w:t>Securing Britain in an Age of Insecurity: The Strategic and Security Review</w:t>
      </w:r>
      <w:r w:rsidRPr="00CD78DB">
        <w:rPr>
          <w:rFonts w:ascii="Arial" w:hAnsi="Arial" w:cs="Arial"/>
          <w:sz w:val="24"/>
          <w:szCs w:val="24"/>
        </w:rPr>
        <w:t>, Cm 7948 (London: HMSO, 2011)</w:t>
      </w:r>
    </w:p>
  </w:footnote>
  <w:footnote w:id="21">
    <w:p w:rsidR="003B54AC" w:rsidRPr="00775833" w:rsidRDefault="003B54AC" w:rsidP="003B54AC">
      <w:pPr>
        <w:pStyle w:val="FootnoteText"/>
        <w:jc w:val="both"/>
        <w:rPr>
          <w:rFonts w:ascii="Arial" w:hAnsi="Arial" w:cs="Arial"/>
          <w:sz w:val="24"/>
          <w:szCs w:val="24"/>
        </w:rPr>
      </w:pPr>
      <w:r w:rsidRPr="00775833">
        <w:rPr>
          <w:rStyle w:val="FootnoteReference"/>
          <w:rFonts w:ascii="Arial" w:hAnsi="Arial" w:cs="Arial"/>
          <w:sz w:val="24"/>
          <w:szCs w:val="24"/>
        </w:rPr>
        <w:footnoteRef/>
      </w:r>
      <w:r>
        <w:rPr>
          <w:rFonts w:ascii="Arial" w:hAnsi="Arial" w:cs="Arial"/>
          <w:sz w:val="24"/>
          <w:szCs w:val="24"/>
        </w:rPr>
        <w:t xml:space="preserve"> n 16</w:t>
      </w:r>
      <w:r w:rsidRPr="00775833">
        <w:rPr>
          <w:rFonts w:ascii="Arial" w:hAnsi="Arial" w:cs="Arial"/>
          <w:sz w:val="24"/>
          <w:szCs w:val="24"/>
        </w:rPr>
        <w:t xml:space="preserve"> </w:t>
      </w:r>
      <w:r>
        <w:rPr>
          <w:rFonts w:ascii="Arial" w:hAnsi="Arial" w:cs="Arial"/>
          <w:sz w:val="24"/>
          <w:szCs w:val="24"/>
        </w:rPr>
        <w:t xml:space="preserve">above </w:t>
      </w:r>
      <w:r w:rsidRPr="00775833">
        <w:rPr>
          <w:rFonts w:ascii="Arial" w:hAnsi="Arial" w:cs="Arial"/>
          <w:sz w:val="24"/>
          <w:szCs w:val="24"/>
        </w:rPr>
        <w:t>at 142</w:t>
      </w:r>
    </w:p>
  </w:footnote>
  <w:footnote w:id="22">
    <w:p w:rsidR="003B54AC" w:rsidRPr="00775833" w:rsidRDefault="003B54AC" w:rsidP="003B54AC">
      <w:pPr>
        <w:pStyle w:val="FootnoteText"/>
        <w:jc w:val="both"/>
        <w:rPr>
          <w:rFonts w:ascii="Arial" w:hAnsi="Arial" w:cs="Arial"/>
          <w:sz w:val="24"/>
          <w:szCs w:val="24"/>
        </w:rPr>
      </w:pPr>
      <w:r w:rsidRPr="00775833">
        <w:rPr>
          <w:rStyle w:val="FootnoteReference"/>
          <w:rFonts w:ascii="Arial" w:hAnsi="Arial" w:cs="Arial"/>
          <w:sz w:val="24"/>
          <w:szCs w:val="24"/>
        </w:rPr>
        <w:footnoteRef/>
      </w:r>
      <w:r w:rsidRPr="00775833">
        <w:rPr>
          <w:rFonts w:ascii="Arial" w:hAnsi="Arial" w:cs="Arial"/>
          <w:sz w:val="24"/>
          <w:szCs w:val="24"/>
        </w:rPr>
        <w:t xml:space="preserve"> </w:t>
      </w:r>
      <w:r>
        <w:rPr>
          <w:rFonts w:ascii="Arial" w:hAnsi="Arial" w:cs="Arial"/>
          <w:sz w:val="24"/>
          <w:szCs w:val="24"/>
        </w:rPr>
        <w:t>Schedule 19, s 150(1)</w:t>
      </w:r>
    </w:p>
  </w:footnote>
  <w:footnote w:id="23">
    <w:p w:rsidR="003B54AC" w:rsidRDefault="003B54AC" w:rsidP="003B54AC">
      <w:pPr>
        <w:pStyle w:val="FootnoteText"/>
        <w:jc w:val="both"/>
      </w:pPr>
      <w:r w:rsidRPr="00775833">
        <w:rPr>
          <w:rStyle w:val="FootnoteReference"/>
          <w:rFonts w:ascii="Arial" w:hAnsi="Arial" w:cs="Arial"/>
          <w:sz w:val="24"/>
          <w:szCs w:val="24"/>
        </w:rPr>
        <w:footnoteRef/>
      </w:r>
      <w:r w:rsidRPr="00775833">
        <w:rPr>
          <w:rFonts w:ascii="Arial" w:hAnsi="Arial" w:cs="Arial"/>
          <w:sz w:val="24"/>
          <w:szCs w:val="24"/>
        </w:rPr>
        <w:t xml:space="preserve"> A public authority must </w:t>
      </w:r>
      <w:r>
        <w:rPr>
          <w:rFonts w:ascii="Arial" w:hAnsi="Arial" w:cs="Arial"/>
          <w:sz w:val="24"/>
          <w:szCs w:val="24"/>
        </w:rPr>
        <w:t>‘</w:t>
      </w:r>
      <w:r w:rsidRPr="00775833">
        <w:rPr>
          <w:rFonts w:ascii="Arial" w:hAnsi="Arial" w:cs="Arial"/>
          <w:sz w:val="24"/>
          <w:szCs w:val="24"/>
        </w:rPr>
        <w:t>in the course of its functions, have due regard to the need to: (a) eliminate discrimination, harassment, victimisation and any other conduct that is prohibited by or under this Act; (b) advance equality of opportunity between persons who share a relevant protected characteristic and persons who do not share it; (c) foster good relations between persons who share a relevant protected characteristic a</w:t>
      </w:r>
      <w:r>
        <w:rPr>
          <w:rFonts w:ascii="Arial" w:hAnsi="Arial" w:cs="Arial"/>
          <w:sz w:val="24"/>
          <w:szCs w:val="24"/>
        </w:rPr>
        <w:t>nd persons who do not share it.’</w:t>
      </w:r>
    </w:p>
  </w:footnote>
  <w:footnote w:id="24">
    <w:p w:rsidR="003B54AC" w:rsidRPr="002D6656" w:rsidRDefault="003B54AC" w:rsidP="003B54AC">
      <w:pPr>
        <w:pStyle w:val="FootnoteText"/>
        <w:jc w:val="both"/>
        <w:rPr>
          <w:rFonts w:ascii="Arial" w:hAnsi="Arial" w:cs="Arial"/>
          <w:sz w:val="24"/>
          <w:szCs w:val="24"/>
        </w:rPr>
      </w:pPr>
      <w:r w:rsidRPr="002D6656">
        <w:rPr>
          <w:rStyle w:val="FootnoteReference"/>
          <w:rFonts w:ascii="Arial" w:hAnsi="Arial" w:cs="Arial"/>
          <w:sz w:val="24"/>
          <w:szCs w:val="24"/>
        </w:rPr>
        <w:footnoteRef/>
      </w:r>
      <w:r w:rsidRPr="002D6656">
        <w:rPr>
          <w:rFonts w:ascii="Arial" w:hAnsi="Arial" w:cs="Arial"/>
          <w:sz w:val="24"/>
          <w:szCs w:val="24"/>
        </w:rPr>
        <w:t xml:space="preserve"> </w:t>
      </w:r>
      <w:proofErr w:type="gramStart"/>
      <w:r w:rsidRPr="002D6656">
        <w:rPr>
          <w:rFonts w:ascii="Arial" w:hAnsi="Arial" w:cs="Arial"/>
          <w:sz w:val="24"/>
          <w:szCs w:val="24"/>
        </w:rPr>
        <w:t>EA10</w:t>
      </w:r>
      <w:r>
        <w:rPr>
          <w:rFonts w:ascii="Arial" w:hAnsi="Arial" w:cs="Arial"/>
          <w:sz w:val="24"/>
          <w:szCs w:val="24"/>
        </w:rPr>
        <w:t>,</w:t>
      </w:r>
      <w:r w:rsidRPr="002D6656">
        <w:rPr>
          <w:rFonts w:ascii="Arial" w:hAnsi="Arial" w:cs="Arial"/>
          <w:sz w:val="24"/>
          <w:szCs w:val="24"/>
        </w:rPr>
        <w:t xml:space="preserve"> s 149(2)</w:t>
      </w:r>
      <w:r>
        <w:rPr>
          <w:rFonts w:ascii="Arial" w:hAnsi="Arial" w:cs="Arial"/>
          <w:sz w:val="24"/>
          <w:szCs w:val="24"/>
        </w:rPr>
        <w:t>.</w:t>
      </w:r>
      <w:proofErr w:type="gramEnd"/>
      <w:r>
        <w:rPr>
          <w:rFonts w:ascii="Arial" w:hAnsi="Arial" w:cs="Arial"/>
          <w:sz w:val="24"/>
          <w:szCs w:val="24"/>
        </w:rPr>
        <w:t xml:space="preserve"> See S Fredman, ‘The Public Sector Equality Duty’ (2011) 40 ILJ 405</w:t>
      </w:r>
    </w:p>
  </w:footnote>
  <w:footnote w:id="25">
    <w:p w:rsidR="003B54AC" w:rsidRPr="00810C8F" w:rsidRDefault="003B54AC" w:rsidP="003B54AC">
      <w:pPr>
        <w:pStyle w:val="FootnoteText"/>
        <w:jc w:val="both"/>
        <w:rPr>
          <w:rFonts w:ascii="Arial" w:hAnsi="Arial" w:cs="Arial"/>
          <w:sz w:val="24"/>
          <w:szCs w:val="24"/>
        </w:rPr>
      </w:pPr>
      <w:r w:rsidRPr="00810C8F">
        <w:rPr>
          <w:rStyle w:val="FootnoteReference"/>
          <w:rFonts w:ascii="Arial" w:hAnsi="Arial" w:cs="Arial"/>
          <w:sz w:val="24"/>
          <w:szCs w:val="24"/>
        </w:rPr>
        <w:footnoteRef/>
      </w:r>
      <w:r w:rsidRPr="00810C8F">
        <w:rPr>
          <w:rFonts w:ascii="Arial" w:hAnsi="Arial" w:cs="Arial"/>
          <w:sz w:val="24"/>
          <w:szCs w:val="24"/>
        </w:rPr>
        <w:t xml:space="preserve"> SI 2260/2011, The Equality Act 2010 (Specific Duties) Regulations 2011</w:t>
      </w:r>
      <w:r>
        <w:rPr>
          <w:rFonts w:ascii="Arial" w:hAnsi="Arial" w:cs="Arial"/>
          <w:sz w:val="24"/>
          <w:szCs w:val="24"/>
        </w:rPr>
        <w:t xml:space="preserve"> Article 2(1)</w:t>
      </w:r>
    </w:p>
  </w:footnote>
  <w:footnote w:id="26">
    <w:p w:rsidR="003B54AC" w:rsidRPr="00810C8F" w:rsidRDefault="003B54AC" w:rsidP="003B54AC">
      <w:pPr>
        <w:pStyle w:val="FootnoteText"/>
        <w:jc w:val="both"/>
        <w:rPr>
          <w:rFonts w:ascii="Arial" w:hAnsi="Arial" w:cs="Arial"/>
          <w:sz w:val="24"/>
          <w:szCs w:val="24"/>
        </w:rPr>
      </w:pPr>
      <w:r w:rsidRPr="00810C8F">
        <w:rPr>
          <w:rStyle w:val="FootnoteReference"/>
          <w:rFonts w:ascii="Arial" w:hAnsi="Arial" w:cs="Arial"/>
          <w:sz w:val="24"/>
          <w:szCs w:val="24"/>
        </w:rPr>
        <w:footnoteRef/>
      </w:r>
      <w:r w:rsidRPr="00810C8F">
        <w:rPr>
          <w:rFonts w:ascii="Arial" w:hAnsi="Arial" w:cs="Arial"/>
          <w:sz w:val="24"/>
          <w:szCs w:val="24"/>
        </w:rPr>
        <w:t xml:space="preserve"> </w:t>
      </w:r>
      <w:r>
        <w:rPr>
          <w:rFonts w:ascii="Arial" w:hAnsi="Arial" w:cs="Arial"/>
          <w:sz w:val="24"/>
          <w:szCs w:val="24"/>
        </w:rPr>
        <w:t>ibid Article 2(4)</w:t>
      </w:r>
    </w:p>
  </w:footnote>
  <w:footnote w:id="27">
    <w:p w:rsidR="003B54AC" w:rsidRPr="002D6656" w:rsidRDefault="003B54AC" w:rsidP="003B54AC">
      <w:pPr>
        <w:pStyle w:val="FootnoteText"/>
        <w:jc w:val="both"/>
        <w:rPr>
          <w:rFonts w:ascii="Arial" w:hAnsi="Arial" w:cs="Arial"/>
          <w:sz w:val="24"/>
          <w:szCs w:val="24"/>
        </w:rPr>
      </w:pPr>
      <w:r w:rsidRPr="002D6656">
        <w:rPr>
          <w:rStyle w:val="FootnoteReference"/>
          <w:rFonts w:ascii="Arial" w:hAnsi="Arial" w:cs="Arial"/>
          <w:sz w:val="24"/>
          <w:szCs w:val="24"/>
        </w:rPr>
        <w:footnoteRef/>
      </w:r>
      <w:r w:rsidRPr="002D6656">
        <w:rPr>
          <w:rFonts w:ascii="Arial" w:hAnsi="Arial" w:cs="Arial"/>
          <w:sz w:val="24"/>
          <w:szCs w:val="24"/>
        </w:rPr>
        <w:t xml:space="preserve"> Schedule 3</w:t>
      </w:r>
      <w:r>
        <w:rPr>
          <w:rFonts w:ascii="Arial" w:hAnsi="Arial" w:cs="Arial"/>
          <w:sz w:val="24"/>
          <w:szCs w:val="24"/>
        </w:rPr>
        <w:t>,</w:t>
      </w:r>
      <w:r w:rsidRPr="002D6656">
        <w:rPr>
          <w:rFonts w:ascii="Arial" w:hAnsi="Arial" w:cs="Arial"/>
          <w:sz w:val="24"/>
          <w:szCs w:val="24"/>
        </w:rPr>
        <w:t xml:space="preserve"> s 4(1)</w:t>
      </w:r>
    </w:p>
  </w:footnote>
  <w:footnote w:id="28">
    <w:p w:rsidR="003B54AC" w:rsidRPr="002D6656" w:rsidRDefault="003B54AC" w:rsidP="003B54AC">
      <w:pPr>
        <w:pStyle w:val="FootnoteText"/>
        <w:jc w:val="both"/>
        <w:rPr>
          <w:rFonts w:ascii="Arial" w:hAnsi="Arial" w:cs="Arial"/>
          <w:sz w:val="24"/>
          <w:szCs w:val="24"/>
        </w:rPr>
      </w:pPr>
      <w:r w:rsidRPr="002D6656">
        <w:rPr>
          <w:rStyle w:val="FootnoteReference"/>
          <w:rFonts w:ascii="Arial" w:hAnsi="Arial" w:cs="Arial"/>
          <w:sz w:val="24"/>
          <w:szCs w:val="24"/>
        </w:rPr>
        <w:footnoteRef/>
      </w:r>
      <w:r w:rsidRPr="002D6656">
        <w:rPr>
          <w:rFonts w:ascii="Arial" w:hAnsi="Arial" w:cs="Arial"/>
          <w:sz w:val="24"/>
          <w:szCs w:val="24"/>
        </w:rPr>
        <w:t xml:space="preserve"> Schedule 9</w:t>
      </w:r>
      <w:r>
        <w:rPr>
          <w:rFonts w:ascii="Arial" w:hAnsi="Arial" w:cs="Arial"/>
          <w:sz w:val="24"/>
          <w:szCs w:val="24"/>
        </w:rPr>
        <w:t>,</w:t>
      </w:r>
      <w:r w:rsidRPr="002D6656">
        <w:rPr>
          <w:rFonts w:ascii="Arial" w:hAnsi="Arial" w:cs="Arial"/>
          <w:sz w:val="24"/>
          <w:szCs w:val="24"/>
        </w:rPr>
        <w:t xml:space="preserve"> s 4</w:t>
      </w:r>
      <w:r>
        <w:rPr>
          <w:rFonts w:ascii="Arial" w:hAnsi="Arial" w:cs="Arial"/>
          <w:sz w:val="24"/>
          <w:szCs w:val="24"/>
        </w:rPr>
        <w:t>(1)</w:t>
      </w:r>
    </w:p>
  </w:footnote>
  <w:footnote w:id="29">
    <w:p w:rsidR="003B54AC" w:rsidRPr="00B35E03" w:rsidRDefault="003B54AC" w:rsidP="003B54AC">
      <w:pPr>
        <w:pStyle w:val="FootnoteText"/>
        <w:jc w:val="both"/>
        <w:rPr>
          <w:rFonts w:ascii="Arial" w:hAnsi="Arial" w:cs="Arial"/>
          <w:sz w:val="24"/>
          <w:szCs w:val="24"/>
        </w:rPr>
      </w:pPr>
      <w:r w:rsidRPr="00B35E03">
        <w:rPr>
          <w:rStyle w:val="FootnoteReference"/>
          <w:rFonts w:ascii="Arial" w:hAnsi="Arial" w:cs="Arial"/>
          <w:sz w:val="24"/>
          <w:szCs w:val="24"/>
        </w:rPr>
        <w:footnoteRef/>
      </w:r>
      <w:r w:rsidRPr="00B35E03">
        <w:rPr>
          <w:rFonts w:ascii="Arial" w:hAnsi="Arial" w:cs="Arial"/>
          <w:sz w:val="24"/>
          <w:szCs w:val="24"/>
        </w:rPr>
        <w:t xml:space="preserve"> Schedule 9</w:t>
      </w:r>
      <w:r>
        <w:rPr>
          <w:rFonts w:ascii="Arial" w:hAnsi="Arial" w:cs="Arial"/>
          <w:sz w:val="24"/>
          <w:szCs w:val="24"/>
        </w:rPr>
        <w:t>,</w:t>
      </w:r>
      <w:r w:rsidRPr="00B35E03">
        <w:rPr>
          <w:rFonts w:ascii="Arial" w:hAnsi="Arial" w:cs="Arial"/>
          <w:sz w:val="24"/>
          <w:szCs w:val="24"/>
        </w:rPr>
        <w:t xml:space="preserve"> s 4(2)</w:t>
      </w:r>
    </w:p>
  </w:footnote>
  <w:footnote w:id="30">
    <w:p w:rsidR="003B54AC" w:rsidRPr="002D6656" w:rsidRDefault="003B54AC" w:rsidP="003B54AC">
      <w:pPr>
        <w:pStyle w:val="FootnoteText"/>
        <w:jc w:val="both"/>
        <w:rPr>
          <w:rFonts w:ascii="Arial" w:hAnsi="Arial" w:cs="Arial"/>
          <w:sz w:val="24"/>
          <w:szCs w:val="24"/>
        </w:rPr>
      </w:pPr>
      <w:r w:rsidRPr="002D6656">
        <w:rPr>
          <w:rStyle w:val="FootnoteReference"/>
          <w:rFonts w:ascii="Arial" w:hAnsi="Arial" w:cs="Arial"/>
          <w:sz w:val="24"/>
          <w:szCs w:val="24"/>
        </w:rPr>
        <w:footnoteRef/>
      </w:r>
      <w:r w:rsidRPr="002D6656">
        <w:rPr>
          <w:rFonts w:ascii="Arial" w:hAnsi="Arial" w:cs="Arial"/>
          <w:sz w:val="24"/>
          <w:szCs w:val="24"/>
        </w:rPr>
        <w:t xml:space="preserve"> Schedule 9</w:t>
      </w:r>
      <w:r>
        <w:rPr>
          <w:rFonts w:ascii="Arial" w:hAnsi="Arial" w:cs="Arial"/>
          <w:sz w:val="24"/>
          <w:szCs w:val="24"/>
        </w:rPr>
        <w:t>,</w:t>
      </w:r>
      <w:r w:rsidRPr="002D6656">
        <w:rPr>
          <w:rFonts w:ascii="Arial" w:hAnsi="Arial" w:cs="Arial"/>
          <w:sz w:val="24"/>
          <w:szCs w:val="24"/>
        </w:rPr>
        <w:t xml:space="preserve"> s 4(3)</w:t>
      </w:r>
    </w:p>
  </w:footnote>
  <w:footnote w:id="31">
    <w:p w:rsidR="003B54AC" w:rsidRPr="00B35E03" w:rsidRDefault="003B54AC" w:rsidP="003B54AC">
      <w:pPr>
        <w:pStyle w:val="FootnoteText"/>
        <w:jc w:val="both"/>
        <w:rPr>
          <w:rFonts w:ascii="Arial" w:hAnsi="Arial" w:cs="Arial"/>
          <w:sz w:val="24"/>
          <w:szCs w:val="24"/>
        </w:rPr>
      </w:pPr>
      <w:r w:rsidRPr="00B35E03">
        <w:rPr>
          <w:rStyle w:val="FootnoteReference"/>
          <w:rFonts w:ascii="Arial" w:hAnsi="Arial" w:cs="Arial"/>
          <w:sz w:val="24"/>
          <w:szCs w:val="24"/>
        </w:rPr>
        <w:footnoteRef/>
      </w:r>
      <w:r w:rsidRPr="00B35E03">
        <w:rPr>
          <w:rFonts w:ascii="Arial" w:hAnsi="Arial" w:cs="Arial"/>
          <w:sz w:val="24"/>
          <w:szCs w:val="24"/>
        </w:rPr>
        <w:t xml:space="preserve"> EA10</w:t>
      </w:r>
      <w:r>
        <w:rPr>
          <w:rFonts w:ascii="Arial" w:hAnsi="Arial" w:cs="Arial"/>
          <w:sz w:val="24"/>
          <w:szCs w:val="24"/>
        </w:rPr>
        <w:t>,</w:t>
      </w:r>
      <w:r w:rsidRPr="00B35E03">
        <w:rPr>
          <w:rFonts w:ascii="Arial" w:hAnsi="Arial" w:cs="Arial"/>
          <w:sz w:val="24"/>
          <w:szCs w:val="24"/>
        </w:rPr>
        <w:t xml:space="preserve"> s 192</w:t>
      </w:r>
    </w:p>
  </w:footnote>
  <w:footnote w:id="32">
    <w:p w:rsidR="00E033E0" w:rsidRPr="007B59B1" w:rsidRDefault="00E033E0" w:rsidP="00E033E0">
      <w:pPr>
        <w:pStyle w:val="FootnoteText"/>
        <w:jc w:val="both"/>
        <w:rPr>
          <w:sz w:val="24"/>
          <w:szCs w:val="24"/>
        </w:rPr>
      </w:pPr>
      <w:r w:rsidRPr="007B59B1">
        <w:rPr>
          <w:rStyle w:val="FootnoteReference"/>
          <w:rFonts w:ascii="Arial" w:hAnsi="Arial" w:cs="Arial"/>
          <w:sz w:val="24"/>
          <w:szCs w:val="24"/>
        </w:rPr>
        <w:footnoteRef/>
      </w:r>
      <w:r w:rsidRPr="007B59B1">
        <w:rPr>
          <w:rFonts w:ascii="Arial" w:hAnsi="Arial" w:cs="Arial"/>
          <w:sz w:val="24"/>
          <w:szCs w:val="24"/>
        </w:rPr>
        <w:t xml:space="preserve"> Case C-144/04 </w:t>
      </w:r>
      <w:r w:rsidRPr="007C6283">
        <w:rPr>
          <w:rFonts w:ascii="Arial" w:hAnsi="Arial" w:cs="Arial"/>
          <w:i/>
          <w:sz w:val="24"/>
          <w:szCs w:val="24"/>
        </w:rPr>
        <w:t>Mangold v Helm</w:t>
      </w:r>
      <w:r w:rsidRPr="007B59B1">
        <w:rPr>
          <w:rFonts w:ascii="Arial" w:hAnsi="Arial" w:cs="Arial"/>
          <w:sz w:val="24"/>
          <w:szCs w:val="24"/>
        </w:rPr>
        <w:t xml:space="preserve"> [2005] ECR I-9981 (ECJ); noted M</w:t>
      </w:r>
      <w:r>
        <w:rPr>
          <w:rFonts w:ascii="Arial" w:hAnsi="Arial" w:cs="Arial"/>
          <w:sz w:val="24"/>
          <w:szCs w:val="24"/>
        </w:rPr>
        <w:t>.</w:t>
      </w:r>
      <w:r w:rsidRPr="007B59B1">
        <w:rPr>
          <w:rFonts w:ascii="Arial" w:hAnsi="Arial" w:cs="Arial"/>
          <w:sz w:val="24"/>
          <w:szCs w:val="24"/>
        </w:rPr>
        <w:t xml:space="preserve"> Schmidt, ‘The Principle of Non-Discrimination In Respect of Age: Dimensions of the ECJ’s Mangold Judgment’ (2005) 7 </w:t>
      </w:r>
      <w:r w:rsidRPr="00717498">
        <w:rPr>
          <w:rFonts w:ascii="Arial" w:hAnsi="Arial" w:cs="Arial"/>
          <w:i/>
          <w:sz w:val="24"/>
          <w:szCs w:val="24"/>
        </w:rPr>
        <w:t>German Law Journal</w:t>
      </w:r>
      <w:r w:rsidRPr="007B59B1">
        <w:rPr>
          <w:rFonts w:ascii="Arial" w:hAnsi="Arial" w:cs="Arial"/>
          <w:sz w:val="24"/>
          <w:szCs w:val="24"/>
        </w:rPr>
        <w:t xml:space="preserve"> 505; </w:t>
      </w:r>
      <w:r>
        <w:rPr>
          <w:rFonts w:ascii="Arial" w:hAnsi="Arial" w:cs="Arial"/>
          <w:sz w:val="24"/>
          <w:szCs w:val="24"/>
        </w:rPr>
        <w:t xml:space="preserve">S. </w:t>
      </w:r>
      <w:proofErr w:type="spellStart"/>
      <w:r>
        <w:rPr>
          <w:rFonts w:ascii="Arial" w:hAnsi="Arial" w:cs="Arial"/>
          <w:sz w:val="24"/>
          <w:szCs w:val="24"/>
        </w:rPr>
        <w:t>Krebber</w:t>
      </w:r>
      <w:proofErr w:type="spellEnd"/>
      <w:r>
        <w:rPr>
          <w:rFonts w:ascii="Arial" w:hAnsi="Arial" w:cs="Arial"/>
          <w:sz w:val="24"/>
          <w:szCs w:val="24"/>
        </w:rPr>
        <w:t xml:space="preserve">, ‘The Social Rights Approach of the European Court of Justice to Enforce European Employment Law’ (2006) 27 </w:t>
      </w:r>
      <w:r w:rsidRPr="00717498">
        <w:rPr>
          <w:rFonts w:ascii="Arial" w:hAnsi="Arial" w:cs="Arial"/>
          <w:i/>
          <w:sz w:val="24"/>
          <w:szCs w:val="24"/>
        </w:rPr>
        <w:t xml:space="preserve">Comparative </w:t>
      </w:r>
      <w:proofErr w:type="spellStart"/>
      <w:r w:rsidRPr="00717498">
        <w:rPr>
          <w:rFonts w:ascii="Arial" w:hAnsi="Arial" w:cs="Arial"/>
          <w:i/>
          <w:sz w:val="24"/>
          <w:szCs w:val="24"/>
        </w:rPr>
        <w:t>Labor</w:t>
      </w:r>
      <w:proofErr w:type="spellEnd"/>
      <w:r w:rsidRPr="00717498">
        <w:rPr>
          <w:rFonts w:ascii="Arial" w:hAnsi="Arial" w:cs="Arial"/>
          <w:i/>
          <w:sz w:val="24"/>
          <w:szCs w:val="24"/>
        </w:rPr>
        <w:t xml:space="preserve"> Law and Policy Journal</w:t>
      </w:r>
      <w:r>
        <w:rPr>
          <w:rFonts w:ascii="Arial" w:hAnsi="Arial" w:cs="Arial"/>
          <w:sz w:val="24"/>
          <w:szCs w:val="24"/>
        </w:rPr>
        <w:t xml:space="preserve"> 377; </w:t>
      </w:r>
      <w:r w:rsidRPr="007B59B1">
        <w:rPr>
          <w:rFonts w:ascii="Arial" w:hAnsi="Arial" w:cs="Arial"/>
          <w:sz w:val="24"/>
          <w:szCs w:val="24"/>
        </w:rPr>
        <w:t>E</w:t>
      </w:r>
      <w:r>
        <w:rPr>
          <w:rFonts w:ascii="Arial" w:hAnsi="Arial" w:cs="Arial"/>
          <w:sz w:val="24"/>
          <w:szCs w:val="24"/>
        </w:rPr>
        <w:t>.</w:t>
      </w:r>
      <w:r w:rsidRPr="007B59B1">
        <w:rPr>
          <w:rFonts w:ascii="Arial" w:hAnsi="Arial" w:cs="Arial"/>
          <w:sz w:val="24"/>
          <w:szCs w:val="24"/>
        </w:rPr>
        <w:t xml:space="preserve"> Muir, ‘Enhancing the Effects of Community Law on National Employment Policies: The Mangold Case’ (2006) 31 ELR 879</w:t>
      </w:r>
      <w:r>
        <w:rPr>
          <w:rFonts w:ascii="Arial" w:hAnsi="Arial" w:cs="Arial"/>
          <w:sz w:val="24"/>
          <w:szCs w:val="24"/>
        </w:rPr>
        <w:t xml:space="preserve">; </w:t>
      </w:r>
      <w:r w:rsidRPr="007B59B1">
        <w:rPr>
          <w:rFonts w:ascii="Arial" w:hAnsi="Arial" w:cs="Arial"/>
          <w:sz w:val="24"/>
          <w:szCs w:val="24"/>
        </w:rPr>
        <w:t>D</w:t>
      </w:r>
      <w:r>
        <w:rPr>
          <w:rFonts w:ascii="Arial" w:hAnsi="Arial" w:cs="Arial"/>
          <w:sz w:val="24"/>
          <w:szCs w:val="24"/>
        </w:rPr>
        <w:t>.</w:t>
      </w:r>
      <w:r w:rsidRPr="007B59B1">
        <w:rPr>
          <w:rFonts w:ascii="Arial" w:hAnsi="Arial" w:cs="Arial"/>
          <w:sz w:val="24"/>
          <w:szCs w:val="24"/>
        </w:rPr>
        <w:t xml:space="preserve"> Schiek, ‘The ECJ Decision in Mangold: A Further Twist on Effects of Directives and Constitutional Relevance of Community Equality Legislation’ (2006) 35 ILJ 329;</w:t>
      </w:r>
      <w:r>
        <w:rPr>
          <w:rFonts w:ascii="Arial" w:hAnsi="Arial" w:cs="Arial"/>
          <w:sz w:val="24"/>
          <w:szCs w:val="24"/>
        </w:rPr>
        <w:t xml:space="preserve"> O. Thomas, ‘Case Commentary’ (2006) 18 </w:t>
      </w:r>
      <w:r w:rsidRPr="00717498">
        <w:rPr>
          <w:rFonts w:ascii="Arial" w:hAnsi="Arial" w:cs="Arial"/>
          <w:i/>
          <w:sz w:val="24"/>
          <w:szCs w:val="24"/>
        </w:rPr>
        <w:t>Denning Law Journal</w:t>
      </w:r>
      <w:r>
        <w:rPr>
          <w:rFonts w:ascii="Arial" w:hAnsi="Arial" w:cs="Arial"/>
          <w:sz w:val="24"/>
          <w:szCs w:val="24"/>
        </w:rPr>
        <w:t xml:space="preserve"> 233; L. Waddington, ‘Recent Developments and the Non-Discrimination Directives: Mangold and More’ (2006) 13 MJ 365; J.H. </w:t>
      </w:r>
      <w:proofErr w:type="spellStart"/>
      <w:r>
        <w:rPr>
          <w:rFonts w:ascii="Arial" w:hAnsi="Arial" w:cs="Arial"/>
          <w:sz w:val="24"/>
          <w:szCs w:val="24"/>
        </w:rPr>
        <w:t>Jans</w:t>
      </w:r>
      <w:proofErr w:type="spellEnd"/>
      <w:r>
        <w:rPr>
          <w:rFonts w:ascii="Arial" w:hAnsi="Arial" w:cs="Arial"/>
          <w:sz w:val="24"/>
          <w:szCs w:val="24"/>
        </w:rPr>
        <w:t>, ‘The Effect in National Legal Systems of the Prohibition of Discrimination on Grounds of Age as a General Principle of Community Law’ (2007) 34 LIEI 53</w:t>
      </w:r>
      <w:r w:rsidRPr="007B59B1">
        <w:rPr>
          <w:rFonts w:ascii="Arial" w:hAnsi="Arial" w:cs="Arial"/>
          <w:sz w:val="24"/>
          <w:szCs w:val="24"/>
        </w:rPr>
        <w:t>; A</w:t>
      </w:r>
      <w:r>
        <w:rPr>
          <w:rFonts w:ascii="Arial" w:hAnsi="Arial" w:cs="Arial"/>
          <w:sz w:val="24"/>
          <w:szCs w:val="24"/>
        </w:rPr>
        <w:t>.</w:t>
      </w:r>
      <w:r w:rsidRPr="007B59B1">
        <w:rPr>
          <w:rFonts w:ascii="Arial" w:hAnsi="Arial" w:cs="Arial"/>
          <w:sz w:val="24"/>
          <w:szCs w:val="24"/>
        </w:rPr>
        <w:t xml:space="preserve"> Masson, C</w:t>
      </w:r>
      <w:r>
        <w:rPr>
          <w:rFonts w:ascii="Arial" w:hAnsi="Arial" w:cs="Arial"/>
          <w:sz w:val="24"/>
          <w:szCs w:val="24"/>
        </w:rPr>
        <w:t>.</w:t>
      </w:r>
      <w:r w:rsidRPr="007B59B1">
        <w:rPr>
          <w:rFonts w:ascii="Arial" w:hAnsi="Arial" w:cs="Arial"/>
          <w:sz w:val="24"/>
          <w:szCs w:val="24"/>
        </w:rPr>
        <w:t xml:space="preserve"> Micheau, ‘The Werner Mangold Case: An Example of Legal Militancy’ (2007) 13 EPL 587</w:t>
      </w:r>
      <w:r>
        <w:rPr>
          <w:rFonts w:ascii="Arial" w:hAnsi="Arial" w:cs="Arial"/>
          <w:sz w:val="24"/>
          <w:szCs w:val="24"/>
        </w:rPr>
        <w:t>; A. Wiesbrock, ‘Case Note’ (2011) 18 MJ 201</w:t>
      </w:r>
    </w:p>
  </w:footnote>
  <w:footnote w:id="33">
    <w:p w:rsidR="00E033E0" w:rsidRPr="00F56165" w:rsidRDefault="00E033E0" w:rsidP="00E033E0">
      <w:pPr>
        <w:pStyle w:val="FootnoteText"/>
        <w:jc w:val="both"/>
        <w:rPr>
          <w:rFonts w:ascii="Arial" w:hAnsi="Arial" w:cs="Arial"/>
        </w:rPr>
      </w:pPr>
      <w:r w:rsidRPr="007B59B1">
        <w:rPr>
          <w:rStyle w:val="FootnoteReference"/>
          <w:rFonts w:ascii="Arial" w:hAnsi="Arial" w:cs="Arial"/>
          <w:sz w:val="24"/>
          <w:szCs w:val="24"/>
        </w:rPr>
        <w:footnoteRef/>
      </w:r>
      <w:r w:rsidRPr="007B59B1">
        <w:rPr>
          <w:rFonts w:ascii="Arial" w:hAnsi="Arial" w:cs="Arial"/>
          <w:sz w:val="24"/>
          <w:szCs w:val="24"/>
        </w:rPr>
        <w:t xml:space="preserve"> Case C-555/07 </w:t>
      </w:r>
      <w:r w:rsidRPr="007C6283">
        <w:rPr>
          <w:rFonts w:ascii="Arial" w:hAnsi="Arial" w:cs="Arial"/>
          <w:i/>
          <w:sz w:val="24"/>
          <w:szCs w:val="24"/>
        </w:rPr>
        <w:t>Kücükdeveci v Swedex</w:t>
      </w:r>
      <w:r w:rsidRPr="007B59B1">
        <w:rPr>
          <w:rFonts w:ascii="Arial" w:hAnsi="Arial" w:cs="Arial"/>
          <w:sz w:val="24"/>
          <w:szCs w:val="24"/>
        </w:rPr>
        <w:t xml:space="preserve"> [2010] ECR I-365 (ECJ); noted </w:t>
      </w:r>
      <w:r>
        <w:rPr>
          <w:rFonts w:ascii="Arial" w:hAnsi="Arial" w:cs="Arial"/>
          <w:sz w:val="24"/>
          <w:szCs w:val="24"/>
        </w:rPr>
        <w:t xml:space="preserve">A. Albors-Llorens, ‘Keeping Up Appearances: The Court of Justice and the Effects of EU Directives’ (2010) 69 CLJ 4555; M. de </w:t>
      </w:r>
      <w:proofErr w:type="spellStart"/>
      <w:r>
        <w:rPr>
          <w:rFonts w:ascii="Arial" w:hAnsi="Arial" w:cs="Arial"/>
          <w:sz w:val="24"/>
          <w:szCs w:val="24"/>
        </w:rPr>
        <w:t>Mol</w:t>
      </w:r>
      <w:proofErr w:type="spellEnd"/>
      <w:r>
        <w:rPr>
          <w:rFonts w:ascii="Arial" w:hAnsi="Arial" w:cs="Arial"/>
          <w:sz w:val="24"/>
          <w:szCs w:val="24"/>
        </w:rPr>
        <w:t xml:space="preserve">, ‘Case Note’ (2010) 6 </w:t>
      </w:r>
      <w:proofErr w:type="spellStart"/>
      <w:r>
        <w:rPr>
          <w:rFonts w:ascii="Arial" w:hAnsi="Arial" w:cs="Arial"/>
          <w:sz w:val="24"/>
          <w:szCs w:val="24"/>
        </w:rPr>
        <w:t>EuConst</w:t>
      </w:r>
      <w:proofErr w:type="spellEnd"/>
      <w:r>
        <w:rPr>
          <w:rFonts w:ascii="Arial" w:hAnsi="Arial" w:cs="Arial"/>
          <w:sz w:val="24"/>
          <w:szCs w:val="24"/>
        </w:rPr>
        <w:t xml:space="preserve"> 293; S. Peers, ‘Case Comment’ (2010) 35 ELR 849; </w:t>
      </w:r>
      <w:r w:rsidRPr="007B59B1">
        <w:rPr>
          <w:rFonts w:ascii="Arial" w:hAnsi="Arial" w:cs="Arial"/>
          <w:sz w:val="24"/>
          <w:szCs w:val="24"/>
        </w:rPr>
        <w:t>T</w:t>
      </w:r>
      <w:r>
        <w:rPr>
          <w:rFonts w:ascii="Arial" w:hAnsi="Arial" w:cs="Arial"/>
          <w:sz w:val="24"/>
          <w:szCs w:val="24"/>
        </w:rPr>
        <w:t>.</w:t>
      </w:r>
      <w:r w:rsidRPr="007B59B1">
        <w:rPr>
          <w:rFonts w:ascii="Arial" w:hAnsi="Arial" w:cs="Arial"/>
          <w:sz w:val="24"/>
          <w:szCs w:val="24"/>
        </w:rPr>
        <w:t xml:space="preserve"> Roes, ‘Case Note’ (2010) 16 </w:t>
      </w:r>
      <w:r w:rsidRPr="00717498">
        <w:rPr>
          <w:rFonts w:ascii="Arial" w:hAnsi="Arial" w:cs="Arial"/>
          <w:i/>
          <w:sz w:val="24"/>
          <w:szCs w:val="24"/>
        </w:rPr>
        <w:t>Columbia Journal of European Law</w:t>
      </w:r>
      <w:r w:rsidRPr="007B59B1">
        <w:rPr>
          <w:rFonts w:ascii="Arial" w:hAnsi="Arial" w:cs="Arial"/>
          <w:sz w:val="24"/>
          <w:szCs w:val="24"/>
        </w:rPr>
        <w:t xml:space="preserve"> 497; G</w:t>
      </w:r>
      <w:r>
        <w:rPr>
          <w:rFonts w:ascii="Arial" w:hAnsi="Arial" w:cs="Arial"/>
          <w:sz w:val="24"/>
          <w:szCs w:val="24"/>
        </w:rPr>
        <w:t>.</w:t>
      </w:r>
      <w:r w:rsidRPr="007B59B1">
        <w:rPr>
          <w:rFonts w:ascii="Arial" w:hAnsi="Arial" w:cs="Arial"/>
          <w:sz w:val="24"/>
          <w:szCs w:val="24"/>
        </w:rPr>
        <w:t xml:space="preserve"> Thüsing, S</w:t>
      </w:r>
      <w:r>
        <w:rPr>
          <w:rFonts w:ascii="Arial" w:hAnsi="Arial" w:cs="Arial"/>
          <w:sz w:val="24"/>
          <w:szCs w:val="24"/>
        </w:rPr>
        <w:t>.</w:t>
      </w:r>
      <w:r w:rsidRPr="007B59B1">
        <w:rPr>
          <w:rFonts w:ascii="Arial" w:hAnsi="Arial" w:cs="Arial"/>
          <w:sz w:val="24"/>
          <w:szCs w:val="24"/>
        </w:rPr>
        <w:t xml:space="preserve"> Horler, ‘Case Note’ (2010) 47 CMLRev 1161</w:t>
      </w:r>
      <w:r>
        <w:rPr>
          <w:rFonts w:ascii="Arial" w:hAnsi="Arial" w:cs="Arial"/>
          <w:sz w:val="24"/>
          <w:szCs w:val="24"/>
        </w:rPr>
        <w:t xml:space="preserve">; </w:t>
      </w:r>
      <w:r w:rsidRPr="007B59B1">
        <w:rPr>
          <w:rFonts w:ascii="Arial" w:hAnsi="Arial" w:cs="Arial"/>
          <w:sz w:val="24"/>
          <w:szCs w:val="24"/>
        </w:rPr>
        <w:t>A</w:t>
      </w:r>
      <w:r>
        <w:rPr>
          <w:rFonts w:ascii="Arial" w:hAnsi="Arial" w:cs="Arial"/>
          <w:sz w:val="24"/>
          <w:szCs w:val="24"/>
        </w:rPr>
        <w:t>.</w:t>
      </w:r>
      <w:r w:rsidRPr="007B59B1">
        <w:rPr>
          <w:rFonts w:ascii="Arial" w:hAnsi="Arial" w:cs="Arial"/>
          <w:sz w:val="24"/>
          <w:szCs w:val="24"/>
        </w:rPr>
        <w:t xml:space="preserve"> Wiesbrock, ‘Case Note’ (2010) 11 </w:t>
      </w:r>
      <w:r w:rsidRPr="00717498">
        <w:rPr>
          <w:rFonts w:ascii="Arial" w:hAnsi="Arial" w:cs="Arial"/>
          <w:i/>
          <w:sz w:val="24"/>
          <w:szCs w:val="24"/>
        </w:rPr>
        <w:t>German Law Journal</w:t>
      </w:r>
      <w:r w:rsidRPr="007B59B1">
        <w:rPr>
          <w:rFonts w:ascii="Arial" w:hAnsi="Arial" w:cs="Arial"/>
          <w:sz w:val="24"/>
          <w:szCs w:val="24"/>
        </w:rPr>
        <w:t xml:space="preserve"> 539;  </w:t>
      </w:r>
      <w:r>
        <w:rPr>
          <w:rFonts w:ascii="Arial" w:hAnsi="Arial" w:cs="Arial"/>
          <w:sz w:val="24"/>
          <w:szCs w:val="24"/>
        </w:rPr>
        <w:t xml:space="preserve">P. Cabral, R. </w:t>
      </w:r>
      <w:proofErr w:type="spellStart"/>
      <w:r>
        <w:rPr>
          <w:rFonts w:ascii="Arial" w:hAnsi="Arial" w:cs="Arial"/>
          <w:sz w:val="24"/>
          <w:szCs w:val="24"/>
        </w:rPr>
        <w:t>Neves</w:t>
      </w:r>
      <w:proofErr w:type="spellEnd"/>
      <w:r>
        <w:rPr>
          <w:rFonts w:ascii="Arial" w:hAnsi="Arial" w:cs="Arial"/>
          <w:sz w:val="24"/>
          <w:szCs w:val="24"/>
        </w:rPr>
        <w:t xml:space="preserve">, ‘General Principles of EU Law and Horizontal Direct Effect’ (2011) 17 EPL 437; F. </w:t>
      </w:r>
      <w:proofErr w:type="spellStart"/>
      <w:r>
        <w:rPr>
          <w:rFonts w:ascii="Arial" w:hAnsi="Arial" w:cs="Arial"/>
          <w:sz w:val="24"/>
          <w:szCs w:val="24"/>
        </w:rPr>
        <w:t>Fontanelli</w:t>
      </w:r>
      <w:proofErr w:type="spellEnd"/>
      <w:r>
        <w:rPr>
          <w:rFonts w:ascii="Arial" w:hAnsi="Arial" w:cs="Arial"/>
          <w:sz w:val="24"/>
          <w:szCs w:val="24"/>
        </w:rPr>
        <w:t xml:space="preserve">, ‘General Principles of the EU and a Glimpse of Solidarity in the Aftermath of Mangold and </w:t>
      </w:r>
      <w:r w:rsidRPr="008D0603">
        <w:rPr>
          <w:rFonts w:ascii="Arial" w:hAnsi="Arial" w:cs="Arial"/>
          <w:sz w:val="24"/>
          <w:szCs w:val="24"/>
        </w:rPr>
        <w:t>Kücükdeveci</w:t>
      </w:r>
      <w:r>
        <w:rPr>
          <w:rFonts w:ascii="Arial" w:hAnsi="Arial" w:cs="Arial"/>
          <w:sz w:val="24"/>
          <w:szCs w:val="24"/>
        </w:rPr>
        <w:t>’ (2011) 17 EPL 225;</w:t>
      </w:r>
      <w:r w:rsidRPr="008D0603">
        <w:rPr>
          <w:rFonts w:ascii="Arial" w:hAnsi="Arial" w:cs="Arial"/>
          <w:sz w:val="24"/>
          <w:szCs w:val="24"/>
        </w:rPr>
        <w:t xml:space="preserve"> </w:t>
      </w:r>
      <w:r>
        <w:rPr>
          <w:rFonts w:ascii="Arial" w:hAnsi="Arial" w:cs="Arial"/>
          <w:sz w:val="24"/>
          <w:szCs w:val="24"/>
        </w:rPr>
        <w:t xml:space="preserve">A. </w:t>
      </w:r>
      <w:proofErr w:type="spellStart"/>
      <w:r>
        <w:rPr>
          <w:rFonts w:ascii="Arial" w:hAnsi="Arial" w:cs="Arial"/>
          <w:sz w:val="24"/>
          <w:szCs w:val="24"/>
        </w:rPr>
        <w:t>Gabinaud</w:t>
      </w:r>
      <w:proofErr w:type="spellEnd"/>
      <w:r>
        <w:rPr>
          <w:rFonts w:ascii="Arial" w:hAnsi="Arial" w:cs="Arial"/>
          <w:sz w:val="24"/>
          <w:szCs w:val="24"/>
        </w:rPr>
        <w:t>, ‘Case Note’ (2011) 18 MJ 189; E. Howard, ‘ECJ Advances Equality in Europe by Giving Horizontal Direct Effect to Directives’ (2011) 17 EPL 729; T. Papadopoulos, ‘Criticising the Horizontal Direct Effect of the EU General Principle of Equality’ [2011] EHRLR 437</w:t>
      </w:r>
    </w:p>
  </w:footnote>
  <w:footnote w:id="34">
    <w:p w:rsidR="0074566B" w:rsidRPr="00C31846" w:rsidRDefault="0074566B">
      <w:pPr>
        <w:pStyle w:val="FootnoteText"/>
        <w:rPr>
          <w:rFonts w:ascii="Arial" w:hAnsi="Arial" w:cs="Arial"/>
          <w:sz w:val="24"/>
          <w:szCs w:val="24"/>
        </w:rPr>
      </w:pPr>
      <w:r w:rsidRPr="00C31846">
        <w:rPr>
          <w:rStyle w:val="FootnoteReference"/>
          <w:rFonts w:ascii="Arial" w:hAnsi="Arial" w:cs="Arial"/>
          <w:sz w:val="24"/>
          <w:szCs w:val="24"/>
        </w:rPr>
        <w:footnoteRef/>
      </w:r>
      <w:r w:rsidRPr="00C31846">
        <w:rPr>
          <w:rFonts w:ascii="Arial" w:hAnsi="Arial" w:cs="Arial"/>
          <w:sz w:val="24"/>
          <w:szCs w:val="24"/>
        </w:rPr>
        <w:t xml:space="preserve"> Council Decision 2010/48/EC concerning the conclusion, by the European Community, of the United Nations Convention on the Rights of Persons with Disabilities OJ 2010 L23/35</w:t>
      </w:r>
    </w:p>
  </w:footnote>
  <w:footnote w:id="35">
    <w:p w:rsidR="00D31FE0" w:rsidRPr="00C31846" w:rsidRDefault="00D31FE0">
      <w:pPr>
        <w:pStyle w:val="FootnoteText"/>
        <w:rPr>
          <w:rFonts w:ascii="Arial" w:hAnsi="Arial" w:cs="Arial"/>
          <w:sz w:val="24"/>
          <w:szCs w:val="24"/>
        </w:rPr>
      </w:pPr>
      <w:r w:rsidRPr="00C31846">
        <w:rPr>
          <w:rStyle w:val="FootnoteReference"/>
          <w:rFonts w:ascii="Arial" w:hAnsi="Arial" w:cs="Arial"/>
          <w:sz w:val="24"/>
          <w:szCs w:val="24"/>
        </w:rPr>
        <w:footnoteRef/>
      </w:r>
      <w:r w:rsidRPr="00C31846">
        <w:rPr>
          <w:rFonts w:ascii="Arial" w:hAnsi="Arial" w:cs="Arial"/>
          <w:sz w:val="24"/>
          <w:szCs w:val="24"/>
        </w:rPr>
        <w:t xml:space="preserve"> </w:t>
      </w:r>
      <w:r w:rsidR="0074566B" w:rsidRPr="00C31846">
        <w:rPr>
          <w:rFonts w:ascii="Arial" w:hAnsi="Arial" w:cs="Arial"/>
          <w:sz w:val="24"/>
          <w:szCs w:val="24"/>
        </w:rPr>
        <w:t xml:space="preserve">Case 181/73 </w:t>
      </w:r>
      <w:r w:rsidR="0074566B" w:rsidRPr="00C31846">
        <w:rPr>
          <w:rFonts w:ascii="Arial" w:hAnsi="Arial" w:cs="Arial"/>
          <w:i/>
          <w:sz w:val="24"/>
          <w:szCs w:val="24"/>
        </w:rPr>
        <w:t xml:space="preserve">R &amp; V </w:t>
      </w:r>
      <w:proofErr w:type="spellStart"/>
      <w:r w:rsidR="0074566B" w:rsidRPr="00C31846">
        <w:rPr>
          <w:rFonts w:ascii="Arial" w:hAnsi="Arial" w:cs="Arial"/>
          <w:i/>
          <w:sz w:val="24"/>
          <w:szCs w:val="24"/>
        </w:rPr>
        <w:t>Haegeman</w:t>
      </w:r>
      <w:proofErr w:type="spellEnd"/>
      <w:r w:rsidR="0074566B" w:rsidRPr="00C31846">
        <w:rPr>
          <w:rFonts w:ascii="Arial" w:hAnsi="Arial" w:cs="Arial"/>
          <w:i/>
          <w:sz w:val="24"/>
          <w:szCs w:val="24"/>
        </w:rPr>
        <w:t xml:space="preserve"> v Belgium</w:t>
      </w:r>
      <w:r w:rsidR="0074566B" w:rsidRPr="00C31846">
        <w:rPr>
          <w:rFonts w:ascii="Arial" w:hAnsi="Arial" w:cs="Arial"/>
          <w:sz w:val="24"/>
          <w:szCs w:val="24"/>
        </w:rPr>
        <w:t xml:space="preserve"> [1974] ECR 449</w:t>
      </w:r>
      <w:r w:rsidR="008861A3" w:rsidRPr="00C31846">
        <w:rPr>
          <w:rFonts w:ascii="Arial" w:hAnsi="Arial" w:cs="Arial"/>
          <w:sz w:val="24"/>
          <w:szCs w:val="24"/>
        </w:rPr>
        <w:t xml:space="preserve"> para 5</w:t>
      </w:r>
    </w:p>
  </w:footnote>
  <w:footnote w:id="36">
    <w:p w:rsidR="008861A3" w:rsidRPr="008861A3" w:rsidRDefault="008861A3">
      <w:pPr>
        <w:pStyle w:val="FootnoteText"/>
      </w:pPr>
      <w:r w:rsidRPr="00C31846">
        <w:rPr>
          <w:rStyle w:val="FootnoteReference"/>
          <w:rFonts w:ascii="Arial" w:hAnsi="Arial" w:cs="Arial"/>
          <w:sz w:val="24"/>
          <w:szCs w:val="24"/>
        </w:rPr>
        <w:footnoteRef/>
      </w:r>
      <w:r w:rsidRPr="00C31846">
        <w:rPr>
          <w:rFonts w:ascii="Arial" w:hAnsi="Arial" w:cs="Arial"/>
          <w:sz w:val="24"/>
          <w:szCs w:val="24"/>
        </w:rPr>
        <w:t xml:space="preserve"> Joined Cases C-335 &amp; 337/11 </w:t>
      </w:r>
      <w:r w:rsidRPr="00C31846">
        <w:rPr>
          <w:rFonts w:ascii="Arial" w:hAnsi="Arial" w:cs="Arial"/>
          <w:i/>
          <w:sz w:val="24"/>
          <w:szCs w:val="24"/>
        </w:rPr>
        <w:t xml:space="preserve">HK </w:t>
      </w:r>
      <w:proofErr w:type="spellStart"/>
      <w:r w:rsidRPr="00C31846">
        <w:rPr>
          <w:rFonts w:ascii="Arial" w:hAnsi="Arial" w:cs="Arial"/>
          <w:i/>
          <w:sz w:val="24"/>
          <w:szCs w:val="24"/>
        </w:rPr>
        <w:t>Danmark</w:t>
      </w:r>
      <w:proofErr w:type="spellEnd"/>
      <w:r w:rsidRPr="00C31846">
        <w:rPr>
          <w:rFonts w:ascii="Arial" w:hAnsi="Arial" w:cs="Arial"/>
          <w:i/>
          <w:sz w:val="24"/>
          <w:szCs w:val="24"/>
        </w:rPr>
        <w:t xml:space="preserve"> v Dansk </w:t>
      </w:r>
      <w:proofErr w:type="spellStart"/>
      <w:r w:rsidRPr="00C31846">
        <w:rPr>
          <w:rFonts w:ascii="Arial" w:hAnsi="Arial" w:cs="Arial"/>
          <w:i/>
          <w:sz w:val="24"/>
          <w:szCs w:val="24"/>
        </w:rPr>
        <w:t>almennyttigt</w:t>
      </w:r>
      <w:proofErr w:type="spellEnd"/>
      <w:r w:rsidRPr="00C31846">
        <w:rPr>
          <w:rFonts w:ascii="Arial" w:hAnsi="Arial" w:cs="Arial"/>
          <w:i/>
          <w:sz w:val="24"/>
          <w:szCs w:val="24"/>
        </w:rPr>
        <w:t xml:space="preserve"> </w:t>
      </w:r>
      <w:proofErr w:type="spellStart"/>
      <w:r w:rsidRPr="00C31846">
        <w:rPr>
          <w:rFonts w:ascii="Arial" w:hAnsi="Arial" w:cs="Arial"/>
          <w:i/>
          <w:sz w:val="24"/>
          <w:szCs w:val="24"/>
        </w:rPr>
        <w:t>Boligselskab</w:t>
      </w:r>
      <w:proofErr w:type="spellEnd"/>
      <w:r w:rsidRPr="00C31846">
        <w:rPr>
          <w:rFonts w:ascii="Arial" w:hAnsi="Arial" w:cs="Arial"/>
          <w:i/>
          <w:sz w:val="24"/>
          <w:szCs w:val="24"/>
        </w:rPr>
        <w:t xml:space="preserve"> &amp; Dansk </w:t>
      </w:r>
      <w:proofErr w:type="spellStart"/>
      <w:r w:rsidRPr="00C31846">
        <w:rPr>
          <w:rFonts w:ascii="Arial" w:hAnsi="Arial" w:cs="Arial"/>
          <w:i/>
          <w:sz w:val="24"/>
          <w:szCs w:val="24"/>
        </w:rPr>
        <w:t>Arbejdsgiverforening</w:t>
      </w:r>
      <w:proofErr w:type="spellEnd"/>
      <w:r w:rsidRPr="00C31846">
        <w:rPr>
          <w:rFonts w:ascii="Arial" w:hAnsi="Arial" w:cs="Arial"/>
          <w:sz w:val="24"/>
          <w:szCs w:val="24"/>
        </w:rPr>
        <w:t xml:space="preserve"> </w:t>
      </w:r>
      <w:r w:rsidR="00900EA0" w:rsidRPr="00C31846">
        <w:rPr>
          <w:rFonts w:ascii="Arial" w:hAnsi="Arial" w:cs="Arial"/>
          <w:sz w:val="24"/>
          <w:szCs w:val="24"/>
        </w:rPr>
        <w:t>[2013] 3 CMLR 21 para 30</w:t>
      </w:r>
    </w:p>
  </w:footnote>
  <w:footnote w:id="37">
    <w:p w:rsidR="000B20FC" w:rsidRPr="00B2178F" w:rsidRDefault="000B20FC">
      <w:pPr>
        <w:pStyle w:val="FootnoteText"/>
        <w:rPr>
          <w:rFonts w:ascii="Arial" w:hAnsi="Arial" w:cs="Arial"/>
          <w:sz w:val="24"/>
          <w:szCs w:val="24"/>
        </w:rPr>
      </w:pPr>
      <w:r w:rsidRPr="00B2178F">
        <w:rPr>
          <w:rStyle w:val="FootnoteReference"/>
          <w:rFonts w:ascii="Arial" w:hAnsi="Arial" w:cs="Arial"/>
          <w:sz w:val="24"/>
          <w:szCs w:val="24"/>
        </w:rPr>
        <w:footnoteRef/>
      </w:r>
      <w:r w:rsidRPr="00B2178F">
        <w:rPr>
          <w:rFonts w:ascii="Arial" w:hAnsi="Arial" w:cs="Arial"/>
          <w:sz w:val="24"/>
          <w:szCs w:val="24"/>
        </w:rPr>
        <w:t xml:space="preserve"> </w:t>
      </w:r>
      <w:r w:rsidRPr="00B2178F">
        <w:rPr>
          <w:rFonts w:ascii="Arial" w:hAnsi="Arial" w:cs="Arial"/>
          <w:i/>
          <w:sz w:val="24"/>
          <w:szCs w:val="24"/>
        </w:rPr>
        <w:t>Price v UK</w:t>
      </w:r>
      <w:r w:rsidRPr="00B2178F">
        <w:rPr>
          <w:rFonts w:ascii="Arial" w:hAnsi="Arial" w:cs="Arial"/>
          <w:sz w:val="24"/>
          <w:szCs w:val="24"/>
        </w:rPr>
        <w:t xml:space="preserve"> (2002) 34 EHRR 53</w:t>
      </w:r>
    </w:p>
  </w:footnote>
  <w:footnote w:id="38">
    <w:p w:rsidR="000B20FC" w:rsidRPr="00B2178F" w:rsidRDefault="000B20FC">
      <w:pPr>
        <w:pStyle w:val="FootnoteText"/>
        <w:rPr>
          <w:rFonts w:ascii="Arial" w:hAnsi="Arial" w:cs="Arial"/>
          <w:sz w:val="24"/>
          <w:szCs w:val="24"/>
        </w:rPr>
      </w:pPr>
      <w:r w:rsidRPr="00B2178F">
        <w:rPr>
          <w:rStyle w:val="FootnoteReference"/>
          <w:rFonts w:ascii="Arial" w:hAnsi="Arial" w:cs="Arial"/>
          <w:sz w:val="24"/>
          <w:szCs w:val="24"/>
        </w:rPr>
        <w:footnoteRef/>
      </w:r>
      <w:r w:rsidRPr="00B2178F">
        <w:rPr>
          <w:rFonts w:ascii="Arial" w:hAnsi="Arial" w:cs="Arial"/>
          <w:sz w:val="24"/>
          <w:szCs w:val="24"/>
        </w:rPr>
        <w:t xml:space="preserve"> </w:t>
      </w:r>
      <w:r w:rsidRPr="00B2178F">
        <w:rPr>
          <w:rFonts w:ascii="Arial" w:hAnsi="Arial" w:cs="Arial"/>
          <w:i/>
          <w:sz w:val="24"/>
          <w:szCs w:val="24"/>
        </w:rPr>
        <w:t>Goodwin v UK</w:t>
      </w:r>
      <w:r w:rsidRPr="00B2178F">
        <w:rPr>
          <w:rFonts w:ascii="Arial" w:hAnsi="Arial" w:cs="Arial"/>
          <w:sz w:val="24"/>
          <w:szCs w:val="24"/>
        </w:rPr>
        <w:t xml:space="preserve"> (2002) 35 EHRR 18</w:t>
      </w:r>
    </w:p>
  </w:footnote>
  <w:footnote w:id="39">
    <w:p w:rsidR="00B2178F" w:rsidRPr="00B2178F" w:rsidRDefault="00B2178F">
      <w:pPr>
        <w:pStyle w:val="FootnoteText"/>
        <w:rPr>
          <w:rFonts w:ascii="Arial" w:hAnsi="Arial" w:cs="Arial"/>
          <w:sz w:val="24"/>
          <w:szCs w:val="24"/>
        </w:rPr>
      </w:pPr>
      <w:r w:rsidRPr="00B2178F">
        <w:rPr>
          <w:rStyle w:val="FootnoteReference"/>
          <w:rFonts w:ascii="Arial" w:hAnsi="Arial" w:cs="Arial"/>
          <w:sz w:val="24"/>
          <w:szCs w:val="24"/>
        </w:rPr>
        <w:footnoteRef/>
      </w:r>
      <w:r w:rsidRPr="00B2178F">
        <w:rPr>
          <w:rFonts w:ascii="Arial" w:hAnsi="Arial" w:cs="Arial"/>
          <w:sz w:val="24"/>
          <w:szCs w:val="24"/>
        </w:rPr>
        <w:t xml:space="preserve"> J </w:t>
      </w:r>
      <w:proofErr w:type="spellStart"/>
      <w:r w:rsidRPr="00B2178F">
        <w:rPr>
          <w:rFonts w:ascii="Arial" w:hAnsi="Arial" w:cs="Arial"/>
          <w:sz w:val="24"/>
          <w:szCs w:val="24"/>
        </w:rPr>
        <w:t>Stavert</w:t>
      </w:r>
      <w:proofErr w:type="spellEnd"/>
      <w:r w:rsidRPr="00B2178F">
        <w:rPr>
          <w:rFonts w:ascii="Arial" w:hAnsi="Arial" w:cs="Arial"/>
          <w:sz w:val="24"/>
          <w:szCs w:val="24"/>
        </w:rPr>
        <w:t>, ‘</w:t>
      </w:r>
      <w:proofErr w:type="spellStart"/>
      <w:r w:rsidRPr="00B2178F">
        <w:rPr>
          <w:rFonts w:ascii="Arial" w:hAnsi="Arial" w:cs="Arial"/>
          <w:i/>
          <w:sz w:val="24"/>
          <w:szCs w:val="24"/>
        </w:rPr>
        <w:t>Glor</w:t>
      </w:r>
      <w:proofErr w:type="spellEnd"/>
      <w:r w:rsidRPr="00B2178F">
        <w:rPr>
          <w:rFonts w:ascii="Arial" w:hAnsi="Arial" w:cs="Arial"/>
          <w:i/>
          <w:sz w:val="24"/>
          <w:szCs w:val="24"/>
        </w:rPr>
        <w:t xml:space="preserve"> v Switzerland</w:t>
      </w:r>
      <w:r w:rsidRPr="00B2178F">
        <w:rPr>
          <w:rFonts w:ascii="Arial" w:hAnsi="Arial" w:cs="Arial"/>
          <w:sz w:val="24"/>
          <w:szCs w:val="24"/>
        </w:rPr>
        <w:t xml:space="preserve">: Article 14ECHR, Disability and Non-Discrimination’ (2010) 14 </w:t>
      </w:r>
      <w:proofErr w:type="spellStart"/>
      <w:r w:rsidRPr="00B2178F">
        <w:rPr>
          <w:rFonts w:ascii="Arial" w:hAnsi="Arial" w:cs="Arial"/>
          <w:sz w:val="24"/>
          <w:szCs w:val="24"/>
        </w:rPr>
        <w:t>Edin</w:t>
      </w:r>
      <w:proofErr w:type="spellEnd"/>
      <w:r w:rsidRPr="00B2178F">
        <w:rPr>
          <w:rFonts w:ascii="Arial" w:hAnsi="Arial" w:cs="Arial"/>
          <w:sz w:val="24"/>
          <w:szCs w:val="24"/>
        </w:rPr>
        <w:t>. L.R. 141, 145-146</w:t>
      </w:r>
    </w:p>
  </w:footnote>
  <w:footnote w:id="40">
    <w:p w:rsidR="00B2178F" w:rsidRPr="00B2178F" w:rsidRDefault="00B2178F">
      <w:pPr>
        <w:pStyle w:val="FootnoteText"/>
        <w:rPr>
          <w:rFonts w:ascii="Arial" w:hAnsi="Arial" w:cs="Arial"/>
          <w:sz w:val="24"/>
          <w:szCs w:val="24"/>
        </w:rPr>
      </w:pPr>
      <w:r w:rsidRPr="00B2178F">
        <w:rPr>
          <w:rStyle w:val="FootnoteReference"/>
          <w:rFonts w:ascii="Arial" w:hAnsi="Arial" w:cs="Arial"/>
          <w:sz w:val="24"/>
          <w:szCs w:val="24"/>
        </w:rPr>
        <w:footnoteRef/>
      </w:r>
      <w:r w:rsidRPr="00B2178F">
        <w:rPr>
          <w:rFonts w:ascii="Arial" w:hAnsi="Arial" w:cs="Arial"/>
          <w:sz w:val="24"/>
          <w:szCs w:val="24"/>
        </w:rPr>
        <w:t xml:space="preserve"> C O’Brien, ‘Equality’s False Summits: new Varieties of Disability Discrimination, “Excessive” Equal Treatment and Economically Constricted Horizons’ (2011) 36 </w:t>
      </w:r>
      <w:proofErr w:type="spellStart"/>
      <w:r w:rsidRPr="00B2178F">
        <w:rPr>
          <w:rFonts w:ascii="Arial" w:hAnsi="Arial" w:cs="Arial"/>
          <w:sz w:val="24"/>
          <w:szCs w:val="24"/>
        </w:rPr>
        <w:t>ELRev</w:t>
      </w:r>
      <w:proofErr w:type="spellEnd"/>
      <w:r w:rsidRPr="00B2178F">
        <w:rPr>
          <w:rFonts w:ascii="Arial" w:hAnsi="Arial" w:cs="Arial"/>
          <w:sz w:val="24"/>
          <w:szCs w:val="24"/>
        </w:rPr>
        <w:t>. 26, 48</w:t>
      </w:r>
    </w:p>
  </w:footnote>
  <w:footnote w:id="41">
    <w:p w:rsidR="00B2178F" w:rsidRDefault="00B2178F">
      <w:pPr>
        <w:pStyle w:val="FootnoteText"/>
      </w:pPr>
      <w:r w:rsidRPr="00B2178F">
        <w:rPr>
          <w:rStyle w:val="FootnoteReference"/>
          <w:rFonts w:ascii="Arial" w:hAnsi="Arial" w:cs="Arial"/>
          <w:sz w:val="24"/>
          <w:szCs w:val="24"/>
        </w:rPr>
        <w:footnoteRef/>
      </w:r>
      <w:r w:rsidRPr="00B2178F">
        <w:rPr>
          <w:rFonts w:ascii="Arial" w:hAnsi="Arial" w:cs="Arial"/>
          <w:sz w:val="24"/>
          <w:szCs w:val="24"/>
        </w:rPr>
        <w:t xml:space="preserve"> </w:t>
      </w:r>
      <w:proofErr w:type="spellStart"/>
      <w:r w:rsidRPr="00B2178F">
        <w:rPr>
          <w:rFonts w:ascii="Arial" w:hAnsi="Arial" w:cs="Arial"/>
          <w:i/>
          <w:sz w:val="24"/>
          <w:szCs w:val="24"/>
        </w:rPr>
        <w:t>Glor</w:t>
      </w:r>
      <w:proofErr w:type="spellEnd"/>
      <w:r w:rsidRPr="00B2178F">
        <w:rPr>
          <w:rFonts w:ascii="Arial" w:hAnsi="Arial" w:cs="Arial"/>
          <w:i/>
          <w:sz w:val="24"/>
          <w:szCs w:val="24"/>
        </w:rPr>
        <w:t xml:space="preserve"> v Switzerland</w:t>
      </w:r>
      <w:r w:rsidRPr="00B2178F">
        <w:rPr>
          <w:rFonts w:ascii="Arial" w:hAnsi="Arial" w:cs="Arial"/>
          <w:sz w:val="24"/>
          <w:szCs w:val="24"/>
        </w:rPr>
        <w:t xml:space="preserve"> (13444/04), unreported 30 April 2009 (ECHR (Grand Chamber))</w:t>
      </w:r>
    </w:p>
  </w:footnote>
  <w:footnote w:id="42">
    <w:p w:rsidR="00AE1973" w:rsidRPr="00AE1973" w:rsidRDefault="00AE1973">
      <w:pPr>
        <w:pStyle w:val="FootnoteText"/>
        <w:rPr>
          <w:rFonts w:ascii="Arial" w:hAnsi="Arial" w:cs="Arial"/>
          <w:sz w:val="24"/>
          <w:szCs w:val="24"/>
        </w:rPr>
      </w:pPr>
      <w:r w:rsidRPr="00AE1973">
        <w:rPr>
          <w:rStyle w:val="FootnoteReference"/>
          <w:rFonts w:ascii="Arial" w:hAnsi="Arial" w:cs="Arial"/>
          <w:sz w:val="24"/>
          <w:szCs w:val="24"/>
        </w:rPr>
        <w:footnoteRef/>
      </w:r>
      <w:r w:rsidRPr="00AE1973">
        <w:rPr>
          <w:rFonts w:ascii="Arial" w:hAnsi="Arial" w:cs="Arial"/>
          <w:sz w:val="24"/>
          <w:szCs w:val="24"/>
        </w:rPr>
        <w:t xml:space="preserve"> </w:t>
      </w:r>
      <w:r w:rsidRPr="00AE1973">
        <w:rPr>
          <w:rFonts w:ascii="Arial" w:hAnsi="Arial" w:cs="Arial"/>
          <w:i/>
          <w:sz w:val="24"/>
          <w:szCs w:val="24"/>
        </w:rPr>
        <w:t>Kiss v Hungary</w:t>
      </w:r>
      <w:r w:rsidRPr="00AE1973">
        <w:rPr>
          <w:rFonts w:ascii="Arial" w:hAnsi="Arial" w:cs="Arial"/>
          <w:sz w:val="24"/>
          <w:szCs w:val="24"/>
        </w:rPr>
        <w:t xml:space="preserve"> (2013) 56 EHRR 38</w:t>
      </w:r>
    </w:p>
  </w:footnote>
  <w:footnote w:id="43">
    <w:p w:rsidR="00562027" w:rsidRDefault="00562027">
      <w:pPr>
        <w:pStyle w:val="FootnoteText"/>
      </w:pPr>
      <w:r>
        <w:rPr>
          <w:rStyle w:val="FootnoteReference"/>
        </w:rPr>
        <w:footnoteRef/>
      </w:r>
      <w:r>
        <w:t xml:space="preserve"> See A Lawson, ‘Disability and Employment in the Equality Act 2010: Opportunities Seized, Lost and Generated’ (2011) 40 ILJ 359 for a comprehensive analysis of disability discrimination in the EA10</w:t>
      </w:r>
    </w:p>
  </w:footnote>
  <w:footnote w:id="44">
    <w:p w:rsidR="00F366C6" w:rsidRDefault="00F366C6">
      <w:pPr>
        <w:pStyle w:val="FootnoteText"/>
      </w:pPr>
      <w:r>
        <w:rPr>
          <w:rStyle w:val="FootnoteReference"/>
        </w:rPr>
        <w:footnoteRef/>
      </w:r>
      <w:r>
        <w:t xml:space="preserve"> </w:t>
      </w:r>
      <w:r w:rsidR="000C67C2">
        <w:t xml:space="preserve">Case C-13/05 </w:t>
      </w:r>
      <w:r w:rsidR="000C67C2" w:rsidRPr="00F366C6">
        <w:rPr>
          <w:i/>
        </w:rPr>
        <w:t xml:space="preserve">Sonia </w:t>
      </w:r>
      <w:proofErr w:type="spellStart"/>
      <w:r w:rsidR="000C67C2" w:rsidRPr="00F366C6">
        <w:rPr>
          <w:i/>
        </w:rPr>
        <w:t>Chacón</w:t>
      </w:r>
      <w:proofErr w:type="spellEnd"/>
      <w:r w:rsidR="000C67C2" w:rsidRPr="00F366C6">
        <w:rPr>
          <w:i/>
        </w:rPr>
        <w:t xml:space="preserve"> </w:t>
      </w:r>
      <w:proofErr w:type="spellStart"/>
      <w:r w:rsidR="000C67C2" w:rsidRPr="00F366C6">
        <w:rPr>
          <w:i/>
        </w:rPr>
        <w:t>Navas</w:t>
      </w:r>
      <w:proofErr w:type="spellEnd"/>
      <w:r w:rsidR="000C67C2" w:rsidRPr="00F366C6">
        <w:rPr>
          <w:i/>
        </w:rPr>
        <w:t xml:space="preserve"> v </w:t>
      </w:r>
      <w:proofErr w:type="spellStart"/>
      <w:r w:rsidR="000C67C2" w:rsidRPr="00F366C6">
        <w:rPr>
          <w:i/>
        </w:rPr>
        <w:t>Eurest</w:t>
      </w:r>
      <w:proofErr w:type="spellEnd"/>
      <w:r w:rsidR="000C67C2" w:rsidRPr="00F366C6">
        <w:rPr>
          <w:i/>
        </w:rPr>
        <w:t xml:space="preserve"> </w:t>
      </w:r>
      <w:proofErr w:type="spellStart"/>
      <w:r w:rsidR="000C67C2" w:rsidRPr="00F366C6">
        <w:rPr>
          <w:i/>
        </w:rPr>
        <w:t>Colectividades</w:t>
      </w:r>
      <w:proofErr w:type="spellEnd"/>
      <w:r w:rsidR="000C67C2" w:rsidRPr="00F366C6">
        <w:rPr>
          <w:i/>
        </w:rPr>
        <w:t xml:space="preserve"> SA</w:t>
      </w:r>
      <w:r w:rsidR="000C67C2">
        <w:t xml:space="preserve"> [2006] ECR I-6467</w:t>
      </w:r>
    </w:p>
  </w:footnote>
  <w:footnote w:id="45">
    <w:p w:rsidR="00F366C6" w:rsidRDefault="00F366C6">
      <w:pPr>
        <w:pStyle w:val="FootnoteText"/>
      </w:pPr>
      <w:r>
        <w:rPr>
          <w:rStyle w:val="FootnoteReference"/>
        </w:rPr>
        <w:footnoteRef/>
      </w:r>
      <w:r>
        <w:t xml:space="preserve"> </w:t>
      </w:r>
      <w:r w:rsidR="000C67C2">
        <w:t>ibid para 43</w:t>
      </w:r>
    </w:p>
  </w:footnote>
  <w:footnote w:id="46">
    <w:p w:rsidR="00F366C6" w:rsidRDefault="00F366C6">
      <w:pPr>
        <w:pStyle w:val="FootnoteText"/>
      </w:pPr>
      <w:r>
        <w:rPr>
          <w:rStyle w:val="FootnoteReference"/>
        </w:rPr>
        <w:footnoteRef/>
      </w:r>
      <w:r>
        <w:t xml:space="preserve"> ibid para </w:t>
      </w:r>
      <w:r w:rsidR="00C63832">
        <w:t>4</w:t>
      </w:r>
      <w:r w:rsidR="000C67C2">
        <w:t>5</w:t>
      </w:r>
    </w:p>
  </w:footnote>
  <w:footnote w:id="47">
    <w:p w:rsidR="00C63832" w:rsidRDefault="00C63832" w:rsidP="00C63832">
      <w:pPr>
        <w:pStyle w:val="FootnoteText"/>
      </w:pPr>
      <w:r>
        <w:rPr>
          <w:rStyle w:val="FootnoteReference"/>
        </w:rPr>
        <w:footnoteRef/>
      </w:r>
      <w:r>
        <w:t xml:space="preserve"> “</w:t>
      </w:r>
      <w:r>
        <w:t>Persons with disabilities include those who have long-term physical,</w:t>
      </w:r>
      <w:r>
        <w:t xml:space="preserve"> </w:t>
      </w:r>
      <w:r>
        <w:t>mental, intellectual or sensory impairments which in interaction with various</w:t>
      </w:r>
      <w:r>
        <w:t xml:space="preserve"> </w:t>
      </w:r>
      <w:r>
        <w:t>barriers may hinder their full and effective participation in society on an equal</w:t>
      </w:r>
      <w:r>
        <w:t xml:space="preserve"> </w:t>
      </w:r>
      <w:r>
        <w:t>basis with others.</w:t>
      </w:r>
      <w:r>
        <w:t>”</w:t>
      </w:r>
    </w:p>
  </w:footnote>
  <w:footnote w:id="48">
    <w:p w:rsidR="00C63832" w:rsidRDefault="00C63832">
      <w:pPr>
        <w:pStyle w:val="FootnoteText"/>
      </w:pPr>
      <w:r>
        <w:rPr>
          <w:rStyle w:val="FootnoteReference"/>
        </w:rPr>
        <w:footnoteRef/>
      </w:r>
      <w:r>
        <w:t xml:space="preserve"> n 36 above paras 25-27</w:t>
      </w:r>
    </w:p>
  </w:footnote>
  <w:footnote w:id="49">
    <w:p w:rsidR="00562027" w:rsidRDefault="00562027" w:rsidP="00562027">
      <w:pPr>
        <w:pStyle w:val="FootnoteText"/>
      </w:pPr>
      <w:r>
        <w:rPr>
          <w:rStyle w:val="FootnoteReference"/>
        </w:rPr>
        <w:footnoteRef/>
      </w:r>
      <w:r>
        <w:t xml:space="preserve"> “…</w:t>
      </w:r>
      <w:r>
        <w:t>where a provision, criterion or practice</w:t>
      </w:r>
      <w:r>
        <w:t xml:space="preserve"> </w:t>
      </w:r>
      <w:r>
        <w:t>of A’s puts a disabled person at a substantial disadvantage in relation to a</w:t>
      </w:r>
      <w:r>
        <w:t xml:space="preserve"> </w:t>
      </w:r>
      <w:r>
        <w:t>relevant matter in comparison with persons who are not disabled, to take such</w:t>
      </w:r>
      <w:r>
        <w:t xml:space="preserve"> </w:t>
      </w:r>
      <w:r>
        <w:t>steps as it is reasonable to have to take to avoid the disadvantage.</w:t>
      </w:r>
      <w:r>
        <w:t>”</w:t>
      </w:r>
    </w:p>
  </w:footnote>
  <w:footnote w:id="50">
    <w:p w:rsidR="00562027" w:rsidRDefault="00562027" w:rsidP="00562027">
      <w:pPr>
        <w:pStyle w:val="FootnoteText"/>
      </w:pPr>
      <w:r>
        <w:rPr>
          <w:rStyle w:val="FootnoteReference"/>
        </w:rPr>
        <w:footnoteRef/>
      </w:r>
      <w:r>
        <w:t xml:space="preserve"> </w:t>
      </w:r>
      <w:proofErr w:type="gramStart"/>
      <w:r>
        <w:t>“…</w:t>
      </w:r>
      <w:r>
        <w:t>where a physical feature puts a</w:t>
      </w:r>
      <w:r>
        <w:t xml:space="preserve"> </w:t>
      </w:r>
      <w:r>
        <w:t>disabled person at a substantial disadvantage in relation to a relevant matter in</w:t>
      </w:r>
      <w:r>
        <w:t xml:space="preserve"> </w:t>
      </w:r>
      <w:r>
        <w:t>comparison with persons who are not disabled, to take such steps as it is</w:t>
      </w:r>
      <w:r>
        <w:t xml:space="preserve"> </w:t>
      </w:r>
      <w:r>
        <w:t>reasonable to have to take to avoid the disadvantage.</w:t>
      </w:r>
      <w:r>
        <w:t>”</w:t>
      </w:r>
      <w:proofErr w:type="gramEnd"/>
    </w:p>
  </w:footnote>
  <w:footnote w:id="51">
    <w:p w:rsidR="00562027" w:rsidRDefault="00562027" w:rsidP="00562027">
      <w:pPr>
        <w:pStyle w:val="FootnoteText"/>
      </w:pPr>
      <w:r>
        <w:rPr>
          <w:rStyle w:val="FootnoteReference"/>
        </w:rPr>
        <w:footnoteRef/>
      </w:r>
      <w:r>
        <w:t xml:space="preserve"> “…</w:t>
      </w:r>
      <w:r>
        <w:t>where a disabled person would, but</w:t>
      </w:r>
      <w:r>
        <w:t xml:space="preserve"> </w:t>
      </w:r>
      <w:r>
        <w:t>for the provision of an auxiliary aid, be put at a substantial disadvantage in</w:t>
      </w:r>
      <w:r>
        <w:t xml:space="preserve"> </w:t>
      </w:r>
      <w:r>
        <w:t>relation to a relevant matter in comparison with persons who are not disabled,</w:t>
      </w:r>
      <w:r>
        <w:t xml:space="preserve"> </w:t>
      </w:r>
      <w:r>
        <w:t>to take such steps as it is reasonable to have to take to provide the auxiliary aid.</w:t>
      </w:r>
      <w:r>
        <w:t>”</w:t>
      </w:r>
    </w:p>
  </w:footnote>
  <w:footnote w:id="52">
    <w:p w:rsidR="00AB42D0" w:rsidRDefault="00AB42D0">
      <w:pPr>
        <w:pStyle w:val="FootnoteText"/>
      </w:pPr>
      <w:r>
        <w:rPr>
          <w:rStyle w:val="FootnoteReference"/>
        </w:rPr>
        <w:footnoteRef/>
      </w:r>
      <w:r>
        <w:t xml:space="preserve"> </w:t>
      </w:r>
      <w:r w:rsidR="00C63832">
        <w:t>ibid para 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63545"/>
    <w:multiLevelType w:val="hybridMultilevel"/>
    <w:tmpl w:val="09C2D47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6E35BB2"/>
    <w:multiLevelType w:val="hybridMultilevel"/>
    <w:tmpl w:val="09EA9EB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BA"/>
    <w:rsid w:val="00051D33"/>
    <w:rsid w:val="000A3446"/>
    <w:rsid w:val="000B20FC"/>
    <w:rsid w:val="000C67C2"/>
    <w:rsid w:val="00144F04"/>
    <w:rsid w:val="001A758F"/>
    <w:rsid w:val="002300ED"/>
    <w:rsid w:val="00306E96"/>
    <w:rsid w:val="00313018"/>
    <w:rsid w:val="00315B20"/>
    <w:rsid w:val="003160BA"/>
    <w:rsid w:val="00356E4C"/>
    <w:rsid w:val="00395EB8"/>
    <w:rsid w:val="003B54AC"/>
    <w:rsid w:val="00525B50"/>
    <w:rsid w:val="005560C3"/>
    <w:rsid w:val="00562027"/>
    <w:rsid w:val="00580768"/>
    <w:rsid w:val="00592FF8"/>
    <w:rsid w:val="005970A4"/>
    <w:rsid w:val="006A1B5C"/>
    <w:rsid w:val="0074566B"/>
    <w:rsid w:val="007A4075"/>
    <w:rsid w:val="007B26C2"/>
    <w:rsid w:val="007C50D2"/>
    <w:rsid w:val="008861A3"/>
    <w:rsid w:val="008A658B"/>
    <w:rsid w:val="008D44F3"/>
    <w:rsid w:val="008F7DCC"/>
    <w:rsid w:val="00900EA0"/>
    <w:rsid w:val="009A190F"/>
    <w:rsid w:val="00A57D79"/>
    <w:rsid w:val="00AA157C"/>
    <w:rsid w:val="00AB42D0"/>
    <w:rsid w:val="00AE0800"/>
    <w:rsid w:val="00AE1973"/>
    <w:rsid w:val="00B105AC"/>
    <w:rsid w:val="00B2178F"/>
    <w:rsid w:val="00B74FDF"/>
    <w:rsid w:val="00B75CF1"/>
    <w:rsid w:val="00C31846"/>
    <w:rsid w:val="00C5693F"/>
    <w:rsid w:val="00C63832"/>
    <w:rsid w:val="00D126E9"/>
    <w:rsid w:val="00D31FE0"/>
    <w:rsid w:val="00D63870"/>
    <w:rsid w:val="00DA0907"/>
    <w:rsid w:val="00E033E0"/>
    <w:rsid w:val="00E67A2B"/>
    <w:rsid w:val="00E67C25"/>
    <w:rsid w:val="00F30907"/>
    <w:rsid w:val="00F36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05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5AC"/>
    <w:rPr>
      <w:lang w:eastAsia="en-US"/>
    </w:rPr>
  </w:style>
  <w:style w:type="character" w:styleId="FootnoteReference">
    <w:name w:val="footnote reference"/>
    <w:basedOn w:val="DefaultParagraphFont"/>
    <w:uiPriority w:val="99"/>
    <w:semiHidden/>
    <w:unhideWhenUsed/>
    <w:rsid w:val="00B105AC"/>
    <w:rPr>
      <w:vertAlign w:val="superscript"/>
    </w:rPr>
  </w:style>
  <w:style w:type="paragraph" w:styleId="ListParagraph">
    <w:name w:val="List Paragraph"/>
    <w:basedOn w:val="Normal"/>
    <w:uiPriority w:val="34"/>
    <w:qFormat/>
    <w:rsid w:val="00B10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05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5AC"/>
    <w:rPr>
      <w:lang w:eastAsia="en-US"/>
    </w:rPr>
  </w:style>
  <w:style w:type="character" w:styleId="FootnoteReference">
    <w:name w:val="footnote reference"/>
    <w:basedOn w:val="DefaultParagraphFont"/>
    <w:uiPriority w:val="99"/>
    <w:semiHidden/>
    <w:unhideWhenUsed/>
    <w:rsid w:val="00B105AC"/>
    <w:rPr>
      <w:vertAlign w:val="superscript"/>
    </w:rPr>
  </w:style>
  <w:style w:type="paragraph" w:styleId="ListParagraph">
    <w:name w:val="List Paragraph"/>
    <w:basedOn w:val="Normal"/>
    <w:uiPriority w:val="34"/>
    <w:qFormat/>
    <w:rsid w:val="00B10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D3FF6-1E85-4E59-A4D5-2D77A293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9</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9</cp:revision>
  <dcterms:created xsi:type="dcterms:W3CDTF">2013-10-07T15:33:00Z</dcterms:created>
  <dcterms:modified xsi:type="dcterms:W3CDTF">2013-10-23T16:49:00Z</dcterms:modified>
</cp:coreProperties>
</file>