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4B78F" w14:textId="77777777" w:rsidR="00DE396A" w:rsidRPr="0031706B" w:rsidRDefault="00DE396A" w:rsidP="00DE396A">
      <w:pPr>
        <w:pStyle w:val="Header"/>
        <w:spacing w:line="480" w:lineRule="auto"/>
        <w:rPr>
          <w:rFonts w:asciiTheme="minorHAnsi" w:hAnsiTheme="minorHAnsi" w:cstheme="minorHAnsi"/>
          <w:b/>
        </w:rPr>
      </w:pPr>
      <w:r w:rsidRPr="0031706B">
        <w:rPr>
          <w:rFonts w:asciiTheme="minorHAnsi" w:hAnsiTheme="minorHAnsi" w:cstheme="minorHAnsi"/>
          <w:b/>
        </w:rPr>
        <w:t>Carb</w:t>
      </w:r>
      <w:bookmarkStart w:id="0" w:name="_GoBack"/>
      <w:bookmarkEnd w:id="0"/>
      <w:r w:rsidRPr="0031706B">
        <w:rPr>
          <w:rFonts w:asciiTheme="minorHAnsi" w:hAnsiTheme="minorHAnsi" w:cstheme="minorHAnsi"/>
          <w:b/>
        </w:rPr>
        <w:t>on reduction scenarios for 2050: an explorative analysis of public preferences</w:t>
      </w:r>
    </w:p>
    <w:p w14:paraId="14C2A438" w14:textId="77777777" w:rsidR="00DE396A" w:rsidRDefault="00DE396A" w:rsidP="00DE396A">
      <w:pPr>
        <w:spacing w:after="0" w:line="480" w:lineRule="auto"/>
        <w:rPr>
          <w:rFonts w:cstheme="minorHAnsi"/>
          <w:b/>
          <w:sz w:val="24"/>
        </w:rPr>
      </w:pPr>
      <w:r w:rsidRPr="0031706B">
        <w:rPr>
          <w:rFonts w:cstheme="minorHAnsi"/>
          <w:b/>
          <w:sz w:val="24"/>
        </w:rPr>
        <w:t>Patricia Allen, Tim Chatterton</w:t>
      </w:r>
    </w:p>
    <w:p w14:paraId="0A22C5D3" w14:textId="77777777" w:rsidR="00DE396A" w:rsidRPr="0031706B" w:rsidRDefault="00DE396A" w:rsidP="00DE396A">
      <w:pPr>
        <w:spacing w:after="0" w:line="480" w:lineRule="auto"/>
        <w:rPr>
          <w:rFonts w:cstheme="minorHAnsi"/>
          <w:b/>
          <w:sz w:val="24"/>
        </w:rPr>
      </w:pPr>
    </w:p>
    <w:p w14:paraId="730BDC15" w14:textId="77777777" w:rsidR="00DE396A" w:rsidRDefault="00DE396A" w:rsidP="00DE396A">
      <w:pPr>
        <w:spacing w:after="0" w:line="480" w:lineRule="auto"/>
        <w:rPr>
          <w:rFonts w:cstheme="minorHAnsi"/>
          <w:b/>
          <w:sz w:val="24"/>
        </w:rPr>
      </w:pPr>
      <w:r w:rsidRPr="0031706B">
        <w:rPr>
          <w:rFonts w:cstheme="minorHAnsi"/>
          <w:b/>
          <w:sz w:val="24"/>
        </w:rPr>
        <w:t xml:space="preserve">Faculty of Environment and Technology, University of the West of England, </w:t>
      </w:r>
      <w:r w:rsidRPr="0031706B">
        <w:rPr>
          <w:rFonts w:cstheme="minorHAnsi"/>
          <w:b/>
          <w:sz w:val="24"/>
        </w:rPr>
        <w:br/>
      </w:r>
      <w:proofErr w:type="spellStart"/>
      <w:r w:rsidRPr="0031706B">
        <w:rPr>
          <w:rFonts w:cstheme="minorHAnsi"/>
          <w:b/>
          <w:sz w:val="24"/>
        </w:rPr>
        <w:t>Coldharbour</w:t>
      </w:r>
      <w:proofErr w:type="spellEnd"/>
      <w:r w:rsidRPr="0031706B">
        <w:rPr>
          <w:rFonts w:cstheme="minorHAnsi"/>
          <w:b/>
          <w:sz w:val="24"/>
        </w:rPr>
        <w:t xml:space="preserve"> Lane, Bristol, BS16 1QY, United Kingdom</w:t>
      </w:r>
    </w:p>
    <w:p w14:paraId="290706D2" w14:textId="77777777" w:rsidR="00DE396A" w:rsidRPr="0031706B" w:rsidRDefault="00DE396A" w:rsidP="00DE396A">
      <w:pPr>
        <w:spacing w:after="0" w:line="480" w:lineRule="auto"/>
        <w:rPr>
          <w:rFonts w:cstheme="minorHAnsi"/>
          <w:b/>
          <w:sz w:val="24"/>
        </w:rPr>
      </w:pPr>
    </w:p>
    <w:p w14:paraId="0D9D5D11" w14:textId="77777777" w:rsidR="00DE396A" w:rsidRPr="0031706B" w:rsidRDefault="00DE396A" w:rsidP="00DE396A">
      <w:pPr>
        <w:spacing w:after="0" w:line="480" w:lineRule="auto"/>
        <w:rPr>
          <w:rFonts w:cstheme="minorHAnsi"/>
          <w:sz w:val="24"/>
        </w:rPr>
      </w:pPr>
      <w:r w:rsidRPr="0031706B">
        <w:rPr>
          <w:rFonts w:cstheme="minorHAnsi"/>
          <w:b/>
          <w:sz w:val="24"/>
        </w:rPr>
        <w:t>Corresponding author:</w:t>
      </w:r>
      <w:r w:rsidRPr="0031706B">
        <w:rPr>
          <w:rFonts w:cstheme="minorHAnsi"/>
          <w:sz w:val="24"/>
        </w:rPr>
        <w:t xml:space="preserve"> T. Chatterton, Tel: +44(0)117 328 2929 Fax: +44(0)117 328 </w:t>
      </w:r>
      <w:r w:rsidRPr="0031706B">
        <w:rPr>
          <w:rFonts w:cstheme="minorHAnsi"/>
          <w:noProof/>
          <w:sz w:val="24"/>
          <w:lang w:eastAsia="en-GB"/>
        </w:rPr>
        <w:t xml:space="preserve">3360 </w:t>
      </w:r>
      <w:r w:rsidRPr="0031706B">
        <w:rPr>
          <w:rFonts w:cstheme="minorHAnsi"/>
          <w:sz w:val="24"/>
        </w:rPr>
        <w:t xml:space="preserve"> </w:t>
      </w:r>
    </w:p>
    <w:p w14:paraId="6908002F" w14:textId="77777777" w:rsidR="00DE396A" w:rsidRPr="0031706B" w:rsidRDefault="00DE396A" w:rsidP="00DE396A">
      <w:pPr>
        <w:spacing w:after="0" w:line="480" w:lineRule="auto"/>
        <w:rPr>
          <w:rFonts w:cstheme="minorHAnsi"/>
          <w:sz w:val="24"/>
        </w:rPr>
      </w:pPr>
      <w:r w:rsidRPr="0031706B">
        <w:rPr>
          <w:rFonts w:cstheme="minorHAnsi"/>
          <w:sz w:val="24"/>
        </w:rPr>
        <w:t xml:space="preserve"> Email: </w:t>
      </w:r>
      <w:hyperlink r:id="rId9" w:history="1">
        <w:r w:rsidRPr="0031706B">
          <w:rPr>
            <w:rStyle w:val="Hyperlink"/>
            <w:rFonts w:cstheme="minorHAnsi"/>
            <w:sz w:val="24"/>
          </w:rPr>
          <w:t>tim.chatterton@uwe.ac.uk</w:t>
        </w:r>
      </w:hyperlink>
      <w:r w:rsidRPr="0031706B">
        <w:rPr>
          <w:rFonts w:cstheme="minorHAnsi"/>
          <w:sz w:val="24"/>
        </w:rPr>
        <w:t xml:space="preserve"> </w:t>
      </w:r>
    </w:p>
    <w:p w14:paraId="3170B2AC" w14:textId="77777777" w:rsidR="00B73168" w:rsidRPr="0031706B" w:rsidRDefault="00B73168" w:rsidP="00CA4C4E">
      <w:pPr>
        <w:spacing w:after="0" w:line="480" w:lineRule="auto"/>
        <w:rPr>
          <w:rFonts w:cstheme="minorHAnsi"/>
          <w:b/>
          <w:sz w:val="24"/>
        </w:rPr>
      </w:pPr>
    </w:p>
    <w:p w14:paraId="4B833485" w14:textId="77777777" w:rsidR="004B45C5" w:rsidRPr="0031706B" w:rsidRDefault="004B45C5" w:rsidP="00CA4C4E">
      <w:pPr>
        <w:spacing w:after="0" w:line="480" w:lineRule="auto"/>
        <w:rPr>
          <w:rFonts w:cstheme="minorHAnsi"/>
          <w:b/>
          <w:sz w:val="24"/>
        </w:rPr>
      </w:pPr>
      <w:r w:rsidRPr="0031706B">
        <w:rPr>
          <w:rFonts w:cstheme="minorHAnsi"/>
          <w:b/>
          <w:sz w:val="24"/>
        </w:rPr>
        <w:t>ABSTRACT</w:t>
      </w:r>
    </w:p>
    <w:p w14:paraId="6A2984FB" w14:textId="1C0B90D6" w:rsidR="00696947" w:rsidRPr="0031706B" w:rsidRDefault="00E373E7" w:rsidP="00CA4C4E">
      <w:pPr>
        <w:spacing w:after="0" w:line="480" w:lineRule="auto"/>
        <w:rPr>
          <w:rFonts w:cstheme="minorHAnsi"/>
          <w:b/>
          <w:sz w:val="24"/>
        </w:rPr>
      </w:pPr>
      <w:r w:rsidRPr="0031706B">
        <w:rPr>
          <w:rFonts w:cstheme="minorHAnsi"/>
          <w:sz w:val="24"/>
        </w:rPr>
        <w:t xml:space="preserve">This paper presents an analysis of </w:t>
      </w:r>
      <w:r w:rsidR="009E343B" w:rsidRPr="0031706B">
        <w:rPr>
          <w:rFonts w:cstheme="minorHAnsi"/>
          <w:sz w:val="24"/>
        </w:rPr>
        <w:t xml:space="preserve">public preferences for a low carbon future UK and compares them with three </w:t>
      </w:r>
      <w:r w:rsidR="00236979" w:rsidRPr="0031706B">
        <w:rPr>
          <w:rFonts w:cstheme="minorHAnsi"/>
          <w:sz w:val="24"/>
        </w:rPr>
        <w:t xml:space="preserve">future scenarios </w:t>
      </w:r>
      <w:r w:rsidR="009E343B" w:rsidRPr="0031706B">
        <w:rPr>
          <w:rFonts w:cstheme="minorHAnsi"/>
          <w:sz w:val="24"/>
        </w:rPr>
        <w:t xml:space="preserve">proposed </w:t>
      </w:r>
      <w:r w:rsidR="00236979" w:rsidRPr="0031706B">
        <w:rPr>
          <w:rFonts w:cstheme="minorHAnsi"/>
          <w:sz w:val="24"/>
        </w:rPr>
        <w:t xml:space="preserve">by the UK </w:t>
      </w:r>
      <w:r w:rsidR="00B74D63">
        <w:rPr>
          <w:rFonts w:cstheme="minorHAnsi"/>
          <w:sz w:val="24"/>
        </w:rPr>
        <w:t xml:space="preserve">government based on </w:t>
      </w:r>
      <w:r w:rsidR="00A86D4D" w:rsidRPr="0031706B">
        <w:rPr>
          <w:rFonts w:cstheme="minorHAnsi"/>
          <w:sz w:val="24"/>
        </w:rPr>
        <w:t xml:space="preserve">data from 10,983 self-selected participants who engaged in </w:t>
      </w:r>
      <w:r w:rsidR="0066755D" w:rsidRPr="0031706B">
        <w:rPr>
          <w:rFonts w:cstheme="minorHAnsi"/>
          <w:sz w:val="24"/>
        </w:rPr>
        <w:t>the UK Department of Energy and Climate Change ‘My2050’</w:t>
      </w:r>
      <w:r w:rsidR="00A86D4D" w:rsidRPr="0031706B">
        <w:rPr>
          <w:rFonts w:cstheme="minorHAnsi"/>
          <w:sz w:val="24"/>
        </w:rPr>
        <w:t xml:space="preserve"> </w:t>
      </w:r>
      <w:r w:rsidR="00B74D63">
        <w:rPr>
          <w:rFonts w:cstheme="minorHAnsi"/>
          <w:sz w:val="24"/>
        </w:rPr>
        <w:t>on-line</w:t>
      </w:r>
      <w:r w:rsidR="00A86D4D" w:rsidRPr="0031706B">
        <w:rPr>
          <w:rFonts w:cstheme="minorHAnsi"/>
          <w:sz w:val="24"/>
        </w:rPr>
        <w:t xml:space="preserve"> simulation. </w:t>
      </w:r>
      <w:r w:rsidR="00B74105" w:rsidRPr="0031706B">
        <w:rPr>
          <w:rFonts w:cstheme="minorHAnsi"/>
          <w:sz w:val="24"/>
        </w:rPr>
        <w:t xml:space="preserve">Participants </w:t>
      </w:r>
      <w:r w:rsidR="00B74D63">
        <w:rPr>
          <w:rFonts w:cstheme="minorHAnsi"/>
          <w:sz w:val="24"/>
        </w:rPr>
        <w:t xml:space="preserve">expressed a </w:t>
      </w:r>
      <w:r w:rsidR="007F624D">
        <w:rPr>
          <w:rFonts w:cstheme="minorHAnsi"/>
          <w:sz w:val="24"/>
        </w:rPr>
        <w:t>stronger</w:t>
      </w:r>
      <w:r w:rsidR="007F624D" w:rsidRPr="0031706B">
        <w:rPr>
          <w:rFonts w:cstheme="minorHAnsi"/>
          <w:sz w:val="24"/>
        </w:rPr>
        <w:t xml:space="preserve"> </w:t>
      </w:r>
      <w:r w:rsidR="00B74D63">
        <w:rPr>
          <w:rFonts w:cstheme="minorHAnsi"/>
          <w:sz w:val="24"/>
        </w:rPr>
        <w:t xml:space="preserve">preference for </w:t>
      </w:r>
      <w:r w:rsidR="00A86D4D" w:rsidRPr="0031706B">
        <w:rPr>
          <w:rFonts w:cstheme="minorHAnsi"/>
          <w:sz w:val="24"/>
        </w:rPr>
        <w:t xml:space="preserve">demand-side options </w:t>
      </w:r>
      <w:r w:rsidR="00B74105" w:rsidRPr="0031706B">
        <w:rPr>
          <w:rFonts w:cstheme="minorHAnsi"/>
          <w:sz w:val="24"/>
        </w:rPr>
        <w:t xml:space="preserve">than for </w:t>
      </w:r>
      <w:r w:rsidR="00A86D4D" w:rsidRPr="0031706B">
        <w:rPr>
          <w:rFonts w:cstheme="minorHAnsi"/>
          <w:sz w:val="24"/>
        </w:rPr>
        <w:t>supply</w:t>
      </w:r>
      <w:r w:rsidR="00B74105" w:rsidRPr="0031706B">
        <w:rPr>
          <w:rFonts w:cstheme="minorHAnsi"/>
          <w:sz w:val="24"/>
        </w:rPr>
        <w:t>-side ones</w:t>
      </w:r>
      <w:r w:rsidR="00A86D4D" w:rsidRPr="0031706B">
        <w:rPr>
          <w:rFonts w:cstheme="minorHAnsi"/>
          <w:sz w:val="24"/>
        </w:rPr>
        <w:t xml:space="preserve">. </w:t>
      </w:r>
      <w:r w:rsidR="00B74105" w:rsidRPr="0031706B">
        <w:rPr>
          <w:rFonts w:cstheme="minorHAnsi"/>
          <w:sz w:val="24"/>
        </w:rPr>
        <w:t xml:space="preserve">They also </w:t>
      </w:r>
      <w:r w:rsidR="00F56773" w:rsidRPr="0031706B">
        <w:rPr>
          <w:rFonts w:cstheme="minorHAnsi"/>
          <w:sz w:val="24"/>
        </w:rPr>
        <w:t xml:space="preserve">chose </w:t>
      </w:r>
      <w:r w:rsidR="00B74D63">
        <w:rPr>
          <w:rFonts w:cstheme="minorHAnsi"/>
          <w:sz w:val="24"/>
        </w:rPr>
        <w:t>fuel switching (to electricity) and technical energy efficiency measures above more behaviour</w:t>
      </w:r>
      <w:r w:rsidR="00B74105" w:rsidRPr="0031706B">
        <w:rPr>
          <w:rFonts w:cstheme="minorHAnsi"/>
          <w:sz w:val="24"/>
        </w:rPr>
        <w:t xml:space="preserve"> focused options</w:t>
      </w:r>
      <w:r w:rsidR="00A86D4D" w:rsidRPr="0031706B">
        <w:rPr>
          <w:rFonts w:cstheme="minorHAnsi"/>
          <w:sz w:val="24"/>
        </w:rPr>
        <w:t xml:space="preserve">. </w:t>
      </w:r>
      <w:r w:rsidR="00B74D63">
        <w:rPr>
          <w:rFonts w:cstheme="minorHAnsi"/>
          <w:sz w:val="24"/>
        </w:rPr>
        <w:t>R</w:t>
      </w:r>
      <w:r w:rsidR="00A86D4D" w:rsidRPr="0031706B">
        <w:rPr>
          <w:rFonts w:cstheme="minorHAnsi"/>
          <w:sz w:val="24"/>
        </w:rPr>
        <w:t xml:space="preserve">enewable energy options (wind, solar, marine and hydro) </w:t>
      </w:r>
      <w:r w:rsidR="00B74105" w:rsidRPr="0031706B">
        <w:rPr>
          <w:rFonts w:cstheme="minorHAnsi"/>
          <w:sz w:val="24"/>
        </w:rPr>
        <w:t>w</w:t>
      </w:r>
      <w:r w:rsidR="00B74D63">
        <w:rPr>
          <w:rFonts w:cstheme="minorHAnsi"/>
          <w:sz w:val="24"/>
        </w:rPr>
        <w:t>ere</w:t>
      </w:r>
      <w:r w:rsidR="00B74105" w:rsidRPr="0031706B">
        <w:rPr>
          <w:rFonts w:cstheme="minorHAnsi"/>
          <w:sz w:val="24"/>
        </w:rPr>
        <w:t xml:space="preserve"> </w:t>
      </w:r>
      <w:r w:rsidR="00236979" w:rsidRPr="0031706B">
        <w:rPr>
          <w:rFonts w:cstheme="minorHAnsi"/>
          <w:sz w:val="24"/>
        </w:rPr>
        <w:t>preferred</w:t>
      </w:r>
      <w:r w:rsidR="00B74105" w:rsidRPr="0031706B">
        <w:rPr>
          <w:rFonts w:cstheme="minorHAnsi"/>
          <w:sz w:val="24"/>
        </w:rPr>
        <w:t xml:space="preserve"> </w:t>
      </w:r>
      <w:r w:rsidR="00A86D4D" w:rsidRPr="0031706B">
        <w:rPr>
          <w:rFonts w:cstheme="minorHAnsi"/>
          <w:sz w:val="24"/>
        </w:rPr>
        <w:t>to other low carbon supply options (nuclear power, carbon capture and storage</w:t>
      </w:r>
      <w:r w:rsidR="00745A7F" w:rsidRPr="0031706B">
        <w:rPr>
          <w:rFonts w:cstheme="minorHAnsi"/>
          <w:sz w:val="24"/>
        </w:rPr>
        <w:t>)</w:t>
      </w:r>
      <w:r w:rsidR="00A86D4D" w:rsidRPr="0031706B">
        <w:rPr>
          <w:rFonts w:cstheme="minorHAnsi"/>
          <w:sz w:val="24"/>
        </w:rPr>
        <w:t xml:space="preserve">, with </w:t>
      </w:r>
      <w:r w:rsidR="00B74D63">
        <w:rPr>
          <w:rFonts w:cstheme="minorHAnsi"/>
          <w:sz w:val="24"/>
        </w:rPr>
        <w:t>off</w:t>
      </w:r>
      <w:r w:rsidR="00B74D63" w:rsidRPr="0031706B">
        <w:rPr>
          <w:rFonts w:cstheme="minorHAnsi"/>
          <w:sz w:val="24"/>
        </w:rPr>
        <w:t>shore</w:t>
      </w:r>
      <w:r w:rsidR="00B74D63">
        <w:rPr>
          <w:rFonts w:cstheme="minorHAnsi"/>
          <w:sz w:val="24"/>
        </w:rPr>
        <w:t xml:space="preserve"> </w:t>
      </w:r>
      <w:r w:rsidR="00A86D4D" w:rsidRPr="0031706B">
        <w:rPr>
          <w:rFonts w:cstheme="minorHAnsi"/>
          <w:sz w:val="24"/>
        </w:rPr>
        <w:t xml:space="preserve">wind power more popular </w:t>
      </w:r>
      <w:r w:rsidR="00B74D63">
        <w:rPr>
          <w:rFonts w:cstheme="minorHAnsi"/>
          <w:sz w:val="24"/>
        </w:rPr>
        <w:t xml:space="preserve">than </w:t>
      </w:r>
      <w:r w:rsidR="00A86D4D" w:rsidRPr="0031706B">
        <w:rPr>
          <w:rFonts w:cstheme="minorHAnsi"/>
          <w:sz w:val="24"/>
        </w:rPr>
        <w:t>o</w:t>
      </w:r>
      <w:r w:rsidR="00B74D63">
        <w:rPr>
          <w:rFonts w:cstheme="minorHAnsi"/>
          <w:sz w:val="24"/>
        </w:rPr>
        <w:t>n</w:t>
      </w:r>
      <w:r w:rsidR="00A86D4D" w:rsidRPr="0031706B">
        <w:rPr>
          <w:rFonts w:cstheme="minorHAnsi"/>
          <w:sz w:val="24"/>
        </w:rPr>
        <w:t xml:space="preserve">shore. Nuclear power was the least popular </w:t>
      </w:r>
      <w:r w:rsidR="00B74D63">
        <w:rPr>
          <w:rFonts w:cstheme="minorHAnsi"/>
          <w:sz w:val="24"/>
        </w:rPr>
        <w:t xml:space="preserve">generation </w:t>
      </w:r>
      <w:r w:rsidR="00A86D4D" w:rsidRPr="0031706B">
        <w:rPr>
          <w:rFonts w:cstheme="minorHAnsi"/>
          <w:sz w:val="24"/>
        </w:rPr>
        <w:t xml:space="preserve">option. Acceptability of the government’s three proposed scenarios was tested by </w:t>
      </w:r>
      <w:r w:rsidR="00A86D4D" w:rsidRPr="0031706B">
        <w:rPr>
          <w:rFonts w:cstheme="minorHAnsi"/>
          <w:sz w:val="24"/>
        </w:rPr>
        <w:lastRenderedPageBreak/>
        <w:t xml:space="preserve">comparing these scenarios with </w:t>
      </w:r>
      <w:r w:rsidR="00236979" w:rsidRPr="0031706B">
        <w:rPr>
          <w:rFonts w:cstheme="minorHAnsi"/>
          <w:sz w:val="24"/>
        </w:rPr>
        <w:t xml:space="preserve">the </w:t>
      </w:r>
      <w:r w:rsidR="00A86D4D" w:rsidRPr="0031706B">
        <w:rPr>
          <w:rFonts w:cstheme="minorHAnsi"/>
          <w:sz w:val="24"/>
        </w:rPr>
        <w:t xml:space="preserve">research findings. Greatest support was </w:t>
      </w:r>
      <w:r w:rsidR="00B74105" w:rsidRPr="0031706B">
        <w:rPr>
          <w:rFonts w:cstheme="minorHAnsi"/>
          <w:sz w:val="24"/>
        </w:rPr>
        <w:t xml:space="preserve">suggested </w:t>
      </w:r>
      <w:r w:rsidR="00A86D4D" w:rsidRPr="0031706B">
        <w:rPr>
          <w:rFonts w:cstheme="minorHAnsi"/>
          <w:sz w:val="24"/>
        </w:rPr>
        <w:t xml:space="preserve">for </w:t>
      </w:r>
      <w:r w:rsidR="00B74D63">
        <w:rPr>
          <w:rFonts w:cstheme="minorHAnsi"/>
          <w:sz w:val="24"/>
        </w:rPr>
        <w:t>the two</w:t>
      </w:r>
      <w:r w:rsidR="00A86D4D" w:rsidRPr="0031706B">
        <w:rPr>
          <w:rFonts w:cstheme="minorHAnsi"/>
          <w:sz w:val="24"/>
        </w:rPr>
        <w:t xml:space="preserve"> scenario</w:t>
      </w:r>
      <w:r w:rsidR="007277FE" w:rsidRPr="0031706B">
        <w:rPr>
          <w:rFonts w:cstheme="minorHAnsi"/>
          <w:sz w:val="24"/>
        </w:rPr>
        <w:t>s</w:t>
      </w:r>
      <w:r w:rsidR="00A86D4D" w:rsidRPr="0031706B">
        <w:rPr>
          <w:rFonts w:cstheme="minorHAnsi"/>
          <w:sz w:val="24"/>
        </w:rPr>
        <w:t xml:space="preserve"> </w:t>
      </w:r>
      <w:proofErr w:type="spellStart"/>
      <w:r w:rsidR="00B74D63">
        <w:rPr>
          <w:rFonts w:cstheme="minorHAnsi"/>
          <w:sz w:val="24"/>
        </w:rPr>
        <w:t>emphasising</w:t>
      </w:r>
      <w:proofErr w:type="spellEnd"/>
      <w:r w:rsidR="002B3A92" w:rsidRPr="0031706B">
        <w:rPr>
          <w:rFonts w:cstheme="minorHAnsi"/>
          <w:sz w:val="24"/>
        </w:rPr>
        <w:t xml:space="preserve"> business greenness, home energy efficiency, electrification of home </w:t>
      </w:r>
      <w:proofErr w:type="gramStart"/>
      <w:r w:rsidR="002B3A92" w:rsidRPr="0031706B">
        <w:rPr>
          <w:rFonts w:cstheme="minorHAnsi"/>
          <w:sz w:val="24"/>
        </w:rPr>
        <w:t>heating  and</w:t>
      </w:r>
      <w:proofErr w:type="gramEnd"/>
      <w:r w:rsidR="002B3A92" w:rsidRPr="0031706B">
        <w:rPr>
          <w:rFonts w:cstheme="minorHAnsi"/>
          <w:sz w:val="24"/>
        </w:rPr>
        <w:t xml:space="preserve"> travel behaviour.</w:t>
      </w:r>
      <w:r w:rsidR="00A86D4D" w:rsidRPr="0031706B">
        <w:rPr>
          <w:rFonts w:cstheme="minorHAnsi"/>
          <w:sz w:val="24"/>
        </w:rPr>
        <w:t xml:space="preserve"> </w:t>
      </w:r>
      <w:r w:rsidR="007277FE" w:rsidRPr="0031706B">
        <w:rPr>
          <w:rFonts w:cstheme="minorHAnsi"/>
          <w:sz w:val="24"/>
        </w:rPr>
        <w:t xml:space="preserve">The lowest level of support was demonstrated for the scenario </w:t>
      </w:r>
      <w:r w:rsidR="003B36AC" w:rsidRPr="0031706B">
        <w:rPr>
          <w:rFonts w:cstheme="minorHAnsi"/>
          <w:sz w:val="24"/>
        </w:rPr>
        <w:t>based on</w:t>
      </w:r>
      <w:r w:rsidR="007277FE" w:rsidRPr="0031706B">
        <w:rPr>
          <w:rFonts w:cstheme="minorHAnsi"/>
          <w:sz w:val="24"/>
        </w:rPr>
        <w:t xml:space="preserve"> significant growth in nuclear power with minimal increases in energy efficiency. </w:t>
      </w:r>
      <w:r w:rsidR="00236979" w:rsidRPr="0031706B">
        <w:rPr>
          <w:rFonts w:cstheme="minorHAnsi"/>
          <w:sz w:val="24"/>
        </w:rPr>
        <w:t xml:space="preserve">Despite issues regarding the </w:t>
      </w:r>
      <w:proofErr w:type="spellStart"/>
      <w:r w:rsidR="00236979" w:rsidRPr="0031706B">
        <w:rPr>
          <w:rFonts w:cstheme="minorHAnsi"/>
          <w:sz w:val="24"/>
        </w:rPr>
        <w:t>representivity</w:t>
      </w:r>
      <w:proofErr w:type="spellEnd"/>
      <w:r w:rsidR="00236979" w:rsidRPr="0031706B">
        <w:rPr>
          <w:rFonts w:cstheme="minorHAnsi"/>
          <w:sz w:val="24"/>
        </w:rPr>
        <w:t xml:space="preserve"> of the sampled respondents, the work demonstrates the possibility of using output</w:t>
      </w:r>
      <w:r w:rsidR="00D04BCE" w:rsidRPr="0031706B">
        <w:rPr>
          <w:rFonts w:cstheme="minorHAnsi"/>
          <w:sz w:val="24"/>
        </w:rPr>
        <w:t>s</w:t>
      </w:r>
      <w:r w:rsidR="00236979" w:rsidRPr="0031706B">
        <w:rPr>
          <w:rFonts w:cstheme="minorHAnsi"/>
          <w:sz w:val="24"/>
        </w:rPr>
        <w:t xml:space="preserve"> from the tool to assess publically preferred pathways</w:t>
      </w:r>
      <w:r w:rsidR="00696947" w:rsidRPr="0031706B">
        <w:rPr>
          <w:rFonts w:cstheme="minorHAnsi"/>
          <w:sz w:val="24"/>
        </w:rPr>
        <w:t>.</w:t>
      </w:r>
    </w:p>
    <w:p w14:paraId="46ABD0DC" w14:textId="3ECE31B3" w:rsidR="00A04775" w:rsidRPr="0031706B" w:rsidRDefault="0066755D" w:rsidP="00CA4C4E">
      <w:pPr>
        <w:spacing w:after="0" w:line="480" w:lineRule="auto"/>
        <w:rPr>
          <w:rFonts w:cstheme="minorHAnsi"/>
          <w:sz w:val="24"/>
        </w:rPr>
      </w:pPr>
      <w:r w:rsidRPr="0031706B">
        <w:rPr>
          <w:rFonts w:cstheme="minorHAnsi"/>
          <w:b/>
          <w:sz w:val="24"/>
        </w:rPr>
        <w:t>Keywords:</w:t>
      </w:r>
      <w:r w:rsidRPr="0031706B">
        <w:rPr>
          <w:rFonts w:cstheme="minorHAnsi"/>
          <w:sz w:val="24"/>
        </w:rPr>
        <w:t xml:space="preserve"> ‘Public engagement’, ‘</w:t>
      </w:r>
      <w:r w:rsidR="00097B6F" w:rsidRPr="0031706B">
        <w:rPr>
          <w:rFonts w:cstheme="minorHAnsi"/>
          <w:sz w:val="24"/>
        </w:rPr>
        <w:t>Energy s</w:t>
      </w:r>
      <w:r w:rsidRPr="0031706B">
        <w:rPr>
          <w:rFonts w:cstheme="minorHAnsi"/>
          <w:sz w:val="24"/>
        </w:rPr>
        <w:t xml:space="preserve">cenarios’, </w:t>
      </w:r>
      <w:r w:rsidR="00097B6F" w:rsidRPr="0031706B">
        <w:rPr>
          <w:rFonts w:cstheme="minorHAnsi"/>
          <w:sz w:val="24"/>
        </w:rPr>
        <w:t>‘2050 Calculator’</w:t>
      </w:r>
      <w:r w:rsidR="00236979" w:rsidRPr="0031706B">
        <w:rPr>
          <w:rFonts w:cstheme="minorHAnsi"/>
          <w:sz w:val="24"/>
        </w:rPr>
        <w:t>, ‘Climate policy’</w:t>
      </w:r>
    </w:p>
    <w:p w14:paraId="7BA8AA11" w14:textId="77777777" w:rsidR="00B83AF9" w:rsidRPr="0031706B" w:rsidRDefault="00B83AF9" w:rsidP="00CA4C4E">
      <w:pPr>
        <w:spacing w:after="0" w:line="480" w:lineRule="auto"/>
        <w:rPr>
          <w:rFonts w:cstheme="minorHAnsi"/>
          <w:sz w:val="24"/>
        </w:rPr>
      </w:pPr>
    </w:p>
    <w:p w14:paraId="10914D68" w14:textId="1582A284" w:rsidR="00887639" w:rsidRPr="0031706B" w:rsidRDefault="00AD66BC" w:rsidP="00F56E7B">
      <w:pPr>
        <w:pStyle w:val="ListParagraph"/>
        <w:numPr>
          <w:ilvl w:val="0"/>
          <w:numId w:val="30"/>
        </w:numPr>
        <w:spacing w:line="480" w:lineRule="auto"/>
        <w:rPr>
          <w:rFonts w:asciiTheme="minorHAnsi" w:hAnsiTheme="minorHAnsi" w:cstheme="minorHAnsi"/>
          <w:b/>
        </w:rPr>
      </w:pPr>
      <w:r w:rsidRPr="0031706B">
        <w:rPr>
          <w:rFonts w:asciiTheme="minorHAnsi" w:hAnsiTheme="minorHAnsi" w:cstheme="minorHAnsi"/>
          <w:b/>
        </w:rPr>
        <w:t>Introduction</w:t>
      </w:r>
    </w:p>
    <w:p w14:paraId="315352BE" w14:textId="3CB03F36" w:rsidR="00887639" w:rsidRPr="0031706B" w:rsidRDefault="00887639" w:rsidP="00CA4C4E">
      <w:pPr>
        <w:spacing w:after="0" w:line="480" w:lineRule="auto"/>
        <w:rPr>
          <w:rFonts w:cstheme="minorHAnsi"/>
          <w:sz w:val="24"/>
        </w:rPr>
      </w:pPr>
      <w:r w:rsidRPr="0031706B">
        <w:rPr>
          <w:rFonts w:cstheme="minorHAnsi"/>
          <w:sz w:val="24"/>
        </w:rPr>
        <w:t xml:space="preserve">The Climate Change Act provides a legally binding requirement for the United Kingdom (UK) to reduce greenhouse gas emissions by eighty percent by 2050 (HM Government, 2008a). </w:t>
      </w:r>
      <w:r w:rsidR="00D869A5" w:rsidRPr="0031706B">
        <w:rPr>
          <w:rFonts w:cstheme="minorHAnsi"/>
          <w:sz w:val="24"/>
        </w:rPr>
        <w:t xml:space="preserve">The government </w:t>
      </w:r>
      <w:r w:rsidRPr="0031706B">
        <w:rPr>
          <w:rFonts w:cstheme="minorHAnsi"/>
          <w:sz w:val="24"/>
        </w:rPr>
        <w:t xml:space="preserve">has published three preferred scenarios to achieve this target </w:t>
      </w:r>
      <w:r w:rsidR="00D869A5" w:rsidRPr="0031706B">
        <w:rPr>
          <w:rFonts w:cstheme="minorHAnsi"/>
          <w:sz w:val="24"/>
        </w:rPr>
        <w:t xml:space="preserve">within the national Carbon Plan </w:t>
      </w:r>
      <w:r w:rsidRPr="0031706B">
        <w:rPr>
          <w:rFonts w:cstheme="minorHAnsi"/>
          <w:sz w:val="24"/>
        </w:rPr>
        <w:t>(DECC, 2011a)</w:t>
      </w:r>
      <w:r w:rsidR="00D869A5" w:rsidRPr="0031706B">
        <w:rPr>
          <w:rFonts w:cstheme="minorHAnsi"/>
          <w:sz w:val="24"/>
        </w:rPr>
        <w:t>.</w:t>
      </w:r>
      <w:r w:rsidRPr="0031706B">
        <w:rPr>
          <w:rFonts w:cstheme="minorHAnsi"/>
          <w:sz w:val="24"/>
        </w:rPr>
        <w:t xml:space="preserve"> </w:t>
      </w:r>
      <w:r w:rsidR="00D869A5" w:rsidRPr="0031706B">
        <w:rPr>
          <w:rFonts w:cstheme="minorHAnsi"/>
          <w:sz w:val="24"/>
        </w:rPr>
        <w:t>Alongside this, the Department of Energy and Climate Change (DECC) has</w:t>
      </w:r>
      <w:r w:rsidRPr="0031706B">
        <w:rPr>
          <w:rFonts w:cstheme="minorHAnsi"/>
          <w:sz w:val="24"/>
        </w:rPr>
        <w:t xml:space="preserve"> developed public engagement tools to promote understanding of the challenges in developing carbon reduction scenarios</w:t>
      </w:r>
      <w:r w:rsidR="00883B45" w:rsidRPr="0031706B">
        <w:rPr>
          <w:rFonts w:cstheme="minorHAnsi"/>
          <w:sz w:val="24"/>
        </w:rPr>
        <w:t>, and encourage debate about energy futures</w:t>
      </w:r>
      <w:r w:rsidRPr="0031706B">
        <w:rPr>
          <w:rFonts w:cstheme="minorHAnsi"/>
          <w:sz w:val="24"/>
        </w:rPr>
        <w:t xml:space="preserve"> (DECC, 2011b). </w:t>
      </w:r>
      <w:r w:rsidR="00D869A5" w:rsidRPr="0031706B">
        <w:rPr>
          <w:rFonts w:cstheme="minorHAnsi"/>
          <w:sz w:val="24"/>
        </w:rPr>
        <w:t xml:space="preserve">Any significant effort to move towards </w:t>
      </w:r>
      <w:proofErr w:type="spellStart"/>
      <w:r w:rsidR="00D869A5" w:rsidRPr="0031706B">
        <w:rPr>
          <w:rFonts w:cstheme="minorHAnsi"/>
          <w:sz w:val="24"/>
        </w:rPr>
        <w:t>decarbonisation</w:t>
      </w:r>
      <w:proofErr w:type="spellEnd"/>
      <w:r w:rsidR="00D869A5" w:rsidRPr="0031706B">
        <w:rPr>
          <w:rFonts w:cstheme="minorHAnsi"/>
          <w:sz w:val="24"/>
        </w:rPr>
        <w:t xml:space="preserve"> of the energy supply, or reduction in energy demand or fuel switching by the public</w:t>
      </w:r>
      <w:r w:rsidR="00D25A01" w:rsidRPr="0031706B">
        <w:rPr>
          <w:rFonts w:cstheme="minorHAnsi"/>
          <w:sz w:val="24"/>
        </w:rPr>
        <w:t>,</w:t>
      </w:r>
      <w:r w:rsidR="00D869A5" w:rsidRPr="0031706B">
        <w:rPr>
          <w:rFonts w:cstheme="minorHAnsi"/>
          <w:sz w:val="24"/>
        </w:rPr>
        <w:t xml:space="preserve"> </w:t>
      </w:r>
      <w:r w:rsidRPr="0031706B">
        <w:rPr>
          <w:rFonts w:cstheme="minorHAnsi"/>
          <w:sz w:val="24"/>
        </w:rPr>
        <w:t xml:space="preserve">will require </w:t>
      </w:r>
      <w:r w:rsidR="00D869A5" w:rsidRPr="0031706B">
        <w:rPr>
          <w:rFonts w:cstheme="minorHAnsi"/>
          <w:sz w:val="24"/>
        </w:rPr>
        <w:t xml:space="preserve">significant </w:t>
      </w:r>
      <w:r w:rsidRPr="0031706B">
        <w:rPr>
          <w:rFonts w:cstheme="minorHAnsi"/>
          <w:sz w:val="24"/>
        </w:rPr>
        <w:t>public support due to the scale of change required (</w:t>
      </w:r>
      <w:proofErr w:type="spellStart"/>
      <w:r w:rsidRPr="0031706B">
        <w:rPr>
          <w:rFonts w:cstheme="minorHAnsi"/>
          <w:sz w:val="24"/>
        </w:rPr>
        <w:t>Whitmarsh</w:t>
      </w:r>
      <w:proofErr w:type="spellEnd"/>
      <w:r w:rsidR="00C40F32" w:rsidRPr="0031706B">
        <w:rPr>
          <w:rFonts w:cstheme="minorHAnsi"/>
          <w:sz w:val="24"/>
        </w:rPr>
        <w:t xml:space="preserve"> </w:t>
      </w:r>
      <w:r w:rsidR="00C40F32" w:rsidRPr="0031706B">
        <w:rPr>
          <w:rFonts w:cstheme="minorHAnsi"/>
          <w:i/>
          <w:sz w:val="24"/>
        </w:rPr>
        <w:t>et al.</w:t>
      </w:r>
      <w:r w:rsidR="00DE18B3" w:rsidRPr="0031706B">
        <w:rPr>
          <w:rFonts w:cstheme="minorHAnsi"/>
          <w:sz w:val="24"/>
        </w:rPr>
        <w:t>,</w:t>
      </w:r>
      <w:r w:rsidR="00DE18B3" w:rsidRPr="0031706B">
        <w:rPr>
          <w:rFonts w:cstheme="minorHAnsi"/>
          <w:sz w:val="20"/>
          <w:szCs w:val="20"/>
        </w:rPr>
        <w:t xml:space="preserve"> </w:t>
      </w:r>
      <w:r w:rsidRPr="0031706B">
        <w:rPr>
          <w:rFonts w:cstheme="minorHAnsi"/>
          <w:sz w:val="24"/>
        </w:rPr>
        <w:t xml:space="preserve">2011).  </w:t>
      </w:r>
    </w:p>
    <w:p w14:paraId="0833AFE5" w14:textId="77777777" w:rsidR="00DE18B3" w:rsidRPr="0031706B" w:rsidRDefault="00DE18B3" w:rsidP="00CA4C4E">
      <w:pPr>
        <w:spacing w:after="0" w:line="480" w:lineRule="auto"/>
        <w:rPr>
          <w:rFonts w:cstheme="minorHAnsi"/>
          <w:sz w:val="24"/>
        </w:rPr>
      </w:pPr>
    </w:p>
    <w:p w14:paraId="6B2D3F90" w14:textId="4FA15833" w:rsidR="009E343B" w:rsidRPr="0031706B" w:rsidRDefault="00887639" w:rsidP="00CA4C4E">
      <w:pPr>
        <w:spacing w:after="0" w:line="480" w:lineRule="auto"/>
        <w:rPr>
          <w:rFonts w:cstheme="minorHAnsi"/>
          <w:sz w:val="24"/>
        </w:rPr>
      </w:pPr>
      <w:r w:rsidRPr="0031706B">
        <w:rPr>
          <w:rFonts w:cstheme="minorHAnsi"/>
          <w:sz w:val="24"/>
        </w:rPr>
        <w:lastRenderedPageBreak/>
        <w:t xml:space="preserve">One of DECC’s public participation tools, the ‘My2050’ online simulation (DECC, 2011c), attracted over 10,000 responses between </w:t>
      </w:r>
      <w:r w:rsidR="00B74105" w:rsidRPr="0031706B">
        <w:rPr>
          <w:rFonts w:cstheme="minorHAnsi"/>
          <w:sz w:val="24"/>
        </w:rPr>
        <w:t xml:space="preserve">its launch in </w:t>
      </w:r>
      <w:r w:rsidR="00F4000A" w:rsidRPr="0031706B">
        <w:rPr>
          <w:rFonts w:cstheme="minorHAnsi"/>
          <w:sz w:val="24"/>
        </w:rPr>
        <w:t xml:space="preserve">early </w:t>
      </w:r>
      <w:r w:rsidRPr="0031706B">
        <w:rPr>
          <w:rFonts w:cstheme="minorHAnsi"/>
          <w:sz w:val="24"/>
        </w:rPr>
        <w:t xml:space="preserve">March and </w:t>
      </w:r>
      <w:r w:rsidR="00B74105" w:rsidRPr="0031706B">
        <w:rPr>
          <w:rFonts w:cstheme="minorHAnsi"/>
          <w:sz w:val="24"/>
        </w:rPr>
        <w:t xml:space="preserve">the </w:t>
      </w:r>
      <w:r w:rsidR="0097407D" w:rsidRPr="0031706B">
        <w:rPr>
          <w:rFonts w:cstheme="minorHAnsi"/>
          <w:sz w:val="24"/>
        </w:rPr>
        <w:t xml:space="preserve">end </w:t>
      </w:r>
      <w:r w:rsidR="00D04BCE" w:rsidRPr="0031706B">
        <w:rPr>
          <w:rFonts w:cstheme="minorHAnsi"/>
          <w:sz w:val="24"/>
        </w:rPr>
        <w:t xml:space="preserve">of </w:t>
      </w:r>
      <w:r w:rsidRPr="0031706B">
        <w:rPr>
          <w:rFonts w:cstheme="minorHAnsi"/>
          <w:sz w:val="24"/>
        </w:rPr>
        <w:t>Ju</w:t>
      </w:r>
      <w:r w:rsidR="0097407D" w:rsidRPr="0031706B">
        <w:rPr>
          <w:rFonts w:cstheme="minorHAnsi"/>
          <w:sz w:val="24"/>
        </w:rPr>
        <w:t>ne</w:t>
      </w:r>
      <w:r w:rsidRPr="0031706B">
        <w:rPr>
          <w:rFonts w:cstheme="minorHAnsi"/>
          <w:sz w:val="24"/>
        </w:rPr>
        <w:t xml:space="preserve"> 2011</w:t>
      </w:r>
      <w:r w:rsidR="00D869A5" w:rsidRPr="0031706B">
        <w:rPr>
          <w:rFonts w:cstheme="minorHAnsi"/>
          <w:sz w:val="24"/>
        </w:rPr>
        <w:t xml:space="preserve"> (the first </w:t>
      </w:r>
      <w:r w:rsidR="00C26BFE" w:rsidRPr="0031706B">
        <w:rPr>
          <w:rFonts w:cstheme="minorHAnsi"/>
          <w:sz w:val="24"/>
        </w:rPr>
        <w:t xml:space="preserve">four </w:t>
      </w:r>
      <w:r w:rsidR="00D869A5" w:rsidRPr="0031706B">
        <w:rPr>
          <w:rFonts w:cstheme="minorHAnsi"/>
          <w:sz w:val="24"/>
        </w:rPr>
        <w:t>months after it was launched)</w:t>
      </w:r>
      <w:r w:rsidRPr="0031706B">
        <w:rPr>
          <w:rFonts w:cstheme="minorHAnsi"/>
          <w:sz w:val="24"/>
        </w:rPr>
        <w:t>.</w:t>
      </w:r>
      <w:r w:rsidR="00D869A5" w:rsidRPr="0031706B">
        <w:rPr>
          <w:rFonts w:cstheme="minorHAnsi"/>
          <w:sz w:val="24"/>
        </w:rPr>
        <w:t xml:space="preserve">  </w:t>
      </w:r>
      <w:r w:rsidR="009D4892" w:rsidRPr="0031706B">
        <w:rPr>
          <w:rFonts w:cstheme="minorHAnsi"/>
          <w:sz w:val="24"/>
        </w:rPr>
        <w:t>This paper reports</w:t>
      </w:r>
      <w:r w:rsidR="00D869A5" w:rsidRPr="0031706B">
        <w:rPr>
          <w:rFonts w:cstheme="minorHAnsi"/>
          <w:sz w:val="24"/>
        </w:rPr>
        <w:t xml:space="preserve"> on a</w:t>
      </w:r>
      <w:r w:rsidR="00510852" w:rsidRPr="0031706B">
        <w:rPr>
          <w:rFonts w:cstheme="minorHAnsi"/>
          <w:sz w:val="24"/>
        </w:rPr>
        <w:t>n</w:t>
      </w:r>
      <w:r w:rsidR="00D869A5" w:rsidRPr="0031706B">
        <w:rPr>
          <w:rFonts w:cstheme="minorHAnsi"/>
          <w:sz w:val="24"/>
        </w:rPr>
        <w:t xml:space="preserve"> analysis undertaken of this first tranche of responses. </w:t>
      </w:r>
      <w:r w:rsidR="009E343B" w:rsidRPr="0031706B">
        <w:rPr>
          <w:rFonts w:cstheme="minorHAnsi"/>
          <w:sz w:val="24"/>
        </w:rPr>
        <w:t xml:space="preserve"> This is an exploratory study that has been carried out in order to test the possibilities for </w:t>
      </w:r>
      <w:proofErr w:type="spellStart"/>
      <w:r w:rsidR="009E343B" w:rsidRPr="0031706B">
        <w:rPr>
          <w:rFonts w:cstheme="minorHAnsi"/>
          <w:sz w:val="24"/>
        </w:rPr>
        <w:t>summarising</w:t>
      </w:r>
      <w:proofErr w:type="spellEnd"/>
      <w:r w:rsidR="009E343B" w:rsidRPr="0031706B">
        <w:rPr>
          <w:rFonts w:cstheme="minorHAnsi"/>
          <w:sz w:val="24"/>
        </w:rPr>
        <w:t xml:space="preserve"> data generated by the simulation, and to highlight where, for various reasons, caution will need to be taken in future use of the tool, or interpretation of its outputs. </w:t>
      </w:r>
    </w:p>
    <w:p w14:paraId="2295EF78" w14:textId="77777777" w:rsidR="009E343B" w:rsidRPr="0031706B" w:rsidRDefault="009E343B" w:rsidP="00CA4C4E">
      <w:pPr>
        <w:spacing w:after="0" w:line="480" w:lineRule="auto"/>
        <w:rPr>
          <w:rFonts w:cstheme="minorHAnsi"/>
          <w:sz w:val="24"/>
        </w:rPr>
      </w:pPr>
    </w:p>
    <w:p w14:paraId="649A1332" w14:textId="06007F62" w:rsidR="00887639" w:rsidRPr="0031706B" w:rsidRDefault="00887639" w:rsidP="00CA4C4E">
      <w:pPr>
        <w:spacing w:after="0" w:line="480" w:lineRule="auto"/>
        <w:rPr>
          <w:rFonts w:cstheme="minorHAnsi"/>
          <w:sz w:val="24"/>
        </w:rPr>
      </w:pPr>
      <w:r w:rsidRPr="0031706B">
        <w:rPr>
          <w:rFonts w:cstheme="minorHAnsi"/>
          <w:sz w:val="24"/>
        </w:rPr>
        <w:t>Policy analysts have considerable interest in understanding to what extent the options being pursued by DECC’s three scenarios align with public preferences, and would welcome information about where options clash with public acceptance or willingness to act</w:t>
      </w:r>
      <w:r w:rsidR="008D5A66" w:rsidRPr="0031706B">
        <w:rPr>
          <w:rStyle w:val="EndnoteReference"/>
          <w:rFonts w:cstheme="minorHAnsi"/>
          <w:sz w:val="24"/>
        </w:rPr>
        <w:endnoteReference w:id="1"/>
      </w:r>
      <w:r w:rsidRPr="0031706B">
        <w:rPr>
          <w:rFonts w:cstheme="minorHAnsi"/>
          <w:sz w:val="24"/>
        </w:rPr>
        <w:t xml:space="preserve">. </w:t>
      </w:r>
      <w:r w:rsidR="00A472BD" w:rsidRPr="0031706B">
        <w:rPr>
          <w:rFonts w:cstheme="minorHAnsi"/>
          <w:sz w:val="24"/>
        </w:rPr>
        <w:t xml:space="preserve">This research investigated the outcomes of the first wave of public engagement using the ‘My2050’ web-tool developed by DECC, by </w:t>
      </w:r>
      <w:proofErr w:type="spellStart"/>
      <w:r w:rsidR="00A472BD" w:rsidRPr="0031706B">
        <w:rPr>
          <w:rFonts w:cstheme="minorHAnsi"/>
          <w:sz w:val="24"/>
        </w:rPr>
        <w:t>scrutinising</w:t>
      </w:r>
      <w:proofErr w:type="spellEnd"/>
      <w:r w:rsidR="00A472BD" w:rsidRPr="0031706B">
        <w:rPr>
          <w:rFonts w:cstheme="minorHAnsi"/>
          <w:sz w:val="24"/>
        </w:rPr>
        <w:t xml:space="preserve"> the data for preference patterns and comparing these with DECC’s proposed scenarios as set out in the Carbon Plan (DECC, 2011a). The </w:t>
      </w:r>
      <w:r w:rsidR="00510852" w:rsidRPr="0031706B">
        <w:rPr>
          <w:rFonts w:cstheme="minorHAnsi"/>
          <w:sz w:val="24"/>
        </w:rPr>
        <w:t xml:space="preserve">comparison with DECC’s three preferred scenarios can provide some indications about how feasible each of these scenarios might be if implemented, if the self-selected respondents are sufficiently representative of the wider population. </w:t>
      </w:r>
      <w:r w:rsidR="007D63D5" w:rsidRPr="0031706B">
        <w:rPr>
          <w:rFonts w:cstheme="minorHAnsi"/>
          <w:sz w:val="24"/>
        </w:rPr>
        <w:t xml:space="preserve">In addition to questioning the </w:t>
      </w:r>
      <w:proofErr w:type="spellStart"/>
      <w:r w:rsidR="007D63D5" w:rsidRPr="0031706B">
        <w:rPr>
          <w:rFonts w:cstheme="minorHAnsi"/>
          <w:sz w:val="24"/>
        </w:rPr>
        <w:t>representivity</w:t>
      </w:r>
      <w:proofErr w:type="spellEnd"/>
      <w:r w:rsidR="007D63D5" w:rsidRPr="0031706B">
        <w:rPr>
          <w:rFonts w:cstheme="minorHAnsi"/>
          <w:sz w:val="24"/>
        </w:rPr>
        <w:t xml:space="preserve"> </w:t>
      </w:r>
      <w:r w:rsidR="003B36AC" w:rsidRPr="0031706B">
        <w:rPr>
          <w:rFonts w:cstheme="minorHAnsi"/>
          <w:sz w:val="24"/>
        </w:rPr>
        <w:t xml:space="preserve">of </w:t>
      </w:r>
      <w:r w:rsidR="007D63D5" w:rsidRPr="0031706B">
        <w:rPr>
          <w:rFonts w:cstheme="minorHAnsi"/>
          <w:sz w:val="24"/>
        </w:rPr>
        <w:t xml:space="preserve">respondents, the paper also discusses whether self-reporting in this format can be reliably considered to represent actual support for policy implementation, particularly </w:t>
      </w:r>
      <w:r w:rsidR="003E3F96" w:rsidRPr="0031706B">
        <w:rPr>
          <w:rFonts w:cstheme="minorHAnsi"/>
          <w:sz w:val="24"/>
        </w:rPr>
        <w:t xml:space="preserve">where there is a lack of clarity over who would be required to make the necessary changes. </w:t>
      </w:r>
      <w:r w:rsidRPr="0031706B">
        <w:rPr>
          <w:rFonts w:cstheme="minorHAnsi"/>
          <w:sz w:val="24"/>
        </w:rPr>
        <w:t xml:space="preserve">As planning for long-term carbon reduction grows as a policy </w:t>
      </w:r>
      <w:r w:rsidRPr="0031706B">
        <w:rPr>
          <w:rFonts w:cstheme="minorHAnsi"/>
          <w:sz w:val="24"/>
        </w:rPr>
        <w:lastRenderedPageBreak/>
        <w:t xml:space="preserve">area, </w:t>
      </w:r>
      <w:r w:rsidR="00BF6245" w:rsidRPr="0031706B">
        <w:rPr>
          <w:rFonts w:cstheme="minorHAnsi"/>
          <w:sz w:val="24"/>
        </w:rPr>
        <w:t>recommendations for improvements to</w:t>
      </w:r>
      <w:r w:rsidRPr="0031706B">
        <w:rPr>
          <w:rFonts w:cstheme="minorHAnsi"/>
          <w:sz w:val="24"/>
        </w:rPr>
        <w:t xml:space="preserve"> the ‘My2050’ simulation are sought to ensure public engagement aligns with good practice</w:t>
      </w:r>
      <w:r w:rsidR="00C20C75" w:rsidRPr="0031706B">
        <w:rPr>
          <w:rStyle w:val="EndnoteReference"/>
          <w:rFonts w:cstheme="minorHAnsi"/>
          <w:sz w:val="24"/>
        </w:rPr>
        <w:endnoteReference w:id="2"/>
      </w:r>
      <w:r w:rsidRPr="0031706B">
        <w:rPr>
          <w:rFonts w:cstheme="minorHAnsi"/>
          <w:sz w:val="24"/>
        </w:rPr>
        <w:t xml:space="preserve">. There is </w:t>
      </w:r>
      <w:r w:rsidR="00510852" w:rsidRPr="0031706B">
        <w:rPr>
          <w:rFonts w:cstheme="minorHAnsi"/>
          <w:sz w:val="24"/>
        </w:rPr>
        <w:t xml:space="preserve">also </w:t>
      </w:r>
      <w:r w:rsidRPr="0031706B">
        <w:rPr>
          <w:rFonts w:cstheme="minorHAnsi"/>
          <w:sz w:val="24"/>
        </w:rPr>
        <w:t>growing interest in adapting the UK’s 2050 carbon reduction public participation tools in other countries, including China</w:t>
      </w:r>
      <w:r w:rsidR="008D5A66" w:rsidRPr="0031706B">
        <w:rPr>
          <w:rStyle w:val="EndnoteReference"/>
          <w:rFonts w:cstheme="minorHAnsi"/>
          <w:sz w:val="24"/>
        </w:rPr>
        <w:endnoteReference w:id="3"/>
      </w:r>
      <w:r w:rsidRPr="0031706B">
        <w:rPr>
          <w:rFonts w:cstheme="minorHAnsi"/>
          <w:sz w:val="24"/>
        </w:rPr>
        <w:t xml:space="preserve"> . </w:t>
      </w:r>
      <w:r w:rsidR="003E3F96" w:rsidRPr="0031706B">
        <w:rPr>
          <w:rFonts w:cstheme="minorHAnsi"/>
          <w:sz w:val="24"/>
        </w:rPr>
        <w:t>However, this type of approach would require much more rigorous evaluation and re-design to become more that a very limited test of opinion.</w:t>
      </w:r>
      <w:r w:rsidR="009E343B" w:rsidRPr="0031706B">
        <w:rPr>
          <w:rFonts w:cstheme="minorHAnsi"/>
          <w:sz w:val="24"/>
        </w:rPr>
        <w:t xml:space="preserve">  Within the paper we also draw attention to some issues regarding the design and layout of the tool</w:t>
      </w:r>
      <w:r w:rsidR="002D0935" w:rsidRPr="0031706B">
        <w:rPr>
          <w:rFonts w:cstheme="minorHAnsi"/>
          <w:sz w:val="24"/>
        </w:rPr>
        <w:t xml:space="preserve"> that </w:t>
      </w:r>
      <w:r w:rsidR="009E343B" w:rsidRPr="0031706B">
        <w:rPr>
          <w:rFonts w:cstheme="minorHAnsi"/>
          <w:sz w:val="24"/>
        </w:rPr>
        <w:t>might inadvertently skew participants</w:t>
      </w:r>
      <w:r w:rsidR="00173342" w:rsidRPr="0031706B">
        <w:rPr>
          <w:rFonts w:cstheme="minorHAnsi"/>
          <w:sz w:val="24"/>
        </w:rPr>
        <w:t>’</w:t>
      </w:r>
      <w:r w:rsidR="009E343B" w:rsidRPr="0031706B">
        <w:rPr>
          <w:rFonts w:cstheme="minorHAnsi"/>
          <w:sz w:val="24"/>
        </w:rPr>
        <w:t xml:space="preserve"> responses and</w:t>
      </w:r>
      <w:r w:rsidR="00BF6245" w:rsidRPr="0031706B">
        <w:rPr>
          <w:rFonts w:cstheme="minorHAnsi"/>
          <w:sz w:val="24"/>
        </w:rPr>
        <w:t>,</w:t>
      </w:r>
      <w:r w:rsidR="009E343B" w:rsidRPr="0031706B">
        <w:rPr>
          <w:rFonts w:cstheme="minorHAnsi"/>
          <w:sz w:val="24"/>
        </w:rPr>
        <w:t xml:space="preserve"> considering the current popularity of ‘</w:t>
      </w:r>
      <w:proofErr w:type="spellStart"/>
      <w:r w:rsidR="00236979" w:rsidRPr="0031706B">
        <w:rPr>
          <w:rFonts w:cstheme="minorHAnsi"/>
          <w:sz w:val="24"/>
        </w:rPr>
        <w:t>behavioural</w:t>
      </w:r>
      <w:proofErr w:type="spellEnd"/>
      <w:r w:rsidR="00236979" w:rsidRPr="0031706B">
        <w:rPr>
          <w:rFonts w:cstheme="minorHAnsi"/>
          <w:sz w:val="24"/>
        </w:rPr>
        <w:t xml:space="preserve"> sciences’ </w:t>
      </w:r>
      <w:r w:rsidR="009E343B" w:rsidRPr="0031706B">
        <w:rPr>
          <w:rFonts w:cstheme="minorHAnsi"/>
          <w:sz w:val="24"/>
        </w:rPr>
        <w:t xml:space="preserve">within UK government (Chatterton and Wilson, 2013), might merit significant further testing. </w:t>
      </w:r>
    </w:p>
    <w:p w14:paraId="37E49D70" w14:textId="77777777" w:rsidR="00CD5DDA" w:rsidRPr="0031706B" w:rsidRDefault="00CD5DDA" w:rsidP="00CA4C4E">
      <w:pPr>
        <w:spacing w:after="0" w:line="480" w:lineRule="auto"/>
        <w:rPr>
          <w:rFonts w:cstheme="minorHAnsi"/>
          <w:sz w:val="24"/>
        </w:rPr>
      </w:pPr>
    </w:p>
    <w:p w14:paraId="306F09C3" w14:textId="3A4BE665" w:rsidR="00E44589" w:rsidRPr="0031706B" w:rsidRDefault="00E44589" w:rsidP="00F56E7B">
      <w:pPr>
        <w:pStyle w:val="ListParagraph"/>
        <w:numPr>
          <w:ilvl w:val="0"/>
          <w:numId w:val="30"/>
        </w:numPr>
        <w:spacing w:line="480" w:lineRule="auto"/>
        <w:rPr>
          <w:rFonts w:asciiTheme="minorHAnsi" w:hAnsiTheme="minorHAnsi" w:cstheme="minorHAnsi"/>
          <w:b/>
          <w:lang w:val="en-GB" w:eastAsia="en-GB"/>
        </w:rPr>
      </w:pPr>
      <w:r w:rsidRPr="0031706B">
        <w:rPr>
          <w:rFonts w:asciiTheme="minorHAnsi" w:hAnsiTheme="minorHAnsi" w:cstheme="minorHAnsi"/>
          <w:b/>
          <w:lang w:val="en-GB" w:eastAsia="en-GB"/>
        </w:rPr>
        <w:t>Background to DECC’s 2050 c</w:t>
      </w:r>
      <w:r w:rsidR="00887639" w:rsidRPr="0031706B">
        <w:rPr>
          <w:rFonts w:asciiTheme="minorHAnsi" w:hAnsiTheme="minorHAnsi" w:cstheme="minorHAnsi"/>
          <w:b/>
          <w:lang w:val="en-GB" w:eastAsia="en-GB"/>
        </w:rPr>
        <w:t xml:space="preserve">alculator and </w:t>
      </w:r>
      <w:r w:rsidRPr="0031706B">
        <w:rPr>
          <w:rFonts w:asciiTheme="minorHAnsi" w:hAnsiTheme="minorHAnsi" w:cstheme="minorHAnsi"/>
          <w:b/>
          <w:lang w:val="en-GB" w:eastAsia="en-GB"/>
        </w:rPr>
        <w:t>online simulation</w:t>
      </w:r>
      <w:r w:rsidR="00887639" w:rsidRPr="0031706B">
        <w:rPr>
          <w:rFonts w:asciiTheme="minorHAnsi" w:hAnsiTheme="minorHAnsi" w:cstheme="minorHAnsi"/>
          <w:b/>
          <w:lang w:val="en-GB" w:eastAsia="en-GB"/>
        </w:rPr>
        <w:t xml:space="preserve"> </w:t>
      </w:r>
    </w:p>
    <w:p w14:paraId="2ED64386" w14:textId="77777777" w:rsidR="00E44589" w:rsidRPr="0031706B" w:rsidRDefault="00887639" w:rsidP="00CA4C4E">
      <w:pPr>
        <w:spacing w:after="0" w:line="480" w:lineRule="auto"/>
        <w:rPr>
          <w:rFonts w:cstheme="minorHAnsi"/>
          <w:sz w:val="24"/>
        </w:rPr>
      </w:pPr>
      <w:r w:rsidRPr="0031706B">
        <w:rPr>
          <w:rFonts w:cstheme="minorHAnsi"/>
          <w:sz w:val="24"/>
        </w:rPr>
        <w:t xml:space="preserve">Following the </w:t>
      </w:r>
      <w:r w:rsidR="000F4E46" w:rsidRPr="0031706B">
        <w:rPr>
          <w:rFonts w:cstheme="minorHAnsi"/>
          <w:sz w:val="24"/>
        </w:rPr>
        <w:t>IPCC</w:t>
      </w:r>
      <w:r w:rsidRPr="0031706B">
        <w:rPr>
          <w:rFonts w:cstheme="minorHAnsi"/>
          <w:sz w:val="24"/>
        </w:rPr>
        <w:t xml:space="preserve"> and Stern report</w:t>
      </w:r>
      <w:r w:rsidR="000F4E46" w:rsidRPr="0031706B">
        <w:rPr>
          <w:rFonts w:cstheme="minorHAnsi"/>
          <w:sz w:val="24"/>
        </w:rPr>
        <w:t>s</w:t>
      </w:r>
      <w:r w:rsidRPr="0031706B">
        <w:rPr>
          <w:rFonts w:cstheme="minorHAnsi"/>
          <w:sz w:val="24"/>
        </w:rPr>
        <w:t>,</w:t>
      </w:r>
      <w:r w:rsidRPr="0031706B">
        <w:rPr>
          <w:rFonts w:cstheme="minorHAnsi"/>
          <w:color w:val="FF0000"/>
          <w:sz w:val="24"/>
        </w:rPr>
        <w:t xml:space="preserve"> </w:t>
      </w:r>
      <w:r w:rsidRPr="0031706B">
        <w:rPr>
          <w:rFonts w:cstheme="minorHAnsi"/>
          <w:sz w:val="24"/>
        </w:rPr>
        <w:t xml:space="preserve">in 2008 the UK became the first country to pass legislation for long-term greenhouse gas emissions reductions (HM Government, 2008a). The Climate Change Act 2008 requires an eighty percent reduction in greenhouse gas emissions by 2050 (against a 1990 baseline for carbon dioxide, nitrous oxide and methane, and a 1995 baseline for other greenhouse gases). This target was determined as a result of recommendations by the Committee on Climate Change (2008), </w:t>
      </w:r>
      <w:r w:rsidR="00510852" w:rsidRPr="0031706B">
        <w:rPr>
          <w:rFonts w:cstheme="minorHAnsi"/>
          <w:sz w:val="24"/>
        </w:rPr>
        <w:t xml:space="preserve">however </w:t>
      </w:r>
      <w:r w:rsidRPr="0031706B">
        <w:rPr>
          <w:rFonts w:cstheme="minorHAnsi"/>
          <w:sz w:val="24"/>
        </w:rPr>
        <w:t xml:space="preserve">some scientists argue that </w:t>
      </w:r>
      <w:r w:rsidR="00510852" w:rsidRPr="0031706B">
        <w:rPr>
          <w:rFonts w:cstheme="minorHAnsi"/>
          <w:sz w:val="24"/>
        </w:rPr>
        <w:t xml:space="preserve">even </w:t>
      </w:r>
      <w:r w:rsidRPr="0031706B">
        <w:rPr>
          <w:rFonts w:cstheme="minorHAnsi"/>
          <w:sz w:val="24"/>
        </w:rPr>
        <w:t xml:space="preserve">this is not ambitious enough to mitigate serious impacts (Hansen </w:t>
      </w:r>
      <w:r w:rsidRPr="0031706B">
        <w:rPr>
          <w:rFonts w:cstheme="minorHAnsi"/>
          <w:i/>
          <w:sz w:val="24"/>
        </w:rPr>
        <w:t>et al.,</w:t>
      </w:r>
      <w:r w:rsidRPr="0031706B">
        <w:rPr>
          <w:rFonts w:cstheme="minorHAnsi"/>
          <w:sz w:val="24"/>
        </w:rPr>
        <w:t xml:space="preserve"> 2008). </w:t>
      </w:r>
    </w:p>
    <w:p w14:paraId="6CE942AB" w14:textId="77777777" w:rsidR="002359B7" w:rsidRPr="0031706B" w:rsidRDefault="002359B7" w:rsidP="00CA4C4E">
      <w:pPr>
        <w:spacing w:after="0" w:line="480" w:lineRule="auto"/>
        <w:rPr>
          <w:rFonts w:cstheme="minorHAnsi"/>
          <w:b/>
          <w:sz w:val="24"/>
          <w:lang w:val="en-GB" w:eastAsia="en-GB"/>
        </w:rPr>
      </w:pPr>
    </w:p>
    <w:p w14:paraId="4BAF95E7" w14:textId="59CD1F95" w:rsidR="002359B7" w:rsidRPr="0031706B" w:rsidRDefault="002359B7" w:rsidP="00CA4C4E">
      <w:pPr>
        <w:spacing w:after="0" w:line="480" w:lineRule="auto"/>
        <w:rPr>
          <w:rFonts w:cstheme="minorHAnsi"/>
          <w:sz w:val="24"/>
        </w:rPr>
      </w:pPr>
      <w:r w:rsidRPr="0031706B">
        <w:rPr>
          <w:rFonts w:cstheme="minorHAnsi"/>
          <w:sz w:val="24"/>
        </w:rPr>
        <w:t>There is a growing body of literature emerging from business, industry</w:t>
      </w:r>
      <w:r w:rsidR="00074078" w:rsidRPr="0031706B">
        <w:rPr>
          <w:rFonts w:cstheme="minorHAnsi"/>
          <w:sz w:val="24"/>
        </w:rPr>
        <w:t xml:space="preserve">, </w:t>
      </w:r>
      <w:r w:rsidRPr="0031706B">
        <w:rPr>
          <w:rFonts w:cstheme="minorHAnsi"/>
          <w:sz w:val="24"/>
        </w:rPr>
        <w:t xml:space="preserve">academia </w:t>
      </w:r>
      <w:r w:rsidR="00074078" w:rsidRPr="0031706B">
        <w:rPr>
          <w:rFonts w:cstheme="minorHAnsi"/>
          <w:sz w:val="24"/>
        </w:rPr>
        <w:t xml:space="preserve">and the NGO sector </w:t>
      </w:r>
      <w:r w:rsidRPr="0031706B">
        <w:rPr>
          <w:rFonts w:cstheme="minorHAnsi"/>
          <w:sz w:val="24"/>
        </w:rPr>
        <w:t>setting out road maps and exploring options for how to achieve the targets in the Climate Change Act (</w:t>
      </w:r>
      <w:r w:rsidR="00EF785E" w:rsidRPr="0031706B">
        <w:rPr>
          <w:rFonts w:cstheme="minorHAnsi"/>
          <w:sz w:val="24"/>
        </w:rPr>
        <w:t xml:space="preserve">Centre for </w:t>
      </w:r>
      <w:r w:rsidR="00EF785E" w:rsidRPr="0031706B">
        <w:rPr>
          <w:rFonts w:cstheme="minorHAnsi"/>
          <w:sz w:val="24"/>
        </w:rPr>
        <w:lastRenderedPageBreak/>
        <w:t xml:space="preserve">Alternative Technology, 2010; </w:t>
      </w:r>
      <w:proofErr w:type="spellStart"/>
      <w:r w:rsidRPr="0031706B">
        <w:rPr>
          <w:rFonts w:cstheme="minorHAnsi"/>
          <w:sz w:val="24"/>
        </w:rPr>
        <w:t>Ekins</w:t>
      </w:r>
      <w:proofErr w:type="spellEnd"/>
      <w:r w:rsidRPr="0031706B">
        <w:rPr>
          <w:rFonts w:cstheme="minorHAnsi"/>
          <w:sz w:val="24"/>
        </w:rPr>
        <w:t xml:space="preserve">, </w:t>
      </w:r>
      <w:r w:rsidR="00C40F32" w:rsidRPr="0031706B">
        <w:rPr>
          <w:rFonts w:cstheme="minorHAnsi"/>
          <w:i/>
          <w:sz w:val="24"/>
        </w:rPr>
        <w:t>et al.</w:t>
      </w:r>
      <w:r w:rsidRPr="0031706B">
        <w:rPr>
          <w:rFonts w:cstheme="minorHAnsi"/>
          <w:i/>
          <w:sz w:val="24"/>
        </w:rPr>
        <w:t xml:space="preserve"> </w:t>
      </w:r>
      <w:r w:rsidRPr="0031706B">
        <w:rPr>
          <w:rFonts w:cstheme="minorHAnsi"/>
          <w:sz w:val="24"/>
        </w:rPr>
        <w:t xml:space="preserve">2011; </w:t>
      </w:r>
      <w:proofErr w:type="spellStart"/>
      <w:r w:rsidRPr="0031706B">
        <w:rPr>
          <w:rFonts w:cstheme="minorHAnsi"/>
          <w:sz w:val="24"/>
        </w:rPr>
        <w:t>Jamasb</w:t>
      </w:r>
      <w:proofErr w:type="spellEnd"/>
      <w:r w:rsidRPr="0031706B">
        <w:rPr>
          <w:rFonts w:cstheme="minorHAnsi"/>
          <w:sz w:val="24"/>
        </w:rPr>
        <w:t xml:space="preserve"> and Pollitt, 2011; Nicholson, 2011; </w:t>
      </w:r>
      <w:proofErr w:type="spellStart"/>
      <w:r w:rsidRPr="0031706B">
        <w:rPr>
          <w:rFonts w:cstheme="minorHAnsi"/>
          <w:sz w:val="24"/>
        </w:rPr>
        <w:t>Skea</w:t>
      </w:r>
      <w:proofErr w:type="spellEnd"/>
      <w:r w:rsidR="00C40F32" w:rsidRPr="0031706B">
        <w:rPr>
          <w:rFonts w:cstheme="minorHAnsi"/>
          <w:sz w:val="24"/>
        </w:rPr>
        <w:t xml:space="preserve"> </w:t>
      </w:r>
      <w:r w:rsidR="00C40F32" w:rsidRPr="0031706B">
        <w:rPr>
          <w:rFonts w:cstheme="minorHAnsi"/>
          <w:i/>
          <w:sz w:val="24"/>
        </w:rPr>
        <w:t>et al.</w:t>
      </w:r>
      <w:r w:rsidR="00DE18B3" w:rsidRPr="0031706B">
        <w:rPr>
          <w:rFonts w:cstheme="minorHAnsi"/>
          <w:sz w:val="24"/>
        </w:rPr>
        <w:t>,</w:t>
      </w:r>
      <w:r w:rsidRPr="0031706B">
        <w:rPr>
          <w:rFonts w:cstheme="minorHAnsi"/>
          <w:i/>
          <w:sz w:val="24"/>
        </w:rPr>
        <w:t xml:space="preserve"> </w:t>
      </w:r>
      <w:r w:rsidRPr="0031706B">
        <w:rPr>
          <w:rFonts w:cstheme="minorHAnsi"/>
          <w:sz w:val="24"/>
        </w:rPr>
        <w:t xml:space="preserve">2011; Williams </w:t>
      </w:r>
      <w:r w:rsidRPr="0031706B">
        <w:rPr>
          <w:rFonts w:cstheme="minorHAnsi"/>
          <w:i/>
          <w:sz w:val="24"/>
        </w:rPr>
        <w:t>et al.,</w:t>
      </w:r>
      <w:r w:rsidRPr="0031706B">
        <w:rPr>
          <w:rFonts w:cstheme="minorHAnsi"/>
          <w:sz w:val="24"/>
        </w:rPr>
        <w:t xml:space="preserve"> 2012</w:t>
      </w:r>
      <w:r w:rsidR="0032744B" w:rsidRPr="0031706B">
        <w:rPr>
          <w:rFonts w:cstheme="minorHAnsi"/>
          <w:sz w:val="24"/>
        </w:rPr>
        <w:t>; WWF, IPPR and RSPB, 2007</w:t>
      </w:r>
      <w:r w:rsidRPr="0031706B">
        <w:rPr>
          <w:rFonts w:cstheme="minorHAnsi"/>
          <w:sz w:val="24"/>
        </w:rPr>
        <w:t xml:space="preserve">). Systematic assessments for long-term policy analysis are challenging due to the complexity of planning across timeframes where many </w:t>
      </w:r>
      <w:r w:rsidR="00DE36AF" w:rsidRPr="0031706B">
        <w:rPr>
          <w:rFonts w:cstheme="minorHAnsi"/>
          <w:sz w:val="24"/>
        </w:rPr>
        <w:t>factors remain unknown (</w:t>
      </w:r>
      <w:proofErr w:type="spellStart"/>
      <w:r w:rsidR="00DE36AF" w:rsidRPr="0031706B">
        <w:rPr>
          <w:rFonts w:cstheme="minorHAnsi"/>
          <w:sz w:val="24"/>
        </w:rPr>
        <w:t>Lempert</w:t>
      </w:r>
      <w:proofErr w:type="spellEnd"/>
      <w:r w:rsidR="00C40F32" w:rsidRPr="0031706B">
        <w:rPr>
          <w:rFonts w:cstheme="minorHAnsi"/>
          <w:sz w:val="24"/>
        </w:rPr>
        <w:t xml:space="preserve"> </w:t>
      </w:r>
      <w:r w:rsidR="00C40F32" w:rsidRPr="0031706B">
        <w:rPr>
          <w:rFonts w:cstheme="minorHAnsi"/>
          <w:i/>
          <w:sz w:val="24"/>
        </w:rPr>
        <w:t>et al.</w:t>
      </w:r>
      <w:r w:rsidR="00A319D1" w:rsidRPr="0031706B">
        <w:rPr>
          <w:rFonts w:cstheme="minorHAnsi"/>
          <w:sz w:val="24"/>
        </w:rPr>
        <w:t xml:space="preserve">, </w:t>
      </w:r>
      <w:r w:rsidRPr="0031706B">
        <w:rPr>
          <w:rFonts w:cstheme="minorHAnsi"/>
          <w:sz w:val="24"/>
        </w:rPr>
        <w:t>2003). Most scenario studies examine the impact of different policy measures</w:t>
      </w:r>
      <w:r w:rsidR="00BF6245" w:rsidRPr="0031706B">
        <w:rPr>
          <w:rFonts w:cstheme="minorHAnsi"/>
          <w:sz w:val="24"/>
        </w:rPr>
        <w:t xml:space="preserve"> on technological </w:t>
      </w:r>
      <w:proofErr w:type="gramStart"/>
      <w:r w:rsidR="00BF6245" w:rsidRPr="0031706B">
        <w:rPr>
          <w:rFonts w:cstheme="minorHAnsi"/>
          <w:sz w:val="24"/>
        </w:rPr>
        <w:t xml:space="preserve">uptake </w:t>
      </w:r>
      <w:r w:rsidRPr="0031706B">
        <w:rPr>
          <w:rFonts w:cstheme="minorHAnsi"/>
          <w:sz w:val="24"/>
        </w:rPr>
        <w:t>,</w:t>
      </w:r>
      <w:proofErr w:type="gramEnd"/>
      <w:r w:rsidRPr="0031706B">
        <w:rPr>
          <w:rFonts w:cstheme="minorHAnsi"/>
          <w:sz w:val="24"/>
        </w:rPr>
        <w:t xml:space="preserve"> although emerging research highlights the significant role institutional </w:t>
      </w:r>
      <w:r w:rsidR="00BF6245" w:rsidRPr="0031706B">
        <w:rPr>
          <w:rFonts w:cstheme="minorHAnsi"/>
          <w:sz w:val="24"/>
        </w:rPr>
        <w:t xml:space="preserve">and </w:t>
      </w:r>
      <w:proofErr w:type="spellStart"/>
      <w:r w:rsidR="00BF6245" w:rsidRPr="0031706B">
        <w:rPr>
          <w:rFonts w:cstheme="minorHAnsi"/>
          <w:sz w:val="24"/>
        </w:rPr>
        <w:t>behavioural</w:t>
      </w:r>
      <w:proofErr w:type="spellEnd"/>
      <w:r w:rsidR="00BF6245" w:rsidRPr="0031706B">
        <w:rPr>
          <w:rFonts w:cstheme="minorHAnsi"/>
          <w:sz w:val="24"/>
        </w:rPr>
        <w:t xml:space="preserve"> </w:t>
      </w:r>
      <w:r w:rsidRPr="0031706B">
        <w:rPr>
          <w:rFonts w:cstheme="minorHAnsi"/>
          <w:sz w:val="24"/>
        </w:rPr>
        <w:t>change will also have to play in achieving a low carbon energy future</w:t>
      </w:r>
      <w:r w:rsidR="00BF6245" w:rsidRPr="0031706B">
        <w:rPr>
          <w:rFonts w:cstheme="minorHAnsi"/>
          <w:sz w:val="24"/>
        </w:rPr>
        <w:t xml:space="preserve">.  This suggests </w:t>
      </w:r>
      <w:r w:rsidRPr="0031706B">
        <w:rPr>
          <w:rFonts w:cstheme="minorHAnsi"/>
          <w:sz w:val="24"/>
        </w:rPr>
        <w:t xml:space="preserve">that scenario building </w:t>
      </w:r>
      <w:r w:rsidR="00883B45" w:rsidRPr="0031706B">
        <w:rPr>
          <w:rFonts w:cstheme="minorHAnsi"/>
          <w:sz w:val="24"/>
        </w:rPr>
        <w:t xml:space="preserve">would be strengthened if it </w:t>
      </w:r>
      <w:r w:rsidRPr="0031706B">
        <w:rPr>
          <w:rFonts w:cstheme="minorHAnsi"/>
          <w:sz w:val="24"/>
        </w:rPr>
        <w:t>integrat</w:t>
      </w:r>
      <w:r w:rsidR="00883B45" w:rsidRPr="0031706B">
        <w:rPr>
          <w:rFonts w:cstheme="minorHAnsi"/>
          <w:sz w:val="24"/>
        </w:rPr>
        <w:t>es</w:t>
      </w:r>
      <w:r w:rsidRPr="0031706B">
        <w:rPr>
          <w:rFonts w:cstheme="minorHAnsi"/>
          <w:sz w:val="24"/>
        </w:rPr>
        <w:t xml:space="preserve"> qualitative and quantitative methods (</w:t>
      </w:r>
      <w:proofErr w:type="spellStart"/>
      <w:r w:rsidRPr="0031706B">
        <w:rPr>
          <w:rFonts w:cstheme="minorHAnsi"/>
          <w:sz w:val="24"/>
        </w:rPr>
        <w:t>Söderholm</w:t>
      </w:r>
      <w:proofErr w:type="spellEnd"/>
      <w:r w:rsidRPr="0031706B">
        <w:rPr>
          <w:rFonts w:cstheme="minorHAnsi"/>
          <w:i/>
          <w:sz w:val="24"/>
        </w:rPr>
        <w:t xml:space="preserve"> et al.,</w:t>
      </w:r>
      <w:r w:rsidRPr="0031706B">
        <w:rPr>
          <w:rFonts w:cstheme="minorHAnsi"/>
          <w:sz w:val="24"/>
        </w:rPr>
        <w:t xml:space="preserve"> 2011). Policy decisions will need to be made in the near future about preferred low carbon scenarios for energy and transport supply and demand options, particularly for infrastructure investment, if the targets in the Climate Change Act are to be achieved (</w:t>
      </w:r>
      <w:proofErr w:type="spellStart"/>
      <w:r w:rsidR="00DE36AF" w:rsidRPr="0031706B">
        <w:rPr>
          <w:rFonts w:cstheme="minorHAnsi"/>
          <w:sz w:val="24"/>
        </w:rPr>
        <w:t>Skea</w:t>
      </w:r>
      <w:proofErr w:type="spellEnd"/>
      <w:r w:rsidR="00DE36AF" w:rsidRPr="0031706B">
        <w:rPr>
          <w:rFonts w:cstheme="minorHAnsi"/>
          <w:sz w:val="24"/>
        </w:rPr>
        <w:t xml:space="preserve"> </w:t>
      </w:r>
      <w:r w:rsidR="00C40F32" w:rsidRPr="0031706B">
        <w:rPr>
          <w:rFonts w:cstheme="minorHAnsi"/>
          <w:i/>
          <w:sz w:val="24"/>
        </w:rPr>
        <w:t>et al.</w:t>
      </w:r>
      <w:r w:rsidR="0095060D" w:rsidRPr="0031706B">
        <w:rPr>
          <w:rFonts w:cstheme="minorHAnsi"/>
          <w:sz w:val="24"/>
        </w:rPr>
        <w:t>,</w:t>
      </w:r>
      <w:r w:rsidR="0095060D" w:rsidRPr="0031706B">
        <w:rPr>
          <w:rFonts w:cstheme="minorHAnsi"/>
          <w:i/>
          <w:sz w:val="24"/>
        </w:rPr>
        <w:t xml:space="preserve"> </w:t>
      </w:r>
      <w:r w:rsidRPr="0031706B">
        <w:rPr>
          <w:rFonts w:cstheme="minorHAnsi"/>
          <w:sz w:val="24"/>
        </w:rPr>
        <w:t xml:space="preserve">2011). </w:t>
      </w:r>
    </w:p>
    <w:p w14:paraId="2A169B75" w14:textId="77777777" w:rsidR="00E44589" w:rsidRPr="0031706B" w:rsidRDefault="00E44589" w:rsidP="00CA4C4E">
      <w:pPr>
        <w:spacing w:after="0" w:line="480" w:lineRule="auto"/>
        <w:rPr>
          <w:rFonts w:cstheme="minorHAnsi"/>
          <w:b/>
          <w:sz w:val="24"/>
          <w:lang w:val="en-GB" w:eastAsia="en-GB"/>
        </w:rPr>
      </w:pPr>
    </w:p>
    <w:p w14:paraId="4056977E" w14:textId="459CE8FA" w:rsidR="00887639" w:rsidRPr="0031706B" w:rsidRDefault="00510852" w:rsidP="00CA4C4E">
      <w:pPr>
        <w:spacing w:after="0" w:line="480" w:lineRule="auto"/>
        <w:rPr>
          <w:rFonts w:cstheme="minorHAnsi"/>
          <w:b/>
          <w:sz w:val="24"/>
          <w:lang w:val="en-GB" w:eastAsia="en-GB"/>
        </w:rPr>
      </w:pPr>
      <w:r w:rsidRPr="0031706B">
        <w:rPr>
          <w:rFonts w:cstheme="minorHAnsi"/>
          <w:sz w:val="24"/>
        </w:rPr>
        <w:t>Prior to becoming Chief Scientific Advis</w:t>
      </w:r>
      <w:r w:rsidR="006C6731" w:rsidRPr="0031706B">
        <w:rPr>
          <w:rFonts w:cstheme="minorHAnsi"/>
          <w:sz w:val="24"/>
        </w:rPr>
        <w:t>e</w:t>
      </w:r>
      <w:r w:rsidRPr="0031706B">
        <w:rPr>
          <w:rFonts w:cstheme="minorHAnsi"/>
          <w:sz w:val="24"/>
        </w:rPr>
        <w:t>r at DECC, MacKay</w:t>
      </w:r>
      <w:r w:rsidR="00887639" w:rsidRPr="0031706B">
        <w:rPr>
          <w:rFonts w:cstheme="minorHAnsi"/>
          <w:sz w:val="24"/>
        </w:rPr>
        <w:t xml:space="preserve"> published several possible scenarios with associated emissions reduction calculations (MacKay, 2009). DECC subsequently published six </w:t>
      </w:r>
      <w:r w:rsidR="00C40F32" w:rsidRPr="0031706B">
        <w:rPr>
          <w:rFonts w:cstheme="minorHAnsi"/>
          <w:sz w:val="24"/>
        </w:rPr>
        <w:t xml:space="preserve">illustrative </w:t>
      </w:r>
      <w:r w:rsidR="00887639" w:rsidRPr="0031706B">
        <w:rPr>
          <w:rFonts w:cstheme="minorHAnsi"/>
          <w:sz w:val="24"/>
        </w:rPr>
        <w:t>‘pathways’ outlining possible whole energy system change scenarios</w:t>
      </w:r>
      <w:r w:rsidR="006C6731" w:rsidRPr="0031706B">
        <w:rPr>
          <w:rFonts w:cstheme="minorHAnsi"/>
          <w:sz w:val="24"/>
        </w:rPr>
        <w:t xml:space="preserve"> </w:t>
      </w:r>
      <w:r w:rsidR="00887639" w:rsidRPr="0031706B">
        <w:rPr>
          <w:rFonts w:cstheme="minorHAnsi"/>
          <w:sz w:val="24"/>
        </w:rPr>
        <w:t xml:space="preserve">(HM Government, 2010). DECC has encouraged public engagement </w:t>
      </w:r>
      <w:r w:rsidR="00C40F32" w:rsidRPr="0031706B">
        <w:rPr>
          <w:rFonts w:cstheme="minorHAnsi"/>
          <w:sz w:val="24"/>
        </w:rPr>
        <w:t xml:space="preserve">and debate </w:t>
      </w:r>
      <w:r w:rsidR="006C6731" w:rsidRPr="0031706B">
        <w:rPr>
          <w:rFonts w:cstheme="minorHAnsi"/>
          <w:sz w:val="24"/>
        </w:rPr>
        <w:t xml:space="preserve">by </w:t>
      </w:r>
      <w:r w:rsidRPr="0031706B">
        <w:rPr>
          <w:rFonts w:cstheme="minorHAnsi"/>
          <w:sz w:val="24"/>
        </w:rPr>
        <w:t xml:space="preserve">developing </w:t>
      </w:r>
      <w:r w:rsidR="00E055F2" w:rsidRPr="0031706B">
        <w:rPr>
          <w:rFonts w:cstheme="minorHAnsi"/>
          <w:sz w:val="24"/>
        </w:rPr>
        <w:t>tools which</w:t>
      </w:r>
      <w:r w:rsidRPr="0031706B">
        <w:rPr>
          <w:rFonts w:cstheme="minorHAnsi"/>
          <w:sz w:val="24"/>
        </w:rPr>
        <w:t xml:space="preserve"> </w:t>
      </w:r>
      <w:r w:rsidR="00D8499A" w:rsidRPr="0031706B">
        <w:rPr>
          <w:rFonts w:cstheme="minorHAnsi"/>
          <w:sz w:val="24"/>
        </w:rPr>
        <w:t xml:space="preserve">enable </w:t>
      </w:r>
      <w:r w:rsidRPr="0031706B">
        <w:rPr>
          <w:rFonts w:cstheme="minorHAnsi"/>
          <w:sz w:val="24"/>
        </w:rPr>
        <w:t>the creation of</w:t>
      </w:r>
      <w:r w:rsidR="00887639" w:rsidRPr="0031706B">
        <w:rPr>
          <w:rFonts w:cstheme="minorHAnsi"/>
          <w:sz w:val="24"/>
        </w:rPr>
        <w:t xml:space="preserve"> new scenarios, facilitated by online and offline </w:t>
      </w:r>
      <w:r w:rsidR="00BF6245" w:rsidRPr="0031706B">
        <w:rPr>
          <w:rFonts w:cstheme="minorHAnsi"/>
          <w:sz w:val="24"/>
        </w:rPr>
        <w:t>versions of a ‘2050 Pathways C</w:t>
      </w:r>
      <w:r w:rsidR="00887639" w:rsidRPr="0031706B">
        <w:rPr>
          <w:rFonts w:cstheme="minorHAnsi"/>
          <w:sz w:val="24"/>
        </w:rPr>
        <w:t>alculator</w:t>
      </w:r>
      <w:r w:rsidR="00BF6245" w:rsidRPr="0031706B">
        <w:rPr>
          <w:rFonts w:cstheme="minorHAnsi"/>
          <w:sz w:val="24"/>
        </w:rPr>
        <w:t>’</w:t>
      </w:r>
      <w:r w:rsidR="00887639" w:rsidRPr="0031706B">
        <w:rPr>
          <w:rFonts w:cstheme="minorHAnsi"/>
          <w:sz w:val="24"/>
        </w:rPr>
        <w:t xml:space="preserve"> (DECC, 2010), a simplified web-based simulation called ‘My2050’ (DECC, 2011c)</w:t>
      </w:r>
      <w:r w:rsidR="00BF6245" w:rsidRPr="0031706B">
        <w:rPr>
          <w:rFonts w:cstheme="minorHAnsi"/>
          <w:sz w:val="24"/>
        </w:rPr>
        <w:t xml:space="preserve"> designed for wider public engagement (and which has provided the data in this </w:t>
      </w:r>
      <w:r w:rsidR="00BF6245" w:rsidRPr="0031706B">
        <w:rPr>
          <w:rFonts w:cstheme="minorHAnsi"/>
          <w:sz w:val="24"/>
        </w:rPr>
        <w:lastRenderedPageBreak/>
        <w:t>study)</w:t>
      </w:r>
      <w:r w:rsidR="00887639" w:rsidRPr="0031706B">
        <w:rPr>
          <w:rFonts w:cstheme="minorHAnsi"/>
          <w:sz w:val="24"/>
        </w:rPr>
        <w:t xml:space="preserve">, an online debate initiated by a panel of experts, and a toolkit to enable local community participation (DECC, 2011d).  </w:t>
      </w:r>
    </w:p>
    <w:p w14:paraId="54FE9B42" w14:textId="77777777" w:rsidR="00E44589" w:rsidRPr="0031706B" w:rsidRDefault="00E44589" w:rsidP="00CA4C4E">
      <w:pPr>
        <w:spacing w:after="0" w:line="480" w:lineRule="auto"/>
        <w:rPr>
          <w:rFonts w:cstheme="minorHAnsi"/>
          <w:sz w:val="24"/>
        </w:rPr>
      </w:pPr>
    </w:p>
    <w:p w14:paraId="46970EB0" w14:textId="627889ED" w:rsidR="00BE6A13" w:rsidRPr="0031706B" w:rsidRDefault="001177D1" w:rsidP="00CA4C4E">
      <w:pPr>
        <w:spacing w:after="0" w:line="480" w:lineRule="auto"/>
        <w:rPr>
          <w:rFonts w:cstheme="minorHAnsi"/>
          <w:sz w:val="24"/>
        </w:rPr>
      </w:pPr>
      <w:r w:rsidRPr="0031706B">
        <w:rPr>
          <w:rFonts w:cstheme="minorHAnsi"/>
          <w:sz w:val="24"/>
        </w:rPr>
        <w:t xml:space="preserve">Fulfilling legal requirements for the Climate Change Act, DECC subsequently published The Carbon Plan (DECC, 2011a), which described three </w:t>
      </w:r>
      <w:r w:rsidR="00C40F32" w:rsidRPr="0031706B">
        <w:rPr>
          <w:rFonts w:cstheme="minorHAnsi"/>
          <w:sz w:val="24"/>
        </w:rPr>
        <w:t xml:space="preserve">possible </w:t>
      </w:r>
      <w:r w:rsidRPr="0031706B">
        <w:rPr>
          <w:rFonts w:cstheme="minorHAnsi"/>
          <w:sz w:val="24"/>
        </w:rPr>
        <w:t xml:space="preserve">scenarios </w:t>
      </w:r>
      <w:r w:rsidR="00C40F32" w:rsidRPr="0031706B">
        <w:rPr>
          <w:rFonts w:cstheme="minorHAnsi"/>
          <w:sz w:val="24"/>
        </w:rPr>
        <w:t>for</w:t>
      </w:r>
      <w:r w:rsidRPr="0031706B">
        <w:rPr>
          <w:rFonts w:cstheme="minorHAnsi"/>
          <w:sz w:val="24"/>
        </w:rPr>
        <w:t xml:space="preserve"> </w:t>
      </w:r>
      <w:r w:rsidR="00C40F32" w:rsidRPr="0031706B">
        <w:rPr>
          <w:rFonts w:cstheme="minorHAnsi"/>
          <w:sz w:val="24"/>
        </w:rPr>
        <w:t xml:space="preserve">achieving </w:t>
      </w:r>
      <w:r w:rsidRPr="0031706B">
        <w:rPr>
          <w:rFonts w:cstheme="minorHAnsi"/>
          <w:sz w:val="24"/>
        </w:rPr>
        <w:t>the 2050 carbon reduction targets</w:t>
      </w:r>
      <w:r w:rsidR="008C12C9" w:rsidRPr="0031706B">
        <w:rPr>
          <w:rFonts w:cstheme="minorHAnsi"/>
          <w:sz w:val="24"/>
        </w:rPr>
        <w:t>,</w:t>
      </w:r>
      <w:r w:rsidR="00510852" w:rsidRPr="0031706B">
        <w:rPr>
          <w:rFonts w:cstheme="minorHAnsi"/>
          <w:sz w:val="24"/>
        </w:rPr>
        <w:t xml:space="preserve"> and</w:t>
      </w:r>
      <w:r w:rsidRPr="0031706B">
        <w:rPr>
          <w:rFonts w:cstheme="minorHAnsi"/>
          <w:sz w:val="24"/>
        </w:rPr>
        <w:t xml:space="preserve"> illustrated </w:t>
      </w:r>
      <w:r w:rsidR="00C40F32" w:rsidRPr="0031706B">
        <w:rPr>
          <w:rFonts w:cstheme="minorHAnsi"/>
          <w:sz w:val="24"/>
        </w:rPr>
        <w:t xml:space="preserve">them </w:t>
      </w:r>
      <w:r w:rsidR="00510852" w:rsidRPr="0031706B">
        <w:rPr>
          <w:rFonts w:cstheme="minorHAnsi"/>
          <w:sz w:val="24"/>
        </w:rPr>
        <w:t>using</w:t>
      </w:r>
      <w:r w:rsidRPr="0031706B">
        <w:rPr>
          <w:rFonts w:cstheme="minorHAnsi"/>
          <w:sz w:val="24"/>
        </w:rPr>
        <w:t xml:space="preserve"> the DECC calculator. </w:t>
      </w:r>
      <w:r w:rsidR="00A2009B" w:rsidRPr="0031706B">
        <w:rPr>
          <w:rFonts w:cstheme="minorHAnsi"/>
          <w:sz w:val="24"/>
        </w:rPr>
        <w:t xml:space="preserve">These scenarios show possible pathways, but </w:t>
      </w:r>
      <w:r w:rsidR="00C40F32" w:rsidRPr="0031706B">
        <w:rPr>
          <w:rFonts w:cstheme="minorHAnsi"/>
          <w:sz w:val="24"/>
        </w:rPr>
        <w:t xml:space="preserve">they </w:t>
      </w:r>
      <w:r w:rsidR="00A2009B" w:rsidRPr="0031706B">
        <w:rPr>
          <w:rFonts w:cstheme="minorHAnsi"/>
          <w:sz w:val="24"/>
        </w:rPr>
        <w:t xml:space="preserve">are not yet actual policy choices or recommendations by DECC, since the political decision-making process to select a preferred pathway is ongoing. </w:t>
      </w:r>
      <w:r w:rsidRPr="0031706B">
        <w:rPr>
          <w:rFonts w:cstheme="minorHAnsi"/>
          <w:sz w:val="24"/>
        </w:rPr>
        <w:t xml:space="preserve">At the same time, DECC </w:t>
      </w:r>
      <w:r w:rsidR="00C40F32" w:rsidRPr="0031706B">
        <w:rPr>
          <w:rFonts w:cstheme="minorHAnsi"/>
          <w:sz w:val="24"/>
        </w:rPr>
        <w:t xml:space="preserve">also </w:t>
      </w:r>
      <w:r w:rsidRPr="0031706B">
        <w:rPr>
          <w:rFonts w:cstheme="minorHAnsi"/>
          <w:sz w:val="24"/>
        </w:rPr>
        <w:t>published a detailed spreadsheet setting out cost ranges, land use implications and other technical data associated with choices available in the 2050 calculator (DECC, 2011b).</w:t>
      </w:r>
    </w:p>
    <w:p w14:paraId="2C1B5C5E" w14:textId="77777777" w:rsidR="00BE6A13" w:rsidRPr="0031706B" w:rsidRDefault="00BE6A13" w:rsidP="00CA4C4E">
      <w:pPr>
        <w:spacing w:after="0" w:line="480" w:lineRule="auto"/>
        <w:rPr>
          <w:rFonts w:cstheme="minorHAnsi"/>
          <w:sz w:val="24"/>
        </w:rPr>
      </w:pPr>
    </w:p>
    <w:p w14:paraId="30B3413D" w14:textId="0C4E76FE" w:rsidR="00BE6A13" w:rsidRPr="0031706B" w:rsidRDefault="00BE6A13" w:rsidP="00CA4C4E">
      <w:pPr>
        <w:spacing w:after="0" w:line="480" w:lineRule="auto"/>
        <w:rPr>
          <w:rFonts w:cstheme="minorHAnsi"/>
          <w:sz w:val="24"/>
        </w:rPr>
      </w:pPr>
      <w:r w:rsidRPr="0031706B">
        <w:rPr>
          <w:rFonts w:cstheme="minorHAnsi"/>
          <w:sz w:val="24"/>
        </w:rPr>
        <w:t xml:space="preserve">Public participation in </w:t>
      </w:r>
      <w:r w:rsidR="00BF6245" w:rsidRPr="0031706B">
        <w:rPr>
          <w:rFonts w:cstheme="minorHAnsi"/>
          <w:sz w:val="24"/>
        </w:rPr>
        <w:t xml:space="preserve">development of </w:t>
      </w:r>
      <w:r w:rsidRPr="0031706B">
        <w:rPr>
          <w:rFonts w:cstheme="minorHAnsi"/>
          <w:sz w:val="24"/>
        </w:rPr>
        <w:t xml:space="preserve">carbon reduction </w:t>
      </w:r>
      <w:r w:rsidR="00BF6245" w:rsidRPr="0031706B">
        <w:rPr>
          <w:rFonts w:cstheme="minorHAnsi"/>
          <w:sz w:val="24"/>
        </w:rPr>
        <w:t xml:space="preserve">policies </w:t>
      </w:r>
      <w:r w:rsidRPr="0031706B">
        <w:rPr>
          <w:rFonts w:cstheme="minorHAnsi"/>
          <w:sz w:val="24"/>
        </w:rPr>
        <w:t>offers the possibility of more effective policy decision-making (Castell, 2010), although the challenges in adapting the political system to enable greater democratic involvement in responding to climate change should not be underestimated (</w:t>
      </w:r>
      <w:proofErr w:type="spellStart"/>
      <w:r w:rsidRPr="0031706B">
        <w:rPr>
          <w:rFonts w:cstheme="minorHAnsi"/>
          <w:sz w:val="24"/>
        </w:rPr>
        <w:t>Lidskog</w:t>
      </w:r>
      <w:proofErr w:type="spellEnd"/>
      <w:r w:rsidRPr="0031706B">
        <w:rPr>
          <w:rFonts w:cstheme="minorHAnsi"/>
          <w:sz w:val="24"/>
        </w:rPr>
        <w:t xml:space="preserve"> and </w:t>
      </w:r>
      <w:proofErr w:type="spellStart"/>
      <w:r w:rsidRPr="0031706B">
        <w:rPr>
          <w:rFonts w:cstheme="minorHAnsi"/>
          <w:sz w:val="24"/>
        </w:rPr>
        <w:t>Elander</w:t>
      </w:r>
      <w:proofErr w:type="spellEnd"/>
      <w:r w:rsidRPr="0031706B">
        <w:rPr>
          <w:rFonts w:cstheme="minorHAnsi"/>
          <w:sz w:val="24"/>
        </w:rPr>
        <w:t xml:space="preserve">, 2010). Public acceptance of new technologies will influence their uptake and speed of adoption, while public preparedness to adapt behaviour or comply with new legislation will test the viability of low carbon policy measures (Spence and </w:t>
      </w:r>
      <w:proofErr w:type="spellStart"/>
      <w:r w:rsidRPr="0031706B">
        <w:rPr>
          <w:rFonts w:cstheme="minorHAnsi"/>
          <w:sz w:val="24"/>
        </w:rPr>
        <w:t>Pidgeon</w:t>
      </w:r>
      <w:proofErr w:type="spellEnd"/>
      <w:r w:rsidRPr="0031706B">
        <w:rPr>
          <w:rFonts w:cstheme="minorHAnsi"/>
          <w:sz w:val="24"/>
        </w:rPr>
        <w:t xml:space="preserve">, 2009). The implementation of low carbon technology changes (such as the proposed shift towards low emission vehicles) and societal change towards lower carbon </w:t>
      </w:r>
      <w:proofErr w:type="spellStart"/>
      <w:r w:rsidRPr="0031706B">
        <w:rPr>
          <w:rFonts w:cstheme="minorHAnsi"/>
          <w:sz w:val="24"/>
        </w:rPr>
        <w:t>behaviours</w:t>
      </w:r>
      <w:proofErr w:type="spellEnd"/>
      <w:r w:rsidRPr="0031706B">
        <w:rPr>
          <w:rFonts w:cstheme="minorHAnsi"/>
          <w:sz w:val="24"/>
        </w:rPr>
        <w:t xml:space="preserve"> (such as the increased use of public transport and </w:t>
      </w:r>
      <w:r w:rsidRPr="0031706B">
        <w:rPr>
          <w:rFonts w:cstheme="minorHAnsi"/>
          <w:sz w:val="24"/>
        </w:rPr>
        <w:lastRenderedPageBreak/>
        <w:t xml:space="preserve">car-sharing) will only be </w:t>
      </w:r>
      <w:proofErr w:type="spellStart"/>
      <w:r w:rsidRPr="0031706B">
        <w:rPr>
          <w:rFonts w:cstheme="minorHAnsi"/>
          <w:sz w:val="24"/>
        </w:rPr>
        <w:t>realised</w:t>
      </w:r>
      <w:proofErr w:type="spellEnd"/>
      <w:r w:rsidRPr="0031706B">
        <w:rPr>
          <w:rFonts w:cstheme="minorHAnsi"/>
          <w:sz w:val="24"/>
        </w:rPr>
        <w:t xml:space="preserve"> if they are socially acceptable (Christmas</w:t>
      </w:r>
      <w:r w:rsidRPr="0031706B">
        <w:rPr>
          <w:rFonts w:cstheme="minorHAnsi"/>
          <w:i/>
          <w:sz w:val="24"/>
        </w:rPr>
        <w:t xml:space="preserve"> et al.,</w:t>
      </w:r>
      <w:r w:rsidRPr="0031706B">
        <w:rPr>
          <w:rFonts w:cstheme="minorHAnsi"/>
          <w:sz w:val="24"/>
        </w:rPr>
        <w:t xml:space="preserve"> 2009), yet research to understand the likelihood of extensive behaviour change towards low carbon demand-side policy options is still in its infancy (</w:t>
      </w:r>
      <w:proofErr w:type="spellStart"/>
      <w:r w:rsidRPr="0031706B">
        <w:rPr>
          <w:rFonts w:cstheme="minorHAnsi"/>
          <w:sz w:val="24"/>
        </w:rPr>
        <w:t>Darnton</w:t>
      </w:r>
      <w:proofErr w:type="spellEnd"/>
      <w:r w:rsidRPr="0031706B">
        <w:rPr>
          <w:rFonts w:cstheme="minorHAnsi"/>
          <w:sz w:val="24"/>
        </w:rPr>
        <w:t>, 2008). Given the scale of societal change that is predicted to be required to reduce emissions, an understanding of public preferences for different low carbon energy and transport policies is essential (Spence</w:t>
      </w:r>
      <w:r w:rsidR="0035462B" w:rsidRPr="0031706B">
        <w:rPr>
          <w:rFonts w:cstheme="minorHAnsi"/>
          <w:sz w:val="24"/>
        </w:rPr>
        <w:t xml:space="preserve"> </w:t>
      </w:r>
      <w:r w:rsidR="0035462B" w:rsidRPr="0031706B">
        <w:rPr>
          <w:rFonts w:cstheme="minorHAnsi"/>
          <w:i/>
          <w:sz w:val="24"/>
        </w:rPr>
        <w:t>et al.</w:t>
      </w:r>
      <w:r w:rsidRPr="0031706B">
        <w:rPr>
          <w:rFonts w:cstheme="minorHAnsi"/>
          <w:sz w:val="24"/>
        </w:rPr>
        <w:t>, 201</w:t>
      </w:r>
      <w:r w:rsidR="00C02F1E" w:rsidRPr="0031706B">
        <w:rPr>
          <w:rFonts w:cstheme="minorHAnsi"/>
          <w:sz w:val="24"/>
        </w:rPr>
        <w:t>2</w:t>
      </w:r>
      <w:r w:rsidRPr="0031706B">
        <w:rPr>
          <w:rFonts w:cstheme="minorHAnsi"/>
          <w:sz w:val="24"/>
        </w:rPr>
        <w:t xml:space="preserve">).  </w:t>
      </w:r>
      <w:r w:rsidR="00BF6245" w:rsidRPr="0031706B">
        <w:rPr>
          <w:rFonts w:cstheme="minorHAnsi"/>
          <w:sz w:val="24"/>
        </w:rPr>
        <w:t xml:space="preserve">More recent work is indicating that increased public participation is crucial as </w:t>
      </w:r>
      <w:r w:rsidR="00895BC0" w:rsidRPr="0031706B">
        <w:rPr>
          <w:rFonts w:cstheme="minorHAnsi"/>
          <w:sz w:val="24"/>
        </w:rPr>
        <w:t>public preferences are potentially based on complex, and far from transparent, sets of underlying values (</w:t>
      </w:r>
      <w:proofErr w:type="spellStart"/>
      <w:r w:rsidR="00895BC0" w:rsidRPr="0031706B">
        <w:rPr>
          <w:rFonts w:cstheme="minorHAnsi"/>
          <w:sz w:val="24"/>
        </w:rPr>
        <w:t>Parkhill</w:t>
      </w:r>
      <w:proofErr w:type="spellEnd"/>
      <w:r w:rsidR="00895BC0" w:rsidRPr="0031706B">
        <w:rPr>
          <w:rFonts w:cstheme="minorHAnsi"/>
          <w:sz w:val="24"/>
        </w:rPr>
        <w:t xml:space="preserve"> </w:t>
      </w:r>
      <w:r w:rsidR="00895BC0" w:rsidRPr="0031706B">
        <w:rPr>
          <w:rFonts w:cstheme="minorHAnsi"/>
          <w:i/>
          <w:sz w:val="24"/>
        </w:rPr>
        <w:t>et al.</w:t>
      </w:r>
      <w:r w:rsidR="00895BC0" w:rsidRPr="0031706B">
        <w:rPr>
          <w:rFonts w:cstheme="minorHAnsi"/>
          <w:sz w:val="24"/>
        </w:rPr>
        <w:t>, 2013).  The ‘</w:t>
      </w:r>
      <w:r w:rsidR="00D04BCE" w:rsidRPr="0031706B">
        <w:rPr>
          <w:rFonts w:cstheme="minorHAnsi"/>
          <w:sz w:val="24"/>
        </w:rPr>
        <w:t>M</w:t>
      </w:r>
      <w:r w:rsidR="00895BC0" w:rsidRPr="0031706B">
        <w:rPr>
          <w:rFonts w:cstheme="minorHAnsi"/>
          <w:sz w:val="24"/>
        </w:rPr>
        <w:t>y2050’ simulation is proving to be a useful tool in aiding public engagement, by providing a clear focus for discussion around a hugely complex set of issues.</w:t>
      </w:r>
    </w:p>
    <w:p w14:paraId="3F538565" w14:textId="77777777" w:rsidR="004A6E11" w:rsidRPr="0031706B" w:rsidRDefault="004A6E11" w:rsidP="00CA4C4E">
      <w:pPr>
        <w:spacing w:after="0" w:line="480" w:lineRule="auto"/>
        <w:rPr>
          <w:rFonts w:cstheme="minorHAnsi"/>
          <w:sz w:val="24"/>
        </w:rPr>
      </w:pPr>
    </w:p>
    <w:p w14:paraId="06755A35" w14:textId="39379F6D" w:rsidR="00A2009B" w:rsidRPr="0031706B" w:rsidRDefault="00A2009B" w:rsidP="00CA4C4E">
      <w:pPr>
        <w:spacing w:after="0" w:line="480" w:lineRule="auto"/>
        <w:rPr>
          <w:rFonts w:cstheme="minorHAnsi"/>
          <w:sz w:val="24"/>
        </w:rPr>
      </w:pPr>
      <w:r w:rsidRPr="0031706B">
        <w:rPr>
          <w:rFonts w:cstheme="minorHAnsi"/>
          <w:sz w:val="24"/>
        </w:rPr>
        <w:t>This paper</w:t>
      </w:r>
      <w:r w:rsidR="00B23A68" w:rsidRPr="0031706B">
        <w:rPr>
          <w:rFonts w:cstheme="minorHAnsi"/>
          <w:sz w:val="24"/>
        </w:rPr>
        <w:t xml:space="preserve"> </w:t>
      </w:r>
      <w:r w:rsidR="00895BC0" w:rsidRPr="0031706B">
        <w:rPr>
          <w:rFonts w:cstheme="minorHAnsi"/>
          <w:sz w:val="24"/>
        </w:rPr>
        <w:t>introduces and describes the ‘</w:t>
      </w:r>
      <w:r w:rsidR="00D04BCE" w:rsidRPr="0031706B">
        <w:rPr>
          <w:rFonts w:cstheme="minorHAnsi"/>
          <w:sz w:val="24"/>
        </w:rPr>
        <w:t>M</w:t>
      </w:r>
      <w:r w:rsidR="00895BC0" w:rsidRPr="0031706B">
        <w:rPr>
          <w:rFonts w:cstheme="minorHAnsi"/>
          <w:sz w:val="24"/>
        </w:rPr>
        <w:t xml:space="preserve">y2050’ tool before going on to examine an initial set of results collected over the first four months of its availability.  The study </w:t>
      </w:r>
      <w:r w:rsidR="00B23A68" w:rsidRPr="0031706B">
        <w:rPr>
          <w:rFonts w:cstheme="minorHAnsi"/>
          <w:sz w:val="24"/>
        </w:rPr>
        <w:t>evaluates the representativeness of the self-selected sample</w:t>
      </w:r>
      <w:r w:rsidR="00895BC0" w:rsidRPr="0031706B">
        <w:rPr>
          <w:rFonts w:cstheme="minorHAnsi"/>
          <w:sz w:val="24"/>
        </w:rPr>
        <w:t xml:space="preserve"> of participants</w:t>
      </w:r>
      <w:r w:rsidR="00B23A68" w:rsidRPr="0031706B">
        <w:rPr>
          <w:rFonts w:cstheme="minorHAnsi"/>
          <w:sz w:val="24"/>
        </w:rPr>
        <w:t xml:space="preserve">, </w:t>
      </w:r>
      <w:r w:rsidR="000A497F" w:rsidRPr="0031706B">
        <w:rPr>
          <w:rFonts w:cstheme="minorHAnsi"/>
          <w:sz w:val="24"/>
        </w:rPr>
        <w:t xml:space="preserve">explores patterns in the data by looking at most popular choices </w:t>
      </w:r>
      <w:r w:rsidR="00A472BD" w:rsidRPr="0031706B">
        <w:rPr>
          <w:rFonts w:cstheme="minorHAnsi"/>
          <w:sz w:val="24"/>
        </w:rPr>
        <w:t>(across the whole sample and within sub-groups)</w:t>
      </w:r>
      <w:r w:rsidR="000A497F" w:rsidRPr="0031706B">
        <w:rPr>
          <w:rFonts w:cstheme="minorHAnsi"/>
          <w:sz w:val="24"/>
        </w:rPr>
        <w:t xml:space="preserve">, and finally attempts to compare these to </w:t>
      </w:r>
      <w:r w:rsidR="0035462B" w:rsidRPr="0031706B">
        <w:rPr>
          <w:rFonts w:cstheme="minorHAnsi"/>
          <w:sz w:val="24"/>
        </w:rPr>
        <w:t>the three existing DECC scenarios published in the Carbon Plan</w:t>
      </w:r>
      <w:r w:rsidR="000A497F" w:rsidRPr="0031706B">
        <w:rPr>
          <w:rFonts w:cstheme="minorHAnsi"/>
          <w:sz w:val="24"/>
        </w:rPr>
        <w:t xml:space="preserve">.  </w:t>
      </w:r>
    </w:p>
    <w:p w14:paraId="67DA98C0" w14:textId="77777777" w:rsidR="00E66305" w:rsidRPr="0031706B" w:rsidRDefault="00E66305" w:rsidP="00CA4C4E">
      <w:pPr>
        <w:spacing w:after="0" w:line="480" w:lineRule="auto"/>
        <w:rPr>
          <w:rFonts w:cstheme="minorHAnsi"/>
          <w:sz w:val="24"/>
        </w:rPr>
      </w:pPr>
    </w:p>
    <w:p w14:paraId="4822E48D" w14:textId="25EBF86F" w:rsidR="001177D1" w:rsidRPr="0031706B" w:rsidRDefault="00FA6B1B" w:rsidP="00F56E7B">
      <w:pPr>
        <w:pStyle w:val="ListParagraph"/>
        <w:numPr>
          <w:ilvl w:val="0"/>
          <w:numId w:val="30"/>
        </w:numPr>
        <w:spacing w:line="480" w:lineRule="auto"/>
        <w:rPr>
          <w:rFonts w:asciiTheme="minorHAnsi" w:hAnsiTheme="minorHAnsi" w:cstheme="minorHAnsi"/>
          <w:b/>
        </w:rPr>
      </w:pPr>
      <w:r w:rsidRPr="0031706B">
        <w:rPr>
          <w:rFonts w:asciiTheme="minorHAnsi" w:hAnsiTheme="minorHAnsi" w:cstheme="minorHAnsi"/>
          <w:b/>
        </w:rPr>
        <w:t>Methodology</w:t>
      </w:r>
    </w:p>
    <w:p w14:paraId="7DA6D727" w14:textId="02314033" w:rsidR="001177D1" w:rsidRPr="0031706B" w:rsidRDefault="00310A52" w:rsidP="00CA4C4E">
      <w:pPr>
        <w:spacing w:after="0" w:line="480" w:lineRule="auto"/>
        <w:rPr>
          <w:rFonts w:cstheme="minorHAnsi"/>
          <w:sz w:val="24"/>
        </w:rPr>
      </w:pPr>
      <w:r w:rsidRPr="0031706B">
        <w:rPr>
          <w:rFonts w:cstheme="minorHAnsi"/>
          <w:sz w:val="24"/>
        </w:rPr>
        <w:t xml:space="preserve">This research </w:t>
      </w:r>
      <w:r w:rsidR="00F56773" w:rsidRPr="0031706B">
        <w:rPr>
          <w:rFonts w:cstheme="minorHAnsi"/>
          <w:sz w:val="24"/>
        </w:rPr>
        <w:t>explored whether</w:t>
      </w:r>
      <w:r w:rsidRPr="0031706B">
        <w:rPr>
          <w:rFonts w:cstheme="minorHAnsi"/>
          <w:sz w:val="24"/>
        </w:rPr>
        <w:t xml:space="preserve"> there were consistent patterns </w:t>
      </w:r>
      <w:r w:rsidR="003E3F96" w:rsidRPr="0031706B">
        <w:rPr>
          <w:rFonts w:cstheme="minorHAnsi"/>
          <w:sz w:val="24"/>
        </w:rPr>
        <w:t>within</w:t>
      </w:r>
      <w:r w:rsidRPr="0031706B">
        <w:rPr>
          <w:rFonts w:cstheme="minorHAnsi"/>
          <w:sz w:val="24"/>
        </w:rPr>
        <w:t xml:space="preserve"> people’s responses to the ‘My2050’ simulator</w:t>
      </w:r>
      <w:r w:rsidR="0035462B" w:rsidRPr="0031706B">
        <w:rPr>
          <w:rFonts w:cstheme="minorHAnsi"/>
          <w:sz w:val="24"/>
        </w:rPr>
        <w:t xml:space="preserve"> that could be seen as </w:t>
      </w:r>
      <w:r w:rsidR="0090353C" w:rsidRPr="0031706B">
        <w:rPr>
          <w:rFonts w:cstheme="minorHAnsi"/>
          <w:sz w:val="24"/>
        </w:rPr>
        <w:t>demonstrating</w:t>
      </w:r>
      <w:r w:rsidRPr="0031706B">
        <w:rPr>
          <w:rFonts w:cstheme="minorHAnsi"/>
          <w:sz w:val="24"/>
        </w:rPr>
        <w:t xml:space="preserve"> </w:t>
      </w:r>
      <w:r w:rsidR="0035462B" w:rsidRPr="0031706B">
        <w:rPr>
          <w:rFonts w:cstheme="minorHAnsi"/>
          <w:sz w:val="24"/>
        </w:rPr>
        <w:t xml:space="preserve">any clear public </w:t>
      </w:r>
      <w:r w:rsidRPr="0031706B">
        <w:rPr>
          <w:rFonts w:cstheme="minorHAnsi"/>
          <w:sz w:val="24"/>
        </w:rPr>
        <w:t xml:space="preserve">preferences for how significant carbon </w:t>
      </w:r>
      <w:r w:rsidRPr="0031706B">
        <w:rPr>
          <w:rFonts w:cstheme="minorHAnsi"/>
          <w:sz w:val="24"/>
        </w:rPr>
        <w:lastRenderedPageBreak/>
        <w:t xml:space="preserve">reduction </w:t>
      </w:r>
      <w:r w:rsidR="00B402F8" w:rsidRPr="0031706B">
        <w:rPr>
          <w:rFonts w:cstheme="minorHAnsi"/>
          <w:sz w:val="24"/>
        </w:rPr>
        <w:t xml:space="preserve">can be achieved </w:t>
      </w:r>
      <w:r w:rsidRPr="0031706B">
        <w:rPr>
          <w:rFonts w:cstheme="minorHAnsi"/>
          <w:sz w:val="24"/>
        </w:rPr>
        <w:t xml:space="preserve">by 2050. It also </w:t>
      </w:r>
      <w:r w:rsidR="00B402F8" w:rsidRPr="0031706B">
        <w:rPr>
          <w:rFonts w:cstheme="minorHAnsi"/>
          <w:sz w:val="24"/>
        </w:rPr>
        <w:t>tested</w:t>
      </w:r>
      <w:r w:rsidRPr="0031706B">
        <w:rPr>
          <w:rFonts w:cstheme="minorHAnsi"/>
          <w:sz w:val="24"/>
        </w:rPr>
        <w:t xml:space="preserve"> to what extent these voluntary responses aligned with the options currently being explored by government. </w:t>
      </w:r>
      <w:r w:rsidR="001177D1" w:rsidRPr="0031706B">
        <w:rPr>
          <w:rFonts w:cstheme="minorHAnsi"/>
          <w:sz w:val="24"/>
        </w:rPr>
        <w:t xml:space="preserve">The research </w:t>
      </w:r>
      <w:r w:rsidR="0035462B" w:rsidRPr="0031706B">
        <w:rPr>
          <w:rFonts w:cstheme="minorHAnsi"/>
          <w:sz w:val="24"/>
        </w:rPr>
        <w:t xml:space="preserve">reported here </w:t>
      </w:r>
      <w:r w:rsidR="001177D1" w:rsidRPr="0031706B">
        <w:rPr>
          <w:rFonts w:cstheme="minorHAnsi"/>
          <w:sz w:val="24"/>
        </w:rPr>
        <w:t xml:space="preserve">involved a quasi-experimental evaluation, with </w:t>
      </w:r>
      <w:r w:rsidR="00D819E5" w:rsidRPr="0031706B">
        <w:rPr>
          <w:rFonts w:cstheme="minorHAnsi"/>
          <w:sz w:val="24"/>
        </w:rPr>
        <w:t xml:space="preserve">a </w:t>
      </w:r>
      <w:r w:rsidR="001177D1" w:rsidRPr="0031706B">
        <w:rPr>
          <w:rFonts w:cstheme="minorHAnsi"/>
          <w:sz w:val="24"/>
        </w:rPr>
        <w:t>quantitative research strateg</w:t>
      </w:r>
      <w:r w:rsidR="00D819E5" w:rsidRPr="0031706B">
        <w:rPr>
          <w:rFonts w:cstheme="minorHAnsi"/>
          <w:sz w:val="24"/>
        </w:rPr>
        <w:t>y</w:t>
      </w:r>
      <w:r w:rsidR="00500C37" w:rsidRPr="0031706B">
        <w:rPr>
          <w:rFonts w:cstheme="minorHAnsi"/>
          <w:sz w:val="24"/>
        </w:rPr>
        <w:t xml:space="preserve">. </w:t>
      </w:r>
      <w:r w:rsidR="0035462B" w:rsidRPr="0031706B">
        <w:rPr>
          <w:rFonts w:cstheme="minorHAnsi"/>
          <w:sz w:val="24"/>
        </w:rPr>
        <w:t>Wider research also involved undertaking s</w:t>
      </w:r>
      <w:r w:rsidR="00D819E5" w:rsidRPr="0031706B">
        <w:rPr>
          <w:rFonts w:cstheme="minorHAnsi"/>
          <w:sz w:val="24"/>
        </w:rPr>
        <w:t xml:space="preserve">emi-structured interviews </w:t>
      </w:r>
      <w:r w:rsidR="00EC6E2A" w:rsidRPr="0031706B">
        <w:rPr>
          <w:rFonts w:cstheme="minorHAnsi"/>
          <w:sz w:val="24"/>
        </w:rPr>
        <w:t xml:space="preserve">with </w:t>
      </w:r>
      <w:r w:rsidR="001F503E" w:rsidRPr="0031706B">
        <w:rPr>
          <w:rFonts w:cstheme="minorHAnsi"/>
          <w:sz w:val="24"/>
        </w:rPr>
        <w:t>six</w:t>
      </w:r>
      <w:r w:rsidR="00EC6E2A" w:rsidRPr="0031706B">
        <w:rPr>
          <w:rFonts w:cstheme="minorHAnsi"/>
          <w:sz w:val="24"/>
        </w:rPr>
        <w:t xml:space="preserve"> experts</w:t>
      </w:r>
      <w:r w:rsidR="001F503E" w:rsidRPr="0031706B">
        <w:rPr>
          <w:rFonts w:cstheme="minorHAnsi"/>
          <w:sz w:val="24"/>
        </w:rPr>
        <w:t xml:space="preserve"> from academia and </w:t>
      </w:r>
      <w:r w:rsidR="002542A4" w:rsidRPr="0031706B">
        <w:rPr>
          <w:rFonts w:cstheme="minorHAnsi"/>
          <w:sz w:val="24"/>
        </w:rPr>
        <w:t xml:space="preserve">policy development (with backgrounds in </w:t>
      </w:r>
      <w:r w:rsidR="005F51C3" w:rsidRPr="0031706B">
        <w:rPr>
          <w:rFonts w:cstheme="minorHAnsi"/>
          <w:sz w:val="24"/>
        </w:rPr>
        <w:t>the physical sciences, psychology</w:t>
      </w:r>
      <w:r w:rsidR="00D06635" w:rsidRPr="0031706B">
        <w:rPr>
          <w:rFonts w:cstheme="minorHAnsi"/>
          <w:sz w:val="24"/>
        </w:rPr>
        <w:t>, politics</w:t>
      </w:r>
      <w:r w:rsidR="005F51C3" w:rsidRPr="0031706B">
        <w:rPr>
          <w:rFonts w:cstheme="minorHAnsi"/>
          <w:sz w:val="24"/>
        </w:rPr>
        <w:t xml:space="preserve"> and social </w:t>
      </w:r>
      <w:r w:rsidR="00D06635" w:rsidRPr="0031706B">
        <w:rPr>
          <w:rFonts w:cstheme="minorHAnsi"/>
          <w:sz w:val="24"/>
        </w:rPr>
        <w:t>research)</w:t>
      </w:r>
      <w:r w:rsidR="0035462B" w:rsidRPr="0031706B">
        <w:rPr>
          <w:rFonts w:cstheme="minorHAnsi"/>
          <w:sz w:val="24"/>
        </w:rPr>
        <w:t>. These informed the interpretation of preliminary findings,</w:t>
      </w:r>
      <w:r w:rsidR="00EC6E2A" w:rsidRPr="0031706B">
        <w:rPr>
          <w:rFonts w:cstheme="minorHAnsi"/>
          <w:sz w:val="24"/>
        </w:rPr>
        <w:t xml:space="preserve"> </w:t>
      </w:r>
      <w:r w:rsidR="00D819E5" w:rsidRPr="0031706B">
        <w:rPr>
          <w:rFonts w:cstheme="minorHAnsi"/>
          <w:sz w:val="24"/>
        </w:rPr>
        <w:t xml:space="preserve">but are not </w:t>
      </w:r>
      <w:proofErr w:type="spellStart"/>
      <w:r w:rsidR="00D819E5" w:rsidRPr="0031706B">
        <w:rPr>
          <w:rFonts w:cstheme="minorHAnsi"/>
          <w:sz w:val="24"/>
        </w:rPr>
        <w:t>analysed</w:t>
      </w:r>
      <w:proofErr w:type="spellEnd"/>
      <w:r w:rsidR="00D819E5" w:rsidRPr="0031706B">
        <w:rPr>
          <w:rFonts w:cstheme="minorHAnsi"/>
          <w:sz w:val="24"/>
        </w:rPr>
        <w:t xml:space="preserve"> in this paper.  </w:t>
      </w:r>
    </w:p>
    <w:p w14:paraId="5878A262" w14:textId="351354A5" w:rsidR="00CD5DDA" w:rsidRPr="0031706B" w:rsidRDefault="00CD5DDA" w:rsidP="00CA4C4E">
      <w:pPr>
        <w:spacing w:after="0" w:line="480" w:lineRule="auto"/>
        <w:rPr>
          <w:rFonts w:cstheme="minorHAnsi"/>
          <w:sz w:val="24"/>
        </w:rPr>
      </w:pPr>
    </w:p>
    <w:p w14:paraId="0498DC85" w14:textId="7EE1F550" w:rsidR="001177D1" w:rsidRPr="0031706B" w:rsidRDefault="00FA6B1B" w:rsidP="00CA4C4E">
      <w:pPr>
        <w:pStyle w:val="Heading2"/>
        <w:spacing w:before="0" w:line="480" w:lineRule="auto"/>
        <w:rPr>
          <w:rFonts w:asciiTheme="minorHAnsi" w:hAnsiTheme="minorHAnsi" w:cstheme="minorHAnsi"/>
          <w:color w:val="auto"/>
          <w:sz w:val="24"/>
          <w:szCs w:val="24"/>
        </w:rPr>
      </w:pPr>
      <w:bookmarkStart w:id="1" w:name="_Toc193708799"/>
      <w:r w:rsidRPr="0031706B">
        <w:rPr>
          <w:rFonts w:asciiTheme="minorHAnsi" w:hAnsiTheme="minorHAnsi" w:cstheme="minorHAnsi"/>
          <w:color w:val="auto"/>
          <w:sz w:val="24"/>
          <w:szCs w:val="24"/>
        </w:rPr>
        <w:t xml:space="preserve">3.1 </w:t>
      </w:r>
      <w:r w:rsidR="001177D1" w:rsidRPr="0031706B">
        <w:rPr>
          <w:rFonts w:asciiTheme="minorHAnsi" w:hAnsiTheme="minorHAnsi" w:cstheme="minorHAnsi"/>
          <w:color w:val="auto"/>
          <w:sz w:val="24"/>
          <w:szCs w:val="24"/>
        </w:rPr>
        <w:t>Data generation</w:t>
      </w:r>
      <w:bookmarkEnd w:id="1"/>
    </w:p>
    <w:p w14:paraId="1E5A3F2C" w14:textId="3927BFDE" w:rsidR="001177D1" w:rsidRPr="0031706B" w:rsidRDefault="001177D1" w:rsidP="00E52913">
      <w:pPr>
        <w:spacing w:after="0" w:line="480" w:lineRule="auto"/>
        <w:rPr>
          <w:rFonts w:cstheme="minorHAnsi"/>
          <w:sz w:val="24"/>
        </w:rPr>
      </w:pPr>
      <w:r w:rsidRPr="0031706B">
        <w:rPr>
          <w:rFonts w:cstheme="minorHAnsi"/>
          <w:sz w:val="24"/>
        </w:rPr>
        <w:t xml:space="preserve">The ‘My2050’ online simulation was developed by DECC (through a contract with digital democracy company </w:t>
      </w:r>
      <w:proofErr w:type="spellStart"/>
      <w:r w:rsidRPr="0031706B">
        <w:rPr>
          <w:rFonts w:cstheme="minorHAnsi"/>
          <w:sz w:val="24"/>
        </w:rPr>
        <w:t>Delib</w:t>
      </w:r>
      <w:proofErr w:type="spellEnd"/>
      <w:r w:rsidRPr="0031706B">
        <w:rPr>
          <w:rFonts w:cstheme="minorHAnsi"/>
          <w:sz w:val="24"/>
        </w:rPr>
        <w:t xml:space="preserve">) and launched on 3 March 2011 with a BBC Radio 4 feature (DECC, 2011e). ‘My2050’ invited self-selected respondents to choose one of four settings, representing increasing effort levels, for fourteen different </w:t>
      </w:r>
      <w:r w:rsidR="00E25549" w:rsidRPr="0031706B">
        <w:rPr>
          <w:rFonts w:cstheme="minorHAnsi"/>
          <w:sz w:val="24"/>
        </w:rPr>
        <w:t>‘</w:t>
      </w:r>
      <w:r w:rsidRPr="0031706B">
        <w:rPr>
          <w:rFonts w:cstheme="minorHAnsi"/>
          <w:sz w:val="24"/>
        </w:rPr>
        <w:t>sliders</w:t>
      </w:r>
      <w:r w:rsidR="00E25549" w:rsidRPr="0031706B">
        <w:rPr>
          <w:rFonts w:cstheme="minorHAnsi"/>
          <w:sz w:val="24"/>
        </w:rPr>
        <w:t>’</w:t>
      </w:r>
      <w:r w:rsidRPr="0031706B">
        <w:rPr>
          <w:rFonts w:cstheme="minorHAnsi"/>
          <w:sz w:val="24"/>
        </w:rPr>
        <w:t xml:space="preserve"> representing seven supply and seven demand-side</w:t>
      </w:r>
      <w:r w:rsidR="00D012A9" w:rsidRPr="0031706B">
        <w:rPr>
          <w:rFonts w:cstheme="minorHAnsi"/>
          <w:sz w:val="24"/>
        </w:rPr>
        <w:t xml:space="preserve"> </w:t>
      </w:r>
      <w:r w:rsidRPr="0031706B">
        <w:rPr>
          <w:rFonts w:cstheme="minorHAnsi"/>
          <w:sz w:val="24"/>
        </w:rPr>
        <w:t xml:space="preserve">energy </w:t>
      </w:r>
      <w:r w:rsidR="00D012A9" w:rsidRPr="0031706B">
        <w:rPr>
          <w:rFonts w:cstheme="minorHAnsi"/>
          <w:sz w:val="24"/>
        </w:rPr>
        <w:t>issues</w:t>
      </w:r>
      <w:r w:rsidR="00D04BCE" w:rsidRPr="0031706B">
        <w:rPr>
          <w:rFonts w:cstheme="minorHAnsi"/>
          <w:sz w:val="24"/>
        </w:rPr>
        <w:t xml:space="preserve"> (see Figure 1)</w:t>
      </w:r>
      <w:r w:rsidRPr="0031706B">
        <w:rPr>
          <w:rFonts w:cstheme="minorHAnsi"/>
          <w:sz w:val="24"/>
        </w:rPr>
        <w:t xml:space="preserve">. </w:t>
      </w:r>
      <w:r w:rsidR="009774A9" w:rsidRPr="0031706B">
        <w:rPr>
          <w:rFonts w:cstheme="minorHAnsi"/>
          <w:sz w:val="24"/>
        </w:rPr>
        <w:t xml:space="preserve">The aim of the simulation was to achieve at least an eighty percent reduction in carbon emissions by selecting one of four settings for all fourteen sliders for 2050. </w:t>
      </w:r>
      <w:r w:rsidR="00E25549" w:rsidRPr="0031706B">
        <w:rPr>
          <w:rFonts w:cstheme="minorHAnsi"/>
          <w:sz w:val="24"/>
        </w:rPr>
        <w:t xml:space="preserve">The four settings for all supply sliders are described in Table 1 and for all demand sliders in Table 2.  </w:t>
      </w:r>
    </w:p>
    <w:p w14:paraId="2F8D46BA" w14:textId="1822C732" w:rsidR="001E7A96" w:rsidRPr="0031706B" w:rsidRDefault="00886784" w:rsidP="00CA4C4E">
      <w:pPr>
        <w:spacing w:after="0" w:line="480" w:lineRule="auto"/>
        <w:rPr>
          <w:rFonts w:cstheme="minorHAnsi"/>
          <w:sz w:val="24"/>
        </w:rPr>
      </w:pPr>
      <w:r w:rsidRPr="0031706B">
        <w:rPr>
          <w:rFonts w:cstheme="minorHAnsi"/>
          <w:noProof/>
          <w:sz w:val="24"/>
          <w:lang w:val="en-GB" w:eastAsia="en-GB"/>
        </w:rPr>
        <w:lastRenderedPageBreak/>
        <w:drawing>
          <wp:inline distT="0" distB="0" distL="0" distR="0" wp14:anchorId="49DC6E94" wp14:editId="69526C09">
            <wp:extent cx="5400040" cy="353722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537226"/>
                    </a:xfrm>
                    <a:prstGeom prst="rect">
                      <a:avLst/>
                    </a:prstGeom>
                    <a:noFill/>
                    <a:ln>
                      <a:noFill/>
                    </a:ln>
                  </pic:spPr>
                </pic:pic>
              </a:graphicData>
            </a:graphic>
          </wp:inline>
        </w:drawing>
      </w:r>
    </w:p>
    <w:p w14:paraId="30610793" w14:textId="36D4370D" w:rsidR="00E25549" w:rsidRPr="0031706B" w:rsidRDefault="00E25549" w:rsidP="00CA4C4E">
      <w:pPr>
        <w:spacing w:after="0" w:line="480" w:lineRule="auto"/>
        <w:rPr>
          <w:rFonts w:cstheme="minorHAnsi"/>
          <w:b/>
          <w:sz w:val="24"/>
        </w:rPr>
      </w:pPr>
      <w:r w:rsidRPr="0031706B">
        <w:rPr>
          <w:rFonts w:cstheme="minorHAnsi"/>
          <w:b/>
          <w:sz w:val="24"/>
        </w:rPr>
        <w:t>Figure 1: Screenshot of ‘my2050’ simulation showing layout of ‘sliders’</w:t>
      </w:r>
    </w:p>
    <w:p w14:paraId="61BE522A" w14:textId="4FD8D1F1" w:rsidR="004A6E11" w:rsidRPr="0031706B" w:rsidRDefault="001177D1" w:rsidP="00B64832">
      <w:pPr>
        <w:spacing w:line="480" w:lineRule="auto"/>
        <w:rPr>
          <w:rFonts w:cstheme="minorHAnsi"/>
          <w:sz w:val="24"/>
        </w:rPr>
      </w:pPr>
      <w:r w:rsidRPr="0031706B">
        <w:rPr>
          <w:rFonts w:cstheme="minorHAnsi"/>
          <w:sz w:val="24"/>
        </w:rPr>
        <w:t xml:space="preserve">Progress </w:t>
      </w:r>
      <w:r w:rsidR="009774A9" w:rsidRPr="0031706B">
        <w:rPr>
          <w:rFonts w:cstheme="minorHAnsi"/>
          <w:sz w:val="24"/>
        </w:rPr>
        <w:t xml:space="preserve">is </w:t>
      </w:r>
      <w:r w:rsidRPr="0031706B">
        <w:rPr>
          <w:rFonts w:cstheme="minorHAnsi"/>
          <w:sz w:val="24"/>
        </w:rPr>
        <w:t>illustrated by an online ‘thermomet</w:t>
      </w:r>
      <w:r w:rsidR="00AD0255" w:rsidRPr="0031706B">
        <w:rPr>
          <w:rFonts w:cstheme="minorHAnsi"/>
          <w:sz w:val="24"/>
        </w:rPr>
        <w:t>er</w:t>
      </w:r>
      <w:r w:rsidRPr="0031706B">
        <w:rPr>
          <w:rFonts w:cstheme="minorHAnsi"/>
          <w:sz w:val="24"/>
        </w:rPr>
        <w:t xml:space="preserve">’, which </w:t>
      </w:r>
      <w:r w:rsidR="009774A9" w:rsidRPr="0031706B">
        <w:rPr>
          <w:rFonts w:cstheme="minorHAnsi"/>
          <w:sz w:val="24"/>
        </w:rPr>
        <w:t xml:space="preserve">starts </w:t>
      </w:r>
      <w:r w:rsidRPr="0031706B">
        <w:rPr>
          <w:rFonts w:cstheme="minorHAnsi"/>
          <w:sz w:val="24"/>
        </w:rPr>
        <w:t xml:space="preserve">at one hundred percent and </w:t>
      </w:r>
      <w:r w:rsidR="009774A9" w:rsidRPr="0031706B">
        <w:rPr>
          <w:rFonts w:cstheme="minorHAnsi"/>
          <w:sz w:val="24"/>
        </w:rPr>
        <w:t xml:space="preserve">needs </w:t>
      </w:r>
      <w:r w:rsidRPr="0031706B">
        <w:rPr>
          <w:rFonts w:cstheme="minorHAnsi"/>
          <w:sz w:val="24"/>
        </w:rPr>
        <w:t xml:space="preserve">to reach twenty percent before choices could be submitted, although respondents could exceed this target. Each choice </w:t>
      </w:r>
      <w:r w:rsidR="009774A9" w:rsidRPr="0031706B">
        <w:rPr>
          <w:rFonts w:cstheme="minorHAnsi"/>
          <w:sz w:val="24"/>
        </w:rPr>
        <w:t xml:space="preserve">influences </w:t>
      </w:r>
      <w:r w:rsidRPr="0031706B">
        <w:rPr>
          <w:rFonts w:cstheme="minorHAnsi"/>
          <w:sz w:val="24"/>
        </w:rPr>
        <w:t xml:space="preserve">the overall carbon reduction achieved, although reduction figures </w:t>
      </w:r>
      <w:r w:rsidR="009774A9" w:rsidRPr="0031706B">
        <w:rPr>
          <w:rFonts w:cstheme="minorHAnsi"/>
          <w:sz w:val="24"/>
        </w:rPr>
        <w:t xml:space="preserve">vary </w:t>
      </w:r>
      <w:r w:rsidRPr="0031706B">
        <w:rPr>
          <w:rFonts w:cstheme="minorHAnsi"/>
          <w:sz w:val="24"/>
        </w:rPr>
        <w:t xml:space="preserve">depending on the inter-relationship of settings selected for sliders. </w:t>
      </w:r>
      <w:r w:rsidR="00F70A49" w:rsidRPr="0031706B">
        <w:rPr>
          <w:rFonts w:cstheme="minorHAnsi"/>
          <w:sz w:val="24"/>
        </w:rPr>
        <w:t xml:space="preserve">Each choice also </w:t>
      </w:r>
      <w:r w:rsidR="009774A9" w:rsidRPr="0031706B">
        <w:rPr>
          <w:rFonts w:cstheme="minorHAnsi"/>
          <w:sz w:val="24"/>
        </w:rPr>
        <w:t xml:space="preserve">influences </w:t>
      </w:r>
      <w:r w:rsidR="00F70A49" w:rsidRPr="0031706B">
        <w:rPr>
          <w:rFonts w:cstheme="minorHAnsi"/>
          <w:sz w:val="24"/>
        </w:rPr>
        <w:t xml:space="preserve">an overall ‘Energy Security Indicator’, which </w:t>
      </w:r>
      <w:r w:rsidR="009774A9" w:rsidRPr="0031706B">
        <w:rPr>
          <w:rFonts w:cstheme="minorHAnsi"/>
          <w:sz w:val="24"/>
        </w:rPr>
        <w:t xml:space="preserve">shows </w:t>
      </w:r>
      <w:r w:rsidR="00F70A49" w:rsidRPr="0031706B">
        <w:rPr>
          <w:rFonts w:cstheme="minorHAnsi"/>
          <w:sz w:val="24"/>
        </w:rPr>
        <w:t xml:space="preserve">how balanced the overall choices </w:t>
      </w:r>
      <w:r w:rsidR="009774A9" w:rsidRPr="0031706B">
        <w:rPr>
          <w:rFonts w:cstheme="minorHAnsi"/>
          <w:sz w:val="24"/>
        </w:rPr>
        <w:t>are in terms of consequent supply and demand for electricity and ‘fuel’.  This consists of a</w:t>
      </w:r>
      <w:r w:rsidR="00585D3C" w:rsidRPr="0031706B">
        <w:rPr>
          <w:rFonts w:cstheme="minorHAnsi"/>
          <w:sz w:val="24"/>
        </w:rPr>
        <w:t xml:space="preserve"> graphical illustration showing </w:t>
      </w:r>
      <w:r w:rsidR="00F70A49" w:rsidRPr="0031706B">
        <w:rPr>
          <w:rFonts w:cstheme="minorHAnsi"/>
          <w:sz w:val="24"/>
        </w:rPr>
        <w:t>whether demand was exceeding supply or vice versa, or whether the choices</w:t>
      </w:r>
      <w:r w:rsidR="009774A9" w:rsidRPr="0031706B">
        <w:rPr>
          <w:rFonts w:cstheme="minorHAnsi"/>
          <w:sz w:val="24"/>
        </w:rPr>
        <w:t xml:space="preserve"> made result </w:t>
      </w:r>
      <w:proofErr w:type="gramStart"/>
      <w:r w:rsidR="009774A9" w:rsidRPr="0031706B">
        <w:rPr>
          <w:rFonts w:cstheme="minorHAnsi"/>
          <w:sz w:val="24"/>
        </w:rPr>
        <w:t xml:space="preserve">in </w:t>
      </w:r>
      <w:r w:rsidR="00F70A49" w:rsidRPr="0031706B">
        <w:rPr>
          <w:rFonts w:cstheme="minorHAnsi"/>
          <w:sz w:val="24"/>
        </w:rPr>
        <w:t xml:space="preserve"> a</w:t>
      </w:r>
      <w:proofErr w:type="gramEnd"/>
      <w:r w:rsidR="00F70A49" w:rsidRPr="0031706B">
        <w:rPr>
          <w:rFonts w:cstheme="minorHAnsi"/>
          <w:sz w:val="24"/>
        </w:rPr>
        <w:t xml:space="preserve"> ‘balanced world’</w:t>
      </w:r>
      <w:r w:rsidR="009774A9" w:rsidRPr="0031706B">
        <w:rPr>
          <w:rFonts w:cstheme="minorHAnsi"/>
          <w:sz w:val="24"/>
        </w:rPr>
        <w:t xml:space="preserve"> in which supply exceeds demand “but not by a wasteful amount”</w:t>
      </w:r>
      <w:r w:rsidR="00F70A49" w:rsidRPr="0031706B">
        <w:rPr>
          <w:rFonts w:cstheme="minorHAnsi"/>
          <w:sz w:val="24"/>
        </w:rPr>
        <w:t xml:space="preserve">. </w:t>
      </w:r>
      <w:r w:rsidR="00DB666E" w:rsidRPr="0031706B">
        <w:rPr>
          <w:rFonts w:cstheme="minorHAnsi"/>
          <w:sz w:val="24"/>
        </w:rPr>
        <w:t>In total there are</w:t>
      </w:r>
      <w:r w:rsidR="00D76F12" w:rsidRPr="0031706B">
        <w:rPr>
          <w:rFonts w:cstheme="minorHAnsi"/>
          <w:sz w:val="24"/>
        </w:rPr>
        <w:t xml:space="preserve"> </w:t>
      </w:r>
      <w:r w:rsidR="009D4892" w:rsidRPr="0031706B">
        <w:rPr>
          <w:rFonts w:cstheme="minorHAnsi"/>
          <w:sz w:val="24"/>
        </w:rPr>
        <w:t xml:space="preserve">over 250 million </w:t>
      </w:r>
      <w:r w:rsidR="00D76F12" w:rsidRPr="0031706B">
        <w:rPr>
          <w:rFonts w:cstheme="minorHAnsi"/>
          <w:sz w:val="24"/>
        </w:rPr>
        <w:t>possible combinations of sliders</w:t>
      </w:r>
      <w:r w:rsidR="009D4892" w:rsidRPr="0031706B">
        <w:rPr>
          <w:rStyle w:val="EndnoteReference"/>
          <w:rFonts w:cstheme="minorHAnsi"/>
          <w:sz w:val="24"/>
        </w:rPr>
        <w:endnoteReference w:id="4"/>
      </w:r>
      <w:r w:rsidR="00D76F12" w:rsidRPr="0031706B">
        <w:rPr>
          <w:rFonts w:cstheme="minorHAnsi"/>
          <w:sz w:val="24"/>
        </w:rPr>
        <w:t xml:space="preserve">. </w:t>
      </w:r>
      <w:r w:rsidR="004A6E11" w:rsidRPr="0031706B">
        <w:rPr>
          <w:rFonts w:cstheme="minorHAnsi"/>
          <w:sz w:val="24"/>
        </w:rPr>
        <w:t xml:space="preserve">The </w:t>
      </w:r>
      <w:r w:rsidR="005F0CE4" w:rsidRPr="0031706B">
        <w:rPr>
          <w:rFonts w:cstheme="minorHAnsi"/>
          <w:sz w:val="24"/>
        </w:rPr>
        <w:t>simulation creators have not calculated the number of scenarios that could legitimately be selected to achieve the target, but it is anticipated to be considerable.</w:t>
      </w:r>
      <w:r w:rsidR="00DB666E" w:rsidRPr="0031706B">
        <w:rPr>
          <w:rFonts w:cstheme="minorHAnsi"/>
          <w:sz w:val="24"/>
        </w:rPr>
        <w:t xml:space="preserve"> </w:t>
      </w:r>
    </w:p>
    <w:p w14:paraId="07364B76" w14:textId="55A3AE10" w:rsidR="00AA2E21" w:rsidRPr="0031706B" w:rsidRDefault="001177D1" w:rsidP="00CA4C4E">
      <w:pPr>
        <w:spacing w:after="0" w:line="480" w:lineRule="auto"/>
        <w:rPr>
          <w:rFonts w:cstheme="minorHAnsi"/>
          <w:sz w:val="24"/>
        </w:rPr>
      </w:pPr>
      <w:r w:rsidRPr="0031706B">
        <w:rPr>
          <w:rFonts w:cstheme="minorHAnsi"/>
          <w:sz w:val="24"/>
        </w:rPr>
        <w:lastRenderedPageBreak/>
        <w:t xml:space="preserve">After submitting choices, respondents were asked for information on their age, </w:t>
      </w:r>
      <w:r w:rsidR="00446B11" w:rsidRPr="0031706B">
        <w:rPr>
          <w:rFonts w:cstheme="minorHAnsi"/>
          <w:sz w:val="24"/>
        </w:rPr>
        <w:t xml:space="preserve">the UK </w:t>
      </w:r>
      <w:r w:rsidRPr="0031706B">
        <w:rPr>
          <w:rFonts w:cstheme="minorHAnsi"/>
          <w:sz w:val="24"/>
        </w:rPr>
        <w:t>region</w:t>
      </w:r>
      <w:r w:rsidR="00446B11" w:rsidRPr="0031706B">
        <w:rPr>
          <w:rFonts w:cstheme="minorHAnsi"/>
          <w:sz w:val="24"/>
        </w:rPr>
        <w:t xml:space="preserve"> where they live</w:t>
      </w:r>
      <w:r w:rsidRPr="0031706B">
        <w:rPr>
          <w:rFonts w:cstheme="minorHAnsi"/>
          <w:sz w:val="24"/>
        </w:rPr>
        <w:t>, type of location (urban or rural), how happy they would be to live in the ‘world’ they had created, and how concerned, if at all, they were about climate change. A comment box was also provided for free text on the question ‘Why did you choose your My2050 world?</w:t>
      </w:r>
      <w:proofErr w:type="gramStart"/>
      <w:r w:rsidRPr="0031706B">
        <w:rPr>
          <w:rFonts w:cstheme="minorHAnsi"/>
          <w:sz w:val="24"/>
        </w:rPr>
        <w:t>’.</w:t>
      </w:r>
      <w:proofErr w:type="gramEnd"/>
      <w:r w:rsidRPr="0031706B">
        <w:rPr>
          <w:rFonts w:cstheme="minorHAnsi"/>
          <w:sz w:val="24"/>
        </w:rPr>
        <w:t xml:space="preserve"> </w:t>
      </w:r>
      <w:r w:rsidR="00634141" w:rsidRPr="0031706B">
        <w:rPr>
          <w:rFonts w:cstheme="minorHAnsi"/>
          <w:sz w:val="24"/>
        </w:rPr>
        <w:t>It is worth noting that over 90% of respondents indicated that they were happy with their world.</w:t>
      </w:r>
    </w:p>
    <w:p w14:paraId="7FD4C26A" w14:textId="77777777" w:rsidR="007460D7" w:rsidRPr="0031706B" w:rsidRDefault="007460D7" w:rsidP="00CA4C4E">
      <w:pPr>
        <w:spacing w:after="0" w:line="480" w:lineRule="auto"/>
        <w:rPr>
          <w:rFonts w:cstheme="minorHAnsi"/>
          <w:sz w:val="24"/>
        </w:rPr>
      </w:pPr>
    </w:p>
    <w:p w14:paraId="1F4E64D5" w14:textId="77777777" w:rsidR="00EF2280" w:rsidRDefault="007460D7" w:rsidP="00EF2280">
      <w:pPr>
        <w:spacing w:after="0" w:line="480" w:lineRule="auto"/>
        <w:rPr>
          <w:rFonts w:cstheme="minorHAnsi"/>
          <w:sz w:val="24"/>
        </w:rPr>
      </w:pPr>
      <w:r w:rsidRPr="0031706B">
        <w:rPr>
          <w:rFonts w:cstheme="minorHAnsi"/>
          <w:sz w:val="24"/>
        </w:rPr>
        <w:t>The simulation was developed as a simplified tool to enable public engagement in long-term carbon reduction strategies</w:t>
      </w:r>
      <w:bookmarkStart w:id="2" w:name="_Ref361325073"/>
      <w:r w:rsidR="003D48EF" w:rsidRPr="0031706B">
        <w:rPr>
          <w:rStyle w:val="EndnoteReference"/>
          <w:rFonts w:cstheme="minorHAnsi"/>
          <w:sz w:val="24"/>
        </w:rPr>
        <w:endnoteReference w:id="5"/>
      </w:r>
      <w:bookmarkEnd w:id="2"/>
      <w:r w:rsidRPr="0031706B">
        <w:rPr>
          <w:rFonts w:cstheme="minorHAnsi"/>
          <w:sz w:val="24"/>
        </w:rPr>
        <w:t xml:space="preserve">, and was based on a more complex calculator and technical analysis regarding future energy scenarios (DECC, 2010). All assumptions, descriptions and calculations underpinning the simulation derived from this more extensive body of work. </w:t>
      </w:r>
      <w:r w:rsidR="00EE3AF8" w:rsidRPr="0031706B">
        <w:rPr>
          <w:rFonts w:cstheme="minorHAnsi"/>
          <w:sz w:val="24"/>
        </w:rPr>
        <w:t xml:space="preserve">These assumptions limit the flexibility offered by the simulation, </w:t>
      </w:r>
      <w:r w:rsidR="00007D70" w:rsidRPr="0031706B">
        <w:rPr>
          <w:rFonts w:cstheme="minorHAnsi"/>
          <w:sz w:val="24"/>
        </w:rPr>
        <w:t>providing</w:t>
      </w:r>
      <w:r w:rsidR="00EE3AF8" w:rsidRPr="0031706B">
        <w:rPr>
          <w:rFonts w:cstheme="minorHAnsi"/>
          <w:sz w:val="24"/>
        </w:rPr>
        <w:t xml:space="preserve"> constraints on the number of </w:t>
      </w:r>
      <w:r w:rsidR="00007D70" w:rsidRPr="0031706B">
        <w:rPr>
          <w:rFonts w:cstheme="minorHAnsi"/>
          <w:sz w:val="24"/>
        </w:rPr>
        <w:t>options</w:t>
      </w:r>
      <w:r w:rsidR="00EE3AF8" w:rsidRPr="0031706B">
        <w:rPr>
          <w:rFonts w:cstheme="minorHAnsi"/>
          <w:sz w:val="24"/>
        </w:rPr>
        <w:t xml:space="preserve"> available, the setting</w:t>
      </w:r>
      <w:r w:rsidR="00007D70" w:rsidRPr="0031706B">
        <w:rPr>
          <w:rFonts w:cstheme="minorHAnsi"/>
          <w:sz w:val="24"/>
        </w:rPr>
        <w:t>s</w:t>
      </w:r>
      <w:r w:rsidR="00EE3AF8" w:rsidRPr="0031706B">
        <w:rPr>
          <w:rFonts w:cstheme="minorHAnsi"/>
          <w:sz w:val="24"/>
        </w:rPr>
        <w:t xml:space="preserve"> provided</w:t>
      </w:r>
      <w:r w:rsidR="00007D70" w:rsidRPr="0031706B">
        <w:rPr>
          <w:rFonts w:cstheme="minorHAnsi"/>
          <w:sz w:val="24"/>
        </w:rPr>
        <w:t xml:space="preserve"> for each option</w:t>
      </w:r>
      <w:r w:rsidR="00EE3AF8" w:rsidRPr="0031706B">
        <w:rPr>
          <w:rFonts w:cstheme="minorHAnsi"/>
          <w:sz w:val="24"/>
        </w:rPr>
        <w:t xml:space="preserve">, and the resulting preferences </w:t>
      </w:r>
      <w:r w:rsidR="00007D70" w:rsidRPr="0031706B">
        <w:rPr>
          <w:rFonts w:cstheme="minorHAnsi"/>
          <w:sz w:val="24"/>
        </w:rPr>
        <w:t>a</w:t>
      </w:r>
      <w:r w:rsidR="00EE3AF8" w:rsidRPr="0031706B">
        <w:rPr>
          <w:rFonts w:cstheme="minorHAnsi"/>
          <w:sz w:val="24"/>
        </w:rPr>
        <w:t xml:space="preserve"> participant can express.</w:t>
      </w:r>
      <w:r w:rsidR="00007D70" w:rsidRPr="0031706B">
        <w:rPr>
          <w:rFonts w:cstheme="minorHAnsi"/>
          <w:sz w:val="24"/>
        </w:rPr>
        <w:t xml:space="preserve"> For example, participants were unable to select ‘no biofuel production’ as a setting, since this was not available in the simulation.</w:t>
      </w:r>
      <w:r w:rsidR="00EE3AF8" w:rsidRPr="0031706B">
        <w:rPr>
          <w:rFonts w:cstheme="minorHAnsi"/>
          <w:sz w:val="24"/>
        </w:rPr>
        <w:t xml:space="preserve"> These limitations need to be considered when interpreting any findings from this research.</w:t>
      </w:r>
      <w:bookmarkStart w:id="3" w:name="_Ref189290100"/>
      <w:bookmarkStart w:id="4" w:name="_Toc193708841"/>
    </w:p>
    <w:p w14:paraId="73987A67" w14:textId="77777777" w:rsidR="00EF2280" w:rsidRDefault="00EF2280" w:rsidP="00EF2280">
      <w:pPr>
        <w:spacing w:after="0" w:line="480" w:lineRule="auto"/>
        <w:rPr>
          <w:rFonts w:cstheme="minorHAnsi"/>
          <w:b/>
          <w:sz w:val="24"/>
        </w:rPr>
      </w:pPr>
      <w:r>
        <w:rPr>
          <w:rFonts w:cstheme="minorHAnsi"/>
          <w:b/>
          <w:sz w:val="24"/>
        </w:rPr>
        <w:br w:type="page"/>
      </w:r>
    </w:p>
    <w:p w14:paraId="1E279261" w14:textId="5898A901" w:rsidR="001177D1" w:rsidRPr="00EF2280" w:rsidRDefault="00A81BB0" w:rsidP="00EF2280">
      <w:pPr>
        <w:spacing w:after="0" w:line="480" w:lineRule="auto"/>
        <w:rPr>
          <w:rFonts w:cstheme="minorHAnsi"/>
          <w:b/>
          <w:sz w:val="24"/>
        </w:rPr>
      </w:pPr>
      <w:r w:rsidRPr="00EF2280">
        <w:rPr>
          <w:rFonts w:cstheme="minorHAnsi"/>
          <w:b/>
          <w:sz w:val="24"/>
        </w:rPr>
        <w:lastRenderedPageBreak/>
        <w:t xml:space="preserve">Table </w:t>
      </w:r>
      <w:r w:rsidR="00132B97" w:rsidRPr="00EF2280">
        <w:rPr>
          <w:rFonts w:cstheme="minorHAnsi"/>
          <w:b/>
          <w:sz w:val="24"/>
        </w:rPr>
        <w:t>1</w:t>
      </w:r>
      <w:r w:rsidRPr="00EF2280">
        <w:rPr>
          <w:rFonts w:cstheme="minorHAnsi"/>
          <w:b/>
          <w:sz w:val="24"/>
        </w:rPr>
        <w:t xml:space="preserve"> </w:t>
      </w:r>
      <w:r w:rsidR="001177D1" w:rsidRPr="00EF2280">
        <w:rPr>
          <w:rFonts w:cstheme="minorHAnsi"/>
          <w:b/>
          <w:sz w:val="24"/>
        </w:rPr>
        <w:t xml:space="preserve">– </w:t>
      </w:r>
      <w:r w:rsidR="00B83AF9" w:rsidRPr="00EF2280">
        <w:rPr>
          <w:rFonts w:cstheme="minorHAnsi"/>
          <w:b/>
          <w:sz w:val="24"/>
        </w:rPr>
        <w:t xml:space="preserve">Possible settings </w:t>
      </w:r>
      <w:r w:rsidR="001177D1" w:rsidRPr="00EF2280">
        <w:rPr>
          <w:rFonts w:cstheme="minorHAnsi"/>
          <w:b/>
          <w:sz w:val="24"/>
        </w:rPr>
        <w:t>for supply sliders</w:t>
      </w:r>
    </w:p>
    <w:tbl>
      <w:tblPr>
        <w:tblW w:w="9214" w:type="dxa"/>
        <w:tblInd w:w="90" w:type="dxa"/>
        <w:shd w:val="clear" w:color="auto" w:fill="FFFFFF"/>
        <w:tblLayout w:type="fixed"/>
        <w:tblLook w:val="0020" w:firstRow="1" w:lastRow="0" w:firstColumn="0" w:lastColumn="0" w:noHBand="0" w:noVBand="0"/>
      </w:tblPr>
      <w:tblGrid>
        <w:gridCol w:w="1842"/>
        <w:gridCol w:w="1843"/>
        <w:gridCol w:w="1843"/>
        <w:gridCol w:w="1843"/>
        <w:gridCol w:w="1843"/>
      </w:tblGrid>
      <w:tr w:rsidR="001177D1" w:rsidRPr="0031706B" w14:paraId="354D807B" w14:textId="77777777" w:rsidTr="00F56E7B">
        <w:trPr>
          <w:cantSplit/>
          <w:trHeight w:val="191"/>
          <w:tblHeader/>
        </w:trPr>
        <w:tc>
          <w:tcPr>
            <w:tcW w:w="1842"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6F274AD5" w14:textId="77777777" w:rsidR="001177D1" w:rsidRPr="0031706B" w:rsidRDefault="001177D1" w:rsidP="00B83AF9">
            <w:pPr>
              <w:spacing w:after="0"/>
              <w:jc w:val="center"/>
              <w:rPr>
                <w:rFonts w:cstheme="minorHAnsi"/>
                <w:b/>
                <w:sz w:val="20"/>
                <w:szCs w:val="20"/>
              </w:rPr>
            </w:pPr>
            <w:r w:rsidRPr="0031706B">
              <w:rPr>
                <w:rFonts w:cstheme="minorHAnsi"/>
                <w:b/>
                <w:sz w:val="20"/>
                <w:szCs w:val="20"/>
              </w:rPr>
              <w:t>Supply</w:t>
            </w:r>
          </w:p>
        </w:tc>
        <w:tc>
          <w:tcPr>
            <w:tcW w:w="1843"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516EC50A" w14:textId="77777777" w:rsidR="001177D1" w:rsidRPr="0031706B" w:rsidRDefault="001177D1" w:rsidP="00B83AF9">
            <w:pPr>
              <w:spacing w:after="0"/>
              <w:jc w:val="center"/>
              <w:rPr>
                <w:rFonts w:cstheme="minorHAnsi"/>
                <w:b/>
                <w:sz w:val="20"/>
                <w:szCs w:val="20"/>
              </w:rPr>
            </w:pPr>
            <w:r w:rsidRPr="0031706B">
              <w:rPr>
                <w:rFonts w:cstheme="minorHAnsi"/>
                <w:b/>
                <w:sz w:val="20"/>
                <w:szCs w:val="20"/>
              </w:rPr>
              <w:t>Setting 1</w:t>
            </w:r>
          </w:p>
        </w:tc>
        <w:tc>
          <w:tcPr>
            <w:tcW w:w="1843"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2189ED9F" w14:textId="77777777" w:rsidR="001177D1" w:rsidRPr="0031706B" w:rsidRDefault="001177D1" w:rsidP="00B83AF9">
            <w:pPr>
              <w:spacing w:after="0"/>
              <w:jc w:val="center"/>
              <w:rPr>
                <w:rFonts w:cstheme="minorHAnsi"/>
                <w:b/>
                <w:sz w:val="20"/>
                <w:szCs w:val="20"/>
              </w:rPr>
            </w:pPr>
            <w:r w:rsidRPr="0031706B">
              <w:rPr>
                <w:rFonts w:cstheme="minorHAnsi"/>
                <w:b/>
                <w:sz w:val="20"/>
                <w:szCs w:val="20"/>
              </w:rPr>
              <w:t>Setting 2</w:t>
            </w:r>
          </w:p>
        </w:tc>
        <w:tc>
          <w:tcPr>
            <w:tcW w:w="1843"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436DB033" w14:textId="77777777" w:rsidR="001177D1" w:rsidRPr="0031706B" w:rsidRDefault="001177D1" w:rsidP="00B83AF9">
            <w:pPr>
              <w:spacing w:after="0"/>
              <w:jc w:val="center"/>
              <w:rPr>
                <w:rFonts w:cstheme="minorHAnsi"/>
                <w:b/>
                <w:sz w:val="20"/>
                <w:szCs w:val="20"/>
              </w:rPr>
            </w:pPr>
            <w:r w:rsidRPr="0031706B">
              <w:rPr>
                <w:rFonts w:cstheme="minorHAnsi"/>
                <w:b/>
                <w:sz w:val="20"/>
                <w:szCs w:val="20"/>
              </w:rPr>
              <w:t>Setting 3</w:t>
            </w:r>
          </w:p>
        </w:tc>
        <w:tc>
          <w:tcPr>
            <w:tcW w:w="1843"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620D5A49" w14:textId="77777777" w:rsidR="001177D1" w:rsidRPr="0031706B" w:rsidRDefault="001177D1" w:rsidP="00B83AF9">
            <w:pPr>
              <w:spacing w:after="0"/>
              <w:jc w:val="center"/>
              <w:rPr>
                <w:rFonts w:cstheme="minorHAnsi"/>
                <w:b/>
                <w:sz w:val="20"/>
                <w:szCs w:val="20"/>
              </w:rPr>
            </w:pPr>
            <w:r w:rsidRPr="0031706B">
              <w:rPr>
                <w:rFonts w:cstheme="minorHAnsi"/>
                <w:b/>
                <w:sz w:val="20"/>
                <w:szCs w:val="20"/>
              </w:rPr>
              <w:t>Setting 4</w:t>
            </w:r>
          </w:p>
        </w:tc>
      </w:tr>
      <w:tr w:rsidR="001177D1" w:rsidRPr="0031706B" w14:paraId="32B5F578" w14:textId="77777777" w:rsidTr="00F56E7B">
        <w:trPr>
          <w:cantSplit/>
          <w:trHeight w:val="1409"/>
        </w:trPr>
        <w:tc>
          <w:tcPr>
            <w:tcW w:w="1842"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7946BFFA"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Biofuel production</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14:paraId="2A3FDD19" w14:textId="77777777" w:rsidR="001177D1" w:rsidRPr="0031706B" w:rsidRDefault="001177D1" w:rsidP="00B83AF9">
            <w:pPr>
              <w:spacing w:after="0"/>
              <w:rPr>
                <w:rFonts w:eastAsia="ヒラギノ角ゴ Pro W3" w:cstheme="minorHAnsi"/>
                <w:sz w:val="20"/>
                <w:szCs w:val="20"/>
              </w:rPr>
            </w:pPr>
            <w:r w:rsidRPr="0031706B">
              <w:rPr>
                <w:rFonts w:eastAsia="ヒラギノ角ゴ Pro W3" w:cstheme="minorHAnsi"/>
                <w:sz w:val="20"/>
                <w:szCs w:val="20"/>
              </w:rPr>
              <w:t xml:space="preserve">We use bioenergy crops grown in the UK covering an area half the size of Wales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6F11C48C" w14:textId="77777777" w:rsidR="001177D1" w:rsidRPr="0031706B" w:rsidRDefault="001177D1" w:rsidP="00B83AF9">
            <w:pPr>
              <w:spacing w:after="0"/>
              <w:rPr>
                <w:rFonts w:eastAsia="ヒラギノ角ゴ Pro W3" w:cstheme="minorHAnsi"/>
                <w:sz w:val="20"/>
                <w:szCs w:val="20"/>
              </w:rPr>
            </w:pPr>
            <w:r w:rsidRPr="0031706B">
              <w:rPr>
                <w:rFonts w:eastAsia="ヒラギノ角ゴ Pro W3" w:cstheme="minorHAnsi"/>
                <w:sz w:val="20"/>
                <w:szCs w:val="20"/>
              </w:rPr>
              <w:t xml:space="preserve">We use bioenergy crops grown in the UK covering an area half the size of Wales and an area half the size of Wales overseas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17AE1F1B" w14:textId="77777777" w:rsidR="001177D1" w:rsidRPr="0031706B" w:rsidRDefault="001177D1" w:rsidP="00B83AF9">
            <w:pPr>
              <w:spacing w:after="0"/>
              <w:rPr>
                <w:rFonts w:eastAsia="ヒラギノ角ゴ Pro W3" w:cstheme="minorHAnsi"/>
                <w:b/>
                <w:sz w:val="20"/>
                <w:szCs w:val="20"/>
              </w:rPr>
            </w:pPr>
            <w:r w:rsidRPr="0031706B">
              <w:rPr>
                <w:rFonts w:eastAsia="ヒラギノ角ゴ Pro W3" w:cstheme="minorHAnsi"/>
                <w:sz w:val="20"/>
                <w:szCs w:val="20"/>
              </w:rPr>
              <w:t xml:space="preserve">We use bioenergy crops covering an area the size of Wales in the UK and another area the size of Wales overseas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0DEC062F" w14:textId="77777777" w:rsidR="001177D1" w:rsidRPr="0031706B" w:rsidRDefault="001177D1" w:rsidP="00B83AF9">
            <w:pPr>
              <w:spacing w:after="0"/>
              <w:rPr>
                <w:rFonts w:eastAsia="ヒラギノ角ゴ Pro W3" w:cstheme="minorHAnsi"/>
                <w:sz w:val="20"/>
                <w:szCs w:val="20"/>
              </w:rPr>
            </w:pPr>
            <w:r w:rsidRPr="0031706B">
              <w:rPr>
                <w:rFonts w:eastAsia="ヒラギノ角ゴ Pro W3" w:cstheme="minorHAnsi"/>
                <w:sz w:val="20"/>
                <w:szCs w:val="20"/>
              </w:rPr>
              <w:t xml:space="preserve">We use bioenergy crops covering an area twice the size of Wales and the same again overseas </w:t>
            </w:r>
          </w:p>
        </w:tc>
      </w:tr>
      <w:tr w:rsidR="001177D1" w:rsidRPr="0031706B" w14:paraId="7BE02A68" w14:textId="77777777" w:rsidTr="00F56E7B">
        <w:trPr>
          <w:cantSplit/>
          <w:trHeight w:val="1230"/>
        </w:trPr>
        <w:tc>
          <w:tcPr>
            <w:tcW w:w="1842"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0996BF82"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 xml:space="preserve">Oil, gas and coal power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773D9991" w14:textId="77777777" w:rsidR="001177D1" w:rsidRPr="0031706B" w:rsidRDefault="001177D1" w:rsidP="00B83AF9">
            <w:pPr>
              <w:spacing w:after="0"/>
              <w:rPr>
                <w:rFonts w:eastAsia="ヒラギノ角ゴ Pro W3" w:cstheme="minorHAnsi"/>
                <w:b/>
                <w:sz w:val="20"/>
                <w:szCs w:val="20"/>
              </w:rPr>
            </w:pPr>
            <w:r w:rsidRPr="0031706B">
              <w:rPr>
                <w:rFonts w:eastAsia="ヒラギノ角ゴ Pro W3" w:cstheme="minorHAnsi"/>
                <w:sz w:val="20"/>
                <w:szCs w:val="20"/>
              </w:rPr>
              <w:t xml:space="preserve">Fossil fuel supplies increase by more than 25% in 2050 from today, many of which will be imported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11394A7D" w14:textId="77777777" w:rsidR="001177D1" w:rsidRPr="0031706B" w:rsidRDefault="001177D1" w:rsidP="00B83AF9">
            <w:pPr>
              <w:spacing w:after="0"/>
              <w:rPr>
                <w:rFonts w:eastAsia="ヒラギノ角ゴ Pro W3" w:cstheme="minorHAnsi"/>
                <w:b/>
                <w:sz w:val="20"/>
                <w:szCs w:val="20"/>
              </w:rPr>
            </w:pPr>
            <w:r w:rsidRPr="0031706B">
              <w:rPr>
                <w:rFonts w:eastAsia="ヒラギノ角ゴ Pro W3" w:cstheme="minorHAnsi"/>
                <w:sz w:val="20"/>
                <w:szCs w:val="20"/>
              </w:rPr>
              <w:t>Fossil fuel supplies in 2050 fall by 25% of those supplied today</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5DEB45CC" w14:textId="77777777" w:rsidR="001177D1" w:rsidRPr="0031706B" w:rsidRDefault="001177D1" w:rsidP="00B83AF9">
            <w:pPr>
              <w:spacing w:after="0"/>
              <w:rPr>
                <w:rFonts w:eastAsia="ヒラギノ角ゴ Pro W3" w:cstheme="minorHAnsi"/>
                <w:sz w:val="20"/>
                <w:szCs w:val="20"/>
              </w:rPr>
            </w:pPr>
            <w:r w:rsidRPr="0031706B">
              <w:rPr>
                <w:rFonts w:eastAsia="ヒラギノ角ゴ Pro W3" w:cstheme="minorHAnsi"/>
                <w:sz w:val="20"/>
                <w:szCs w:val="20"/>
              </w:rPr>
              <w:t xml:space="preserve">Half as much fossil fuel supplies as today in 2050 </w:t>
            </w:r>
          </w:p>
          <w:p w14:paraId="25E17947" w14:textId="77777777" w:rsidR="001177D1" w:rsidRPr="0031706B" w:rsidRDefault="001177D1" w:rsidP="00B83AF9">
            <w:pPr>
              <w:spacing w:after="0"/>
              <w:rPr>
                <w:rFonts w:eastAsia="ヒラギノ角ゴ Pro W3" w:cstheme="minorHAnsi"/>
                <w:b/>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14:paraId="55F66E49" w14:textId="77777777" w:rsidR="001177D1" w:rsidRPr="0031706B" w:rsidRDefault="001177D1" w:rsidP="00B83AF9">
            <w:pPr>
              <w:spacing w:after="0"/>
              <w:rPr>
                <w:rFonts w:eastAsia="ヒラギノ角ゴ Pro W3" w:cstheme="minorHAnsi"/>
                <w:sz w:val="20"/>
                <w:szCs w:val="20"/>
              </w:rPr>
            </w:pPr>
            <w:r w:rsidRPr="0031706B">
              <w:rPr>
                <w:rFonts w:eastAsia="ヒラギノ角ゴ Pro W3" w:cstheme="minorHAnsi"/>
                <w:sz w:val="20"/>
                <w:szCs w:val="20"/>
              </w:rPr>
              <w:t xml:space="preserve">Fossil fuel supplies in 2050 are only 10% of those supplied today </w:t>
            </w:r>
          </w:p>
          <w:p w14:paraId="69F1CA06" w14:textId="77777777" w:rsidR="001177D1" w:rsidRPr="0031706B" w:rsidRDefault="001177D1" w:rsidP="00B83AF9">
            <w:pPr>
              <w:spacing w:after="0"/>
              <w:rPr>
                <w:rFonts w:eastAsia="ヒラギノ角ゴ Pro W3" w:cstheme="minorHAnsi"/>
                <w:b/>
                <w:sz w:val="20"/>
                <w:szCs w:val="20"/>
              </w:rPr>
            </w:pPr>
          </w:p>
        </w:tc>
      </w:tr>
      <w:tr w:rsidR="001177D1" w:rsidRPr="0031706B" w14:paraId="64FAB004" w14:textId="77777777" w:rsidTr="00F56E7B">
        <w:trPr>
          <w:cantSplit/>
          <w:trHeight w:val="1429"/>
        </w:trPr>
        <w:tc>
          <w:tcPr>
            <w:tcW w:w="1842"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61C7DD01"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Nuclear power</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14:paraId="4B7647B4" w14:textId="77777777" w:rsidR="001177D1" w:rsidRPr="0031706B" w:rsidRDefault="001177D1" w:rsidP="00B83AF9">
            <w:pPr>
              <w:spacing w:after="0"/>
              <w:rPr>
                <w:rFonts w:eastAsia="ヒラギノ角ゴ Pro W3" w:cstheme="minorHAnsi"/>
                <w:sz w:val="20"/>
                <w:szCs w:val="20"/>
              </w:rPr>
            </w:pPr>
            <w:r w:rsidRPr="0031706B">
              <w:rPr>
                <w:rFonts w:eastAsia="ヒラギノ角ゴ Pro W3" w:cstheme="minorHAnsi"/>
                <w:sz w:val="20"/>
                <w:szCs w:val="20"/>
              </w:rPr>
              <w:t>No nuclear power in 2050</w:t>
            </w:r>
          </w:p>
          <w:p w14:paraId="13A9A427" w14:textId="77777777" w:rsidR="001177D1" w:rsidRPr="0031706B" w:rsidRDefault="001177D1" w:rsidP="00B83AF9">
            <w:pPr>
              <w:spacing w:after="0"/>
              <w:rPr>
                <w:rFonts w:eastAsia="ヒラギノ角ゴ Pro W3" w:cstheme="minorHAnsi"/>
                <w:b/>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6E0B24E3" w14:textId="77777777" w:rsidR="001177D1" w:rsidRPr="0031706B" w:rsidRDefault="001177D1" w:rsidP="00B83AF9">
            <w:pPr>
              <w:spacing w:after="0"/>
              <w:rPr>
                <w:rFonts w:eastAsia="ヒラギノ角ゴ Pro W3" w:cstheme="minorHAnsi"/>
                <w:b/>
                <w:sz w:val="20"/>
                <w:szCs w:val="20"/>
              </w:rPr>
            </w:pPr>
            <w:r w:rsidRPr="0031706B">
              <w:rPr>
                <w:rFonts w:eastAsia="ヒラギノ角ゴ Pro W3" w:cstheme="minorHAnsi"/>
                <w:sz w:val="20"/>
                <w:szCs w:val="20"/>
              </w:rPr>
              <w:t>Four times as much nuclear power as today in 2050, comparable to building 13 large nuclear power stations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3C930590" w14:textId="77777777" w:rsidR="001177D1" w:rsidRPr="0031706B" w:rsidRDefault="001177D1" w:rsidP="00B83AF9">
            <w:pPr>
              <w:spacing w:after="0"/>
              <w:rPr>
                <w:rFonts w:eastAsia="ヒラギノ角ゴ Pro W3" w:cstheme="minorHAnsi"/>
                <w:b/>
                <w:sz w:val="20"/>
                <w:szCs w:val="20"/>
              </w:rPr>
            </w:pPr>
            <w:r w:rsidRPr="0031706B">
              <w:rPr>
                <w:rFonts w:eastAsia="ヒラギノ角ゴ Pro W3" w:cstheme="minorHAnsi"/>
                <w:sz w:val="20"/>
                <w:szCs w:val="20"/>
              </w:rPr>
              <w:t>Nine times as much nuclear power as today in 2050, comparable to building 30 large nuclear power stations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6F492AC5" w14:textId="77777777" w:rsidR="001177D1" w:rsidRPr="0031706B" w:rsidRDefault="001177D1" w:rsidP="00B83AF9">
            <w:pPr>
              <w:spacing w:after="0"/>
              <w:rPr>
                <w:rFonts w:eastAsia="ヒラギノ角ゴ Pro W3" w:cstheme="minorHAnsi"/>
                <w:b/>
                <w:sz w:val="20"/>
                <w:szCs w:val="20"/>
              </w:rPr>
            </w:pPr>
            <w:r w:rsidRPr="0031706B">
              <w:rPr>
                <w:rFonts w:eastAsia="ヒラギノ角ゴ Pro W3" w:cstheme="minorHAnsi"/>
                <w:sz w:val="20"/>
                <w:szCs w:val="20"/>
              </w:rPr>
              <w:t>Thirteen times as much nuclear power as today in 2050, comparable to building 50 large nuclear power stations</w:t>
            </w:r>
          </w:p>
        </w:tc>
      </w:tr>
      <w:tr w:rsidR="001177D1" w:rsidRPr="0031706B" w14:paraId="72A4E22E" w14:textId="77777777" w:rsidTr="00F56E7B">
        <w:trPr>
          <w:cantSplit/>
          <w:trHeight w:val="1724"/>
        </w:trPr>
        <w:tc>
          <w:tcPr>
            <w:tcW w:w="1842"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003F6B63"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Clean coal and gas power</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14:paraId="1C0777F4" w14:textId="77777777" w:rsidR="001177D1" w:rsidRPr="0031706B" w:rsidRDefault="001177D1" w:rsidP="00B83AF9">
            <w:pPr>
              <w:spacing w:after="0"/>
              <w:rPr>
                <w:rFonts w:eastAsia="ヒラギノ角ゴ Pro W3" w:cstheme="minorHAnsi"/>
                <w:b/>
                <w:sz w:val="20"/>
                <w:szCs w:val="20"/>
              </w:rPr>
            </w:pPr>
            <w:r w:rsidRPr="0031706B">
              <w:rPr>
                <w:rFonts w:eastAsia="ヒラギノ角ゴ Pro W3" w:cstheme="minorHAnsi"/>
                <w:sz w:val="20"/>
                <w:szCs w:val="20"/>
              </w:rPr>
              <w:t xml:space="preserve">No clean coal and gas stations beyond UK demonstration </w:t>
            </w:r>
            <w:proofErr w:type="spellStart"/>
            <w:r w:rsidRPr="0031706B">
              <w:rPr>
                <w:rFonts w:eastAsia="ヒラギノ角ゴ Pro W3" w:cstheme="minorHAnsi"/>
                <w:sz w:val="20"/>
                <w:szCs w:val="20"/>
              </w:rPr>
              <w:t>programme</w:t>
            </w:r>
            <w:proofErr w:type="spellEnd"/>
            <w:r w:rsidRPr="0031706B">
              <w:rPr>
                <w:rFonts w:eastAsia="ヒラギノ角ゴ Pro W3" w:cstheme="minorHAnsi"/>
                <w:sz w:val="20"/>
                <w:szCs w:val="20"/>
              </w:rPr>
              <w:t>. Carbon capture and storage does not work at scale.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65918DF4" w14:textId="77777777" w:rsidR="001177D1" w:rsidRPr="0031706B" w:rsidRDefault="001177D1" w:rsidP="00B83AF9">
            <w:pPr>
              <w:spacing w:after="0"/>
              <w:rPr>
                <w:rFonts w:eastAsia="ヒラギノ角ゴ Pro W3" w:cstheme="minorHAnsi"/>
                <w:b/>
                <w:sz w:val="20"/>
                <w:szCs w:val="20"/>
              </w:rPr>
            </w:pPr>
            <w:r w:rsidRPr="0031706B">
              <w:rPr>
                <w:rFonts w:eastAsia="ヒラギノ角ゴ Pro W3" w:cstheme="minorHAnsi"/>
                <w:sz w:val="20"/>
                <w:szCs w:val="20"/>
              </w:rPr>
              <w:t xml:space="preserve">Around 30 gas and coal stations store their carbon - equivalent to today’s gas and coal stations.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1BFFA85A" w14:textId="77777777" w:rsidR="001177D1" w:rsidRPr="0031706B" w:rsidRDefault="001177D1" w:rsidP="00B83AF9">
            <w:pPr>
              <w:spacing w:after="0"/>
              <w:rPr>
                <w:rFonts w:eastAsia="ヒラギノ角ゴ Pro W3" w:cstheme="minorHAnsi"/>
                <w:b/>
                <w:sz w:val="20"/>
                <w:szCs w:val="20"/>
              </w:rPr>
            </w:pPr>
            <w:r w:rsidRPr="0031706B">
              <w:rPr>
                <w:rFonts w:eastAsia="ヒラギノ角ゴ Pro W3" w:cstheme="minorHAnsi"/>
                <w:sz w:val="20"/>
                <w:szCs w:val="20"/>
              </w:rPr>
              <w:t>Around 45 gas and coal stations filter and store their carbon. Coal and gas industry produces over 50% more power than today.</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39EA4EF3" w14:textId="77777777" w:rsidR="001177D1" w:rsidRPr="0031706B" w:rsidRDefault="001177D1" w:rsidP="00B83AF9">
            <w:pPr>
              <w:spacing w:after="0"/>
              <w:rPr>
                <w:rFonts w:eastAsia="ヒラギノ角ゴ Pro W3" w:cstheme="minorHAnsi"/>
                <w:sz w:val="20"/>
                <w:szCs w:val="20"/>
              </w:rPr>
            </w:pPr>
            <w:r w:rsidRPr="0031706B">
              <w:rPr>
                <w:rFonts w:eastAsia="ヒラギノ角ゴ Pro W3" w:cstheme="minorHAnsi"/>
                <w:sz w:val="20"/>
                <w:szCs w:val="20"/>
              </w:rPr>
              <w:t>Around 70 gas and coal stations filter and store their carbon underground. Coal and gas industry over double the size of today.</w:t>
            </w:r>
          </w:p>
          <w:p w14:paraId="6CE39A57" w14:textId="77777777" w:rsidR="001177D1" w:rsidRPr="0031706B" w:rsidRDefault="001177D1" w:rsidP="00B83AF9">
            <w:pPr>
              <w:spacing w:after="0"/>
              <w:rPr>
                <w:rFonts w:eastAsia="ヒラギノ角ゴ Pro W3" w:cstheme="minorHAnsi"/>
                <w:b/>
                <w:sz w:val="20"/>
                <w:szCs w:val="20"/>
              </w:rPr>
            </w:pPr>
          </w:p>
        </w:tc>
      </w:tr>
      <w:tr w:rsidR="001177D1" w:rsidRPr="0031706B" w14:paraId="12613511" w14:textId="77777777" w:rsidTr="00F56E7B">
        <w:trPr>
          <w:cantSplit/>
          <w:trHeight w:val="920"/>
        </w:trPr>
        <w:tc>
          <w:tcPr>
            <w:tcW w:w="1842"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3A85F22D"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Wind turbines on land</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14:paraId="3FA87EBE"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No onshore wind turbines in 2050.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3E13030F"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8,000 onshore wind turbines built by 2050. In 2010 we had 3,000.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7A692D96"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13,000 onshore wind turbines built by 2050.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3006DD36"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 xml:space="preserve">20,000 onshore wind turbines built by 2050. </w:t>
            </w:r>
          </w:p>
        </w:tc>
      </w:tr>
      <w:tr w:rsidR="001177D1" w:rsidRPr="0031706B" w14:paraId="73C3C28C" w14:textId="77777777" w:rsidTr="00F56E7B">
        <w:trPr>
          <w:cantSplit/>
          <w:trHeight w:val="1148"/>
        </w:trPr>
        <w:tc>
          <w:tcPr>
            <w:tcW w:w="1842"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363D757D"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Wind turbines on sea</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14:paraId="6ED10B9B"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No offshore wind turbines in 2050.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64B73949"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10,000 offshore wind turbines built by 2050. In 2010 we had 436.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641D88A6"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17,000 offshore wind turbines built by 2050.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5C102E0E"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 xml:space="preserve">40,000 offshore wind turbines built by 2050, including some floating turbines. </w:t>
            </w:r>
          </w:p>
        </w:tc>
      </w:tr>
      <w:tr w:rsidR="001177D1" w:rsidRPr="0031706B" w14:paraId="0008CC39" w14:textId="77777777" w:rsidTr="00F56E7B">
        <w:trPr>
          <w:cantSplit/>
          <w:trHeight w:val="1554"/>
        </w:trPr>
        <w:tc>
          <w:tcPr>
            <w:tcW w:w="1842" w:type="dxa"/>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380B718A"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Solar, marine and hydro power</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90" w:type="dxa"/>
              <w:left w:w="90" w:type="dxa"/>
              <w:bottom w:w="90" w:type="dxa"/>
              <w:right w:w="90" w:type="dxa"/>
            </w:tcMar>
          </w:tcPr>
          <w:p w14:paraId="2A0F9E90"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No solar, hydro, geo-thermal or marine energy sources used in 2050.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3442D594" w14:textId="5090214A"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4m</w:t>
            </w:r>
            <w:r w:rsidR="00F56773" w:rsidRPr="0031706B">
              <w:rPr>
                <w:rFonts w:asciiTheme="minorHAnsi" w:hAnsiTheme="minorHAnsi" w:cstheme="minorHAnsi"/>
                <w:color w:val="auto"/>
                <w:sz w:val="20"/>
                <w:vertAlign w:val="superscript"/>
              </w:rPr>
              <w:t>2</w:t>
            </w:r>
            <w:r w:rsidRPr="0031706B">
              <w:rPr>
                <w:rFonts w:asciiTheme="minorHAnsi" w:hAnsiTheme="minorHAnsi" w:cstheme="minorHAnsi"/>
                <w:color w:val="auto"/>
                <w:sz w:val="20"/>
              </w:rPr>
              <w:t xml:space="preserve"> of solar panels per person; 8,000 wave machines; small tidal, geothermal and hydroelectric schemes.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03084B63" w14:textId="4459F990"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6m</w:t>
            </w:r>
            <w:r w:rsidR="00F56773" w:rsidRPr="0031706B">
              <w:rPr>
                <w:rFonts w:asciiTheme="minorHAnsi" w:hAnsiTheme="minorHAnsi" w:cstheme="minorHAnsi"/>
                <w:color w:val="auto"/>
                <w:sz w:val="20"/>
                <w:vertAlign w:val="superscript"/>
              </w:rPr>
              <w:t>2</w:t>
            </w:r>
            <w:r w:rsidRPr="0031706B">
              <w:rPr>
                <w:rFonts w:asciiTheme="minorHAnsi" w:hAnsiTheme="minorHAnsi" w:cstheme="minorHAnsi"/>
                <w:color w:val="auto"/>
                <w:sz w:val="20"/>
              </w:rPr>
              <w:t xml:space="preserve"> of solar panels per person; 16,000 wave machines; major tidal, geothermal and hydroelectric schemes.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90" w:type="dxa"/>
              <w:left w:w="90" w:type="dxa"/>
              <w:bottom w:w="90" w:type="dxa"/>
              <w:right w:w="90" w:type="dxa"/>
            </w:tcMar>
          </w:tcPr>
          <w:p w14:paraId="7040C66A" w14:textId="4AC7CF72"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10m</w:t>
            </w:r>
            <w:r w:rsidR="00F56773" w:rsidRPr="0031706B">
              <w:rPr>
                <w:rFonts w:asciiTheme="minorHAnsi" w:hAnsiTheme="minorHAnsi" w:cstheme="minorHAnsi"/>
                <w:sz w:val="20"/>
                <w:vertAlign w:val="superscript"/>
              </w:rPr>
              <w:t>2</w:t>
            </w:r>
            <w:r w:rsidRPr="0031706B">
              <w:rPr>
                <w:rFonts w:asciiTheme="minorHAnsi" w:hAnsiTheme="minorHAnsi" w:cstheme="minorHAnsi"/>
                <w:sz w:val="20"/>
              </w:rPr>
              <w:t xml:space="preserve"> of solar panels per person; 27,000 wave machines; highly ambitious tidal, geothermal and hydroelectric schemes.</w:t>
            </w:r>
          </w:p>
        </w:tc>
      </w:tr>
      <w:tr w:rsidR="00B83AF9" w:rsidRPr="0031706B" w14:paraId="4F9270A1" w14:textId="77777777" w:rsidTr="00F56E7B">
        <w:trPr>
          <w:cantSplit/>
          <w:trHeight w:val="450"/>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CCCCCC"/>
            <w:tcMar>
              <w:top w:w="90" w:type="dxa"/>
              <w:left w:w="90" w:type="dxa"/>
              <w:bottom w:w="90" w:type="dxa"/>
              <w:right w:w="90" w:type="dxa"/>
            </w:tcMar>
          </w:tcPr>
          <w:p w14:paraId="6C8F468D" w14:textId="77777777" w:rsidR="00B83AF9" w:rsidRPr="0031706B" w:rsidRDefault="00B83AF9"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sz w:val="20"/>
              </w:rPr>
            </w:pPr>
            <w:r w:rsidRPr="0031706B">
              <w:rPr>
                <w:rFonts w:asciiTheme="minorHAnsi" w:hAnsiTheme="minorHAnsi" w:cstheme="minorHAnsi"/>
                <w:sz w:val="20"/>
                <w:szCs w:val="24"/>
              </w:rPr>
              <w:t>All text taken directly from ‘My2050’ (DECC, 2011c)</w:t>
            </w:r>
          </w:p>
        </w:tc>
      </w:tr>
    </w:tbl>
    <w:p w14:paraId="070AD593" w14:textId="77777777" w:rsidR="00BF0EFF" w:rsidRPr="0031706B" w:rsidRDefault="00BF0EFF" w:rsidP="00CA4C4E">
      <w:pPr>
        <w:spacing w:after="0" w:line="480" w:lineRule="auto"/>
        <w:rPr>
          <w:rFonts w:cstheme="minorHAnsi"/>
          <w:b/>
          <w:sz w:val="24"/>
        </w:rPr>
      </w:pPr>
      <w:bookmarkStart w:id="5" w:name="_Ref189135598"/>
      <w:bookmarkStart w:id="6" w:name="_Toc193708842"/>
    </w:p>
    <w:p w14:paraId="3FF7BD36" w14:textId="08ADE38F" w:rsidR="001177D1" w:rsidRPr="0031706B" w:rsidRDefault="001177D1" w:rsidP="00CA4C4E">
      <w:pPr>
        <w:spacing w:after="0" w:line="480" w:lineRule="auto"/>
        <w:rPr>
          <w:rFonts w:cstheme="minorHAnsi"/>
          <w:sz w:val="24"/>
        </w:rPr>
      </w:pPr>
      <w:r w:rsidRPr="0031706B">
        <w:rPr>
          <w:rFonts w:cstheme="minorHAnsi"/>
          <w:b/>
          <w:sz w:val="24"/>
        </w:rPr>
        <w:lastRenderedPageBreak/>
        <w:t xml:space="preserve">Table </w:t>
      </w:r>
      <w:bookmarkEnd w:id="5"/>
      <w:r w:rsidR="00132B97" w:rsidRPr="0031706B">
        <w:rPr>
          <w:rFonts w:cstheme="minorHAnsi"/>
          <w:b/>
          <w:sz w:val="24"/>
        </w:rPr>
        <w:t>2</w:t>
      </w:r>
      <w:r w:rsidRPr="0031706B">
        <w:rPr>
          <w:rFonts w:cstheme="minorHAnsi"/>
          <w:b/>
          <w:sz w:val="24"/>
        </w:rPr>
        <w:t xml:space="preserve"> – </w:t>
      </w:r>
      <w:r w:rsidR="00B83AF9" w:rsidRPr="0031706B">
        <w:rPr>
          <w:rFonts w:cstheme="minorHAnsi"/>
          <w:b/>
          <w:sz w:val="24"/>
        </w:rPr>
        <w:t xml:space="preserve">Possible settings </w:t>
      </w:r>
      <w:r w:rsidRPr="0031706B">
        <w:rPr>
          <w:rFonts w:cstheme="minorHAnsi"/>
          <w:b/>
          <w:sz w:val="24"/>
        </w:rPr>
        <w:t>for demand sliders</w:t>
      </w:r>
      <w:bookmarkEnd w:id="6"/>
    </w:p>
    <w:tbl>
      <w:tblPr>
        <w:tblW w:w="8463" w:type="dxa"/>
        <w:tblInd w:w="80" w:type="dxa"/>
        <w:shd w:val="clear" w:color="auto" w:fill="FFFFFF"/>
        <w:tblLayout w:type="fixed"/>
        <w:tblLook w:val="0000" w:firstRow="0" w:lastRow="0" w:firstColumn="0" w:lastColumn="0" w:noHBand="0" w:noVBand="0"/>
      </w:tblPr>
      <w:tblGrid>
        <w:gridCol w:w="1560"/>
        <w:gridCol w:w="1842"/>
        <w:gridCol w:w="1701"/>
        <w:gridCol w:w="1701"/>
        <w:gridCol w:w="1659"/>
      </w:tblGrid>
      <w:tr w:rsidR="001177D1" w:rsidRPr="0031706B" w14:paraId="3B78115F" w14:textId="77777777" w:rsidTr="009A7C90">
        <w:trPr>
          <w:cantSplit/>
          <w:trHeight w:val="272"/>
        </w:trPr>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1E22899A" w14:textId="77777777" w:rsidR="001177D1" w:rsidRPr="0031706B" w:rsidRDefault="001177D1" w:rsidP="00B83AF9">
            <w:pPr>
              <w:spacing w:after="0"/>
              <w:jc w:val="center"/>
              <w:rPr>
                <w:rFonts w:cstheme="minorHAnsi"/>
                <w:b/>
                <w:sz w:val="20"/>
                <w:szCs w:val="20"/>
              </w:rPr>
            </w:pPr>
            <w:r w:rsidRPr="0031706B">
              <w:rPr>
                <w:rFonts w:cstheme="minorHAnsi"/>
                <w:b/>
                <w:sz w:val="20"/>
                <w:szCs w:val="20"/>
              </w:rPr>
              <w:t>Demand</w:t>
            </w:r>
          </w:p>
        </w:tc>
        <w:tc>
          <w:tcPr>
            <w:tcW w:w="1842"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2E058947" w14:textId="77777777" w:rsidR="001177D1" w:rsidRPr="0031706B" w:rsidRDefault="001177D1" w:rsidP="00B83AF9">
            <w:pPr>
              <w:spacing w:after="0"/>
              <w:jc w:val="center"/>
              <w:rPr>
                <w:rFonts w:cstheme="minorHAnsi"/>
                <w:b/>
                <w:sz w:val="20"/>
                <w:szCs w:val="20"/>
              </w:rPr>
            </w:pPr>
            <w:r w:rsidRPr="0031706B">
              <w:rPr>
                <w:rFonts w:cstheme="minorHAnsi"/>
                <w:b/>
                <w:sz w:val="20"/>
                <w:szCs w:val="20"/>
              </w:rPr>
              <w:t>Setting 1</w:t>
            </w:r>
          </w:p>
        </w:tc>
        <w:tc>
          <w:tcPr>
            <w:tcW w:w="1701"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25702257" w14:textId="77777777" w:rsidR="001177D1" w:rsidRPr="0031706B" w:rsidRDefault="001177D1" w:rsidP="00B83AF9">
            <w:pPr>
              <w:spacing w:after="0"/>
              <w:jc w:val="center"/>
              <w:rPr>
                <w:rFonts w:cstheme="minorHAnsi"/>
                <w:b/>
                <w:sz w:val="20"/>
                <w:szCs w:val="20"/>
              </w:rPr>
            </w:pPr>
            <w:r w:rsidRPr="0031706B">
              <w:rPr>
                <w:rFonts w:cstheme="minorHAnsi"/>
                <w:b/>
                <w:sz w:val="20"/>
                <w:szCs w:val="20"/>
              </w:rPr>
              <w:t>Setting 2</w:t>
            </w:r>
          </w:p>
        </w:tc>
        <w:tc>
          <w:tcPr>
            <w:tcW w:w="1701"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59E22A43" w14:textId="77777777" w:rsidR="001177D1" w:rsidRPr="0031706B" w:rsidRDefault="001177D1" w:rsidP="00B83AF9">
            <w:pPr>
              <w:spacing w:after="0"/>
              <w:jc w:val="center"/>
              <w:rPr>
                <w:rFonts w:cstheme="minorHAnsi"/>
                <w:b/>
                <w:sz w:val="20"/>
                <w:szCs w:val="20"/>
              </w:rPr>
            </w:pPr>
            <w:r w:rsidRPr="0031706B">
              <w:rPr>
                <w:rFonts w:cstheme="minorHAnsi"/>
                <w:b/>
                <w:sz w:val="20"/>
                <w:szCs w:val="20"/>
              </w:rPr>
              <w:t>Setting 3</w:t>
            </w:r>
          </w:p>
        </w:tc>
        <w:tc>
          <w:tcPr>
            <w:tcW w:w="1659"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547C3131" w14:textId="77777777" w:rsidR="001177D1" w:rsidRPr="0031706B" w:rsidRDefault="001177D1" w:rsidP="00B83AF9">
            <w:pPr>
              <w:spacing w:after="0"/>
              <w:jc w:val="center"/>
              <w:rPr>
                <w:rFonts w:cstheme="minorHAnsi"/>
                <w:b/>
                <w:sz w:val="20"/>
                <w:szCs w:val="20"/>
              </w:rPr>
            </w:pPr>
            <w:r w:rsidRPr="0031706B">
              <w:rPr>
                <w:rFonts w:cstheme="minorHAnsi"/>
                <w:b/>
                <w:sz w:val="20"/>
                <w:szCs w:val="20"/>
              </w:rPr>
              <w:t>Setting 4</w:t>
            </w:r>
          </w:p>
        </w:tc>
      </w:tr>
      <w:tr w:rsidR="001177D1" w:rsidRPr="0031706B" w14:paraId="2C49EBDC" w14:textId="77777777" w:rsidTr="009A7C90">
        <w:trPr>
          <w:cantSplit/>
          <w:trHeight w:val="2066"/>
        </w:trPr>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083F4AEC"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 xml:space="preserve">Manufacturing growth </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F29F84D"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sz w:val="20"/>
              </w:rPr>
            </w:pPr>
            <w:r w:rsidRPr="0031706B">
              <w:rPr>
                <w:rFonts w:asciiTheme="minorHAnsi" w:hAnsiTheme="minorHAnsi" w:cstheme="minorHAnsi"/>
                <w:sz w:val="20"/>
              </w:rPr>
              <w:t>UK manufacturing grows strongly, more than doubling in size. International shipping growth triples today’s demand.</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0827A780"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sz w:val="20"/>
              </w:rPr>
            </w:pPr>
            <w:r w:rsidRPr="0031706B">
              <w:rPr>
                <w:rFonts w:asciiTheme="minorHAnsi" w:hAnsiTheme="minorHAnsi" w:cstheme="minorHAnsi"/>
                <w:sz w:val="20"/>
              </w:rPr>
              <w:t>Manufacturing stays roughly same size as today. International shipping grows with over 150% growth in demand.</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5180FC"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Manufacturing stays roughly same size as today. International shipping growth slowed with greater use of IT and services.</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CE392E"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color w:val="auto"/>
                <w:sz w:val="20"/>
              </w:rPr>
            </w:pPr>
            <w:r w:rsidRPr="0031706B">
              <w:rPr>
                <w:rFonts w:asciiTheme="minorHAnsi" w:hAnsiTheme="minorHAnsi" w:cstheme="minorHAnsi"/>
                <w:color w:val="auto"/>
                <w:sz w:val="20"/>
              </w:rPr>
              <w:t>Manufacturing declines, becoming about a third smaller by 2050. Less demand for shipping traded goods.</w:t>
            </w:r>
          </w:p>
          <w:p w14:paraId="0374A0D0"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p>
        </w:tc>
      </w:tr>
      <w:tr w:rsidR="001177D1" w:rsidRPr="0031706B" w14:paraId="01B6E8AF" w14:textId="77777777" w:rsidTr="009A7C90">
        <w:trPr>
          <w:cantSplit/>
          <w:trHeight w:val="1467"/>
        </w:trPr>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2AEA156A"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Business greenness</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14449B7"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Incremental action to improve energy efficiency.</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3CCD2E3"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Some energy efficiency measures. Higher electricity demand overall by industry.</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C32D66"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Good improvements in energy efficiency.  Some emissions from heavy industry are filtered and stored underground.</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B18137"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Stellar improvements in energy efficiency.  Half of emissions from heavy industry are filtered and stored underground.</w:t>
            </w:r>
          </w:p>
        </w:tc>
      </w:tr>
      <w:tr w:rsidR="001177D1" w:rsidRPr="0031706B" w14:paraId="181825FC" w14:textId="77777777" w:rsidTr="009A7C90">
        <w:trPr>
          <w:cantSplit/>
          <w:trHeight w:val="935"/>
        </w:trPr>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610942E9"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Home efficiency</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B58CD79"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5% of homes have additional insulation.</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8CF69DB"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A quarter of homes have additional insulation.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1CDAAA"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Three quarters of homes have additional insulation.</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FD7902"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Almost all homes have additional insulation.</w:t>
            </w:r>
          </w:p>
        </w:tc>
      </w:tr>
      <w:tr w:rsidR="001177D1" w:rsidRPr="0031706B" w14:paraId="6692052B" w14:textId="77777777" w:rsidTr="009A7C90">
        <w:trPr>
          <w:cantSplit/>
          <w:trHeight w:val="1201"/>
        </w:trPr>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7175E985"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 xml:space="preserve">Home temperature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38C7D44"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sz w:val="20"/>
              </w:rPr>
            </w:pPr>
            <w:r w:rsidRPr="0031706B">
              <w:rPr>
                <w:rFonts w:asciiTheme="minorHAnsi" w:hAnsiTheme="minorHAnsi" w:cstheme="minorHAnsi"/>
                <w:sz w:val="20"/>
              </w:rPr>
              <w:t>Increases from today’s 17.5°C to 20°C - following trend from past decades.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AE6D8C"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color w:val="auto"/>
                <w:sz w:val="20"/>
              </w:rPr>
            </w:pPr>
            <w:r w:rsidRPr="0031706B">
              <w:rPr>
                <w:rFonts w:asciiTheme="minorHAnsi" w:hAnsiTheme="minorHAnsi" w:cstheme="minorHAnsi"/>
                <w:color w:val="auto"/>
                <w:sz w:val="20"/>
              </w:rPr>
              <w:t>Increases from today’s 17.5°C to 18°C.</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AD7783"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Decreases from today’s 17.5°C to 17°C - breaking international trend from past decades.</w:t>
            </w:r>
          </w:p>
        </w:tc>
        <w:tc>
          <w:tcPr>
            <w:tcW w:w="165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6CECCC2"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Decreases from today’s 17.5°C to 16°C - time to put jumpers on!</w:t>
            </w:r>
          </w:p>
        </w:tc>
      </w:tr>
      <w:tr w:rsidR="001177D1" w:rsidRPr="0031706B" w14:paraId="5AD1A3DB" w14:textId="77777777" w:rsidTr="009A7C90">
        <w:trPr>
          <w:cantSplit/>
          <w:trHeight w:val="1170"/>
        </w:trPr>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0ADD2288"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Heating fuel</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0828210"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Proportion of heat supplied by electricity is small - the same as today.</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C484AB"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color w:val="auto"/>
                <w:sz w:val="20"/>
              </w:rPr>
            </w:pPr>
            <w:r w:rsidRPr="0031706B">
              <w:rPr>
                <w:rFonts w:asciiTheme="minorHAnsi" w:hAnsiTheme="minorHAnsi" w:cstheme="minorHAnsi"/>
                <w:color w:val="auto"/>
                <w:sz w:val="20"/>
              </w:rPr>
              <w:t>20% of domestic heat supplied by electricity.</w:t>
            </w:r>
          </w:p>
          <w:p w14:paraId="53225A54"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F029EC"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About half of domestic heat supplied by electricity.</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8521AC"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sz w:val="20"/>
              </w:rPr>
            </w:pPr>
            <w:r w:rsidRPr="0031706B">
              <w:rPr>
                <w:rFonts w:asciiTheme="minorHAnsi" w:hAnsiTheme="minorHAnsi" w:cstheme="minorHAnsi"/>
                <w:sz w:val="20"/>
              </w:rPr>
              <w:t>About 90% of domestic heat supplied by electricity.</w:t>
            </w:r>
          </w:p>
          <w:p w14:paraId="25697C48"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p>
        </w:tc>
      </w:tr>
      <w:tr w:rsidR="001177D1" w:rsidRPr="0031706B" w14:paraId="2B8BBF28" w14:textId="77777777" w:rsidTr="009A7C90">
        <w:trPr>
          <w:cantSplit/>
          <w:trHeight w:val="1170"/>
        </w:trPr>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3787F043"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How we travel</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518FCCC"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sz w:val="20"/>
              </w:rPr>
            </w:pPr>
            <w:r w:rsidRPr="0031706B">
              <w:rPr>
                <w:rFonts w:asciiTheme="minorHAnsi" w:hAnsiTheme="minorHAnsi" w:cstheme="minorHAnsi"/>
                <w:sz w:val="20"/>
              </w:rPr>
              <w:t>We continue to use cars as we do today.</w:t>
            </w:r>
          </w:p>
          <w:p w14:paraId="5AA722BB"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EC4D41"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color w:val="auto"/>
                <w:sz w:val="20"/>
              </w:rPr>
            </w:pPr>
            <w:r w:rsidRPr="0031706B">
              <w:rPr>
                <w:rFonts w:asciiTheme="minorHAnsi" w:hAnsiTheme="minorHAnsi" w:cstheme="minorHAnsi"/>
                <w:color w:val="auto"/>
                <w:sz w:val="20"/>
              </w:rPr>
              <w:t>We use public transport instead of cars for a fifth of our journeys.</w:t>
            </w:r>
          </w:p>
          <w:p w14:paraId="7C5C90F9"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32A2E9"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We use public transport instead of cars for a quarter of our journeys.</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A08143"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We share our journeys more, and don’t use our cars for two-fifths of our journeys.</w:t>
            </w:r>
          </w:p>
        </w:tc>
      </w:tr>
      <w:tr w:rsidR="001177D1" w:rsidRPr="0031706B" w14:paraId="03240192" w14:textId="77777777" w:rsidTr="009A7C90">
        <w:trPr>
          <w:cantSplit/>
          <w:trHeight w:val="1135"/>
        </w:trPr>
        <w:tc>
          <w:tcPr>
            <w:tcW w:w="1560"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2B3136E0"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b/>
                <w:sz w:val="20"/>
              </w:rPr>
              <w:t>Transport fuel</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A1304F2"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Most cars are like those you see today - but more efficient.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B17C06" w14:textId="0341256C" w:rsidR="001177D1" w:rsidRPr="0031706B" w:rsidRDefault="001177D1" w:rsidP="009F10F5">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 xml:space="preserve">3 out of every 5 cars </w:t>
            </w:r>
            <w:r w:rsidR="009F10F5" w:rsidRPr="0031706B">
              <w:rPr>
                <w:rFonts w:asciiTheme="minorHAnsi" w:hAnsiTheme="minorHAnsi" w:cstheme="minorHAnsi"/>
                <w:color w:val="auto"/>
                <w:sz w:val="20"/>
              </w:rPr>
              <w:t xml:space="preserve">are </w:t>
            </w:r>
            <w:r w:rsidRPr="0031706B">
              <w:rPr>
                <w:rFonts w:asciiTheme="minorHAnsi" w:hAnsiTheme="minorHAnsi" w:cstheme="minorHAnsi"/>
                <w:color w:val="auto"/>
                <w:sz w:val="20"/>
              </w:rPr>
              <w:t>powered by electricity - 60%.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EFD04A" w14:textId="7545471F" w:rsidR="001177D1" w:rsidRPr="0031706B" w:rsidRDefault="001177D1" w:rsidP="009F10F5">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color w:val="auto"/>
                <w:sz w:val="20"/>
              </w:rPr>
            </w:pPr>
            <w:r w:rsidRPr="0031706B">
              <w:rPr>
                <w:rFonts w:asciiTheme="minorHAnsi" w:hAnsiTheme="minorHAnsi" w:cstheme="minorHAnsi"/>
                <w:color w:val="auto"/>
                <w:sz w:val="20"/>
              </w:rPr>
              <w:t xml:space="preserve">4 out of every 5 cars </w:t>
            </w:r>
            <w:r w:rsidR="009F10F5" w:rsidRPr="0031706B">
              <w:rPr>
                <w:rFonts w:asciiTheme="minorHAnsi" w:hAnsiTheme="minorHAnsi" w:cstheme="minorHAnsi"/>
                <w:color w:val="auto"/>
                <w:sz w:val="20"/>
              </w:rPr>
              <w:t xml:space="preserve">are </w:t>
            </w:r>
            <w:r w:rsidRPr="0031706B">
              <w:rPr>
                <w:rFonts w:asciiTheme="minorHAnsi" w:hAnsiTheme="minorHAnsi" w:cstheme="minorHAnsi"/>
                <w:color w:val="auto"/>
                <w:sz w:val="20"/>
              </w:rPr>
              <w:t>powered by electricity, and some use hydrogen fuel cells.</w:t>
            </w:r>
          </w:p>
        </w:tc>
        <w:tc>
          <w:tcPr>
            <w:tcW w:w="16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16861E" w14:textId="77777777" w:rsidR="001177D1" w:rsidRPr="0031706B" w:rsidRDefault="001177D1" w:rsidP="00B83AF9">
            <w:pPr>
              <w:pStyle w:val="Body"/>
              <w:tabs>
                <w:tab w:val="left" w:pos="-31680"/>
                <w:tab w:val="left" w:pos="-31520"/>
                <w:tab w:val="left" w:pos="-30812"/>
                <w:tab w:val="left" w:pos="-30103"/>
                <w:tab w:val="left" w:pos="-29394"/>
                <w:tab w:val="left" w:pos="-28686"/>
                <w:tab w:val="left" w:pos="-27977"/>
                <w:tab w:val="left" w:pos="-27268"/>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b/>
                <w:sz w:val="20"/>
              </w:rPr>
            </w:pPr>
            <w:r w:rsidRPr="0031706B">
              <w:rPr>
                <w:rFonts w:asciiTheme="minorHAnsi" w:hAnsiTheme="minorHAnsi" w:cstheme="minorHAnsi"/>
                <w:sz w:val="20"/>
              </w:rPr>
              <w:t>All cars are electric or run on hydrogen. All trains and most buses are electric.</w:t>
            </w:r>
          </w:p>
        </w:tc>
      </w:tr>
      <w:tr w:rsidR="00B83AF9" w:rsidRPr="0031706B" w14:paraId="651FD5D0" w14:textId="77777777" w:rsidTr="00CA4C4E">
        <w:trPr>
          <w:cantSplit/>
          <w:trHeight w:val="285"/>
        </w:trPr>
        <w:tc>
          <w:tcPr>
            <w:tcW w:w="8463" w:type="dxa"/>
            <w:gridSpan w:val="5"/>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tcPr>
          <w:p w14:paraId="175CFB42" w14:textId="77777777" w:rsidR="00B83AF9" w:rsidRPr="0031706B" w:rsidRDefault="00B83AF9" w:rsidP="00CA4C4E">
            <w:pPr>
              <w:spacing w:after="0"/>
              <w:rPr>
                <w:rFonts w:cstheme="minorHAnsi"/>
                <w:sz w:val="20"/>
                <w:szCs w:val="20"/>
              </w:rPr>
            </w:pPr>
            <w:r w:rsidRPr="0031706B">
              <w:rPr>
                <w:rFonts w:cstheme="minorHAnsi"/>
                <w:sz w:val="20"/>
                <w:szCs w:val="20"/>
              </w:rPr>
              <w:t>All text taken directly from ‘My2050’ (DECC, 2011c)</w:t>
            </w:r>
          </w:p>
        </w:tc>
      </w:tr>
    </w:tbl>
    <w:p w14:paraId="115A7E4F" w14:textId="77777777" w:rsidR="001177D1" w:rsidRPr="0031706B" w:rsidRDefault="001177D1" w:rsidP="00CA4C4E">
      <w:pPr>
        <w:spacing w:after="0" w:line="480" w:lineRule="auto"/>
        <w:rPr>
          <w:rFonts w:cstheme="minorHAnsi"/>
          <w:sz w:val="24"/>
        </w:rPr>
      </w:pPr>
    </w:p>
    <w:p w14:paraId="26735EDF" w14:textId="77777777" w:rsidR="00EF2280" w:rsidRDefault="00EF2280" w:rsidP="00CA4C4E">
      <w:pPr>
        <w:spacing w:after="0" w:line="480" w:lineRule="auto"/>
        <w:rPr>
          <w:rFonts w:cstheme="minorHAnsi"/>
          <w:b/>
          <w:sz w:val="24"/>
        </w:rPr>
      </w:pPr>
      <w:r>
        <w:rPr>
          <w:rFonts w:cstheme="minorHAnsi"/>
          <w:b/>
          <w:sz w:val="24"/>
        </w:rPr>
        <w:br w:type="page"/>
      </w:r>
    </w:p>
    <w:p w14:paraId="3D8CEDDB" w14:textId="08D675D7" w:rsidR="00FA6B1B" w:rsidRPr="0031706B" w:rsidRDefault="00FA6B1B" w:rsidP="00CA4C4E">
      <w:pPr>
        <w:spacing w:after="0" w:line="480" w:lineRule="auto"/>
        <w:rPr>
          <w:rFonts w:cstheme="minorHAnsi"/>
          <w:b/>
          <w:sz w:val="24"/>
        </w:rPr>
      </w:pPr>
      <w:r w:rsidRPr="0031706B">
        <w:rPr>
          <w:rFonts w:cstheme="minorHAnsi"/>
          <w:b/>
          <w:sz w:val="24"/>
        </w:rPr>
        <w:lastRenderedPageBreak/>
        <w:t>3.2 Adjustment of data</w:t>
      </w:r>
    </w:p>
    <w:p w14:paraId="5539B2C4" w14:textId="77777777" w:rsidR="00435881" w:rsidRPr="0031706B" w:rsidRDefault="00AA2E21" w:rsidP="00CA4C4E">
      <w:pPr>
        <w:spacing w:after="0" w:line="480" w:lineRule="auto"/>
        <w:rPr>
          <w:rFonts w:cstheme="minorHAnsi"/>
          <w:sz w:val="24"/>
        </w:rPr>
      </w:pPr>
      <w:r w:rsidRPr="0031706B">
        <w:rPr>
          <w:rFonts w:cstheme="minorHAnsi"/>
          <w:sz w:val="24"/>
        </w:rPr>
        <w:t xml:space="preserve">To maintain consistency with DECC’s reports, settings representing increasing effort levels are presented throughout this </w:t>
      </w:r>
      <w:r w:rsidR="007F49B0" w:rsidRPr="0031706B">
        <w:rPr>
          <w:rFonts w:cstheme="minorHAnsi"/>
          <w:sz w:val="24"/>
        </w:rPr>
        <w:t xml:space="preserve">paper </w:t>
      </w:r>
      <w:r w:rsidRPr="0031706B">
        <w:rPr>
          <w:rFonts w:cstheme="minorHAnsi"/>
          <w:sz w:val="24"/>
        </w:rPr>
        <w:t>on a scale of 1-4. Three sliders (</w:t>
      </w:r>
      <w:r w:rsidRPr="0031706B">
        <w:rPr>
          <w:rFonts w:cstheme="minorHAnsi"/>
          <w:i/>
          <w:sz w:val="24"/>
        </w:rPr>
        <w:t>‘</w:t>
      </w:r>
      <w:r w:rsidR="007F49B0" w:rsidRPr="0031706B">
        <w:rPr>
          <w:rFonts w:cstheme="minorHAnsi"/>
          <w:i/>
          <w:sz w:val="24"/>
        </w:rPr>
        <w:t>o</w:t>
      </w:r>
      <w:r w:rsidRPr="0031706B">
        <w:rPr>
          <w:rFonts w:cstheme="minorHAnsi"/>
          <w:i/>
          <w:sz w:val="24"/>
        </w:rPr>
        <w:t>il, gas and coal power’</w:t>
      </w:r>
      <w:r w:rsidRPr="0031706B">
        <w:rPr>
          <w:rFonts w:cstheme="minorHAnsi"/>
          <w:sz w:val="24"/>
        </w:rPr>
        <w:t xml:space="preserve">, </w:t>
      </w:r>
      <w:r w:rsidRPr="0031706B">
        <w:rPr>
          <w:rFonts w:cstheme="minorHAnsi"/>
          <w:i/>
          <w:sz w:val="24"/>
        </w:rPr>
        <w:t>‘</w:t>
      </w:r>
      <w:r w:rsidR="007F49B0" w:rsidRPr="0031706B">
        <w:rPr>
          <w:rFonts w:cstheme="minorHAnsi"/>
          <w:i/>
          <w:sz w:val="24"/>
        </w:rPr>
        <w:t>m</w:t>
      </w:r>
      <w:r w:rsidRPr="0031706B">
        <w:rPr>
          <w:rFonts w:cstheme="minorHAnsi"/>
          <w:i/>
          <w:sz w:val="24"/>
        </w:rPr>
        <w:t>anufacturing growth’</w:t>
      </w:r>
      <w:r w:rsidRPr="0031706B">
        <w:rPr>
          <w:rFonts w:cstheme="minorHAnsi"/>
          <w:sz w:val="24"/>
        </w:rPr>
        <w:t xml:space="preserve"> and </w:t>
      </w:r>
      <w:r w:rsidRPr="0031706B">
        <w:rPr>
          <w:rFonts w:cstheme="minorHAnsi"/>
          <w:i/>
          <w:sz w:val="24"/>
        </w:rPr>
        <w:t>‘</w:t>
      </w:r>
      <w:r w:rsidR="007F49B0" w:rsidRPr="0031706B">
        <w:rPr>
          <w:rFonts w:cstheme="minorHAnsi"/>
          <w:i/>
          <w:sz w:val="24"/>
        </w:rPr>
        <w:t>h</w:t>
      </w:r>
      <w:r w:rsidRPr="0031706B">
        <w:rPr>
          <w:rFonts w:cstheme="minorHAnsi"/>
          <w:i/>
          <w:sz w:val="24"/>
        </w:rPr>
        <w:t>ome temperature’</w:t>
      </w:r>
      <w:r w:rsidRPr="0031706B">
        <w:rPr>
          <w:rFonts w:cstheme="minorHAnsi"/>
          <w:sz w:val="24"/>
        </w:rPr>
        <w:t xml:space="preserve">) were presented visually in ‘My2050’ as descending sliders for increasing effort and carbon reduction, since these three conceptually involve reductions. All other sliders ascended for increasing effort and carbon reduction since these involve increasing different technologies, supply options or new </w:t>
      </w:r>
      <w:proofErr w:type="spellStart"/>
      <w:r w:rsidRPr="0031706B">
        <w:rPr>
          <w:rFonts w:cstheme="minorHAnsi"/>
          <w:sz w:val="24"/>
        </w:rPr>
        <w:t>behaviours</w:t>
      </w:r>
      <w:proofErr w:type="spellEnd"/>
      <w:r w:rsidRPr="0031706B">
        <w:rPr>
          <w:rFonts w:cstheme="minorHAnsi"/>
          <w:sz w:val="24"/>
        </w:rPr>
        <w:t>. This was intended to ensure the simulation remained intuitive. Settings were coded consistently (</w:t>
      </w:r>
      <w:r w:rsidR="00DB4482" w:rsidRPr="0031706B">
        <w:rPr>
          <w:rFonts w:cstheme="minorHAnsi"/>
          <w:sz w:val="24"/>
        </w:rPr>
        <w:t xml:space="preserve">whereby </w:t>
      </w:r>
      <w:r w:rsidRPr="0031706B">
        <w:rPr>
          <w:rFonts w:cstheme="minorHAnsi"/>
          <w:sz w:val="24"/>
        </w:rPr>
        <w:t xml:space="preserve">lowest </w:t>
      </w:r>
      <w:r w:rsidR="00DB4482" w:rsidRPr="0031706B">
        <w:rPr>
          <w:rFonts w:cstheme="minorHAnsi"/>
          <w:sz w:val="24"/>
        </w:rPr>
        <w:t>effort = 1; highest effort = 4)</w:t>
      </w:r>
      <w:r w:rsidR="005C54F1" w:rsidRPr="0031706B">
        <w:rPr>
          <w:rFonts w:cstheme="minorHAnsi"/>
          <w:sz w:val="24"/>
        </w:rPr>
        <w:t>.</w:t>
      </w:r>
      <w:r w:rsidR="003F3D35" w:rsidRPr="0031706B">
        <w:rPr>
          <w:rFonts w:cstheme="minorHAnsi"/>
          <w:sz w:val="24"/>
        </w:rPr>
        <w:t xml:space="preserve">  </w:t>
      </w:r>
    </w:p>
    <w:p w14:paraId="11B10AB8" w14:textId="77777777" w:rsidR="00435881" w:rsidRPr="0031706B" w:rsidRDefault="00435881" w:rsidP="00CA4C4E">
      <w:pPr>
        <w:spacing w:after="0" w:line="480" w:lineRule="auto"/>
        <w:rPr>
          <w:rFonts w:cstheme="minorHAnsi"/>
          <w:sz w:val="24"/>
        </w:rPr>
      </w:pPr>
    </w:p>
    <w:p w14:paraId="3F15C237" w14:textId="12A383F7" w:rsidR="006F1B94" w:rsidRPr="0031706B" w:rsidRDefault="003F3D35" w:rsidP="00CA4C4E">
      <w:pPr>
        <w:spacing w:after="0" w:line="480" w:lineRule="auto"/>
        <w:rPr>
          <w:rFonts w:cstheme="minorHAnsi"/>
          <w:sz w:val="24"/>
        </w:rPr>
      </w:pPr>
      <w:r w:rsidRPr="0031706B">
        <w:rPr>
          <w:rFonts w:cstheme="minorHAnsi"/>
          <w:sz w:val="24"/>
        </w:rPr>
        <w:t>However, this obvious inconsistency in the layout of the simulation also gives lie to a range of other, much more subtle, differences regarding the descriptions of the effort levels</w:t>
      </w:r>
      <w:r w:rsidR="00566226" w:rsidRPr="0031706B">
        <w:rPr>
          <w:rFonts w:cstheme="minorHAnsi"/>
          <w:sz w:val="24"/>
        </w:rPr>
        <w:t xml:space="preserve"> that might lead to particular skews towards or away from certain settings.  These include possible </w:t>
      </w:r>
      <w:proofErr w:type="spellStart"/>
      <w:r w:rsidR="00566226" w:rsidRPr="0031706B">
        <w:rPr>
          <w:rFonts w:cstheme="minorHAnsi"/>
          <w:sz w:val="24"/>
        </w:rPr>
        <w:t>primings</w:t>
      </w:r>
      <w:proofErr w:type="spellEnd"/>
      <w:r w:rsidR="00566226" w:rsidRPr="0031706B">
        <w:rPr>
          <w:rFonts w:cstheme="minorHAnsi"/>
          <w:sz w:val="24"/>
        </w:rPr>
        <w:t xml:space="preserve"> or particular framings of issues e.g. the use of the terms ‘good’ and ‘stellar’ in the higher options for </w:t>
      </w:r>
      <w:r w:rsidR="000612F3" w:rsidRPr="0031706B">
        <w:rPr>
          <w:rFonts w:cstheme="minorHAnsi"/>
          <w:i/>
          <w:sz w:val="24"/>
        </w:rPr>
        <w:t>‘</w:t>
      </w:r>
      <w:r w:rsidR="00105E6D" w:rsidRPr="0031706B">
        <w:rPr>
          <w:rFonts w:cstheme="minorHAnsi"/>
          <w:i/>
          <w:sz w:val="24"/>
        </w:rPr>
        <w:t>b</w:t>
      </w:r>
      <w:r w:rsidR="00566226" w:rsidRPr="0031706B">
        <w:rPr>
          <w:rFonts w:cstheme="minorHAnsi"/>
          <w:i/>
          <w:sz w:val="24"/>
        </w:rPr>
        <w:t xml:space="preserve">usiness </w:t>
      </w:r>
      <w:r w:rsidR="000612F3" w:rsidRPr="0031706B">
        <w:rPr>
          <w:rFonts w:cstheme="minorHAnsi"/>
          <w:i/>
          <w:sz w:val="24"/>
        </w:rPr>
        <w:t>g</w:t>
      </w:r>
      <w:r w:rsidR="00566226" w:rsidRPr="0031706B">
        <w:rPr>
          <w:rFonts w:cstheme="minorHAnsi"/>
          <w:i/>
          <w:sz w:val="24"/>
        </w:rPr>
        <w:t>reen</w:t>
      </w:r>
      <w:r w:rsidR="000612F3" w:rsidRPr="0031706B">
        <w:rPr>
          <w:rFonts w:cstheme="minorHAnsi"/>
          <w:i/>
          <w:sz w:val="24"/>
        </w:rPr>
        <w:t>ness’</w:t>
      </w:r>
      <w:r w:rsidR="00566226" w:rsidRPr="0031706B">
        <w:rPr>
          <w:rFonts w:cstheme="minorHAnsi"/>
          <w:sz w:val="24"/>
        </w:rPr>
        <w:t xml:space="preserve"> convey a strong positive norming message, whereas the phrase </w:t>
      </w:r>
      <w:r w:rsidR="007F49B0" w:rsidRPr="0031706B">
        <w:rPr>
          <w:rFonts w:cstheme="minorHAnsi"/>
          <w:sz w:val="24"/>
        </w:rPr>
        <w:t>‘</w:t>
      </w:r>
      <w:r w:rsidR="00566226" w:rsidRPr="0031706B">
        <w:rPr>
          <w:rFonts w:cstheme="minorHAnsi"/>
          <w:sz w:val="24"/>
        </w:rPr>
        <w:t>time to put jumpers on</w:t>
      </w:r>
      <w:r w:rsidR="007F49B0" w:rsidRPr="0031706B">
        <w:rPr>
          <w:rFonts w:cstheme="minorHAnsi"/>
          <w:sz w:val="24"/>
        </w:rPr>
        <w:t>’</w:t>
      </w:r>
      <w:r w:rsidR="00566226" w:rsidRPr="0031706B">
        <w:rPr>
          <w:rFonts w:cstheme="minorHAnsi"/>
          <w:sz w:val="24"/>
        </w:rPr>
        <w:t xml:space="preserve"> in </w:t>
      </w:r>
      <w:r w:rsidR="007F49B0" w:rsidRPr="0031706B">
        <w:rPr>
          <w:rFonts w:cstheme="minorHAnsi"/>
          <w:i/>
          <w:sz w:val="24"/>
        </w:rPr>
        <w:t>‘</w:t>
      </w:r>
      <w:r w:rsidR="00105E6D" w:rsidRPr="0031706B">
        <w:rPr>
          <w:rFonts w:cstheme="minorHAnsi"/>
          <w:i/>
          <w:sz w:val="24"/>
        </w:rPr>
        <w:t>h</w:t>
      </w:r>
      <w:r w:rsidR="00566226" w:rsidRPr="0031706B">
        <w:rPr>
          <w:rFonts w:cstheme="minorHAnsi"/>
          <w:i/>
          <w:sz w:val="24"/>
        </w:rPr>
        <w:t xml:space="preserve">ome </w:t>
      </w:r>
      <w:r w:rsidR="00963E80" w:rsidRPr="0031706B">
        <w:rPr>
          <w:rFonts w:cstheme="minorHAnsi"/>
          <w:i/>
          <w:sz w:val="24"/>
        </w:rPr>
        <w:t>temperature</w:t>
      </w:r>
      <w:r w:rsidR="000612F3" w:rsidRPr="0031706B">
        <w:rPr>
          <w:rFonts w:cstheme="minorHAnsi"/>
          <w:i/>
          <w:sz w:val="24"/>
        </w:rPr>
        <w:t>’</w:t>
      </w:r>
      <w:r w:rsidR="00566226" w:rsidRPr="0031706B">
        <w:rPr>
          <w:rFonts w:cstheme="minorHAnsi"/>
          <w:sz w:val="24"/>
        </w:rPr>
        <w:t xml:space="preserve"> conveys a much more negative message.  Similarly, there are other differences such as how the </w:t>
      </w:r>
      <w:r w:rsidR="00566226" w:rsidRPr="0031706B">
        <w:rPr>
          <w:sz w:val="24"/>
        </w:rPr>
        <w:t xml:space="preserve">different levels refer to current baselines </w:t>
      </w:r>
      <w:r w:rsidR="00963E80" w:rsidRPr="0031706B">
        <w:rPr>
          <w:sz w:val="24"/>
        </w:rPr>
        <w:t>(</w:t>
      </w:r>
      <w:r w:rsidR="007F49B0" w:rsidRPr="0031706B">
        <w:rPr>
          <w:sz w:val="24"/>
        </w:rPr>
        <w:t>for instance, l</w:t>
      </w:r>
      <w:r w:rsidR="00963E80" w:rsidRPr="0031706B">
        <w:rPr>
          <w:sz w:val="24"/>
        </w:rPr>
        <w:t xml:space="preserve">evel 1 for </w:t>
      </w:r>
      <w:r w:rsidR="007F49B0" w:rsidRPr="0031706B">
        <w:rPr>
          <w:i/>
          <w:sz w:val="24"/>
        </w:rPr>
        <w:t>‘</w:t>
      </w:r>
      <w:r w:rsidR="00963E80" w:rsidRPr="0031706B">
        <w:rPr>
          <w:i/>
          <w:sz w:val="24"/>
        </w:rPr>
        <w:t>biofuel production</w:t>
      </w:r>
      <w:r w:rsidR="007F49B0" w:rsidRPr="0031706B">
        <w:rPr>
          <w:i/>
          <w:sz w:val="24"/>
        </w:rPr>
        <w:t>’</w:t>
      </w:r>
      <w:r w:rsidR="007F49B0" w:rsidRPr="0031706B">
        <w:rPr>
          <w:sz w:val="24"/>
        </w:rPr>
        <w:t>,</w:t>
      </w:r>
      <w:r w:rsidR="00963E80" w:rsidRPr="0031706B">
        <w:rPr>
          <w:sz w:val="24"/>
        </w:rPr>
        <w:t xml:space="preserve"> </w:t>
      </w:r>
      <w:r w:rsidR="007F49B0" w:rsidRPr="0031706B">
        <w:rPr>
          <w:i/>
          <w:sz w:val="24"/>
        </w:rPr>
        <w:t>‘</w:t>
      </w:r>
      <w:r w:rsidR="00963E80" w:rsidRPr="0031706B">
        <w:rPr>
          <w:i/>
          <w:sz w:val="24"/>
        </w:rPr>
        <w:t>oil, gas and coal power</w:t>
      </w:r>
      <w:r w:rsidR="007F49B0" w:rsidRPr="0031706B">
        <w:rPr>
          <w:i/>
          <w:sz w:val="24"/>
        </w:rPr>
        <w:t>’</w:t>
      </w:r>
      <w:r w:rsidR="00963E80" w:rsidRPr="0031706B">
        <w:rPr>
          <w:rFonts w:cstheme="minorHAnsi"/>
          <w:b/>
          <w:sz w:val="24"/>
        </w:rPr>
        <w:t xml:space="preserve"> </w:t>
      </w:r>
      <w:r w:rsidR="00963E80" w:rsidRPr="0031706B">
        <w:rPr>
          <w:rFonts w:cstheme="minorHAnsi"/>
          <w:sz w:val="24"/>
        </w:rPr>
        <w:t xml:space="preserve">and </w:t>
      </w:r>
      <w:r w:rsidR="007F49B0" w:rsidRPr="0031706B">
        <w:rPr>
          <w:rFonts w:cstheme="minorHAnsi"/>
          <w:i/>
          <w:sz w:val="24"/>
        </w:rPr>
        <w:t>‘</w:t>
      </w:r>
      <w:r w:rsidR="00963E80" w:rsidRPr="0031706B">
        <w:rPr>
          <w:rFonts w:cstheme="minorHAnsi"/>
          <w:i/>
          <w:sz w:val="24"/>
        </w:rPr>
        <w:t>manufacturing growth</w:t>
      </w:r>
      <w:r w:rsidR="007F49B0" w:rsidRPr="0031706B">
        <w:rPr>
          <w:rFonts w:cstheme="minorHAnsi"/>
          <w:i/>
          <w:sz w:val="24"/>
        </w:rPr>
        <w:t>’</w:t>
      </w:r>
      <w:r w:rsidR="00963E80" w:rsidRPr="0031706B">
        <w:rPr>
          <w:rFonts w:cstheme="minorHAnsi"/>
          <w:sz w:val="24"/>
        </w:rPr>
        <w:t xml:space="preserve"> are all based on significant changes from the present compared to the other sliders) or existing trends (</w:t>
      </w:r>
      <w:r w:rsidR="00435881" w:rsidRPr="0031706B">
        <w:rPr>
          <w:rFonts w:cstheme="minorHAnsi"/>
          <w:sz w:val="24"/>
        </w:rPr>
        <w:t xml:space="preserve">as </w:t>
      </w:r>
      <w:r w:rsidR="00435881" w:rsidRPr="0031706B">
        <w:rPr>
          <w:rFonts w:cstheme="minorHAnsi"/>
          <w:i/>
          <w:sz w:val="24"/>
        </w:rPr>
        <w:t>‘</w:t>
      </w:r>
      <w:r w:rsidR="00963E80" w:rsidRPr="0031706B">
        <w:rPr>
          <w:rFonts w:cstheme="minorHAnsi"/>
          <w:i/>
          <w:sz w:val="24"/>
        </w:rPr>
        <w:t>home temperature</w:t>
      </w:r>
      <w:r w:rsidR="00435881" w:rsidRPr="0031706B">
        <w:rPr>
          <w:rFonts w:cstheme="minorHAnsi"/>
          <w:i/>
          <w:sz w:val="24"/>
        </w:rPr>
        <w:t>’</w:t>
      </w:r>
      <w:r w:rsidR="00963E80" w:rsidRPr="0031706B">
        <w:rPr>
          <w:rFonts w:cstheme="minorHAnsi"/>
          <w:sz w:val="24"/>
        </w:rPr>
        <w:t xml:space="preserve"> is the only slider that clearly sets out levels in terms of </w:t>
      </w:r>
      <w:r w:rsidR="00963E80" w:rsidRPr="0031706B">
        <w:rPr>
          <w:rFonts w:cstheme="minorHAnsi"/>
          <w:sz w:val="24"/>
        </w:rPr>
        <w:lastRenderedPageBreak/>
        <w:t xml:space="preserve">current/past trends). </w:t>
      </w:r>
      <w:r w:rsidR="005307D3" w:rsidRPr="0031706B">
        <w:rPr>
          <w:rFonts w:cstheme="minorHAnsi"/>
          <w:sz w:val="24"/>
        </w:rPr>
        <w:t xml:space="preserve">Another factor </w:t>
      </w:r>
      <w:r w:rsidR="000612F3" w:rsidRPr="0031706B">
        <w:rPr>
          <w:rFonts w:cstheme="minorHAnsi"/>
          <w:sz w:val="24"/>
        </w:rPr>
        <w:t>that</w:t>
      </w:r>
      <w:r w:rsidR="005307D3" w:rsidRPr="0031706B">
        <w:rPr>
          <w:rFonts w:cstheme="minorHAnsi"/>
          <w:sz w:val="24"/>
        </w:rPr>
        <w:t xml:space="preserve"> may skew or affect participants</w:t>
      </w:r>
      <w:r w:rsidR="000612F3" w:rsidRPr="0031706B">
        <w:rPr>
          <w:rFonts w:cstheme="minorHAnsi"/>
          <w:sz w:val="24"/>
        </w:rPr>
        <w:t>’</w:t>
      </w:r>
      <w:r w:rsidR="005307D3" w:rsidRPr="0031706B">
        <w:rPr>
          <w:rFonts w:cstheme="minorHAnsi"/>
          <w:sz w:val="24"/>
        </w:rPr>
        <w:t xml:space="preserve"> final scenarios is the fact that there are inter-relationships between some of the sliders that are not immediately obvious to the user.  In particular, significant carbon reduction from demand side options involving electrification are only achievable when </w:t>
      </w:r>
      <w:r w:rsidR="00695BB7" w:rsidRPr="0031706B">
        <w:rPr>
          <w:rFonts w:cstheme="minorHAnsi"/>
          <w:sz w:val="24"/>
        </w:rPr>
        <w:t xml:space="preserve">supply side options have been chosen that significantly </w:t>
      </w:r>
      <w:proofErr w:type="spellStart"/>
      <w:r w:rsidR="00695BB7" w:rsidRPr="0031706B">
        <w:rPr>
          <w:rFonts w:cstheme="minorHAnsi"/>
          <w:sz w:val="24"/>
        </w:rPr>
        <w:t>decarbonise</w:t>
      </w:r>
      <w:proofErr w:type="spellEnd"/>
      <w:r w:rsidR="00695BB7" w:rsidRPr="0031706B">
        <w:rPr>
          <w:rFonts w:cstheme="minorHAnsi"/>
          <w:sz w:val="24"/>
        </w:rPr>
        <w:t xml:space="preserve"> the energy supply (and vice versa).  Unless very careful attention is paid then users may consider particular sliders to be ineffective (and therefore set them overly high to over compensate, or low as they are deemed of no use). </w:t>
      </w:r>
      <w:r w:rsidR="00440FF3" w:rsidRPr="0031706B">
        <w:rPr>
          <w:rFonts w:cstheme="minorHAnsi"/>
          <w:sz w:val="24"/>
        </w:rPr>
        <w:t xml:space="preserve"> It may also be the case that sliders that produce the most obvious and direct reductions in carbon may trigger a bias due to a visual reward effect as the thermometer changes.</w:t>
      </w:r>
    </w:p>
    <w:p w14:paraId="7369D7FD" w14:textId="77777777" w:rsidR="00A552DF" w:rsidRPr="0031706B" w:rsidRDefault="00A552DF" w:rsidP="00CA4C4E">
      <w:pPr>
        <w:spacing w:after="0" w:line="480" w:lineRule="auto"/>
        <w:rPr>
          <w:rFonts w:cstheme="minorHAnsi"/>
          <w:sz w:val="24"/>
        </w:rPr>
      </w:pPr>
    </w:p>
    <w:p w14:paraId="49AFC584" w14:textId="4CF3C92E" w:rsidR="00097B6F" w:rsidRPr="0031706B" w:rsidRDefault="00AA2E21" w:rsidP="00CA4C4E">
      <w:pPr>
        <w:spacing w:after="0" w:line="480" w:lineRule="auto"/>
        <w:rPr>
          <w:rFonts w:cstheme="minorHAnsi"/>
          <w:sz w:val="24"/>
        </w:rPr>
      </w:pPr>
      <w:r w:rsidRPr="0031706B">
        <w:rPr>
          <w:rFonts w:cstheme="minorHAnsi"/>
          <w:sz w:val="24"/>
        </w:rPr>
        <w:t xml:space="preserve">Due to the numerical </w:t>
      </w:r>
      <w:proofErr w:type="spellStart"/>
      <w:r w:rsidRPr="0031706B">
        <w:rPr>
          <w:rFonts w:cstheme="minorHAnsi"/>
          <w:sz w:val="24"/>
        </w:rPr>
        <w:t>categorisation</w:t>
      </w:r>
      <w:proofErr w:type="spellEnd"/>
      <w:r w:rsidRPr="0031706B">
        <w:rPr>
          <w:rFonts w:cstheme="minorHAnsi"/>
          <w:sz w:val="24"/>
        </w:rPr>
        <w:t xml:space="preserve"> of choices, data from the ‘My2050’ simulation were </w:t>
      </w:r>
      <w:proofErr w:type="spellStart"/>
      <w:r w:rsidRPr="0031706B">
        <w:rPr>
          <w:rFonts w:cstheme="minorHAnsi"/>
          <w:sz w:val="24"/>
        </w:rPr>
        <w:t>analysed</w:t>
      </w:r>
      <w:proofErr w:type="spellEnd"/>
      <w:r w:rsidRPr="0031706B">
        <w:rPr>
          <w:rFonts w:cstheme="minorHAnsi"/>
          <w:sz w:val="24"/>
        </w:rPr>
        <w:t xml:space="preserve"> using quantitative statistical methods. A simple pathways comparison method was created to enable a comparison between ‘My2050’ responses and DECC’s proposed scenarios. </w:t>
      </w:r>
      <w:r w:rsidR="001177D1" w:rsidRPr="0031706B">
        <w:rPr>
          <w:rFonts w:cstheme="minorHAnsi"/>
          <w:sz w:val="24"/>
        </w:rPr>
        <w:t>Data generated by ‘My2050’ respondents were provided in Excel by DECC. Data cleaning involved removing international responses (n = 693)</w:t>
      </w:r>
      <w:r w:rsidR="006B2DCE" w:rsidRPr="0031706B">
        <w:rPr>
          <w:rFonts w:cstheme="minorHAnsi"/>
          <w:sz w:val="24"/>
        </w:rPr>
        <w:t>,</w:t>
      </w:r>
      <w:r w:rsidR="001177D1" w:rsidRPr="0031706B">
        <w:rPr>
          <w:rFonts w:cstheme="minorHAnsi"/>
          <w:sz w:val="24"/>
        </w:rPr>
        <w:t xml:space="preserve"> since these were not selected for analysis, and data arising from design testing and alterations (n = 130). This process left 10,983 cases for analysis.  Initial data interrogation involved exploratory statistical analysis (</w:t>
      </w:r>
      <w:proofErr w:type="spellStart"/>
      <w:r w:rsidR="001177D1" w:rsidRPr="0031706B">
        <w:rPr>
          <w:rFonts w:cstheme="minorHAnsi"/>
          <w:sz w:val="24"/>
        </w:rPr>
        <w:t>Pallant</w:t>
      </w:r>
      <w:proofErr w:type="spellEnd"/>
      <w:r w:rsidR="001177D1" w:rsidRPr="0031706B">
        <w:rPr>
          <w:rFonts w:cstheme="minorHAnsi"/>
          <w:sz w:val="24"/>
        </w:rPr>
        <w:t xml:space="preserve">, 2010). Descriptive statistics provided information about when respondents participated in the simulation and how long they took to complete their choices; summary information on demographics and attitudinal responses; </w:t>
      </w:r>
      <w:r w:rsidR="001177D1" w:rsidRPr="0031706B">
        <w:rPr>
          <w:rFonts w:cstheme="minorHAnsi"/>
          <w:sz w:val="24"/>
        </w:rPr>
        <w:lastRenderedPageBreak/>
        <w:t>frequency data for setting choices; and numbers of respondents achieving different carbon reduction levels. Duplicate case analysis identified how many unique pathways</w:t>
      </w:r>
      <w:bookmarkEnd w:id="3"/>
      <w:bookmarkEnd w:id="4"/>
      <w:r w:rsidR="00097B6F" w:rsidRPr="0031706B">
        <w:rPr>
          <w:rStyle w:val="EndnoteReference"/>
          <w:rFonts w:cstheme="minorHAnsi"/>
          <w:sz w:val="24"/>
        </w:rPr>
        <w:endnoteReference w:id="6"/>
      </w:r>
      <w:r w:rsidR="00097B6F" w:rsidRPr="0031706B">
        <w:rPr>
          <w:rFonts w:cstheme="minorHAnsi"/>
          <w:sz w:val="24"/>
        </w:rPr>
        <w:t xml:space="preserve"> had been selected. </w:t>
      </w:r>
      <w:r w:rsidR="009D4892" w:rsidRPr="0031706B">
        <w:rPr>
          <w:rFonts w:cstheme="minorHAnsi"/>
          <w:sz w:val="24"/>
        </w:rPr>
        <w:t xml:space="preserve">The central theme of this paper is based on an analysis of the </w:t>
      </w:r>
      <w:proofErr w:type="spellStart"/>
      <w:r w:rsidR="009D4892" w:rsidRPr="0031706B">
        <w:rPr>
          <w:rFonts w:cstheme="minorHAnsi"/>
          <w:sz w:val="24"/>
        </w:rPr>
        <w:t>modal</w:t>
      </w:r>
      <w:proofErr w:type="spellEnd"/>
      <w:r w:rsidR="009D4892" w:rsidRPr="0031706B">
        <w:rPr>
          <w:rFonts w:cstheme="minorHAnsi"/>
          <w:sz w:val="24"/>
        </w:rPr>
        <w:t xml:space="preserve"> values selected by participants</w:t>
      </w:r>
      <w:r w:rsidR="009759B8" w:rsidRPr="0031706B">
        <w:rPr>
          <w:rFonts w:cstheme="minorHAnsi"/>
          <w:sz w:val="24"/>
        </w:rPr>
        <w:t xml:space="preserve"> </w:t>
      </w:r>
      <w:r w:rsidR="009D4892" w:rsidRPr="0031706B">
        <w:rPr>
          <w:rFonts w:cstheme="minorHAnsi"/>
          <w:sz w:val="24"/>
        </w:rPr>
        <w:t>for each of the sliders</w:t>
      </w:r>
      <w:r w:rsidR="00D04BCE" w:rsidRPr="0031706B">
        <w:rPr>
          <w:rFonts w:cstheme="minorHAnsi"/>
          <w:sz w:val="24"/>
        </w:rPr>
        <w:t>.</w:t>
      </w:r>
    </w:p>
    <w:p w14:paraId="77392993" w14:textId="77777777" w:rsidR="00097B6F" w:rsidRPr="0031706B" w:rsidRDefault="00097B6F" w:rsidP="00CA4C4E">
      <w:pPr>
        <w:spacing w:after="0" w:line="480" w:lineRule="auto"/>
        <w:rPr>
          <w:rFonts w:cstheme="minorHAnsi"/>
          <w:sz w:val="24"/>
        </w:rPr>
      </w:pPr>
    </w:p>
    <w:p w14:paraId="66FCD753" w14:textId="4BFAF7B9" w:rsidR="00097B6F" w:rsidRPr="0031706B" w:rsidRDefault="00FA6B1B" w:rsidP="00F56E7B">
      <w:pPr>
        <w:pStyle w:val="Heading2"/>
        <w:numPr>
          <w:ilvl w:val="0"/>
          <w:numId w:val="30"/>
        </w:numPr>
        <w:spacing w:before="0" w:line="480" w:lineRule="auto"/>
        <w:ind w:hanging="786"/>
        <w:rPr>
          <w:rFonts w:asciiTheme="minorHAnsi" w:hAnsiTheme="minorHAnsi" w:cstheme="minorHAnsi"/>
          <w:sz w:val="24"/>
          <w:szCs w:val="24"/>
        </w:rPr>
      </w:pPr>
      <w:r w:rsidRPr="0031706B">
        <w:rPr>
          <w:rFonts w:asciiTheme="minorHAnsi" w:hAnsiTheme="minorHAnsi" w:cstheme="minorHAnsi"/>
          <w:color w:val="auto"/>
          <w:sz w:val="24"/>
          <w:szCs w:val="24"/>
        </w:rPr>
        <w:t xml:space="preserve">Results </w:t>
      </w:r>
    </w:p>
    <w:p w14:paraId="0CDD6CCA" w14:textId="7A56C0FD" w:rsidR="00097B6F" w:rsidRPr="0031706B" w:rsidRDefault="00FA6B1B" w:rsidP="00CA4C4E">
      <w:pPr>
        <w:pStyle w:val="Heading2"/>
        <w:spacing w:before="0" w:line="480" w:lineRule="auto"/>
        <w:rPr>
          <w:rFonts w:asciiTheme="minorHAnsi" w:hAnsiTheme="minorHAnsi" w:cstheme="minorHAnsi"/>
          <w:color w:val="auto"/>
          <w:sz w:val="24"/>
          <w:szCs w:val="24"/>
        </w:rPr>
      </w:pPr>
      <w:r w:rsidRPr="0031706B">
        <w:rPr>
          <w:rFonts w:asciiTheme="minorHAnsi" w:hAnsiTheme="minorHAnsi" w:cstheme="minorHAnsi"/>
          <w:color w:val="auto"/>
          <w:sz w:val="24"/>
          <w:szCs w:val="24"/>
        </w:rPr>
        <w:t xml:space="preserve">4.1 </w:t>
      </w:r>
      <w:r w:rsidR="00097B6F" w:rsidRPr="0031706B">
        <w:rPr>
          <w:rFonts w:asciiTheme="minorHAnsi" w:hAnsiTheme="minorHAnsi" w:cstheme="minorHAnsi"/>
          <w:color w:val="auto"/>
          <w:sz w:val="24"/>
          <w:szCs w:val="24"/>
        </w:rPr>
        <w:t>Demographic data</w:t>
      </w:r>
    </w:p>
    <w:p w14:paraId="25A3287F" w14:textId="75FE57A2" w:rsidR="00097B6F" w:rsidRPr="0031706B" w:rsidRDefault="00097B6F" w:rsidP="00CA4C4E">
      <w:pPr>
        <w:spacing w:after="0" w:line="480" w:lineRule="auto"/>
        <w:rPr>
          <w:rFonts w:cstheme="minorHAnsi"/>
          <w:sz w:val="24"/>
        </w:rPr>
      </w:pPr>
      <w:r w:rsidRPr="0031706B">
        <w:rPr>
          <w:rFonts w:cstheme="minorHAnsi"/>
          <w:sz w:val="24"/>
        </w:rPr>
        <w:t xml:space="preserve">The responses were </w:t>
      </w:r>
      <w:proofErr w:type="spellStart"/>
      <w:r w:rsidRPr="0031706B">
        <w:rPr>
          <w:rFonts w:cstheme="minorHAnsi"/>
          <w:sz w:val="24"/>
        </w:rPr>
        <w:t>analysed</w:t>
      </w:r>
      <w:proofErr w:type="spellEnd"/>
      <w:r w:rsidRPr="0031706B">
        <w:rPr>
          <w:rFonts w:cstheme="minorHAnsi"/>
          <w:sz w:val="24"/>
        </w:rPr>
        <w:t xml:space="preserve"> to assess whether they were representative of the UK population. The age of respondents is illustrated in </w:t>
      </w:r>
      <w:r w:rsidRPr="0031706B">
        <w:rPr>
          <w:rFonts w:cstheme="minorHAnsi"/>
          <w:sz w:val="24"/>
        </w:rPr>
        <w:fldChar w:fldCharType="begin"/>
      </w:r>
      <w:r w:rsidRPr="0031706B">
        <w:rPr>
          <w:rFonts w:cstheme="minorHAnsi"/>
          <w:sz w:val="24"/>
        </w:rPr>
        <w:instrText xml:space="preserve"> REF _Ref189138948 \h </w:instrText>
      </w:r>
      <w:r w:rsidR="006F38EC" w:rsidRPr="0031706B">
        <w:rPr>
          <w:rFonts w:cstheme="minorHAnsi"/>
          <w:sz w:val="24"/>
        </w:rPr>
        <w:instrText xml:space="preserve"> \* MERGEFORMAT </w:instrText>
      </w:r>
      <w:r w:rsidRPr="0031706B">
        <w:rPr>
          <w:rFonts w:cstheme="minorHAnsi"/>
          <w:sz w:val="24"/>
        </w:rPr>
      </w:r>
      <w:r w:rsidRPr="0031706B">
        <w:rPr>
          <w:rFonts w:cstheme="minorHAnsi"/>
          <w:sz w:val="24"/>
        </w:rPr>
        <w:fldChar w:fldCharType="separate"/>
      </w:r>
      <w:r w:rsidR="00EC2403" w:rsidRPr="0031706B">
        <w:rPr>
          <w:rFonts w:cstheme="minorHAnsi"/>
          <w:sz w:val="24"/>
        </w:rPr>
        <w:t xml:space="preserve">Figure </w:t>
      </w:r>
      <w:r w:rsidRPr="0031706B">
        <w:rPr>
          <w:rFonts w:cstheme="minorHAnsi"/>
          <w:sz w:val="24"/>
        </w:rPr>
        <w:fldChar w:fldCharType="end"/>
      </w:r>
      <w:r w:rsidR="00E25549" w:rsidRPr="0031706B">
        <w:rPr>
          <w:rFonts w:cstheme="minorHAnsi"/>
          <w:sz w:val="24"/>
        </w:rPr>
        <w:t>2</w:t>
      </w:r>
      <w:r w:rsidRPr="0031706B">
        <w:rPr>
          <w:rFonts w:cstheme="minorHAnsi"/>
          <w:sz w:val="24"/>
        </w:rPr>
        <w:t>, alongside comparison data for the UK population</w:t>
      </w:r>
      <w:r w:rsidR="00673A38" w:rsidRPr="0031706B">
        <w:rPr>
          <w:rFonts w:cstheme="minorHAnsi"/>
          <w:sz w:val="24"/>
        </w:rPr>
        <w:t xml:space="preserve"> from the 2001 census</w:t>
      </w:r>
      <w:r w:rsidR="00DA6DCE" w:rsidRPr="0031706B">
        <w:rPr>
          <w:rFonts w:cstheme="minorHAnsi"/>
          <w:sz w:val="24"/>
        </w:rPr>
        <w:t xml:space="preserve"> (ONS, 2001)</w:t>
      </w:r>
      <w:r w:rsidRPr="0031706B">
        <w:rPr>
          <w:rFonts w:cstheme="minorHAnsi"/>
          <w:sz w:val="24"/>
        </w:rPr>
        <w:t>. Respondents over-represented their equivalent age group in the UK population for people between 16 and 45</w:t>
      </w:r>
      <w:r w:rsidR="00762D9B" w:rsidRPr="0031706B">
        <w:rPr>
          <w:rFonts w:cstheme="minorHAnsi"/>
          <w:sz w:val="24"/>
        </w:rPr>
        <w:t>. In contrast, respondents under-represented their equivalent age group in the UK population for people under 16 and over 45, most notably in the ‘over 65’ age group.</w:t>
      </w:r>
    </w:p>
    <w:p w14:paraId="7F5562EE" w14:textId="77777777" w:rsidR="00097B6F" w:rsidRPr="0031706B" w:rsidRDefault="00097B6F" w:rsidP="00CA4C4E">
      <w:pPr>
        <w:spacing w:after="0" w:line="480" w:lineRule="auto"/>
        <w:rPr>
          <w:rFonts w:cstheme="minorHAnsi"/>
          <w:sz w:val="24"/>
        </w:rPr>
      </w:pPr>
      <w:r w:rsidRPr="0031706B">
        <w:rPr>
          <w:rFonts w:cstheme="minorHAnsi"/>
          <w:noProof/>
          <w:sz w:val="24"/>
          <w:lang w:val="en-GB" w:eastAsia="en-GB"/>
        </w:rPr>
        <w:drawing>
          <wp:inline distT="0" distB="0" distL="0" distR="0" wp14:anchorId="5F1DF980" wp14:editId="1BF98C1A">
            <wp:extent cx="5486400" cy="3124835"/>
            <wp:effectExtent l="0" t="0" r="0" b="0"/>
            <wp:docPr id="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C139A7" w14:textId="3974E37A" w:rsidR="00097B6F" w:rsidRPr="0031706B" w:rsidRDefault="00097B6F" w:rsidP="00CA4C4E">
      <w:pPr>
        <w:pStyle w:val="Caption"/>
        <w:spacing w:after="0" w:line="480" w:lineRule="auto"/>
        <w:rPr>
          <w:rFonts w:cstheme="minorHAnsi"/>
          <w:sz w:val="24"/>
          <w:szCs w:val="24"/>
        </w:rPr>
      </w:pPr>
      <w:bookmarkStart w:id="7" w:name="_Ref189138948"/>
      <w:bookmarkStart w:id="8" w:name="_Toc193708867"/>
      <w:r w:rsidRPr="0031706B">
        <w:rPr>
          <w:rFonts w:cstheme="minorHAnsi"/>
          <w:sz w:val="24"/>
          <w:szCs w:val="24"/>
        </w:rPr>
        <w:t xml:space="preserve">Figure </w:t>
      </w:r>
      <w:bookmarkEnd w:id="7"/>
      <w:r w:rsidR="00E25549" w:rsidRPr="0031706B">
        <w:rPr>
          <w:rFonts w:cstheme="minorHAnsi"/>
          <w:sz w:val="24"/>
          <w:szCs w:val="24"/>
        </w:rPr>
        <w:t xml:space="preserve">2 </w:t>
      </w:r>
      <w:r w:rsidRPr="0031706B">
        <w:rPr>
          <w:rFonts w:cstheme="minorHAnsi"/>
          <w:sz w:val="24"/>
          <w:szCs w:val="24"/>
        </w:rPr>
        <w:t>– Demographic comparisons: age</w:t>
      </w:r>
      <w:bookmarkEnd w:id="8"/>
      <w:r w:rsidRPr="0031706B">
        <w:rPr>
          <w:rFonts w:cstheme="minorHAnsi"/>
          <w:sz w:val="24"/>
          <w:szCs w:val="24"/>
        </w:rPr>
        <w:t xml:space="preserve"> </w:t>
      </w:r>
    </w:p>
    <w:p w14:paraId="54CD7271" w14:textId="7E4489B9" w:rsidR="00097B6F" w:rsidRPr="0031706B" w:rsidRDefault="00097B6F" w:rsidP="00CA4C4E">
      <w:pPr>
        <w:spacing w:after="0" w:line="480" w:lineRule="auto"/>
        <w:rPr>
          <w:rFonts w:cstheme="minorHAnsi"/>
          <w:sz w:val="24"/>
        </w:rPr>
      </w:pPr>
      <w:r w:rsidRPr="0031706B">
        <w:rPr>
          <w:rFonts w:cstheme="minorHAnsi"/>
          <w:sz w:val="24"/>
        </w:rPr>
        <w:lastRenderedPageBreak/>
        <w:t xml:space="preserve">The region/country respondents came from is illustrated in </w:t>
      </w:r>
      <w:r w:rsidRPr="0031706B">
        <w:rPr>
          <w:rFonts w:cstheme="minorHAnsi"/>
          <w:sz w:val="24"/>
        </w:rPr>
        <w:fldChar w:fldCharType="begin"/>
      </w:r>
      <w:r w:rsidRPr="0031706B">
        <w:rPr>
          <w:rFonts w:cstheme="minorHAnsi"/>
          <w:sz w:val="24"/>
        </w:rPr>
        <w:instrText xml:space="preserve"> REF _Ref189138974 \h </w:instrText>
      </w:r>
      <w:r w:rsidR="006F38EC" w:rsidRPr="0031706B">
        <w:rPr>
          <w:rFonts w:cstheme="minorHAnsi"/>
          <w:sz w:val="24"/>
        </w:rPr>
        <w:instrText xml:space="preserve"> \* MERGEFORMAT </w:instrText>
      </w:r>
      <w:r w:rsidRPr="0031706B">
        <w:rPr>
          <w:rFonts w:cstheme="minorHAnsi"/>
          <w:sz w:val="24"/>
        </w:rPr>
      </w:r>
      <w:r w:rsidRPr="0031706B">
        <w:rPr>
          <w:rFonts w:cstheme="minorHAnsi"/>
          <w:sz w:val="24"/>
        </w:rPr>
        <w:fldChar w:fldCharType="separate"/>
      </w:r>
      <w:r w:rsidR="00EC2403" w:rsidRPr="0031706B">
        <w:rPr>
          <w:rFonts w:cstheme="minorHAnsi"/>
          <w:sz w:val="24"/>
        </w:rPr>
        <w:t xml:space="preserve">Figure </w:t>
      </w:r>
      <w:r w:rsidRPr="0031706B">
        <w:rPr>
          <w:rFonts w:cstheme="minorHAnsi"/>
          <w:sz w:val="24"/>
        </w:rPr>
        <w:fldChar w:fldCharType="end"/>
      </w:r>
      <w:r w:rsidR="00E25549" w:rsidRPr="0031706B">
        <w:rPr>
          <w:rFonts w:cstheme="minorHAnsi"/>
          <w:sz w:val="24"/>
        </w:rPr>
        <w:t>3</w:t>
      </w:r>
      <w:r w:rsidRPr="0031706B">
        <w:rPr>
          <w:rFonts w:cstheme="minorHAnsi"/>
          <w:sz w:val="24"/>
        </w:rPr>
        <w:t xml:space="preserve">, alongside comparison data for the UK population </w:t>
      </w:r>
      <w:r w:rsidR="00D67A28" w:rsidRPr="0031706B">
        <w:rPr>
          <w:rFonts w:cstheme="minorHAnsi"/>
          <w:sz w:val="24"/>
        </w:rPr>
        <w:t xml:space="preserve">from the 2001 census </w:t>
      </w:r>
      <w:r w:rsidR="00DA6DCE" w:rsidRPr="0031706B">
        <w:rPr>
          <w:rFonts w:cstheme="minorHAnsi"/>
          <w:sz w:val="24"/>
        </w:rPr>
        <w:t xml:space="preserve">(ONS, 2001) </w:t>
      </w:r>
      <w:r w:rsidRPr="0031706B">
        <w:rPr>
          <w:rFonts w:cstheme="minorHAnsi"/>
          <w:sz w:val="24"/>
        </w:rPr>
        <w:t>for the same regions and countries. Respondents over-represented the population in the South (West and East), Greater London, and marginally in the North East.</w:t>
      </w:r>
    </w:p>
    <w:p w14:paraId="68AC2A6C" w14:textId="77777777" w:rsidR="00097B6F" w:rsidRPr="0031706B" w:rsidRDefault="00097B6F" w:rsidP="00CA4C4E">
      <w:pPr>
        <w:spacing w:after="0" w:line="480" w:lineRule="auto"/>
        <w:rPr>
          <w:rFonts w:cstheme="minorHAnsi"/>
          <w:sz w:val="24"/>
        </w:rPr>
      </w:pPr>
    </w:p>
    <w:p w14:paraId="2FE4551D" w14:textId="77777777" w:rsidR="00097B6F" w:rsidRPr="0031706B" w:rsidRDefault="00097B6F" w:rsidP="00CA4C4E">
      <w:pPr>
        <w:spacing w:after="0" w:line="480" w:lineRule="auto"/>
        <w:rPr>
          <w:rFonts w:cstheme="minorHAnsi"/>
          <w:sz w:val="24"/>
        </w:rPr>
      </w:pPr>
      <w:r w:rsidRPr="0031706B">
        <w:rPr>
          <w:rFonts w:cstheme="minorHAnsi"/>
          <w:noProof/>
          <w:sz w:val="24"/>
          <w:lang w:val="en-GB" w:eastAsia="en-GB"/>
        </w:rPr>
        <w:drawing>
          <wp:inline distT="0" distB="0" distL="0" distR="0" wp14:anchorId="4F808ACD" wp14:editId="1159ADA5">
            <wp:extent cx="5486400" cy="3021330"/>
            <wp:effectExtent l="0" t="0" r="0" b="0"/>
            <wp:docPr id="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A2183E" w14:textId="26647A24" w:rsidR="00097B6F" w:rsidRPr="0031706B" w:rsidRDefault="00097B6F" w:rsidP="00CA4C4E">
      <w:pPr>
        <w:pStyle w:val="Caption"/>
        <w:spacing w:after="0" w:line="480" w:lineRule="auto"/>
        <w:rPr>
          <w:rFonts w:cstheme="minorHAnsi"/>
          <w:sz w:val="24"/>
          <w:szCs w:val="24"/>
        </w:rPr>
      </w:pPr>
      <w:bookmarkStart w:id="9" w:name="_Ref189138974"/>
      <w:bookmarkStart w:id="10" w:name="_Toc193708868"/>
      <w:r w:rsidRPr="0031706B">
        <w:rPr>
          <w:rFonts w:cstheme="minorHAnsi"/>
          <w:sz w:val="24"/>
          <w:szCs w:val="24"/>
        </w:rPr>
        <w:t xml:space="preserve">Figure </w:t>
      </w:r>
      <w:bookmarkEnd w:id="9"/>
      <w:r w:rsidR="00E25549" w:rsidRPr="0031706B">
        <w:rPr>
          <w:rFonts w:cstheme="minorHAnsi"/>
          <w:sz w:val="24"/>
          <w:szCs w:val="24"/>
        </w:rPr>
        <w:t xml:space="preserve">3 </w:t>
      </w:r>
      <w:r w:rsidRPr="0031706B">
        <w:rPr>
          <w:rFonts w:cstheme="minorHAnsi"/>
          <w:sz w:val="24"/>
          <w:szCs w:val="24"/>
        </w:rPr>
        <w:t>– Demographic comparisons: location</w:t>
      </w:r>
      <w:bookmarkEnd w:id="10"/>
    </w:p>
    <w:p w14:paraId="1688F325" w14:textId="4A4DEA9F" w:rsidR="00097B6F" w:rsidRPr="0031706B" w:rsidRDefault="00097B6F" w:rsidP="00CA4C4E">
      <w:pPr>
        <w:spacing w:after="0" w:line="480" w:lineRule="auto"/>
        <w:rPr>
          <w:rFonts w:cstheme="minorHAnsi"/>
          <w:sz w:val="24"/>
        </w:rPr>
      </w:pPr>
      <w:r w:rsidRPr="0031706B">
        <w:rPr>
          <w:rFonts w:cstheme="minorHAnsi"/>
          <w:sz w:val="24"/>
        </w:rPr>
        <w:t>Respondents were asked ‘Would you describe your home as being rural or urban?</w:t>
      </w:r>
      <w:proofErr w:type="gramStart"/>
      <w:r w:rsidRPr="0031706B">
        <w:rPr>
          <w:rFonts w:cstheme="minorHAnsi"/>
          <w:sz w:val="24"/>
        </w:rPr>
        <w:t>’.</w:t>
      </w:r>
      <w:proofErr w:type="gramEnd"/>
      <w:r w:rsidRPr="0031706B">
        <w:rPr>
          <w:rFonts w:cstheme="minorHAnsi"/>
          <w:sz w:val="24"/>
        </w:rPr>
        <w:t xml:space="preserve"> The responses of the participants closely matched the UK population </w:t>
      </w:r>
      <w:r w:rsidR="00D67A28" w:rsidRPr="0031706B">
        <w:rPr>
          <w:rFonts w:cstheme="minorHAnsi"/>
          <w:sz w:val="24"/>
        </w:rPr>
        <w:t xml:space="preserve">from the 2001 census </w:t>
      </w:r>
      <w:r w:rsidR="00410ABC" w:rsidRPr="0031706B">
        <w:rPr>
          <w:rFonts w:cstheme="minorHAnsi"/>
          <w:sz w:val="24"/>
        </w:rPr>
        <w:t xml:space="preserve">for these two </w:t>
      </w:r>
      <w:r w:rsidRPr="0031706B">
        <w:rPr>
          <w:rFonts w:cstheme="minorHAnsi"/>
          <w:sz w:val="24"/>
        </w:rPr>
        <w:t>type</w:t>
      </w:r>
      <w:r w:rsidR="00410ABC" w:rsidRPr="0031706B">
        <w:rPr>
          <w:rFonts w:cstheme="minorHAnsi"/>
          <w:sz w:val="24"/>
        </w:rPr>
        <w:t>s</w:t>
      </w:r>
      <w:r w:rsidRPr="0031706B">
        <w:rPr>
          <w:rFonts w:cstheme="minorHAnsi"/>
          <w:sz w:val="24"/>
        </w:rPr>
        <w:t xml:space="preserve"> of location</w:t>
      </w:r>
      <w:r w:rsidR="009A1475" w:rsidRPr="0031706B">
        <w:rPr>
          <w:rFonts w:cstheme="minorHAnsi"/>
          <w:sz w:val="24"/>
        </w:rPr>
        <w:t xml:space="preserve"> (Chi-square = 3.54, p = 0.06)</w:t>
      </w:r>
      <w:r w:rsidRPr="0031706B">
        <w:rPr>
          <w:rFonts w:cstheme="minorHAnsi"/>
          <w:sz w:val="24"/>
        </w:rPr>
        <w:t>.</w:t>
      </w:r>
      <w:r w:rsidR="00410ABC" w:rsidRPr="0031706B">
        <w:rPr>
          <w:rFonts w:cstheme="minorHAnsi"/>
          <w:sz w:val="24"/>
        </w:rPr>
        <w:t xml:space="preserve"> The simulation did not ask participants to describe level of education</w:t>
      </w:r>
      <w:r w:rsidR="00121CD0" w:rsidRPr="0031706B">
        <w:rPr>
          <w:rFonts w:cstheme="minorHAnsi"/>
          <w:sz w:val="24"/>
        </w:rPr>
        <w:t xml:space="preserve"> attained</w:t>
      </w:r>
      <w:r w:rsidR="00410ABC" w:rsidRPr="0031706B">
        <w:rPr>
          <w:rFonts w:cstheme="minorHAnsi"/>
          <w:sz w:val="24"/>
        </w:rPr>
        <w:t xml:space="preserve">, employment status, gender or other </w:t>
      </w:r>
      <w:r w:rsidR="00C40F32" w:rsidRPr="0031706B">
        <w:rPr>
          <w:rFonts w:cstheme="minorHAnsi"/>
          <w:sz w:val="24"/>
        </w:rPr>
        <w:t xml:space="preserve">potentially </w:t>
      </w:r>
      <w:r w:rsidR="00410ABC" w:rsidRPr="0031706B">
        <w:rPr>
          <w:rFonts w:cstheme="minorHAnsi"/>
          <w:sz w:val="24"/>
        </w:rPr>
        <w:t xml:space="preserve">critical variables, and therefore the extent to which this sample can be evaluated for representativeness is limited. </w:t>
      </w:r>
    </w:p>
    <w:p w14:paraId="51E007EE" w14:textId="43201AFE" w:rsidR="00C86AAA" w:rsidRPr="0031706B" w:rsidRDefault="00C86AAA" w:rsidP="00CA4C4E">
      <w:pPr>
        <w:spacing w:after="0" w:line="480" w:lineRule="auto"/>
        <w:rPr>
          <w:rFonts w:cstheme="minorHAnsi"/>
          <w:sz w:val="24"/>
        </w:rPr>
      </w:pPr>
    </w:p>
    <w:p w14:paraId="1EE48625" w14:textId="1AC7A3CF" w:rsidR="00097B6F" w:rsidRPr="0031706B" w:rsidRDefault="00FA6B1B" w:rsidP="00CA4C4E">
      <w:pPr>
        <w:pStyle w:val="Heading3"/>
        <w:spacing w:before="0" w:line="480" w:lineRule="auto"/>
        <w:rPr>
          <w:rFonts w:asciiTheme="minorHAnsi" w:hAnsiTheme="minorHAnsi" w:cstheme="minorHAnsi"/>
          <w:color w:val="auto"/>
          <w:sz w:val="24"/>
        </w:rPr>
      </w:pPr>
      <w:bookmarkStart w:id="11" w:name="_Toc193708816"/>
      <w:r w:rsidRPr="0031706B">
        <w:rPr>
          <w:rFonts w:asciiTheme="minorHAnsi" w:hAnsiTheme="minorHAnsi" w:cstheme="minorHAnsi"/>
          <w:color w:val="auto"/>
          <w:sz w:val="24"/>
        </w:rPr>
        <w:lastRenderedPageBreak/>
        <w:t>4.</w:t>
      </w:r>
      <w:r w:rsidR="005F3507" w:rsidRPr="0031706B">
        <w:rPr>
          <w:rFonts w:asciiTheme="minorHAnsi" w:hAnsiTheme="minorHAnsi" w:cstheme="minorHAnsi"/>
          <w:color w:val="auto"/>
          <w:sz w:val="24"/>
        </w:rPr>
        <w:t>2</w:t>
      </w:r>
      <w:r w:rsidRPr="0031706B">
        <w:rPr>
          <w:rFonts w:asciiTheme="minorHAnsi" w:hAnsiTheme="minorHAnsi" w:cstheme="minorHAnsi"/>
          <w:color w:val="auto"/>
          <w:sz w:val="24"/>
        </w:rPr>
        <w:t xml:space="preserve"> </w:t>
      </w:r>
      <w:r w:rsidR="00097B6F" w:rsidRPr="0031706B">
        <w:rPr>
          <w:rFonts w:asciiTheme="minorHAnsi" w:hAnsiTheme="minorHAnsi" w:cstheme="minorHAnsi"/>
          <w:color w:val="auto"/>
          <w:sz w:val="24"/>
        </w:rPr>
        <w:t>Attitudinal representativeness of respondents</w:t>
      </w:r>
      <w:bookmarkEnd w:id="11"/>
    </w:p>
    <w:p w14:paraId="1989B6AA" w14:textId="77AE7B2F" w:rsidR="00097B6F" w:rsidRPr="0031706B" w:rsidRDefault="00097B6F" w:rsidP="00CA4C4E">
      <w:pPr>
        <w:spacing w:after="0" w:line="480" w:lineRule="auto"/>
        <w:rPr>
          <w:rFonts w:cstheme="minorHAnsi"/>
          <w:sz w:val="24"/>
        </w:rPr>
      </w:pPr>
      <w:r w:rsidRPr="0031706B">
        <w:rPr>
          <w:rFonts w:cstheme="minorHAnsi"/>
          <w:sz w:val="24"/>
        </w:rPr>
        <w:t>Respondents were asked ‘How concerned, if at all, are you about climate change?</w:t>
      </w:r>
      <w:proofErr w:type="gramStart"/>
      <w:r w:rsidRPr="0031706B">
        <w:rPr>
          <w:rFonts w:cstheme="minorHAnsi"/>
          <w:sz w:val="24"/>
        </w:rPr>
        <w:t>’.</w:t>
      </w:r>
      <w:proofErr w:type="gramEnd"/>
      <w:r w:rsidRPr="0031706B">
        <w:rPr>
          <w:rFonts w:cstheme="minorHAnsi"/>
          <w:sz w:val="24"/>
        </w:rPr>
        <w:t xml:space="preserve"> Responses are illustrated in Figure </w:t>
      </w:r>
      <w:r w:rsidR="00D04BCE" w:rsidRPr="0031706B">
        <w:rPr>
          <w:rFonts w:cstheme="minorHAnsi"/>
          <w:sz w:val="24"/>
        </w:rPr>
        <w:t>4</w:t>
      </w:r>
      <w:r w:rsidRPr="0031706B">
        <w:rPr>
          <w:rFonts w:cstheme="minorHAnsi"/>
          <w:sz w:val="24"/>
        </w:rPr>
        <w:t>. 91.1% of respondents stated that they were concerned about climate change.</w:t>
      </w:r>
    </w:p>
    <w:p w14:paraId="53314C48" w14:textId="77777777" w:rsidR="00097B6F" w:rsidRPr="0031706B" w:rsidRDefault="00097B6F" w:rsidP="00CA4C4E">
      <w:pPr>
        <w:spacing w:after="0" w:line="480" w:lineRule="auto"/>
        <w:rPr>
          <w:rFonts w:cstheme="minorHAnsi"/>
          <w:sz w:val="24"/>
        </w:rPr>
      </w:pPr>
      <w:r w:rsidRPr="0031706B">
        <w:rPr>
          <w:rFonts w:cstheme="minorHAnsi"/>
          <w:noProof/>
          <w:sz w:val="24"/>
          <w:lang w:val="en-GB" w:eastAsia="en-GB"/>
        </w:rPr>
        <w:drawing>
          <wp:inline distT="0" distB="0" distL="0" distR="0" wp14:anchorId="7A345F1D" wp14:editId="4631D43F">
            <wp:extent cx="4610100" cy="2762250"/>
            <wp:effectExtent l="0" t="0" r="0" b="0"/>
            <wp:docPr id="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484CA9" w14:textId="7972E017" w:rsidR="00097B6F" w:rsidRPr="0031706B" w:rsidRDefault="00097B6F" w:rsidP="00CA4C4E">
      <w:pPr>
        <w:pStyle w:val="Caption"/>
        <w:spacing w:after="0" w:line="480" w:lineRule="auto"/>
        <w:rPr>
          <w:rFonts w:cstheme="minorHAnsi"/>
          <w:sz w:val="24"/>
          <w:szCs w:val="24"/>
        </w:rPr>
      </w:pPr>
      <w:bookmarkStart w:id="12" w:name="_Ref188863950"/>
      <w:bookmarkStart w:id="13" w:name="_Toc193708871"/>
      <w:r w:rsidRPr="0031706B">
        <w:rPr>
          <w:rFonts w:cstheme="minorHAnsi"/>
          <w:sz w:val="24"/>
          <w:szCs w:val="24"/>
        </w:rPr>
        <w:t xml:space="preserve">Figure </w:t>
      </w:r>
      <w:bookmarkEnd w:id="12"/>
      <w:r w:rsidR="00E25549" w:rsidRPr="0031706B">
        <w:rPr>
          <w:rFonts w:cstheme="minorHAnsi"/>
          <w:sz w:val="24"/>
          <w:szCs w:val="24"/>
        </w:rPr>
        <w:t xml:space="preserve">4 </w:t>
      </w:r>
      <w:r w:rsidRPr="0031706B">
        <w:rPr>
          <w:rFonts w:cstheme="minorHAnsi"/>
          <w:sz w:val="24"/>
          <w:szCs w:val="24"/>
        </w:rPr>
        <w:t>– Concern about climate change</w:t>
      </w:r>
      <w:bookmarkEnd w:id="13"/>
    </w:p>
    <w:p w14:paraId="29342FC3" w14:textId="2AD6127E" w:rsidR="00484A3B" w:rsidRPr="0031706B" w:rsidRDefault="00097B6F" w:rsidP="008708AD">
      <w:pPr>
        <w:spacing w:after="0" w:line="480" w:lineRule="auto"/>
        <w:rPr>
          <w:rFonts w:cstheme="minorHAnsi"/>
          <w:sz w:val="24"/>
        </w:rPr>
      </w:pPr>
      <w:r w:rsidRPr="0031706B">
        <w:rPr>
          <w:rFonts w:cstheme="minorHAnsi"/>
          <w:sz w:val="24"/>
        </w:rPr>
        <w:t xml:space="preserve">Public attitude surveys investigating concern about climate change with nationally representative samples have found that approximately 70% of people are fairly or very concerned about climate change (Corner </w:t>
      </w:r>
      <w:r w:rsidRPr="0031706B">
        <w:rPr>
          <w:rFonts w:cstheme="minorHAnsi"/>
          <w:i/>
          <w:sz w:val="24"/>
        </w:rPr>
        <w:t xml:space="preserve">et al., </w:t>
      </w:r>
      <w:r w:rsidRPr="0031706B">
        <w:rPr>
          <w:rFonts w:cstheme="minorHAnsi"/>
          <w:sz w:val="24"/>
        </w:rPr>
        <w:t xml:space="preserve">2011; Department for Transport, 2011), although other research indicates lower levels of concern (European Commission, 2007; Lynn and </w:t>
      </w:r>
      <w:proofErr w:type="spellStart"/>
      <w:r w:rsidRPr="0031706B">
        <w:rPr>
          <w:rFonts w:cstheme="minorHAnsi"/>
          <w:sz w:val="24"/>
        </w:rPr>
        <w:t>Longhi</w:t>
      </w:r>
      <w:proofErr w:type="spellEnd"/>
      <w:r w:rsidRPr="0031706B">
        <w:rPr>
          <w:rFonts w:cstheme="minorHAnsi"/>
          <w:sz w:val="24"/>
        </w:rPr>
        <w:t xml:space="preserve">, 2011; National Centre for Social Research, 2012). When compared with Figure </w:t>
      </w:r>
      <w:r w:rsidR="00E25549" w:rsidRPr="0031706B">
        <w:rPr>
          <w:rFonts w:cstheme="minorHAnsi"/>
          <w:sz w:val="24"/>
        </w:rPr>
        <w:t>4</w:t>
      </w:r>
      <w:r w:rsidRPr="0031706B">
        <w:rPr>
          <w:rFonts w:cstheme="minorHAnsi"/>
          <w:sz w:val="24"/>
        </w:rPr>
        <w:t>, this demonstrates that these respondents were more concerned about climate change than the population.</w:t>
      </w:r>
    </w:p>
    <w:p w14:paraId="00F6A173" w14:textId="77777777" w:rsidR="00042297" w:rsidRPr="0031706B" w:rsidRDefault="00042297" w:rsidP="008708AD">
      <w:pPr>
        <w:spacing w:after="0" w:line="480" w:lineRule="auto"/>
        <w:rPr>
          <w:rFonts w:cstheme="minorHAnsi"/>
          <w:sz w:val="24"/>
        </w:rPr>
      </w:pPr>
    </w:p>
    <w:p w14:paraId="69806398" w14:textId="01822E17" w:rsidR="008708AD" w:rsidRPr="0031706B" w:rsidRDefault="00FA6B1B" w:rsidP="008708AD">
      <w:pPr>
        <w:spacing w:after="0" w:line="480" w:lineRule="auto"/>
        <w:rPr>
          <w:rFonts w:cstheme="minorHAnsi"/>
          <w:b/>
          <w:sz w:val="24"/>
        </w:rPr>
      </w:pPr>
      <w:r w:rsidRPr="0031706B">
        <w:rPr>
          <w:rFonts w:cstheme="minorHAnsi"/>
          <w:b/>
          <w:sz w:val="24"/>
        </w:rPr>
        <w:t>4.</w:t>
      </w:r>
      <w:r w:rsidR="005F3507" w:rsidRPr="0031706B">
        <w:rPr>
          <w:rFonts w:cstheme="minorHAnsi"/>
          <w:b/>
          <w:sz w:val="24"/>
        </w:rPr>
        <w:t>3</w:t>
      </w:r>
      <w:r w:rsidRPr="0031706B">
        <w:rPr>
          <w:rFonts w:cstheme="minorHAnsi"/>
          <w:b/>
          <w:sz w:val="24"/>
        </w:rPr>
        <w:t xml:space="preserve"> </w:t>
      </w:r>
      <w:r w:rsidR="008708AD" w:rsidRPr="0031706B">
        <w:rPr>
          <w:rFonts w:cstheme="minorHAnsi"/>
          <w:b/>
          <w:sz w:val="24"/>
        </w:rPr>
        <w:t>Demographic data summary</w:t>
      </w:r>
    </w:p>
    <w:p w14:paraId="7D799C8D" w14:textId="449214C8" w:rsidR="008708AD" w:rsidRPr="0031706B" w:rsidRDefault="008708AD" w:rsidP="008708AD">
      <w:pPr>
        <w:spacing w:after="0" w:line="480" w:lineRule="auto"/>
        <w:rPr>
          <w:rFonts w:cstheme="minorHAnsi"/>
          <w:sz w:val="24"/>
        </w:rPr>
      </w:pPr>
      <w:r w:rsidRPr="0031706B">
        <w:rPr>
          <w:rFonts w:cstheme="minorHAnsi"/>
          <w:sz w:val="24"/>
        </w:rPr>
        <w:t>Demographic and attitudinal data demonstrated that participants were younger than the UK population</w:t>
      </w:r>
      <w:r w:rsidR="00042297" w:rsidRPr="0031706B">
        <w:rPr>
          <w:rFonts w:cstheme="minorHAnsi"/>
          <w:sz w:val="24"/>
        </w:rPr>
        <w:t xml:space="preserve">, with over-representation in the 16-45 age </w:t>
      </w:r>
      <w:proofErr w:type="gramStart"/>
      <w:r w:rsidR="00042297" w:rsidRPr="0031706B">
        <w:rPr>
          <w:rFonts w:cstheme="minorHAnsi"/>
          <w:sz w:val="24"/>
        </w:rPr>
        <w:lastRenderedPageBreak/>
        <w:t>group</w:t>
      </w:r>
      <w:proofErr w:type="gramEnd"/>
      <w:r w:rsidR="00042297" w:rsidRPr="0031706B">
        <w:rPr>
          <w:rFonts w:cstheme="minorHAnsi"/>
          <w:sz w:val="24"/>
        </w:rPr>
        <w:t>,</w:t>
      </w:r>
      <w:r w:rsidRPr="0031706B">
        <w:rPr>
          <w:rFonts w:cstheme="minorHAnsi"/>
          <w:sz w:val="24"/>
        </w:rPr>
        <w:t xml:space="preserve"> and also more concerned about climate change, based on limited information collected through the simulation.</w:t>
      </w:r>
      <w:r w:rsidR="00042297" w:rsidRPr="0031706B">
        <w:rPr>
          <w:rFonts w:cstheme="minorHAnsi"/>
          <w:sz w:val="24"/>
        </w:rPr>
        <w:t xml:space="preserve"> This poses some limitations on how </w:t>
      </w:r>
      <w:proofErr w:type="spellStart"/>
      <w:r w:rsidR="00042297" w:rsidRPr="0031706B">
        <w:rPr>
          <w:rFonts w:cstheme="minorHAnsi"/>
          <w:sz w:val="24"/>
        </w:rPr>
        <w:t>generalised</w:t>
      </w:r>
      <w:proofErr w:type="spellEnd"/>
      <w:r w:rsidR="00042297" w:rsidRPr="0031706B">
        <w:rPr>
          <w:rFonts w:cstheme="minorHAnsi"/>
          <w:sz w:val="24"/>
        </w:rPr>
        <w:t xml:space="preserve"> any findings might be, since this sample cannot be wholly regarded as a representative sample of the UK population. Since these participants were self-selecting, this sampling approach was more likely to attract participation from people already interested and engaged with the topics discussed, hence any conclusions derived from data analysis reflect the views of these participants, but cannot be assumed to match the views of the general public.   </w:t>
      </w:r>
    </w:p>
    <w:p w14:paraId="03373720" w14:textId="77777777" w:rsidR="00A552DF" w:rsidRPr="0031706B" w:rsidRDefault="00A552DF" w:rsidP="008708AD">
      <w:pPr>
        <w:spacing w:after="0" w:line="480" w:lineRule="auto"/>
      </w:pPr>
    </w:p>
    <w:p w14:paraId="6323A5D9" w14:textId="7024E989" w:rsidR="00097B6F" w:rsidRPr="0031706B" w:rsidRDefault="00FA6B1B" w:rsidP="00CA4C4E">
      <w:pPr>
        <w:pStyle w:val="Heading3"/>
        <w:spacing w:before="0" w:line="480" w:lineRule="auto"/>
        <w:rPr>
          <w:rFonts w:asciiTheme="minorHAnsi" w:hAnsiTheme="minorHAnsi" w:cstheme="minorHAnsi"/>
          <w:color w:val="auto"/>
          <w:sz w:val="24"/>
        </w:rPr>
      </w:pPr>
      <w:bookmarkStart w:id="14" w:name="_Toc193708809"/>
      <w:r w:rsidRPr="0031706B">
        <w:rPr>
          <w:rFonts w:asciiTheme="minorHAnsi" w:hAnsiTheme="minorHAnsi" w:cstheme="minorHAnsi"/>
          <w:color w:val="auto"/>
          <w:sz w:val="24"/>
        </w:rPr>
        <w:t>4.</w:t>
      </w:r>
      <w:r w:rsidR="005F3507" w:rsidRPr="0031706B">
        <w:rPr>
          <w:rFonts w:asciiTheme="minorHAnsi" w:hAnsiTheme="minorHAnsi" w:cstheme="minorHAnsi"/>
          <w:color w:val="auto"/>
          <w:sz w:val="24"/>
        </w:rPr>
        <w:t>4</w:t>
      </w:r>
      <w:r w:rsidRPr="0031706B">
        <w:rPr>
          <w:rFonts w:asciiTheme="minorHAnsi" w:hAnsiTheme="minorHAnsi" w:cstheme="minorHAnsi"/>
          <w:color w:val="auto"/>
          <w:sz w:val="24"/>
        </w:rPr>
        <w:t xml:space="preserve"> </w:t>
      </w:r>
      <w:r w:rsidR="00097B6F" w:rsidRPr="0031706B">
        <w:rPr>
          <w:rFonts w:asciiTheme="minorHAnsi" w:hAnsiTheme="minorHAnsi" w:cstheme="minorHAnsi"/>
          <w:color w:val="auto"/>
          <w:sz w:val="24"/>
        </w:rPr>
        <w:t>Overview of participation data</w:t>
      </w:r>
      <w:bookmarkEnd w:id="14"/>
    </w:p>
    <w:p w14:paraId="699E5450" w14:textId="24A5D9A2" w:rsidR="00097B6F" w:rsidRPr="0031706B" w:rsidRDefault="00097B6F" w:rsidP="00CA4C4E">
      <w:pPr>
        <w:spacing w:after="0" w:line="480" w:lineRule="auto"/>
        <w:rPr>
          <w:rFonts w:cstheme="minorHAnsi"/>
          <w:sz w:val="24"/>
        </w:rPr>
      </w:pPr>
      <w:r w:rsidRPr="0031706B">
        <w:rPr>
          <w:rFonts w:cstheme="minorHAnsi"/>
          <w:sz w:val="24"/>
        </w:rPr>
        <w:t>10,983 responses were submitted between 2 February</w:t>
      </w:r>
      <w:r w:rsidRPr="0031706B">
        <w:rPr>
          <w:rStyle w:val="EndnoteReference"/>
          <w:rFonts w:cstheme="minorHAnsi"/>
          <w:sz w:val="24"/>
        </w:rPr>
        <w:endnoteReference w:id="7"/>
      </w:r>
      <w:r w:rsidRPr="0031706B">
        <w:rPr>
          <w:rFonts w:cstheme="minorHAnsi"/>
          <w:sz w:val="24"/>
        </w:rPr>
        <w:t xml:space="preserve"> and 28 June 2011. 90.7% of responses were submitted during March 2011, with 49.3% of all responses submitted on 3 March 2011, the day ‘My2050’ was launched. Respondents took on average just over fifteen minutes to make their choices (5% </w:t>
      </w:r>
      <w:r w:rsidR="00DA64AC" w:rsidRPr="0031706B">
        <w:rPr>
          <w:rFonts w:cstheme="minorHAnsi"/>
          <w:sz w:val="24"/>
        </w:rPr>
        <w:t xml:space="preserve">truncated </w:t>
      </w:r>
      <w:r w:rsidRPr="0031706B">
        <w:rPr>
          <w:rFonts w:cstheme="minorHAnsi"/>
          <w:sz w:val="24"/>
        </w:rPr>
        <w:t xml:space="preserve">mean = 15 minutes 34 seconds), although 6.4% took five minutes or less, and 3.4% took over an hour. Figure </w:t>
      </w:r>
      <w:r w:rsidR="00E25549" w:rsidRPr="0031706B">
        <w:rPr>
          <w:rFonts w:cstheme="minorHAnsi"/>
          <w:sz w:val="24"/>
        </w:rPr>
        <w:t xml:space="preserve">5 </w:t>
      </w:r>
      <w:r w:rsidRPr="0031706B">
        <w:rPr>
          <w:rFonts w:cstheme="minorHAnsi"/>
          <w:sz w:val="24"/>
        </w:rPr>
        <w:t xml:space="preserve">illustrates how long people took to make their choices. </w:t>
      </w:r>
    </w:p>
    <w:p w14:paraId="7A158323" w14:textId="77777777" w:rsidR="00097B6F" w:rsidRPr="0031706B" w:rsidRDefault="00097B6F" w:rsidP="00CA4C4E">
      <w:pPr>
        <w:spacing w:after="0" w:line="480" w:lineRule="auto"/>
        <w:rPr>
          <w:rFonts w:cstheme="minorHAnsi"/>
          <w:sz w:val="24"/>
        </w:rPr>
      </w:pPr>
      <w:r w:rsidRPr="0031706B">
        <w:rPr>
          <w:rFonts w:cstheme="minorHAnsi"/>
          <w:noProof/>
          <w:sz w:val="24"/>
          <w:lang w:val="en-GB" w:eastAsia="en-GB"/>
        </w:rPr>
        <w:lastRenderedPageBreak/>
        <w:drawing>
          <wp:inline distT="0" distB="0" distL="0" distR="0" wp14:anchorId="00A84058" wp14:editId="51B92012">
            <wp:extent cx="5397500" cy="3752850"/>
            <wp:effectExtent l="0" t="0" r="0" b="6350"/>
            <wp:docPr id="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54BC25" w14:textId="14836A82" w:rsidR="00097B6F" w:rsidRPr="0031706B" w:rsidRDefault="00097B6F" w:rsidP="00CA4C4E">
      <w:pPr>
        <w:pStyle w:val="Caption"/>
        <w:spacing w:after="0" w:line="480" w:lineRule="auto"/>
        <w:rPr>
          <w:rFonts w:cstheme="minorHAnsi"/>
          <w:sz w:val="24"/>
          <w:szCs w:val="24"/>
        </w:rPr>
      </w:pPr>
      <w:bookmarkStart w:id="15" w:name="_Ref189135701"/>
      <w:bookmarkStart w:id="16" w:name="_Toc193708861"/>
      <w:r w:rsidRPr="0031706B">
        <w:rPr>
          <w:rFonts w:cstheme="minorHAnsi"/>
          <w:sz w:val="24"/>
          <w:szCs w:val="24"/>
        </w:rPr>
        <w:t xml:space="preserve">Figure </w:t>
      </w:r>
      <w:bookmarkEnd w:id="15"/>
      <w:r w:rsidR="00E25549" w:rsidRPr="0031706B">
        <w:rPr>
          <w:rFonts w:cstheme="minorHAnsi"/>
          <w:sz w:val="24"/>
          <w:szCs w:val="24"/>
        </w:rPr>
        <w:t xml:space="preserve">5 </w:t>
      </w:r>
      <w:r w:rsidRPr="0031706B">
        <w:rPr>
          <w:rFonts w:cstheme="minorHAnsi"/>
          <w:sz w:val="24"/>
          <w:szCs w:val="24"/>
        </w:rPr>
        <w:t>– Total participation time</w:t>
      </w:r>
      <w:bookmarkEnd w:id="16"/>
      <w:r w:rsidRPr="0031706B">
        <w:rPr>
          <w:rFonts w:cstheme="minorHAnsi"/>
          <w:sz w:val="24"/>
          <w:szCs w:val="24"/>
        </w:rPr>
        <w:t xml:space="preserve"> </w:t>
      </w:r>
    </w:p>
    <w:p w14:paraId="1BC2969C" w14:textId="1099B5BA" w:rsidR="00097B6F" w:rsidRPr="0031706B" w:rsidRDefault="00DB6619" w:rsidP="00CA4C4E">
      <w:pPr>
        <w:spacing w:after="0" w:line="480" w:lineRule="auto"/>
        <w:rPr>
          <w:rFonts w:cstheme="minorHAnsi"/>
          <w:sz w:val="24"/>
        </w:rPr>
      </w:pPr>
      <w:r w:rsidRPr="0031706B">
        <w:rPr>
          <w:rFonts w:cstheme="minorHAnsi"/>
          <w:sz w:val="24"/>
        </w:rPr>
        <w:t>R</w:t>
      </w:r>
      <w:r w:rsidR="00097B6F" w:rsidRPr="0031706B">
        <w:rPr>
          <w:rFonts w:cstheme="minorHAnsi"/>
          <w:sz w:val="24"/>
        </w:rPr>
        <w:t xml:space="preserve">espondents were unable to submit choices until at least eighty percent carbon reduction had been achieved, </w:t>
      </w:r>
      <w:r w:rsidRPr="0031706B">
        <w:rPr>
          <w:rFonts w:cstheme="minorHAnsi"/>
          <w:sz w:val="24"/>
        </w:rPr>
        <w:t xml:space="preserve">and 27.5% of respondents submitted when their choices hit this 80% carbon reduction target. The remaining </w:t>
      </w:r>
      <w:r w:rsidR="00097B6F" w:rsidRPr="0031706B">
        <w:rPr>
          <w:rFonts w:cstheme="minorHAnsi"/>
          <w:sz w:val="24"/>
        </w:rPr>
        <w:t xml:space="preserve">72.5% of respondents achieved greater reductions, as illustrated in Figure </w:t>
      </w:r>
      <w:r w:rsidR="00E25549" w:rsidRPr="0031706B">
        <w:rPr>
          <w:rFonts w:cstheme="minorHAnsi"/>
          <w:sz w:val="24"/>
        </w:rPr>
        <w:t>6</w:t>
      </w:r>
      <w:r w:rsidR="00097B6F" w:rsidRPr="0031706B">
        <w:rPr>
          <w:rFonts w:cstheme="minorHAnsi"/>
          <w:sz w:val="24"/>
        </w:rPr>
        <w:t xml:space="preserve">. </w:t>
      </w:r>
      <w:r w:rsidR="00E003DA" w:rsidRPr="0031706B">
        <w:rPr>
          <w:rFonts w:cstheme="minorHAnsi"/>
          <w:sz w:val="24"/>
        </w:rPr>
        <w:t xml:space="preserve">A substantial number </w:t>
      </w:r>
      <w:r w:rsidR="00097B6F" w:rsidRPr="0031706B">
        <w:rPr>
          <w:rFonts w:cstheme="minorHAnsi"/>
          <w:sz w:val="24"/>
        </w:rPr>
        <w:t xml:space="preserve">of respondents </w:t>
      </w:r>
      <w:r w:rsidR="00E003DA" w:rsidRPr="0031706B">
        <w:rPr>
          <w:rFonts w:cstheme="minorHAnsi"/>
          <w:sz w:val="24"/>
        </w:rPr>
        <w:t xml:space="preserve">(17.4%) </w:t>
      </w:r>
      <w:r w:rsidR="00097B6F" w:rsidRPr="0031706B">
        <w:rPr>
          <w:rFonts w:cstheme="minorHAnsi"/>
          <w:sz w:val="24"/>
        </w:rPr>
        <w:t>achieved carbon reduction levels of ninety-five percent or more</w:t>
      </w:r>
      <w:r w:rsidR="00E003DA" w:rsidRPr="0031706B">
        <w:rPr>
          <w:rFonts w:cstheme="minorHAnsi"/>
          <w:sz w:val="24"/>
        </w:rPr>
        <w:t>, suggesting that participants were highly engaged with the issues involved</w:t>
      </w:r>
      <w:r w:rsidR="00467AC5" w:rsidRPr="0031706B">
        <w:rPr>
          <w:rFonts w:cstheme="minorHAnsi"/>
          <w:sz w:val="24"/>
        </w:rPr>
        <w:t>, to such an extent that they went well beyond the required target</w:t>
      </w:r>
      <w:r w:rsidR="00E003DA" w:rsidRPr="0031706B">
        <w:rPr>
          <w:rFonts w:cstheme="minorHAnsi"/>
          <w:sz w:val="24"/>
        </w:rPr>
        <w:t>. This aligns with the high level of climate change concern illustrated above</w:t>
      </w:r>
      <w:r w:rsidR="00097B6F" w:rsidRPr="0031706B">
        <w:rPr>
          <w:rFonts w:cstheme="minorHAnsi"/>
          <w:sz w:val="24"/>
        </w:rPr>
        <w:t xml:space="preserve">. ‘My2050’ did not allow respondents to exceed ninety-nine percent carbon </w:t>
      </w:r>
      <w:proofErr w:type="gramStart"/>
      <w:r w:rsidR="00097B6F" w:rsidRPr="0031706B">
        <w:rPr>
          <w:rFonts w:cstheme="minorHAnsi"/>
          <w:sz w:val="24"/>
        </w:rPr>
        <w:t>reduction</w:t>
      </w:r>
      <w:proofErr w:type="gramEnd"/>
      <w:r w:rsidR="00097B6F" w:rsidRPr="0031706B">
        <w:rPr>
          <w:rFonts w:cstheme="minorHAnsi"/>
          <w:sz w:val="24"/>
        </w:rPr>
        <w:t>.</w:t>
      </w:r>
      <w:r w:rsidR="00E003DA" w:rsidRPr="0031706B">
        <w:rPr>
          <w:color w:val="000000"/>
        </w:rPr>
        <w:t xml:space="preserve"> </w:t>
      </w:r>
    </w:p>
    <w:p w14:paraId="131896DF" w14:textId="77777777" w:rsidR="00097B6F" w:rsidRPr="0031706B" w:rsidRDefault="00097B6F" w:rsidP="00CA4C4E">
      <w:pPr>
        <w:spacing w:after="0" w:line="480" w:lineRule="auto"/>
        <w:rPr>
          <w:rFonts w:cstheme="minorHAnsi"/>
          <w:sz w:val="24"/>
        </w:rPr>
      </w:pPr>
      <w:r w:rsidRPr="0031706B">
        <w:rPr>
          <w:rFonts w:cstheme="minorHAnsi"/>
          <w:noProof/>
          <w:sz w:val="24"/>
          <w:lang w:val="en-GB" w:eastAsia="en-GB"/>
        </w:rPr>
        <w:lastRenderedPageBreak/>
        <w:drawing>
          <wp:inline distT="0" distB="0" distL="0" distR="0" wp14:anchorId="461043E8" wp14:editId="7909F9C3">
            <wp:extent cx="4572000" cy="2743200"/>
            <wp:effectExtent l="0" t="0" r="0" b="0"/>
            <wp:docPr id="1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60A555" w14:textId="0CAEE4E1" w:rsidR="00097B6F" w:rsidRPr="0031706B" w:rsidRDefault="00097B6F" w:rsidP="00CA4C4E">
      <w:pPr>
        <w:pStyle w:val="Caption"/>
        <w:spacing w:after="0" w:line="480" w:lineRule="auto"/>
        <w:rPr>
          <w:rFonts w:cstheme="minorHAnsi"/>
          <w:sz w:val="24"/>
          <w:szCs w:val="24"/>
        </w:rPr>
      </w:pPr>
      <w:bookmarkStart w:id="17" w:name="_Ref189138561"/>
      <w:bookmarkStart w:id="18" w:name="_Toc193708862"/>
      <w:r w:rsidRPr="0031706B">
        <w:rPr>
          <w:rFonts w:cstheme="minorHAnsi"/>
          <w:sz w:val="24"/>
          <w:szCs w:val="24"/>
        </w:rPr>
        <w:t xml:space="preserve">Figure </w:t>
      </w:r>
      <w:bookmarkEnd w:id="17"/>
      <w:r w:rsidR="00E25549" w:rsidRPr="0031706B">
        <w:rPr>
          <w:rFonts w:cstheme="minorHAnsi"/>
          <w:sz w:val="24"/>
          <w:szCs w:val="24"/>
        </w:rPr>
        <w:t xml:space="preserve">6 </w:t>
      </w:r>
      <w:r w:rsidRPr="0031706B">
        <w:rPr>
          <w:rFonts w:cstheme="minorHAnsi"/>
          <w:sz w:val="24"/>
          <w:szCs w:val="24"/>
        </w:rPr>
        <w:t>– Levels of carbon reduction achieved</w:t>
      </w:r>
      <w:bookmarkEnd w:id="18"/>
      <w:r w:rsidRPr="0031706B">
        <w:rPr>
          <w:rFonts w:cstheme="minorHAnsi"/>
          <w:sz w:val="24"/>
          <w:szCs w:val="24"/>
        </w:rPr>
        <w:t xml:space="preserve"> </w:t>
      </w:r>
    </w:p>
    <w:p w14:paraId="6E898C07" w14:textId="77777777" w:rsidR="00657DE3" w:rsidRPr="0031706B" w:rsidRDefault="00657DE3" w:rsidP="00CA4C4E">
      <w:pPr>
        <w:pStyle w:val="Heading3"/>
        <w:spacing w:before="0" w:line="480" w:lineRule="auto"/>
        <w:rPr>
          <w:rFonts w:asciiTheme="minorHAnsi" w:hAnsiTheme="minorHAnsi" w:cstheme="minorHAnsi"/>
          <w:color w:val="auto"/>
          <w:sz w:val="24"/>
        </w:rPr>
      </w:pPr>
      <w:bookmarkStart w:id="19" w:name="_Ref189210385"/>
      <w:bookmarkStart w:id="20" w:name="_Ref189210419"/>
      <w:bookmarkStart w:id="21" w:name="_Toc193708810"/>
    </w:p>
    <w:p w14:paraId="63B369D2" w14:textId="07473D7F" w:rsidR="00097B6F" w:rsidRPr="0031706B" w:rsidRDefault="00FA6B1B" w:rsidP="00CA4C4E">
      <w:pPr>
        <w:pStyle w:val="Heading3"/>
        <w:spacing w:before="0" w:line="480" w:lineRule="auto"/>
        <w:rPr>
          <w:rFonts w:asciiTheme="minorHAnsi" w:hAnsiTheme="minorHAnsi" w:cstheme="minorHAnsi"/>
          <w:color w:val="auto"/>
          <w:sz w:val="24"/>
        </w:rPr>
      </w:pPr>
      <w:r w:rsidRPr="0031706B">
        <w:rPr>
          <w:rFonts w:asciiTheme="minorHAnsi" w:hAnsiTheme="minorHAnsi" w:cstheme="minorHAnsi"/>
          <w:color w:val="auto"/>
          <w:sz w:val="24"/>
        </w:rPr>
        <w:t>4.</w:t>
      </w:r>
      <w:r w:rsidR="005F3507" w:rsidRPr="0031706B">
        <w:rPr>
          <w:rFonts w:asciiTheme="minorHAnsi" w:hAnsiTheme="minorHAnsi" w:cstheme="minorHAnsi"/>
          <w:color w:val="auto"/>
          <w:sz w:val="24"/>
        </w:rPr>
        <w:t>5</w:t>
      </w:r>
      <w:r w:rsidRPr="0031706B">
        <w:rPr>
          <w:rFonts w:asciiTheme="minorHAnsi" w:hAnsiTheme="minorHAnsi" w:cstheme="minorHAnsi"/>
          <w:color w:val="auto"/>
          <w:sz w:val="24"/>
        </w:rPr>
        <w:t xml:space="preserve"> </w:t>
      </w:r>
      <w:r w:rsidR="00097B6F" w:rsidRPr="0031706B">
        <w:rPr>
          <w:rFonts w:asciiTheme="minorHAnsi" w:hAnsiTheme="minorHAnsi" w:cstheme="minorHAnsi"/>
          <w:color w:val="auto"/>
          <w:sz w:val="24"/>
        </w:rPr>
        <w:t>Popular setting choices</w:t>
      </w:r>
      <w:bookmarkEnd w:id="19"/>
      <w:bookmarkEnd w:id="20"/>
      <w:bookmarkEnd w:id="21"/>
      <w:r w:rsidR="00097B6F" w:rsidRPr="0031706B">
        <w:rPr>
          <w:rFonts w:asciiTheme="minorHAnsi" w:hAnsiTheme="minorHAnsi" w:cstheme="minorHAnsi"/>
          <w:color w:val="auto"/>
          <w:sz w:val="24"/>
        </w:rPr>
        <w:t xml:space="preserve"> </w:t>
      </w:r>
    </w:p>
    <w:p w14:paraId="7D20BF9B" w14:textId="2C8F4CB4" w:rsidR="006716CA" w:rsidRPr="0031706B" w:rsidRDefault="00097B6F" w:rsidP="00CA4C4E">
      <w:pPr>
        <w:spacing w:after="0" w:line="480" w:lineRule="auto"/>
        <w:rPr>
          <w:rFonts w:cstheme="minorHAnsi"/>
          <w:sz w:val="24"/>
        </w:rPr>
      </w:pPr>
      <w:r w:rsidRPr="0031706B">
        <w:rPr>
          <w:rFonts w:cstheme="minorHAnsi"/>
          <w:sz w:val="24"/>
        </w:rPr>
        <w:t xml:space="preserve">Duplicate case analysis for pathways (represented by slider setting choices) showed that 85.4% (n = 9,377) of all pathways created were unique. The remaining 14.6% (n = 1,606) of pathways were duplicates, consisting of 452 different pathways, demonstrating </w:t>
      </w:r>
      <w:r w:rsidR="00467AC5" w:rsidRPr="0031706B">
        <w:rPr>
          <w:rFonts w:cstheme="minorHAnsi"/>
          <w:sz w:val="24"/>
        </w:rPr>
        <w:t xml:space="preserve">a very </w:t>
      </w:r>
      <w:r w:rsidRPr="0031706B">
        <w:rPr>
          <w:rFonts w:cstheme="minorHAnsi"/>
          <w:sz w:val="24"/>
        </w:rPr>
        <w:t xml:space="preserve">high variability in pathway preferences. </w:t>
      </w:r>
      <w:r w:rsidR="00181BFE" w:rsidRPr="0031706B">
        <w:rPr>
          <w:rFonts w:cstheme="minorHAnsi"/>
          <w:sz w:val="24"/>
        </w:rPr>
        <w:t xml:space="preserve">Of these duplicate pathways, the most </w:t>
      </w:r>
      <w:r w:rsidR="00642F7E" w:rsidRPr="0031706B">
        <w:rPr>
          <w:rFonts w:cstheme="minorHAnsi"/>
          <w:sz w:val="24"/>
        </w:rPr>
        <w:t>common</w:t>
      </w:r>
      <w:r w:rsidR="00181BFE" w:rsidRPr="0031706B">
        <w:rPr>
          <w:rFonts w:cstheme="minorHAnsi"/>
          <w:sz w:val="24"/>
        </w:rPr>
        <w:t xml:space="preserve"> was selected by only </w:t>
      </w:r>
      <w:r w:rsidR="00D04BCE" w:rsidRPr="0031706B">
        <w:rPr>
          <w:rFonts w:cstheme="minorHAnsi"/>
          <w:sz w:val="24"/>
        </w:rPr>
        <w:t xml:space="preserve">1.1% (n = </w:t>
      </w:r>
      <w:r w:rsidR="00181BFE" w:rsidRPr="0031706B">
        <w:rPr>
          <w:rFonts w:cstheme="minorHAnsi"/>
          <w:sz w:val="24"/>
        </w:rPr>
        <w:t xml:space="preserve">122) of participants and only </w:t>
      </w:r>
      <w:r w:rsidR="00642F7E" w:rsidRPr="0031706B">
        <w:rPr>
          <w:rFonts w:cstheme="minorHAnsi"/>
          <w:sz w:val="24"/>
        </w:rPr>
        <w:t>229 pathways were chosen by more than two respondents</w:t>
      </w:r>
      <w:r w:rsidR="00181BFE" w:rsidRPr="0031706B">
        <w:rPr>
          <w:rFonts w:cstheme="minorHAnsi"/>
          <w:sz w:val="24"/>
        </w:rPr>
        <w:t xml:space="preserve">.  </w:t>
      </w:r>
      <w:r w:rsidR="00D24CAE" w:rsidRPr="0031706B">
        <w:rPr>
          <w:rFonts w:cstheme="minorHAnsi"/>
          <w:sz w:val="24"/>
        </w:rPr>
        <w:t xml:space="preserve">The high level of variability in responses was not anticipated </w:t>
      </w:r>
      <w:r w:rsidR="004E5B88" w:rsidRPr="0031706B">
        <w:rPr>
          <w:rFonts w:cstheme="minorHAnsi"/>
          <w:sz w:val="24"/>
        </w:rPr>
        <w:t>by</w:t>
      </w:r>
      <w:r w:rsidR="00D24CAE" w:rsidRPr="0031706B">
        <w:rPr>
          <w:rFonts w:cstheme="minorHAnsi"/>
          <w:sz w:val="24"/>
        </w:rPr>
        <w:t xml:space="preserve"> the simulation creators </w:t>
      </w:r>
      <w:r w:rsidR="004E5B88" w:rsidRPr="0031706B">
        <w:rPr>
          <w:rFonts w:cstheme="minorHAnsi"/>
          <w:sz w:val="24"/>
        </w:rPr>
        <w:t>within th</w:t>
      </w:r>
      <w:r w:rsidR="00416A0C" w:rsidRPr="0031706B">
        <w:rPr>
          <w:rFonts w:cstheme="minorHAnsi"/>
          <w:sz w:val="24"/>
        </w:rPr>
        <w:t>is</w:t>
      </w:r>
      <w:r w:rsidR="004E5B88" w:rsidRPr="0031706B">
        <w:rPr>
          <w:rFonts w:cstheme="minorHAnsi"/>
          <w:sz w:val="24"/>
        </w:rPr>
        <w:t xml:space="preserve"> in</w:t>
      </w:r>
      <w:r w:rsidR="00105E6D" w:rsidRPr="0031706B">
        <w:rPr>
          <w:rFonts w:cstheme="minorHAnsi"/>
          <w:sz w:val="24"/>
        </w:rPr>
        <w:t>i</w:t>
      </w:r>
      <w:r w:rsidR="004E5B88" w:rsidRPr="0031706B">
        <w:rPr>
          <w:rFonts w:cstheme="minorHAnsi"/>
          <w:sz w:val="24"/>
        </w:rPr>
        <w:t>tial sample of ≈</w:t>
      </w:r>
      <w:r w:rsidR="00D24CAE" w:rsidRPr="0031706B">
        <w:rPr>
          <w:rFonts w:cstheme="minorHAnsi"/>
          <w:sz w:val="24"/>
        </w:rPr>
        <w:t>10,000 responses.</w:t>
      </w:r>
    </w:p>
    <w:p w14:paraId="69E96786" w14:textId="77777777" w:rsidR="009F10F5" w:rsidRPr="0031706B" w:rsidRDefault="009F10F5" w:rsidP="00CA4C4E">
      <w:pPr>
        <w:spacing w:after="0" w:line="480" w:lineRule="auto"/>
        <w:rPr>
          <w:rFonts w:cstheme="minorHAnsi"/>
          <w:sz w:val="24"/>
        </w:rPr>
      </w:pPr>
    </w:p>
    <w:p w14:paraId="0F82B368" w14:textId="772D7A04" w:rsidR="006716CA" w:rsidRPr="0031706B" w:rsidRDefault="00642F7E" w:rsidP="00CA4C4E">
      <w:pPr>
        <w:spacing w:after="0" w:line="480" w:lineRule="auto"/>
        <w:rPr>
          <w:rFonts w:cstheme="minorHAnsi"/>
          <w:sz w:val="24"/>
        </w:rPr>
      </w:pPr>
      <w:r w:rsidRPr="0031706B">
        <w:rPr>
          <w:rFonts w:cstheme="minorHAnsi"/>
          <w:sz w:val="24"/>
        </w:rPr>
        <w:t>Rather than judging the comparative popularity of entire pathways, a ‘preferred pathway’ has been generated using the most frequently selected setting for each of the individual sliders.  Table 3 shows this pathway</w:t>
      </w:r>
      <w:r w:rsidR="00097B6F" w:rsidRPr="0031706B">
        <w:rPr>
          <w:rFonts w:cstheme="minorHAnsi"/>
          <w:sz w:val="24"/>
        </w:rPr>
        <w:t>, which can be represented as S2322233 / D2443333</w:t>
      </w:r>
      <w:r w:rsidR="00097B6F" w:rsidRPr="0031706B">
        <w:rPr>
          <w:rStyle w:val="EndnoteReference"/>
          <w:rFonts w:cstheme="minorHAnsi"/>
          <w:sz w:val="24"/>
        </w:rPr>
        <w:endnoteReference w:id="8"/>
      </w:r>
      <w:r w:rsidRPr="0031706B">
        <w:rPr>
          <w:rFonts w:cstheme="minorHAnsi"/>
          <w:sz w:val="24"/>
        </w:rPr>
        <w:t xml:space="preserve">, along with </w:t>
      </w:r>
      <w:r w:rsidRPr="0031706B">
        <w:rPr>
          <w:rFonts w:cstheme="minorHAnsi"/>
          <w:sz w:val="24"/>
        </w:rPr>
        <w:lastRenderedPageBreak/>
        <w:t>the relative strength of the most popular setting and the relevant description of the effort level</w:t>
      </w:r>
      <w:r w:rsidR="00097B6F" w:rsidRPr="0031706B">
        <w:rPr>
          <w:rFonts w:cstheme="minorHAnsi"/>
          <w:sz w:val="24"/>
        </w:rPr>
        <w:t>. This pathway exceeded the required target and achieved an 84% carbon reduction.</w:t>
      </w:r>
      <w:r w:rsidR="00C07B3C" w:rsidRPr="0031706B">
        <w:rPr>
          <w:rFonts w:cstheme="minorHAnsi"/>
          <w:sz w:val="24"/>
        </w:rPr>
        <w:t xml:space="preserve"> This pathway was not balanced on the Energy Security Indicator, as supply exceeded demand by a wasteful amount. </w:t>
      </w:r>
      <w:r w:rsidR="00B461B5" w:rsidRPr="0031706B">
        <w:rPr>
          <w:rFonts w:cstheme="minorHAnsi"/>
          <w:sz w:val="24"/>
        </w:rPr>
        <w:t>Testing of this scenario found that o</w:t>
      </w:r>
      <w:r w:rsidR="00C07B3C" w:rsidRPr="0031706B">
        <w:rPr>
          <w:rFonts w:cstheme="minorHAnsi"/>
          <w:sz w:val="24"/>
        </w:rPr>
        <w:t xml:space="preserve">ne minor alteration to this pathway (reducing </w:t>
      </w:r>
      <w:r w:rsidR="00C07B3C" w:rsidRPr="0031706B">
        <w:rPr>
          <w:rFonts w:cstheme="minorHAnsi"/>
          <w:i/>
          <w:sz w:val="24"/>
        </w:rPr>
        <w:t>‘wind turbines on sea’</w:t>
      </w:r>
      <w:r w:rsidR="00C07B3C" w:rsidRPr="0031706B">
        <w:rPr>
          <w:rFonts w:cstheme="minorHAnsi"/>
          <w:sz w:val="24"/>
        </w:rPr>
        <w:t xml:space="preserve"> by one setting) achieves balanced energy security without altering the level of carbon reduction, and therefore the extent to which this is an unbalanced pathway is assumed to be small.</w:t>
      </w:r>
    </w:p>
    <w:p w14:paraId="242968FC" w14:textId="653700B8" w:rsidR="00097B6F" w:rsidRPr="0031706B" w:rsidRDefault="00097B6F" w:rsidP="00CA4C4E">
      <w:pPr>
        <w:pStyle w:val="caption2"/>
        <w:spacing w:after="0" w:line="480" w:lineRule="auto"/>
        <w:rPr>
          <w:rFonts w:cstheme="minorHAnsi"/>
          <w:sz w:val="24"/>
          <w:szCs w:val="24"/>
        </w:rPr>
      </w:pPr>
      <w:r w:rsidRPr="0031706B">
        <w:rPr>
          <w:rFonts w:cstheme="minorHAnsi"/>
          <w:sz w:val="24"/>
          <w:szCs w:val="24"/>
        </w:rPr>
        <w:t xml:space="preserve">Table </w:t>
      </w:r>
      <w:r w:rsidR="00C91F85" w:rsidRPr="0031706B">
        <w:rPr>
          <w:rFonts w:cstheme="minorHAnsi"/>
          <w:sz w:val="24"/>
          <w:szCs w:val="24"/>
        </w:rPr>
        <w:t>3</w:t>
      </w:r>
      <w:r w:rsidRPr="0031706B">
        <w:rPr>
          <w:rFonts w:cstheme="minorHAnsi"/>
          <w:sz w:val="24"/>
          <w:szCs w:val="24"/>
        </w:rPr>
        <w:t xml:space="preserve"> – Most popular </w:t>
      </w:r>
      <w:r w:rsidR="00DA64AC" w:rsidRPr="0031706B">
        <w:rPr>
          <w:rFonts w:cstheme="minorHAnsi"/>
          <w:sz w:val="24"/>
          <w:szCs w:val="24"/>
        </w:rPr>
        <w:t xml:space="preserve">slider </w:t>
      </w:r>
      <w:r w:rsidRPr="0031706B">
        <w:rPr>
          <w:rFonts w:cstheme="minorHAnsi"/>
          <w:sz w:val="24"/>
          <w:szCs w:val="24"/>
        </w:rPr>
        <w:t>settings</w:t>
      </w:r>
      <w:r w:rsidR="00DA64AC" w:rsidRPr="0031706B">
        <w:rPr>
          <w:rFonts w:cstheme="minorHAnsi"/>
          <w:sz w:val="24"/>
          <w:szCs w:val="24"/>
        </w:rPr>
        <w:t xml:space="preserve"> from sample (n = 10,983)</w:t>
      </w:r>
    </w:p>
    <w:tbl>
      <w:tblPr>
        <w:tblStyle w:val="TableGrid"/>
        <w:tblW w:w="9747" w:type="dxa"/>
        <w:tblLayout w:type="fixed"/>
        <w:tblLook w:val="04A0" w:firstRow="1" w:lastRow="0" w:firstColumn="1" w:lastColumn="0" w:noHBand="0" w:noVBand="1"/>
      </w:tblPr>
      <w:tblGrid>
        <w:gridCol w:w="2517"/>
        <w:gridCol w:w="887"/>
        <w:gridCol w:w="889"/>
        <w:gridCol w:w="5454"/>
      </w:tblGrid>
      <w:tr w:rsidR="00440FF3" w:rsidRPr="0031706B" w14:paraId="29EF025A" w14:textId="77777777" w:rsidTr="00F56E7B">
        <w:tc>
          <w:tcPr>
            <w:tcW w:w="2518" w:type="dxa"/>
            <w:tcBorders>
              <w:bottom w:val="single" w:sz="4" w:space="0" w:color="auto"/>
            </w:tcBorders>
          </w:tcPr>
          <w:p w14:paraId="63AD5AF8" w14:textId="77777777" w:rsidR="00440FF3" w:rsidRPr="0031706B" w:rsidRDefault="00440FF3" w:rsidP="00CA4C4E">
            <w:pPr>
              <w:spacing w:after="0"/>
              <w:jc w:val="center"/>
              <w:rPr>
                <w:rFonts w:cstheme="minorHAnsi"/>
                <w:b/>
                <w:sz w:val="20"/>
                <w:szCs w:val="20"/>
              </w:rPr>
            </w:pPr>
            <w:r w:rsidRPr="0031706B">
              <w:rPr>
                <w:rFonts w:cstheme="minorHAnsi"/>
                <w:b/>
                <w:sz w:val="20"/>
                <w:szCs w:val="20"/>
              </w:rPr>
              <w:t>Slider</w:t>
            </w:r>
          </w:p>
        </w:tc>
        <w:tc>
          <w:tcPr>
            <w:tcW w:w="887" w:type="dxa"/>
            <w:tcBorders>
              <w:bottom w:val="single" w:sz="4" w:space="0" w:color="auto"/>
            </w:tcBorders>
          </w:tcPr>
          <w:p w14:paraId="0C87CA9E" w14:textId="77777777" w:rsidR="00440FF3" w:rsidRPr="0031706B" w:rsidRDefault="00440FF3" w:rsidP="00CA4C4E">
            <w:pPr>
              <w:spacing w:after="0"/>
              <w:jc w:val="center"/>
              <w:rPr>
                <w:rFonts w:cstheme="minorHAnsi"/>
                <w:b/>
                <w:sz w:val="20"/>
                <w:szCs w:val="20"/>
              </w:rPr>
            </w:pPr>
            <w:r w:rsidRPr="0031706B">
              <w:rPr>
                <w:rFonts w:cstheme="minorHAnsi"/>
                <w:b/>
                <w:sz w:val="20"/>
                <w:szCs w:val="20"/>
              </w:rPr>
              <w:t>Setting</w:t>
            </w:r>
          </w:p>
        </w:tc>
        <w:tc>
          <w:tcPr>
            <w:tcW w:w="889" w:type="dxa"/>
            <w:tcBorders>
              <w:bottom w:val="single" w:sz="4" w:space="0" w:color="auto"/>
            </w:tcBorders>
            <w:vAlign w:val="center"/>
          </w:tcPr>
          <w:p w14:paraId="0C1B15E8" w14:textId="28FEE445" w:rsidR="00440FF3" w:rsidRPr="0031706B" w:rsidRDefault="00440FF3" w:rsidP="00F56E7B">
            <w:pPr>
              <w:tabs>
                <w:tab w:val="left" w:pos="967"/>
                <w:tab w:val="center" w:pos="1477"/>
              </w:tabs>
              <w:spacing w:after="0"/>
              <w:jc w:val="center"/>
              <w:rPr>
                <w:rFonts w:cstheme="minorHAnsi"/>
                <w:b/>
                <w:sz w:val="20"/>
                <w:szCs w:val="20"/>
              </w:rPr>
            </w:pPr>
            <w:r w:rsidRPr="0031706B">
              <w:rPr>
                <w:rFonts w:cstheme="minorHAnsi"/>
                <w:b/>
                <w:sz w:val="20"/>
                <w:szCs w:val="20"/>
              </w:rPr>
              <w:t>Chosen By</w:t>
            </w:r>
          </w:p>
        </w:tc>
        <w:tc>
          <w:tcPr>
            <w:tcW w:w="5453" w:type="dxa"/>
            <w:tcBorders>
              <w:bottom w:val="single" w:sz="4" w:space="0" w:color="auto"/>
            </w:tcBorders>
            <w:vAlign w:val="center"/>
          </w:tcPr>
          <w:p w14:paraId="5074BFCD" w14:textId="0E5D4F06" w:rsidR="00440FF3" w:rsidRPr="0031706B" w:rsidRDefault="00440FF3" w:rsidP="00440FF3">
            <w:pPr>
              <w:spacing w:after="0"/>
              <w:jc w:val="center"/>
              <w:rPr>
                <w:rFonts w:cstheme="minorHAnsi"/>
                <w:b/>
                <w:sz w:val="20"/>
                <w:szCs w:val="20"/>
              </w:rPr>
            </w:pPr>
            <w:r w:rsidRPr="0031706B">
              <w:rPr>
                <w:rFonts w:cstheme="minorHAnsi"/>
                <w:b/>
                <w:sz w:val="20"/>
                <w:szCs w:val="20"/>
              </w:rPr>
              <w:t>Description</w:t>
            </w:r>
          </w:p>
        </w:tc>
      </w:tr>
      <w:tr w:rsidR="00097B6F" w:rsidRPr="0031706B" w14:paraId="381B31AA" w14:textId="77777777" w:rsidTr="00440FF3">
        <w:tc>
          <w:tcPr>
            <w:tcW w:w="9747" w:type="dxa"/>
            <w:gridSpan w:val="4"/>
            <w:shd w:val="clear" w:color="auto" w:fill="D9D9D9"/>
          </w:tcPr>
          <w:p w14:paraId="5139F93B" w14:textId="77777777" w:rsidR="00097B6F" w:rsidRPr="0031706B" w:rsidRDefault="00097B6F" w:rsidP="00CA4C4E">
            <w:pPr>
              <w:spacing w:after="0"/>
              <w:rPr>
                <w:rFonts w:cstheme="minorHAnsi"/>
                <w:b/>
                <w:sz w:val="20"/>
                <w:szCs w:val="20"/>
              </w:rPr>
            </w:pPr>
            <w:r w:rsidRPr="0031706B">
              <w:rPr>
                <w:rFonts w:cstheme="minorHAnsi"/>
                <w:b/>
                <w:sz w:val="20"/>
                <w:szCs w:val="20"/>
              </w:rPr>
              <w:t>Supply</w:t>
            </w:r>
          </w:p>
        </w:tc>
      </w:tr>
      <w:tr w:rsidR="00DA64AC" w:rsidRPr="0031706B" w14:paraId="462497EF" w14:textId="77777777" w:rsidTr="00F56E7B">
        <w:tc>
          <w:tcPr>
            <w:tcW w:w="2518" w:type="dxa"/>
            <w:vAlign w:val="center"/>
          </w:tcPr>
          <w:p w14:paraId="064D0973" w14:textId="77777777" w:rsidR="00DA64AC" w:rsidRPr="0031706B" w:rsidRDefault="00DA64AC" w:rsidP="00B83AF9">
            <w:pPr>
              <w:spacing w:after="0"/>
              <w:rPr>
                <w:rFonts w:cstheme="minorHAnsi"/>
                <w:sz w:val="20"/>
                <w:szCs w:val="20"/>
              </w:rPr>
            </w:pPr>
            <w:r w:rsidRPr="0031706B">
              <w:rPr>
                <w:rFonts w:cstheme="minorHAnsi"/>
                <w:sz w:val="20"/>
                <w:szCs w:val="20"/>
              </w:rPr>
              <w:t>Biofuel production</w:t>
            </w:r>
          </w:p>
        </w:tc>
        <w:tc>
          <w:tcPr>
            <w:tcW w:w="887" w:type="dxa"/>
            <w:vAlign w:val="center"/>
          </w:tcPr>
          <w:p w14:paraId="2386C147" w14:textId="517A071A" w:rsidR="00DA64AC" w:rsidRPr="0031706B" w:rsidRDefault="00DA64AC" w:rsidP="00DA64AC">
            <w:pPr>
              <w:spacing w:after="0"/>
              <w:jc w:val="center"/>
              <w:rPr>
                <w:rFonts w:cstheme="minorHAnsi"/>
                <w:sz w:val="20"/>
                <w:szCs w:val="20"/>
              </w:rPr>
            </w:pPr>
            <w:r w:rsidRPr="0031706B">
              <w:rPr>
                <w:rFonts w:cstheme="minorHAnsi"/>
                <w:sz w:val="20"/>
                <w:szCs w:val="20"/>
              </w:rPr>
              <w:t>2</w:t>
            </w:r>
          </w:p>
        </w:tc>
        <w:tc>
          <w:tcPr>
            <w:tcW w:w="887" w:type="dxa"/>
            <w:vAlign w:val="center"/>
          </w:tcPr>
          <w:p w14:paraId="54702737" w14:textId="10C0A6AB" w:rsidR="00DA64AC" w:rsidRPr="0031706B" w:rsidRDefault="00DA64AC" w:rsidP="00DA64AC">
            <w:pPr>
              <w:spacing w:after="0"/>
              <w:jc w:val="center"/>
              <w:rPr>
                <w:rFonts w:cstheme="minorHAnsi"/>
                <w:sz w:val="20"/>
                <w:szCs w:val="20"/>
              </w:rPr>
            </w:pPr>
            <w:r w:rsidRPr="0031706B">
              <w:rPr>
                <w:rFonts w:cstheme="minorHAnsi"/>
                <w:sz w:val="20"/>
                <w:szCs w:val="20"/>
              </w:rPr>
              <w:t>3,497 (31.8%)</w:t>
            </w:r>
          </w:p>
        </w:tc>
        <w:tc>
          <w:tcPr>
            <w:tcW w:w="5455" w:type="dxa"/>
            <w:vAlign w:val="center"/>
          </w:tcPr>
          <w:p w14:paraId="6D9D49C9" w14:textId="6FF10FC3" w:rsidR="00DA64AC" w:rsidRPr="0031706B" w:rsidRDefault="00DA64AC" w:rsidP="00440FF3">
            <w:pPr>
              <w:spacing w:after="0"/>
              <w:rPr>
                <w:rFonts w:cstheme="minorHAnsi"/>
                <w:sz w:val="20"/>
                <w:szCs w:val="20"/>
              </w:rPr>
            </w:pPr>
            <w:r w:rsidRPr="0031706B">
              <w:rPr>
                <w:rFonts w:eastAsia="ヒラギノ角ゴ Pro W3" w:cstheme="minorHAnsi"/>
                <w:sz w:val="20"/>
                <w:szCs w:val="20"/>
              </w:rPr>
              <w:t>We use bioenergy crops grown in the UK covering an area half the size of Wales and an area half the size of Wales overseas.</w:t>
            </w:r>
          </w:p>
        </w:tc>
      </w:tr>
      <w:tr w:rsidR="00DA64AC" w:rsidRPr="0031706B" w14:paraId="6233A7FE" w14:textId="77777777" w:rsidTr="00F56E7B">
        <w:tc>
          <w:tcPr>
            <w:tcW w:w="2518" w:type="dxa"/>
            <w:vAlign w:val="center"/>
          </w:tcPr>
          <w:p w14:paraId="04E585AB" w14:textId="77777777" w:rsidR="00DA64AC" w:rsidRPr="0031706B" w:rsidRDefault="00DA64AC" w:rsidP="00B83AF9">
            <w:pPr>
              <w:spacing w:after="0"/>
              <w:rPr>
                <w:rFonts w:cstheme="minorHAnsi"/>
                <w:sz w:val="20"/>
                <w:szCs w:val="20"/>
              </w:rPr>
            </w:pPr>
            <w:r w:rsidRPr="0031706B">
              <w:rPr>
                <w:rFonts w:cstheme="minorHAnsi"/>
                <w:sz w:val="20"/>
                <w:szCs w:val="20"/>
              </w:rPr>
              <w:t>Oil, gas and coal power</w:t>
            </w:r>
          </w:p>
        </w:tc>
        <w:tc>
          <w:tcPr>
            <w:tcW w:w="887" w:type="dxa"/>
            <w:vAlign w:val="center"/>
          </w:tcPr>
          <w:p w14:paraId="49FCEA48" w14:textId="516F47BC" w:rsidR="00DA64AC" w:rsidRPr="0031706B" w:rsidRDefault="00DA64AC" w:rsidP="00B83AF9">
            <w:pPr>
              <w:spacing w:after="0"/>
              <w:jc w:val="center"/>
              <w:rPr>
                <w:rFonts w:cstheme="minorHAnsi"/>
                <w:sz w:val="20"/>
                <w:szCs w:val="20"/>
              </w:rPr>
            </w:pPr>
            <w:r w:rsidRPr="0031706B">
              <w:rPr>
                <w:rFonts w:cstheme="minorHAnsi"/>
                <w:sz w:val="20"/>
                <w:szCs w:val="20"/>
              </w:rPr>
              <w:t>3</w:t>
            </w:r>
          </w:p>
        </w:tc>
        <w:tc>
          <w:tcPr>
            <w:tcW w:w="887" w:type="dxa"/>
            <w:vAlign w:val="center"/>
          </w:tcPr>
          <w:p w14:paraId="74459C6D" w14:textId="49C6B108" w:rsidR="00DA64AC" w:rsidRPr="0031706B" w:rsidRDefault="00DA64AC" w:rsidP="00B83AF9">
            <w:pPr>
              <w:spacing w:after="0"/>
              <w:jc w:val="center"/>
              <w:rPr>
                <w:rFonts w:cstheme="minorHAnsi"/>
                <w:sz w:val="20"/>
                <w:szCs w:val="20"/>
              </w:rPr>
            </w:pPr>
            <w:r w:rsidRPr="0031706B">
              <w:rPr>
                <w:rFonts w:cstheme="minorHAnsi"/>
                <w:sz w:val="20"/>
                <w:szCs w:val="20"/>
              </w:rPr>
              <w:t>7,748 (70.5%)</w:t>
            </w:r>
          </w:p>
        </w:tc>
        <w:tc>
          <w:tcPr>
            <w:tcW w:w="5455" w:type="dxa"/>
            <w:vAlign w:val="center"/>
          </w:tcPr>
          <w:p w14:paraId="2D8F015A" w14:textId="2DD19CCE" w:rsidR="00DA64AC" w:rsidRPr="0031706B" w:rsidRDefault="00DA64AC" w:rsidP="00440FF3">
            <w:pPr>
              <w:spacing w:after="0"/>
              <w:rPr>
                <w:rFonts w:eastAsia="ヒラギノ角ゴ Pro W3" w:cstheme="minorHAnsi"/>
                <w:sz w:val="20"/>
                <w:szCs w:val="20"/>
              </w:rPr>
            </w:pPr>
            <w:r w:rsidRPr="0031706B">
              <w:rPr>
                <w:rFonts w:eastAsia="ヒラギノ角ゴ Pro W3" w:cstheme="minorHAnsi"/>
                <w:sz w:val="20"/>
                <w:szCs w:val="20"/>
              </w:rPr>
              <w:t>Half as much fossil fuel supplies as today in 2050.</w:t>
            </w:r>
          </w:p>
        </w:tc>
      </w:tr>
      <w:tr w:rsidR="00DA64AC" w:rsidRPr="0031706B" w14:paraId="2AA75198" w14:textId="77777777" w:rsidTr="00F56E7B">
        <w:tc>
          <w:tcPr>
            <w:tcW w:w="2518" w:type="dxa"/>
            <w:vAlign w:val="center"/>
          </w:tcPr>
          <w:p w14:paraId="72C0B45B" w14:textId="77777777" w:rsidR="00DA64AC" w:rsidRPr="0031706B" w:rsidRDefault="00DA64AC" w:rsidP="00B83AF9">
            <w:pPr>
              <w:spacing w:after="0"/>
              <w:rPr>
                <w:rFonts w:cstheme="minorHAnsi"/>
                <w:sz w:val="20"/>
                <w:szCs w:val="20"/>
              </w:rPr>
            </w:pPr>
            <w:r w:rsidRPr="0031706B">
              <w:rPr>
                <w:rFonts w:cstheme="minorHAnsi"/>
                <w:sz w:val="20"/>
                <w:szCs w:val="20"/>
              </w:rPr>
              <w:t>Nuclear power</w:t>
            </w:r>
          </w:p>
        </w:tc>
        <w:tc>
          <w:tcPr>
            <w:tcW w:w="887" w:type="dxa"/>
            <w:vAlign w:val="center"/>
          </w:tcPr>
          <w:p w14:paraId="5B035CCD" w14:textId="351FE897" w:rsidR="00DA64AC" w:rsidRPr="0031706B" w:rsidRDefault="00DA64AC" w:rsidP="00B83AF9">
            <w:pPr>
              <w:spacing w:after="0"/>
              <w:jc w:val="center"/>
              <w:rPr>
                <w:rFonts w:cstheme="minorHAnsi"/>
                <w:sz w:val="20"/>
                <w:szCs w:val="20"/>
              </w:rPr>
            </w:pPr>
            <w:r w:rsidRPr="0031706B">
              <w:rPr>
                <w:rFonts w:cstheme="minorHAnsi"/>
                <w:sz w:val="20"/>
                <w:szCs w:val="20"/>
              </w:rPr>
              <w:t>2</w:t>
            </w:r>
          </w:p>
        </w:tc>
        <w:tc>
          <w:tcPr>
            <w:tcW w:w="887" w:type="dxa"/>
            <w:vAlign w:val="center"/>
          </w:tcPr>
          <w:p w14:paraId="65D3F547" w14:textId="6682619C" w:rsidR="00DA64AC" w:rsidRPr="0031706B" w:rsidRDefault="00685C0F" w:rsidP="00B83AF9">
            <w:pPr>
              <w:spacing w:after="0"/>
              <w:jc w:val="center"/>
              <w:rPr>
                <w:rFonts w:cstheme="minorHAnsi"/>
                <w:sz w:val="20"/>
                <w:szCs w:val="20"/>
              </w:rPr>
            </w:pPr>
            <w:r w:rsidRPr="0031706B">
              <w:rPr>
                <w:rFonts w:cstheme="minorHAnsi"/>
                <w:sz w:val="20"/>
                <w:szCs w:val="20"/>
              </w:rPr>
              <w:t>4,077 (37.1%)</w:t>
            </w:r>
          </w:p>
        </w:tc>
        <w:tc>
          <w:tcPr>
            <w:tcW w:w="5455" w:type="dxa"/>
            <w:vAlign w:val="center"/>
          </w:tcPr>
          <w:p w14:paraId="0F758621" w14:textId="329381A7" w:rsidR="00DA64AC" w:rsidRPr="0031706B" w:rsidRDefault="00DA64AC" w:rsidP="00440FF3">
            <w:pPr>
              <w:spacing w:after="0"/>
              <w:rPr>
                <w:rFonts w:cstheme="minorHAnsi"/>
                <w:sz w:val="20"/>
                <w:szCs w:val="20"/>
              </w:rPr>
            </w:pPr>
            <w:r w:rsidRPr="0031706B">
              <w:rPr>
                <w:rFonts w:eastAsia="ヒラギノ角ゴ Pro W3" w:cstheme="minorHAnsi"/>
                <w:sz w:val="20"/>
                <w:szCs w:val="20"/>
              </w:rPr>
              <w:t>Four times as much nuclear power as today in 2050, comparable to building 13 large nuclear power stations.</w:t>
            </w:r>
          </w:p>
        </w:tc>
      </w:tr>
      <w:tr w:rsidR="00DA64AC" w:rsidRPr="0031706B" w14:paraId="722F4B9F" w14:textId="77777777" w:rsidTr="00F56E7B">
        <w:tc>
          <w:tcPr>
            <w:tcW w:w="2518" w:type="dxa"/>
            <w:vAlign w:val="center"/>
          </w:tcPr>
          <w:p w14:paraId="6FF1F122" w14:textId="77777777" w:rsidR="00DA64AC" w:rsidRPr="0031706B" w:rsidRDefault="00DA64AC" w:rsidP="00B83AF9">
            <w:pPr>
              <w:spacing w:after="0"/>
              <w:rPr>
                <w:rFonts w:cstheme="minorHAnsi"/>
                <w:sz w:val="20"/>
                <w:szCs w:val="20"/>
              </w:rPr>
            </w:pPr>
            <w:r w:rsidRPr="0031706B">
              <w:rPr>
                <w:rFonts w:cstheme="minorHAnsi"/>
                <w:sz w:val="20"/>
                <w:szCs w:val="20"/>
              </w:rPr>
              <w:t>Clean coal and gas power</w:t>
            </w:r>
          </w:p>
        </w:tc>
        <w:tc>
          <w:tcPr>
            <w:tcW w:w="887" w:type="dxa"/>
            <w:vAlign w:val="center"/>
          </w:tcPr>
          <w:p w14:paraId="05843C1C" w14:textId="242AB4E9" w:rsidR="00DA64AC" w:rsidRPr="0031706B" w:rsidRDefault="00DA64AC" w:rsidP="00B83AF9">
            <w:pPr>
              <w:spacing w:after="0"/>
              <w:jc w:val="center"/>
              <w:rPr>
                <w:rFonts w:cstheme="minorHAnsi"/>
                <w:sz w:val="20"/>
                <w:szCs w:val="20"/>
              </w:rPr>
            </w:pPr>
            <w:r w:rsidRPr="0031706B">
              <w:rPr>
                <w:rFonts w:cstheme="minorHAnsi"/>
                <w:sz w:val="20"/>
                <w:szCs w:val="20"/>
              </w:rPr>
              <w:t>2</w:t>
            </w:r>
          </w:p>
        </w:tc>
        <w:tc>
          <w:tcPr>
            <w:tcW w:w="887" w:type="dxa"/>
            <w:vAlign w:val="center"/>
          </w:tcPr>
          <w:p w14:paraId="2FBC990B" w14:textId="32E7987B" w:rsidR="00DA64AC" w:rsidRPr="0031706B" w:rsidRDefault="00685C0F" w:rsidP="00B83AF9">
            <w:pPr>
              <w:spacing w:after="0"/>
              <w:jc w:val="center"/>
              <w:rPr>
                <w:rFonts w:cstheme="minorHAnsi"/>
                <w:sz w:val="20"/>
                <w:szCs w:val="20"/>
              </w:rPr>
            </w:pPr>
            <w:r w:rsidRPr="0031706B">
              <w:rPr>
                <w:rFonts w:cstheme="minorHAnsi"/>
                <w:sz w:val="20"/>
                <w:szCs w:val="20"/>
              </w:rPr>
              <w:t>3,825 (34.8%)</w:t>
            </w:r>
          </w:p>
        </w:tc>
        <w:tc>
          <w:tcPr>
            <w:tcW w:w="5455" w:type="dxa"/>
            <w:vAlign w:val="center"/>
          </w:tcPr>
          <w:p w14:paraId="7147FFDA" w14:textId="77777777" w:rsidR="00DA64AC" w:rsidRPr="0031706B" w:rsidRDefault="00DA64AC" w:rsidP="00440FF3">
            <w:pPr>
              <w:spacing w:after="0"/>
              <w:rPr>
                <w:rFonts w:cstheme="minorHAnsi"/>
                <w:sz w:val="20"/>
                <w:szCs w:val="20"/>
              </w:rPr>
            </w:pPr>
            <w:r w:rsidRPr="0031706B">
              <w:rPr>
                <w:rFonts w:eastAsia="ヒラギノ角ゴ Pro W3" w:cstheme="minorHAnsi"/>
                <w:sz w:val="20"/>
                <w:szCs w:val="20"/>
              </w:rPr>
              <w:t>Around 30 gas and coal stations store their carbon - equivalent to today’s gas and coal stations.</w:t>
            </w:r>
          </w:p>
        </w:tc>
      </w:tr>
      <w:tr w:rsidR="00DA64AC" w:rsidRPr="0031706B" w14:paraId="70DE43C3" w14:textId="77777777" w:rsidTr="00F56E7B">
        <w:tc>
          <w:tcPr>
            <w:tcW w:w="2518" w:type="dxa"/>
            <w:vAlign w:val="center"/>
          </w:tcPr>
          <w:p w14:paraId="1B7515AA" w14:textId="77777777" w:rsidR="00DA64AC" w:rsidRPr="0031706B" w:rsidRDefault="00DA64AC" w:rsidP="00B83AF9">
            <w:pPr>
              <w:spacing w:after="0"/>
              <w:rPr>
                <w:rFonts w:cstheme="minorHAnsi"/>
                <w:sz w:val="20"/>
                <w:szCs w:val="20"/>
              </w:rPr>
            </w:pPr>
            <w:r w:rsidRPr="0031706B">
              <w:rPr>
                <w:rFonts w:cstheme="minorHAnsi"/>
                <w:sz w:val="20"/>
                <w:szCs w:val="20"/>
              </w:rPr>
              <w:t>Wind turbines on land</w:t>
            </w:r>
          </w:p>
        </w:tc>
        <w:tc>
          <w:tcPr>
            <w:tcW w:w="887" w:type="dxa"/>
            <w:vAlign w:val="center"/>
          </w:tcPr>
          <w:p w14:paraId="2C09D79B" w14:textId="156B1023" w:rsidR="00DA64AC" w:rsidRPr="0031706B" w:rsidRDefault="00DA64AC" w:rsidP="00B83AF9">
            <w:pPr>
              <w:spacing w:after="0"/>
              <w:jc w:val="center"/>
              <w:rPr>
                <w:rFonts w:cstheme="minorHAnsi"/>
                <w:sz w:val="20"/>
                <w:szCs w:val="20"/>
              </w:rPr>
            </w:pPr>
            <w:r w:rsidRPr="0031706B">
              <w:rPr>
                <w:rFonts w:cstheme="minorHAnsi"/>
                <w:sz w:val="20"/>
                <w:szCs w:val="20"/>
              </w:rPr>
              <w:t>2</w:t>
            </w:r>
          </w:p>
        </w:tc>
        <w:tc>
          <w:tcPr>
            <w:tcW w:w="887" w:type="dxa"/>
            <w:vAlign w:val="center"/>
          </w:tcPr>
          <w:p w14:paraId="75CCDAD2" w14:textId="79D1755B" w:rsidR="00DA64AC" w:rsidRPr="0031706B" w:rsidRDefault="00685C0F" w:rsidP="00B83AF9">
            <w:pPr>
              <w:spacing w:after="0"/>
              <w:jc w:val="center"/>
              <w:rPr>
                <w:rFonts w:cstheme="minorHAnsi"/>
                <w:sz w:val="20"/>
                <w:szCs w:val="20"/>
              </w:rPr>
            </w:pPr>
            <w:r w:rsidRPr="0031706B">
              <w:rPr>
                <w:rFonts w:cstheme="minorHAnsi"/>
                <w:sz w:val="20"/>
                <w:szCs w:val="20"/>
              </w:rPr>
              <w:t>3,784 (34.5%)</w:t>
            </w:r>
          </w:p>
        </w:tc>
        <w:tc>
          <w:tcPr>
            <w:tcW w:w="5455" w:type="dxa"/>
            <w:vAlign w:val="center"/>
          </w:tcPr>
          <w:p w14:paraId="4EF38FBE" w14:textId="77777777" w:rsidR="00DA64AC" w:rsidRPr="0031706B" w:rsidRDefault="00DA64AC" w:rsidP="00440FF3">
            <w:pPr>
              <w:spacing w:after="0"/>
              <w:rPr>
                <w:rFonts w:cstheme="minorHAnsi"/>
                <w:sz w:val="20"/>
                <w:szCs w:val="20"/>
              </w:rPr>
            </w:pPr>
            <w:r w:rsidRPr="0031706B">
              <w:rPr>
                <w:rFonts w:cstheme="minorHAnsi"/>
                <w:sz w:val="20"/>
                <w:szCs w:val="20"/>
              </w:rPr>
              <w:t xml:space="preserve">8,000 onshore wind turbines built by 2050. </w:t>
            </w:r>
          </w:p>
        </w:tc>
      </w:tr>
      <w:tr w:rsidR="00DA64AC" w:rsidRPr="0031706B" w14:paraId="38FC88B9" w14:textId="77777777" w:rsidTr="00F56E7B">
        <w:tc>
          <w:tcPr>
            <w:tcW w:w="2518" w:type="dxa"/>
            <w:vAlign w:val="center"/>
          </w:tcPr>
          <w:p w14:paraId="19DA8495" w14:textId="77777777" w:rsidR="00DA64AC" w:rsidRPr="0031706B" w:rsidRDefault="00DA64AC" w:rsidP="00B83AF9">
            <w:pPr>
              <w:spacing w:after="0"/>
              <w:rPr>
                <w:rFonts w:cstheme="minorHAnsi"/>
                <w:sz w:val="20"/>
                <w:szCs w:val="20"/>
              </w:rPr>
            </w:pPr>
            <w:r w:rsidRPr="0031706B">
              <w:rPr>
                <w:rFonts w:cstheme="minorHAnsi"/>
                <w:sz w:val="20"/>
                <w:szCs w:val="20"/>
              </w:rPr>
              <w:t>Wind turbines on sea</w:t>
            </w:r>
          </w:p>
        </w:tc>
        <w:tc>
          <w:tcPr>
            <w:tcW w:w="887" w:type="dxa"/>
            <w:vAlign w:val="center"/>
          </w:tcPr>
          <w:p w14:paraId="11D43F67" w14:textId="4756B8C0" w:rsidR="00DA64AC" w:rsidRPr="0031706B" w:rsidRDefault="00DA64AC" w:rsidP="00B83AF9">
            <w:pPr>
              <w:spacing w:after="0"/>
              <w:jc w:val="center"/>
              <w:rPr>
                <w:rFonts w:cstheme="minorHAnsi"/>
                <w:sz w:val="20"/>
                <w:szCs w:val="20"/>
              </w:rPr>
            </w:pPr>
            <w:r w:rsidRPr="0031706B">
              <w:rPr>
                <w:rFonts w:cstheme="minorHAnsi"/>
                <w:sz w:val="20"/>
                <w:szCs w:val="20"/>
              </w:rPr>
              <w:t>3</w:t>
            </w:r>
          </w:p>
        </w:tc>
        <w:tc>
          <w:tcPr>
            <w:tcW w:w="887" w:type="dxa"/>
            <w:vAlign w:val="center"/>
          </w:tcPr>
          <w:p w14:paraId="6F1CFB9A" w14:textId="7390199E" w:rsidR="00DA64AC" w:rsidRPr="0031706B" w:rsidRDefault="00685C0F" w:rsidP="00B83AF9">
            <w:pPr>
              <w:spacing w:after="0"/>
              <w:jc w:val="center"/>
              <w:rPr>
                <w:rFonts w:cstheme="minorHAnsi"/>
                <w:sz w:val="20"/>
                <w:szCs w:val="20"/>
              </w:rPr>
            </w:pPr>
            <w:r w:rsidRPr="0031706B">
              <w:rPr>
                <w:rFonts w:cstheme="minorHAnsi"/>
                <w:sz w:val="20"/>
                <w:szCs w:val="20"/>
              </w:rPr>
              <w:t>4,491 (40.9%)</w:t>
            </w:r>
          </w:p>
        </w:tc>
        <w:tc>
          <w:tcPr>
            <w:tcW w:w="5455" w:type="dxa"/>
            <w:vAlign w:val="center"/>
          </w:tcPr>
          <w:p w14:paraId="45ED3AFB" w14:textId="77777777" w:rsidR="00DA64AC" w:rsidRPr="0031706B" w:rsidRDefault="00DA64AC" w:rsidP="00440FF3">
            <w:pPr>
              <w:spacing w:after="0"/>
              <w:rPr>
                <w:rFonts w:cstheme="minorHAnsi"/>
                <w:sz w:val="20"/>
                <w:szCs w:val="20"/>
              </w:rPr>
            </w:pPr>
            <w:r w:rsidRPr="0031706B">
              <w:rPr>
                <w:rFonts w:cstheme="minorHAnsi"/>
                <w:sz w:val="20"/>
                <w:szCs w:val="20"/>
              </w:rPr>
              <w:t>17,000 offshore wind turbines built by 2050.</w:t>
            </w:r>
          </w:p>
        </w:tc>
      </w:tr>
      <w:tr w:rsidR="00DA64AC" w:rsidRPr="0031706B" w14:paraId="5ADE391E" w14:textId="77777777" w:rsidTr="00F56E7B">
        <w:tc>
          <w:tcPr>
            <w:tcW w:w="2518" w:type="dxa"/>
            <w:tcBorders>
              <w:bottom w:val="single" w:sz="4" w:space="0" w:color="auto"/>
            </w:tcBorders>
            <w:vAlign w:val="center"/>
          </w:tcPr>
          <w:p w14:paraId="4B15FD5E" w14:textId="77777777" w:rsidR="00DA64AC" w:rsidRPr="0031706B" w:rsidRDefault="00DA64AC" w:rsidP="00B83AF9">
            <w:pPr>
              <w:spacing w:after="0"/>
              <w:rPr>
                <w:rFonts w:cstheme="minorHAnsi"/>
                <w:sz w:val="20"/>
                <w:szCs w:val="20"/>
              </w:rPr>
            </w:pPr>
            <w:r w:rsidRPr="0031706B">
              <w:rPr>
                <w:rFonts w:cstheme="minorHAnsi"/>
                <w:sz w:val="20"/>
                <w:szCs w:val="20"/>
              </w:rPr>
              <w:t>Solar, marine and hydro power</w:t>
            </w:r>
          </w:p>
        </w:tc>
        <w:tc>
          <w:tcPr>
            <w:tcW w:w="887" w:type="dxa"/>
            <w:tcBorders>
              <w:bottom w:val="single" w:sz="4" w:space="0" w:color="auto"/>
            </w:tcBorders>
            <w:vAlign w:val="center"/>
          </w:tcPr>
          <w:p w14:paraId="56E9395A" w14:textId="64FA73C4" w:rsidR="00DA64AC" w:rsidRPr="0031706B" w:rsidRDefault="00DA64AC" w:rsidP="00B83AF9">
            <w:pPr>
              <w:spacing w:after="0"/>
              <w:jc w:val="center"/>
              <w:rPr>
                <w:rFonts w:cstheme="minorHAnsi"/>
                <w:sz w:val="20"/>
                <w:szCs w:val="20"/>
              </w:rPr>
            </w:pPr>
            <w:r w:rsidRPr="0031706B">
              <w:rPr>
                <w:rFonts w:cstheme="minorHAnsi"/>
                <w:sz w:val="20"/>
                <w:szCs w:val="20"/>
              </w:rPr>
              <w:t>3</w:t>
            </w:r>
          </w:p>
        </w:tc>
        <w:tc>
          <w:tcPr>
            <w:tcW w:w="887" w:type="dxa"/>
            <w:tcBorders>
              <w:bottom w:val="single" w:sz="4" w:space="0" w:color="auto"/>
            </w:tcBorders>
            <w:vAlign w:val="center"/>
          </w:tcPr>
          <w:p w14:paraId="25A5E906" w14:textId="7A33C273" w:rsidR="00DA64AC" w:rsidRPr="0031706B" w:rsidRDefault="00685C0F" w:rsidP="00B83AF9">
            <w:pPr>
              <w:spacing w:after="0"/>
              <w:jc w:val="center"/>
              <w:rPr>
                <w:rFonts w:cstheme="minorHAnsi"/>
                <w:sz w:val="20"/>
                <w:szCs w:val="20"/>
              </w:rPr>
            </w:pPr>
            <w:r w:rsidRPr="0031706B">
              <w:rPr>
                <w:rFonts w:cstheme="minorHAnsi"/>
                <w:sz w:val="20"/>
                <w:szCs w:val="20"/>
              </w:rPr>
              <w:t>4,013 (36.5%)</w:t>
            </w:r>
          </w:p>
        </w:tc>
        <w:tc>
          <w:tcPr>
            <w:tcW w:w="5455" w:type="dxa"/>
            <w:tcBorders>
              <w:bottom w:val="single" w:sz="4" w:space="0" w:color="auto"/>
            </w:tcBorders>
            <w:vAlign w:val="center"/>
          </w:tcPr>
          <w:p w14:paraId="68E957E7" w14:textId="47D0B5D9" w:rsidR="00DA64AC" w:rsidRPr="0031706B" w:rsidRDefault="00DA64AC" w:rsidP="00440FF3">
            <w:pPr>
              <w:spacing w:after="0"/>
              <w:rPr>
                <w:rFonts w:cstheme="minorHAnsi"/>
                <w:sz w:val="20"/>
                <w:szCs w:val="20"/>
              </w:rPr>
            </w:pPr>
            <w:r w:rsidRPr="0031706B">
              <w:rPr>
                <w:rFonts w:cstheme="minorHAnsi"/>
                <w:sz w:val="20"/>
                <w:szCs w:val="20"/>
              </w:rPr>
              <w:t>6m</w:t>
            </w:r>
            <w:r w:rsidRPr="0031706B">
              <w:rPr>
                <w:rFonts w:cstheme="minorHAnsi"/>
                <w:sz w:val="20"/>
                <w:szCs w:val="20"/>
                <w:vertAlign w:val="superscript"/>
              </w:rPr>
              <w:t>2</w:t>
            </w:r>
            <w:r w:rsidRPr="0031706B">
              <w:rPr>
                <w:rFonts w:cstheme="minorHAnsi"/>
                <w:sz w:val="20"/>
                <w:szCs w:val="20"/>
              </w:rPr>
              <w:t xml:space="preserve"> of solar panels per person; 16,000 wave machines; major tidal, geothermal and hydroelectric schemes.</w:t>
            </w:r>
          </w:p>
        </w:tc>
      </w:tr>
      <w:tr w:rsidR="00DA64AC" w:rsidRPr="0031706B" w14:paraId="779C4936" w14:textId="77777777" w:rsidTr="00F56E7B">
        <w:tc>
          <w:tcPr>
            <w:tcW w:w="9747" w:type="dxa"/>
            <w:gridSpan w:val="4"/>
            <w:shd w:val="clear" w:color="auto" w:fill="D9D9D9"/>
            <w:vAlign w:val="center"/>
          </w:tcPr>
          <w:p w14:paraId="1A422BF0" w14:textId="77777777" w:rsidR="00DA64AC" w:rsidRPr="0031706B" w:rsidRDefault="00DA64AC" w:rsidP="00440FF3">
            <w:pPr>
              <w:spacing w:after="0"/>
              <w:rPr>
                <w:rFonts w:cstheme="minorHAnsi"/>
                <w:b/>
                <w:sz w:val="20"/>
                <w:szCs w:val="20"/>
              </w:rPr>
            </w:pPr>
            <w:r w:rsidRPr="0031706B">
              <w:rPr>
                <w:rFonts w:cstheme="minorHAnsi"/>
                <w:b/>
                <w:sz w:val="20"/>
                <w:szCs w:val="20"/>
              </w:rPr>
              <w:t>Demand</w:t>
            </w:r>
          </w:p>
        </w:tc>
      </w:tr>
      <w:tr w:rsidR="00DA64AC" w:rsidRPr="0031706B" w14:paraId="7B0ACC45" w14:textId="77777777" w:rsidTr="00F56E7B">
        <w:tc>
          <w:tcPr>
            <w:tcW w:w="2518" w:type="dxa"/>
            <w:vAlign w:val="center"/>
          </w:tcPr>
          <w:p w14:paraId="41B19135" w14:textId="77777777" w:rsidR="00DA64AC" w:rsidRPr="0031706B" w:rsidRDefault="00DA64AC" w:rsidP="00B83AF9">
            <w:pPr>
              <w:spacing w:after="0"/>
              <w:rPr>
                <w:rFonts w:cstheme="minorHAnsi"/>
                <w:sz w:val="20"/>
                <w:szCs w:val="20"/>
              </w:rPr>
            </w:pPr>
            <w:r w:rsidRPr="0031706B">
              <w:rPr>
                <w:rFonts w:cstheme="minorHAnsi"/>
                <w:sz w:val="20"/>
                <w:szCs w:val="20"/>
              </w:rPr>
              <w:t>Manufacturing growth</w:t>
            </w:r>
          </w:p>
        </w:tc>
        <w:tc>
          <w:tcPr>
            <w:tcW w:w="887" w:type="dxa"/>
            <w:vAlign w:val="center"/>
          </w:tcPr>
          <w:p w14:paraId="7627C4A5" w14:textId="7738141F" w:rsidR="00DA64AC" w:rsidRPr="0031706B" w:rsidRDefault="00DA64AC" w:rsidP="00B83AF9">
            <w:pPr>
              <w:spacing w:after="0"/>
              <w:jc w:val="center"/>
              <w:rPr>
                <w:rFonts w:cstheme="minorHAnsi"/>
                <w:sz w:val="20"/>
                <w:szCs w:val="20"/>
              </w:rPr>
            </w:pPr>
            <w:r w:rsidRPr="0031706B">
              <w:rPr>
                <w:rFonts w:cstheme="minorHAnsi"/>
                <w:sz w:val="20"/>
                <w:szCs w:val="20"/>
              </w:rPr>
              <w:t>2</w:t>
            </w:r>
          </w:p>
        </w:tc>
        <w:tc>
          <w:tcPr>
            <w:tcW w:w="887" w:type="dxa"/>
            <w:vAlign w:val="center"/>
          </w:tcPr>
          <w:p w14:paraId="541C6A01" w14:textId="2EB79FF4" w:rsidR="00DA64AC" w:rsidRPr="0031706B" w:rsidRDefault="00685C0F" w:rsidP="00B83AF9">
            <w:pPr>
              <w:spacing w:after="0"/>
              <w:jc w:val="center"/>
              <w:rPr>
                <w:rFonts w:cstheme="minorHAnsi"/>
                <w:sz w:val="20"/>
                <w:szCs w:val="20"/>
              </w:rPr>
            </w:pPr>
            <w:r w:rsidRPr="0031706B">
              <w:rPr>
                <w:rFonts w:cstheme="minorHAnsi"/>
                <w:sz w:val="20"/>
                <w:szCs w:val="20"/>
              </w:rPr>
              <w:t>3,921 (35.7%)</w:t>
            </w:r>
          </w:p>
        </w:tc>
        <w:tc>
          <w:tcPr>
            <w:tcW w:w="5455" w:type="dxa"/>
            <w:vAlign w:val="center"/>
          </w:tcPr>
          <w:p w14:paraId="611B9AB4" w14:textId="77777777" w:rsidR="00DA64AC" w:rsidRPr="0031706B" w:rsidRDefault="00DA64AC" w:rsidP="00440FF3">
            <w:pPr>
              <w:spacing w:after="0"/>
              <w:rPr>
                <w:rFonts w:cstheme="minorHAnsi"/>
                <w:sz w:val="20"/>
                <w:szCs w:val="20"/>
              </w:rPr>
            </w:pPr>
            <w:r w:rsidRPr="0031706B">
              <w:rPr>
                <w:rFonts w:cstheme="minorHAnsi"/>
                <w:sz w:val="20"/>
                <w:szCs w:val="20"/>
              </w:rPr>
              <w:t>Manufacturing stays roughly same size as today. International shipping grows with over 150% growth in demand.</w:t>
            </w:r>
          </w:p>
        </w:tc>
      </w:tr>
      <w:tr w:rsidR="00DA64AC" w:rsidRPr="0031706B" w14:paraId="2569258E" w14:textId="77777777" w:rsidTr="00F56E7B">
        <w:tc>
          <w:tcPr>
            <w:tcW w:w="2518" w:type="dxa"/>
            <w:vAlign w:val="center"/>
          </w:tcPr>
          <w:p w14:paraId="684B6DF2" w14:textId="77777777" w:rsidR="00DA64AC" w:rsidRPr="0031706B" w:rsidRDefault="00DA64AC" w:rsidP="00B83AF9">
            <w:pPr>
              <w:spacing w:after="0"/>
              <w:rPr>
                <w:rFonts w:cstheme="minorHAnsi"/>
                <w:sz w:val="20"/>
                <w:szCs w:val="20"/>
              </w:rPr>
            </w:pPr>
            <w:r w:rsidRPr="0031706B">
              <w:rPr>
                <w:rFonts w:cstheme="minorHAnsi"/>
                <w:sz w:val="20"/>
                <w:szCs w:val="20"/>
              </w:rPr>
              <w:t>Business greenness</w:t>
            </w:r>
          </w:p>
        </w:tc>
        <w:tc>
          <w:tcPr>
            <w:tcW w:w="887" w:type="dxa"/>
            <w:vAlign w:val="center"/>
          </w:tcPr>
          <w:p w14:paraId="6A284309" w14:textId="3D68D502" w:rsidR="00DA64AC" w:rsidRPr="0031706B" w:rsidRDefault="00DA64AC" w:rsidP="00B83AF9">
            <w:pPr>
              <w:spacing w:after="0"/>
              <w:jc w:val="center"/>
              <w:rPr>
                <w:rFonts w:cstheme="minorHAnsi"/>
                <w:sz w:val="20"/>
                <w:szCs w:val="20"/>
              </w:rPr>
            </w:pPr>
            <w:r w:rsidRPr="0031706B">
              <w:rPr>
                <w:rFonts w:cstheme="minorHAnsi"/>
                <w:sz w:val="20"/>
                <w:szCs w:val="20"/>
              </w:rPr>
              <w:t>4</w:t>
            </w:r>
          </w:p>
        </w:tc>
        <w:tc>
          <w:tcPr>
            <w:tcW w:w="887" w:type="dxa"/>
            <w:vAlign w:val="center"/>
          </w:tcPr>
          <w:p w14:paraId="30C5D8EC" w14:textId="558015F4" w:rsidR="00DA64AC" w:rsidRPr="0031706B" w:rsidRDefault="00685C0F" w:rsidP="00685C0F">
            <w:pPr>
              <w:spacing w:after="0"/>
              <w:jc w:val="center"/>
              <w:rPr>
                <w:rFonts w:cstheme="minorHAnsi"/>
                <w:sz w:val="20"/>
                <w:szCs w:val="20"/>
              </w:rPr>
            </w:pPr>
            <w:r w:rsidRPr="0031706B">
              <w:rPr>
                <w:rFonts w:cstheme="minorHAnsi"/>
                <w:sz w:val="20"/>
                <w:szCs w:val="20"/>
              </w:rPr>
              <w:t>5,713 (52.0%)</w:t>
            </w:r>
          </w:p>
        </w:tc>
        <w:tc>
          <w:tcPr>
            <w:tcW w:w="5455" w:type="dxa"/>
            <w:vAlign w:val="center"/>
          </w:tcPr>
          <w:p w14:paraId="311FA0D0" w14:textId="77777777" w:rsidR="00DA64AC" w:rsidRPr="0031706B" w:rsidRDefault="00DA64AC" w:rsidP="00440FF3">
            <w:pPr>
              <w:spacing w:after="0"/>
              <w:rPr>
                <w:rFonts w:cstheme="minorHAnsi"/>
                <w:sz w:val="20"/>
                <w:szCs w:val="20"/>
              </w:rPr>
            </w:pPr>
            <w:r w:rsidRPr="0031706B">
              <w:rPr>
                <w:rFonts w:cstheme="minorHAnsi"/>
                <w:sz w:val="20"/>
                <w:szCs w:val="20"/>
              </w:rPr>
              <w:t>Stellar improvements in energy efficiency.  Half of emissions from heavy industry are filtered and stored underground.</w:t>
            </w:r>
          </w:p>
        </w:tc>
      </w:tr>
      <w:tr w:rsidR="00DA64AC" w:rsidRPr="0031706B" w14:paraId="0ED9F787" w14:textId="77777777" w:rsidTr="00F56E7B">
        <w:tc>
          <w:tcPr>
            <w:tcW w:w="2518" w:type="dxa"/>
            <w:vAlign w:val="center"/>
          </w:tcPr>
          <w:p w14:paraId="4DD271D5" w14:textId="77777777" w:rsidR="00DA64AC" w:rsidRPr="0031706B" w:rsidRDefault="00DA64AC" w:rsidP="00B83AF9">
            <w:pPr>
              <w:spacing w:after="0"/>
              <w:rPr>
                <w:rFonts w:cstheme="minorHAnsi"/>
                <w:sz w:val="20"/>
                <w:szCs w:val="20"/>
              </w:rPr>
            </w:pPr>
            <w:r w:rsidRPr="0031706B">
              <w:rPr>
                <w:rFonts w:cstheme="minorHAnsi"/>
                <w:sz w:val="20"/>
                <w:szCs w:val="20"/>
              </w:rPr>
              <w:t>Home efficiency</w:t>
            </w:r>
          </w:p>
        </w:tc>
        <w:tc>
          <w:tcPr>
            <w:tcW w:w="887" w:type="dxa"/>
            <w:vAlign w:val="center"/>
          </w:tcPr>
          <w:p w14:paraId="20262910" w14:textId="79C08F34" w:rsidR="00DA64AC" w:rsidRPr="0031706B" w:rsidRDefault="00DA64AC" w:rsidP="00685C0F">
            <w:pPr>
              <w:spacing w:after="0"/>
              <w:jc w:val="center"/>
              <w:rPr>
                <w:rFonts w:cstheme="minorHAnsi"/>
                <w:sz w:val="20"/>
                <w:szCs w:val="20"/>
              </w:rPr>
            </w:pPr>
            <w:r w:rsidRPr="0031706B">
              <w:rPr>
                <w:rFonts w:cstheme="minorHAnsi"/>
                <w:sz w:val="20"/>
                <w:szCs w:val="20"/>
              </w:rPr>
              <w:t>4</w:t>
            </w:r>
          </w:p>
        </w:tc>
        <w:tc>
          <w:tcPr>
            <w:tcW w:w="887" w:type="dxa"/>
            <w:vAlign w:val="center"/>
          </w:tcPr>
          <w:p w14:paraId="1D65C987" w14:textId="2DD701F7" w:rsidR="00DA64AC" w:rsidRPr="0031706B" w:rsidRDefault="00685C0F" w:rsidP="00B83AF9">
            <w:pPr>
              <w:spacing w:after="0"/>
              <w:jc w:val="center"/>
              <w:rPr>
                <w:rFonts w:cstheme="minorHAnsi"/>
                <w:sz w:val="20"/>
                <w:szCs w:val="20"/>
              </w:rPr>
            </w:pPr>
            <w:r w:rsidRPr="0031706B">
              <w:rPr>
                <w:rFonts w:cstheme="minorHAnsi"/>
                <w:sz w:val="20"/>
                <w:szCs w:val="20"/>
              </w:rPr>
              <w:t>5,441 (49.5%)</w:t>
            </w:r>
          </w:p>
        </w:tc>
        <w:tc>
          <w:tcPr>
            <w:tcW w:w="5455" w:type="dxa"/>
            <w:vAlign w:val="center"/>
          </w:tcPr>
          <w:p w14:paraId="64F10F04" w14:textId="77777777" w:rsidR="00DA64AC" w:rsidRPr="0031706B" w:rsidRDefault="00DA64AC" w:rsidP="00440FF3">
            <w:pPr>
              <w:spacing w:after="0"/>
              <w:rPr>
                <w:rFonts w:cstheme="minorHAnsi"/>
                <w:sz w:val="20"/>
                <w:szCs w:val="20"/>
              </w:rPr>
            </w:pPr>
            <w:r w:rsidRPr="0031706B">
              <w:rPr>
                <w:rFonts w:cstheme="minorHAnsi"/>
                <w:sz w:val="20"/>
                <w:szCs w:val="20"/>
              </w:rPr>
              <w:t>Almost all homes have additional insulation.</w:t>
            </w:r>
          </w:p>
        </w:tc>
      </w:tr>
      <w:tr w:rsidR="00DA64AC" w:rsidRPr="0031706B" w14:paraId="5742FDCC" w14:textId="77777777" w:rsidTr="00F56E7B">
        <w:tc>
          <w:tcPr>
            <w:tcW w:w="2518" w:type="dxa"/>
            <w:vAlign w:val="center"/>
          </w:tcPr>
          <w:p w14:paraId="5AF9BF2C" w14:textId="77777777" w:rsidR="00DA64AC" w:rsidRPr="0031706B" w:rsidRDefault="00DA64AC" w:rsidP="00B83AF9">
            <w:pPr>
              <w:spacing w:after="0"/>
              <w:rPr>
                <w:rFonts w:cstheme="minorHAnsi"/>
                <w:sz w:val="20"/>
                <w:szCs w:val="20"/>
              </w:rPr>
            </w:pPr>
            <w:r w:rsidRPr="0031706B">
              <w:rPr>
                <w:rFonts w:cstheme="minorHAnsi"/>
                <w:sz w:val="20"/>
                <w:szCs w:val="20"/>
              </w:rPr>
              <w:t>Home temperature</w:t>
            </w:r>
          </w:p>
        </w:tc>
        <w:tc>
          <w:tcPr>
            <w:tcW w:w="887" w:type="dxa"/>
            <w:vAlign w:val="center"/>
          </w:tcPr>
          <w:p w14:paraId="31650D73" w14:textId="6B42CA27" w:rsidR="00DA64AC" w:rsidRPr="0031706B" w:rsidRDefault="00DA64AC" w:rsidP="00B83AF9">
            <w:pPr>
              <w:spacing w:after="0"/>
              <w:jc w:val="center"/>
              <w:rPr>
                <w:rFonts w:cstheme="minorHAnsi"/>
                <w:sz w:val="20"/>
                <w:szCs w:val="20"/>
              </w:rPr>
            </w:pPr>
            <w:r w:rsidRPr="0031706B">
              <w:rPr>
                <w:rFonts w:cstheme="minorHAnsi"/>
                <w:sz w:val="20"/>
                <w:szCs w:val="20"/>
              </w:rPr>
              <w:t>3</w:t>
            </w:r>
          </w:p>
        </w:tc>
        <w:tc>
          <w:tcPr>
            <w:tcW w:w="887" w:type="dxa"/>
            <w:vAlign w:val="center"/>
          </w:tcPr>
          <w:p w14:paraId="3A27DF9D" w14:textId="2C732FC8" w:rsidR="00DA64AC" w:rsidRPr="0031706B" w:rsidRDefault="00685C0F" w:rsidP="00B83AF9">
            <w:pPr>
              <w:spacing w:after="0"/>
              <w:jc w:val="center"/>
              <w:rPr>
                <w:rFonts w:cstheme="minorHAnsi"/>
                <w:sz w:val="20"/>
                <w:szCs w:val="20"/>
              </w:rPr>
            </w:pPr>
            <w:r w:rsidRPr="0031706B">
              <w:rPr>
                <w:rFonts w:cstheme="minorHAnsi"/>
                <w:sz w:val="20"/>
                <w:szCs w:val="20"/>
              </w:rPr>
              <w:t>4,521 (41.2%)</w:t>
            </w:r>
          </w:p>
        </w:tc>
        <w:tc>
          <w:tcPr>
            <w:tcW w:w="5455" w:type="dxa"/>
            <w:vAlign w:val="center"/>
          </w:tcPr>
          <w:p w14:paraId="26BA61B4" w14:textId="77777777" w:rsidR="00DA64AC" w:rsidRPr="0031706B" w:rsidRDefault="00DA64AC" w:rsidP="00440FF3">
            <w:pPr>
              <w:spacing w:after="0"/>
              <w:rPr>
                <w:rFonts w:cstheme="minorHAnsi"/>
                <w:sz w:val="20"/>
                <w:szCs w:val="20"/>
              </w:rPr>
            </w:pPr>
            <w:r w:rsidRPr="0031706B">
              <w:rPr>
                <w:rFonts w:cstheme="minorHAnsi"/>
                <w:sz w:val="20"/>
                <w:szCs w:val="20"/>
              </w:rPr>
              <w:t>Decreases from today’s 17.5°C to 17°C - breaking international trend from past decades.</w:t>
            </w:r>
          </w:p>
        </w:tc>
      </w:tr>
      <w:tr w:rsidR="00DA64AC" w:rsidRPr="0031706B" w14:paraId="27ED5718" w14:textId="77777777" w:rsidTr="00F56E7B">
        <w:tc>
          <w:tcPr>
            <w:tcW w:w="2518" w:type="dxa"/>
            <w:vAlign w:val="center"/>
          </w:tcPr>
          <w:p w14:paraId="400F58EB" w14:textId="77777777" w:rsidR="00DA64AC" w:rsidRPr="0031706B" w:rsidRDefault="00DA64AC" w:rsidP="00B83AF9">
            <w:pPr>
              <w:spacing w:after="0"/>
              <w:rPr>
                <w:rFonts w:cstheme="minorHAnsi"/>
                <w:sz w:val="20"/>
                <w:szCs w:val="20"/>
              </w:rPr>
            </w:pPr>
            <w:r w:rsidRPr="0031706B">
              <w:rPr>
                <w:rFonts w:cstheme="minorHAnsi"/>
                <w:sz w:val="20"/>
                <w:szCs w:val="20"/>
              </w:rPr>
              <w:t>Heating fuel</w:t>
            </w:r>
          </w:p>
        </w:tc>
        <w:tc>
          <w:tcPr>
            <w:tcW w:w="887" w:type="dxa"/>
            <w:vAlign w:val="center"/>
          </w:tcPr>
          <w:p w14:paraId="7F2F36F3" w14:textId="7C523B91" w:rsidR="00DA64AC" w:rsidRPr="0031706B" w:rsidRDefault="00DA64AC" w:rsidP="00B83AF9">
            <w:pPr>
              <w:spacing w:after="0"/>
              <w:jc w:val="center"/>
              <w:rPr>
                <w:rFonts w:cstheme="minorHAnsi"/>
                <w:sz w:val="20"/>
                <w:szCs w:val="20"/>
              </w:rPr>
            </w:pPr>
            <w:r w:rsidRPr="0031706B">
              <w:rPr>
                <w:rFonts w:cstheme="minorHAnsi"/>
                <w:sz w:val="20"/>
                <w:szCs w:val="20"/>
              </w:rPr>
              <w:t>3</w:t>
            </w:r>
          </w:p>
        </w:tc>
        <w:tc>
          <w:tcPr>
            <w:tcW w:w="887" w:type="dxa"/>
            <w:vAlign w:val="center"/>
          </w:tcPr>
          <w:p w14:paraId="27D31919" w14:textId="59FCD755" w:rsidR="00DA64AC" w:rsidRPr="0031706B" w:rsidRDefault="00685C0F" w:rsidP="00B83AF9">
            <w:pPr>
              <w:spacing w:after="0"/>
              <w:jc w:val="center"/>
              <w:rPr>
                <w:rFonts w:cstheme="minorHAnsi"/>
                <w:sz w:val="20"/>
                <w:szCs w:val="20"/>
              </w:rPr>
            </w:pPr>
            <w:r w:rsidRPr="0031706B">
              <w:rPr>
                <w:rFonts w:cstheme="minorHAnsi"/>
                <w:sz w:val="20"/>
                <w:szCs w:val="20"/>
              </w:rPr>
              <w:t>5,209 (47.4%)</w:t>
            </w:r>
          </w:p>
        </w:tc>
        <w:tc>
          <w:tcPr>
            <w:tcW w:w="5455" w:type="dxa"/>
            <w:vAlign w:val="center"/>
          </w:tcPr>
          <w:p w14:paraId="687692DF" w14:textId="77777777" w:rsidR="00DA64AC" w:rsidRPr="0031706B" w:rsidRDefault="00DA64AC" w:rsidP="00440FF3">
            <w:pPr>
              <w:spacing w:after="0"/>
              <w:rPr>
                <w:rFonts w:cstheme="minorHAnsi"/>
                <w:sz w:val="20"/>
                <w:szCs w:val="20"/>
              </w:rPr>
            </w:pPr>
            <w:r w:rsidRPr="0031706B">
              <w:rPr>
                <w:rFonts w:cstheme="minorHAnsi"/>
                <w:sz w:val="20"/>
                <w:szCs w:val="20"/>
              </w:rPr>
              <w:t>About half of domestic heat supplied by electricity.</w:t>
            </w:r>
          </w:p>
        </w:tc>
      </w:tr>
      <w:tr w:rsidR="00DA64AC" w:rsidRPr="0031706B" w14:paraId="4527EF44" w14:textId="77777777" w:rsidTr="00F56E7B">
        <w:tc>
          <w:tcPr>
            <w:tcW w:w="2518" w:type="dxa"/>
            <w:vAlign w:val="center"/>
          </w:tcPr>
          <w:p w14:paraId="573304A4" w14:textId="77777777" w:rsidR="00DA64AC" w:rsidRPr="0031706B" w:rsidRDefault="00DA64AC" w:rsidP="00B83AF9">
            <w:pPr>
              <w:spacing w:after="0"/>
              <w:rPr>
                <w:rFonts w:cstheme="minorHAnsi"/>
                <w:sz w:val="20"/>
                <w:szCs w:val="20"/>
              </w:rPr>
            </w:pPr>
            <w:r w:rsidRPr="0031706B">
              <w:rPr>
                <w:rFonts w:cstheme="minorHAnsi"/>
                <w:sz w:val="20"/>
                <w:szCs w:val="20"/>
              </w:rPr>
              <w:t>How we travel</w:t>
            </w:r>
          </w:p>
        </w:tc>
        <w:tc>
          <w:tcPr>
            <w:tcW w:w="887" w:type="dxa"/>
            <w:vAlign w:val="center"/>
          </w:tcPr>
          <w:p w14:paraId="53819FA3" w14:textId="79C41E30" w:rsidR="00DA64AC" w:rsidRPr="0031706B" w:rsidRDefault="00DA64AC" w:rsidP="00B83AF9">
            <w:pPr>
              <w:spacing w:after="0"/>
              <w:jc w:val="center"/>
              <w:rPr>
                <w:rFonts w:cstheme="minorHAnsi"/>
                <w:sz w:val="20"/>
                <w:szCs w:val="20"/>
              </w:rPr>
            </w:pPr>
            <w:r w:rsidRPr="0031706B">
              <w:rPr>
                <w:rFonts w:cstheme="minorHAnsi"/>
                <w:sz w:val="20"/>
                <w:szCs w:val="20"/>
              </w:rPr>
              <w:t>3</w:t>
            </w:r>
          </w:p>
        </w:tc>
        <w:tc>
          <w:tcPr>
            <w:tcW w:w="887" w:type="dxa"/>
            <w:vAlign w:val="center"/>
          </w:tcPr>
          <w:p w14:paraId="5B45E802" w14:textId="616FCD76" w:rsidR="00DA64AC" w:rsidRPr="0031706B" w:rsidRDefault="00685C0F" w:rsidP="00B83AF9">
            <w:pPr>
              <w:spacing w:after="0"/>
              <w:jc w:val="center"/>
              <w:rPr>
                <w:rFonts w:cstheme="minorHAnsi"/>
                <w:sz w:val="20"/>
                <w:szCs w:val="20"/>
              </w:rPr>
            </w:pPr>
            <w:r w:rsidRPr="0031706B">
              <w:rPr>
                <w:rFonts w:cstheme="minorHAnsi"/>
                <w:sz w:val="20"/>
                <w:szCs w:val="20"/>
              </w:rPr>
              <w:t>4,612 (42.0%)</w:t>
            </w:r>
          </w:p>
        </w:tc>
        <w:tc>
          <w:tcPr>
            <w:tcW w:w="5455" w:type="dxa"/>
            <w:vAlign w:val="center"/>
          </w:tcPr>
          <w:p w14:paraId="23E28C2A" w14:textId="77777777" w:rsidR="00DA64AC" w:rsidRPr="0031706B" w:rsidRDefault="00DA64AC" w:rsidP="00440FF3">
            <w:pPr>
              <w:spacing w:after="0"/>
              <w:rPr>
                <w:rFonts w:cstheme="minorHAnsi"/>
                <w:sz w:val="20"/>
                <w:szCs w:val="20"/>
              </w:rPr>
            </w:pPr>
            <w:r w:rsidRPr="0031706B">
              <w:rPr>
                <w:rFonts w:cstheme="minorHAnsi"/>
                <w:sz w:val="20"/>
                <w:szCs w:val="20"/>
              </w:rPr>
              <w:t>We use public transport instead of cars for a quarter of our journeys.</w:t>
            </w:r>
          </w:p>
        </w:tc>
      </w:tr>
      <w:tr w:rsidR="00DA64AC" w:rsidRPr="0031706B" w14:paraId="0C860971" w14:textId="77777777" w:rsidTr="00F56E7B">
        <w:tc>
          <w:tcPr>
            <w:tcW w:w="2518" w:type="dxa"/>
            <w:vAlign w:val="center"/>
          </w:tcPr>
          <w:p w14:paraId="2812CC89" w14:textId="77777777" w:rsidR="00DA64AC" w:rsidRPr="0031706B" w:rsidRDefault="00DA64AC" w:rsidP="00B83AF9">
            <w:pPr>
              <w:spacing w:after="0"/>
              <w:rPr>
                <w:rFonts w:cstheme="minorHAnsi"/>
                <w:sz w:val="20"/>
                <w:szCs w:val="20"/>
              </w:rPr>
            </w:pPr>
            <w:r w:rsidRPr="0031706B">
              <w:rPr>
                <w:rFonts w:cstheme="minorHAnsi"/>
                <w:sz w:val="20"/>
                <w:szCs w:val="20"/>
              </w:rPr>
              <w:t>Transport fuel</w:t>
            </w:r>
          </w:p>
        </w:tc>
        <w:tc>
          <w:tcPr>
            <w:tcW w:w="887" w:type="dxa"/>
            <w:vAlign w:val="center"/>
          </w:tcPr>
          <w:p w14:paraId="638635AE" w14:textId="73C702A8" w:rsidR="00DA64AC" w:rsidRPr="0031706B" w:rsidRDefault="00DA64AC" w:rsidP="00B83AF9">
            <w:pPr>
              <w:spacing w:after="0"/>
              <w:jc w:val="center"/>
              <w:rPr>
                <w:rFonts w:cstheme="minorHAnsi"/>
                <w:sz w:val="20"/>
                <w:szCs w:val="20"/>
              </w:rPr>
            </w:pPr>
            <w:r w:rsidRPr="0031706B">
              <w:rPr>
                <w:rFonts w:cstheme="minorHAnsi"/>
                <w:sz w:val="20"/>
                <w:szCs w:val="20"/>
              </w:rPr>
              <w:t>3</w:t>
            </w:r>
          </w:p>
        </w:tc>
        <w:tc>
          <w:tcPr>
            <w:tcW w:w="887" w:type="dxa"/>
            <w:vAlign w:val="center"/>
          </w:tcPr>
          <w:p w14:paraId="743D6C86" w14:textId="192A030F" w:rsidR="00DA64AC" w:rsidRPr="0031706B" w:rsidRDefault="00685C0F" w:rsidP="00B83AF9">
            <w:pPr>
              <w:spacing w:after="0"/>
              <w:jc w:val="center"/>
              <w:rPr>
                <w:rFonts w:cstheme="minorHAnsi"/>
                <w:sz w:val="20"/>
                <w:szCs w:val="20"/>
              </w:rPr>
            </w:pPr>
            <w:r w:rsidRPr="0031706B">
              <w:rPr>
                <w:rFonts w:cstheme="minorHAnsi"/>
                <w:sz w:val="20"/>
                <w:szCs w:val="20"/>
              </w:rPr>
              <w:t>4,494 (40.9%)</w:t>
            </w:r>
          </w:p>
        </w:tc>
        <w:tc>
          <w:tcPr>
            <w:tcW w:w="5455" w:type="dxa"/>
            <w:vAlign w:val="center"/>
          </w:tcPr>
          <w:p w14:paraId="737938D4" w14:textId="7DC65484" w:rsidR="00DA64AC" w:rsidRPr="0031706B" w:rsidRDefault="00DA64AC" w:rsidP="00440FF3">
            <w:pPr>
              <w:spacing w:after="0"/>
              <w:rPr>
                <w:rFonts w:cstheme="minorHAnsi"/>
                <w:sz w:val="20"/>
                <w:szCs w:val="20"/>
              </w:rPr>
            </w:pPr>
            <w:r w:rsidRPr="0031706B">
              <w:rPr>
                <w:rFonts w:cstheme="minorHAnsi"/>
                <w:sz w:val="20"/>
                <w:szCs w:val="20"/>
              </w:rPr>
              <w:t>4 out of every 5 cars are powered by electricity, and some use hydrogen fuel cells.</w:t>
            </w:r>
          </w:p>
        </w:tc>
      </w:tr>
    </w:tbl>
    <w:p w14:paraId="0D24E13C" w14:textId="77777777" w:rsidR="00097B6F" w:rsidRPr="0031706B" w:rsidRDefault="00097B6F" w:rsidP="0032732C">
      <w:pPr>
        <w:spacing w:after="0" w:line="480" w:lineRule="auto"/>
        <w:rPr>
          <w:rFonts w:cstheme="minorHAnsi"/>
          <w:sz w:val="24"/>
          <w:highlight w:val="yellow"/>
        </w:rPr>
      </w:pPr>
    </w:p>
    <w:p w14:paraId="0C020DF2" w14:textId="1F57006C" w:rsidR="0071132A" w:rsidRPr="0031706B" w:rsidRDefault="00097B6F" w:rsidP="0032732C">
      <w:pPr>
        <w:spacing w:after="0" w:line="480" w:lineRule="auto"/>
        <w:rPr>
          <w:rFonts w:eastAsiaTheme="minorHAnsi" w:cstheme="minorHAnsi"/>
          <w:color w:val="1A1A1A"/>
          <w:sz w:val="24"/>
        </w:rPr>
      </w:pPr>
      <w:r w:rsidRPr="0031706B">
        <w:rPr>
          <w:rFonts w:eastAsiaTheme="minorHAnsi" w:cstheme="minorHAnsi"/>
          <w:color w:val="1A1A1A"/>
          <w:sz w:val="24"/>
        </w:rPr>
        <w:lastRenderedPageBreak/>
        <w:t>Figure</w:t>
      </w:r>
      <w:r w:rsidR="00BD0338" w:rsidRPr="0031706B">
        <w:rPr>
          <w:rFonts w:eastAsiaTheme="minorHAnsi" w:cstheme="minorHAnsi"/>
          <w:color w:val="1A1A1A"/>
          <w:sz w:val="24"/>
        </w:rPr>
        <w:t>s</w:t>
      </w:r>
      <w:r w:rsidRPr="0031706B">
        <w:rPr>
          <w:rFonts w:eastAsiaTheme="minorHAnsi" w:cstheme="minorHAnsi"/>
          <w:color w:val="1A1A1A"/>
          <w:sz w:val="24"/>
        </w:rPr>
        <w:t xml:space="preserve"> </w:t>
      </w:r>
      <w:r w:rsidR="00E25549" w:rsidRPr="0031706B">
        <w:rPr>
          <w:rFonts w:eastAsiaTheme="minorHAnsi" w:cstheme="minorHAnsi"/>
          <w:color w:val="1A1A1A"/>
          <w:sz w:val="24"/>
        </w:rPr>
        <w:t xml:space="preserve">7 </w:t>
      </w:r>
      <w:r w:rsidR="00BD0338" w:rsidRPr="0031706B">
        <w:rPr>
          <w:rFonts w:eastAsiaTheme="minorHAnsi" w:cstheme="minorHAnsi"/>
          <w:color w:val="1A1A1A"/>
          <w:sz w:val="24"/>
        </w:rPr>
        <w:t xml:space="preserve">and </w:t>
      </w:r>
      <w:r w:rsidR="00E25549" w:rsidRPr="0031706B">
        <w:rPr>
          <w:rFonts w:eastAsiaTheme="minorHAnsi" w:cstheme="minorHAnsi"/>
          <w:color w:val="1A1A1A"/>
          <w:sz w:val="24"/>
        </w:rPr>
        <w:t xml:space="preserve">8 </w:t>
      </w:r>
      <w:r w:rsidRPr="0031706B">
        <w:rPr>
          <w:rFonts w:eastAsiaTheme="minorHAnsi" w:cstheme="minorHAnsi"/>
          <w:color w:val="1A1A1A"/>
          <w:sz w:val="24"/>
        </w:rPr>
        <w:t>show the frequency of selection for each setting on the supply and demand slider options</w:t>
      </w:r>
      <w:r w:rsidR="00416A0C" w:rsidRPr="0031706B">
        <w:rPr>
          <w:rFonts w:eastAsiaTheme="minorHAnsi" w:cstheme="minorHAnsi"/>
          <w:color w:val="1A1A1A"/>
          <w:sz w:val="24"/>
        </w:rPr>
        <w:t xml:space="preserve"> </w:t>
      </w:r>
      <w:r w:rsidR="00416A0C" w:rsidRPr="0031706B">
        <w:rPr>
          <w:rFonts w:cstheme="minorHAnsi"/>
          <w:sz w:val="24"/>
        </w:rPr>
        <w:t>(with descriptions of settings in Table 1 and Table 2)</w:t>
      </w:r>
      <w:r w:rsidRPr="0031706B">
        <w:rPr>
          <w:rFonts w:eastAsiaTheme="minorHAnsi" w:cstheme="minorHAnsi"/>
          <w:color w:val="1A1A1A"/>
          <w:sz w:val="24"/>
        </w:rPr>
        <w:t xml:space="preserve">.  </w:t>
      </w:r>
      <w:r w:rsidR="007C0033" w:rsidRPr="0031706B">
        <w:rPr>
          <w:rFonts w:eastAsiaTheme="minorHAnsi" w:cstheme="minorHAnsi"/>
          <w:color w:val="1A1A1A"/>
          <w:sz w:val="24"/>
        </w:rPr>
        <w:t xml:space="preserve">It is worth noting that, while high setting choices always represented higher levels of effort, for three sliders this equated to a reduction in </w:t>
      </w:r>
      <w:r w:rsidR="004E5B88" w:rsidRPr="0031706B">
        <w:rPr>
          <w:rFonts w:eastAsiaTheme="minorHAnsi" w:cstheme="minorHAnsi"/>
          <w:color w:val="1A1A1A"/>
          <w:sz w:val="24"/>
        </w:rPr>
        <w:t>the relevant activity</w:t>
      </w:r>
      <w:r w:rsidR="007C0033" w:rsidRPr="0031706B">
        <w:rPr>
          <w:rFonts w:eastAsiaTheme="minorHAnsi" w:cstheme="minorHAnsi"/>
          <w:color w:val="1A1A1A"/>
          <w:sz w:val="24"/>
        </w:rPr>
        <w:t xml:space="preserve"> (</w:t>
      </w:r>
      <w:r w:rsidR="007C0033" w:rsidRPr="0031706B">
        <w:rPr>
          <w:rFonts w:eastAsiaTheme="minorHAnsi" w:cstheme="minorHAnsi"/>
          <w:i/>
          <w:color w:val="1A1A1A"/>
          <w:sz w:val="24"/>
        </w:rPr>
        <w:t>‘</w:t>
      </w:r>
      <w:r w:rsidR="00DF58CE" w:rsidRPr="0031706B">
        <w:rPr>
          <w:rFonts w:eastAsiaTheme="minorHAnsi" w:cstheme="minorHAnsi"/>
          <w:i/>
          <w:color w:val="1A1A1A"/>
          <w:sz w:val="24"/>
        </w:rPr>
        <w:t>o</w:t>
      </w:r>
      <w:r w:rsidR="007C0033" w:rsidRPr="0031706B">
        <w:rPr>
          <w:rFonts w:eastAsiaTheme="minorHAnsi" w:cstheme="minorHAnsi"/>
          <w:i/>
          <w:color w:val="1A1A1A"/>
          <w:sz w:val="24"/>
        </w:rPr>
        <w:t xml:space="preserve">il, gas and coal power’, ‘manufacturing growth’ </w:t>
      </w:r>
      <w:r w:rsidR="007C0033" w:rsidRPr="0031706B">
        <w:rPr>
          <w:rFonts w:eastAsiaTheme="minorHAnsi" w:cstheme="minorHAnsi"/>
          <w:color w:val="1A1A1A"/>
          <w:sz w:val="24"/>
        </w:rPr>
        <w:t xml:space="preserve">and </w:t>
      </w:r>
      <w:r w:rsidR="007C0033" w:rsidRPr="0031706B">
        <w:rPr>
          <w:rFonts w:eastAsiaTheme="minorHAnsi" w:cstheme="minorHAnsi"/>
          <w:i/>
          <w:color w:val="1A1A1A"/>
          <w:sz w:val="24"/>
        </w:rPr>
        <w:t>‘home temperature’</w:t>
      </w:r>
      <w:r w:rsidR="007C0033" w:rsidRPr="0031706B">
        <w:rPr>
          <w:rFonts w:eastAsiaTheme="minorHAnsi" w:cstheme="minorHAnsi"/>
          <w:color w:val="1A1A1A"/>
          <w:sz w:val="24"/>
        </w:rPr>
        <w:t xml:space="preserve">), while for all other sliders this equated to an increase in </w:t>
      </w:r>
      <w:r w:rsidR="004E5B88" w:rsidRPr="0031706B">
        <w:rPr>
          <w:rFonts w:eastAsiaTheme="minorHAnsi" w:cstheme="minorHAnsi"/>
          <w:color w:val="1A1A1A"/>
          <w:sz w:val="24"/>
        </w:rPr>
        <w:t>activity</w:t>
      </w:r>
      <w:r w:rsidR="00B461B5" w:rsidRPr="0031706B">
        <w:rPr>
          <w:rFonts w:eastAsiaTheme="minorHAnsi" w:cstheme="minorHAnsi"/>
          <w:color w:val="1A1A1A"/>
          <w:sz w:val="24"/>
        </w:rPr>
        <w:t xml:space="preserve"> (e.g. more cars or domestic heating being powered by electricity)</w:t>
      </w:r>
      <w:r w:rsidR="007C0033" w:rsidRPr="0031706B">
        <w:rPr>
          <w:rFonts w:eastAsiaTheme="minorHAnsi" w:cstheme="minorHAnsi"/>
          <w:color w:val="1A1A1A"/>
          <w:sz w:val="24"/>
        </w:rPr>
        <w:t xml:space="preserve">. </w:t>
      </w:r>
      <w:r w:rsidRPr="0031706B">
        <w:rPr>
          <w:rFonts w:eastAsiaTheme="minorHAnsi" w:cstheme="minorHAnsi"/>
          <w:color w:val="1A1A1A"/>
          <w:sz w:val="24"/>
        </w:rPr>
        <w:t xml:space="preserve">Higher levels of effort tended to be selected for demand sliders than for supply sliders. </w:t>
      </w:r>
    </w:p>
    <w:p w14:paraId="7DA1C9F6" w14:textId="77777777" w:rsidR="0071132A" w:rsidRPr="0031706B" w:rsidRDefault="0071132A" w:rsidP="0032732C">
      <w:pPr>
        <w:spacing w:after="0" w:line="480" w:lineRule="auto"/>
        <w:rPr>
          <w:rFonts w:eastAsiaTheme="minorHAnsi" w:cstheme="minorHAnsi"/>
          <w:color w:val="1A1A1A"/>
          <w:sz w:val="24"/>
        </w:rPr>
      </w:pPr>
    </w:p>
    <w:p w14:paraId="5AE18294" w14:textId="15E881A0" w:rsidR="00097B6F" w:rsidRPr="0031706B" w:rsidRDefault="00097B6F" w:rsidP="0032732C">
      <w:pPr>
        <w:spacing w:after="0" w:line="480" w:lineRule="auto"/>
        <w:rPr>
          <w:rFonts w:cstheme="minorHAnsi"/>
          <w:sz w:val="24"/>
        </w:rPr>
      </w:pPr>
      <w:r w:rsidRPr="0031706B">
        <w:rPr>
          <w:rFonts w:eastAsiaTheme="minorHAnsi" w:cstheme="minorHAnsi"/>
          <w:color w:val="1A1A1A"/>
          <w:sz w:val="24"/>
        </w:rPr>
        <w:t xml:space="preserve">The results for the </w:t>
      </w:r>
      <w:r w:rsidRPr="0031706B">
        <w:rPr>
          <w:rFonts w:eastAsiaTheme="minorHAnsi" w:cstheme="minorHAnsi"/>
          <w:i/>
          <w:iCs/>
          <w:color w:val="1A1A1A"/>
          <w:sz w:val="24"/>
        </w:rPr>
        <w:t>‘</w:t>
      </w:r>
      <w:r w:rsidR="00DF58CE" w:rsidRPr="0031706B">
        <w:rPr>
          <w:rFonts w:eastAsiaTheme="minorHAnsi" w:cstheme="minorHAnsi"/>
          <w:i/>
          <w:iCs/>
          <w:color w:val="1A1A1A"/>
          <w:sz w:val="24"/>
        </w:rPr>
        <w:t>o</w:t>
      </w:r>
      <w:r w:rsidRPr="0031706B">
        <w:rPr>
          <w:rFonts w:eastAsiaTheme="minorHAnsi" w:cstheme="minorHAnsi"/>
          <w:i/>
          <w:iCs/>
          <w:color w:val="1A1A1A"/>
          <w:sz w:val="24"/>
        </w:rPr>
        <w:t xml:space="preserve">il, gas and coal power’ </w:t>
      </w:r>
      <w:r w:rsidRPr="0031706B">
        <w:rPr>
          <w:rFonts w:eastAsiaTheme="minorHAnsi" w:cstheme="minorHAnsi"/>
          <w:color w:val="1A1A1A"/>
          <w:sz w:val="24"/>
        </w:rPr>
        <w:t xml:space="preserve">slider in Figure </w:t>
      </w:r>
      <w:r w:rsidR="00E25549" w:rsidRPr="0031706B">
        <w:rPr>
          <w:rFonts w:eastAsiaTheme="minorHAnsi" w:cstheme="minorHAnsi"/>
          <w:color w:val="1A1A1A"/>
          <w:sz w:val="24"/>
        </w:rPr>
        <w:t xml:space="preserve">7 </w:t>
      </w:r>
      <w:r w:rsidRPr="0031706B">
        <w:rPr>
          <w:rFonts w:eastAsiaTheme="minorHAnsi" w:cstheme="minorHAnsi"/>
          <w:color w:val="1A1A1A"/>
          <w:sz w:val="24"/>
        </w:rPr>
        <w:t>clearly stand out as having a different pattern to the other supply sliders</w:t>
      </w:r>
      <w:r w:rsidR="00440FF3" w:rsidRPr="0031706B">
        <w:rPr>
          <w:rFonts w:eastAsiaTheme="minorHAnsi" w:cstheme="minorHAnsi"/>
          <w:color w:val="1A1A1A"/>
          <w:sz w:val="24"/>
        </w:rPr>
        <w:t>, with an extreme preference for setting 3, “Half as much fossil fuel supplies as today in 2050”</w:t>
      </w:r>
      <w:r w:rsidRPr="0031706B">
        <w:rPr>
          <w:rFonts w:eastAsiaTheme="minorHAnsi" w:cstheme="minorHAnsi"/>
          <w:color w:val="1A1A1A"/>
          <w:sz w:val="24"/>
        </w:rPr>
        <w:t>.  This was the only slider invented specifically for ‘My2050’</w:t>
      </w:r>
      <w:r w:rsidR="007764DD" w:rsidRPr="0031706B">
        <w:rPr>
          <w:rFonts w:eastAsiaTheme="minorHAnsi" w:cstheme="minorHAnsi"/>
          <w:color w:val="1A1A1A"/>
          <w:sz w:val="24"/>
        </w:rPr>
        <w:t xml:space="preserve"> and</w:t>
      </w:r>
      <w:r w:rsidRPr="0031706B">
        <w:rPr>
          <w:rFonts w:eastAsiaTheme="minorHAnsi" w:cstheme="minorHAnsi"/>
          <w:color w:val="1A1A1A"/>
          <w:sz w:val="24"/>
        </w:rPr>
        <w:t xml:space="preserve"> not derived from DECC’s full 2050 calculator nor referenced in DECC’s 2050 scenarios.  This slider also differs from the others through the fact that it represents external constraints to our fossil fuel supplies, rather than being an indication of positive effort.   </w:t>
      </w:r>
      <w:r w:rsidR="00B461B5" w:rsidRPr="0031706B">
        <w:rPr>
          <w:rFonts w:eastAsiaTheme="minorHAnsi" w:cstheme="minorHAnsi"/>
          <w:color w:val="1A1A1A"/>
          <w:sz w:val="24"/>
        </w:rPr>
        <w:t>As with the three ‘reduction sliders’ discussed above, t</w:t>
      </w:r>
      <w:r w:rsidR="00DB009E" w:rsidRPr="0031706B">
        <w:rPr>
          <w:rFonts w:eastAsiaTheme="minorHAnsi" w:cstheme="minorHAnsi"/>
          <w:color w:val="1A1A1A"/>
          <w:sz w:val="24"/>
        </w:rPr>
        <w:t xml:space="preserve">his raises significant issues around whether a greater degree of consistency is required in the layout and design of tools such as this, both in terms of straight forward analysis and interpretation of results, but also with regard to the different framings a question can be given depending on the direction of the slider.  </w:t>
      </w:r>
      <w:r w:rsidR="008F120C" w:rsidRPr="0031706B">
        <w:rPr>
          <w:rFonts w:eastAsiaTheme="minorHAnsi" w:cstheme="minorHAnsi"/>
          <w:color w:val="1A1A1A"/>
          <w:sz w:val="24"/>
        </w:rPr>
        <w:t>For example, i</w:t>
      </w:r>
      <w:r w:rsidR="00DB009E" w:rsidRPr="0031706B">
        <w:rPr>
          <w:rFonts w:eastAsiaTheme="minorHAnsi" w:cstheme="minorHAnsi"/>
          <w:color w:val="1A1A1A"/>
          <w:sz w:val="24"/>
        </w:rPr>
        <w:t>n this case, the reversal of the slider in this instance might trigger loss aversion (</w:t>
      </w:r>
      <w:proofErr w:type="spellStart"/>
      <w:r w:rsidR="00DB009E" w:rsidRPr="0031706B">
        <w:rPr>
          <w:rFonts w:eastAsiaTheme="minorHAnsi" w:cstheme="minorHAnsi"/>
          <w:color w:val="1A1A1A"/>
          <w:sz w:val="24"/>
        </w:rPr>
        <w:t>Kahneman</w:t>
      </w:r>
      <w:proofErr w:type="spellEnd"/>
      <w:r w:rsidR="00DB009E" w:rsidRPr="0031706B">
        <w:rPr>
          <w:rFonts w:eastAsiaTheme="minorHAnsi" w:cstheme="minorHAnsi"/>
          <w:color w:val="1A1A1A"/>
          <w:sz w:val="24"/>
        </w:rPr>
        <w:t xml:space="preserve">, 1991) in contrast to the positive focus conveyed by the other </w:t>
      </w:r>
      <w:r w:rsidR="00DB009E" w:rsidRPr="0031706B">
        <w:rPr>
          <w:rFonts w:eastAsiaTheme="minorHAnsi" w:cstheme="minorHAnsi"/>
          <w:color w:val="1A1A1A"/>
          <w:sz w:val="24"/>
        </w:rPr>
        <w:lastRenderedPageBreak/>
        <w:t>sliders.</w:t>
      </w:r>
      <w:r w:rsidR="003F3D35" w:rsidRPr="0031706B">
        <w:rPr>
          <w:rFonts w:eastAsiaTheme="minorHAnsi" w:cstheme="minorHAnsi"/>
          <w:color w:val="1A1A1A"/>
          <w:sz w:val="24"/>
        </w:rPr>
        <w:t xml:space="preserve">  </w:t>
      </w:r>
      <w:r w:rsidR="00B461B5" w:rsidRPr="0031706B">
        <w:rPr>
          <w:rFonts w:eastAsiaTheme="minorHAnsi" w:cstheme="minorHAnsi"/>
          <w:color w:val="1A1A1A"/>
          <w:sz w:val="24"/>
        </w:rPr>
        <w:t>Later on, w</w:t>
      </w:r>
      <w:r w:rsidR="003F3D35" w:rsidRPr="0031706B">
        <w:rPr>
          <w:rFonts w:eastAsiaTheme="minorHAnsi" w:cstheme="minorHAnsi"/>
          <w:color w:val="1A1A1A"/>
          <w:sz w:val="24"/>
        </w:rPr>
        <w:t xml:space="preserve">e discuss issues of whether the effort will be borne by the respondent or by others, but there </w:t>
      </w:r>
      <w:r w:rsidR="002B3E72" w:rsidRPr="0031706B">
        <w:rPr>
          <w:rFonts w:eastAsiaTheme="minorHAnsi" w:cstheme="minorHAnsi"/>
          <w:color w:val="1A1A1A"/>
          <w:sz w:val="24"/>
        </w:rPr>
        <w:t xml:space="preserve">is </w:t>
      </w:r>
      <w:r w:rsidR="003F3D35" w:rsidRPr="0031706B">
        <w:rPr>
          <w:rFonts w:eastAsiaTheme="minorHAnsi" w:cstheme="minorHAnsi"/>
          <w:color w:val="1A1A1A"/>
          <w:sz w:val="24"/>
        </w:rPr>
        <w:t>a wide range of other unspoken or tacit issues that might skew participants</w:t>
      </w:r>
      <w:r w:rsidR="002B3E72" w:rsidRPr="0031706B">
        <w:rPr>
          <w:rFonts w:eastAsiaTheme="minorHAnsi" w:cstheme="minorHAnsi"/>
          <w:color w:val="1A1A1A"/>
          <w:sz w:val="24"/>
        </w:rPr>
        <w:t>’</w:t>
      </w:r>
      <w:r w:rsidR="003F3D35" w:rsidRPr="0031706B">
        <w:rPr>
          <w:rFonts w:eastAsiaTheme="minorHAnsi" w:cstheme="minorHAnsi"/>
          <w:color w:val="1A1A1A"/>
          <w:sz w:val="24"/>
        </w:rPr>
        <w:t xml:space="preserve"> selections.  These include cost, technological readiness, familiarity with measures</w:t>
      </w:r>
      <w:r w:rsidR="006544BC" w:rsidRPr="0031706B">
        <w:rPr>
          <w:rFonts w:eastAsiaTheme="minorHAnsi" w:cstheme="minorHAnsi"/>
          <w:color w:val="1A1A1A"/>
          <w:sz w:val="24"/>
        </w:rPr>
        <w:t>,</w:t>
      </w:r>
      <w:r w:rsidR="003F3D35" w:rsidRPr="0031706B">
        <w:rPr>
          <w:rFonts w:eastAsiaTheme="minorHAnsi" w:cstheme="minorHAnsi"/>
          <w:color w:val="1A1A1A"/>
          <w:sz w:val="24"/>
        </w:rPr>
        <w:t xml:space="preserve"> and the degree to which they would require a change in patterns of everyday life.  The work presented here focuses on how participants responded, rather that </w:t>
      </w:r>
      <w:proofErr w:type="spellStart"/>
      <w:r w:rsidR="003F3D35" w:rsidRPr="0031706B">
        <w:rPr>
          <w:rFonts w:eastAsiaTheme="minorHAnsi" w:cstheme="minorHAnsi"/>
          <w:color w:val="1A1A1A"/>
          <w:sz w:val="24"/>
        </w:rPr>
        <w:t>hypothesising</w:t>
      </w:r>
      <w:proofErr w:type="spellEnd"/>
      <w:r w:rsidR="003F3D35" w:rsidRPr="0031706B">
        <w:rPr>
          <w:rFonts w:eastAsiaTheme="minorHAnsi" w:cstheme="minorHAnsi"/>
          <w:color w:val="1A1A1A"/>
          <w:sz w:val="24"/>
        </w:rPr>
        <w:t xml:space="preserve"> why they did so.  </w:t>
      </w:r>
      <w:proofErr w:type="gramStart"/>
      <w:r w:rsidR="003F3D35" w:rsidRPr="0031706B">
        <w:rPr>
          <w:rFonts w:eastAsiaTheme="minorHAnsi" w:cstheme="minorHAnsi"/>
          <w:color w:val="1A1A1A"/>
          <w:sz w:val="24"/>
        </w:rPr>
        <w:t xml:space="preserve">However, if standalone results from the simulation </w:t>
      </w:r>
      <w:r w:rsidR="002B3E72" w:rsidRPr="0031706B">
        <w:rPr>
          <w:rFonts w:eastAsiaTheme="minorHAnsi" w:cstheme="minorHAnsi"/>
          <w:color w:val="1A1A1A"/>
          <w:sz w:val="24"/>
        </w:rPr>
        <w:t>we</w:t>
      </w:r>
      <w:r w:rsidR="003F3D35" w:rsidRPr="0031706B">
        <w:rPr>
          <w:rFonts w:eastAsiaTheme="minorHAnsi" w:cstheme="minorHAnsi"/>
          <w:color w:val="1A1A1A"/>
          <w:sz w:val="24"/>
        </w:rPr>
        <w:t>re to be given significant credence (in the absence of additional qualitative data), a detailed exploration of these factors would be advisable.</w:t>
      </w:r>
      <w:proofErr w:type="gramEnd"/>
      <w:r w:rsidR="003F3D35" w:rsidRPr="0031706B">
        <w:rPr>
          <w:rFonts w:eastAsiaTheme="minorHAnsi" w:cstheme="minorHAnsi"/>
          <w:color w:val="1A1A1A"/>
          <w:sz w:val="24"/>
        </w:rPr>
        <w:t xml:space="preserve"> </w:t>
      </w:r>
    </w:p>
    <w:p w14:paraId="185B420F" w14:textId="77777777" w:rsidR="00097B6F" w:rsidRPr="0031706B" w:rsidRDefault="00097B6F" w:rsidP="0032732C">
      <w:pPr>
        <w:spacing w:after="0" w:line="480" w:lineRule="auto"/>
        <w:rPr>
          <w:rFonts w:cstheme="minorHAnsi"/>
          <w:sz w:val="24"/>
        </w:rPr>
      </w:pPr>
      <w:r w:rsidRPr="0031706B">
        <w:rPr>
          <w:rFonts w:cstheme="minorHAnsi"/>
          <w:noProof/>
          <w:sz w:val="24"/>
          <w:lang w:val="en-GB" w:eastAsia="en-GB"/>
        </w:rPr>
        <w:drawing>
          <wp:inline distT="0" distB="0" distL="0" distR="0" wp14:anchorId="0EBFAFEB" wp14:editId="71AE8A98">
            <wp:extent cx="5486400" cy="2856865"/>
            <wp:effectExtent l="0" t="0" r="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01E835" w14:textId="06280281" w:rsidR="00097B6F" w:rsidRPr="0031706B" w:rsidRDefault="00097B6F" w:rsidP="0032732C">
      <w:pPr>
        <w:pStyle w:val="Caption"/>
        <w:spacing w:after="0" w:line="480" w:lineRule="auto"/>
        <w:rPr>
          <w:rFonts w:cstheme="minorHAnsi"/>
          <w:sz w:val="24"/>
          <w:szCs w:val="24"/>
        </w:rPr>
      </w:pPr>
      <w:bookmarkStart w:id="22" w:name="_Ref189138759"/>
      <w:bookmarkStart w:id="23" w:name="_Toc193708864"/>
      <w:r w:rsidRPr="0031706B">
        <w:rPr>
          <w:rFonts w:cstheme="minorHAnsi"/>
          <w:sz w:val="24"/>
          <w:szCs w:val="24"/>
        </w:rPr>
        <w:t>Figure</w:t>
      </w:r>
      <w:bookmarkEnd w:id="22"/>
      <w:r w:rsidRPr="0031706B">
        <w:rPr>
          <w:rFonts w:cstheme="minorHAnsi"/>
          <w:sz w:val="24"/>
          <w:szCs w:val="24"/>
        </w:rPr>
        <w:t xml:space="preserve"> </w:t>
      </w:r>
      <w:r w:rsidR="00E25549" w:rsidRPr="0031706B">
        <w:rPr>
          <w:rFonts w:cstheme="minorHAnsi"/>
          <w:sz w:val="24"/>
          <w:szCs w:val="24"/>
        </w:rPr>
        <w:t xml:space="preserve">7 </w:t>
      </w:r>
      <w:r w:rsidRPr="0031706B">
        <w:rPr>
          <w:rFonts w:cstheme="minorHAnsi"/>
          <w:sz w:val="24"/>
          <w:szCs w:val="24"/>
        </w:rPr>
        <w:t>– Frequency of setting choices: supply</w:t>
      </w:r>
      <w:bookmarkEnd w:id="23"/>
      <w:r w:rsidRPr="0031706B">
        <w:rPr>
          <w:rFonts w:cstheme="minorHAnsi"/>
          <w:sz w:val="24"/>
          <w:szCs w:val="24"/>
        </w:rPr>
        <w:t xml:space="preserve"> </w:t>
      </w:r>
    </w:p>
    <w:p w14:paraId="6435F9EA" w14:textId="14B92ACE" w:rsidR="00097B6F" w:rsidRPr="0031706B" w:rsidRDefault="00097B6F" w:rsidP="0032732C">
      <w:pPr>
        <w:spacing w:after="0" w:line="480" w:lineRule="auto"/>
        <w:rPr>
          <w:rFonts w:cstheme="minorHAnsi"/>
          <w:sz w:val="24"/>
        </w:rPr>
      </w:pPr>
      <w:r w:rsidRPr="0031706B">
        <w:rPr>
          <w:rFonts w:cstheme="minorHAnsi"/>
          <w:sz w:val="24"/>
        </w:rPr>
        <w:t xml:space="preserve">Figure </w:t>
      </w:r>
      <w:r w:rsidR="00E25549" w:rsidRPr="0031706B">
        <w:rPr>
          <w:rFonts w:cstheme="minorHAnsi"/>
          <w:sz w:val="24"/>
        </w:rPr>
        <w:t xml:space="preserve">7 </w:t>
      </w:r>
      <w:r w:rsidRPr="0031706B">
        <w:rPr>
          <w:rFonts w:cstheme="minorHAnsi"/>
          <w:sz w:val="24"/>
        </w:rPr>
        <w:t xml:space="preserve">shows that effort for </w:t>
      </w:r>
      <w:r w:rsidRPr="0031706B">
        <w:rPr>
          <w:rFonts w:cstheme="minorHAnsi"/>
          <w:i/>
          <w:sz w:val="24"/>
        </w:rPr>
        <w:t>‘</w:t>
      </w:r>
      <w:r w:rsidR="006544BC" w:rsidRPr="0031706B">
        <w:rPr>
          <w:rFonts w:cstheme="minorHAnsi"/>
          <w:i/>
          <w:sz w:val="24"/>
        </w:rPr>
        <w:t>n</w:t>
      </w:r>
      <w:r w:rsidRPr="0031706B">
        <w:rPr>
          <w:rFonts w:cstheme="minorHAnsi"/>
          <w:i/>
          <w:sz w:val="24"/>
        </w:rPr>
        <w:t>uclear power’</w:t>
      </w:r>
      <w:r w:rsidRPr="0031706B">
        <w:rPr>
          <w:rFonts w:cstheme="minorHAnsi"/>
          <w:sz w:val="24"/>
        </w:rPr>
        <w:t xml:space="preserve"> and </w:t>
      </w:r>
      <w:r w:rsidRPr="0031706B">
        <w:rPr>
          <w:rFonts w:cstheme="minorHAnsi"/>
          <w:i/>
          <w:sz w:val="24"/>
        </w:rPr>
        <w:t>‘</w:t>
      </w:r>
      <w:r w:rsidR="006544BC" w:rsidRPr="0031706B">
        <w:rPr>
          <w:rFonts w:cstheme="minorHAnsi"/>
          <w:i/>
          <w:sz w:val="24"/>
        </w:rPr>
        <w:t>c</w:t>
      </w:r>
      <w:r w:rsidRPr="0031706B">
        <w:rPr>
          <w:rFonts w:cstheme="minorHAnsi"/>
          <w:i/>
          <w:sz w:val="24"/>
        </w:rPr>
        <w:t xml:space="preserve">lean coal and gas power’ </w:t>
      </w:r>
      <w:r w:rsidRPr="0031706B">
        <w:rPr>
          <w:rFonts w:cstheme="minorHAnsi"/>
          <w:sz w:val="24"/>
        </w:rPr>
        <w:t>was least popular, while renewable energy technologies and biofuels</w:t>
      </w:r>
      <w:r w:rsidRPr="0031706B">
        <w:rPr>
          <w:rFonts w:cstheme="minorHAnsi"/>
          <w:i/>
          <w:sz w:val="24"/>
        </w:rPr>
        <w:t xml:space="preserve"> </w:t>
      </w:r>
      <w:r w:rsidRPr="0031706B">
        <w:rPr>
          <w:rFonts w:cstheme="minorHAnsi"/>
          <w:sz w:val="24"/>
        </w:rPr>
        <w:t>followed similar choice patterns</w:t>
      </w:r>
      <w:r w:rsidR="00FA4C1D" w:rsidRPr="0031706B">
        <w:rPr>
          <w:rFonts w:cstheme="minorHAnsi"/>
          <w:sz w:val="24"/>
        </w:rPr>
        <w:t xml:space="preserve"> to each other</w:t>
      </w:r>
      <w:r w:rsidRPr="0031706B">
        <w:rPr>
          <w:rFonts w:cstheme="minorHAnsi"/>
          <w:sz w:val="24"/>
        </w:rPr>
        <w:t>, with higher effort preferred for offshore than onshore wind power.</w:t>
      </w:r>
    </w:p>
    <w:p w14:paraId="05C17CD9" w14:textId="77777777" w:rsidR="00097B6F" w:rsidRPr="0031706B" w:rsidRDefault="00097B6F" w:rsidP="0032732C">
      <w:pPr>
        <w:spacing w:after="0" w:line="480" w:lineRule="auto"/>
        <w:rPr>
          <w:rFonts w:cstheme="minorHAnsi"/>
          <w:sz w:val="24"/>
        </w:rPr>
      </w:pPr>
      <w:r w:rsidRPr="0031706B">
        <w:rPr>
          <w:rFonts w:cstheme="minorHAnsi"/>
          <w:noProof/>
          <w:sz w:val="24"/>
          <w:lang w:val="en-GB" w:eastAsia="en-GB"/>
        </w:rPr>
        <w:lastRenderedPageBreak/>
        <w:drawing>
          <wp:inline distT="0" distB="0" distL="0" distR="0" wp14:anchorId="43E7A9C7" wp14:editId="24CA25C6">
            <wp:extent cx="5486400" cy="2510155"/>
            <wp:effectExtent l="0" t="0" r="0" b="0"/>
            <wp:docPr id="1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DF5550" w14:textId="42A35FB9" w:rsidR="00097B6F" w:rsidRPr="0031706B" w:rsidRDefault="00097B6F" w:rsidP="0032732C">
      <w:pPr>
        <w:pStyle w:val="Caption"/>
        <w:spacing w:after="0" w:line="480" w:lineRule="auto"/>
        <w:rPr>
          <w:rFonts w:cstheme="minorHAnsi"/>
          <w:sz w:val="24"/>
          <w:szCs w:val="24"/>
        </w:rPr>
      </w:pPr>
      <w:bookmarkStart w:id="24" w:name="_Ref189138775"/>
      <w:bookmarkStart w:id="25" w:name="_Toc193708865"/>
      <w:r w:rsidRPr="0031706B">
        <w:rPr>
          <w:rFonts w:cstheme="minorHAnsi"/>
          <w:sz w:val="24"/>
          <w:szCs w:val="24"/>
        </w:rPr>
        <w:t xml:space="preserve">Figure </w:t>
      </w:r>
      <w:bookmarkEnd w:id="24"/>
      <w:r w:rsidR="00E25549" w:rsidRPr="0031706B">
        <w:rPr>
          <w:rFonts w:cstheme="minorHAnsi"/>
          <w:sz w:val="24"/>
          <w:szCs w:val="24"/>
        </w:rPr>
        <w:t xml:space="preserve">8 </w:t>
      </w:r>
      <w:r w:rsidRPr="0031706B">
        <w:rPr>
          <w:rFonts w:cstheme="minorHAnsi"/>
          <w:sz w:val="24"/>
          <w:szCs w:val="24"/>
        </w:rPr>
        <w:t>– Frequency of setting choices: demand</w:t>
      </w:r>
      <w:bookmarkEnd w:id="25"/>
    </w:p>
    <w:p w14:paraId="14D8DF04" w14:textId="4D647F41" w:rsidR="00097B6F" w:rsidRPr="0031706B" w:rsidRDefault="00097B6F" w:rsidP="0032732C">
      <w:pPr>
        <w:spacing w:after="0" w:line="480" w:lineRule="auto"/>
        <w:rPr>
          <w:rFonts w:eastAsiaTheme="minorHAnsi" w:cstheme="minorHAnsi"/>
          <w:color w:val="1A1A1A"/>
          <w:sz w:val="24"/>
        </w:rPr>
      </w:pPr>
      <w:r w:rsidRPr="0031706B">
        <w:rPr>
          <w:rFonts w:cstheme="minorHAnsi"/>
          <w:sz w:val="24"/>
        </w:rPr>
        <w:t xml:space="preserve">Figure </w:t>
      </w:r>
      <w:r w:rsidR="00E25549" w:rsidRPr="0031706B">
        <w:rPr>
          <w:rFonts w:cstheme="minorHAnsi"/>
          <w:sz w:val="24"/>
        </w:rPr>
        <w:t xml:space="preserve">8 </w:t>
      </w:r>
      <w:r w:rsidRPr="0031706B">
        <w:rPr>
          <w:rFonts w:cstheme="minorHAnsi"/>
          <w:sz w:val="24"/>
        </w:rPr>
        <w:t>illustrates that high effort for energy efficiency (‘</w:t>
      </w:r>
      <w:r w:rsidR="006544BC" w:rsidRPr="0031706B">
        <w:rPr>
          <w:rFonts w:cstheme="minorHAnsi"/>
          <w:i/>
          <w:sz w:val="24"/>
        </w:rPr>
        <w:t>b</w:t>
      </w:r>
      <w:r w:rsidRPr="0031706B">
        <w:rPr>
          <w:rFonts w:cstheme="minorHAnsi"/>
          <w:i/>
          <w:sz w:val="24"/>
        </w:rPr>
        <w:t>usiness greenness’</w:t>
      </w:r>
      <w:r w:rsidRPr="0031706B">
        <w:rPr>
          <w:rFonts w:cstheme="minorHAnsi"/>
          <w:sz w:val="24"/>
        </w:rPr>
        <w:t xml:space="preserve"> and </w:t>
      </w:r>
      <w:r w:rsidRPr="0031706B">
        <w:rPr>
          <w:rFonts w:cstheme="minorHAnsi"/>
          <w:i/>
          <w:sz w:val="24"/>
        </w:rPr>
        <w:t>‘</w:t>
      </w:r>
      <w:r w:rsidR="006544BC" w:rsidRPr="0031706B">
        <w:rPr>
          <w:rFonts w:cstheme="minorHAnsi"/>
          <w:i/>
          <w:sz w:val="24"/>
        </w:rPr>
        <w:t>h</w:t>
      </w:r>
      <w:r w:rsidRPr="0031706B">
        <w:rPr>
          <w:rFonts w:cstheme="minorHAnsi"/>
          <w:i/>
          <w:sz w:val="24"/>
        </w:rPr>
        <w:t>ome efficiency’)</w:t>
      </w:r>
      <w:r w:rsidRPr="0031706B">
        <w:rPr>
          <w:rFonts w:cstheme="minorHAnsi"/>
          <w:sz w:val="24"/>
        </w:rPr>
        <w:t xml:space="preserve"> was very popular. High effort towards home and transport electrification (</w:t>
      </w:r>
      <w:r w:rsidRPr="0031706B">
        <w:rPr>
          <w:rFonts w:cstheme="minorHAnsi"/>
          <w:i/>
          <w:sz w:val="24"/>
        </w:rPr>
        <w:t>‘</w:t>
      </w:r>
      <w:r w:rsidR="006544BC" w:rsidRPr="0031706B">
        <w:rPr>
          <w:rFonts w:cstheme="minorHAnsi"/>
          <w:i/>
          <w:sz w:val="24"/>
        </w:rPr>
        <w:t>h</w:t>
      </w:r>
      <w:r w:rsidRPr="0031706B">
        <w:rPr>
          <w:rFonts w:cstheme="minorHAnsi"/>
          <w:i/>
          <w:sz w:val="24"/>
        </w:rPr>
        <w:t>eating fuel’</w:t>
      </w:r>
      <w:r w:rsidRPr="0031706B">
        <w:rPr>
          <w:rFonts w:cstheme="minorHAnsi"/>
          <w:sz w:val="24"/>
        </w:rPr>
        <w:t xml:space="preserve"> and </w:t>
      </w:r>
      <w:r w:rsidRPr="0031706B">
        <w:rPr>
          <w:rFonts w:cstheme="minorHAnsi"/>
          <w:i/>
          <w:sz w:val="24"/>
        </w:rPr>
        <w:t>‘</w:t>
      </w:r>
      <w:r w:rsidR="006544BC" w:rsidRPr="0031706B">
        <w:rPr>
          <w:rFonts w:cstheme="minorHAnsi"/>
          <w:i/>
          <w:sz w:val="24"/>
        </w:rPr>
        <w:t>t</w:t>
      </w:r>
      <w:r w:rsidRPr="0031706B">
        <w:rPr>
          <w:rFonts w:cstheme="minorHAnsi"/>
          <w:i/>
          <w:sz w:val="24"/>
        </w:rPr>
        <w:t>ransport fuel’</w:t>
      </w:r>
      <w:r w:rsidRPr="0031706B">
        <w:rPr>
          <w:rFonts w:cstheme="minorHAnsi"/>
          <w:sz w:val="24"/>
        </w:rPr>
        <w:t>) was also popular, while high effort for the sliders potentially representing the greatest need for individual behaviour change (</w:t>
      </w:r>
      <w:r w:rsidRPr="0031706B">
        <w:rPr>
          <w:rFonts w:cstheme="minorHAnsi"/>
          <w:i/>
          <w:sz w:val="24"/>
        </w:rPr>
        <w:t>‘</w:t>
      </w:r>
      <w:r w:rsidR="006544BC" w:rsidRPr="0031706B">
        <w:rPr>
          <w:rFonts w:cstheme="minorHAnsi"/>
          <w:i/>
          <w:sz w:val="24"/>
        </w:rPr>
        <w:t>h</w:t>
      </w:r>
      <w:r w:rsidRPr="0031706B">
        <w:rPr>
          <w:rFonts w:cstheme="minorHAnsi"/>
          <w:i/>
          <w:sz w:val="24"/>
        </w:rPr>
        <w:t>ow we travel’</w:t>
      </w:r>
      <w:r w:rsidRPr="0031706B">
        <w:rPr>
          <w:rFonts w:cstheme="minorHAnsi"/>
          <w:sz w:val="24"/>
        </w:rPr>
        <w:t xml:space="preserve"> and </w:t>
      </w:r>
      <w:r w:rsidRPr="0031706B">
        <w:rPr>
          <w:rFonts w:cstheme="minorHAnsi"/>
          <w:i/>
          <w:sz w:val="24"/>
        </w:rPr>
        <w:t>‘</w:t>
      </w:r>
      <w:r w:rsidR="006544BC" w:rsidRPr="0031706B">
        <w:rPr>
          <w:rFonts w:cstheme="minorHAnsi"/>
          <w:i/>
          <w:sz w:val="24"/>
        </w:rPr>
        <w:t>h</w:t>
      </w:r>
      <w:r w:rsidRPr="0031706B">
        <w:rPr>
          <w:rFonts w:cstheme="minorHAnsi"/>
          <w:i/>
          <w:sz w:val="24"/>
        </w:rPr>
        <w:t>ome temperature’</w:t>
      </w:r>
      <w:r w:rsidRPr="0031706B">
        <w:rPr>
          <w:rFonts w:cstheme="minorHAnsi"/>
          <w:sz w:val="24"/>
        </w:rPr>
        <w:t xml:space="preserve">) was less popular. </w:t>
      </w:r>
      <w:r w:rsidRPr="0031706B">
        <w:rPr>
          <w:rFonts w:cstheme="minorHAnsi"/>
          <w:i/>
          <w:sz w:val="24"/>
        </w:rPr>
        <w:t>‘Manufacturing growth</w:t>
      </w:r>
      <w:r w:rsidRPr="0031706B">
        <w:rPr>
          <w:rFonts w:cstheme="minorHAnsi"/>
          <w:sz w:val="24"/>
        </w:rPr>
        <w:t xml:space="preserve">’ choices showed the least preference for change, comparable with the trajectory for </w:t>
      </w:r>
      <w:r w:rsidRPr="0031706B">
        <w:rPr>
          <w:rFonts w:cstheme="minorHAnsi"/>
          <w:i/>
          <w:sz w:val="24"/>
        </w:rPr>
        <w:t>‘</w:t>
      </w:r>
      <w:r w:rsidR="006544BC" w:rsidRPr="0031706B">
        <w:rPr>
          <w:rFonts w:cstheme="minorHAnsi"/>
          <w:i/>
          <w:sz w:val="24"/>
        </w:rPr>
        <w:t>n</w:t>
      </w:r>
      <w:r w:rsidRPr="0031706B">
        <w:rPr>
          <w:rFonts w:cstheme="minorHAnsi"/>
          <w:i/>
          <w:sz w:val="24"/>
        </w:rPr>
        <w:t>uclear power’</w:t>
      </w:r>
      <w:r w:rsidRPr="0031706B">
        <w:rPr>
          <w:rFonts w:cstheme="minorHAnsi"/>
          <w:sz w:val="24"/>
        </w:rPr>
        <w:t xml:space="preserve"> and </w:t>
      </w:r>
      <w:r w:rsidRPr="0031706B">
        <w:rPr>
          <w:rFonts w:cstheme="minorHAnsi"/>
          <w:i/>
          <w:sz w:val="24"/>
        </w:rPr>
        <w:t>‘</w:t>
      </w:r>
      <w:r w:rsidR="006544BC" w:rsidRPr="0031706B">
        <w:rPr>
          <w:rFonts w:cstheme="minorHAnsi"/>
          <w:i/>
          <w:sz w:val="24"/>
        </w:rPr>
        <w:t>c</w:t>
      </w:r>
      <w:r w:rsidRPr="0031706B">
        <w:rPr>
          <w:rFonts w:cstheme="minorHAnsi"/>
          <w:i/>
          <w:sz w:val="24"/>
        </w:rPr>
        <w:t>lean coal and gas power’</w:t>
      </w:r>
      <w:r w:rsidRPr="0031706B">
        <w:rPr>
          <w:rFonts w:cstheme="minorHAnsi"/>
          <w:sz w:val="24"/>
        </w:rPr>
        <w:t xml:space="preserve">. </w:t>
      </w:r>
      <w:r w:rsidRPr="0031706B">
        <w:rPr>
          <w:rFonts w:eastAsiaTheme="minorHAnsi" w:cstheme="minorHAnsi"/>
          <w:color w:val="1A1A1A"/>
          <w:sz w:val="24"/>
        </w:rPr>
        <w:t xml:space="preserve">It is notable that the pattern for </w:t>
      </w:r>
      <w:r w:rsidRPr="0031706B">
        <w:rPr>
          <w:rFonts w:eastAsiaTheme="minorHAnsi" w:cstheme="minorHAnsi"/>
          <w:i/>
          <w:iCs/>
          <w:color w:val="1A1A1A"/>
          <w:sz w:val="24"/>
        </w:rPr>
        <w:t>‘</w:t>
      </w:r>
      <w:r w:rsidR="006544BC" w:rsidRPr="0031706B">
        <w:rPr>
          <w:rFonts w:eastAsiaTheme="minorHAnsi" w:cstheme="minorHAnsi"/>
          <w:i/>
          <w:iCs/>
          <w:color w:val="1A1A1A"/>
          <w:sz w:val="24"/>
        </w:rPr>
        <w:t>m</w:t>
      </w:r>
      <w:r w:rsidRPr="0031706B">
        <w:rPr>
          <w:rFonts w:eastAsiaTheme="minorHAnsi" w:cstheme="minorHAnsi"/>
          <w:i/>
          <w:iCs/>
          <w:color w:val="1A1A1A"/>
          <w:sz w:val="24"/>
        </w:rPr>
        <w:t>anufacturing growth</w:t>
      </w:r>
      <w:r w:rsidRPr="0031706B">
        <w:rPr>
          <w:rFonts w:eastAsiaTheme="minorHAnsi" w:cstheme="minorHAnsi"/>
          <w:color w:val="1A1A1A"/>
          <w:sz w:val="24"/>
        </w:rPr>
        <w:t xml:space="preserve">’ appears somewhat different to the other sliders.  As with the </w:t>
      </w:r>
      <w:r w:rsidRPr="0031706B">
        <w:rPr>
          <w:rFonts w:eastAsiaTheme="minorHAnsi" w:cstheme="minorHAnsi"/>
          <w:i/>
          <w:iCs/>
          <w:color w:val="1A1A1A"/>
          <w:sz w:val="24"/>
        </w:rPr>
        <w:t>‘</w:t>
      </w:r>
      <w:r w:rsidR="006544BC" w:rsidRPr="0031706B">
        <w:rPr>
          <w:rFonts w:eastAsiaTheme="minorHAnsi" w:cstheme="minorHAnsi"/>
          <w:i/>
          <w:iCs/>
          <w:color w:val="1A1A1A"/>
          <w:sz w:val="24"/>
        </w:rPr>
        <w:t>o</w:t>
      </w:r>
      <w:r w:rsidRPr="0031706B">
        <w:rPr>
          <w:rFonts w:eastAsiaTheme="minorHAnsi" w:cstheme="minorHAnsi"/>
          <w:i/>
          <w:iCs/>
          <w:color w:val="1A1A1A"/>
          <w:sz w:val="24"/>
        </w:rPr>
        <w:t xml:space="preserve">il, gas and coal power’ </w:t>
      </w:r>
      <w:r w:rsidRPr="0031706B">
        <w:rPr>
          <w:rFonts w:eastAsiaTheme="minorHAnsi" w:cstheme="minorHAnsi"/>
          <w:color w:val="1A1A1A"/>
          <w:sz w:val="24"/>
        </w:rPr>
        <w:t xml:space="preserve">slider described above in the context of Figure </w:t>
      </w:r>
      <w:r w:rsidR="00E25549" w:rsidRPr="0031706B">
        <w:rPr>
          <w:rFonts w:eastAsiaTheme="minorHAnsi" w:cstheme="minorHAnsi"/>
          <w:color w:val="1A1A1A"/>
          <w:sz w:val="24"/>
        </w:rPr>
        <w:t>7</w:t>
      </w:r>
      <w:r w:rsidRPr="0031706B">
        <w:rPr>
          <w:rFonts w:eastAsiaTheme="minorHAnsi" w:cstheme="minorHAnsi"/>
          <w:color w:val="1A1A1A"/>
          <w:sz w:val="24"/>
        </w:rPr>
        <w:t>, this slider can be seen as representing the effects of external constraints that we may have to live with, rather than the result of proactive policy choices.</w:t>
      </w:r>
      <w:r w:rsidR="008F120C" w:rsidRPr="0031706B">
        <w:rPr>
          <w:rFonts w:eastAsiaTheme="minorHAnsi" w:cstheme="minorHAnsi"/>
          <w:color w:val="1A1A1A"/>
          <w:sz w:val="24"/>
        </w:rPr>
        <w:t xml:space="preserve">  </w:t>
      </w:r>
    </w:p>
    <w:p w14:paraId="2588B73D" w14:textId="77777777" w:rsidR="004A6B5F" w:rsidRPr="0031706B" w:rsidRDefault="004A6B5F" w:rsidP="0032732C">
      <w:pPr>
        <w:spacing w:after="0" w:line="480" w:lineRule="auto"/>
        <w:rPr>
          <w:rFonts w:eastAsiaTheme="minorHAnsi" w:cstheme="minorHAnsi"/>
          <w:color w:val="1A1A1A"/>
          <w:sz w:val="24"/>
        </w:rPr>
      </w:pPr>
    </w:p>
    <w:p w14:paraId="1D41D447" w14:textId="37FBD018" w:rsidR="004A6B5F" w:rsidRPr="0031706B" w:rsidRDefault="004A6B5F" w:rsidP="0032732C">
      <w:pPr>
        <w:spacing w:after="0" w:line="480" w:lineRule="auto"/>
        <w:rPr>
          <w:rFonts w:eastAsiaTheme="minorHAnsi" w:cstheme="minorHAnsi"/>
          <w:color w:val="1A1A1A"/>
          <w:sz w:val="24"/>
        </w:rPr>
      </w:pPr>
      <w:r w:rsidRPr="0031706B">
        <w:rPr>
          <w:rFonts w:eastAsiaTheme="minorHAnsi" w:cstheme="minorHAnsi"/>
          <w:color w:val="1A1A1A"/>
          <w:sz w:val="24"/>
        </w:rPr>
        <w:t xml:space="preserve">Figure 9 shows the variance for each slider, giving </w:t>
      </w:r>
      <w:r w:rsidR="001B7074" w:rsidRPr="0031706B">
        <w:rPr>
          <w:rFonts w:eastAsiaTheme="minorHAnsi" w:cstheme="minorHAnsi"/>
          <w:color w:val="1A1A1A"/>
          <w:sz w:val="24"/>
        </w:rPr>
        <w:t>an</w:t>
      </w:r>
      <w:r w:rsidRPr="0031706B">
        <w:rPr>
          <w:rFonts w:eastAsiaTheme="minorHAnsi" w:cstheme="minorHAnsi"/>
          <w:color w:val="1A1A1A"/>
          <w:sz w:val="24"/>
        </w:rPr>
        <w:t xml:space="preserve"> indication of the homogeneity of opinion for each issue</w:t>
      </w:r>
      <w:r w:rsidR="001B7074" w:rsidRPr="0031706B">
        <w:rPr>
          <w:rFonts w:eastAsiaTheme="minorHAnsi" w:cstheme="minorHAnsi"/>
          <w:color w:val="1A1A1A"/>
          <w:sz w:val="24"/>
        </w:rPr>
        <w:t>.   ‘</w:t>
      </w:r>
      <w:r w:rsidR="001B7074" w:rsidRPr="0031706B">
        <w:rPr>
          <w:rFonts w:eastAsiaTheme="minorHAnsi" w:cstheme="minorHAnsi"/>
          <w:i/>
          <w:color w:val="1A1A1A"/>
          <w:sz w:val="24"/>
        </w:rPr>
        <w:t xml:space="preserve">Manufacturing growth’, ‘biofuel production’, ‘nuclear power’, ‘clean coal and gas power’ and ‘wind turbines </w:t>
      </w:r>
      <w:r w:rsidR="001B7074" w:rsidRPr="0031706B">
        <w:rPr>
          <w:rFonts w:eastAsiaTheme="minorHAnsi" w:cstheme="minorHAnsi"/>
          <w:i/>
          <w:color w:val="1A1A1A"/>
          <w:sz w:val="24"/>
        </w:rPr>
        <w:lastRenderedPageBreak/>
        <w:t>on land’</w:t>
      </w:r>
      <w:r w:rsidR="001B7074" w:rsidRPr="0031706B">
        <w:rPr>
          <w:rFonts w:eastAsiaTheme="minorHAnsi" w:cstheme="minorHAnsi"/>
          <w:color w:val="1A1A1A"/>
          <w:sz w:val="24"/>
        </w:rPr>
        <w:t xml:space="preserve"> come out as the issues where preference is most varied (</w:t>
      </w:r>
      <w:proofErr w:type="spellStart"/>
      <w:r w:rsidR="001B7074" w:rsidRPr="0031706B">
        <w:rPr>
          <w:rFonts w:eastAsiaTheme="minorHAnsi" w:cstheme="minorHAnsi"/>
          <w:color w:val="1A1A1A"/>
          <w:sz w:val="24"/>
        </w:rPr>
        <w:t>var</w:t>
      </w:r>
      <w:proofErr w:type="spellEnd"/>
      <w:r w:rsidR="001B7074" w:rsidRPr="0031706B">
        <w:rPr>
          <w:rFonts w:eastAsiaTheme="minorHAnsi" w:cstheme="minorHAnsi"/>
          <w:color w:val="1A1A1A"/>
          <w:sz w:val="24"/>
        </w:rPr>
        <w:t xml:space="preserve"> ≥ 0.9).  </w:t>
      </w:r>
      <w:r w:rsidR="001B7074" w:rsidRPr="0031706B">
        <w:rPr>
          <w:rFonts w:eastAsiaTheme="minorHAnsi" w:cstheme="minorHAnsi"/>
          <w:i/>
          <w:color w:val="1A1A1A"/>
          <w:sz w:val="24"/>
        </w:rPr>
        <w:t xml:space="preserve">‘Home temperature’ </w:t>
      </w:r>
      <w:r w:rsidR="001B7074" w:rsidRPr="0031706B">
        <w:rPr>
          <w:rFonts w:eastAsiaTheme="minorHAnsi" w:cstheme="minorHAnsi"/>
          <w:color w:val="1A1A1A"/>
          <w:sz w:val="24"/>
        </w:rPr>
        <w:t xml:space="preserve">and </w:t>
      </w:r>
      <w:r w:rsidR="001B7074" w:rsidRPr="0031706B">
        <w:rPr>
          <w:rFonts w:eastAsiaTheme="minorHAnsi" w:cstheme="minorHAnsi"/>
          <w:i/>
          <w:color w:val="1A1A1A"/>
          <w:sz w:val="24"/>
        </w:rPr>
        <w:t>‘solar, marine and hydro’</w:t>
      </w:r>
      <w:r w:rsidR="001B7074" w:rsidRPr="0031706B">
        <w:rPr>
          <w:rFonts w:eastAsiaTheme="minorHAnsi" w:cstheme="minorHAnsi"/>
          <w:color w:val="1A1A1A"/>
          <w:sz w:val="24"/>
        </w:rPr>
        <w:t xml:space="preserve"> also vary strongly (</w:t>
      </w:r>
      <w:proofErr w:type="spellStart"/>
      <w:r w:rsidR="001B7074" w:rsidRPr="0031706B">
        <w:rPr>
          <w:rFonts w:eastAsiaTheme="minorHAnsi" w:cstheme="minorHAnsi"/>
          <w:color w:val="1A1A1A"/>
          <w:sz w:val="24"/>
        </w:rPr>
        <w:t>var</w:t>
      </w:r>
      <w:proofErr w:type="spellEnd"/>
      <w:r w:rsidR="001B7074" w:rsidRPr="0031706B">
        <w:rPr>
          <w:rFonts w:eastAsiaTheme="minorHAnsi" w:cstheme="minorHAnsi"/>
          <w:color w:val="1A1A1A"/>
          <w:sz w:val="24"/>
        </w:rPr>
        <w:t xml:space="preserve"> ≥ 0.85).</w:t>
      </w:r>
    </w:p>
    <w:p w14:paraId="10690C29" w14:textId="3A70347E" w:rsidR="00C86AAA" w:rsidRPr="0031706B" w:rsidRDefault="001B7074" w:rsidP="0032732C">
      <w:pPr>
        <w:spacing w:after="0" w:line="480" w:lineRule="auto"/>
        <w:rPr>
          <w:rFonts w:cstheme="minorHAnsi"/>
          <w:sz w:val="24"/>
        </w:rPr>
      </w:pPr>
      <w:r w:rsidRPr="0031706B">
        <w:rPr>
          <w:rFonts w:cstheme="minorHAnsi"/>
          <w:noProof/>
          <w:sz w:val="24"/>
          <w:lang w:val="en-GB" w:eastAsia="en-GB"/>
        </w:rPr>
        <w:drawing>
          <wp:inline distT="0" distB="0" distL="0" distR="0" wp14:anchorId="3B87EB8D" wp14:editId="1400ABBC">
            <wp:extent cx="6188710" cy="2640292"/>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2640292"/>
                    </a:xfrm>
                    <a:prstGeom prst="rect">
                      <a:avLst/>
                    </a:prstGeom>
                    <a:noFill/>
                    <a:ln>
                      <a:noFill/>
                    </a:ln>
                  </pic:spPr>
                </pic:pic>
              </a:graphicData>
            </a:graphic>
          </wp:inline>
        </w:drawing>
      </w:r>
    </w:p>
    <w:p w14:paraId="20A9B567" w14:textId="388F43B8" w:rsidR="004A6B5F" w:rsidRPr="0031706B" w:rsidRDefault="004A6B5F" w:rsidP="0032732C">
      <w:pPr>
        <w:spacing w:after="0" w:line="480" w:lineRule="auto"/>
        <w:rPr>
          <w:rFonts w:cstheme="minorHAnsi"/>
          <w:b/>
          <w:sz w:val="24"/>
        </w:rPr>
      </w:pPr>
      <w:r w:rsidRPr="0031706B">
        <w:rPr>
          <w:rFonts w:cstheme="minorHAnsi"/>
          <w:b/>
          <w:sz w:val="24"/>
        </w:rPr>
        <w:t>Figure 9: Variance of slider settings</w:t>
      </w:r>
    </w:p>
    <w:p w14:paraId="3E03F3A2" w14:textId="01961AC4" w:rsidR="008F120C" w:rsidRPr="0031706B" w:rsidRDefault="006544BC" w:rsidP="008F120C">
      <w:pPr>
        <w:spacing w:after="0" w:line="480" w:lineRule="auto"/>
        <w:rPr>
          <w:rFonts w:eastAsiaTheme="minorHAnsi" w:cstheme="minorHAnsi"/>
          <w:color w:val="1A1A1A"/>
          <w:sz w:val="24"/>
        </w:rPr>
      </w:pPr>
      <w:r w:rsidRPr="0031706B">
        <w:rPr>
          <w:rFonts w:cstheme="minorHAnsi"/>
          <w:sz w:val="24"/>
        </w:rPr>
        <w:t>To understand respondents’ overall preferences</w:t>
      </w:r>
      <w:r w:rsidR="00C80C7C" w:rsidRPr="0031706B">
        <w:rPr>
          <w:rFonts w:cstheme="minorHAnsi"/>
          <w:sz w:val="24"/>
        </w:rPr>
        <w:t xml:space="preserve"> when comparing across different energy issues</w:t>
      </w:r>
      <w:r w:rsidRPr="0031706B">
        <w:rPr>
          <w:rFonts w:cstheme="minorHAnsi"/>
          <w:sz w:val="24"/>
        </w:rPr>
        <w:t xml:space="preserve">, frequency-weighted means were calculated </w:t>
      </w:r>
      <w:r w:rsidR="00C80C7C" w:rsidRPr="0031706B">
        <w:rPr>
          <w:rFonts w:cstheme="minorHAnsi"/>
          <w:sz w:val="24"/>
        </w:rPr>
        <w:t xml:space="preserve">from all setting responses </w:t>
      </w:r>
      <w:r w:rsidRPr="0031706B">
        <w:rPr>
          <w:rFonts w:cstheme="minorHAnsi"/>
          <w:sz w:val="24"/>
        </w:rPr>
        <w:t>for each slider. This enabled a</w:t>
      </w:r>
      <w:r w:rsidR="00097B6F" w:rsidRPr="0031706B">
        <w:rPr>
          <w:rFonts w:cstheme="minorHAnsi"/>
          <w:sz w:val="24"/>
        </w:rPr>
        <w:t xml:space="preserve"> preference ranking for effort across all sliders </w:t>
      </w:r>
      <w:r w:rsidR="00C80C7C" w:rsidRPr="0031706B">
        <w:rPr>
          <w:rFonts w:cstheme="minorHAnsi"/>
          <w:sz w:val="24"/>
        </w:rPr>
        <w:t xml:space="preserve">as </w:t>
      </w:r>
      <w:r w:rsidR="00097B6F" w:rsidRPr="0031706B">
        <w:rPr>
          <w:rFonts w:cstheme="minorHAnsi"/>
          <w:sz w:val="24"/>
        </w:rPr>
        <w:t xml:space="preserve">illustrated in Figure </w:t>
      </w:r>
      <w:r w:rsidR="007A5BE0" w:rsidRPr="0031706B">
        <w:rPr>
          <w:rFonts w:cstheme="minorHAnsi"/>
          <w:sz w:val="24"/>
        </w:rPr>
        <w:t>10</w:t>
      </w:r>
      <w:r w:rsidR="00C80C7C" w:rsidRPr="0031706B">
        <w:rPr>
          <w:rFonts w:cstheme="minorHAnsi"/>
          <w:sz w:val="24"/>
        </w:rPr>
        <w:t xml:space="preserve">. </w:t>
      </w:r>
      <w:r w:rsidR="00097B6F" w:rsidRPr="0031706B">
        <w:rPr>
          <w:rFonts w:cstheme="minorHAnsi"/>
          <w:sz w:val="24"/>
        </w:rPr>
        <w:t xml:space="preserve">This shows the </w:t>
      </w:r>
      <w:r w:rsidR="00C80C7C" w:rsidRPr="0031706B">
        <w:rPr>
          <w:rFonts w:cstheme="minorHAnsi"/>
          <w:sz w:val="24"/>
        </w:rPr>
        <w:t xml:space="preserve">greater </w:t>
      </w:r>
      <w:r w:rsidR="00097B6F" w:rsidRPr="0031706B">
        <w:rPr>
          <w:rFonts w:cstheme="minorHAnsi"/>
          <w:sz w:val="24"/>
        </w:rPr>
        <w:t>preference for demand-side options, in particular for extensive energy efficiency improvements, and home and transport electrification.</w:t>
      </w:r>
      <w:r w:rsidR="008F120C" w:rsidRPr="0031706B">
        <w:rPr>
          <w:rFonts w:eastAsiaTheme="minorHAnsi" w:cstheme="minorHAnsi"/>
          <w:color w:val="1A1A1A"/>
          <w:sz w:val="24"/>
        </w:rPr>
        <w:t xml:space="preserve"> It is also of note that there are apparent differences in </w:t>
      </w:r>
      <w:r w:rsidR="009759B8" w:rsidRPr="0031706B">
        <w:rPr>
          <w:rFonts w:eastAsiaTheme="minorHAnsi" w:cstheme="minorHAnsi"/>
          <w:color w:val="1A1A1A"/>
          <w:sz w:val="24"/>
        </w:rPr>
        <w:t xml:space="preserve">expressed preference </w:t>
      </w:r>
      <w:r w:rsidR="008F120C" w:rsidRPr="0031706B">
        <w:rPr>
          <w:rFonts w:eastAsiaTheme="minorHAnsi" w:cstheme="minorHAnsi"/>
          <w:color w:val="1A1A1A"/>
          <w:sz w:val="24"/>
        </w:rPr>
        <w:t xml:space="preserve">with regard to where the burden of action lies.  </w:t>
      </w:r>
      <w:r w:rsidR="00E315E7" w:rsidRPr="0031706B">
        <w:rPr>
          <w:rFonts w:eastAsiaTheme="minorHAnsi" w:cstheme="minorHAnsi"/>
          <w:color w:val="1A1A1A"/>
          <w:sz w:val="24"/>
        </w:rPr>
        <w:t>That c</w:t>
      </w:r>
      <w:r w:rsidR="008F120C" w:rsidRPr="0031706B">
        <w:rPr>
          <w:rFonts w:eastAsiaTheme="minorHAnsi" w:cstheme="minorHAnsi"/>
          <w:color w:val="1A1A1A"/>
          <w:sz w:val="24"/>
        </w:rPr>
        <w:t xml:space="preserve">hanging </w:t>
      </w:r>
      <w:r w:rsidR="00BE7DEF" w:rsidRPr="0031706B">
        <w:rPr>
          <w:rFonts w:eastAsiaTheme="minorHAnsi" w:cstheme="minorHAnsi"/>
          <w:i/>
          <w:color w:val="1A1A1A"/>
          <w:sz w:val="24"/>
        </w:rPr>
        <w:t>‘</w:t>
      </w:r>
      <w:r w:rsidR="008F120C" w:rsidRPr="0031706B">
        <w:rPr>
          <w:rFonts w:eastAsiaTheme="minorHAnsi" w:cstheme="minorHAnsi"/>
          <w:i/>
          <w:color w:val="1A1A1A"/>
          <w:sz w:val="24"/>
        </w:rPr>
        <w:t>heating fuel</w:t>
      </w:r>
      <w:r w:rsidR="00BE7DEF" w:rsidRPr="0031706B">
        <w:rPr>
          <w:rFonts w:eastAsiaTheme="minorHAnsi" w:cstheme="minorHAnsi"/>
          <w:i/>
          <w:color w:val="1A1A1A"/>
          <w:sz w:val="24"/>
        </w:rPr>
        <w:t>’</w:t>
      </w:r>
      <w:r w:rsidR="008F120C" w:rsidRPr="0031706B">
        <w:rPr>
          <w:rFonts w:eastAsiaTheme="minorHAnsi" w:cstheme="minorHAnsi"/>
          <w:color w:val="1A1A1A"/>
          <w:sz w:val="24"/>
        </w:rPr>
        <w:t xml:space="preserve"> </w:t>
      </w:r>
      <w:r w:rsidR="00E315E7" w:rsidRPr="0031706B">
        <w:rPr>
          <w:rFonts w:eastAsiaTheme="minorHAnsi" w:cstheme="minorHAnsi"/>
          <w:color w:val="1A1A1A"/>
          <w:sz w:val="24"/>
        </w:rPr>
        <w:t>and</w:t>
      </w:r>
      <w:r w:rsidR="008F120C" w:rsidRPr="0031706B">
        <w:rPr>
          <w:rFonts w:eastAsiaTheme="minorHAnsi" w:cstheme="minorHAnsi"/>
          <w:color w:val="1A1A1A"/>
          <w:sz w:val="24"/>
        </w:rPr>
        <w:t xml:space="preserve"> </w:t>
      </w:r>
      <w:r w:rsidR="00BE7DEF" w:rsidRPr="0031706B">
        <w:rPr>
          <w:rFonts w:eastAsiaTheme="minorHAnsi" w:cstheme="minorHAnsi"/>
          <w:i/>
          <w:color w:val="1A1A1A"/>
          <w:sz w:val="24"/>
        </w:rPr>
        <w:t>‘</w:t>
      </w:r>
      <w:r w:rsidR="008F120C" w:rsidRPr="0031706B">
        <w:rPr>
          <w:rFonts w:eastAsiaTheme="minorHAnsi" w:cstheme="minorHAnsi"/>
          <w:i/>
          <w:color w:val="1A1A1A"/>
          <w:sz w:val="24"/>
        </w:rPr>
        <w:t>transport fuel</w:t>
      </w:r>
      <w:r w:rsidR="00BE7DEF" w:rsidRPr="0031706B">
        <w:rPr>
          <w:rFonts w:eastAsiaTheme="minorHAnsi" w:cstheme="minorHAnsi"/>
          <w:i/>
          <w:color w:val="1A1A1A"/>
          <w:sz w:val="24"/>
        </w:rPr>
        <w:t>’</w:t>
      </w:r>
      <w:r w:rsidR="008F120C" w:rsidRPr="0031706B">
        <w:rPr>
          <w:rFonts w:eastAsiaTheme="minorHAnsi" w:cstheme="minorHAnsi"/>
          <w:color w:val="1A1A1A"/>
          <w:sz w:val="24"/>
        </w:rPr>
        <w:t xml:space="preserve"> </w:t>
      </w:r>
      <w:r w:rsidR="00E315E7" w:rsidRPr="0031706B">
        <w:rPr>
          <w:rFonts w:eastAsiaTheme="minorHAnsi" w:cstheme="minorHAnsi"/>
          <w:color w:val="1A1A1A"/>
          <w:sz w:val="24"/>
        </w:rPr>
        <w:t xml:space="preserve">were </w:t>
      </w:r>
      <w:r w:rsidR="008F120C" w:rsidRPr="0031706B">
        <w:rPr>
          <w:rFonts w:eastAsiaTheme="minorHAnsi" w:cstheme="minorHAnsi"/>
          <w:color w:val="1A1A1A"/>
          <w:sz w:val="24"/>
        </w:rPr>
        <w:t xml:space="preserve">more popular than changing </w:t>
      </w:r>
      <w:r w:rsidR="00BE7DEF" w:rsidRPr="0031706B">
        <w:rPr>
          <w:rFonts w:eastAsiaTheme="minorHAnsi" w:cstheme="minorHAnsi"/>
          <w:i/>
          <w:color w:val="1A1A1A"/>
          <w:sz w:val="24"/>
        </w:rPr>
        <w:t>‘</w:t>
      </w:r>
      <w:r w:rsidR="00E315E7" w:rsidRPr="0031706B">
        <w:rPr>
          <w:rFonts w:eastAsiaTheme="minorHAnsi" w:cstheme="minorHAnsi"/>
          <w:i/>
          <w:color w:val="1A1A1A"/>
          <w:sz w:val="24"/>
        </w:rPr>
        <w:t>home temperature</w:t>
      </w:r>
      <w:r w:rsidR="00BE7DEF" w:rsidRPr="0031706B">
        <w:rPr>
          <w:rFonts w:eastAsiaTheme="minorHAnsi" w:cstheme="minorHAnsi"/>
          <w:i/>
          <w:color w:val="1A1A1A"/>
          <w:sz w:val="24"/>
        </w:rPr>
        <w:t>’</w:t>
      </w:r>
      <w:r w:rsidR="00E315E7" w:rsidRPr="0031706B">
        <w:rPr>
          <w:rFonts w:eastAsiaTheme="minorHAnsi" w:cstheme="minorHAnsi"/>
          <w:color w:val="1A1A1A"/>
          <w:sz w:val="24"/>
        </w:rPr>
        <w:t xml:space="preserve"> and </w:t>
      </w:r>
      <w:r w:rsidR="00BE7DEF" w:rsidRPr="0031706B">
        <w:rPr>
          <w:rFonts w:eastAsiaTheme="minorHAnsi" w:cstheme="minorHAnsi"/>
          <w:i/>
          <w:color w:val="1A1A1A"/>
          <w:sz w:val="24"/>
        </w:rPr>
        <w:t>‘</w:t>
      </w:r>
      <w:r w:rsidR="008F120C" w:rsidRPr="0031706B">
        <w:rPr>
          <w:rFonts w:eastAsiaTheme="minorHAnsi" w:cstheme="minorHAnsi"/>
          <w:i/>
          <w:color w:val="1A1A1A"/>
          <w:sz w:val="24"/>
        </w:rPr>
        <w:t>how we travel</w:t>
      </w:r>
      <w:r w:rsidR="00BE7DEF" w:rsidRPr="0031706B">
        <w:rPr>
          <w:rFonts w:eastAsiaTheme="minorHAnsi" w:cstheme="minorHAnsi"/>
          <w:i/>
          <w:color w:val="1A1A1A"/>
          <w:sz w:val="24"/>
        </w:rPr>
        <w:t>’</w:t>
      </w:r>
      <w:r w:rsidR="008F120C" w:rsidRPr="0031706B">
        <w:rPr>
          <w:rFonts w:eastAsiaTheme="minorHAnsi" w:cstheme="minorHAnsi"/>
          <w:color w:val="1A1A1A"/>
          <w:sz w:val="24"/>
        </w:rPr>
        <w:t xml:space="preserve"> suggests a tendency for participants to support wider change across society, rather than actions that they might more closely relate to on a personal level.</w:t>
      </w:r>
    </w:p>
    <w:p w14:paraId="5EF06728" w14:textId="0ED4DC7D" w:rsidR="00097B6F" w:rsidRPr="0031706B" w:rsidRDefault="00097B6F" w:rsidP="0032732C">
      <w:pPr>
        <w:spacing w:after="0" w:line="480" w:lineRule="auto"/>
        <w:rPr>
          <w:rFonts w:cstheme="minorHAnsi"/>
          <w:sz w:val="24"/>
        </w:rPr>
      </w:pPr>
    </w:p>
    <w:p w14:paraId="47B2470B" w14:textId="02A3CE5E" w:rsidR="00097B6F" w:rsidRPr="0031706B" w:rsidRDefault="009231FA" w:rsidP="0032732C">
      <w:pPr>
        <w:spacing w:after="0" w:line="480" w:lineRule="auto"/>
        <w:rPr>
          <w:rFonts w:cstheme="minorHAnsi"/>
          <w:sz w:val="24"/>
        </w:rPr>
      </w:pPr>
      <w:r w:rsidRPr="0031706B">
        <w:rPr>
          <w:noProof/>
          <w:lang w:val="en-GB" w:eastAsia="en-GB"/>
        </w:rPr>
        <w:lastRenderedPageBreak/>
        <w:drawing>
          <wp:inline distT="0" distB="0" distL="0" distR="0" wp14:anchorId="68115F42" wp14:editId="55687988">
            <wp:extent cx="5400040" cy="398315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5C3ED9" w14:textId="3066BF05" w:rsidR="00097B6F" w:rsidRPr="0031706B" w:rsidRDefault="00097B6F" w:rsidP="0032732C">
      <w:pPr>
        <w:pStyle w:val="Caption"/>
        <w:spacing w:after="0" w:line="480" w:lineRule="auto"/>
        <w:rPr>
          <w:rFonts w:cstheme="minorHAnsi"/>
          <w:sz w:val="24"/>
          <w:szCs w:val="24"/>
        </w:rPr>
      </w:pPr>
      <w:bookmarkStart w:id="26" w:name="_Ref189138811"/>
      <w:bookmarkStart w:id="27" w:name="_Toc193708866"/>
      <w:r w:rsidRPr="0031706B">
        <w:rPr>
          <w:rFonts w:cstheme="minorHAnsi"/>
          <w:sz w:val="24"/>
          <w:szCs w:val="24"/>
        </w:rPr>
        <w:t xml:space="preserve">Figure </w:t>
      </w:r>
      <w:bookmarkEnd w:id="26"/>
      <w:r w:rsidR="007A5BE0" w:rsidRPr="0031706B">
        <w:rPr>
          <w:rFonts w:cstheme="minorHAnsi"/>
          <w:sz w:val="24"/>
          <w:szCs w:val="24"/>
        </w:rPr>
        <w:t>10</w:t>
      </w:r>
      <w:r w:rsidR="00E25549" w:rsidRPr="0031706B">
        <w:rPr>
          <w:rFonts w:cstheme="minorHAnsi"/>
          <w:sz w:val="24"/>
          <w:szCs w:val="24"/>
        </w:rPr>
        <w:t xml:space="preserve"> </w:t>
      </w:r>
      <w:r w:rsidRPr="0031706B">
        <w:rPr>
          <w:rFonts w:cstheme="minorHAnsi"/>
          <w:sz w:val="24"/>
          <w:szCs w:val="24"/>
        </w:rPr>
        <w:t>– Preference ranking for effort: all sliders</w:t>
      </w:r>
      <w:bookmarkEnd w:id="27"/>
      <w:r w:rsidRPr="0031706B">
        <w:rPr>
          <w:rFonts w:cstheme="minorHAnsi"/>
          <w:sz w:val="24"/>
          <w:szCs w:val="24"/>
        </w:rPr>
        <w:t xml:space="preserve"> </w:t>
      </w:r>
    </w:p>
    <w:p w14:paraId="3956A4D3" w14:textId="174E0560" w:rsidR="00EE1C99" w:rsidRPr="0031706B" w:rsidRDefault="00FA6B1B" w:rsidP="0032732C">
      <w:pPr>
        <w:pStyle w:val="Heading3"/>
        <w:spacing w:before="0" w:line="480" w:lineRule="auto"/>
        <w:rPr>
          <w:rFonts w:asciiTheme="minorHAnsi" w:hAnsiTheme="minorHAnsi" w:cstheme="minorHAnsi"/>
          <w:color w:val="auto"/>
          <w:sz w:val="24"/>
        </w:rPr>
      </w:pPr>
      <w:bookmarkStart w:id="28" w:name="_Toc193708811"/>
      <w:r w:rsidRPr="0031706B">
        <w:rPr>
          <w:rFonts w:asciiTheme="minorHAnsi" w:hAnsiTheme="minorHAnsi" w:cstheme="minorHAnsi"/>
          <w:color w:val="auto"/>
          <w:sz w:val="24"/>
        </w:rPr>
        <w:t>4.</w:t>
      </w:r>
      <w:r w:rsidR="005F3507" w:rsidRPr="0031706B">
        <w:rPr>
          <w:rFonts w:asciiTheme="minorHAnsi" w:hAnsiTheme="minorHAnsi" w:cstheme="minorHAnsi"/>
          <w:color w:val="auto"/>
          <w:sz w:val="24"/>
        </w:rPr>
        <w:t>6</w:t>
      </w:r>
      <w:r w:rsidRPr="0031706B">
        <w:rPr>
          <w:rFonts w:asciiTheme="minorHAnsi" w:hAnsiTheme="minorHAnsi" w:cstheme="minorHAnsi"/>
          <w:color w:val="auto"/>
          <w:sz w:val="24"/>
        </w:rPr>
        <w:t xml:space="preserve"> </w:t>
      </w:r>
      <w:r w:rsidR="00EE1C99" w:rsidRPr="0031706B">
        <w:rPr>
          <w:rFonts w:asciiTheme="minorHAnsi" w:hAnsiTheme="minorHAnsi" w:cstheme="minorHAnsi"/>
          <w:color w:val="auto"/>
          <w:sz w:val="24"/>
        </w:rPr>
        <w:t>Popular pathway summary</w:t>
      </w:r>
    </w:p>
    <w:p w14:paraId="0247CE04" w14:textId="264119F8" w:rsidR="00EE1C99" w:rsidRPr="0031706B" w:rsidRDefault="00EE1C99" w:rsidP="005D61AB">
      <w:pPr>
        <w:spacing w:after="0" w:line="480" w:lineRule="auto"/>
        <w:rPr>
          <w:rFonts w:eastAsiaTheme="minorHAnsi" w:cstheme="minorHAnsi"/>
          <w:color w:val="1A1A1A"/>
          <w:sz w:val="24"/>
        </w:rPr>
      </w:pPr>
      <w:r w:rsidRPr="0031706B">
        <w:rPr>
          <w:rFonts w:eastAsiaTheme="minorHAnsi" w:cstheme="minorHAnsi"/>
          <w:color w:val="1A1A1A"/>
          <w:sz w:val="24"/>
        </w:rPr>
        <w:t>Initial examination of the data has illustrated that</w:t>
      </w:r>
      <w:r w:rsidR="00E10D48" w:rsidRPr="0031706B">
        <w:rPr>
          <w:rFonts w:eastAsiaTheme="minorHAnsi" w:cstheme="minorHAnsi"/>
          <w:color w:val="1A1A1A"/>
          <w:sz w:val="24"/>
        </w:rPr>
        <w:t>, while 85.4% of responses were unique,</w:t>
      </w:r>
      <w:r w:rsidRPr="0031706B">
        <w:rPr>
          <w:rFonts w:eastAsiaTheme="minorHAnsi" w:cstheme="minorHAnsi"/>
          <w:color w:val="1A1A1A"/>
          <w:sz w:val="24"/>
        </w:rPr>
        <w:t xml:space="preserve"> a preferred pathway can be constructed from modal settings for each option</w:t>
      </w:r>
      <w:r w:rsidR="000658FC" w:rsidRPr="0031706B">
        <w:rPr>
          <w:rFonts w:eastAsiaTheme="minorHAnsi" w:cstheme="minorHAnsi"/>
          <w:color w:val="1A1A1A"/>
          <w:sz w:val="24"/>
        </w:rPr>
        <w:t xml:space="preserve">, as illustrated in </w:t>
      </w:r>
      <w:r w:rsidR="00570263" w:rsidRPr="0031706B">
        <w:rPr>
          <w:rFonts w:eastAsiaTheme="minorHAnsi" w:cstheme="minorHAnsi"/>
          <w:color w:val="1A1A1A"/>
          <w:sz w:val="24"/>
        </w:rPr>
        <w:t>Table 3</w:t>
      </w:r>
      <w:r w:rsidR="000658FC" w:rsidRPr="0031706B">
        <w:rPr>
          <w:rFonts w:eastAsiaTheme="minorHAnsi" w:cstheme="minorHAnsi"/>
          <w:color w:val="1A1A1A"/>
          <w:sz w:val="24"/>
        </w:rPr>
        <w:t xml:space="preserve">. </w:t>
      </w:r>
      <w:r w:rsidR="00205B8A" w:rsidRPr="0031706B">
        <w:rPr>
          <w:rFonts w:eastAsiaTheme="minorHAnsi" w:cstheme="minorHAnsi"/>
          <w:color w:val="1A1A1A"/>
          <w:sz w:val="24"/>
        </w:rPr>
        <w:t>For each slider, the modal choice was significantly different to the second most popular choice</w:t>
      </w:r>
      <w:r w:rsidR="00205B8A" w:rsidRPr="0031706B">
        <w:rPr>
          <w:rStyle w:val="EndnoteReference"/>
          <w:rFonts w:eastAsiaTheme="minorHAnsi" w:cstheme="minorHAnsi"/>
          <w:color w:val="1A1A1A"/>
          <w:sz w:val="24"/>
        </w:rPr>
        <w:endnoteReference w:id="9"/>
      </w:r>
      <w:r w:rsidR="00205B8A" w:rsidRPr="0031706B">
        <w:rPr>
          <w:rFonts w:eastAsiaTheme="minorHAnsi" w:cstheme="minorHAnsi"/>
          <w:color w:val="1A1A1A"/>
          <w:sz w:val="24"/>
        </w:rPr>
        <w:t xml:space="preserve">. </w:t>
      </w:r>
      <w:r w:rsidR="00FA4C1D" w:rsidRPr="0031706B">
        <w:rPr>
          <w:rFonts w:eastAsiaTheme="minorHAnsi" w:cstheme="minorHAnsi"/>
          <w:color w:val="1A1A1A"/>
          <w:sz w:val="24"/>
        </w:rPr>
        <w:t>In this constructed preferred pathway, h</w:t>
      </w:r>
      <w:r w:rsidR="00216088" w:rsidRPr="0031706B">
        <w:rPr>
          <w:rFonts w:eastAsiaTheme="minorHAnsi" w:cstheme="minorHAnsi"/>
          <w:color w:val="1A1A1A"/>
          <w:sz w:val="24"/>
        </w:rPr>
        <w:t xml:space="preserve">igher effort for demand-side options was chosen when compared with supply options. When </w:t>
      </w:r>
      <w:r w:rsidR="00C42588" w:rsidRPr="0031706B">
        <w:rPr>
          <w:rFonts w:eastAsiaTheme="minorHAnsi" w:cstheme="minorHAnsi"/>
          <w:color w:val="1A1A1A"/>
          <w:sz w:val="24"/>
        </w:rPr>
        <w:t xml:space="preserve">considering the second most popular </w:t>
      </w:r>
      <w:r w:rsidR="00216088" w:rsidRPr="0031706B">
        <w:rPr>
          <w:rFonts w:eastAsiaTheme="minorHAnsi" w:cstheme="minorHAnsi"/>
          <w:color w:val="1A1A1A"/>
          <w:sz w:val="24"/>
        </w:rPr>
        <w:t xml:space="preserve">response for each option, </w:t>
      </w:r>
      <w:r w:rsidR="00C42588" w:rsidRPr="0031706B">
        <w:rPr>
          <w:rFonts w:eastAsiaTheme="minorHAnsi" w:cstheme="minorHAnsi"/>
          <w:color w:val="1A1A1A"/>
          <w:sz w:val="24"/>
        </w:rPr>
        <w:t xml:space="preserve">this was </w:t>
      </w:r>
      <w:r w:rsidR="00107017" w:rsidRPr="0031706B">
        <w:rPr>
          <w:rFonts w:eastAsiaTheme="minorHAnsi" w:cstheme="minorHAnsi"/>
          <w:color w:val="1A1A1A"/>
          <w:sz w:val="24"/>
        </w:rPr>
        <w:t xml:space="preserve">always </w:t>
      </w:r>
      <w:r w:rsidR="00C42588" w:rsidRPr="0031706B">
        <w:rPr>
          <w:rFonts w:eastAsiaTheme="minorHAnsi" w:cstheme="minorHAnsi"/>
          <w:color w:val="1A1A1A"/>
          <w:sz w:val="24"/>
        </w:rPr>
        <w:t>found to</w:t>
      </w:r>
      <w:r w:rsidR="00216088" w:rsidRPr="0031706B">
        <w:rPr>
          <w:rFonts w:eastAsiaTheme="minorHAnsi" w:cstheme="minorHAnsi"/>
          <w:color w:val="1A1A1A"/>
          <w:sz w:val="24"/>
        </w:rPr>
        <w:t xml:space="preserve"> </w:t>
      </w:r>
      <w:r w:rsidR="00C42588" w:rsidRPr="0031706B">
        <w:rPr>
          <w:rFonts w:eastAsiaTheme="minorHAnsi" w:cstheme="minorHAnsi"/>
          <w:color w:val="1A1A1A"/>
          <w:sz w:val="24"/>
        </w:rPr>
        <w:t xml:space="preserve">be </w:t>
      </w:r>
      <w:r w:rsidR="00216088" w:rsidRPr="0031706B">
        <w:rPr>
          <w:rFonts w:eastAsiaTheme="minorHAnsi" w:cstheme="minorHAnsi"/>
          <w:color w:val="1A1A1A"/>
          <w:sz w:val="24"/>
        </w:rPr>
        <w:t>adjacent to the most popular setting choice</w:t>
      </w:r>
      <w:r w:rsidR="00C42588" w:rsidRPr="0031706B">
        <w:rPr>
          <w:rFonts w:eastAsiaTheme="minorHAnsi" w:cstheme="minorHAnsi"/>
          <w:color w:val="1A1A1A"/>
          <w:sz w:val="24"/>
        </w:rPr>
        <w:t xml:space="preserve"> (e.g. if the modal selection was 3, then the second most po</w:t>
      </w:r>
      <w:r w:rsidR="00205B8A" w:rsidRPr="0031706B">
        <w:rPr>
          <w:rFonts w:eastAsiaTheme="minorHAnsi" w:cstheme="minorHAnsi"/>
          <w:color w:val="1A1A1A"/>
          <w:sz w:val="24"/>
        </w:rPr>
        <w:t>p</w:t>
      </w:r>
      <w:r w:rsidR="00C42588" w:rsidRPr="0031706B">
        <w:rPr>
          <w:rFonts w:eastAsiaTheme="minorHAnsi" w:cstheme="minorHAnsi"/>
          <w:color w:val="1A1A1A"/>
          <w:sz w:val="24"/>
        </w:rPr>
        <w:t xml:space="preserve">ular choice was always 2 or 4 rather than 1).  </w:t>
      </w:r>
      <w:proofErr w:type="gramStart"/>
      <w:r w:rsidR="00C42588" w:rsidRPr="0031706B">
        <w:rPr>
          <w:rFonts w:eastAsiaTheme="minorHAnsi" w:cstheme="minorHAnsi"/>
          <w:color w:val="1A1A1A"/>
          <w:sz w:val="24"/>
        </w:rPr>
        <w:t xml:space="preserve">This </w:t>
      </w:r>
      <w:r w:rsidR="00216088" w:rsidRPr="0031706B">
        <w:rPr>
          <w:rFonts w:eastAsiaTheme="minorHAnsi" w:cstheme="minorHAnsi"/>
          <w:color w:val="1A1A1A"/>
          <w:sz w:val="24"/>
        </w:rPr>
        <w:t xml:space="preserve"> suggest</w:t>
      </w:r>
      <w:r w:rsidR="00C42588" w:rsidRPr="0031706B">
        <w:rPr>
          <w:rFonts w:eastAsiaTheme="minorHAnsi" w:cstheme="minorHAnsi"/>
          <w:color w:val="1A1A1A"/>
          <w:sz w:val="24"/>
        </w:rPr>
        <w:t>s</w:t>
      </w:r>
      <w:proofErr w:type="gramEnd"/>
      <w:r w:rsidR="00216088" w:rsidRPr="0031706B">
        <w:rPr>
          <w:rFonts w:eastAsiaTheme="minorHAnsi" w:cstheme="minorHAnsi"/>
          <w:color w:val="1A1A1A"/>
          <w:sz w:val="24"/>
        </w:rPr>
        <w:t xml:space="preserve"> that there is some homogeneity in responses</w:t>
      </w:r>
      <w:r w:rsidR="00C42588" w:rsidRPr="0031706B">
        <w:rPr>
          <w:rFonts w:eastAsiaTheme="minorHAnsi" w:cstheme="minorHAnsi"/>
          <w:color w:val="1A1A1A"/>
          <w:sz w:val="24"/>
        </w:rPr>
        <w:t>, even where there was greater variation in the selections</w:t>
      </w:r>
      <w:r w:rsidR="00216088" w:rsidRPr="0031706B">
        <w:rPr>
          <w:rFonts w:eastAsiaTheme="minorHAnsi" w:cstheme="minorHAnsi"/>
          <w:color w:val="1A1A1A"/>
          <w:sz w:val="24"/>
        </w:rPr>
        <w:t>.</w:t>
      </w:r>
    </w:p>
    <w:p w14:paraId="18F8629A" w14:textId="77777777" w:rsidR="00C5678D" w:rsidRPr="0031706B" w:rsidRDefault="00C5678D" w:rsidP="005D61AB">
      <w:pPr>
        <w:spacing w:after="0" w:line="480" w:lineRule="auto"/>
        <w:rPr>
          <w:rFonts w:eastAsiaTheme="minorHAnsi" w:cstheme="minorHAnsi"/>
          <w:color w:val="1A1A1A"/>
          <w:sz w:val="24"/>
        </w:rPr>
      </w:pPr>
    </w:p>
    <w:p w14:paraId="1AD6FFAC" w14:textId="495C77CF" w:rsidR="00C5678D" w:rsidRPr="0031706B" w:rsidRDefault="00FA6B1B" w:rsidP="00C5678D">
      <w:pPr>
        <w:pStyle w:val="Heading3"/>
        <w:spacing w:before="0" w:line="480" w:lineRule="auto"/>
        <w:rPr>
          <w:rFonts w:asciiTheme="minorHAnsi" w:hAnsiTheme="minorHAnsi" w:cstheme="minorHAnsi"/>
          <w:color w:val="auto"/>
          <w:sz w:val="24"/>
        </w:rPr>
      </w:pPr>
      <w:r w:rsidRPr="0031706B">
        <w:rPr>
          <w:rFonts w:asciiTheme="minorHAnsi" w:hAnsiTheme="minorHAnsi" w:cstheme="minorHAnsi"/>
          <w:color w:val="auto"/>
          <w:sz w:val="24"/>
        </w:rPr>
        <w:lastRenderedPageBreak/>
        <w:t>4.</w:t>
      </w:r>
      <w:r w:rsidR="005F3507" w:rsidRPr="0031706B">
        <w:rPr>
          <w:rFonts w:asciiTheme="minorHAnsi" w:hAnsiTheme="minorHAnsi" w:cstheme="minorHAnsi"/>
          <w:color w:val="auto"/>
          <w:sz w:val="24"/>
        </w:rPr>
        <w:t>7</w:t>
      </w:r>
      <w:r w:rsidRPr="0031706B">
        <w:rPr>
          <w:rFonts w:asciiTheme="minorHAnsi" w:hAnsiTheme="minorHAnsi" w:cstheme="minorHAnsi"/>
          <w:color w:val="auto"/>
          <w:sz w:val="24"/>
        </w:rPr>
        <w:t xml:space="preserve"> </w:t>
      </w:r>
      <w:r w:rsidR="00C5678D" w:rsidRPr="0031706B">
        <w:rPr>
          <w:rFonts w:asciiTheme="minorHAnsi" w:hAnsiTheme="minorHAnsi" w:cstheme="minorHAnsi"/>
          <w:color w:val="auto"/>
          <w:sz w:val="24"/>
        </w:rPr>
        <w:t>Pathway patterns for sub-groups of respondents</w:t>
      </w:r>
    </w:p>
    <w:p w14:paraId="451B1E89" w14:textId="77777777" w:rsidR="00C5678D" w:rsidRPr="0031706B" w:rsidRDefault="00C5678D" w:rsidP="00C5678D">
      <w:pPr>
        <w:spacing w:after="0" w:line="480" w:lineRule="auto"/>
        <w:rPr>
          <w:rFonts w:cstheme="minorHAnsi"/>
          <w:sz w:val="24"/>
        </w:rPr>
      </w:pPr>
      <w:r w:rsidRPr="0031706B">
        <w:rPr>
          <w:rFonts w:cstheme="minorHAnsi"/>
          <w:sz w:val="24"/>
        </w:rPr>
        <w:t xml:space="preserve">Sub-groups within the sample were </w:t>
      </w:r>
      <w:proofErr w:type="spellStart"/>
      <w:r w:rsidRPr="0031706B">
        <w:rPr>
          <w:rFonts w:cstheme="minorHAnsi"/>
          <w:sz w:val="24"/>
        </w:rPr>
        <w:t>analysed</w:t>
      </w:r>
      <w:proofErr w:type="spellEnd"/>
      <w:r w:rsidRPr="0031706B">
        <w:rPr>
          <w:rFonts w:cstheme="minorHAnsi"/>
          <w:sz w:val="24"/>
        </w:rPr>
        <w:t xml:space="preserve"> to explore underlying trends. Sub-groups were </w:t>
      </w:r>
      <w:proofErr w:type="spellStart"/>
      <w:r w:rsidRPr="0031706B">
        <w:rPr>
          <w:rFonts w:cstheme="minorHAnsi"/>
          <w:sz w:val="24"/>
        </w:rPr>
        <w:t>analysed</w:t>
      </w:r>
      <w:proofErr w:type="spellEnd"/>
      <w:r w:rsidRPr="0031706B">
        <w:rPr>
          <w:rFonts w:cstheme="minorHAnsi"/>
          <w:sz w:val="24"/>
        </w:rPr>
        <w:t xml:space="preserve"> where respondents:</w:t>
      </w:r>
    </w:p>
    <w:p w14:paraId="3C6F3853" w14:textId="77777777" w:rsidR="00C5678D" w:rsidRPr="0031706B" w:rsidRDefault="00C5678D" w:rsidP="00C5678D">
      <w:pPr>
        <w:pStyle w:val="ListParagraph"/>
        <w:numPr>
          <w:ilvl w:val="0"/>
          <w:numId w:val="26"/>
        </w:numPr>
        <w:spacing w:line="480" w:lineRule="auto"/>
        <w:contextualSpacing w:val="0"/>
        <w:rPr>
          <w:rFonts w:asciiTheme="minorHAnsi" w:hAnsiTheme="minorHAnsi" w:cstheme="minorHAnsi"/>
        </w:rPr>
      </w:pPr>
      <w:r w:rsidRPr="0031706B">
        <w:rPr>
          <w:rFonts w:asciiTheme="minorHAnsi" w:hAnsiTheme="minorHAnsi" w:cstheme="minorHAnsi"/>
        </w:rPr>
        <w:t>belonged to different demographic groups (age, region, and type of location)</w:t>
      </w:r>
    </w:p>
    <w:p w14:paraId="11D097BB" w14:textId="77777777" w:rsidR="00C5678D" w:rsidRPr="0031706B" w:rsidRDefault="00C5678D" w:rsidP="00C5678D">
      <w:pPr>
        <w:pStyle w:val="ListParagraph"/>
        <w:numPr>
          <w:ilvl w:val="0"/>
          <w:numId w:val="26"/>
        </w:numPr>
        <w:spacing w:line="480" w:lineRule="auto"/>
        <w:contextualSpacing w:val="0"/>
        <w:rPr>
          <w:rFonts w:asciiTheme="minorHAnsi" w:hAnsiTheme="minorHAnsi" w:cstheme="minorHAnsi"/>
        </w:rPr>
      </w:pPr>
      <w:r w:rsidRPr="0031706B">
        <w:rPr>
          <w:rFonts w:asciiTheme="minorHAnsi" w:hAnsiTheme="minorHAnsi" w:cstheme="minorHAnsi"/>
        </w:rPr>
        <w:t xml:space="preserve">took five minutes or less to make their choices </w:t>
      </w:r>
    </w:p>
    <w:p w14:paraId="0A5990AB" w14:textId="77777777" w:rsidR="00C5678D" w:rsidRPr="0031706B" w:rsidRDefault="00C5678D" w:rsidP="00C5678D">
      <w:pPr>
        <w:pStyle w:val="ListParagraph"/>
        <w:numPr>
          <w:ilvl w:val="0"/>
          <w:numId w:val="26"/>
        </w:numPr>
        <w:spacing w:line="480" w:lineRule="auto"/>
        <w:contextualSpacing w:val="0"/>
        <w:rPr>
          <w:rFonts w:asciiTheme="minorHAnsi" w:hAnsiTheme="minorHAnsi" w:cstheme="minorHAnsi"/>
        </w:rPr>
      </w:pPr>
      <w:r w:rsidRPr="0031706B">
        <w:rPr>
          <w:rFonts w:asciiTheme="minorHAnsi" w:hAnsiTheme="minorHAnsi" w:cstheme="minorHAnsi"/>
        </w:rPr>
        <w:t xml:space="preserve">took over one hour to make their choices </w:t>
      </w:r>
    </w:p>
    <w:p w14:paraId="290F9849" w14:textId="77777777" w:rsidR="00C5678D" w:rsidRPr="0031706B" w:rsidRDefault="00C5678D" w:rsidP="00C5678D">
      <w:pPr>
        <w:pStyle w:val="ListParagraph"/>
        <w:numPr>
          <w:ilvl w:val="0"/>
          <w:numId w:val="26"/>
        </w:numPr>
        <w:spacing w:line="480" w:lineRule="auto"/>
        <w:contextualSpacing w:val="0"/>
        <w:rPr>
          <w:rFonts w:asciiTheme="minorHAnsi" w:hAnsiTheme="minorHAnsi" w:cstheme="minorHAnsi"/>
        </w:rPr>
      </w:pPr>
      <w:r w:rsidRPr="0031706B">
        <w:rPr>
          <w:rFonts w:asciiTheme="minorHAnsi" w:hAnsiTheme="minorHAnsi" w:cstheme="minorHAnsi"/>
        </w:rPr>
        <w:t xml:space="preserve">achieved ninety-five percent or more carbon reduction </w:t>
      </w:r>
    </w:p>
    <w:p w14:paraId="5651E9C8" w14:textId="77777777" w:rsidR="00C5678D" w:rsidRPr="0031706B" w:rsidRDefault="00C5678D" w:rsidP="00C5678D">
      <w:pPr>
        <w:pStyle w:val="ListParagraph"/>
        <w:numPr>
          <w:ilvl w:val="0"/>
          <w:numId w:val="26"/>
        </w:numPr>
        <w:spacing w:line="480" w:lineRule="auto"/>
        <w:contextualSpacing w:val="0"/>
        <w:rPr>
          <w:rFonts w:asciiTheme="minorHAnsi" w:hAnsiTheme="minorHAnsi" w:cstheme="minorHAnsi"/>
        </w:rPr>
      </w:pPr>
      <w:proofErr w:type="spellStart"/>
      <w:proofErr w:type="gramStart"/>
      <w:r w:rsidRPr="0031706B">
        <w:rPr>
          <w:rFonts w:asciiTheme="minorHAnsi" w:hAnsiTheme="minorHAnsi" w:cstheme="minorHAnsi"/>
        </w:rPr>
        <w:t>were</w:t>
      </w:r>
      <w:proofErr w:type="spellEnd"/>
      <w:proofErr w:type="gramEnd"/>
      <w:r w:rsidRPr="0031706B">
        <w:rPr>
          <w:rFonts w:asciiTheme="minorHAnsi" w:hAnsiTheme="minorHAnsi" w:cstheme="minorHAnsi"/>
        </w:rPr>
        <w:t xml:space="preserve"> not concerned about climate change.</w:t>
      </w:r>
    </w:p>
    <w:p w14:paraId="1F827F84" w14:textId="77777777" w:rsidR="00C5678D" w:rsidRPr="0031706B" w:rsidRDefault="00C5678D" w:rsidP="00C5678D">
      <w:pPr>
        <w:pStyle w:val="ListParagraph"/>
        <w:spacing w:line="480" w:lineRule="auto"/>
        <w:contextualSpacing w:val="0"/>
        <w:rPr>
          <w:rFonts w:asciiTheme="minorHAnsi" w:hAnsiTheme="minorHAnsi" w:cstheme="minorHAnsi"/>
        </w:rPr>
      </w:pPr>
    </w:p>
    <w:p w14:paraId="6C62A6F8" w14:textId="6A335D53" w:rsidR="00C5678D" w:rsidRPr="0031706B" w:rsidRDefault="00C5678D" w:rsidP="00C5678D">
      <w:pPr>
        <w:spacing w:after="0" w:line="480" w:lineRule="auto"/>
        <w:rPr>
          <w:rFonts w:cstheme="minorHAnsi"/>
          <w:sz w:val="24"/>
        </w:rPr>
      </w:pPr>
      <w:r w:rsidRPr="0031706B">
        <w:rPr>
          <w:rFonts w:cstheme="minorHAnsi"/>
          <w:sz w:val="24"/>
        </w:rPr>
        <w:t>This sub-group analysis revealed that participants under</w:t>
      </w:r>
      <w:r w:rsidR="00C80C7C" w:rsidRPr="0031706B">
        <w:rPr>
          <w:rFonts w:cstheme="minorHAnsi"/>
          <w:sz w:val="24"/>
        </w:rPr>
        <w:t xml:space="preserve"> </w:t>
      </w:r>
      <w:r w:rsidRPr="0031706B">
        <w:rPr>
          <w:rFonts w:cstheme="minorHAnsi"/>
          <w:sz w:val="24"/>
        </w:rPr>
        <w:t>18 and over</w:t>
      </w:r>
      <w:r w:rsidR="00C80C7C" w:rsidRPr="0031706B">
        <w:rPr>
          <w:rFonts w:cstheme="minorHAnsi"/>
          <w:sz w:val="24"/>
        </w:rPr>
        <w:t xml:space="preserve"> </w:t>
      </w:r>
      <w:r w:rsidRPr="0031706B">
        <w:rPr>
          <w:rFonts w:cstheme="minorHAnsi"/>
          <w:sz w:val="24"/>
        </w:rPr>
        <w:t>65 chose greater effort levels for most sliders. Responses from people taking over an hour to make their choices were very similar to responses from the whole sample. All other sub-groups demonstrated a greater preference for more extreme effort levels (both high and low). In some sub-groups the second most popular setting was not adjacent to the most popular setting, suggesting choices for some sliders should be considered heterogeneous</w:t>
      </w:r>
      <w:r w:rsidRPr="0031706B">
        <w:rPr>
          <w:rStyle w:val="EndnoteReference"/>
          <w:rFonts w:cstheme="minorHAnsi"/>
          <w:sz w:val="24"/>
        </w:rPr>
        <w:endnoteReference w:id="10"/>
      </w:r>
      <w:r w:rsidR="00C42588" w:rsidRPr="0031706B">
        <w:rPr>
          <w:rFonts w:cstheme="minorHAnsi"/>
          <w:sz w:val="24"/>
        </w:rPr>
        <w:t xml:space="preserve"> and that opinion was considerably more divided over them</w:t>
      </w:r>
      <w:r w:rsidRPr="0031706B">
        <w:rPr>
          <w:rFonts w:cstheme="minorHAnsi"/>
          <w:sz w:val="24"/>
        </w:rPr>
        <w:t>.</w:t>
      </w:r>
    </w:p>
    <w:p w14:paraId="1FAC64E4" w14:textId="77777777" w:rsidR="00C5678D" w:rsidRPr="0031706B" w:rsidRDefault="00C5678D" w:rsidP="00C5678D">
      <w:pPr>
        <w:spacing w:after="0" w:line="480" w:lineRule="auto"/>
      </w:pPr>
      <w:r w:rsidRPr="0031706B">
        <w:t xml:space="preserve">   </w:t>
      </w:r>
    </w:p>
    <w:p w14:paraId="33A74EC7" w14:textId="790FDD00" w:rsidR="00C5678D" w:rsidRPr="0031706B" w:rsidRDefault="00C5678D" w:rsidP="00C5678D">
      <w:pPr>
        <w:spacing w:after="0" w:line="480" w:lineRule="auto"/>
        <w:rPr>
          <w:rFonts w:cstheme="minorHAnsi"/>
          <w:sz w:val="24"/>
        </w:rPr>
      </w:pPr>
      <w:r w:rsidRPr="0031706B">
        <w:rPr>
          <w:rFonts w:cstheme="minorHAnsi"/>
          <w:sz w:val="24"/>
        </w:rPr>
        <w:t xml:space="preserve">Scrutiny of sub-groups suggested that the modal data resulting from analysis of the whole sample does not reflect the diversity of views that can be illustrated through more detailed analysis of defined sub-samples. Further research could extract greater granularity for preferences through closer examination of sub-group responses, preferably by integrating quantitative analysis with qualitative research approaches.  In this instance, </w:t>
      </w:r>
      <w:r w:rsidRPr="0031706B">
        <w:rPr>
          <w:rFonts w:cstheme="minorHAnsi"/>
          <w:sz w:val="24"/>
        </w:rPr>
        <w:lastRenderedPageBreak/>
        <w:t xml:space="preserve">there was insufficient information on the nature of the sub-groups and their </w:t>
      </w:r>
      <w:proofErr w:type="spellStart"/>
      <w:r w:rsidRPr="0031706B">
        <w:rPr>
          <w:rFonts w:cstheme="minorHAnsi"/>
          <w:sz w:val="24"/>
        </w:rPr>
        <w:t>representivity</w:t>
      </w:r>
      <w:proofErr w:type="spellEnd"/>
      <w:r w:rsidRPr="0031706B">
        <w:rPr>
          <w:rFonts w:cstheme="minorHAnsi"/>
          <w:sz w:val="24"/>
        </w:rPr>
        <w:t xml:space="preserve"> to merit significant analysis.</w:t>
      </w:r>
    </w:p>
    <w:bookmarkEnd w:id="28"/>
    <w:p w14:paraId="2173D106" w14:textId="77777777" w:rsidR="00C86AAA" w:rsidRPr="0031706B" w:rsidRDefault="00C86AAA" w:rsidP="0032732C">
      <w:pPr>
        <w:spacing w:after="0" w:line="480" w:lineRule="auto"/>
        <w:rPr>
          <w:rFonts w:cstheme="minorHAnsi"/>
          <w:sz w:val="24"/>
        </w:rPr>
      </w:pPr>
    </w:p>
    <w:p w14:paraId="7EB1B98A" w14:textId="3CDA68F1" w:rsidR="00097B6F" w:rsidRPr="0031706B" w:rsidRDefault="00FA6B1B" w:rsidP="0032732C">
      <w:pPr>
        <w:pStyle w:val="Heading3"/>
        <w:spacing w:before="0" w:line="480" w:lineRule="auto"/>
        <w:rPr>
          <w:rFonts w:asciiTheme="minorHAnsi" w:hAnsiTheme="minorHAnsi" w:cstheme="minorHAnsi"/>
          <w:color w:val="auto"/>
          <w:sz w:val="24"/>
        </w:rPr>
      </w:pPr>
      <w:bookmarkStart w:id="29" w:name="_Toc193708813"/>
      <w:r w:rsidRPr="0031706B">
        <w:rPr>
          <w:rFonts w:asciiTheme="minorHAnsi" w:hAnsiTheme="minorHAnsi" w:cstheme="minorHAnsi"/>
          <w:color w:val="auto"/>
          <w:sz w:val="24"/>
        </w:rPr>
        <w:t>4.</w:t>
      </w:r>
      <w:r w:rsidR="005F3507" w:rsidRPr="0031706B">
        <w:rPr>
          <w:rFonts w:asciiTheme="minorHAnsi" w:hAnsiTheme="minorHAnsi" w:cstheme="minorHAnsi"/>
          <w:color w:val="auto"/>
          <w:sz w:val="24"/>
        </w:rPr>
        <w:t>8</w:t>
      </w:r>
      <w:r w:rsidRPr="0031706B">
        <w:rPr>
          <w:rFonts w:asciiTheme="minorHAnsi" w:hAnsiTheme="minorHAnsi" w:cstheme="minorHAnsi"/>
          <w:color w:val="auto"/>
          <w:sz w:val="24"/>
        </w:rPr>
        <w:t xml:space="preserve"> </w:t>
      </w:r>
      <w:r w:rsidR="00097B6F" w:rsidRPr="0031706B">
        <w:rPr>
          <w:rFonts w:asciiTheme="minorHAnsi" w:hAnsiTheme="minorHAnsi" w:cstheme="minorHAnsi"/>
          <w:color w:val="auto"/>
          <w:sz w:val="24"/>
        </w:rPr>
        <w:t xml:space="preserve">Summary of preference patterns </w:t>
      </w:r>
      <w:bookmarkEnd w:id="29"/>
    </w:p>
    <w:p w14:paraId="0327D5C7" w14:textId="2A8E0527" w:rsidR="00097B6F" w:rsidRPr="0031706B" w:rsidRDefault="00097B6F" w:rsidP="0032732C">
      <w:pPr>
        <w:spacing w:after="0" w:line="480" w:lineRule="auto"/>
        <w:rPr>
          <w:rFonts w:cstheme="minorHAnsi"/>
          <w:sz w:val="24"/>
        </w:rPr>
      </w:pPr>
      <w:bookmarkStart w:id="30" w:name="_Ref188861624"/>
      <w:r w:rsidRPr="0031706B">
        <w:rPr>
          <w:rFonts w:cstheme="minorHAnsi"/>
          <w:sz w:val="24"/>
        </w:rPr>
        <w:t>When looking at the sample as a whole, significant patterns in preferences for long-term carbon reduction scenarios in the ‘My2050’ responses have been identified</w:t>
      </w:r>
      <w:r w:rsidR="00FA6B1B" w:rsidRPr="0031706B">
        <w:rPr>
          <w:rFonts w:cstheme="minorHAnsi"/>
          <w:sz w:val="24"/>
        </w:rPr>
        <w:t xml:space="preserve">.  The strongest and most important findings </w:t>
      </w:r>
      <w:proofErr w:type="gramStart"/>
      <w:r w:rsidR="00FA6B1B" w:rsidRPr="0031706B">
        <w:rPr>
          <w:rFonts w:cstheme="minorHAnsi"/>
          <w:sz w:val="24"/>
        </w:rPr>
        <w:t xml:space="preserve">were </w:t>
      </w:r>
      <w:r w:rsidRPr="0031706B">
        <w:rPr>
          <w:rFonts w:cstheme="minorHAnsi"/>
          <w:sz w:val="24"/>
        </w:rPr>
        <w:t xml:space="preserve"> as</w:t>
      </w:r>
      <w:proofErr w:type="gramEnd"/>
      <w:r w:rsidRPr="0031706B">
        <w:rPr>
          <w:rFonts w:cstheme="minorHAnsi"/>
          <w:sz w:val="24"/>
        </w:rPr>
        <w:t xml:space="preserve"> follows:</w:t>
      </w:r>
    </w:p>
    <w:p w14:paraId="2A40E379" w14:textId="08B8BABE" w:rsidR="00097B6F" w:rsidRPr="0031706B" w:rsidRDefault="00097B6F" w:rsidP="0032732C">
      <w:pPr>
        <w:pStyle w:val="ListParagraph"/>
        <w:numPr>
          <w:ilvl w:val="0"/>
          <w:numId w:val="24"/>
        </w:numPr>
        <w:spacing w:line="480" w:lineRule="auto"/>
        <w:contextualSpacing w:val="0"/>
        <w:rPr>
          <w:rFonts w:asciiTheme="minorHAnsi" w:hAnsiTheme="minorHAnsi" w:cstheme="minorHAnsi"/>
        </w:rPr>
      </w:pPr>
      <w:r w:rsidRPr="0031706B">
        <w:rPr>
          <w:rFonts w:asciiTheme="minorHAnsi" w:hAnsiTheme="minorHAnsi" w:cstheme="minorHAnsi"/>
        </w:rPr>
        <w:t>85.4% of respondents selected unique pathways for the fourteen sliders</w:t>
      </w:r>
      <w:r w:rsidR="001B7074" w:rsidRPr="0031706B">
        <w:rPr>
          <w:rFonts w:asciiTheme="minorHAnsi" w:hAnsiTheme="minorHAnsi" w:cstheme="minorHAnsi"/>
        </w:rPr>
        <w:t>.  Despite very few respondents selecting identical pathway</w:t>
      </w:r>
      <w:r w:rsidR="00107017" w:rsidRPr="0031706B">
        <w:rPr>
          <w:rFonts w:asciiTheme="minorHAnsi" w:hAnsiTheme="minorHAnsi" w:cstheme="minorHAnsi"/>
        </w:rPr>
        <w:t>s</w:t>
      </w:r>
      <w:proofErr w:type="gramStart"/>
      <w:r w:rsidR="001B7074" w:rsidRPr="0031706B">
        <w:rPr>
          <w:rFonts w:asciiTheme="minorHAnsi" w:hAnsiTheme="minorHAnsi" w:cstheme="minorHAnsi"/>
        </w:rPr>
        <w:t xml:space="preserve">,  </w:t>
      </w:r>
      <w:r w:rsidR="00655570" w:rsidRPr="0031706B">
        <w:rPr>
          <w:rFonts w:asciiTheme="minorHAnsi" w:hAnsiTheme="minorHAnsi" w:cstheme="minorHAnsi"/>
        </w:rPr>
        <w:t>modal</w:t>
      </w:r>
      <w:proofErr w:type="gramEnd"/>
      <w:r w:rsidRPr="0031706B">
        <w:rPr>
          <w:rFonts w:asciiTheme="minorHAnsi" w:hAnsiTheme="minorHAnsi" w:cstheme="minorHAnsi"/>
        </w:rPr>
        <w:t xml:space="preserve"> analysis </w:t>
      </w:r>
      <w:r w:rsidR="001B7074" w:rsidRPr="0031706B">
        <w:rPr>
          <w:rFonts w:asciiTheme="minorHAnsi" w:hAnsiTheme="minorHAnsi" w:cstheme="minorHAnsi"/>
        </w:rPr>
        <w:t xml:space="preserve">based on the sliders </w:t>
      </w:r>
      <w:r w:rsidR="00BF0EFF" w:rsidRPr="0031706B">
        <w:rPr>
          <w:rFonts w:asciiTheme="minorHAnsi" w:hAnsiTheme="minorHAnsi" w:cstheme="minorHAnsi"/>
        </w:rPr>
        <w:t xml:space="preserve">can be used to </w:t>
      </w:r>
      <w:r w:rsidRPr="0031706B">
        <w:rPr>
          <w:rFonts w:asciiTheme="minorHAnsi" w:hAnsiTheme="minorHAnsi" w:cstheme="minorHAnsi"/>
        </w:rPr>
        <w:t xml:space="preserve">demonstrate </w:t>
      </w:r>
      <w:r w:rsidR="000D3E5D" w:rsidRPr="0031706B">
        <w:rPr>
          <w:rFonts w:asciiTheme="minorHAnsi" w:hAnsiTheme="minorHAnsi" w:cstheme="minorHAnsi"/>
        </w:rPr>
        <w:t xml:space="preserve">a </w:t>
      </w:r>
      <w:r w:rsidRPr="0031706B">
        <w:rPr>
          <w:rFonts w:asciiTheme="minorHAnsi" w:hAnsiTheme="minorHAnsi" w:cstheme="minorHAnsi"/>
        </w:rPr>
        <w:t>pattern in preferences.</w:t>
      </w:r>
    </w:p>
    <w:p w14:paraId="16636AEF" w14:textId="77777777" w:rsidR="00097B6F" w:rsidRPr="0031706B" w:rsidRDefault="00097B6F" w:rsidP="0032732C">
      <w:pPr>
        <w:pStyle w:val="ListParagraph"/>
        <w:numPr>
          <w:ilvl w:val="0"/>
          <w:numId w:val="24"/>
        </w:numPr>
        <w:spacing w:line="480" w:lineRule="auto"/>
        <w:contextualSpacing w:val="0"/>
        <w:rPr>
          <w:rFonts w:asciiTheme="minorHAnsi" w:hAnsiTheme="minorHAnsi" w:cstheme="minorHAnsi"/>
        </w:rPr>
      </w:pPr>
      <w:r w:rsidRPr="0031706B">
        <w:rPr>
          <w:rFonts w:asciiTheme="minorHAnsi" w:hAnsiTheme="minorHAnsi" w:cstheme="minorHAnsi"/>
        </w:rPr>
        <w:t>Higher effort settings were generally selected for the demand than for the supply sliders. The highest level of effort was selected for energy efficiency improvements (for home, workplaces and industry), closely followed by a preference for high levels of electrification of home heating and transport. Renewable energy technologies were more popular than non-renewable technologies (with greater development of offshore wind power preferred to onshore wind power). By comparison, carbon capture and storage and nuclear power were selected for lower levels of effort.</w:t>
      </w:r>
    </w:p>
    <w:p w14:paraId="7F0A125C" w14:textId="15358EF8" w:rsidR="00097B6F" w:rsidRPr="0031706B" w:rsidRDefault="00097B6F" w:rsidP="0032732C">
      <w:pPr>
        <w:pStyle w:val="ListParagraph"/>
        <w:numPr>
          <w:ilvl w:val="0"/>
          <w:numId w:val="24"/>
        </w:numPr>
        <w:spacing w:line="480" w:lineRule="auto"/>
        <w:contextualSpacing w:val="0"/>
        <w:rPr>
          <w:rFonts w:asciiTheme="minorHAnsi" w:hAnsiTheme="minorHAnsi" w:cstheme="minorHAnsi"/>
        </w:rPr>
      </w:pPr>
      <w:r w:rsidRPr="0031706B">
        <w:rPr>
          <w:rFonts w:asciiTheme="minorHAnsi" w:hAnsiTheme="minorHAnsi" w:cstheme="minorHAnsi"/>
        </w:rPr>
        <w:t xml:space="preserve">The most popular setting for each of the fourteen sliders is illustrated in Table </w:t>
      </w:r>
      <w:r w:rsidR="00BD0338" w:rsidRPr="0031706B">
        <w:rPr>
          <w:rFonts w:asciiTheme="minorHAnsi" w:hAnsiTheme="minorHAnsi" w:cstheme="minorHAnsi"/>
        </w:rPr>
        <w:t>3</w:t>
      </w:r>
      <w:r w:rsidRPr="0031706B">
        <w:rPr>
          <w:rFonts w:asciiTheme="minorHAnsi" w:hAnsiTheme="minorHAnsi" w:cstheme="minorHAnsi"/>
        </w:rPr>
        <w:t xml:space="preserve">. All sliders demonstrated one setting that </w:t>
      </w:r>
      <w:r w:rsidR="00FA6B1B" w:rsidRPr="0031706B">
        <w:rPr>
          <w:rFonts w:asciiTheme="minorHAnsi" w:hAnsiTheme="minorHAnsi" w:cstheme="minorHAnsi"/>
        </w:rPr>
        <w:t xml:space="preserve">was </w:t>
      </w:r>
      <w:r w:rsidR="00BF0EFF" w:rsidRPr="0031706B">
        <w:rPr>
          <w:rFonts w:asciiTheme="minorHAnsi" w:hAnsiTheme="minorHAnsi" w:cstheme="minorHAnsi"/>
        </w:rPr>
        <w:t xml:space="preserve">significantly </w:t>
      </w:r>
      <w:r w:rsidRPr="0031706B">
        <w:rPr>
          <w:rFonts w:asciiTheme="minorHAnsi" w:hAnsiTheme="minorHAnsi" w:cstheme="minorHAnsi"/>
        </w:rPr>
        <w:t xml:space="preserve">more popular than </w:t>
      </w:r>
      <w:r w:rsidR="002B3A92" w:rsidRPr="0031706B">
        <w:rPr>
          <w:rFonts w:asciiTheme="minorHAnsi" w:hAnsiTheme="minorHAnsi" w:cstheme="minorHAnsi"/>
        </w:rPr>
        <w:t xml:space="preserve">the </w:t>
      </w:r>
      <w:r w:rsidRPr="0031706B">
        <w:rPr>
          <w:rFonts w:asciiTheme="minorHAnsi" w:hAnsiTheme="minorHAnsi" w:cstheme="minorHAnsi"/>
        </w:rPr>
        <w:t xml:space="preserve">others, and when choices are ranked for each slider, the second most popular setting </w:t>
      </w:r>
      <w:r w:rsidR="00FA6B1B" w:rsidRPr="0031706B">
        <w:rPr>
          <w:rFonts w:asciiTheme="minorHAnsi" w:hAnsiTheme="minorHAnsi" w:cstheme="minorHAnsi"/>
        </w:rPr>
        <w:t xml:space="preserve">was </w:t>
      </w:r>
      <w:r w:rsidRPr="0031706B">
        <w:rPr>
          <w:rFonts w:asciiTheme="minorHAnsi" w:hAnsiTheme="minorHAnsi" w:cstheme="minorHAnsi"/>
        </w:rPr>
        <w:t xml:space="preserve">always </w:t>
      </w:r>
      <w:r w:rsidRPr="0031706B">
        <w:rPr>
          <w:rFonts w:asciiTheme="minorHAnsi" w:hAnsiTheme="minorHAnsi" w:cstheme="minorHAnsi"/>
        </w:rPr>
        <w:lastRenderedPageBreak/>
        <w:t xml:space="preserve">adjacent to the most popular setting when considering all responses, suggesting that none of the sliders were </w:t>
      </w:r>
      <w:r w:rsidR="00DD41F6" w:rsidRPr="0031706B">
        <w:rPr>
          <w:rFonts w:asciiTheme="minorHAnsi" w:hAnsiTheme="minorHAnsi" w:cstheme="minorHAnsi"/>
        </w:rPr>
        <w:t xml:space="preserve">heterogeneous </w:t>
      </w:r>
      <w:r w:rsidRPr="0031706B">
        <w:rPr>
          <w:rFonts w:asciiTheme="minorHAnsi" w:hAnsiTheme="minorHAnsi" w:cstheme="minorHAnsi"/>
        </w:rPr>
        <w:t xml:space="preserve">across the whole sample. No supply sliders were selected most frequently for the highest level of effort. No sliders were selected most frequently for the lowest level of effort, although four supply sliders and one demand slider were selected most frequently for the second lowest level of effort: </w:t>
      </w:r>
      <w:r w:rsidRPr="0031706B">
        <w:rPr>
          <w:rFonts w:asciiTheme="minorHAnsi" w:hAnsiTheme="minorHAnsi" w:cstheme="minorHAnsi"/>
          <w:i/>
        </w:rPr>
        <w:t>‘</w:t>
      </w:r>
      <w:r w:rsidR="00C80C7C" w:rsidRPr="0031706B">
        <w:rPr>
          <w:rFonts w:asciiTheme="minorHAnsi" w:hAnsiTheme="minorHAnsi" w:cstheme="minorHAnsi"/>
          <w:i/>
        </w:rPr>
        <w:t>b</w:t>
      </w:r>
      <w:r w:rsidRPr="0031706B">
        <w:rPr>
          <w:rFonts w:asciiTheme="minorHAnsi" w:hAnsiTheme="minorHAnsi" w:cstheme="minorHAnsi"/>
          <w:i/>
        </w:rPr>
        <w:t>iofuel production’</w:t>
      </w:r>
      <w:r w:rsidRPr="0031706B">
        <w:rPr>
          <w:rFonts w:asciiTheme="minorHAnsi" w:hAnsiTheme="minorHAnsi" w:cstheme="minorHAnsi"/>
        </w:rPr>
        <w:t xml:space="preserve">, </w:t>
      </w:r>
      <w:r w:rsidRPr="0031706B">
        <w:rPr>
          <w:rFonts w:asciiTheme="minorHAnsi" w:hAnsiTheme="minorHAnsi" w:cstheme="minorHAnsi"/>
          <w:i/>
        </w:rPr>
        <w:t>‘</w:t>
      </w:r>
      <w:r w:rsidR="00C80C7C" w:rsidRPr="0031706B">
        <w:rPr>
          <w:rFonts w:asciiTheme="minorHAnsi" w:hAnsiTheme="minorHAnsi" w:cstheme="minorHAnsi"/>
          <w:i/>
        </w:rPr>
        <w:t>n</w:t>
      </w:r>
      <w:r w:rsidRPr="0031706B">
        <w:rPr>
          <w:rFonts w:asciiTheme="minorHAnsi" w:hAnsiTheme="minorHAnsi" w:cstheme="minorHAnsi"/>
          <w:i/>
        </w:rPr>
        <w:t>uclear power’</w:t>
      </w:r>
      <w:r w:rsidRPr="0031706B">
        <w:rPr>
          <w:rFonts w:asciiTheme="minorHAnsi" w:hAnsiTheme="minorHAnsi" w:cstheme="minorHAnsi"/>
        </w:rPr>
        <w:t xml:space="preserve">, </w:t>
      </w:r>
      <w:r w:rsidRPr="0031706B">
        <w:rPr>
          <w:rFonts w:asciiTheme="minorHAnsi" w:hAnsiTheme="minorHAnsi" w:cstheme="minorHAnsi"/>
          <w:i/>
        </w:rPr>
        <w:t>‘</w:t>
      </w:r>
      <w:r w:rsidR="00C80C7C" w:rsidRPr="0031706B">
        <w:rPr>
          <w:rFonts w:asciiTheme="minorHAnsi" w:hAnsiTheme="minorHAnsi" w:cstheme="minorHAnsi"/>
          <w:i/>
        </w:rPr>
        <w:t>c</w:t>
      </w:r>
      <w:r w:rsidRPr="0031706B">
        <w:rPr>
          <w:rFonts w:asciiTheme="minorHAnsi" w:hAnsiTheme="minorHAnsi" w:cstheme="minorHAnsi"/>
          <w:i/>
        </w:rPr>
        <w:t>lean coal and gas power’</w:t>
      </w:r>
      <w:r w:rsidRPr="0031706B">
        <w:rPr>
          <w:rFonts w:asciiTheme="minorHAnsi" w:hAnsiTheme="minorHAnsi" w:cstheme="minorHAnsi"/>
        </w:rPr>
        <w:t xml:space="preserve">, </w:t>
      </w:r>
      <w:r w:rsidRPr="0031706B">
        <w:rPr>
          <w:rFonts w:asciiTheme="minorHAnsi" w:hAnsiTheme="minorHAnsi" w:cstheme="minorHAnsi"/>
          <w:i/>
        </w:rPr>
        <w:t>‘</w:t>
      </w:r>
      <w:r w:rsidR="00C80C7C" w:rsidRPr="0031706B">
        <w:rPr>
          <w:rFonts w:asciiTheme="minorHAnsi" w:hAnsiTheme="minorHAnsi" w:cstheme="minorHAnsi"/>
          <w:i/>
        </w:rPr>
        <w:t>w</w:t>
      </w:r>
      <w:r w:rsidRPr="0031706B">
        <w:rPr>
          <w:rFonts w:asciiTheme="minorHAnsi" w:hAnsiTheme="minorHAnsi" w:cstheme="minorHAnsi"/>
          <w:i/>
        </w:rPr>
        <w:t>ind turbines on land’</w:t>
      </w:r>
      <w:r w:rsidRPr="0031706B">
        <w:rPr>
          <w:rFonts w:asciiTheme="minorHAnsi" w:hAnsiTheme="minorHAnsi" w:cstheme="minorHAnsi"/>
        </w:rPr>
        <w:t xml:space="preserve">, and </w:t>
      </w:r>
      <w:r w:rsidRPr="0031706B">
        <w:rPr>
          <w:rFonts w:asciiTheme="minorHAnsi" w:hAnsiTheme="minorHAnsi" w:cstheme="minorHAnsi"/>
          <w:i/>
        </w:rPr>
        <w:t>‘</w:t>
      </w:r>
      <w:r w:rsidR="00C80C7C" w:rsidRPr="0031706B">
        <w:rPr>
          <w:rFonts w:asciiTheme="minorHAnsi" w:hAnsiTheme="minorHAnsi" w:cstheme="minorHAnsi"/>
          <w:i/>
        </w:rPr>
        <w:t>m</w:t>
      </w:r>
      <w:r w:rsidRPr="0031706B">
        <w:rPr>
          <w:rFonts w:asciiTheme="minorHAnsi" w:hAnsiTheme="minorHAnsi" w:cstheme="minorHAnsi"/>
          <w:i/>
        </w:rPr>
        <w:t>anufacturing growth’</w:t>
      </w:r>
      <w:r w:rsidRPr="0031706B">
        <w:rPr>
          <w:rFonts w:asciiTheme="minorHAnsi" w:hAnsiTheme="minorHAnsi" w:cstheme="minorHAnsi"/>
        </w:rPr>
        <w:t>.</w:t>
      </w:r>
      <w:r w:rsidR="001B7074" w:rsidRPr="0031706B">
        <w:rPr>
          <w:rFonts w:asciiTheme="minorHAnsi" w:hAnsiTheme="minorHAnsi" w:cstheme="minorHAnsi"/>
        </w:rPr>
        <w:t xml:space="preserve">  However, these also showed the greatest variance in selected settings.</w:t>
      </w:r>
    </w:p>
    <w:p w14:paraId="406F54D3" w14:textId="2599DFBE" w:rsidR="00097B6F" w:rsidRPr="0031706B" w:rsidRDefault="00097B6F" w:rsidP="0032732C">
      <w:pPr>
        <w:pStyle w:val="ListParagraph"/>
        <w:numPr>
          <w:ilvl w:val="0"/>
          <w:numId w:val="24"/>
        </w:numPr>
        <w:spacing w:line="480" w:lineRule="auto"/>
        <w:contextualSpacing w:val="0"/>
        <w:rPr>
          <w:rFonts w:asciiTheme="minorHAnsi" w:hAnsiTheme="minorHAnsi" w:cstheme="minorHAnsi"/>
        </w:rPr>
      </w:pPr>
      <w:r w:rsidRPr="0031706B">
        <w:rPr>
          <w:rFonts w:asciiTheme="minorHAnsi" w:hAnsiTheme="minorHAnsi" w:cstheme="minorHAnsi"/>
        </w:rPr>
        <w:t xml:space="preserve">The greatest demographic difference was demonstrated by respondents aged </w:t>
      </w:r>
      <w:proofErr w:type="gramStart"/>
      <w:r w:rsidRPr="0031706B">
        <w:rPr>
          <w:rFonts w:asciiTheme="minorHAnsi" w:hAnsiTheme="minorHAnsi" w:cstheme="minorHAnsi"/>
        </w:rPr>
        <w:t>under</w:t>
      </w:r>
      <w:proofErr w:type="gramEnd"/>
      <w:r w:rsidRPr="0031706B">
        <w:rPr>
          <w:rFonts w:asciiTheme="minorHAnsi" w:hAnsiTheme="minorHAnsi" w:cstheme="minorHAnsi"/>
        </w:rPr>
        <w:t xml:space="preserve"> 18 or over 65 – these sub-groups generally selected higher settings than the whole sample. Sub-groups were also </w:t>
      </w:r>
      <w:proofErr w:type="spellStart"/>
      <w:r w:rsidRPr="0031706B">
        <w:rPr>
          <w:rFonts w:asciiTheme="minorHAnsi" w:hAnsiTheme="minorHAnsi" w:cstheme="minorHAnsi"/>
        </w:rPr>
        <w:t>analysed</w:t>
      </w:r>
      <w:proofErr w:type="spellEnd"/>
      <w:r w:rsidRPr="0031706B">
        <w:rPr>
          <w:rFonts w:asciiTheme="minorHAnsi" w:hAnsiTheme="minorHAnsi" w:cstheme="minorHAnsi"/>
        </w:rPr>
        <w:t xml:space="preserve"> by time taken (five minutes or less and more than an hour), carbon reduction achieved, </w:t>
      </w:r>
      <w:r w:rsidR="002400EE" w:rsidRPr="0031706B">
        <w:rPr>
          <w:rFonts w:asciiTheme="minorHAnsi" w:hAnsiTheme="minorHAnsi" w:cstheme="minorHAnsi"/>
        </w:rPr>
        <w:t xml:space="preserve">and </w:t>
      </w:r>
      <w:r w:rsidRPr="0031706B">
        <w:rPr>
          <w:rFonts w:asciiTheme="minorHAnsi" w:hAnsiTheme="minorHAnsi" w:cstheme="minorHAnsi"/>
        </w:rPr>
        <w:t>low concern about climate change. With the exception of respondents taking over an hour to make their choices, all sub-groups demonstrated several different preferences when compared to the whole sample.</w:t>
      </w:r>
    </w:p>
    <w:bookmarkEnd w:id="30"/>
    <w:p w14:paraId="0A15F0CE" w14:textId="77777777" w:rsidR="00097B6F" w:rsidRPr="0031706B" w:rsidRDefault="00097B6F" w:rsidP="0032732C">
      <w:pPr>
        <w:spacing w:after="0" w:line="480" w:lineRule="auto"/>
        <w:rPr>
          <w:rFonts w:cstheme="minorHAnsi"/>
          <w:sz w:val="24"/>
        </w:rPr>
      </w:pPr>
    </w:p>
    <w:p w14:paraId="06C3D3A0" w14:textId="42C17A95" w:rsidR="00097B6F" w:rsidRPr="0031706B" w:rsidRDefault="00097B6F" w:rsidP="00F56E7B">
      <w:pPr>
        <w:pStyle w:val="Heading2"/>
        <w:numPr>
          <w:ilvl w:val="0"/>
          <w:numId w:val="30"/>
        </w:numPr>
        <w:spacing w:before="0" w:line="480" w:lineRule="auto"/>
        <w:ind w:left="567" w:hanging="283"/>
        <w:rPr>
          <w:rFonts w:asciiTheme="minorHAnsi" w:hAnsiTheme="minorHAnsi" w:cstheme="minorHAnsi"/>
          <w:color w:val="auto"/>
          <w:sz w:val="24"/>
          <w:szCs w:val="24"/>
        </w:rPr>
      </w:pPr>
      <w:r w:rsidRPr="0031706B">
        <w:rPr>
          <w:rFonts w:asciiTheme="minorHAnsi" w:hAnsiTheme="minorHAnsi" w:cstheme="minorHAnsi"/>
          <w:color w:val="auto"/>
          <w:sz w:val="24"/>
          <w:szCs w:val="24"/>
        </w:rPr>
        <w:t>Comparison with DECC Scenarios</w:t>
      </w:r>
    </w:p>
    <w:p w14:paraId="219A4ADD" w14:textId="42BA7ECF" w:rsidR="007564E0" w:rsidRPr="0031706B" w:rsidRDefault="00097B6F" w:rsidP="0032732C">
      <w:pPr>
        <w:spacing w:after="0" w:line="480" w:lineRule="auto"/>
        <w:rPr>
          <w:rFonts w:cstheme="minorHAnsi"/>
          <w:sz w:val="24"/>
        </w:rPr>
      </w:pPr>
      <w:r w:rsidRPr="0031706B">
        <w:rPr>
          <w:rFonts w:cstheme="minorHAnsi"/>
          <w:sz w:val="24"/>
        </w:rPr>
        <w:t xml:space="preserve">DECC’s three preferred scenarios are entitled </w:t>
      </w:r>
      <w:r w:rsidRPr="0031706B">
        <w:rPr>
          <w:rFonts w:cstheme="minorHAnsi"/>
          <w:i/>
          <w:sz w:val="24"/>
        </w:rPr>
        <w:t>‘Higher CCS, more bioenergy’</w:t>
      </w:r>
      <w:r w:rsidRPr="0031706B">
        <w:rPr>
          <w:rFonts w:cstheme="minorHAnsi"/>
          <w:sz w:val="24"/>
        </w:rPr>
        <w:t xml:space="preserve">, </w:t>
      </w:r>
      <w:r w:rsidRPr="0031706B">
        <w:rPr>
          <w:rFonts w:cstheme="minorHAnsi"/>
          <w:i/>
          <w:sz w:val="24"/>
        </w:rPr>
        <w:t>‘Higher renewables, more energy efficiency’</w:t>
      </w:r>
      <w:r w:rsidRPr="0031706B">
        <w:rPr>
          <w:rFonts w:cstheme="minorHAnsi"/>
          <w:sz w:val="24"/>
        </w:rPr>
        <w:t xml:space="preserve"> and </w:t>
      </w:r>
      <w:r w:rsidRPr="0031706B">
        <w:rPr>
          <w:rFonts w:cstheme="minorHAnsi"/>
          <w:i/>
          <w:sz w:val="24"/>
        </w:rPr>
        <w:t>‘Higher nuclear, less energy efficiency’</w:t>
      </w:r>
      <w:r w:rsidRPr="0031706B">
        <w:rPr>
          <w:rFonts w:cstheme="minorHAnsi"/>
          <w:sz w:val="24"/>
        </w:rPr>
        <w:t xml:space="preserve"> in the Carbon Plan</w:t>
      </w:r>
      <w:r w:rsidR="00516FC8" w:rsidRPr="0031706B">
        <w:rPr>
          <w:rFonts w:cstheme="minorHAnsi"/>
          <w:sz w:val="24"/>
        </w:rPr>
        <w:t xml:space="preserve">. Since they are all illustrated in DECC’s 2050 pathways calculator (DECC, 2010), and this calculator is the basis for the online simulation (with matching options and setting levels), it was </w:t>
      </w:r>
      <w:r w:rsidR="00516FC8" w:rsidRPr="0031706B">
        <w:rPr>
          <w:rFonts w:cstheme="minorHAnsi"/>
          <w:sz w:val="24"/>
        </w:rPr>
        <w:lastRenderedPageBreak/>
        <w:t>possible to</w:t>
      </w:r>
      <w:r w:rsidRPr="0031706B">
        <w:rPr>
          <w:rFonts w:cstheme="minorHAnsi"/>
          <w:sz w:val="24"/>
        </w:rPr>
        <w:t xml:space="preserve"> translate</w:t>
      </w:r>
      <w:r w:rsidR="00516FC8" w:rsidRPr="0031706B">
        <w:rPr>
          <w:rFonts w:cstheme="minorHAnsi"/>
          <w:sz w:val="24"/>
        </w:rPr>
        <w:t xml:space="preserve"> these</w:t>
      </w:r>
      <w:r w:rsidRPr="0031706B">
        <w:rPr>
          <w:rFonts w:cstheme="minorHAnsi"/>
          <w:sz w:val="24"/>
        </w:rPr>
        <w:t xml:space="preserve"> from DECC’s </w:t>
      </w:r>
      <w:r w:rsidR="00516FC8" w:rsidRPr="0031706B">
        <w:rPr>
          <w:rFonts w:cstheme="minorHAnsi"/>
          <w:sz w:val="24"/>
        </w:rPr>
        <w:t xml:space="preserve">pathways </w:t>
      </w:r>
      <w:r w:rsidRPr="0031706B">
        <w:rPr>
          <w:rFonts w:cstheme="minorHAnsi"/>
          <w:sz w:val="24"/>
        </w:rPr>
        <w:t>calculator into equivalent ‘My2050’ pathways, as illustrated in Table</w:t>
      </w:r>
      <w:r w:rsidR="00BD0338" w:rsidRPr="0031706B">
        <w:rPr>
          <w:rFonts w:cstheme="minorHAnsi"/>
          <w:sz w:val="24"/>
        </w:rPr>
        <w:t xml:space="preserve"> 4</w:t>
      </w:r>
      <w:r w:rsidR="00632307" w:rsidRPr="0031706B">
        <w:rPr>
          <w:rFonts w:cstheme="minorHAnsi"/>
          <w:sz w:val="24"/>
        </w:rPr>
        <w:t xml:space="preserve">. In making these </w:t>
      </w:r>
      <w:r w:rsidR="00E315E7" w:rsidRPr="0031706B">
        <w:rPr>
          <w:rFonts w:cstheme="minorHAnsi"/>
          <w:sz w:val="24"/>
        </w:rPr>
        <w:t>comparisons</w:t>
      </w:r>
      <w:r w:rsidR="00632307" w:rsidRPr="0031706B">
        <w:rPr>
          <w:rFonts w:cstheme="minorHAnsi"/>
          <w:sz w:val="24"/>
        </w:rPr>
        <w:t xml:space="preserve">, the simulation slider for </w:t>
      </w:r>
      <w:r w:rsidR="00632307" w:rsidRPr="0031706B">
        <w:rPr>
          <w:rFonts w:cstheme="minorHAnsi"/>
          <w:i/>
          <w:sz w:val="24"/>
        </w:rPr>
        <w:t>‘</w:t>
      </w:r>
      <w:r w:rsidR="00345763" w:rsidRPr="0031706B">
        <w:rPr>
          <w:rFonts w:cstheme="minorHAnsi"/>
          <w:i/>
          <w:sz w:val="24"/>
        </w:rPr>
        <w:t>o</w:t>
      </w:r>
      <w:r w:rsidR="00632307" w:rsidRPr="0031706B">
        <w:rPr>
          <w:rFonts w:cstheme="minorHAnsi"/>
          <w:i/>
          <w:sz w:val="24"/>
        </w:rPr>
        <w:t xml:space="preserve">il, </w:t>
      </w:r>
      <w:r w:rsidR="00695BB7" w:rsidRPr="0031706B">
        <w:rPr>
          <w:rFonts w:cstheme="minorHAnsi"/>
          <w:i/>
          <w:sz w:val="24"/>
        </w:rPr>
        <w:t>g</w:t>
      </w:r>
      <w:r w:rsidR="00632307" w:rsidRPr="0031706B">
        <w:rPr>
          <w:rFonts w:cstheme="minorHAnsi"/>
          <w:i/>
          <w:sz w:val="24"/>
        </w:rPr>
        <w:t xml:space="preserve">as and </w:t>
      </w:r>
      <w:r w:rsidR="00695BB7" w:rsidRPr="0031706B">
        <w:rPr>
          <w:rFonts w:cstheme="minorHAnsi"/>
          <w:i/>
          <w:sz w:val="24"/>
        </w:rPr>
        <w:t>c</w:t>
      </w:r>
      <w:r w:rsidR="00632307" w:rsidRPr="0031706B">
        <w:rPr>
          <w:rFonts w:cstheme="minorHAnsi"/>
          <w:i/>
          <w:sz w:val="24"/>
        </w:rPr>
        <w:t>oal</w:t>
      </w:r>
      <w:r w:rsidR="00345763" w:rsidRPr="0031706B">
        <w:rPr>
          <w:rFonts w:cstheme="minorHAnsi"/>
          <w:i/>
          <w:sz w:val="24"/>
        </w:rPr>
        <w:t xml:space="preserve"> power</w:t>
      </w:r>
      <w:r w:rsidR="00632307" w:rsidRPr="0031706B">
        <w:rPr>
          <w:rFonts w:cstheme="minorHAnsi"/>
          <w:i/>
          <w:sz w:val="24"/>
        </w:rPr>
        <w:t>’</w:t>
      </w:r>
      <w:r w:rsidR="00632307" w:rsidRPr="0031706B">
        <w:rPr>
          <w:rFonts w:cstheme="minorHAnsi"/>
          <w:sz w:val="24"/>
        </w:rPr>
        <w:t xml:space="preserve"> had to be left out as </w:t>
      </w:r>
      <w:r w:rsidR="00E315E7" w:rsidRPr="0031706B">
        <w:rPr>
          <w:rFonts w:cstheme="minorHAnsi"/>
          <w:sz w:val="24"/>
        </w:rPr>
        <w:t>there</w:t>
      </w:r>
      <w:r w:rsidR="00632307" w:rsidRPr="0031706B">
        <w:rPr>
          <w:rFonts w:cstheme="minorHAnsi"/>
          <w:sz w:val="24"/>
        </w:rPr>
        <w:t xml:space="preserve"> was n</w:t>
      </w:r>
      <w:r w:rsidR="003F3D35" w:rsidRPr="0031706B">
        <w:rPr>
          <w:rFonts w:cstheme="minorHAnsi"/>
          <w:sz w:val="24"/>
        </w:rPr>
        <w:t xml:space="preserve">o equivalent within the DECC </w:t>
      </w:r>
      <w:r w:rsidR="00345763" w:rsidRPr="0031706B">
        <w:rPr>
          <w:rFonts w:cstheme="minorHAnsi"/>
          <w:sz w:val="24"/>
        </w:rPr>
        <w:t>scenarios</w:t>
      </w:r>
      <w:r w:rsidR="00632307" w:rsidRPr="0031706B">
        <w:rPr>
          <w:rFonts w:cstheme="minorHAnsi"/>
          <w:sz w:val="24"/>
        </w:rPr>
        <w:t>.</w:t>
      </w:r>
      <w:r w:rsidR="0018324F" w:rsidRPr="0031706B">
        <w:rPr>
          <w:rFonts w:cstheme="minorHAnsi"/>
          <w:sz w:val="24"/>
        </w:rPr>
        <w:t xml:space="preserve"> It should also be noted that the titles of the scenarios are somewhat misleading as they do not fully reflect the relevant levels of effort.  For example, although </w:t>
      </w:r>
      <w:r w:rsidR="001245C1" w:rsidRPr="0031706B">
        <w:rPr>
          <w:rFonts w:cstheme="minorHAnsi"/>
          <w:sz w:val="24"/>
        </w:rPr>
        <w:t>one</w:t>
      </w:r>
      <w:r w:rsidR="0018324F" w:rsidRPr="0031706B">
        <w:rPr>
          <w:rFonts w:cstheme="minorHAnsi"/>
          <w:sz w:val="24"/>
        </w:rPr>
        <w:t xml:space="preserve"> scenario is described as </w:t>
      </w:r>
      <w:r w:rsidR="0018324F" w:rsidRPr="0031706B">
        <w:rPr>
          <w:rFonts w:cstheme="minorHAnsi"/>
          <w:i/>
          <w:sz w:val="24"/>
        </w:rPr>
        <w:t>‘Higher CCS, more bioenergy’</w:t>
      </w:r>
      <w:r w:rsidR="0018324F" w:rsidRPr="0031706B">
        <w:rPr>
          <w:rFonts w:cstheme="minorHAnsi"/>
          <w:sz w:val="24"/>
        </w:rPr>
        <w:t xml:space="preserve">, this scenario actually has less effort selected for biofuel production than the </w:t>
      </w:r>
      <w:r w:rsidR="0018324F" w:rsidRPr="0031706B">
        <w:rPr>
          <w:rFonts w:cstheme="minorHAnsi"/>
          <w:i/>
          <w:sz w:val="24"/>
        </w:rPr>
        <w:t>‘Higher nuclear, less energy efficiency’</w:t>
      </w:r>
      <w:r w:rsidR="0018324F" w:rsidRPr="0031706B">
        <w:rPr>
          <w:rFonts w:cstheme="minorHAnsi"/>
          <w:sz w:val="24"/>
        </w:rPr>
        <w:t xml:space="preserve"> scenario.</w:t>
      </w:r>
    </w:p>
    <w:p w14:paraId="3736BA6E" w14:textId="184A8246" w:rsidR="00B83AF9" w:rsidRPr="0031706B" w:rsidRDefault="00426C4D" w:rsidP="00426C4D">
      <w:pPr>
        <w:pStyle w:val="caption2"/>
        <w:spacing w:after="0" w:line="480" w:lineRule="auto"/>
        <w:rPr>
          <w:rFonts w:cstheme="minorHAnsi"/>
          <w:sz w:val="24"/>
          <w:szCs w:val="24"/>
        </w:rPr>
      </w:pPr>
      <w:r w:rsidRPr="0031706B">
        <w:rPr>
          <w:rFonts w:cstheme="minorHAnsi"/>
          <w:sz w:val="24"/>
          <w:szCs w:val="24"/>
        </w:rPr>
        <w:t>Table 4 – DECC scenarios</w:t>
      </w:r>
    </w:p>
    <w:tbl>
      <w:tblPr>
        <w:tblW w:w="8120" w:type="dxa"/>
        <w:tblInd w:w="93" w:type="dxa"/>
        <w:tblLook w:val="04A0" w:firstRow="1" w:lastRow="0" w:firstColumn="1" w:lastColumn="0" w:noHBand="0" w:noVBand="1"/>
      </w:tblPr>
      <w:tblGrid>
        <w:gridCol w:w="2720"/>
        <w:gridCol w:w="1440"/>
        <w:gridCol w:w="2080"/>
        <w:gridCol w:w="1880"/>
      </w:tblGrid>
      <w:tr w:rsidR="00E373E7" w:rsidRPr="0031706B" w14:paraId="3EA19CA9" w14:textId="77777777" w:rsidTr="00E373E7">
        <w:trPr>
          <w:trHeight w:val="780"/>
        </w:trPr>
        <w:tc>
          <w:tcPr>
            <w:tcW w:w="27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B43FC6" w14:textId="77777777" w:rsidR="00E373E7" w:rsidRPr="0031706B" w:rsidRDefault="00E373E7" w:rsidP="00E373E7">
            <w:pPr>
              <w:spacing w:after="0"/>
              <w:jc w:val="center"/>
              <w:rPr>
                <w:rFonts w:eastAsia="Times New Roman" w:cs="Times New Roman"/>
                <w:b/>
                <w:bCs/>
                <w:color w:val="000000"/>
                <w:sz w:val="20"/>
                <w:szCs w:val="20"/>
                <w:lang w:val="en-GB" w:eastAsia="en-GB"/>
              </w:rPr>
            </w:pPr>
            <w:r w:rsidRPr="0031706B">
              <w:rPr>
                <w:rFonts w:eastAsia="Times New Roman" w:cs="Times New Roman"/>
                <w:b/>
                <w:bCs/>
                <w:color w:val="000000"/>
                <w:sz w:val="20"/>
                <w:szCs w:val="20"/>
                <w:lang w:val="en-GB" w:eastAsia="en-GB"/>
              </w:rPr>
              <w:t>Slider</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6FF81A5" w14:textId="600C1761" w:rsidR="00E373E7" w:rsidRPr="0031706B" w:rsidRDefault="00E373E7" w:rsidP="00E373E7">
            <w:pPr>
              <w:spacing w:after="0"/>
              <w:jc w:val="center"/>
              <w:rPr>
                <w:rFonts w:eastAsia="Times New Roman" w:cs="Times New Roman"/>
                <w:b/>
                <w:bCs/>
                <w:color w:val="000000"/>
                <w:sz w:val="20"/>
                <w:szCs w:val="20"/>
                <w:lang w:val="en-GB" w:eastAsia="en-GB"/>
              </w:rPr>
            </w:pPr>
            <w:r w:rsidRPr="0031706B">
              <w:rPr>
                <w:rFonts w:eastAsia="Times New Roman" w:cs="Times New Roman"/>
                <w:b/>
                <w:bCs/>
                <w:color w:val="000000"/>
                <w:sz w:val="20"/>
                <w:szCs w:val="20"/>
                <w:lang w:val="en-GB" w:eastAsia="en-GB"/>
              </w:rPr>
              <w:t>Higher CCS</w:t>
            </w:r>
            <w:r w:rsidR="00CF093A" w:rsidRPr="0031706B">
              <w:rPr>
                <w:rFonts w:eastAsia="Times New Roman" w:cs="Times New Roman"/>
                <w:b/>
                <w:bCs/>
                <w:color w:val="000000"/>
                <w:sz w:val="20"/>
                <w:szCs w:val="20"/>
                <w:lang w:val="en-GB" w:eastAsia="en-GB"/>
              </w:rPr>
              <w:t>,</w:t>
            </w:r>
            <w:r w:rsidRPr="0031706B">
              <w:rPr>
                <w:rFonts w:eastAsia="Times New Roman" w:cs="Times New Roman"/>
                <w:b/>
                <w:bCs/>
                <w:color w:val="000000"/>
                <w:sz w:val="20"/>
                <w:szCs w:val="20"/>
                <w:lang w:val="en-GB" w:eastAsia="en-GB"/>
              </w:rPr>
              <w:br/>
            </w:r>
            <w:r w:rsidR="00CF093A" w:rsidRPr="0031706B">
              <w:rPr>
                <w:rFonts w:eastAsia="Times New Roman" w:cs="Times New Roman"/>
                <w:b/>
                <w:bCs/>
                <w:color w:val="000000"/>
                <w:sz w:val="20"/>
                <w:szCs w:val="20"/>
                <w:lang w:val="en-GB" w:eastAsia="en-GB"/>
              </w:rPr>
              <w:t>m</w:t>
            </w:r>
            <w:r w:rsidRPr="0031706B">
              <w:rPr>
                <w:rFonts w:eastAsia="Times New Roman" w:cs="Times New Roman"/>
                <w:b/>
                <w:bCs/>
                <w:color w:val="000000"/>
                <w:sz w:val="20"/>
                <w:szCs w:val="20"/>
                <w:lang w:val="en-GB" w:eastAsia="en-GB"/>
              </w:rPr>
              <w:t xml:space="preserve">ore </w:t>
            </w:r>
            <w:r w:rsidR="00CF093A" w:rsidRPr="0031706B">
              <w:rPr>
                <w:rFonts w:eastAsia="Times New Roman" w:cs="Times New Roman"/>
                <w:b/>
                <w:bCs/>
                <w:color w:val="000000"/>
                <w:sz w:val="20"/>
                <w:szCs w:val="20"/>
                <w:lang w:val="en-GB" w:eastAsia="en-GB"/>
              </w:rPr>
              <w:t>b</w:t>
            </w:r>
            <w:r w:rsidRPr="0031706B">
              <w:rPr>
                <w:rFonts w:eastAsia="Times New Roman" w:cs="Times New Roman"/>
                <w:b/>
                <w:bCs/>
                <w:color w:val="000000"/>
                <w:sz w:val="20"/>
                <w:szCs w:val="20"/>
                <w:lang w:val="en-GB" w:eastAsia="en-GB"/>
              </w:rPr>
              <w:t>ioenergy</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031D7462" w14:textId="4AE9D1D7" w:rsidR="00E373E7" w:rsidRPr="0031706B" w:rsidRDefault="00E373E7" w:rsidP="00E373E7">
            <w:pPr>
              <w:spacing w:after="0"/>
              <w:jc w:val="center"/>
              <w:rPr>
                <w:rFonts w:eastAsia="Times New Roman" w:cs="Times New Roman"/>
                <w:b/>
                <w:bCs/>
                <w:color w:val="000000"/>
                <w:sz w:val="20"/>
                <w:szCs w:val="20"/>
                <w:lang w:val="en-GB" w:eastAsia="en-GB"/>
              </w:rPr>
            </w:pPr>
            <w:r w:rsidRPr="0031706B">
              <w:rPr>
                <w:rFonts w:eastAsia="Times New Roman" w:cs="Times New Roman"/>
                <w:b/>
                <w:bCs/>
                <w:color w:val="000000"/>
                <w:sz w:val="20"/>
                <w:szCs w:val="20"/>
                <w:lang w:val="en-GB" w:eastAsia="en-GB"/>
              </w:rPr>
              <w:t xml:space="preserve">Higher </w:t>
            </w:r>
            <w:r w:rsidR="00CF093A" w:rsidRPr="0031706B">
              <w:rPr>
                <w:rFonts w:eastAsia="Times New Roman" w:cs="Times New Roman"/>
                <w:b/>
                <w:bCs/>
                <w:color w:val="000000"/>
                <w:sz w:val="20"/>
                <w:szCs w:val="20"/>
                <w:lang w:val="en-GB" w:eastAsia="en-GB"/>
              </w:rPr>
              <w:t>r</w:t>
            </w:r>
            <w:r w:rsidRPr="0031706B">
              <w:rPr>
                <w:rFonts w:eastAsia="Times New Roman" w:cs="Times New Roman"/>
                <w:b/>
                <w:bCs/>
                <w:color w:val="000000"/>
                <w:sz w:val="20"/>
                <w:szCs w:val="20"/>
                <w:lang w:val="en-GB" w:eastAsia="en-GB"/>
              </w:rPr>
              <w:t>enewables</w:t>
            </w:r>
            <w:r w:rsidR="00CF093A" w:rsidRPr="0031706B">
              <w:rPr>
                <w:rFonts w:eastAsia="Times New Roman" w:cs="Times New Roman"/>
                <w:b/>
                <w:bCs/>
                <w:color w:val="000000"/>
                <w:sz w:val="20"/>
                <w:szCs w:val="20"/>
                <w:lang w:val="en-GB" w:eastAsia="en-GB"/>
              </w:rPr>
              <w:t>,</w:t>
            </w:r>
            <w:r w:rsidRPr="0031706B">
              <w:rPr>
                <w:rFonts w:eastAsia="Times New Roman" w:cs="Times New Roman"/>
                <w:b/>
                <w:bCs/>
                <w:color w:val="000000"/>
                <w:sz w:val="20"/>
                <w:szCs w:val="20"/>
                <w:lang w:val="en-GB" w:eastAsia="en-GB"/>
              </w:rPr>
              <w:br/>
            </w:r>
            <w:r w:rsidR="00CF093A" w:rsidRPr="0031706B">
              <w:rPr>
                <w:rFonts w:eastAsia="Times New Roman" w:cs="Times New Roman"/>
                <w:b/>
                <w:bCs/>
                <w:color w:val="000000"/>
                <w:sz w:val="20"/>
                <w:szCs w:val="20"/>
                <w:lang w:val="en-GB" w:eastAsia="en-GB"/>
              </w:rPr>
              <w:t>m</w:t>
            </w:r>
            <w:r w:rsidRPr="0031706B">
              <w:rPr>
                <w:rFonts w:eastAsia="Times New Roman" w:cs="Times New Roman"/>
                <w:b/>
                <w:bCs/>
                <w:color w:val="000000"/>
                <w:sz w:val="20"/>
                <w:szCs w:val="20"/>
                <w:lang w:val="en-GB" w:eastAsia="en-GB"/>
              </w:rPr>
              <w:t xml:space="preserve">ore </w:t>
            </w:r>
            <w:r w:rsidR="00CF093A" w:rsidRPr="0031706B">
              <w:rPr>
                <w:rFonts w:eastAsia="Times New Roman" w:cs="Times New Roman"/>
                <w:b/>
                <w:bCs/>
                <w:color w:val="000000"/>
                <w:sz w:val="20"/>
                <w:szCs w:val="20"/>
                <w:lang w:val="en-GB" w:eastAsia="en-GB"/>
              </w:rPr>
              <w:t>e</w:t>
            </w:r>
            <w:r w:rsidRPr="0031706B">
              <w:rPr>
                <w:rFonts w:eastAsia="Times New Roman" w:cs="Times New Roman"/>
                <w:b/>
                <w:bCs/>
                <w:color w:val="000000"/>
                <w:sz w:val="20"/>
                <w:szCs w:val="20"/>
                <w:lang w:val="en-GB" w:eastAsia="en-GB"/>
              </w:rPr>
              <w:t xml:space="preserve">nergy </w:t>
            </w:r>
            <w:r w:rsidR="00CF093A" w:rsidRPr="0031706B">
              <w:rPr>
                <w:rFonts w:eastAsia="Times New Roman" w:cs="Times New Roman"/>
                <w:b/>
                <w:bCs/>
                <w:color w:val="000000"/>
                <w:sz w:val="20"/>
                <w:szCs w:val="20"/>
                <w:lang w:val="en-GB" w:eastAsia="en-GB"/>
              </w:rPr>
              <w:t>e</w:t>
            </w:r>
            <w:r w:rsidRPr="0031706B">
              <w:rPr>
                <w:rFonts w:eastAsia="Times New Roman" w:cs="Times New Roman"/>
                <w:b/>
                <w:bCs/>
                <w:color w:val="000000"/>
                <w:sz w:val="20"/>
                <w:szCs w:val="20"/>
                <w:lang w:val="en-GB" w:eastAsia="en-GB"/>
              </w:rPr>
              <w:t>fficiency</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1C06741F" w14:textId="0723FCDA" w:rsidR="00E373E7" w:rsidRPr="0031706B" w:rsidRDefault="00E373E7" w:rsidP="00E373E7">
            <w:pPr>
              <w:spacing w:after="0"/>
              <w:jc w:val="center"/>
              <w:rPr>
                <w:rFonts w:eastAsia="Times New Roman" w:cs="Times New Roman"/>
                <w:b/>
                <w:bCs/>
                <w:color w:val="000000"/>
                <w:sz w:val="20"/>
                <w:szCs w:val="20"/>
                <w:lang w:val="en-GB" w:eastAsia="en-GB"/>
              </w:rPr>
            </w:pPr>
            <w:r w:rsidRPr="0031706B">
              <w:rPr>
                <w:rFonts w:eastAsia="Times New Roman" w:cs="Times New Roman"/>
                <w:b/>
                <w:bCs/>
                <w:color w:val="000000"/>
                <w:sz w:val="20"/>
                <w:szCs w:val="20"/>
                <w:lang w:val="en-GB" w:eastAsia="en-GB"/>
              </w:rPr>
              <w:t xml:space="preserve">Higher </w:t>
            </w:r>
            <w:r w:rsidR="00CF093A" w:rsidRPr="0031706B">
              <w:rPr>
                <w:rFonts w:eastAsia="Times New Roman" w:cs="Times New Roman"/>
                <w:b/>
                <w:bCs/>
                <w:color w:val="000000"/>
                <w:sz w:val="20"/>
                <w:szCs w:val="20"/>
                <w:lang w:val="en-GB" w:eastAsia="en-GB"/>
              </w:rPr>
              <w:t>n</w:t>
            </w:r>
            <w:r w:rsidRPr="0031706B">
              <w:rPr>
                <w:rFonts w:eastAsia="Times New Roman" w:cs="Times New Roman"/>
                <w:b/>
                <w:bCs/>
                <w:color w:val="000000"/>
                <w:sz w:val="20"/>
                <w:szCs w:val="20"/>
                <w:lang w:val="en-GB" w:eastAsia="en-GB"/>
              </w:rPr>
              <w:t>uclear</w:t>
            </w:r>
            <w:r w:rsidR="00CF093A" w:rsidRPr="0031706B">
              <w:rPr>
                <w:rFonts w:eastAsia="Times New Roman" w:cs="Times New Roman"/>
                <w:b/>
                <w:bCs/>
                <w:color w:val="000000"/>
                <w:sz w:val="20"/>
                <w:szCs w:val="20"/>
                <w:lang w:val="en-GB" w:eastAsia="en-GB"/>
              </w:rPr>
              <w:t>,</w:t>
            </w:r>
            <w:r w:rsidRPr="0031706B">
              <w:rPr>
                <w:rFonts w:eastAsia="Times New Roman" w:cs="Times New Roman"/>
                <w:b/>
                <w:bCs/>
                <w:color w:val="000000"/>
                <w:sz w:val="20"/>
                <w:szCs w:val="20"/>
                <w:lang w:val="en-GB" w:eastAsia="en-GB"/>
              </w:rPr>
              <w:br/>
            </w:r>
            <w:r w:rsidR="00CF093A" w:rsidRPr="0031706B">
              <w:rPr>
                <w:rFonts w:eastAsia="Times New Roman" w:cs="Times New Roman"/>
                <w:b/>
                <w:bCs/>
                <w:color w:val="000000"/>
                <w:sz w:val="20"/>
                <w:szCs w:val="20"/>
                <w:lang w:val="en-GB" w:eastAsia="en-GB"/>
              </w:rPr>
              <w:t>l</w:t>
            </w:r>
            <w:r w:rsidRPr="0031706B">
              <w:rPr>
                <w:rFonts w:eastAsia="Times New Roman" w:cs="Times New Roman"/>
                <w:b/>
                <w:bCs/>
                <w:color w:val="000000"/>
                <w:sz w:val="20"/>
                <w:szCs w:val="20"/>
                <w:lang w:val="en-GB" w:eastAsia="en-GB"/>
              </w:rPr>
              <w:t xml:space="preserve">ess </w:t>
            </w:r>
            <w:r w:rsidR="00CF093A" w:rsidRPr="0031706B">
              <w:rPr>
                <w:rFonts w:eastAsia="Times New Roman" w:cs="Times New Roman"/>
                <w:b/>
                <w:bCs/>
                <w:color w:val="000000"/>
                <w:sz w:val="20"/>
                <w:szCs w:val="20"/>
                <w:lang w:val="en-GB" w:eastAsia="en-GB"/>
              </w:rPr>
              <w:t>e</w:t>
            </w:r>
            <w:r w:rsidRPr="0031706B">
              <w:rPr>
                <w:rFonts w:eastAsia="Times New Roman" w:cs="Times New Roman"/>
                <w:b/>
                <w:bCs/>
                <w:color w:val="000000"/>
                <w:sz w:val="20"/>
                <w:szCs w:val="20"/>
                <w:lang w:val="en-GB" w:eastAsia="en-GB"/>
              </w:rPr>
              <w:t xml:space="preserve">nergy </w:t>
            </w:r>
            <w:r w:rsidR="00CF093A" w:rsidRPr="0031706B">
              <w:rPr>
                <w:rFonts w:eastAsia="Times New Roman" w:cs="Times New Roman"/>
                <w:b/>
                <w:bCs/>
                <w:color w:val="000000"/>
                <w:sz w:val="20"/>
                <w:szCs w:val="20"/>
                <w:lang w:val="en-GB" w:eastAsia="en-GB"/>
              </w:rPr>
              <w:t>e</w:t>
            </w:r>
            <w:r w:rsidRPr="0031706B">
              <w:rPr>
                <w:rFonts w:eastAsia="Times New Roman" w:cs="Times New Roman"/>
                <w:b/>
                <w:bCs/>
                <w:color w:val="000000"/>
                <w:sz w:val="20"/>
                <w:szCs w:val="20"/>
                <w:lang w:val="en-GB" w:eastAsia="en-GB"/>
              </w:rPr>
              <w:t>fficiency</w:t>
            </w:r>
          </w:p>
        </w:tc>
      </w:tr>
      <w:tr w:rsidR="00E373E7" w:rsidRPr="0031706B" w14:paraId="65A5C171" w14:textId="77777777" w:rsidTr="00E373E7">
        <w:trPr>
          <w:trHeight w:val="315"/>
        </w:trPr>
        <w:tc>
          <w:tcPr>
            <w:tcW w:w="4160" w:type="dxa"/>
            <w:gridSpan w:val="2"/>
            <w:tcBorders>
              <w:top w:val="single" w:sz="8" w:space="0" w:color="auto"/>
              <w:left w:val="single" w:sz="8" w:space="0" w:color="auto"/>
              <w:bottom w:val="single" w:sz="8" w:space="0" w:color="auto"/>
              <w:right w:val="nil"/>
            </w:tcBorders>
            <w:shd w:val="clear" w:color="000000" w:fill="D9D9D9"/>
            <w:vAlign w:val="center"/>
            <w:hideMark/>
          </w:tcPr>
          <w:p w14:paraId="5903D03E" w14:textId="77777777" w:rsidR="00E373E7" w:rsidRPr="0031706B" w:rsidRDefault="00E373E7" w:rsidP="00E373E7">
            <w:pPr>
              <w:spacing w:after="0"/>
              <w:rPr>
                <w:rFonts w:eastAsia="Times New Roman" w:cs="Times New Roman"/>
                <w:b/>
                <w:bCs/>
                <w:color w:val="000000"/>
                <w:sz w:val="20"/>
                <w:szCs w:val="20"/>
                <w:lang w:val="en-GB" w:eastAsia="en-GB"/>
              </w:rPr>
            </w:pPr>
            <w:r w:rsidRPr="0031706B">
              <w:rPr>
                <w:rFonts w:eastAsia="Times New Roman" w:cs="Times New Roman"/>
                <w:b/>
                <w:bCs/>
                <w:color w:val="000000"/>
                <w:sz w:val="20"/>
                <w:szCs w:val="20"/>
                <w:lang w:val="en-GB" w:eastAsia="en-GB"/>
              </w:rPr>
              <w:t>Supply</w:t>
            </w:r>
          </w:p>
        </w:tc>
        <w:tc>
          <w:tcPr>
            <w:tcW w:w="2080" w:type="dxa"/>
            <w:tcBorders>
              <w:top w:val="nil"/>
              <w:left w:val="nil"/>
              <w:bottom w:val="single" w:sz="8" w:space="0" w:color="auto"/>
              <w:right w:val="nil"/>
            </w:tcBorders>
            <w:shd w:val="clear" w:color="000000" w:fill="D9D9D9"/>
            <w:vAlign w:val="center"/>
            <w:hideMark/>
          </w:tcPr>
          <w:p w14:paraId="0258B3FE" w14:textId="77777777" w:rsidR="00E373E7" w:rsidRPr="0031706B" w:rsidRDefault="00E373E7" w:rsidP="00E373E7">
            <w:pPr>
              <w:spacing w:after="0"/>
              <w:rPr>
                <w:rFonts w:eastAsia="Times New Roman" w:cs="Times New Roman"/>
                <w:b/>
                <w:bCs/>
                <w:color w:val="000000"/>
                <w:sz w:val="20"/>
                <w:szCs w:val="20"/>
                <w:lang w:val="en-GB" w:eastAsia="en-GB"/>
              </w:rPr>
            </w:pPr>
            <w:r w:rsidRPr="0031706B">
              <w:rPr>
                <w:rFonts w:eastAsia="Times New Roman" w:cs="Times New Roman"/>
                <w:b/>
                <w:bCs/>
                <w:color w:val="000000"/>
                <w:sz w:val="20"/>
                <w:szCs w:val="20"/>
                <w:lang w:val="en-GB" w:eastAsia="en-GB"/>
              </w:rPr>
              <w:t> </w:t>
            </w:r>
          </w:p>
        </w:tc>
        <w:tc>
          <w:tcPr>
            <w:tcW w:w="1880" w:type="dxa"/>
            <w:tcBorders>
              <w:top w:val="nil"/>
              <w:left w:val="nil"/>
              <w:bottom w:val="single" w:sz="8" w:space="0" w:color="auto"/>
              <w:right w:val="nil"/>
            </w:tcBorders>
            <w:shd w:val="clear" w:color="000000" w:fill="D9D9D9"/>
            <w:vAlign w:val="center"/>
            <w:hideMark/>
          </w:tcPr>
          <w:p w14:paraId="1FFDC61B" w14:textId="77777777" w:rsidR="00E373E7" w:rsidRPr="0031706B" w:rsidRDefault="00E373E7" w:rsidP="00E373E7">
            <w:pPr>
              <w:spacing w:after="0"/>
              <w:rPr>
                <w:rFonts w:eastAsia="Times New Roman" w:cs="Times New Roman"/>
                <w:b/>
                <w:bCs/>
                <w:color w:val="000000"/>
                <w:sz w:val="20"/>
                <w:szCs w:val="20"/>
                <w:lang w:val="en-GB" w:eastAsia="en-GB"/>
              </w:rPr>
            </w:pPr>
            <w:r w:rsidRPr="0031706B">
              <w:rPr>
                <w:rFonts w:eastAsia="Times New Roman" w:cs="Times New Roman"/>
                <w:b/>
                <w:bCs/>
                <w:color w:val="000000"/>
                <w:sz w:val="20"/>
                <w:szCs w:val="20"/>
                <w:lang w:val="en-GB" w:eastAsia="en-GB"/>
              </w:rPr>
              <w:t> </w:t>
            </w:r>
          </w:p>
        </w:tc>
      </w:tr>
      <w:tr w:rsidR="00E373E7" w:rsidRPr="0031706B" w14:paraId="79F391B3" w14:textId="77777777" w:rsidTr="00E373E7">
        <w:trPr>
          <w:trHeight w:val="402"/>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22FAEF68"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Biofuel production</w:t>
            </w:r>
          </w:p>
        </w:tc>
        <w:tc>
          <w:tcPr>
            <w:tcW w:w="1440" w:type="dxa"/>
            <w:tcBorders>
              <w:top w:val="nil"/>
              <w:left w:val="nil"/>
              <w:bottom w:val="single" w:sz="8" w:space="0" w:color="auto"/>
              <w:right w:val="single" w:sz="8" w:space="0" w:color="auto"/>
            </w:tcBorders>
            <w:shd w:val="clear" w:color="auto" w:fill="auto"/>
            <w:vAlign w:val="center"/>
            <w:hideMark/>
          </w:tcPr>
          <w:p w14:paraId="0FBF3D14"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3</w:t>
            </w:r>
          </w:p>
        </w:tc>
        <w:tc>
          <w:tcPr>
            <w:tcW w:w="2080" w:type="dxa"/>
            <w:tcBorders>
              <w:top w:val="nil"/>
              <w:left w:val="nil"/>
              <w:bottom w:val="single" w:sz="8" w:space="0" w:color="auto"/>
              <w:right w:val="single" w:sz="8" w:space="0" w:color="auto"/>
            </w:tcBorders>
            <w:shd w:val="clear" w:color="auto" w:fill="auto"/>
            <w:vAlign w:val="center"/>
            <w:hideMark/>
          </w:tcPr>
          <w:p w14:paraId="3696E901"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1880" w:type="dxa"/>
            <w:tcBorders>
              <w:top w:val="nil"/>
              <w:left w:val="nil"/>
              <w:bottom w:val="single" w:sz="8" w:space="0" w:color="auto"/>
              <w:right w:val="single" w:sz="8" w:space="0" w:color="auto"/>
            </w:tcBorders>
            <w:shd w:val="clear" w:color="auto" w:fill="auto"/>
            <w:vAlign w:val="center"/>
            <w:hideMark/>
          </w:tcPr>
          <w:p w14:paraId="5675A2CE"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4</w:t>
            </w:r>
          </w:p>
        </w:tc>
      </w:tr>
      <w:tr w:rsidR="00E373E7" w:rsidRPr="0031706B" w14:paraId="1842B596" w14:textId="77777777" w:rsidTr="00E373E7">
        <w:trPr>
          <w:trHeight w:val="402"/>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10296A34"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Nuclear power</w:t>
            </w:r>
          </w:p>
        </w:tc>
        <w:tc>
          <w:tcPr>
            <w:tcW w:w="1440" w:type="dxa"/>
            <w:tcBorders>
              <w:top w:val="nil"/>
              <w:left w:val="nil"/>
              <w:bottom w:val="single" w:sz="8" w:space="0" w:color="auto"/>
              <w:right w:val="single" w:sz="8" w:space="0" w:color="auto"/>
            </w:tcBorders>
            <w:shd w:val="clear" w:color="auto" w:fill="auto"/>
            <w:vAlign w:val="center"/>
            <w:hideMark/>
          </w:tcPr>
          <w:p w14:paraId="1FDC0F34"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2080" w:type="dxa"/>
            <w:tcBorders>
              <w:top w:val="nil"/>
              <w:left w:val="nil"/>
              <w:bottom w:val="single" w:sz="8" w:space="0" w:color="auto"/>
              <w:right w:val="single" w:sz="8" w:space="0" w:color="auto"/>
            </w:tcBorders>
            <w:shd w:val="clear" w:color="auto" w:fill="auto"/>
            <w:vAlign w:val="center"/>
            <w:hideMark/>
          </w:tcPr>
          <w:p w14:paraId="58400E36"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1880" w:type="dxa"/>
            <w:tcBorders>
              <w:top w:val="nil"/>
              <w:left w:val="nil"/>
              <w:bottom w:val="single" w:sz="8" w:space="0" w:color="auto"/>
              <w:right w:val="single" w:sz="8" w:space="0" w:color="auto"/>
            </w:tcBorders>
            <w:shd w:val="clear" w:color="auto" w:fill="auto"/>
            <w:vAlign w:val="center"/>
            <w:hideMark/>
          </w:tcPr>
          <w:p w14:paraId="2C6E2308"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3</w:t>
            </w:r>
          </w:p>
        </w:tc>
      </w:tr>
      <w:tr w:rsidR="00E373E7" w:rsidRPr="0031706B" w14:paraId="723E0B82" w14:textId="77777777" w:rsidTr="00E373E7">
        <w:trPr>
          <w:trHeight w:val="402"/>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523D0080"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Clean coal and gas power</w:t>
            </w:r>
          </w:p>
        </w:tc>
        <w:tc>
          <w:tcPr>
            <w:tcW w:w="1440" w:type="dxa"/>
            <w:tcBorders>
              <w:top w:val="nil"/>
              <w:left w:val="nil"/>
              <w:bottom w:val="single" w:sz="8" w:space="0" w:color="auto"/>
              <w:right w:val="single" w:sz="8" w:space="0" w:color="auto"/>
            </w:tcBorders>
            <w:shd w:val="clear" w:color="auto" w:fill="auto"/>
            <w:vAlign w:val="center"/>
            <w:hideMark/>
          </w:tcPr>
          <w:p w14:paraId="09491382"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2080" w:type="dxa"/>
            <w:tcBorders>
              <w:top w:val="nil"/>
              <w:left w:val="nil"/>
              <w:bottom w:val="single" w:sz="8" w:space="0" w:color="auto"/>
              <w:right w:val="single" w:sz="8" w:space="0" w:color="auto"/>
            </w:tcBorders>
            <w:shd w:val="clear" w:color="auto" w:fill="auto"/>
            <w:vAlign w:val="center"/>
            <w:hideMark/>
          </w:tcPr>
          <w:p w14:paraId="537E1002"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1880" w:type="dxa"/>
            <w:tcBorders>
              <w:top w:val="nil"/>
              <w:left w:val="nil"/>
              <w:bottom w:val="single" w:sz="8" w:space="0" w:color="auto"/>
              <w:right w:val="single" w:sz="8" w:space="0" w:color="auto"/>
            </w:tcBorders>
            <w:shd w:val="clear" w:color="auto" w:fill="auto"/>
            <w:vAlign w:val="center"/>
            <w:hideMark/>
          </w:tcPr>
          <w:p w14:paraId="2638F5E5"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1</w:t>
            </w:r>
          </w:p>
        </w:tc>
      </w:tr>
      <w:tr w:rsidR="00E373E7" w:rsidRPr="0031706B" w14:paraId="01532B05" w14:textId="77777777" w:rsidTr="00E373E7">
        <w:trPr>
          <w:trHeight w:val="402"/>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514C78B4"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Wind turbines on land</w:t>
            </w:r>
          </w:p>
        </w:tc>
        <w:tc>
          <w:tcPr>
            <w:tcW w:w="1440" w:type="dxa"/>
            <w:tcBorders>
              <w:top w:val="nil"/>
              <w:left w:val="nil"/>
              <w:bottom w:val="single" w:sz="8" w:space="0" w:color="auto"/>
              <w:right w:val="single" w:sz="8" w:space="0" w:color="auto"/>
            </w:tcBorders>
            <w:shd w:val="clear" w:color="auto" w:fill="auto"/>
            <w:vAlign w:val="center"/>
            <w:hideMark/>
          </w:tcPr>
          <w:p w14:paraId="7DBF829B"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2080" w:type="dxa"/>
            <w:tcBorders>
              <w:top w:val="nil"/>
              <w:left w:val="nil"/>
              <w:bottom w:val="single" w:sz="8" w:space="0" w:color="auto"/>
              <w:right w:val="single" w:sz="8" w:space="0" w:color="auto"/>
            </w:tcBorders>
            <w:shd w:val="clear" w:color="auto" w:fill="auto"/>
            <w:vAlign w:val="center"/>
            <w:hideMark/>
          </w:tcPr>
          <w:p w14:paraId="37025FC2"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3</w:t>
            </w:r>
          </w:p>
        </w:tc>
        <w:tc>
          <w:tcPr>
            <w:tcW w:w="1880" w:type="dxa"/>
            <w:tcBorders>
              <w:top w:val="nil"/>
              <w:left w:val="nil"/>
              <w:bottom w:val="single" w:sz="8" w:space="0" w:color="auto"/>
              <w:right w:val="single" w:sz="8" w:space="0" w:color="auto"/>
            </w:tcBorders>
            <w:shd w:val="clear" w:color="auto" w:fill="auto"/>
            <w:vAlign w:val="center"/>
            <w:hideMark/>
          </w:tcPr>
          <w:p w14:paraId="71205B15"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r>
      <w:tr w:rsidR="00E373E7" w:rsidRPr="0031706B" w14:paraId="7A00A07B" w14:textId="77777777" w:rsidTr="00E373E7">
        <w:trPr>
          <w:trHeight w:val="402"/>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6EA611FD"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Wind turbines on sea</w:t>
            </w:r>
          </w:p>
        </w:tc>
        <w:tc>
          <w:tcPr>
            <w:tcW w:w="1440" w:type="dxa"/>
            <w:tcBorders>
              <w:top w:val="nil"/>
              <w:left w:val="nil"/>
              <w:bottom w:val="single" w:sz="8" w:space="0" w:color="auto"/>
              <w:right w:val="single" w:sz="8" w:space="0" w:color="auto"/>
            </w:tcBorders>
            <w:shd w:val="clear" w:color="auto" w:fill="auto"/>
            <w:vAlign w:val="center"/>
            <w:hideMark/>
          </w:tcPr>
          <w:p w14:paraId="740D196F"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2080" w:type="dxa"/>
            <w:tcBorders>
              <w:top w:val="nil"/>
              <w:left w:val="nil"/>
              <w:bottom w:val="single" w:sz="8" w:space="0" w:color="auto"/>
              <w:right w:val="single" w:sz="8" w:space="0" w:color="auto"/>
            </w:tcBorders>
            <w:shd w:val="clear" w:color="auto" w:fill="auto"/>
            <w:vAlign w:val="center"/>
            <w:hideMark/>
          </w:tcPr>
          <w:p w14:paraId="3595ACBD"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1880" w:type="dxa"/>
            <w:tcBorders>
              <w:top w:val="nil"/>
              <w:left w:val="nil"/>
              <w:bottom w:val="single" w:sz="8" w:space="0" w:color="auto"/>
              <w:right w:val="single" w:sz="8" w:space="0" w:color="auto"/>
            </w:tcBorders>
            <w:shd w:val="clear" w:color="auto" w:fill="auto"/>
            <w:vAlign w:val="center"/>
            <w:hideMark/>
          </w:tcPr>
          <w:p w14:paraId="4A109A6A"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1</w:t>
            </w:r>
          </w:p>
        </w:tc>
      </w:tr>
      <w:tr w:rsidR="00E373E7" w:rsidRPr="0031706B" w14:paraId="1AEAAFEA" w14:textId="77777777" w:rsidTr="00E373E7">
        <w:trPr>
          <w:trHeight w:val="402"/>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051995EF"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Solar, marine and hydro power</w:t>
            </w:r>
          </w:p>
        </w:tc>
        <w:tc>
          <w:tcPr>
            <w:tcW w:w="1440" w:type="dxa"/>
            <w:tcBorders>
              <w:top w:val="nil"/>
              <w:left w:val="nil"/>
              <w:bottom w:val="single" w:sz="8" w:space="0" w:color="auto"/>
              <w:right w:val="single" w:sz="8" w:space="0" w:color="auto"/>
            </w:tcBorders>
            <w:shd w:val="clear" w:color="auto" w:fill="auto"/>
            <w:vAlign w:val="center"/>
            <w:hideMark/>
          </w:tcPr>
          <w:p w14:paraId="4199A00E"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1</w:t>
            </w:r>
          </w:p>
        </w:tc>
        <w:tc>
          <w:tcPr>
            <w:tcW w:w="2080" w:type="dxa"/>
            <w:tcBorders>
              <w:top w:val="nil"/>
              <w:left w:val="nil"/>
              <w:bottom w:val="single" w:sz="8" w:space="0" w:color="auto"/>
              <w:right w:val="single" w:sz="8" w:space="0" w:color="auto"/>
            </w:tcBorders>
            <w:shd w:val="clear" w:color="auto" w:fill="auto"/>
            <w:vAlign w:val="center"/>
            <w:hideMark/>
          </w:tcPr>
          <w:p w14:paraId="3D9E15B3"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1880" w:type="dxa"/>
            <w:tcBorders>
              <w:top w:val="nil"/>
              <w:left w:val="nil"/>
              <w:bottom w:val="single" w:sz="8" w:space="0" w:color="auto"/>
              <w:right w:val="single" w:sz="8" w:space="0" w:color="auto"/>
            </w:tcBorders>
            <w:shd w:val="clear" w:color="auto" w:fill="auto"/>
            <w:vAlign w:val="center"/>
            <w:hideMark/>
          </w:tcPr>
          <w:p w14:paraId="74B33AFB"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1</w:t>
            </w:r>
          </w:p>
        </w:tc>
      </w:tr>
      <w:tr w:rsidR="00E373E7" w:rsidRPr="0031706B" w14:paraId="1AC4371C" w14:textId="77777777" w:rsidTr="00E373E7">
        <w:trPr>
          <w:trHeight w:val="402"/>
        </w:trPr>
        <w:tc>
          <w:tcPr>
            <w:tcW w:w="4160" w:type="dxa"/>
            <w:gridSpan w:val="2"/>
            <w:tcBorders>
              <w:top w:val="single" w:sz="8" w:space="0" w:color="auto"/>
              <w:left w:val="single" w:sz="8" w:space="0" w:color="auto"/>
              <w:bottom w:val="single" w:sz="8" w:space="0" w:color="auto"/>
              <w:right w:val="nil"/>
            </w:tcBorders>
            <w:shd w:val="clear" w:color="000000" w:fill="D9D9D9"/>
            <w:vAlign w:val="center"/>
            <w:hideMark/>
          </w:tcPr>
          <w:p w14:paraId="386B59BB" w14:textId="77777777" w:rsidR="00E373E7" w:rsidRPr="0031706B" w:rsidRDefault="00E373E7" w:rsidP="00E373E7">
            <w:pPr>
              <w:spacing w:after="0"/>
              <w:rPr>
                <w:rFonts w:eastAsia="Times New Roman" w:cs="Times New Roman"/>
                <w:b/>
                <w:bCs/>
                <w:color w:val="000000"/>
                <w:sz w:val="20"/>
                <w:szCs w:val="20"/>
                <w:lang w:val="en-GB" w:eastAsia="en-GB"/>
              </w:rPr>
            </w:pPr>
            <w:r w:rsidRPr="0031706B">
              <w:rPr>
                <w:rFonts w:eastAsia="Times New Roman" w:cs="Times New Roman"/>
                <w:b/>
                <w:bCs/>
                <w:color w:val="000000"/>
                <w:sz w:val="20"/>
                <w:szCs w:val="20"/>
                <w:lang w:val="en-GB" w:eastAsia="en-GB"/>
              </w:rPr>
              <w:t>Demand</w:t>
            </w:r>
          </w:p>
        </w:tc>
        <w:tc>
          <w:tcPr>
            <w:tcW w:w="2080" w:type="dxa"/>
            <w:tcBorders>
              <w:top w:val="nil"/>
              <w:left w:val="nil"/>
              <w:bottom w:val="single" w:sz="8" w:space="0" w:color="auto"/>
              <w:right w:val="nil"/>
            </w:tcBorders>
            <w:shd w:val="clear" w:color="000000" w:fill="D9D9D9"/>
            <w:vAlign w:val="center"/>
            <w:hideMark/>
          </w:tcPr>
          <w:p w14:paraId="095E3DD8" w14:textId="77777777" w:rsidR="00E373E7" w:rsidRPr="0031706B" w:rsidRDefault="00E373E7" w:rsidP="00E373E7">
            <w:pPr>
              <w:spacing w:after="0"/>
              <w:rPr>
                <w:rFonts w:eastAsia="Times New Roman" w:cs="Times New Roman"/>
                <w:b/>
                <w:bCs/>
                <w:color w:val="000000"/>
                <w:sz w:val="20"/>
                <w:szCs w:val="20"/>
                <w:lang w:val="en-GB" w:eastAsia="en-GB"/>
              </w:rPr>
            </w:pPr>
            <w:r w:rsidRPr="0031706B">
              <w:rPr>
                <w:rFonts w:eastAsia="Times New Roman" w:cs="Times New Roman"/>
                <w:b/>
                <w:bCs/>
                <w:color w:val="000000"/>
                <w:sz w:val="20"/>
                <w:szCs w:val="20"/>
                <w:lang w:val="en-GB" w:eastAsia="en-GB"/>
              </w:rPr>
              <w:t> </w:t>
            </w:r>
          </w:p>
        </w:tc>
        <w:tc>
          <w:tcPr>
            <w:tcW w:w="1880" w:type="dxa"/>
            <w:tcBorders>
              <w:top w:val="nil"/>
              <w:left w:val="nil"/>
              <w:bottom w:val="single" w:sz="8" w:space="0" w:color="auto"/>
              <w:right w:val="nil"/>
            </w:tcBorders>
            <w:shd w:val="clear" w:color="000000" w:fill="D9D9D9"/>
            <w:vAlign w:val="center"/>
            <w:hideMark/>
          </w:tcPr>
          <w:p w14:paraId="7F7731F3" w14:textId="77777777" w:rsidR="00E373E7" w:rsidRPr="0031706B" w:rsidRDefault="00E373E7" w:rsidP="00E373E7">
            <w:pPr>
              <w:spacing w:after="0"/>
              <w:rPr>
                <w:rFonts w:eastAsia="Times New Roman" w:cs="Times New Roman"/>
                <w:b/>
                <w:bCs/>
                <w:color w:val="000000"/>
                <w:sz w:val="20"/>
                <w:szCs w:val="20"/>
                <w:lang w:val="en-GB" w:eastAsia="en-GB"/>
              </w:rPr>
            </w:pPr>
            <w:r w:rsidRPr="0031706B">
              <w:rPr>
                <w:rFonts w:eastAsia="Times New Roman" w:cs="Times New Roman"/>
                <w:b/>
                <w:bCs/>
                <w:color w:val="000000"/>
                <w:sz w:val="20"/>
                <w:szCs w:val="20"/>
                <w:lang w:val="en-GB" w:eastAsia="en-GB"/>
              </w:rPr>
              <w:t> </w:t>
            </w:r>
          </w:p>
        </w:tc>
      </w:tr>
      <w:tr w:rsidR="00E373E7" w:rsidRPr="0031706B" w14:paraId="445C5758" w14:textId="77777777" w:rsidTr="00E373E7">
        <w:trPr>
          <w:trHeight w:val="402"/>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7482DC00"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Manufacturing growth</w:t>
            </w:r>
          </w:p>
        </w:tc>
        <w:tc>
          <w:tcPr>
            <w:tcW w:w="1440" w:type="dxa"/>
            <w:tcBorders>
              <w:top w:val="nil"/>
              <w:left w:val="nil"/>
              <w:bottom w:val="single" w:sz="8" w:space="0" w:color="auto"/>
              <w:right w:val="single" w:sz="8" w:space="0" w:color="auto"/>
            </w:tcBorders>
            <w:shd w:val="clear" w:color="auto" w:fill="auto"/>
            <w:vAlign w:val="center"/>
            <w:hideMark/>
          </w:tcPr>
          <w:p w14:paraId="5B3ED9FE"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2080" w:type="dxa"/>
            <w:tcBorders>
              <w:top w:val="nil"/>
              <w:left w:val="nil"/>
              <w:bottom w:val="single" w:sz="8" w:space="0" w:color="auto"/>
              <w:right w:val="single" w:sz="8" w:space="0" w:color="auto"/>
            </w:tcBorders>
            <w:shd w:val="clear" w:color="auto" w:fill="auto"/>
            <w:vAlign w:val="center"/>
            <w:hideMark/>
          </w:tcPr>
          <w:p w14:paraId="153DD7FE"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1880" w:type="dxa"/>
            <w:tcBorders>
              <w:top w:val="nil"/>
              <w:left w:val="nil"/>
              <w:bottom w:val="single" w:sz="8" w:space="0" w:color="auto"/>
              <w:right w:val="single" w:sz="8" w:space="0" w:color="auto"/>
            </w:tcBorders>
            <w:shd w:val="clear" w:color="auto" w:fill="auto"/>
            <w:vAlign w:val="center"/>
            <w:hideMark/>
          </w:tcPr>
          <w:p w14:paraId="0093E246"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r>
      <w:tr w:rsidR="00E373E7" w:rsidRPr="0031706B" w14:paraId="2A6AFF48" w14:textId="77777777" w:rsidTr="00E373E7">
        <w:trPr>
          <w:trHeight w:val="402"/>
        </w:trPr>
        <w:tc>
          <w:tcPr>
            <w:tcW w:w="2720" w:type="dxa"/>
            <w:tcBorders>
              <w:top w:val="nil"/>
              <w:left w:val="single" w:sz="8" w:space="0" w:color="auto"/>
              <w:bottom w:val="single" w:sz="8" w:space="0" w:color="auto"/>
              <w:right w:val="single" w:sz="8" w:space="0" w:color="auto"/>
            </w:tcBorders>
            <w:shd w:val="clear" w:color="000000" w:fill="FFFFFF"/>
            <w:vAlign w:val="center"/>
            <w:hideMark/>
          </w:tcPr>
          <w:p w14:paraId="258FA27D"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Business greenness</w:t>
            </w:r>
          </w:p>
        </w:tc>
        <w:tc>
          <w:tcPr>
            <w:tcW w:w="1440" w:type="dxa"/>
            <w:tcBorders>
              <w:top w:val="nil"/>
              <w:left w:val="nil"/>
              <w:bottom w:val="single" w:sz="8" w:space="0" w:color="auto"/>
              <w:right w:val="single" w:sz="8" w:space="0" w:color="auto"/>
            </w:tcBorders>
            <w:shd w:val="clear" w:color="000000" w:fill="FFFFFF"/>
            <w:vAlign w:val="center"/>
            <w:hideMark/>
          </w:tcPr>
          <w:p w14:paraId="12595A59"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4</w:t>
            </w:r>
          </w:p>
        </w:tc>
        <w:tc>
          <w:tcPr>
            <w:tcW w:w="2080" w:type="dxa"/>
            <w:tcBorders>
              <w:top w:val="nil"/>
              <w:left w:val="nil"/>
              <w:bottom w:val="single" w:sz="8" w:space="0" w:color="auto"/>
              <w:right w:val="single" w:sz="8" w:space="0" w:color="auto"/>
            </w:tcBorders>
            <w:shd w:val="clear" w:color="000000" w:fill="FFFFFF"/>
            <w:vAlign w:val="center"/>
            <w:hideMark/>
          </w:tcPr>
          <w:p w14:paraId="08EBC002"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4</w:t>
            </w:r>
          </w:p>
        </w:tc>
        <w:tc>
          <w:tcPr>
            <w:tcW w:w="1880" w:type="dxa"/>
            <w:tcBorders>
              <w:top w:val="nil"/>
              <w:left w:val="nil"/>
              <w:bottom w:val="single" w:sz="8" w:space="0" w:color="auto"/>
              <w:right w:val="single" w:sz="8" w:space="0" w:color="auto"/>
            </w:tcBorders>
            <w:shd w:val="clear" w:color="000000" w:fill="FFFFFF"/>
            <w:vAlign w:val="center"/>
            <w:hideMark/>
          </w:tcPr>
          <w:p w14:paraId="5731BEA1"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1</w:t>
            </w:r>
          </w:p>
        </w:tc>
      </w:tr>
      <w:tr w:rsidR="00E373E7" w:rsidRPr="0031706B" w14:paraId="4E294A14" w14:textId="77777777" w:rsidTr="00E373E7">
        <w:trPr>
          <w:trHeight w:val="402"/>
        </w:trPr>
        <w:tc>
          <w:tcPr>
            <w:tcW w:w="2720" w:type="dxa"/>
            <w:tcBorders>
              <w:top w:val="nil"/>
              <w:left w:val="single" w:sz="8" w:space="0" w:color="auto"/>
              <w:bottom w:val="single" w:sz="8" w:space="0" w:color="auto"/>
              <w:right w:val="single" w:sz="8" w:space="0" w:color="auto"/>
            </w:tcBorders>
            <w:shd w:val="clear" w:color="000000" w:fill="FFFFFF"/>
            <w:vAlign w:val="center"/>
            <w:hideMark/>
          </w:tcPr>
          <w:p w14:paraId="65D029FF"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Home efficiency</w:t>
            </w:r>
          </w:p>
        </w:tc>
        <w:tc>
          <w:tcPr>
            <w:tcW w:w="1440" w:type="dxa"/>
            <w:tcBorders>
              <w:top w:val="nil"/>
              <w:left w:val="nil"/>
              <w:bottom w:val="single" w:sz="8" w:space="0" w:color="auto"/>
              <w:right w:val="single" w:sz="8" w:space="0" w:color="auto"/>
            </w:tcBorders>
            <w:shd w:val="clear" w:color="000000" w:fill="FFFFFF"/>
            <w:vAlign w:val="center"/>
            <w:hideMark/>
          </w:tcPr>
          <w:p w14:paraId="7DE8085B"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3</w:t>
            </w:r>
          </w:p>
        </w:tc>
        <w:tc>
          <w:tcPr>
            <w:tcW w:w="2080" w:type="dxa"/>
            <w:tcBorders>
              <w:top w:val="nil"/>
              <w:left w:val="nil"/>
              <w:bottom w:val="single" w:sz="8" w:space="0" w:color="auto"/>
              <w:right w:val="single" w:sz="8" w:space="0" w:color="auto"/>
            </w:tcBorders>
            <w:shd w:val="clear" w:color="000000" w:fill="FFFFFF"/>
            <w:vAlign w:val="center"/>
            <w:hideMark/>
          </w:tcPr>
          <w:p w14:paraId="49957A67"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4</w:t>
            </w:r>
          </w:p>
        </w:tc>
        <w:tc>
          <w:tcPr>
            <w:tcW w:w="1880" w:type="dxa"/>
            <w:tcBorders>
              <w:top w:val="nil"/>
              <w:left w:val="nil"/>
              <w:bottom w:val="single" w:sz="8" w:space="0" w:color="auto"/>
              <w:right w:val="single" w:sz="8" w:space="0" w:color="auto"/>
            </w:tcBorders>
            <w:shd w:val="clear" w:color="000000" w:fill="FFFFFF"/>
            <w:vAlign w:val="center"/>
            <w:hideMark/>
          </w:tcPr>
          <w:p w14:paraId="0685981D"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3</w:t>
            </w:r>
          </w:p>
        </w:tc>
      </w:tr>
      <w:tr w:rsidR="00E373E7" w:rsidRPr="0031706B" w14:paraId="6CE74B34" w14:textId="77777777" w:rsidTr="00E373E7">
        <w:trPr>
          <w:trHeight w:val="402"/>
        </w:trPr>
        <w:tc>
          <w:tcPr>
            <w:tcW w:w="2720" w:type="dxa"/>
            <w:tcBorders>
              <w:top w:val="nil"/>
              <w:left w:val="single" w:sz="8" w:space="0" w:color="auto"/>
              <w:bottom w:val="single" w:sz="8" w:space="0" w:color="auto"/>
              <w:right w:val="single" w:sz="8" w:space="0" w:color="auto"/>
            </w:tcBorders>
            <w:shd w:val="clear" w:color="000000" w:fill="FFFFFF"/>
            <w:vAlign w:val="center"/>
            <w:hideMark/>
          </w:tcPr>
          <w:p w14:paraId="210BCE4A"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Home temperature</w:t>
            </w:r>
          </w:p>
        </w:tc>
        <w:tc>
          <w:tcPr>
            <w:tcW w:w="1440" w:type="dxa"/>
            <w:tcBorders>
              <w:top w:val="nil"/>
              <w:left w:val="nil"/>
              <w:bottom w:val="single" w:sz="8" w:space="0" w:color="auto"/>
              <w:right w:val="single" w:sz="8" w:space="0" w:color="auto"/>
            </w:tcBorders>
            <w:shd w:val="clear" w:color="000000" w:fill="FFFFFF"/>
            <w:vAlign w:val="center"/>
            <w:hideMark/>
          </w:tcPr>
          <w:p w14:paraId="5CF5AB5F"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3</w:t>
            </w:r>
          </w:p>
        </w:tc>
        <w:tc>
          <w:tcPr>
            <w:tcW w:w="2080" w:type="dxa"/>
            <w:tcBorders>
              <w:top w:val="nil"/>
              <w:left w:val="nil"/>
              <w:bottom w:val="single" w:sz="8" w:space="0" w:color="auto"/>
              <w:right w:val="single" w:sz="8" w:space="0" w:color="auto"/>
            </w:tcBorders>
            <w:shd w:val="clear" w:color="000000" w:fill="FFFFFF"/>
            <w:vAlign w:val="center"/>
            <w:hideMark/>
          </w:tcPr>
          <w:p w14:paraId="57BC4815"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4</w:t>
            </w:r>
          </w:p>
        </w:tc>
        <w:tc>
          <w:tcPr>
            <w:tcW w:w="1880" w:type="dxa"/>
            <w:tcBorders>
              <w:top w:val="nil"/>
              <w:left w:val="nil"/>
              <w:bottom w:val="single" w:sz="8" w:space="0" w:color="auto"/>
              <w:right w:val="single" w:sz="8" w:space="0" w:color="auto"/>
            </w:tcBorders>
            <w:shd w:val="clear" w:color="000000" w:fill="FFFFFF"/>
            <w:vAlign w:val="center"/>
            <w:hideMark/>
          </w:tcPr>
          <w:p w14:paraId="6D262F09"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r>
      <w:tr w:rsidR="00E373E7" w:rsidRPr="0031706B" w14:paraId="113B414F" w14:textId="77777777" w:rsidTr="00E373E7">
        <w:trPr>
          <w:trHeight w:val="402"/>
        </w:trPr>
        <w:tc>
          <w:tcPr>
            <w:tcW w:w="2720" w:type="dxa"/>
            <w:tcBorders>
              <w:top w:val="nil"/>
              <w:left w:val="single" w:sz="8" w:space="0" w:color="auto"/>
              <w:bottom w:val="single" w:sz="8" w:space="0" w:color="auto"/>
              <w:right w:val="single" w:sz="8" w:space="0" w:color="auto"/>
            </w:tcBorders>
            <w:shd w:val="clear" w:color="000000" w:fill="FFFFFF"/>
            <w:vAlign w:val="center"/>
            <w:hideMark/>
          </w:tcPr>
          <w:p w14:paraId="003CE921"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Heating fuel</w:t>
            </w:r>
          </w:p>
        </w:tc>
        <w:tc>
          <w:tcPr>
            <w:tcW w:w="1440" w:type="dxa"/>
            <w:tcBorders>
              <w:top w:val="nil"/>
              <w:left w:val="nil"/>
              <w:bottom w:val="single" w:sz="8" w:space="0" w:color="auto"/>
              <w:right w:val="single" w:sz="8" w:space="0" w:color="auto"/>
            </w:tcBorders>
            <w:shd w:val="clear" w:color="000000" w:fill="FFFFFF"/>
            <w:vAlign w:val="center"/>
            <w:hideMark/>
          </w:tcPr>
          <w:p w14:paraId="3BC8455F"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3</w:t>
            </w:r>
          </w:p>
        </w:tc>
        <w:tc>
          <w:tcPr>
            <w:tcW w:w="2080" w:type="dxa"/>
            <w:tcBorders>
              <w:top w:val="nil"/>
              <w:left w:val="nil"/>
              <w:bottom w:val="single" w:sz="8" w:space="0" w:color="auto"/>
              <w:right w:val="single" w:sz="8" w:space="0" w:color="auto"/>
            </w:tcBorders>
            <w:shd w:val="clear" w:color="000000" w:fill="FFFFFF"/>
            <w:vAlign w:val="center"/>
            <w:hideMark/>
          </w:tcPr>
          <w:p w14:paraId="0D1A11B4"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4</w:t>
            </w:r>
          </w:p>
        </w:tc>
        <w:tc>
          <w:tcPr>
            <w:tcW w:w="1880" w:type="dxa"/>
            <w:tcBorders>
              <w:top w:val="nil"/>
              <w:left w:val="nil"/>
              <w:bottom w:val="single" w:sz="8" w:space="0" w:color="auto"/>
              <w:right w:val="single" w:sz="8" w:space="0" w:color="auto"/>
            </w:tcBorders>
            <w:shd w:val="clear" w:color="000000" w:fill="FFFFFF"/>
            <w:vAlign w:val="center"/>
            <w:hideMark/>
          </w:tcPr>
          <w:p w14:paraId="3C25CD21"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3</w:t>
            </w:r>
          </w:p>
        </w:tc>
      </w:tr>
      <w:tr w:rsidR="00E373E7" w:rsidRPr="0031706B" w14:paraId="291814AB" w14:textId="77777777" w:rsidTr="00E373E7">
        <w:trPr>
          <w:trHeight w:val="402"/>
        </w:trPr>
        <w:tc>
          <w:tcPr>
            <w:tcW w:w="2720" w:type="dxa"/>
            <w:tcBorders>
              <w:top w:val="nil"/>
              <w:left w:val="single" w:sz="8" w:space="0" w:color="auto"/>
              <w:bottom w:val="single" w:sz="8" w:space="0" w:color="auto"/>
              <w:right w:val="single" w:sz="8" w:space="0" w:color="auto"/>
            </w:tcBorders>
            <w:shd w:val="clear" w:color="000000" w:fill="FFFFFF"/>
            <w:vAlign w:val="center"/>
            <w:hideMark/>
          </w:tcPr>
          <w:p w14:paraId="294530C4"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How we travel</w:t>
            </w:r>
          </w:p>
        </w:tc>
        <w:tc>
          <w:tcPr>
            <w:tcW w:w="1440" w:type="dxa"/>
            <w:tcBorders>
              <w:top w:val="nil"/>
              <w:left w:val="nil"/>
              <w:bottom w:val="single" w:sz="8" w:space="0" w:color="auto"/>
              <w:right w:val="single" w:sz="8" w:space="0" w:color="auto"/>
            </w:tcBorders>
            <w:shd w:val="clear" w:color="000000" w:fill="FFFFFF"/>
            <w:vAlign w:val="center"/>
            <w:hideMark/>
          </w:tcPr>
          <w:p w14:paraId="5E6CAA77"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3</w:t>
            </w:r>
          </w:p>
        </w:tc>
        <w:tc>
          <w:tcPr>
            <w:tcW w:w="2080" w:type="dxa"/>
            <w:tcBorders>
              <w:top w:val="nil"/>
              <w:left w:val="nil"/>
              <w:bottom w:val="single" w:sz="8" w:space="0" w:color="auto"/>
              <w:right w:val="single" w:sz="8" w:space="0" w:color="auto"/>
            </w:tcBorders>
            <w:shd w:val="clear" w:color="000000" w:fill="FFFFFF"/>
            <w:vAlign w:val="center"/>
            <w:hideMark/>
          </w:tcPr>
          <w:p w14:paraId="09D47A37"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4</w:t>
            </w:r>
          </w:p>
        </w:tc>
        <w:tc>
          <w:tcPr>
            <w:tcW w:w="1880" w:type="dxa"/>
            <w:tcBorders>
              <w:top w:val="nil"/>
              <w:left w:val="nil"/>
              <w:bottom w:val="single" w:sz="8" w:space="0" w:color="auto"/>
              <w:right w:val="single" w:sz="8" w:space="0" w:color="auto"/>
            </w:tcBorders>
            <w:shd w:val="clear" w:color="000000" w:fill="FFFFFF"/>
            <w:vAlign w:val="center"/>
            <w:hideMark/>
          </w:tcPr>
          <w:p w14:paraId="3761416F"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r>
      <w:tr w:rsidR="00E373E7" w:rsidRPr="0031706B" w14:paraId="67BA6A80" w14:textId="77777777" w:rsidTr="00E373E7">
        <w:trPr>
          <w:trHeight w:val="402"/>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1BDDB9B1" w14:textId="77777777" w:rsidR="00E373E7" w:rsidRPr="0031706B" w:rsidRDefault="00E373E7" w:rsidP="00E373E7">
            <w:pPr>
              <w:spacing w:after="0"/>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Transport fuel</w:t>
            </w:r>
          </w:p>
        </w:tc>
        <w:tc>
          <w:tcPr>
            <w:tcW w:w="1440" w:type="dxa"/>
            <w:tcBorders>
              <w:top w:val="nil"/>
              <w:left w:val="nil"/>
              <w:bottom w:val="single" w:sz="8" w:space="0" w:color="auto"/>
              <w:right w:val="single" w:sz="8" w:space="0" w:color="auto"/>
            </w:tcBorders>
            <w:shd w:val="clear" w:color="auto" w:fill="auto"/>
            <w:vAlign w:val="center"/>
            <w:hideMark/>
          </w:tcPr>
          <w:p w14:paraId="24297F6A"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2</w:t>
            </w:r>
          </w:p>
        </w:tc>
        <w:tc>
          <w:tcPr>
            <w:tcW w:w="2080" w:type="dxa"/>
            <w:tcBorders>
              <w:top w:val="nil"/>
              <w:left w:val="nil"/>
              <w:bottom w:val="single" w:sz="8" w:space="0" w:color="auto"/>
              <w:right w:val="single" w:sz="8" w:space="0" w:color="auto"/>
            </w:tcBorders>
            <w:shd w:val="clear" w:color="auto" w:fill="auto"/>
            <w:vAlign w:val="center"/>
            <w:hideMark/>
          </w:tcPr>
          <w:p w14:paraId="6709BD41"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4</w:t>
            </w:r>
          </w:p>
        </w:tc>
        <w:tc>
          <w:tcPr>
            <w:tcW w:w="1880" w:type="dxa"/>
            <w:tcBorders>
              <w:top w:val="nil"/>
              <w:left w:val="nil"/>
              <w:bottom w:val="single" w:sz="8" w:space="0" w:color="auto"/>
              <w:right w:val="single" w:sz="8" w:space="0" w:color="auto"/>
            </w:tcBorders>
            <w:shd w:val="clear" w:color="auto" w:fill="auto"/>
            <w:vAlign w:val="center"/>
            <w:hideMark/>
          </w:tcPr>
          <w:p w14:paraId="7BAE45D8" w14:textId="77777777" w:rsidR="00E373E7" w:rsidRPr="0031706B" w:rsidRDefault="00E373E7" w:rsidP="00E373E7">
            <w:pPr>
              <w:spacing w:after="0"/>
              <w:jc w:val="center"/>
              <w:rPr>
                <w:rFonts w:eastAsia="Times New Roman" w:cs="Times New Roman"/>
                <w:color w:val="000000"/>
                <w:sz w:val="20"/>
                <w:szCs w:val="20"/>
                <w:lang w:val="en-GB" w:eastAsia="en-GB"/>
              </w:rPr>
            </w:pPr>
            <w:r w:rsidRPr="0031706B">
              <w:rPr>
                <w:rFonts w:eastAsia="Times New Roman" w:cs="Times New Roman"/>
                <w:color w:val="000000"/>
                <w:sz w:val="20"/>
                <w:szCs w:val="20"/>
                <w:lang w:val="en-GB" w:eastAsia="en-GB"/>
              </w:rPr>
              <w:t>3</w:t>
            </w:r>
          </w:p>
        </w:tc>
      </w:tr>
    </w:tbl>
    <w:p w14:paraId="7326877A" w14:textId="77777777" w:rsidR="00C86AAA" w:rsidRPr="0031706B" w:rsidRDefault="00C86AAA" w:rsidP="0032732C">
      <w:pPr>
        <w:pStyle w:val="Heading3"/>
        <w:spacing w:before="0" w:line="480" w:lineRule="auto"/>
        <w:rPr>
          <w:rFonts w:asciiTheme="minorHAnsi" w:hAnsiTheme="minorHAnsi" w:cstheme="minorHAnsi"/>
          <w:color w:val="auto"/>
          <w:sz w:val="24"/>
        </w:rPr>
      </w:pPr>
      <w:bookmarkStart w:id="31" w:name="_Toc193708822"/>
    </w:p>
    <w:p w14:paraId="4B6B0331" w14:textId="781D8DB1" w:rsidR="007564E0" w:rsidRPr="0031706B" w:rsidRDefault="005F3507" w:rsidP="0032732C">
      <w:pPr>
        <w:pStyle w:val="Heading3"/>
        <w:spacing w:before="0" w:line="480" w:lineRule="auto"/>
        <w:rPr>
          <w:rFonts w:asciiTheme="minorHAnsi" w:hAnsiTheme="minorHAnsi" w:cstheme="minorHAnsi"/>
          <w:color w:val="auto"/>
          <w:sz w:val="24"/>
        </w:rPr>
      </w:pPr>
      <w:r w:rsidRPr="0031706B">
        <w:rPr>
          <w:rFonts w:asciiTheme="minorHAnsi" w:hAnsiTheme="minorHAnsi" w:cstheme="minorHAnsi"/>
          <w:color w:val="auto"/>
          <w:sz w:val="24"/>
        </w:rPr>
        <w:t xml:space="preserve">5.1 </w:t>
      </w:r>
      <w:r w:rsidR="007564E0" w:rsidRPr="0031706B">
        <w:rPr>
          <w:rFonts w:asciiTheme="minorHAnsi" w:hAnsiTheme="minorHAnsi" w:cstheme="minorHAnsi"/>
          <w:color w:val="auto"/>
          <w:sz w:val="24"/>
        </w:rPr>
        <w:t>Pathway comparisons</w:t>
      </w:r>
      <w:bookmarkEnd w:id="31"/>
    </w:p>
    <w:p w14:paraId="6611AC58" w14:textId="031508DA" w:rsidR="00A17BB5" w:rsidRPr="0031706B" w:rsidRDefault="00A714D2" w:rsidP="0032732C">
      <w:pPr>
        <w:spacing w:after="0" w:line="480" w:lineRule="auto"/>
        <w:rPr>
          <w:rFonts w:cstheme="minorHAnsi"/>
          <w:sz w:val="24"/>
        </w:rPr>
      </w:pPr>
      <w:r w:rsidRPr="0031706B">
        <w:rPr>
          <w:rFonts w:cstheme="minorHAnsi"/>
          <w:sz w:val="24"/>
        </w:rPr>
        <w:t xml:space="preserve">DECC’s three scenarios were </w:t>
      </w:r>
      <w:r w:rsidR="00E43BCB" w:rsidRPr="0031706B">
        <w:rPr>
          <w:rFonts w:cstheme="minorHAnsi"/>
          <w:sz w:val="24"/>
        </w:rPr>
        <w:t>compared with the</w:t>
      </w:r>
      <w:r w:rsidRPr="0031706B">
        <w:rPr>
          <w:rFonts w:cstheme="minorHAnsi"/>
          <w:sz w:val="24"/>
        </w:rPr>
        <w:t xml:space="preserve"> pathway based on the </w:t>
      </w:r>
      <w:r w:rsidR="00C20C75" w:rsidRPr="0031706B">
        <w:rPr>
          <w:rFonts w:cstheme="minorHAnsi"/>
          <w:sz w:val="24"/>
        </w:rPr>
        <w:t>modal</w:t>
      </w:r>
      <w:r w:rsidRPr="0031706B">
        <w:rPr>
          <w:rFonts w:cstheme="minorHAnsi"/>
          <w:sz w:val="24"/>
        </w:rPr>
        <w:t xml:space="preserve"> setting for each slider overall</w:t>
      </w:r>
      <w:r w:rsidR="007564E0" w:rsidRPr="0031706B">
        <w:rPr>
          <w:rFonts w:cstheme="minorHAnsi"/>
          <w:sz w:val="24"/>
        </w:rPr>
        <w:t xml:space="preserve">. The </w:t>
      </w:r>
      <w:r w:rsidR="00B704E6" w:rsidRPr="0031706B">
        <w:rPr>
          <w:rFonts w:cstheme="minorHAnsi"/>
          <w:sz w:val="24"/>
        </w:rPr>
        <w:t>degree of alignment between</w:t>
      </w:r>
      <w:r w:rsidR="007564E0" w:rsidRPr="0031706B">
        <w:rPr>
          <w:rFonts w:cstheme="minorHAnsi"/>
          <w:sz w:val="24"/>
        </w:rPr>
        <w:t xml:space="preserve"> </w:t>
      </w:r>
      <w:r w:rsidR="00B704E6" w:rsidRPr="0031706B">
        <w:rPr>
          <w:rFonts w:cstheme="minorHAnsi"/>
          <w:sz w:val="24"/>
        </w:rPr>
        <w:t xml:space="preserve">each of the three </w:t>
      </w:r>
      <w:r w:rsidR="007564E0" w:rsidRPr="0031706B">
        <w:rPr>
          <w:rFonts w:cstheme="minorHAnsi"/>
          <w:sz w:val="24"/>
        </w:rPr>
        <w:t xml:space="preserve">DECC scenarios </w:t>
      </w:r>
      <w:r w:rsidR="00B704E6" w:rsidRPr="0031706B">
        <w:rPr>
          <w:rFonts w:cstheme="minorHAnsi"/>
          <w:sz w:val="24"/>
        </w:rPr>
        <w:t xml:space="preserve">and the modal pathway </w:t>
      </w:r>
      <w:r w:rsidR="005556A4" w:rsidRPr="0031706B">
        <w:rPr>
          <w:rFonts w:cstheme="minorHAnsi"/>
          <w:sz w:val="24"/>
        </w:rPr>
        <w:t>was</w:t>
      </w:r>
      <w:r w:rsidR="003541A1" w:rsidRPr="0031706B">
        <w:rPr>
          <w:rFonts w:cstheme="minorHAnsi"/>
          <w:sz w:val="24"/>
        </w:rPr>
        <w:t xml:space="preserve"> calculated by comparing </w:t>
      </w:r>
      <w:r w:rsidR="00E315E7" w:rsidRPr="0031706B">
        <w:rPr>
          <w:rFonts w:cstheme="minorHAnsi"/>
          <w:sz w:val="24"/>
        </w:rPr>
        <w:t>whether slider choices from the preferred modal pathway coincided with the levels of effort in the DECC scenarios</w:t>
      </w:r>
      <w:r w:rsidR="006E2ACB" w:rsidRPr="0031706B">
        <w:rPr>
          <w:rFonts w:cstheme="minorHAnsi"/>
          <w:sz w:val="24"/>
        </w:rPr>
        <w:t xml:space="preserve"> (and if not, how </w:t>
      </w:r>
      <w:r w:rsidR="00B704E6" w:rsidRPr="0031706B">
        <w:rPr>
          <w:rFonts w:cstheme="minorHAnsi"/>
          <w:sz w:val="24"/>
        </w:rPr>
        <w:t>big the mismatch</w:t>
      </w:r>
      <w:r w:rsidR="006E2ACB" w:rsidRPr="0031706B">
        <w:rPr>
          <w:rFonts w:cstheme="minorHAnsi"/>
          <w:sz w:val="24"/>
        </w:rPr>
        <w:t xml:space="preserve"> was)</w:t>
      </w:r>
      <w:r w:rsidR="003541A1" w:rsidRPr="0031706B">
        <w:rPr>
          <w:rFonts w:cstheme="minorHAnsi"/>
          <w:sz w:val="24"/>
        </w:rPr>
        <w:t>, such that a high</w:t>
      </w:r>
      <w:r w:rsidR="00990AFA" w:rsidRPr="0031706B">
        <w:rPr>
          <w:rFonts w:cstheme="minorHAnsi"/>
          <w:sz w:val="24"/>
        </w:rPr>
        <w:t>er</w:t>
      </w:r>
      <w:r w:rsidR="003541A1" w:rsidRPr="0031706B">
        <w:rPr>
          <w:rFonts w:cstheme="minorHAnsi"/>
          <w:sz w:val="24"/>
        </w:rPr>
        <w:t xml:space="preserve"> number of slider matches </w:t>
      </w:r>
      <w:r w:rsidR="003A3394" w:rsidRPr="0031706B">
        <w:rPr>
          <w:rFonts w:cstheme="minorHAnsi"/>
          <w:sz w:val="24"/>
        </w:rPr>
        <w:t>produces</w:t>
      </w:r>
      <w:r w:rsidR="003541A1" w:rsidRPr="0031706B">
        <w:rPr>
          <w:rFonts w:cstheme="minorHAnsi"/>
          <w:sz w:val="24"/>
        </w:rPr>
        <w:t xml:space="preserve"> a high</w:t>
      </w:r>
      <w:r w:rsidR="00990AFA" w:rsidRPr="0031706B">
        <w:rPr>
          <w:rFonts w:cstheme="minorHAnsi"/>
          <w:sz w:val="24"/>
        </w:rPr>
        <w:t>er</w:t>
      </w:r>
      <w:r w:rsidR="003541A1" w:rsidRPr="0031706B">
        <w:rPr>
          <w:rFonts w:cstheme="minorHAnsi"/>
          <w:sz w:val="24"/>
        </w:rPr>
        <w:t xml:space="preserve"> percentage</w:t>
      </w:r>
      <w:r w:rsidR="00FE4661" w:rsidRPr="0031706B">
        <w:rPr>
          <w:rStyle w:val="EndnoteReference"/>
          <w:rFonts w:cstheme="minorHAnsi"/>
          <w:sz w:val="24"/>
        </w:rPr>
        <w:endnoteReference w:id="11"/>
      </w:r>
      <w:r w:rsidR="003541A1" w:rsidRPr="0031706B">
        <w:rPr>
          <w:rFonts w:cstheme="minorHAnsi"/>
          <w:sz w:val="24"/>
        </w:rPr>
        <w:t xml:space="preserve">. </w:t>
      </w:r>
    </w:p>
    <w:p w14:paraId="227239A8" w14:textId="716D9FF0" w:rsidR="00505D9C" w:rsidRPr="0031706B" w:rsidRDefault="00502EB0" w:rsidP="005556A4">
      <w:pPr>
        <w:numPr>
          <w:ilvl w:val="0"/>
          <w:numId w:val="27"/>
        </w:numPr>
        <w:spacing w:after="0" w:line="480" w:lineRule="auto"/>
        <w:rPr>
          <w:rFonts w:cstheme="minorHAnsi"/>
          <w:sz w:val="24"/>
          <w:lang w:val="en-GB"/>
        </w:rPr>
      </w:pPr>
      <w:r w:rsidRPr="0031706B">
        <w:rPr>
          <w:rFonts w:cstheme="minorHAnsi"/>
          <w:sz w:val="24"/>
        </w:rPr>
        <w:t>‘Higher CCS, more bioenergy’</w:t>
      </w:r>
      <w:r w:rsidR="005556A4" w:rsidRPr="0031706B">
        <w:rPr>
          <w:rFonts w:cstheme="minorHAnsi"/>
          <w:sz w:val="24"/>
        </w:rPr>
        <w:t xml:space="preserve"> = </w:t>
      </w:r>
      <w:r w:rsidRPr="0031706B">
        <w:rPr>
          <w:rFonts w:cstheme="minorHAnsi"/>
          <w:sz w:val="24"/>
        </w:rPr>
        <w:t>89.7% match</w:t>
      </w:r>
    </w:p>
    <w:p w14:paraId="52BC52B7" w14:textId="40520607" w:rsidR="00505D9C" w:rsidRPr="0031706B" w:rsidRDefault="00502EB0" w:rsidP="005556A4">
      <w:pPr>
        <w:numPr>
          <w:ilvl w:val="0"/>
          <w:numId w:val="27"/>
        </w:numPr>
        <w:spacing w:after="0" w:line="480" w:lineRule="auto"/>
        <w:rPr>
          <w:rFonts w:cstheme="minorHAnsi"/>
          <w:sz w:val="24"/>
          <w:lang w:val="en-GB"/>
        </w:rPr>
      </w:pPr>
      <w:r w:rsidRPr="0031706B">
        <w:rPr>
          <w:rFonts w:cstheme="minorHAnsi"/>
          <w:sz w:val="24"/>
        </w:rPr>
        <w:t xml:space="preserve">‘Higher renewables, more energy efficiency’ </w:t>
      </w:r>
      <w:r w:rsidR="005556A4" w:rsidRPr="0031706B">
        <w:rPr>
          <w:rFonts w:cstheme="minorHAnsi"/>
          <w:sz w:val="24"/>
        </w:rPr>
        <w:t xml:space="preserve">= </w:t>
      </w:r>
      <w:r w:rsidRPr="0031706B">
        <w:rPr>
          <w:rFonts w:cstheme="minorHAnsi"/>
          <w:sz w:val="24"/>
        </w:rPr>
        <w:t>84.6% match</w:t>
      </w:r>
    </w:p>
    <w:p w14:paraId="7170107B" w14:textId="76B95DD7" w:rsidR="00505D9C" w:rsidRPr="0031706B" w:rsidRDefault="00502EB0" w:rsidP="005556A4">
      <w:pPr>
        <w:numPr>
          <w:ilvl w:val="0"/>
          <w:numId w:val="27"/>
        </w:numPr>
        <w:spacing w:after="0" w:line="480" w:lineRule="auto"/>
        <w:rPr>
          <w:rFonts w:cstheme="minorHAnsi"/>
          <w:sz w:val="24"/>
          <w:lang w:val="en-GB"/>
        </w:rPr>
      </w:pPr>
      <w:r w:rsidRPr="0031706B">
        <w:rPr>
          <w:rFonts w:cstheme="minorHAnsi"/>
          <w:sz w:val="24"/>
        </w:rPr>
        <w:t xml:space="preserve">‘Higher nuclear, less energy efficiency’ </w:t>
      </w:r>
      <w:r w:rsidR="005556A4" w:rsidRPr="0031706B">
        <w:rPr>
          <w:rFonts w:cstheme="minorHAnsi"/>
          <w:sz w:val="24"/>
        </w:rPr>
        <w:t xml:space="preserve">= </w:t>
      </w:r>
      <w:r w:rsidRPr="0031706B">
        <w:rPr>
          <w:rFonts w:cstheme="minorHAnsi"/>
          <w:sz w:val="24"/>
        </w:rPr>
        <w:t>66.7% match</w:t>
      </w:r>
    </w:p>
    <w:p w14:paraId="62F57C2B" w14:textId="4891DB57" w:rsidR="007564E0" w:rsidRPr="0031706B" w:rsidRDefault="007564E0" w:rsidP="00F56E7B">
      <w:pPr>
        <w:spacing w:after="0" w:line="480" w:lineRule="auto"/>
        <w:rPr>
          <w:rFonts w:cstheme="minorHAnsi"/>
          <w:sz w:val="24"/>
        </w:rPr>
      </w:pPr>
    </w:p>
    <w:p w14:paraId="7EA9792D" w14:textId="1E986EA0" w:rsidR="007564E0" w:rsidRPr="0031706B" w:rsidRDefault="007564E0" w:rsidP="0032732C">
      <w:pPr>
        <w:spacing w:after="0" w:line="480" w:lineRule="auto"/>
        <w:rPr>
          <w:rFonts w:cstheme="minorHAnsi"/>
          <w:sz w:val="24"/>
        </w:rPr>
      </w:pPr>
      <w:r w:rsidRPr="0031706B">
        <w:rPr>
          <w:rFonts w:cstheme="minorHAnsi"/>
          <w:sz w:val="24"/>
        </w:rPr>
        <w:t xml:space="preserve">To test the relative acceptability of </w:t>
      </w:r>
      <w:r w:rsidR="006E2ACB" w:rsidRPr="0031706B">
        <w:rPr>
          <w:rFonts w:cstheme="minorHAnsi"/>
          <w:sz w:val="24"/>
        </w:rPr>
        <w:t xml:space="preserve">each of the </w:t>
      </w:r>
      <w:r w:rsidRPr="0031706B">
        <w:rPr>
          <w:rFonts w:cstheme="minorHAnsi"/>
          <w:sz w:val="24"/>
        </w:rPr>
        <w:t xml:space="preserve">different </w:t>
      </w:r>
      <w:r w:rsidR="00E04BD4" w:rsidRPr="0031706B">
        <w:rPr>
          <w:rFonts w:cstheme="minorHAnsi"/>
          <w:sz w:val="24"/>
        </w:rPr>
        <w:t>energy issues</w:t>
      </w:r>
      <w:r w:rsidRPr="0031706B">
        <w:rPr>
          <w:rFonts w:cstheme="minorHAnsi"/>
          <w:sz w:val="24"/>
        </w:rPr>
        <w:t xml:space="preserve">, the range of settings for each slider </w:t>
      </w:r>
      <w:r w:rsidR="006E2ACB" w:rsidRPr="0031706B">
        <w:rPr>
          <w:rFonts w:cstheme="minorHAnsi"/>
          <w:sz w:val="24"/>
        </w:rPr>
        <w:t>in</w:t>
      </w:r>
      <w:r w:rsidRPr="0031706B">
        <w:rPr>
          <w:rFonts w:cstheme="minorHAnsi"/>
          <w:sz w:val="24"/>
        </w:rPr>
        <w:t xml:space="preserve"> DECC’s scenarios </w:t>
      </w:r>
      <w:r w:rsidR="006E2ACB" w:rsidRPr="0031706B">
        <w:rPr>
          <w:rFonts w:cstheme="minorHAnsi"/>
          <w:sz w:val="24"/>
        </w:rPr>
        <w:t>was compared with</w:t>
      </w:r>
      <w:r w:rsidRPr="0031706B">
        <w:rPr>
          <w:rFonts w:cstheme="minorHAnsi"/>
          <w:sz w:val="24"/>
        </w:rPr>
        <w:t xml:space="preserve"> the </w:t>
      </w:r>
      <w:r w:rsidR="00632307" w:rsidRPr="0031706B">
        <w:rPr>
          <w:rFonts w:cstheme="minorHAnsi"/>
          <w:sz w:val="24"/>
        </w:rPr>
        <w:t xml:space="preserve">modal </w:t>
      </w:r>
      <w:r w:rsidRPr="0031706B">
        <w:rPr>
          <w:rFonts w:cstheme="minorHAnsi"/>
          <w:sz w:val="24"/>
        </w:rPr>
        <w:t>pathway</w:t>
      </w:r>
      <w:r w:rsidR="006D28E5" w:rsidRPr="0031706B">
        <w:rPr>
          <w:rFonts w:cstheme="minorHAnsi"/>
          <w:sz w:val="24"/>
        </w:rPr>
        <w:t xml:space="preserve">. </w:t>
      </w:r>
      <w:r w:rsidRPr="0031706B">
        <w:rPr>
          <w:rFonts w:cstheme="minorHAnsi"/>
          <w:sz w:val="24"/>
        </w:rPr>
        <w:t>This enabled a</w:t>
      </w:r>
      <w:r w:rsidR="006E0DCB" w:rsidRPr="0031706B">
        <w:rPr>
          <w:rFonts w:cstheme="minorHAnsi"/>
          <w:sz w:val="24"/>
        </w:rPr>
        <w:t>n</w:t>
      </w:r>
      <w:r w:rsidRPr="0031706B">
        <w:rPr>
          <w:rFonts w:cstheme="minorHAnsi"/>
          <w:sz w:val="24"/>
        </w:rPr>
        <w:t xml:space="preserve"> </w:t>
      </w:r>
      <w:r w:rsidR="006E0DCB" w:rsidRPr="0031706B">
        <w:rPr>
          <w:rFonts w:cstheme="minorHAnsi"/>
          <w:sz w:val="24"/>
        </w:rPr>
        <w:t>issue</w:t>
      </w:r>
      <w:r w:rsidRPr="0031706B">
        <w:rPr>
          <w:rFonts w:cstheme="minorHAnsi"/>
          <w:sz w:val="24"/>
        </w:rPr>
        <w:t xml:space="preserve">-specific comparison as set out in </w:t>
      </w:r>
      <w:r w:rsidR="00B04B72" w:rsidRPr="0031706B">
        <w:rPr>
          <w:rFonts w:cstheme="minorHAnsi"/>
          <w:sz w:val="24"/>
        </w:rPr>
        <w:t xml:space="preserve">Table </w:t>
      </w:r>
      <w:r w:rsidR="00BD0338" w:rsidRPr="0031706B">
        <w:rPr>
          <w:rFonts w:cstheme="minorHAnsi"/>
          <w:sz w:val="24"/>
        </w:rPr>
        <w:t>5</w:t>
      </w:r>
      <w:r w:rsidRPr="0031706B">
        <w:rPr>
          <w:rFonts w:cstheme="minorHAnsi"/>
          <w:sz w:val="24"/>
        </w:rPr>
        <w:t xml:space="preserve">. This showed that </w:t>
      </w:r>
      <w:r w:rsidR="00632307" w:rsidRPr="0031706B">
        <w:rPr>
          <w:rFonts w:cstheme="minorHAnsi"/>
          <w:sz w:val="24"/>
        </w:rPr>
        <w:t xml:space="preserve">the most popular </w:t>
      </w:r>
      <w:r w:rsidRPr="0031706B">
        <w:rPr>
          <w:rFonts w:cstheme="minorHAnsi"/>
          <w:sz w:val="24"/>
        </w:rPr>
        <w:t xml:space="preserve">preferences for </w:t>
      </w:r>
      <w:r w:rsidR="003C2AA4" w:rsidRPr="0031706B">
        <w:rPr>
          <w:rFonts w:cstheme="minorHAnsi"/>
          <w:sz w:val="24"/>
        </w:rPr>
        <w:t xml:space="preserve">eleven </w:t>
      </w:r>
      <w:r w:rsidRPr="0031706B">
        <w:rPr>
          <w:rFonts w:cstheme="minorHAnsi"/>
          <w:sz w:val="24"/>
        </w:rPr>
        <w:t xml:space="preserve">of the thirteen sliders fall within the range of options proposed </w:t>
      </w:r>
      <w:r w:rsidR="00632307" w:rsidRPr="0031706B">
        <w:rPr>
          <w:rFonts w:cstheme="minorHAnsi"/>
          <w:sz w:val="24"/>
        </w:rPr>
        <w:t xml:space="preserve">by </w:t>
      </w:r>
      <w:r w:rsidRPr="0031706B">
        <w:rPr>
          <w:rFonts w:cstheme="minorHAnsi"/>
          <w:sz w:val="24"/>
        </w:rPr>
        <w:t>DEC</w:t>
      </w:r>
      <w:r w:rsidR="008C569D" w:rsidRPr="0031706B">
        <w:rPr>
          <w:rFonts w:cstheme="minorHAnsi"/>
          <w:sz w:val="24"/>
        </w:rPr>
        <w:t>C</w:t>
      </w:r>
      <w:r w:rsidRPr="0031706B">
        <w:rPr>
          <w:rFonts w:cstheme="minorHAnsi"/>
          <w:sz w:val="24"/>
        </w:rPr>
        <w:t xml:space="preserve"> </w:t>
      </w:r>
      <w:r w:rsidR="00632307" w:rsidRPr="0031706B">
        <w:rPr>
          <w:rFonts w:cstheme="minorHAnsi"/>
          <w:sz w:val="24"/>
        </w:rPr>
        <w:t xml:space="preserve">through their </w:t>
      </w:r>
      <w:r w:rsidRPr="0031706B">
        <w:rPr>
          <w:rFonts w:cstheme="minorHAnsi"/>
          <w:sz w:val="24"/>
        </w:rPr>
        <w:t xml:space="preserve">three </w:t>
      </w:r>
      <w:r w:rsidR="00632307" w:rsidRPr="0031706B">
        <w:rPr>
          <w:rFonts w:cstheme="minorHAnsi"/>
          <w:sz w:val="24"/>
        </w:rPr>
        <w:t>published</w:t>
      </w:r>
      <w:r w:rsidRPr="0031706B">
        <w:rPr>
          <w:rFonts w:cstheme="minorHAnsi"/>
          <w:sz w:val="24"/>
        </w:rPr>
        <w:t xml:space="preserve"> scenarios. </w:t>
      </w:r>
      <w:r w:rsidR="00632307" w:rsidRPr="0031706B">
        <w:rPr>
          <w:rFonts w:cstheme="minorHAnsi"/>
          <w:sz w:val="24"/>
        </w:rPr>
        <w:t>However, f</w:t>
      </w:r>
      <w:r w:rsidRPr="0031706B">
        <w:rPr>
          <w:rFonts w:cstheme="minorHAnsi"/>
          <w:sz w:val="24"/>
        </w:rPr>
        <w:t xml:space="preserve">or </w:t>
      </w:r>
      <w:r w:rsidR="003C2AA4" w:rsidRPr="0031706B">
        <w:rPr>
          <w:rFonts w:cstheme="minorHAnsi"/>
          <w:sz w:val="24"/>
        </w:rPr>
        <w:t xml:space="preserve">two </w:t>
      </w:r>
      <w:r w:rsidRPr="0031706B">
        <w:rPr>
          <w:rFonts w:cstheme="minorHAnsi"/>
          <w:sz w:val="24"/>
        </w:rPr>
        <w:t>sliders (</w:t>
      </w:r>
      <w:r w:rsidRPr="0031706B">
        <w:rPr>
          <w:rFonts w:cstheme="minorHAnsi"/>
          <w:i/>
          <w:sz w:val="24"/>
        </w:rPr>
        <w:t>‘</w:t>
      </w:r>
      <w:r w:rsidR="008C569D" w:rsidRPr="0031706B">
        <w:rPr>
          <w:rFonts w:cstheme="minorHAnsi"/>
          <w:i/>
          <w:sz w:val="24"/>
        </w:rPr>
        <w:t>w</w:t>
      </w:r>
      <w:r w:rsidRPr="0031706B">
        <w:rPr>
          <w:rFonts w:cstheme="minorHAnsi"/>
          <w:i/>
          <w:sz w:val="24"/>
        </w:rPr>
        <w:t>ind turbines on sea’</w:t>
      </w:r>
      <w:r w:rsidRPr="0031706B">
        <w:rPr>
          <w:rFonts w:cstheme="minorHAnsi"/>
          <w:sz w:val="24"/>
        </w:rPr>
        <w:t xml:space="preserve"> and </w:t>
      </w:r>
      <w:r w:rsidRPr="0031706B">
        <w:rPr>
          <w:rFonts w:cstheme="minorHAnsi"/>
          <w:i/>
          <w:sz w:val="24"/>
        </w:rPr>
        <w:t>‘</w:t>
      </w:r>
      <w:r w:rsidR="008C569D" w:rsidRPr="0031706B">
        <w:rPr>
          <w:rFonts w:cstheme="minorHAnsi"/>
          <w:i/>
          <w:sz w:val="24"/>
        </w:rPr>
        <w:t>s</w:t>
      </w:r>
      <w:r w:rsidRPr="0031706B">
        <w:rPr>
          <w:rFonts w:cstheme="minorHAnsi"/>
          <w:i/>
          <w:sz w:val="24"/>
        </w:rPr>
        <w:t>olar, marine and hydro power’</w:t>
      </w:r>
      <w:r w:rsidRPr="0031706B">
        <w:rPr>
          <w:rFonts w:cstheme="minorHAnsi"/>
          <w:sz w:val="24"/>
        </w:rPr>
        <w:t xml:space="preserve">), </w:t>
      </w:r>
      <w:r w:rsidR="00632307" w:rsidRPr="0031706B">
        <w:rPr>
          <w:rFonts w:cstheme="minorHAnsi"/>
          <w:sz w:val="24"/>
        </w:rPr>
        <w:t xml:space="preserve">a </w:t>
      </w:r>
      <w:r w:rsidRPr="0031706B">
        <w:rPr>
          <w:rFonts w:cstheme="minorHAnsi"/>
          <w:sz w:val="24"/>
        </w:rPr>
        <w:t xml:space="preserve">greater </w:t>
      </w:r>
      <w:r w:rsidR="00632307" w:rsidRPr="0031706B">
        <w:rPr>
          <w:rFonts w:cstheme="minorHAnsi"/>
          <w:sz w:val="24"/>
        </w:rPr>
        <w:t xml:space="preserve">level of </w:t>
      </w:r>
      <w:r w:rsidRPr="0031706B">
        <w:rPr>
          <w:rFonts w:cstheme="minorHAnsi"/>
          <w:sz w:val="24"/>
        </w:rPr>
        <w:t xml:space="preserve">effort </w:t>
      </w:r>
      <w:r w:rsidR="00632307" w:rsidRPr="0031706B">
        <w:rPr>
          <w:rFonts w:cstheme="minorHAnsi"/>
          <w:sz w:val="24"/>
        </w:rPr>
        <w:t xml:space="preserve">was selected </w:t>
      </w:r>
      <w:r w:rsidR="008D1860" w:rsidRPr="0031706B">
        <w:rPr>
          <w:rFonts w:cstheme="minorHAnsi"/>
          <w:sz w:val="24"/>
        </w:rPr>
        <w:t xml:space="preserve">more </w:t>
      </w:r>
      <w:r w:rsidR="00632307" w:rsidRPr="0031706B">
        <w:rPr>
          <w:rFonts w:cstheme="minorHAnsi"/>
          <w:sz w:val="24"/>
        </w:rPr>
        <w:t xml:space="preserve">frequently </w:t>
      </w:r>
      <w:r w:rsidRPr="0031706B">
        <w:rPr>
          <w:rFonts w:cstheme="minorHAnsi"/>
          <w:sz w:val="24"/>
        </w:rPr>
        <w:t>than is currently proposed in DECC’s scenarios.</w:t>
      </w:r>
    </w:p>
    <w:p w14:paraId="62846D67" w14:textId="77777777" w:rsidR="00EF2280" w:rsidRDefault="00EF2280" w:rsidP="003C2AA4">
      <w:pPr>
        <w:pStyle w:val="Caption"/>
        <w:spacing w:after="0" w:line="480" w:lineRule="auto"/>
        <w:rPr>
          <w:rFonts w:cstheme="minorHAnsi"/>
          <w:sz w:val="24"/>
          <w:szCs w:val="24"/>
        </w:rPr>
      </w:pPr>
      <w:bookmarkStart w:id="32" w:name="_Ref192301704"/>
      <w:bookmarkStart w:id="33" w:name="_Toc193708855"/>
      <w:r>
        <w:rPr>
          <w:rFonts w:cstheme="minorHAnsi"/>
          <w:sz w:val="24"/>
          <w:szCs w:val="24"/>
        </w:rPr>
        <w:br w:type="page"/>
      </w:r>
    </w:p>
    <w:p w14:paraId="771A2209" w14:textId="55741CDF" w:rsidR="007564E0" w:rsidRPr="0031706B" w:rsidRDefault="007564E0" w:rsidP="003C2AA4">
      <w:pPr>
        <w:pStyle w:val="Caption"/>
        <w:spacing w:after="0" w:line="480" w:lineRule="auto"/>
        <w:rPr>
          <w:rFonts w:cstheme="minorHAnsi"/>
          <w:sz w:val="24"/>
        </w:rPr>
      </w:pPr>
      <w:r w:rsidRPr="0031706B">
        <w:rPr>
          <w:rFonts w:cstheme="minorHAnsi"/>
          <w:sz w:val="24"/>
          <w:szCs w:val="24"/>
        </w:rPr>
        <w:lastRenderedPageBreak/>
        <w:t xml:space="preserve">Table </w:t>
      </w:r>
      <w:bookmarkEnd w:id="32"/>
      <w:r w:rsidR="00426C4D" w:rsidRPr="0031706B">
        <w:rPr>
          <w:rFonts w:cstheme="minorHAnsi"/>
          <w:sz w:val="24"/>
          <w:szCs w:val="24"/>
        </w:rPr>
        <w:t>5</w:t>
      </w:r>
      <w:r w:rsidRPr="0031706B">
        <w:rPr>
          <w:rFonts w:cstheme="minorHAnsi"/>
          <w:sz w:val="24"/>
          <w:szCs w:val="24"/>
        </w:rPr>
        <w:t xml:space="preserve"> – Range of effort settings: a comparison</w:t>
      </w:r>
      <w:bookmarkEnd w:id="33"/>
    </w:p>
    <w:tbl>
      <w:tblPr>
        <w:tblStyle w:val="TableGrid"/>
        <w:tblW w:w="0" w:type="auto"/>
        <w:tblLook w:val="04A0" w:firstRow="1" w:lastRow="0" w:firstColumn="1" w:lastColumn="0" w:noHBand="0" w:noVBand="1"/>
      </w:tblPr>
      <w:tblGrid>
        <w:gridCol w:w="1911"/>
        <w:gridCol w:w="2439"/>
        <w:gridCol w:w="1582"/>
        <w:gridCol w:w="1654"/>
      </w:tblGrid>
      <w:tr w:rsidR="0053411F" w:rsidRPr="0031706B" w14:paraId="59F30E62" w14:textId="77777777" w:rsidTr="0053411F">
        <w:tc>
          <w:tcPr>
            <w:tcW w:w="2180" w:type="dxa"/>
            <w:tcBorders>
              <w:top w:val="single" w:sz="18" w:space="0" w:color="auto"/>
              <w:left w:val="single" w:sz="18" w:space="0" w:color="auto"/>
              <w:bottom w:val="single" w:sz="18" w:space="0" w:color="auto"/>
              <w:right w:val="single" w:sz="6" w:space="0" w:color="auto"/>
            </w:tcBorders>
            <w:shd w:val="clear" w:color="auto" w:fill="CCCCCC"/>
          </w:tcPr>
          <w:p w14:paraId="7E4A1703" w14:textId="4A0E18F5" w:rsidR="009D4FE7" w:rsidRPr="0031706B" w:rsidRDefault="009D4FE7" w:rsidP="00F768AB">
            <w:pPr>
              <w:spacing w:after="0"/>
              <w:rPr>
                <w:rFonts w:cstheme="minorHAnsi"/>
                <w:b/>
              </w:rPr>
            </w:pPr>
            <w:r w:rsidRPr="0031706B">
              <w:rPr>
                <w:rFonts w:cstheme="minorHAnsi"/>
                <w:b/>
                <w:sz w:val="20"/>
                <w:szCs w:val="20"/>
              </w:rPr>
              <w:t>Alignment</w:t>
            </w:r>
          </w:p>
        </w:tc>
        <w:tc>
          <w:tcPr>
            <w:tcW w:w="2890" w:type="dxa"/>
            <w:tcBorders>
              <w:top w:val="single" w:sz="18" w:space="0" w:color="auto"/>
              <w:left w:val="single" w:sz="6" w:space="0" w:color="auto"/>
              <w:bottom w:val="single" w:sz="18" w:space="0" w:color="auto"/>
              <w:right w:val="single" w:sz="6" w:space="0" w:color="auto"/>
            </w:tcBorders>
            <w:shd w:val="clear" w:color="auto" w:fill="CCCCCC"/>
          </w:tcPr>
          <w:p w14:paraId="7B61B7E3" w14:textId="19E04BD8" w:rsidR="009D4FE7" w:rsidRPr="0031706B" w:rsidRDefault="009D4FE7" w:rsidP="00F768AB">
            <w:pPr>
              <w:spacing w:after="0"/>
              <w:rPr>
                <w:rFonts w:cstheme="minorHAnsi"/>
                <w:b/>
              </w:rPr>
            </w:pPr>
            <w:r w:rsidRPr="0031706B">
              <w:rPr>
                <w:rFonts w:cstheme="minorHAnsi"/>
                <w:b/>
                <w:sz w:val="20"/>
                <w:szCs w:val="20"/>
              </w:rPr>
              <w:t>Supply / demand option</w:t>
            </w:r>
          </w:p>
        </w:tc>
        <w:tc>
          <w:tcPr>
            <w:tcW w:w="1842" w:type="dxa"/>
            <w:tcBorders>
              <w:top w:val="single" w:sz="18" w:space="0" w:color="auto"/>
              <w:left w:val="single" w:sz="6" w:space="0" w:color="auto"/>
              <w:bottom w:val="single" w:sz="18" w:space="0" w:color="auto"/>
              <w:right w:val="single" w:sz="6" w:space="0" w:color="auto"/>
            </w:tcBorders>
            <w:shd w:val="clear" w:color="auto" w:fill="CCCCCC"/>
          </w:tcPr>
          <w:p w14:paraId="6ED86B95" w14:textId="4CCA52F8" w:rsidR="009D4FE7" w:rsidRPr="0031706B" w:rsidRDefault="009D4FE7" w:rsidP="0053411F">
            <w:pPr>
              <w:spacing w:after="0"/>
              <w:jc w:val="center"/>
              <w:rPr>
                <w:rFonts w:cstheme="minorHAnsi"/>
                <w:b/>
              </w:rPr>
            </w:pPr>
            <w:r w:rsidRPr="0031706B">
              <w:rPr>
                <w:rFonts w:cstheme="minorHAnsi"/>
                <w:b/>
                <w:sz w:val="20"/>
                <w:szCs w:val="20"/>
              </w:rPr>
              <w:t>Setting range: DECC’s three scenarios</w:t>
            </w:r>
          </w:p>
        </w:tc>
        <w:tc>
          <w:tcPr>
            <w:tcW w:w="1808" w:type="dxa"/>
            <w:tcBorders>
              <w:top w:val="single" w:sz="18" w:space="0" w:color="auto"/>
              <w:left w:val="single" w:sz="6" w:space="0" w:color="auto"/>
              <w:bottom w:val="single" w:sz="18" w:space="0" w:color="auto"/>
              <w:right w:val="single" w:sz="18" w:space="0" w:color="auto"/>
            </w:tcBorders>
            <w:shd w:val="clear" w:color="auto" w:fill="CCCCCC"/>
          </w:tcPr>
          <w:p w14:paraId="7FA43786" w14:textId="7EACB3CE" w:rsidR="009D4FE7" w:rsidRPr="0031706B" w:rsidRDefault="009D4FE7" w:rsidP="0053411F">
            <w:pPr>
              <w:spacing w:after="0"/>
              <w:jc w:val="center"/>
              <w:rPr>
                <w:rFonts w:cstheme="minorHAnsi"/>
                <w:b/>
              </w:rPr>
            </w:pPr>
            <w:r w:rsidRPr="0031706B">
              <w:rPr>
                <w:rFonts w:cstheme="minorHAnsi"/>
                <w:b/>
                <w:sz w:val="20"/>
                <w:szCs w:val="20"/>
              </w:rPr>
              <w:t>Modal setting: ‘My2050’ respondents’</w:t>
            </w:r>
          </w:p>
        </w:tc>
      </w:tr>
      <w:tr w:rsidR="0053411F" w:rsidRPr="0031706B" w14:paraId="2F4B3E79" w14:textId="77777777" w:rsidTr="0053411F">
        <w:tc>
          <w:tcPr>
            <w:tcW w:w="2180" w:type="dxa"/>
            <w:tcBorders>
              <w:top w:val="single" w:sz="18" w:space="0" w:color="auto"/>
              <w:left w:val="single" w:sz="18" w:space="0" w:color="auto"/>
              <w:bottom w:val="single" w:sz="18" w:space="0" w:color="auto"/>
              <w:right w:val="single" w:sz="6" w:space="0" w:color="auto"/>
            </w:tcBorders>
            <w:shd w:val="clear" w:color="auto" w:fill="CCCCCC"/>
          </w:tcPr>
          <w:p w14:paraId="5C7BA56F" w14:textId="4DE055CD" w:rsidR="009D4FE7" w:rsidRPr="0031706B" w:rsidRDefault="009D4FE7" w:rsidP="00F768AB">
            <w:pPr>
              <w:spacing w:after="0"/>
              <w:rPr>
                <w:rFonts w:cstheme="minorHAnsi"/>
              </w:rPr>
            </w:pPr>
            <w:r w:rsidRPr="0031706B">
              <w:rPr>
                <w:rFonts w:cstheme="minorHAnsi"/>
                <w:b/>
                <w:sz w:val="20"/>
                <w:szCs w:val="20"/>
              </w:rPr>
              <w:t>Exact match</w:t>
            </w:r>
          </w:p>
        </w:tc>
        <w:tc>
          <w:tcPr>
            <w:tcW w:w="2890" w:type="dxa"/>
            <w:tcBorders>
              <w:top w:val="single" w:sz="18" w:space="0" w:color="auto"/>
              <w:left w:val="single" w:sz="6" w:space="0" w:color="auto"/>
              <w:bottom w:val="single" w:sz="18" w:space="0" w:color="auto"/>
              <w:right w:val="single" w:sz="6" w:space="0" w:color="auto"/>
            </w:tcBorders>
          </w:tcPr>
          <w:p w14:paraId="0E867961" w14:textId="0A814CE7" w:rsidR="009D4FE7" w:rsidRPr="0031706B" w:rsidRDefault="009D4FE7" w:rsidP="00F768AB">
            <w:pPr>
              <w:spacing w:after="0"/>
              <w:rPr>
                <w:rFonts w:cstheme="minorHAnsi"/>
              </w:rPr>
            </w:pPr>
            <w:r w:rsidRPr="0031706B">
              <w:rPr>
                <w:rFonts w:cstheme="minorHAnsi"/>
                <w:sz w:val="20"/>
                <w:szCs w:val="20"/>
              </w:rPr>
              <w:t xml:space="preserve">Manufacturing growth </w:t>
            </w:r>
          </w:p>
        </w:tc>
        <w:tc>
          <w:tcPr>
            <w:tcW w:w="1842" w:type="dxa"/>
            <w:tcBorders>
              <w:top w:val="single" w:sz="18" w:space="0" w:color="auto"/>
              <w:left w:val="single" w:sz="6" w:space="0" w:color="auto"/>
              <w:bottom w:val="single" w:sz="18" w:space="0" w:color="auto"/>
              <w:right w:val="single" w:sz="6" w:space="0" w:color="auto"/>
            </w:tcBorders>
          </w:tcPr>
          <w:p w14:paraId="57EB40D9" w14:textId="1D6FE29B" w:rsidR="009D4FE7" w:rsidRPr="0031706B" w:rsidRDefault="009D4FE7" w:rsidP="00F768AB">
            <w:pPr>
              <w:spacing w:after="0"/>
              <w:jc w:val="center"/>
              <w:rPr>
                <w:rFonts w:cstheme="minorHAnsi"/>
              </w:rPr>
            </w:pPr>
            <w:r w:rsidRPr="0031706B">
              <w:rPr>
                <w:rFonts w:cstheme="minorHAnsi"/>
                <w:sz w:val="20"/>
                <w:szCs w:val="20"/>
              </w:rPr>
              <w:t>2</w:t>
            </w:r>
          </w:p>
        </w:tc>
        <w:tc>
          <w:tcPr>
            <w:tcW w:w="1808" w:type="dxa"/>
            <w:tcBorders>
              <w:top w:val="single" w:sz="18" w:space="0" w:color="auto"/>
              <w:left w:val="single" w:sz="6" w:space="0" w:color="auto"/>
              <w:bottom w:val="single" w:sz="18" w:space="0" w:color="auto"/>
              <w:right w:val="single" w:sz="18" w:space="0" w:color="auto"/>
            </w:tcBorders>
          </w:tcPr>
          <w:p w14:paraId="7723B107" w14:textId="68551FFC" w:rsidR="009D4FE7" w:rsidRPr="0031706B" w:rsidRDefault="009D4FE7" w:rsidP="00F768AB">
            <w:pPr>
              <w:spacing w:after="0"/>
              <w:jc w:val="center"/>
              <w:rPr>
                <w:rFonts w:cstheme="minorHAnsi"/>
              </w:rPr>
            </w:pPr>
            <w:r w:rsidRPr="0031706B">
              <w:rPr>
                <w:rFonts w:cstheme="minorHAnsi"/>
                <w:sz w:val="20"/>
                <w:szCs w:val="20"/>
              </w:rPr>
              <w:t>2</w:t>
            </w:r>
          </w:p>
        </w:tc>
      </w:tr>
      <w:tr w:rsidR="00F77068" w:rsidRPr="0031706B" w14:paraId="6CA1B7E7" w14:textId="77777777" w:rsidTr="0053411F">
        <w:tc>
          <w:tcPr>
            <w:tcW w:w="2180" w:type="dxa"/>
            <w:vMerge w:val="restart"/>
            <w:tcBorders>
              <w:top w:val="single" w:sz="18" w:space="0" w:color="auto"/>
              <w:left w:val="single" w:sz="18" w:space="0" w:color="auto"/>
              <w:bottom w:val="single" w:sz="6" w:space="0" w:color="auto"/>
              <w:right w:val="single" w:sz="6" w:space="0" w:color="auto"/>
            </w:tcBorders>
            <w:shd w:val="clear" w:color="auto" w:fill="CCCCCC"/>
          </w:tcPr>
          <w:p w14:paraId="74A87535" w14:textId="6625A95F" w:rsidR="00F77068" w:rsidRPr="0031706B" w:rsidRDefault="00F77068" w:rsidP="00F768AB">
            <w:pPr>
              <w:spacing w:after="0"/>
              <w:rPr>
                <w:rFonts w:cstheme="minorHAnsi"/>
              </w:rPr>
            </w:pPr>
            <w:r w:rsidRPr="0031706B">
              <w:rPr>
                <w:rFonts w:cstheme="minorHAnsi"/>
                <w:b/>
                <w:sz w:val="20"/>
                <w:szCs w:val="20"/>
              </w:rPr>
              <w:t>‘My2050’ respondents’ modal choice is within the range for DECC’s three scenarios</w:t>
            </w:r>
          </w:p>
        </w:tc>
        <w:tc>
          <w:tcPr>
            <w:tcW w:w="6540" w:type="dxa"/>
            <w:gridSpan w:val="3"/>
            <w:tcBorders>
              <w:top w:val="single" w:sz="18" w:space="0" w:color="auto"/>
              <w:left w:val="single" w:sz="6" w:space="0" w:color="auto"/>
              <w:bottom w:val="single" w:sz="6" w:space="0" w:color="auto"/>
              <w:right w:val="single" w:sz="18" w:space="0" w:color="auto"/>
            </w:tcBorders>
            <w:shd w:val="clear" w:color="auto" w:fill="E6E6E6"/>
          </w:tcPr>
          <w:p w14:paraId="23F44257" w14:textId="2FBF61F9" w:rsidR="00F77068" w:rsidRPr="0031706B" w:rsidRDefault="00F77068" w:rsidP="00F768AB">
            <w:pPr>
              <w:spacing w:after="0"/>
              <w:rPr>
                <w:rFonts w:cstheme="minorHAnsi"/>
              </w:rPr>
            </w:pPr>
            <w:r w:rsidRPr="0031706B">
              <w:rPr>
                <w:rFonts w:cstheme="minorHAnsi"/>
                <w:b/>
                <w:sz w:val="20"/>
                <w:szCs w:val="20"/>
              </w:rPr>
              <w:t>Modal choice at the lower end of the DECC range</w:t>
            </w:r>
          </w:p>
        </w:tc>
      </w:tr>
      <w:tr w:rsidR="0053411F" w:rsidRPr="0031706B" w14:paraId="167D0F9F"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131910E2"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6" w:space="0" w:color="auto"/>
              <w:right w:val="single" w:sz="6" w:space="0" w:color="auto"/>
            </w:tcBorders>
          </w:tcPr>
          <w:p w14:paraId="43A95A3C" w14:textId="452FD45F" w:rsidR="00F77068" w:rsidRPr="0031706B" w:rsidRDefault="00F77068" w:rsidP="003A41E7">
            <w:pPr>
              <w:spacing w:after="0"/>
              <w:rPr>
                <w:rFonts w:cstheme="minorHAnsi"/>
              </w:rPr>
            </w:pPr>
            <w:r w:rsidRPr="0031706B">
              <w:rPr>
                <w:rFonts w:cstheme="minorHAnsi"/>
                <w:sz w:val="20"/>
                <w:szCs w:val="20"/>
              </w:rPr>
              <w:t>Wind turbines on land</w:t>
            </w:r>
          </w:p>
        </w:tc>
        <w:tc>
          <w:tcPr>
            <w:tcW w:w="1842" w:type="dxa"/>
            <w:tcBorders>
              <w:top w:val="single" w:sz="6" w:space="0" w:color="auto"/>
              <w:left w:val="single" w:sz="6" w:space="0" w:color="auto"/>
              <w:bottom w:val="single" w:sz="6" w:space="0" w:color="auto"/>
              <w:right w:val="single" w:sz="6" w:space="0" w:color="auto"/>
            </w:tcBorders>
          </w:tcPr>
          <w:p w14:paraId="52F7891C" w14:textId="56F316D4" w:rsidR="00F77068" w:rsidRPr="0031706B" w:rsidRDefault="00F77068" w:rsidP="00F768AB">
            <w:pPr>
              <w:spacing w:after="0"/>
              <w:jc w:val="center"/>
              <w:rPr>
                <w:rFonts w:cstheme="minorHAnsi"/>
              </w:rPr>
            </w:pPr>
            <w:r w:rsidRPr="0031706B">
              <w:rPr>
                <w:rFonts w:cstheme="minorHAnsi"/>
                <w:sz w:val="20"/>
                <w:szCs w:val="20"/>
              </w:rPr>
              <w:t>2-3</w:t>
            </w:r>
          </w:p>
        </w:tc>
        <w:tc>
          <w:tcPr>
            <w:tcW w:w="1808" w:type="dxa"/>
            <w:tcBorders>
              <w:top w:val="single" w:sz="6" w:space="0" w:color="auto"/>
              <w:left w:val="single" w:sz="6" w:space="0" w:color="auto"/>
              <w:bottom w:val="single" w:sz="6" w:space="0" w:color="auto"/>
              <w:right w:val="single" w:sz="18" w:space="0" w:color="auto"/>
            </w:tcBorders>
          </w:tcPr>
          <w:p w14:paraId="7D53E4CA" w14:textId="46BFA672" w:rsidR="00F77068" w:rsidRPr="0031706B" w:rsidRDefault="00F77068" w:rsidP="00F768AB">
            <w:pPr>
              <w:spacing w:after="0"/>
              <w:jc w:val="center"/>
              <w:rPr>
                <w:rFonts w:cstheme="minorHAnsi"/>
              </w:rPr>
            </w:pPr>
            <w:r w:rsidRPr="0031706B">
              <w:rPr>
                <w:rFonts w:cstheme="minorHAnsi"/>
                <w:sz w:val="20"/>
                <w:szCs w:val="20"/>
              </w:rPr>
              <w:t>2</w:t>
            </w:r>
          </w:p>
        </w:tc>
      </w:tr>
      <w:tr w:rsidR="0053411F" w:rsidRPr="0031706B" w14:paraId="780BB90D"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56CD1283"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6" w:space="0" w:color="auto"/>
              <w:right w:val="single" w:sz="6" w:space="0" w:color="auto"/>
            </w:tcBorders>
          </w:tcPr>
          <w:p w14:paraId="144C1DEF" w14:textId="0C017D0D" w:rsidR="00F77068" w:rsidRPr="0031706B" w:rsidRDefault="00F77068" w:rsidP="003A41E7">
            <w:pPr>
              <w:spacing w:after="0"/>
              <w:rPr>
                <w:rFonts w:cstheme="minorHAnsi"/>
              </w:rPr>
            </w:pPr>
            <w:r w:rsidRPr="0031706B">
              <w:rPr>
                <w:rFonts w:cstheme="minorHAnsi"/>
                <w:sz w:val="20"/>
                <w:szCs w:val="20"/>
              </w:rPr>
              <w:t>Biofuel production</w:t>
            </w:r>
          </w:p>
        </w:tc>
        <w:tc>
          <w:tcPr>
            <w:tcW w:w="1842" w:type="dxa"/>
            <w:tcBorders>
              <w:top w:val="single" w:sz="6" w:space="0" w:color="auto"/>
              <w:left w:val="single" w:sz="6" w:space="0" w:color="auto"/>
              <w:bottom w:val="single" w:sz="6" w:space="0" w:color="auto"/>
              <w:right w:val="single" w:sz="6" w:space="0" w:color="auto"/>
            </w:tcBorders>
          </w:tcPr>
          <w:p w14:paraId="47251458" w14:textId="30270FF3" w:rsidR="00F77068" w:rsidRPr="0031706B" w:rsidRDefault="00F77068" w:rsidP="00F768AB">
            <w:pPr>
              <w:spacing w:after="0"/>
              <w:jc w:val="center"/>
              <w:rPr>
                <w:rFonts w:cstheme="minorHAnsi"/>
              </w:rPr>
            </w:pPr>
            <w:r w:rsidRPr="0031706B">
              <w:rPr>
                <w:rFonts w:cstheme="minorHAnsi"/>
                <w:sz w:val="20"/>
                <w:szCs w:val="20"/>
              </w:rPr>
              <w:t>2-4</w:t>
            </w:r>
          </w:p>
        </w:tc>
        <w:tc>
          <w:tcPr>
            <w:tcW w:w="1808" w:type="dxa"/>
            <w:tcBorders>
              <w:top w:val="single" w:sz="6" w:space="0" w:color="auto"/>
              <w:left w:val="single" w:sz="6" w:space="0" w:color="auto"/>
              <w:bottom w:val="single" w:sz="6" w:space="0" w:color="auto"/>
              <w:right w:val="single" w:sz="18" w:space="0" w:color="auto"/>
            </w:tcBorders>
          </w:tcPr>
          <w:p w14:paraId="748A487C" w14:textId="659BA7E7" w:rsidR="00F77068" w:rsidRPr="0031706B" w:rsidRDefault="00F77068" w:rsidP="00F768AB">
            <w:pPr>
              <w:spacing w:after="0"/>
              <w:jc w:val="center"/>
              <w:rPr>
                <w:rFonts w:cstheme="minorHAnsi"/>
              </w:rPr>
            </w:pPr>
            <w:r w:rsidRPr="0031706B">
              <w:rPr>
                <w:rFonts w:cstheme="minorHAnsi"/>
                <w:sz w:val="20"/>
                <w:szCs w:val="20"/>
              </w:rPr>
              <w:t>2</w:t>
            </w:r>
          </w:p>
        </w:tc>
      </w:tr>
      <w:tr w:rsidR="0053411F" w:rsidRPr="0031706B" w14:paraId="228A17F5"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74C7193C"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6" w:space="0" w:color="auto"/>
              <w:right w:val="single" w:sz="6" w:space="0" w:color="auto"/>
            </w:tcBorders>
          </w:tcPr>
          <w:p w14:paraId="15201A32" w14:textId="1F8545D3" w:rsidR="00F77068" w:rsidRPr="0031706B" w:rsidRDefault="00F77068" w:rsidP="003A41E7">
            <w:pPr>
              <w:spacing w:after="0"/>
              <w:rPr>
                <w:rFonts w:cstheme="minorHAnsi"/>
              </w:rPr>
            </w:pPr>
            <w:r w:rsidRPr="0031706B">
              <w:rPr>
                <w:rFonts w:cstheme="minorHAnsi"/>
                <w:sz w:val="20"/>
                <w:szCs w:val="20"/>
              </w:rPr>
              <w:t>Nuclear power</w:t>
            </w:r>
          </w:p>
        </w:tc>
        <w:tc>
          <w:tcPr>
            <w:tcW w:w="1842" w:type="dxa"/>
            <w:tcBorders>
              <w:top w:val="single" w:sz="6" w:space="0" w:color="auto"/>
              <w:left w:val="single" w:sz="6" w:space="0" w:color="auto"/>
              <w:bottom w:val="single" w:sz="6" w:space="0" w:color="auto"/>
              <w:right w:val="single" w:sz="6" w:space="0" w:color="auto"/>
            </w:tcBorders>
          </w:tcPr>
          <w:p w14:paraId="0B99AC56" w14:textId="56D4819F" w:rsidR="00F77068" w:rsidRPr="0031706B" w:rsidRDefault="00F77068" w:rsidP="00F768AB">
            <w:pPr>
              <w:spacing w:after="0"/>
              <w:jc w:val="center"/>
              <w:rPr>
                <w:rFonts w:cstheme="minorHAnsi"/>
              </w:rPr>
            </w:pPr>
            <w:r w:rsidRPr="0031706B">
              <w:rPr>
                <w:rFonts w:cstheme="minorHAnsi"/>
                <w:sz w:val="20"/>
                <w:szCs w:val="20"/>
              </w:rPr>
              <w:t>2-3</w:t>
            </w:r>
          </w:p>
        </w:tc>
        <w:tc>
          <w:tcPr>
            <w:tcW w:w="1808" w:type="dxa"/>
            <w:tcBorders>
              <w:top w:val="single" w:sz="6" w:space="0" w:color="auto"/>
              <w:left w:val="single" w:sz="6" w:space="0" w:color="auto"/>
              <w:bottom w:val="single" w:sz="6" w:space="0" w:color="auto"/>
              <w:right w:val="single" w:sz="18" w:space="0" w:color="auto"/>
            </w:tcBorders>
          </w:tcPr>
          <w:p w14:paraId="21750D40" w14:textId="317DA607" w:rsidR="00F77068" w:rsidRPr="0031706B" w:rsidRDefault="00F77068" w:rsidP="00F768AB">
            <w:pPr>
              <w:spacing w:after="0"/>
              <w:jc w:val="center"/>
              <w:rPr>
                <w:rFonts w:cstheme="minorHAnsi"/>
              </w:rPr>
            </w:pPr>
            <w:r w:rsidRPr="0031706B">
              <w:rPr>
                <w:rFonts w:cstheme="minorHAnsi"/>
                <w:sz w:val="20"/>
                <w:szCs w:val="20"/>
              </w:rPr>
              <w:t>2</w:t>
            </w:r>
          </w:p>
        </w:tc>
      </w:tr>
      <w:tr w:rsidR="0053411F" w:rsidRPr="0031706B" w14:paraId="502490F0"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26C5E553"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6" w:space="0" w:color="auto"/>
              <w:right w:val="single" w:sz="6" w:space="0" w:color="auto"/>
            </w:tcBorders>
          </w:tcPr>
          <w:p w14:paraId="10FB7A65" w14:textId="3C571849" w:rsidR="00F77068" w:rsidRPr="0031706B" w:rsidRDefault="00F77068" w:rsidP="003A41E7">
            <w:pPr>
              <w:spacing w:after="0"/>
              <w:rPr>
                <w:rFonts w:cstheme="minorHAnsi"/>
              </w:rPr>
            </w:pPr>
            <w:r w:rsidRPr="0031706B">
              <w:rPr>
                <w:rFonts w:cstheme="minorHAnsi"/>
                <w:sz w:val="20"/>
                <w:szCs w:val="20"/>
              </w:rPr>
              <w:t>Heating fuel</w:t>
            </w:r>
          </w:p>
        </w:tc>
        <w:tc>
          <w:tcPr>
            <w:tcW w:w="1842" w:type="dxa"/>
            <w:tcBorders>
              <w:top w:val="single" w:sz="6" w:space="0" w:color="auto"/>
              <w:left w:val="single" w:sz="6" w:space="0" w:color="auto"/>
              <w:bottom w:val="single" w:sz="6" w:space="0" w:color="auto"/>
              <w:right w:val="single" w:sz="6" w:space="0" w:color="auto"/>
            </w:tcBorders>
          </w:tcPr>
          <w:p w14:paraId="1A9334FC" w14:textId="744B75C5" w:rsidR="00F77068" w:rsidRPr="0031706B" w:rsidRDefault="00F77068" w:rsidP="00F768AB">
            <w:pPr>
              <w:spacing w:after="0"/>
              <w:jc w:val="center"/>
              <w:rPr>
                <w:rFonts w:cstheme="minorHAnsi"/>
              </w:rPr>
            </w:pPr>
            <w:r w:rsidRPr="0031706B">
              <w:rPr>
                <w:rFonts w:cstheme="minorHAnsi"/>
                <w:sz w:val="20"/>
                <w:szCs w:val="20"/>
              </w:rPr>
              <w:t>3-4</w:t>
            </w:r>
          </w:p>
        </w:tc>
        <w:tc>
          <w:tcPr>
            <w:tcW w:w="1808" w:type="dxa"/>
            <w:tcBorders>
              <w:top w:val="single" w:sz="6" w:space="0" w:color="auto"/>
              <w:left w:val="single" w:sz="6" w:space="0" w:color="auto"/>
              <w:bottom w:val="single" w:sz="6" w:space="0" w:color="auto"/>
              <w:right w:val="single" w:sz="18" w:space="0" w:color="auto"/>
            </w:tcBorders>
          </w:tcPr>
          <w:p w14:paraId="1C64552E" w14:textId="0DF1EAD3" w:rsidR="00F77068" w:rsidRPr="0031706B" w:rsidRDefault="00F77068" w:rsidP="00F768AB">
            <w:pPr>
              <w:spacing w:after="0"/>
              <w:jc w:val="center"/>
              <w:rPr>
                <w:rFonts w:cstheme="minorHAnsi"/>
              </w:rPr>
            </w:pPr>
            <w:r w:rsidRPr="0031706B">
              <w:rPr>
                <w:rFonts w:cstheme="minorHAnsi"/>
                <w:sz w:val="20"/>
                <w:szCs w:val="20"/>
              </w:rPr>
              <w:t>3</w:t>
            </w:r>
          </w:p>
        </w:tc>
      </w:tr>
      <w:tr w:rsidR="00F77068" w:rsidRPr="0031706B" w14:paraId="0D603FCA"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25D92F1D" w14:textId="77777777" w:rsidR="00F77068" w:rsidRPr="0031706B" w:rsidRDefault="00F77068" w:rsidP="003A41E7">
            <w:pPr>
              <w:spacing w:after="0"/>
              <w:rPr>
                <w:rFonts w:cstheme="minorHAnsi"/>
              </w:rPr>
            </w:pPr>
          </w:p>
        </w:tc>
        <w:tc>
          <w:tcPr>
            <w:tcW w:w="6540" w:type="dxa"/>
            <w:gridSpan w:val="3"/>
            <w:tcBorders>
              <w:top w:val="single" w:sz="6" w:space="0" w:color="auto"/>
              <w:left w:val="single" w:sz="6" w:space="0" w:color="auto"/>
              <w:bottom w:val="single" w:sz="6" w:space="0" w:color="auto"/>
              <w:right w:val="single" w:sz="18" w:space="0" w:color="auto"/>
            </w:tcBorders>
            <w:shd w:val="clear" w:color="auto" w:fill="E6E6E6"/>
          </w:tcPr>
          <w:p w14:paraId="2E083EDC" w14:textId="69DF4DC2" w:rsidR="00F77068" w:rsidRPr="0031706B" w:rsidRDefault="00F77068" w:rsidP="003A41E7">
            <w:pPr>
              <w:spacing w:after="0"/>
              <w:rPr>
                <w:rFonts w:cstheme="minorHAnsi"/>
              </w:rPr>
            </w:pPr>
            <w:r w:rsidRPr="0031706B">
              <w:rPr>
                <w:rFonts w:cstheme="minorHAnsi"/>
                <w:b/>
                <w:sz w:val="20"/>
                <w:szCs w:val="20"/>
              </w:rPr>
              <w:t>Modal choice in the middle of the DECC range</w:t>
            </w:r>
          </w:p>
        </w:tc>
      </w:tr>
      <w:tr w:rsidR="0053411F" w:rsidRPr="0031706B" w14:paraId="29B6C679"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407BCEE5"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6" w:space="0" w:color="auto"/>
              <w:right w:val="single" w:sz="6" w:space="0" w:color="auto"/>
            </w:tcBorders>
          </w:tcPr>
          <w:p w14:paraId="68BD0EF7" w14:textId="1738F78A" w:rsidR="00F77068" w:rsidRPr="0031706B" w:rsidRDefault="00F77068" w:rsidP="003A41E7">
            <w:pPr>
              <w:spacing w:after="0"/>
              <w:rPr>
                <w:rFonts w:cstheme="minorHAnsi"/>
              </w:rPr>
            </w:pPr>
            <w:r w:rsidRPr="0031706B">
              <w:rPr>
                <w:rFonts w:cstheme="minorHAnsi"/>
                <w:sz w:val="20"/>
                <w:szCs w:val="20"/>
              </w:rPr>
              <w:t>Home temperature</w:t>
            </w:r>
          </w:p>
        </w:tc>
        <w:tc>
          <w:tcPr>
            <w:tcW w:w="1842" w:type="dxa"/>
            <w:tcBorders>
              <w:top w:val="single" w:sz="6" w:space="0" w:color="auto"/>
              <w:left w:val="single" w:sz="6" w:space="0" w:color="auto"/>
              <w:bottom w:val="single" w:sz="6" w:space="0" w:color="auto"/>
              <w:right w:val="single" w:sz="6" w:space="0" w:color="auto"/>
            </w:tcBorders>
          </w:tcPr>
          <w:p w14:paraId="37F40986" w14:textId="7F7D3841" w:rsidR="00F77068" w:rsidRPr="0031706B" w:rsidRDefault="00F77068" w:rsidP="00F768AB">
            <w:pPr>
              <w:spacing w:after="0"/>
              <w:jc w:val="center"/>
              <w:rPr>
                <w:rFonts w:cstheme="minorHAnsi"/>
              </w:rPr>
            </w:pPr>
            <w:r w:rsidRPr="0031706B">
              <w:rPr>
                <w:rFonts w:cstheme="minorHAnsi"/>
                <w:sz w:val="20"/>
                <w:szCs w:val="20"/>
              </w:rPr>
              <w:t>2-4</w:t>
            </w:r>
          </w:p>
        </w:tc>
        <w:tc>
          <w:tcPr>
            <w:tcW w:w="1808" w:type="dxa"/>
            <w:tcBorders>
              <w:top w:val="single" w:sz="6" w:space="0" w:color="auto"/>
              <w:left w:val="single" w:sz="6" w:space="0" w:color="auto"/>
              <w:bottom w:val="single" w:sz="6" w:space="0" w:color="auto"/>
              <w:right w:val="single" w:sz="18" w:space="0" w:color="auto"/>
            </w:tcBorders>
          </w:tcPr>
          <w:p w14:paraId="281E33D2" w14:textId="01E40EA0" w:rsidR="00F77068" w:rsidRPr="0031706B" w:rsidRDefault="00F77068" w:rsidP="00F768AB">
            <w:pPr>
              <w:spacing w:after="0"/>
              <w:jc w:val="center"/>
              <w:rPr>
                <w:rFonts w:cstheme="minorHAnsi"/>
              </w:rPr>
            </w:pPr>
            <w:r w:rsidRPr="0031706B">
              <w:rPr>
                <w:rFonts w:cstheme="minorHAnsi"/>
                <w:sz w:val="20"/>
                <w:szCs w:val="20"/>
              </w:rPr>
              <w:t>3</w:t>
            </w:r>
          </w:p>
        </w:tc>
      </w:tr>
      <w:tr w:rsidR="0053411F" w:rsidRPr="0031706B" w14:paraId="4D1100B9"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63E8D8DC"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6" w:space="0" w:color="auto"/>
              <w:right w:val="single" w:sz="6" w:space="0" w:color="auto"/>
            </w:tcBorders>
          </w:tcPr>
          <w:p w14:paraId="76D46601" w14:textId="2511D117" w:rsidR="00F77068" w:rsidRPr="0031706B" w:rsidRDefault="00F77068" w:rsidP="003A41E7">
            <w:pPr>
              <w:spacing w:after="0"/>
              <w:rPr>
                <w:rFonts w:cstheme="minorHAnsi"/>
              </w:rPr>
            </w:pPr>
            <w:r w:rsidRPr="0031706B">
              <w:rPr>
                <w:rFonts w:cstheme="minorHAnsi"/>
                <w:sz w:val="20"/>
                <w:szCs w:val="20"/>
              </w:rPr>
              <w:t>How we travel</w:t>
            </w:r>
          </w:p>
        </w:tc>
        <w:tc>
          <w:tcPr>
            <w:tcW w:w="1842" w:type="dxa"/>
            <w:tcBorders>
              <w:top w:val="single" w:sz="6" w:space="0" w:color="auto"/>
              <w:left w:val="single" w:sz="6" w:space="0" w:color="auto"/>
              <w:bottom w:val="single" w:sz="6" w:space="0" w:color="auto"/>
              <w:right w:val="single" w:sz="6" w:space="0" w:color="auto"/>
            </w:tcBorders>
          </w:tcPr>
          <w:p w14:paraId="4D5A3EC1" w14:textId="378F2557" w:rsidR="00F77068" w:rsidRPr="0031706B" w:rsidRDefault="00F77068" w:rsidP="00F768AB">
            <w:pPr>
              <w:spacing w:after="0"/>
              <w:jc w:val="center"/>
              <w:rPr>
                <w:rFonts w:cstheme="minorHAnsi"/>
              </w:rPr>
            </w:pPr>
            <w:r w:rsidRPr="0031706B">
              <w:rPr>
                <w:rFonts w:cstheme="minorHAnsi"/>
                <w:sz w:val="20"/>
                <w:szCs w:val="20"/>
              </w:rPr>
              <w:t>2-4</w:t>
            </w:r>
          </w:p>
        </w:tc>
        <w:tc>
          <w:tcPr>
            <w:tcW w:w="1808" w:type="dxa"/>
            <w:tcBorders>
              <w:top w:val="single" w:sz="6" w:space="0" w:color="auto"/>
              <w:left w:val="single" w:sz="6" w:space="0" w:color="auto"/>
              <w:bottom w:val="single" w:sz="6" w:space="0" w:color="auto"/>
              <w:right w:val="single" w:sz="18" w:space="0" w:color="auto"/>
            </w:tcBorders>
          </w:tcPr>
          <w:p w14:paraId="1A265ED6" w14:textId="09985E1D" w:rsidR="00F77068" w:rsidRPr="0031706B" w:rsidRDefault="00F77068" w:rsidP="00F768AB">
            <w:pPr>
              <w:spacing w:after="0"/>
              <w:jc w:val="center"/>
              <w:rPr>
                <w:rFonts w:cstheme="minorHAnsi"/>
              </w:rPr>
            </w:pPr>
            <w:r w:rsidRPr="0031706B">
              <w:rPr>
                <w:rFonts w:cstheme="minorHAnsi"/>
                <w:sz w:val="20"/>
                <w:szCs w:val="20"/>
              </w:rPr>
              <w:t>3</w:t>
            </w:r>
          </w:p>
        </w:tc>
      </w:tr>
      <w:tr w:rsidR="0053411F" w:rsidRPr="0031706B" w14:paraId="6577D9FF"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20558FE7"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6" w:space="0" w:color="auto"/>
              <w:right w:val="single" w:sz="6" w:space="0" w:color="auto"/>
            </w:tcBorders>
          </w:tcPr>
          <w:p w14:paraId="0D7E4A77" w14:textId="355F3A67" w:rsidR="00F77068" w:rsidRPr="0031706B" w:rsidRDefault="00F77068" w:rsidP="003A41E7">
            <w:pPr>
              <w:spacing w:after="0"/>
              <w:rPr>
                <w:rFonts w:cstheme="minorHAnsi"/>
              </w:rPr>
            </w:pPr>
            <w:r w:rsidRPr="0031706B">
              <w:rPr>
                <w:rFonts w:cstheme="minorHAnsi"/>
                <w:sz w:val="20"/>
                <w:szCs w:val="20"/>
              </w:rPr>
              <w:t>Transport fuel</w:t>
            </w:r>
          </w:p>
        </w:tc>
        <w:tc>
          <w:tcPr>
            <w:tcW w:w="1842" w:type="dxa"/>
            <w:tcBorders>
              <w:top w:val="single" w:sz="6" w:space="0" w:color="auto"/>
              <w:left w:val="single" w:sz="6" w:space="0" w:color="auto"/>
              <w:bottom w:val="single" w:sz="6" w:space="0" w:color="auto"/>
              <w:right w:val="single" w:sz="6" w:space="0" w:color="auto"/>
            </w:tcBorders>
          </w:tcPr>
          <w:p w14:paraId="40FB7DE3" w14:textId="21506048" w:rsidR="00F77068" w:rsidRPr="0031706B" w:rsidRDefault="00F77068" w:rsidP="00F768AB">
            <w:pPr>
              <w:spacing w:after="0"/>
              <w:jc w:val="center"/>
              <w:rPr>
                <w:rFonts w:cstheme="minorHAnsi"/>
              </w:rPr>
            </w:pPr>
            <w:r w:rsidRPr="0031706B">
              <w:rPr>
                <w:rFonts w:cstheme="minorHAnsi"/>
                <w:sz w:val="20"/>
                <w:szCs w:val="20"/>
              </w:rPr>
              <w:t>2-4</w:t>
            </w:r>
          </w:p>
        </w:tc>
        <w:tc>
          <w:tcPr>
            <w:tcW w:w="1808" w:type="dxa"/>
            <w:tcBorders>
              <w:top w:val="single" w:sz="6" w:space="0" w:color="auto"/>
              <w:left w:val="single" w:sz="6" w:space="0" w:color="auto"/>
              <w:bottom w:val="single" w:sz="6" w:space="0" w:color="auto"/>
              <w:right w:val="single" w:sz="18" w:space="0" w:color="auto"/>
            </w:tcBorders>
          </w:tcPr>
          <w:p w14:paraId="0B195252" w14:textId="238A5BFC" w:rsidR="00F77068" w:rsidRPr="0031706B" w:rsidRDefault="00F77068" w:rsidP="00F768AB">
            <w:pPr>
              <w:spacing w:after="0"/>
              <w:jc w:val="center"/>
              <w:rPr>
                <w:rFonts w:cstheme="minorHAnsi"/>
              </w:rPr>
            </w:pPr>
            <w:r w:rsidRPr="0031706B">
              <w:rPr>
                <w:rFonts w:cstheme="minorHAnsi"/>
                <w:sz w:val="20"/>
                <w:szCs w:val="20"/>
              </w:rPr>
              <w:t>3</w:t>
            </w:r>
          </w:p>
        </w:tc>
      </w:tr>
      <w:tr w:rsidR="00F77068" w:rsidRPr="0031706B" w14:paraId="2BAAB592"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41F2ED0B" w14:textId="77777777" w:rsidR="00F77068" w:rsidRPr="0031706B" w:rsidRDefault="00F77068" w:rsidP="003A41E7">
            <w:pPr>
              <w:spacing w:after="0"/>
              <w:rPr>
                <w:rFonts w:cstheme="minorHAnsi"/>
              </w:rPr>
            </w:pPr>
          </w:p>
        </w:tc>
        <w:tc>
          <w:tcPr>
            <w:tcW w:w="6540" w:type="dxa"/>
            <w:gridSpan w:val="3"/>
            <w:tcBorders>
              <w:top w:val="single" w:sz="6" w:space="0" w:color="auto"/>
              <w:left w:val="single" w:sz="6" w:space="0" w:color="auto"/>
              <w:bottom w:val="single" w:sz="6" w:space="0" w:color="auto"/>
              <w:right w:val="single" w:sz="18" w:space="0" w:color="auto"/>
            </w:tcBorders>
            <w:shd w:val="clear" w:color="auto" w:fill="E6E6E6"/>
          </w:tcPr>
          <w:p w14:paraId="0BDCAB77" w14:textId="0437FA26" w:rsidR="00F77068" w:rsidRPr="0031706B" w:rsidRDefault="00F77068" w:rsidP="003A41E7">
            <w:pPr>
              <w:spacing w:after="0"/>
              <w:rPr>
                <w:rFonts w:cstheme="minorHAnsi"/>
              </w:rPr>
            </w:pPr>
            <w:r w:rsidRPr="0031706B">
              <w:rPr>
                <w:rFonts w:cstheme="minorHAnsi"/>
                <w:b/>
                <w:sz w:val="20"/>
                <w:szCs w:val="20"/>
              </w:rPr>
              <w:t>Modal choice at the higher end of the DECC range</w:t>
            </w:r>
          </w:p>
        </w:tc>
      </w:tr>
      <w:tr w:rsidR="0053411F" w:rsidRPr="0031706B" w14:paraId="61715D22"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4F046480"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6" w:space="0" w:color="auto"/>
              <w:right w:val="single" w:sz="6" w:space="0" w:color="auto"/>
            </w:tcBorders>
          </w:tcPr>
          <w:p w14:paraId="769060C2" w14:textId="0E83E9A1" w:rsidR="00F77068" w:rsidRPr="0031706B" w:rsidRDefault="00F77068" w:rsidP="003A41E7">
            <w:pPr>
              <w:spacing w:after="0"/>
              <w:rPr>
                <w:rFonts w:cstheme="minorHAnsi"/>
              </w:rPr>
            </w:pPr>
            <w:r w:rsidRPr="0031706B">
              <w:rPr>
                <w:rFonts w:cstheme="minorHAnsi"/>
                <w:sz w:val="20"/>
                <w:szCs w:val="20"/>
              </w:rPr>
              <w:t>Home efficiency</w:t>
            </w:r>
          </w:p>
        </w:tc>
        <w:tc>
          <w:tcPr>
            <w:tcW w:w="1842" w:type="dxa"/>
            <w:tcBorders>
              <w:top w:val="single" w:sz="6" w:space="0" w:color="auto"/>
              <w:left w:val="single" w:sz="6" w:space="0" w:color="auto"/>
              <w:bottom w:val="single" w:sz="6" w:space="0" w:color="auto"/>
              <w:right w:val="single" w:sz="6" w:space="0" w:color="auto"/>
            </w:tcBorders>
          </w:tcPr>
          <w:p w14:paraId="1BDCDFA6" w14:textId="75A68014" w:rsidR="00F77068" w:rsidRPr="0031706B" w:rsidRDefault="00F77068" w:rsidP="00F768AB">
            <w:pPr>
              <w:spacing w:after="0"/>
              <w:jc w:val="center"/>
              <w:rPr>
                <w:rFonts w:cstheme="minorHAnsi"/>
              </w:rPr>
            </w:pPr>
            <w:r w:rsidRPr="0031706B">
              <w:rPr>
                <w:rFonts w:cstheme="minorHAnsi"/>
                <w:sz w:val="20"/>
                <w:szCs w:val="20"/>
              </w:rPr>
              <w:t>3-4</w:t>
            </w:r>
          </w:p>
        </w:tc>
        <w:tc>
          <w:tcPr>
            <w:tcW w:w="1808" w:type="dxa"/>
            <w:tcBorders>
              <w:top w:val="single" w:sz="6" w:space="0" w:color="auto"/>
              <w:left w:val="single" w:sz="6" w:space="0" w:color="auto"/>
              <w:bottom w:val="single" w:sz="6" w:space="0" w:color="auto"/>
              <w:right w:val="single" w:sz="18" w:space="0" w:color="auto"/>
            </w:tcBorders>
          </w:tcPr>
          <w:p w14:paraId="037CAFCF" w14:textId="0F8C811F" w:rsidR="00F77068" w:rsidRPr="0031706B" w:rsidRDefault="00F77068" w:rsidP="00F768AB">
            <w:pPr>
              <w:spacing w:after="0"/>
              <w:jc w:val="center"/>
              <w:rPr>
                <w:rFonts w:cstheme="minorHAnsi"/>
              </w:rPr>
            </w:pPr>
            <w:r w:rsidRPr="0031706B">
              <w:rPr>
                <w:rFonts w:cstheme="minorHAnsi"/>
                <w:sz w:val="20"/>
                <w:szCs w:val="20"/>
              </w:rPr>
              <w:t>4</w:t>
            </w:r>
          </w:p>
        </w:tc>
      </w:tr>
      <w:tr w:rsidR="0053411F" w:rsidRPr="0031706B" w14:paraId="087AF55F" w14:textId="77777777" w:rsidTr="0053411F">
        <w:tc>
          <w:tcPr>
            <w:tcW w:w="2180" w:type="dxa"/>
            <w:vMerge/>
            <w:tcBorders>
              <w:top w:val="single" w:sz="6" w:space="0" w:color="auto"/>
              <w:left w:val="single" w:sz="18" w:space="0" w:color="auto"/>
              <w:bottom w:val="single" w:sz="6" w:space="0" w:color="auto"/>
              <w:right w:val="single" w:sz="6" w:space="0" w:color="auto"/>
            </w:tcBorders>
            <w:shd w:val="clear" w:color="auto" w:fill="CCCCCC"/>
          </w:tcPr>
          <w:p w14:paraId="550EBF63"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6" w:space="0" w:color="auto"/>
              <w:right w:val="single" w:sz="6" w:space="0" w:color="auto"/>
            </w:tcBorders>
          </w:tcPr>
          <w:p w14:paraId="31D1113B" w14:textId="13C7EDBE" w:rsidR="00F77068" w:rsidRPr="0031706B" w:rsidRDefault="00F77068" w:rsidP="003A41E7">
            <w:pPr>
              <w:spacing w:after="0"/>
              <w:rPr>
                <w:rFonts w:cstheme="minorHAnsi"/>
              </w:rPr>
            </w:pPr>
            <w:r w:rsidRPr="0031706B">
              <w:rPr>
                <w:rFonts w:cstheme="minorHAnsi"/>
                <w:sz w:val="20"/>
                <w:szCs w:val="20"/>
              </w:rPr>
              <w:t>Business greenness</w:t>
            </w:r>
          </w:p>
        </w:tc>
        <w:tc>
          <w:tcPr>
            <w:tcW w:w="1842" w:type="dxa"/>
            <w:tcBorders>
              <w:top w:val="single" w:sz="6" w:space="0" w:color="auto"/>
              <w:left w:val="single" w:sz="6" w:space="0" w:color="auto"/>
              <w:bottom w:val="single" w:sz="6" w:space="0" w:color="auto"/>
              <w:right w:val="single" w:sz="6" w:space="0" w:color="auto"/>
            </w:tcBorders>
          </w:tcPr>
          <w:p w14:paraId="3C8EDD39" w14:textId="77F85D8C" w:rsidR="00F77068" w:rsidRPr="0031706B" w:rsidRDefault="00F77068" w:rsidP="00F768AB">
            <w:pPr>
              <w:spacing w:after="0"/>
              <w:jc w:val="center"/>
              <w:rPr>
                <w:rFonts w:cstheme="minorHAnsi"/>
              </w:rPr>
            </w:pPr>
            <w:r w:rsidRPr="0031706B">
              <w:rPr>
                <w:rFonts w:cstheme="minorHAnsi"/>
                <w:sz w:val="20"/>
                <w:szCs w:val="20"/>
              </w:rPr>
              <w:t>1-4</w:t>
            </w:r>
          </w:p>
        </w:tc>
        <w:tc>
          <w:tcPr>
            <w:tcW w:w="1808" w:type="dxa"/>
            <w:tcBorders>
              <w:top w:val="single" w:sz="6" w:space="0" w:color="auto"/>
              <w:left w:val="single" w:sz="6" w:space="0" w:color="auto"/>
              <w:bottom w:val="single" w:sz="6" w:space="0" w:color="auto"/>
              <w:right w:val="single" w:sz="18" w:space="0" w:color="auto"/>
            </w:tcBorders>
          </w:tcPr>
          <w:p w14:paraId="4FC9B6E9" w14:textId="0E29C7A9" w:rsidR="00F77068" w:rsidRPr="0031706B" w:rsidRDefault="00F77068" w:rsidP="00F768AB">
            <w:pPr>
              <w:spacing w:after="0"/>
              <w:jc w:val="center"/>
              <w:rPr>
                <w:rFonts w:cstheme="minorHAnsi"/>
              </w:rPr>
            </w:pPr>
            <w:r w:rsidRPr="0031706B">
              <w:rPr>
                <w:rFonts w:cstheme="minorHAnsi"/>
                <w:sz w:val="20"/>
                <w:szCs w:val="20"/>
              </w:rPr>
              <w:t>4</w:t>
            </w:r>
          </w:p>
        </w:tc>
      </w:tr>
      <w:tr w:rsidR="0053411F" w:rsidRPr="0031706B" w14:paraId="14AAF81E" w14:textId="77777777" w:rsidTr="0053411F">
        <w:tc>
          <w:tcPr>
            <w:tcW w:w="2180" w:type="dxa"/>
            <w:vMerge/>
            <w:tcBorders>
              <w:top w:val="single" w:sz="6" w:space="0" w:color="auto"/>
              <w:left w:val="single" w:sz="18" w:space="0" w:color="auto"/>
              <w:bottom w:val="single" w:sz="18" w:space="0" w:color="auto"/>
              <w:right w:val="single" w:sz="6" w:space="0" w:color="auto"/>
            </w:tcBorders>
            <w:shd w:val="clear" w:color="auto" w:fill="CCCCCC"/>
          </w:tcPr>
          <w:p w14:paraId="7023E020"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18" w:space="0" w:color="auto"/>
              <w:right w:val="single" w:sz="6" w:space="0" w:color="auto"/>
            </w:tcBorders>
          </w:tcPr>
          <w:p w14:paraId="2B5A28AF" w14:textId="2C4225E8" w:rsidR="00F77068" w:rsidRPr="0031706B" w:rsidRDefault="00F77068" w:rsidP="003A41E7">
            <w:pPr>
              <w:spacing w:after="0"/>
              <w:rPr>
                <w:rFonts w:cstheme="minorHAnsi"/>
              </w:rPr>
            </w:pPr>
            <w:r w:rsidRPr="0031706B">
              <w:rPr>
                <w:rFonts w:cstheme="minorHAnsi"/>
                <w:sz w:val="20"/>
                <w:szCs w:val="20"/>
              </w:rPr>
              <w:t>Clean coal and gas power</w:t>
            </w:r>
          </w:p>
        </w:tc>
        <w:tc>
          <w:tcPr>
            <w:tcW w:w="1842" w:type="dxa"/>
            <w:tcBorders>
              <w:top w:val="single" w:sz="6" w:space="0" w:color="auto"/>
              <w:left w:val="single" w:sz="6" w:space="0" w:color="auto"/>
              <w:bottom w:val="single" w:sz="18" w:space="0" w:color="auto"/>
              <w:right w:val="single" w:sz="6" w:space="0" w:color="auto"/>
            </w:tcBorders>
          </w:tcPr>
          <w:p w14:paraId="3CD77B32" w14:textId="00B50DB3" w:rsidR="00F77068" w:rsidRPr="0031706B" w:rsidRDefault="00F77068" w:rsidP="00F768AB">
            <w:pPr>
              <w:spacing w:after="0"/>
              <w:jc w:val="center"/>
              <w:rPr>
                <w:rFonts w:cstheme="minorHAnsi"/>
              </w:rPr>
            </w:pPr>
            <w:r w:rsidRPr="0031706B">
              <w:rPr>
                <w:rFonts w:cstheme="minorHAnsi"/>
                <w:sz w:val="20"/>
                <w:szCs w:val="20"/>
              </w:rPr>
              <w:t>1-2</w:t>
            </w:r>
          </w:p>
        </w:tc>
        <w:tc>
          <w:tcPr>
            <w:tcW w:w="1808" w:type="dxa"/>
            <w:tcBorders>
              <w:top w:val="single" w:sz="6" w:space="0" w:color="auto"/>
              <w:left w:val="single" w:sz="6" w:space="0" w:color="auto"/>
              <w:bottom w:val="single" w:sz="18" w:space="0" w:color="auto"/>
              <w:right w:val="single" w:sz="18" w:space="0" w:color="auto"/>
            </w:tcBorders>
          </w:tcPr>
          <w:p w14:paraId="319DFACA" w14:textId="3CDB4C64" w:rsidR="00F77068" w:rsidRPr="0031706B" w:rsidRDefault="00F77068" w:rsidP="00F768AB">
            <w:pPr>
              <w:spacing w:after="0"/>
              <w:jc w:val="center"/>
              <w:rPr>
                <w:rFonts w:cstheme="minorHAnsi"/>
              </w:rPr>
            </w:pPr>
            <w:r w:rsidRPr="0031706B">
              <w:rPr>
                <w:rFonts w:cstheme="minorHAnsi"/>
                <w:sz w:val="20"/>
                <w:szCs w:val="20"/>
              </w:rPr>
              <w:t>2</w:t>
            </w:r>
          </w:p>
        </w:tc>
      </w:tr>
      <w:tr w:rsidR="0053411F" w:rsidRPr="0031706B" w14:paraId="698A7800" w14:textId="77777777" w:rsidTr="0053411F">
        <w:tc>
          <w:tcPr>
            <w:tcW w:w="2180" w:type="dxa"/>
            <w:vMerge w:val="restart"/>
            <w:tcBorders>
              <w:top w:val="single" w:sz="18" w:space="0" w:color="auto"/>
              <w:left w:val="single" w:sz="18" w:space="0" w:color="auto"/>
              <w:bottom w:val="single" w:sz="6" w:space="0" w:color="auto"/>
              <w:right w:val="single" w:sz="6" w:space="0" w:color="auto"/>
            </w:tcBorders>
            <w:shd w:val="clear" w:color="auto" w:fill="CCCCCC"/>
          </w:tcPr>
          <w:p w14:paraId="7DFD5D7A" w14:textId="7969D6D0" w:rsidR="00F77068" w:rsidRPr="0031706B" w:rsidRDefault="00F77068" w:rsidP="00F768AB">
            <w:pPr>
              <w:spacing w:after="0"/>
              <w:rPr>
                <w:rFonts w:cstheme="minorHAnsi"/>
              </w:rPr>
            </w:pPr>
            <w:r w:rsidRPr="0031706B">
              <w:rPr>
                <w:rFonts w:cstheme="minorHAnsi"/>
                <w:b/>
                <w:sz w:val="20"/>
                <w:szCs w:val="20"/>
              </w:rPr>
              <w:t>‘My2050’ respondents’ modal choice is for higher effort than DECC’s three scenarios</w:t>
            </w:r>
          </w:p>
        </w:tc>
        <w:tc>
          <w:tcPr>
            <w:tcW w:w="2890" w:type="dxa"/>
            <w:tcBorders>
              <w:top w:val="single" w:sz="18" w:space="0" w:color="auto"/>
              <w:left w:val="single" w:sz="6" w:space="0" w:color="auto"/>
              <w:bottom w:val="single" w:sz="6" w:space="0" w:color="auto"/>
              <w:right w:val="single" w:sz="6" w:space="0" w:color="auto"/>
            </w:tcBorders>
          </w:tcPr>
          <w:p w14:paraId="7BF81591" w14:textId="09542C02" w:rsidR="00F77068" w:rsidRPr="0031706B" w:rsidRDefault="00F77068" w:rsidP="00F768AB">
            <w:pPr>
              <w:spacing w:after="0"/>
              <w:rPr>
                <w:rFonts w:cstheme="minorHAnsi"/>
              </w:rPr>
            </w:pPr>
            <w:r w:rsidRPr="0031706B">
              <w:rPr>
                <w:rFonts w:cstheme="minorHAnsi"/>
                <w:sz w:val="20"/>
                <w:szCs w:val="20"/>
              </w:rPr>
              <w:t>Wind turbines on sea</w:t>
            </w:r>
          </w:p>
        </w:tc>
        <w:tc>
          <w:tcPr>
            <w:tcW w:w="1842" w:type="dxa"/>
            <w:tcBorders>
              <w:top w:val="single" w:sz="18" w:space="0" w:color="auto"/>
              <w:left w:val="single" w:sz="6" w:space="0" w:color="auto"/>
              <w:bottom w:val="single" w:sz="6" w:space="0" w:color="auto"/>
              <w:right w:val="single" w:sz="6" w:space="0" w:color="auto"/>
            </w:tcBorders>
          </w:tcPr>
          <w:p w14:paraId="77604C71" w14:textId="7D2902DE" w:rsidR="00F77068" w:rsidRPr="0031706B" w:rsidRDefault="00F77068" w:rsidP="00F768AB">
            <w:pPr>
              <w:spacing w:after="0"/>
              <w:jc w:val="center"/>
              <w:rPr>
                <w:rFonts w:cstheme="minorHAnsi"/>
              </w:rPr>
            </w:pPr>
            <w:r w:rsidRPr="0031706B">
              <w:rPr>
                <w:rFonts w:cstheme="minorHAnsi"/>
                <w:sz w:val="20"/>
                <w:szCs w:val="20"/>
              </w:rPr>
              <w:t>1-2</w:t>
            </w:r>
          </w:p>
        </w:tc>
        <w:tc>
          <w:tcPr>
            <w:tcW w:w="1808" w:type="dxa"/>
            <w:tcBorders>
              <w:top w:val="single" w:sz="18" w:space="0" w:color="auto"/>
              <w:left w:val="single" w:sz="6" w:space="0" w:color="auto"/>
              <w:bottom w:val="single" w:sz="6" w:space="0" w:color="auto"/>
              <w:right w:val="single" w:sz="18" w:space="0" w:color="auto"/>
            </w:tcBorders>
          </w:tcPr>
          <w:p w14:paraId="44617320" w14:textId="295FFD0E" w:rsidR="00F77068" w:rsidRPr="0031706B" w:rsidRDefault="00F77068" w:rsidP="00F768AB">
            <w:pPr>
              <w:spacing w:after="0"/>
              <w:jc w:val="center"/>
              <w:rPr>
                <w:rFonts w:cstheme="minorHAnsi"/>
              </w:rPr>
            </w:pPr>
            <w:r w:rsidRPr="0031706B">
              <w:rPr>
                <w:rFonts w:cstheme="minorHAnsi"/>
                <w:sz w:val="20"/>
                <w:szCs w:val="20"/>
              </w:rPr>
              <w:t>3</w:t>
            </w:r>
          </w:p>
        </w:tc>
      </w:tr>
      <w:tr w:rsidR="0053411F" w:rsidRPr="0031706B" w14:paraId="39B7E9F0" w14:textId="77777777" w:rsidTr="0053411F">
        <w:tc>
          <w:tcPr>
            <w:tcW w:w="2180" w:type="dxa"/>
            <w:vMerge/>
            <w:tcBorders>
              <w:top w:val="single" w:sz="6" w:space="0" w:color="auto"/>
              <w:left w:val="single" w:sz="18" w:space="0" w:color="auto"/>
              <w:bottom w:val="single" w:sz="18" w:space="0" w:color="auto"/>
              <w:right w:val="single" w:sz="6" w:space="0" w:color="auto"/>
            </w:tcBorders>
            <w:shd w:val="clear" w:color="auto" w:fill="CCCCCC"/>
          </w:tcPr>
          <w:p w14:paraId="002A8EFE" w14:textId="77777777" w:rsidR="00F77068" w:rsidRPr="0031706B" w:rsidRDefault="00F77068" w:rsidP="003A41E7">
            <w:pPr>
              <w:spacing w:after="0"/>
              <w:rPr>
                <w:rFonts w:cstheme="minorHAnsi"/>
              </w:rPr>
            </w:pPr>
          </w:p>
        </w:tc>
        <w:tc>
          <w:tcPr>
            <w:tcW w:w="2890" w:type="dxa"/>
            <w:tcBorders>
              <w:top w:val="single" w:sz="6" w:space="0" w:color="auto"/>
              <w:left w:val="single" w:sz="6" w:space="0" w:color="auto"/>
              <w:bottom w:val="single" w:sz="18" w:space="0" w:color="auto"/>
              <w:right w:val="single" w:sz="6" w:space="0" w:color="auto"/>
            </w:tcBorders>
          </w:tcPr>
          <w:p w14:paraId="7BBC4477" w14:textId="627BC60B" w:rsidR="00F77068" w:rsidRPr="0031706B" w:rsidRDefault="00F77068" w:rsidP="003A41E7">
            <w:pPr>
              <w:spacing w:after="0"/>
              <w:rPr>
                <w:rFonts w:cstheme="minorHAnsi"/>
              </w:rPr>
            </w:pPr>
            <w:r w:rsidRPr="0031706B">
              <w:rPr>
                <w:rFonts w:cstheme="minorHAnsi"/>
                <w:sz w:val="20"/>
                <w:szCs w:val="20"/>
              </w:rPr>
              <w:t>Solar, marine and hydro power</w:t>
            </w:r>
          </w:p>
        </w:tc>
        <w:tc>
          <w:tcPr>
            <w:tcW w:w="1842" w:type="dxa"/>
            <w:tcBorders>
              <w:top w:val="single" w:sz="6" w:space="0" w:color="auto"/>
              <w:left w:val="single" w:sz="6" w:space="0" w:color="auto"/>
              <w:bottom w:val="single" w:sz="18" w:space="0" w:color="auto"/>
              <w:right w:val="single" w:sz="6" w:space="0" w:color="auto"/>
            </w:tcBorders>
          </w:tcPr>
          <w:p w14:paraId="009B9128" w14:textId="41698A88" w:rsidR="00F77068" w:rsidRPr="0031706B" w:rsidRDefault="00F77068" w:rsidP="00F768AB">
            <w:pPr>
              <w:spacing w:after="0"/>
              <w:jc w:val="center"/>
              <w:rPr>
                <w:rFonts w:cstheme="minorHAnsi"/>
              </w:rPr>
            </w:pPr>
            <w:r w:rsidRPr="0031706B">
              <w:rPr>
                <w:rFonts w:cstheme="minorHAnsi"/>
                <w:sz w:val="20"/>
                <w:szCs w:val="20"/>
              </w:rPr>
              <w:t>1-2</w:t>
            </w:r>
          </w:p>
        </w:tc>
        <w:tc>
          <w:tcPr>
            <w:tcW w:w="1808" w:type="dxa"/>
            <w:tcBorders>
              <w:top w:val="single" w:sz="6" w:space="0" w:color="auto"/>
              <w:left w:val="single" w:sz="6" w:space="0" w:color="auto"/>
              <w:bottom w:val="single" w:sz="18" w:space="0" w:color="auto"/>
              <w:right w:val="single" w:sz="18" w:space="0" w:color="auto"/>
            </w:tcBorders>
          </w:tcPr>
          <w:p w14:paraId="6B1C5A0F" w14:textId="08F46AE3" w:rsidR="00F77068" w:rsidRPr="0031706B" w:rsidRDefault="00F77068" w:rsidP="00F768AB">
            <w:pPr>
              <w:spacing w:after="0"/>
              <w:jc w:val="center"/>
              <w:rPr>
                <w:rFonts w:cstheme="minorHAnsi"/>
              </w:rPr>
            </w:pPr>
            <w:r w:rsidRPr="0031706B">
              <w:rPr>
                <w:rFonts w:cstheme="minorHAnsi"/>
                <w:sz w:val="20"/>
                <w:szCs w:val="20"/>
              </w:rPr>
              <w:t>3</w:t>
            </w:r>
          </w:p>
        </w:tc>
      </w:tr>
    </w:tbl>
    <w:p w14:paraId="4110EDD6" w14:textId="77777777" w:rsidR="006E22F8" w:rsidRPr="0031706B" w:rsidRDefault="006E22F8" w:rsidP="0032732C">
      <w:pPr>
        <w:spacing w:after="0" w:line="480" w:lineRule="auto"/>
        <w:rPr>
          <w:rFonts w:cstheme="minorHAnsi"/>
          <w:sz w:val="24"/>
        </w:rPr>
      </w:pPr>
    </w:p>
    <w:p w14:paraId="757FC233" w14:textId="58D8B7AE" w:rsidR="00E373E7" w:rsidRPr="0031706B" w:rsidRDefault="00FE336B" w:rsidP="0032732C">
      <w:pPr>
        <w:spacing w:after="0" w:line="480" w:lineRule="auto"/>
        <w:rPr>
          <w:rFonts w:eastAsiaTheme="majorEastAsia" w:cstheme="minorHAnsi"/>
          <w:b/>
          <w:bCs/>
          <w:sz w:val="24"/>
        </w:rPr>
      </w:pPr>
      <w:r w:rsidRPr="0031706B">
        <w:rPr>
          <w:rFonts w:cstheme="minorHAnsi"/>
          <w:sz w:val="24"/>
        </w:rPr>
        <w:t xml:space="preserve">An illustration of the alignment between modal choices in this sample and the range of effort proposed through DECC’s three scenarios is provided in Figure </w:t>
      </w:r>
      <w:r w:rsidR="007A5BE0" w:rsidRPr="0031706B">
        <w:rPr>
          <w:rFonts w:cstheme="minorHAnsi"/>
          <w:sz w:val="24"/>
        </w:rPr>
        <w:t>11</w:t>
      </w:r>
      <w:r w:rsidRPr="0031706B">
        <w:rPr>
          <w:rFonts w:cstheme="minorHAnsi"/>
          <w:sz w:val="24"/>
        </w:rPr>
        <w:t>.</w:t>
      </w:r>
    </w:p>
    <w:p w14:paraId="414A094D" w14:textId="15415585" w:rsidR="00E373E7" w:rsidRPr="0031706B" w:rsidRDefault="00E373E7" w:rsidP="0032732C">
      <w:pPr>
        <w:spacing w:after="0" w:line="480" w:lineRule="auto"/>
        <w:rPr>
          <w:rFonts w:eastAsiaTheme="majorEastAsia" w:cstheme="minorHAnsi"/>
          <w:b/>
          <w:bCs/>
          <w:sz w:val="24"/>
        </w:rPr>
      </w:pPr>
      <w:r w:rsidRPr="0031706B">
        <w:rPr>
          <w:rFonts w:eastAsiaTheme="majorEastAsia" w:cstheme="minorHAnsi"/>
          <w:b/>
          <w:bCs/>
          <w:noProof/>
          <w:sz w:val="24"/>
          <w:lang w:val="en-GB" w:eastAsia="en-GB"/>
        </w:rPr>
        <w:drawing>
          <wp:inline distT="0" distB="0" distL="0" distR="0" wp14:anchorId="4007D441" wp14:editId="43F42DBB">
            <wp:extent cx="5400040" cy="15316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531633"/>
                    </a:xfrm>
                    <a:prstGeom prst="rect">
                      <a:avLst/>
                    </a:prstGeom>
                    <a:noFill/>
                    <a:ln>
                      <a:noFill/>
                    </a:ln>
                  </pic:spPr>
                </pic:pic>
              </a:graphicData>
            </a:graphic>
          </wp:inline>
        </w:drawing>
      </w:r>
    </w:p>
    <w:p w14:paraId="39898467" w14:textId="0D0B79F6" w:rsidR="007C4FCA" w:rsidRPr="0031706B" w:rsidRDefault="00D60087" w:rsidP="0032732C">
      <w:pPr>
        <w:spacing w:after="0" w:line="480" w:lineRule="auto"/>
        <w:rPr>
          <w:rFonts w:eastAsiaTheme="majorEastAsia" w:cstheme="minorHAnsi"/>
          <w:b/>
          <w:bCs/>
          <w:sz w:val="24"/>
        </w:rPr>
      </w:pPr>
      <w:r w:rsidRPr="0031706B">
        <w:rPr>
          <w:rFonts w:eastAsiaTheme="majorEastAsia" w:cstheme="minorHAnsi"/>
          <w:b/>
          <w:bCs/>
          <w:sz w:val="24"/>
        </w:rPr>
        <w:t xml:space="preserve">Figure </w:t>
      </w:r>
      <w:r w:rsidR="007A5BE0" w:rsidRPr="0031706B">
        <w:rPr>
          <w:rFonts w:eastAsiaTheme="majorEastAsia" w:cstheme="minorHAnsi"/>
          <w:b/>
          <w:bCs/>
          <w:sz w:val="24"/>
        </w:rPr>
        <w:t xml:space="preserve">11 </w:t>
      </w:r>
      <w:r w:rsidRPr="0031706B">
        <w:rPr>
          <w:rFonts w:eastAsiaTheme="majorEastAsia" w:cstheme="minorHAnsi"/>
          <w:b/>
          <w:bCs/>
          <w:sz w:val="24"/>
        </w:rPr>
        <w:t>– Comparison of modal data with DECC scenarios</w:t>
      </w:r>
    </w:p>
    <w:p w14:paraId="664252F4" w14:textId="77777777" w:rsidR="00426C4D" w:rsidRPr="0031706B" w:rsidRDefault="00426C4D" w:rsidP="0032732C">
      <w:pPr>
        <w:pStyle w:val="Heading2"/>
        <w:spacing w:before="0" w:line="480" w:lineRule="auto"/>
        <w:rPr>
          <w:rFonts w:asciiTheme="minorHAnsi" w:hAnsiTheme="minorHAnsi" w:cstheme="minorHAnsi"/>
          <w:color w:val="auto"/>
          <w:sz w:val="24"/>
          <w:szCs w:val="24"/>
        </w:rPr>
      </w:pPr>
    </w:p>
    <w:p w14:paraId="6BA93131" w14:textId="0C528D7D" w:rsidR="007564E0" w:rsidRPr="0031706B" w:rsidRDefault="005F3507" w:rsidP="00F56E7B">
      <w:pPr>
        <w:pStyle w:val="Heading2"/>
        <w:numPr>
          <w:ilvl w:val="0"/>
          <w:numId w:val="30"/>
        </w:numPr>
        <w:spacing w:before="0" w:line="480" w:lineRule="auto"/>
        <w:rPr>
          <w:rFonts w:asciiTheme="minorHAnsi" w:hAnsiTheme="minorHAnsi" w:cstheme="minorHAnsi"/>
          <w:color w:val="auto"/>
          <w:sz w:val="24"/>
          <w:szCs w:val="24"/>
        </w:rPr>
      </w:pPr>
      <w:r w:rsidRPr="0031706B">
        <w:rPr>
          <w:rFonts w:asciiTheme="minorHAnsi" w:hAnsiTheme="minorHAnsi" w:cstheme="minorHAnsi"/>
          <w:color w:val="auto"/>
          <w:sz w:val="24"/>
          <w:szCs w:val="24"/>
        </w:rPr>
        <w:t>Discussion</w:t>
      </w:r>
    </w:p>
    <w:p w14:paraId="73E4C75F" w14:textId="560AB3F3" w:rsidR="00F86DEB" w:rsidRPr="0031706B" w:rsidRDefault="007564E0" w:rsidP="0032732C">
      <w:pPr>
        <w:spacing w:after="0" w:line="480" w:lineRule="auto"/>
        <w:rPr>
          <w:rFonts w:cstheme="minorHAnsi"/>
          <w:sz w:val="24"/>
        </w:rPr>
      </w:pPr>
      <w:r w:rsidRPr="0031706B">
        <w:rPr>
          <w:rFonts w:cstheme="minorHAnsi"/>
          <w:sz w:val="24"/>
        </w:rPr>
        <w:t xml:space="preserve">This </w:t>
      </w:r>
      <w:r w:rsidR="00F96412" w:rsidRPr="0031706B">
        <w:rPr>
          <w:rFonts w:cstheme="minorHAnsi"/>
          <w:sz w:val="24"/>
        </w:rPr>
        <w:t>research</w:t>
      </w:r>
      <w:r w:rsidRPr="0031706B">
        <w:rPr>
          <w:rFonts w:cstheme="minorHAnsi"/>
          <w:sz w:val="24"/>
        </w:rPr>
        <w:t xml:space="preserve"> </w:t>
      </w:r>
      <w:r w:rsidR="00CE6809" w:rsidRPr="0031706B">
        <w:rPr>
          <w:rFonts w:cstheme="minorHAnsi"/>
          <w:sz w:val="24"/>
        </w:rPr>
        <w:t xml:space="preserve">demonstrates </w:t>
      </w:r>
      <w:r w:rsidRPr="0031706B">
        <w:rPr>
          <w:rFonts w:cstheme="minorHAnsi"/>
          <w:sz w:val="24"/>
        </w:rPr>
        <w:t>that</w:t>
      </w:r>
      <w:r w:rsidR="00EC6E2A" w:rsidRPr="0031706B">
        <w:rPr>
          <w:rFonts w:cstheme="minorHAnsi"/>
          <w:sz w:val="24"/>
        </w:rPr>
        <w:t>, despite</w:t>
      </w:r>
      <w:r w:rsidR="00EC6E2A" w:rsidRPr="0031706B">
        <w:rPr>
          <w:rFonts w:cstheme="minorHAnsi"/>
          <w:color w:val="FF0000"/>
          <w:sz w:val="24"/>
        </w:rPr>
        <w:t xml:space="preserve"> </w:t>
      </w:r>
      <w:r w:rsidRPr="0031706B">
        <w:rPr>
          <w:rFonts w:cstheme="minorHAnsi"/>
          <w:sz w:val="24"/>
        </w:rPr>
        <w:t xml:space="preserve">there </w:t>
      </w:r>
      <w:r w:rsidR="00EC6E2A" w:rsidRPr="0031706B">
        <w:rPr>
          <w:rFonts w:cstheme="minorHAnsi"/>
          <w:sz w:val="24"/>
        </w:rPr>
        <w:t xml:space="preserve">being </w:t>
      </w:r>
      <w:r w:rsidR="00CE6809" w:rsidRPr="0031706B">
        <w:rPr>
          <w:rFonts w:cstheme="minorHAnsi"/>
          <w:sz w:val="24"/>
        </w:rPr>
        <w:t xml:space="preserve">a huge number of submitted pathways, and therefore </w:t>
      </w:r>
      <w:r w:rsidR="00EC6E2A" w:rsidRPr="0031706B">
        <w:rPr>
          <w:rFonts w:cstheme="minorHAnsi"/>
          <w:sz w:val="24"/>
        </w:rPr>
        <w:t xml:space="preserve">no clear single preferred </w:t>
      </w:r>
      <w:r w:rsidR="00CE6809" w:rsidRPr="0031706B">
        <w:rPr>
          <w:rFonts w:cstheme="minorHAnsi"/>
          <w:sz w:val="24"/>
        </w:rPr>
        <w:t xml:space="preserve">2050 </w:t>
      </w:r>
      <w:r w:rsidR="00EC6E2A" w:rsidRPr="0031706B">
        <w:rPr>
          <w:rFonts w:cstheme="minorHAnsi"/>
          <w:sz w:val="24"/>
        </w:rPr>
        <w:lastRenderedPageBreak/>
        <w:t xml:space="preserve">scenario, </w:t>
      </w:r>
      <w:r w:rsidR="00CE6809" w:rsidRPr="0031706B">
        <w:rPr>
          <w:rFonts w:cstheme="minorHAnsi"/>
          <w:sz w:val="24"/>
        </w:rPr>
        <w:t xml:space="preserve">it is possible to </w:t>
      </w:r>
      <w:proofErr w:type="spellStart"/>
      <w:r w:rsidR="00CE6809" w:rsidRPr="0031706B">
        <w:rPr>
          <w:rFonts w:cstheme="minorHAnsi"/>
          <w:sz w:val="24"/>
        </w:rPr>
        <w:t>analyse</w:t>
      </w:r>
      <w:proofErr w:type="spellEnd"/>
      <w:r w:rsidR="00CE6809" w:rsidRPr="0031706B">
        <w:rPr>
          <w:rFonts w:cstheme="minorHAnsi"/>
          <w:sz w:val="24"/>
        </w:rPr>
        <w:t xml:space="preserve"> submitted responses to construct a popular, or preferred, pathway</w:t>
      </w:r>
      <w:r w:rsidR="00EC6E2A" w:rsidRPr="0031706B">
        <w:rPr>
          <w:rFonts w:cstheme="minorHAnsi"/>
          <w:sz w:val="24"/>
        </w:rPr>
        <w:t>.</w:t>
      </w:r>
      <w:r w:rsidR="00CE6809" w:rsidRPr="0031706B">
        <w:rPr>
          <w:rFonts w:cstheme="minorHAnsi"/>
          <w:sz w:val="24"/>
        </w:rPr>
        <w:t xml:space="preserve"> </w:t>
      </w:r>
      <w:r w:rsidR="00BE54BF" w:rsidRPr="0031706B">
        <w:rPr>
          <w:rFonts w:cstheme="minorHAnsi"/>
          <w:sz w:val="24"/>
        </w:rPr>
        <w:t>Within this paper</w:t>
      </w:r>
      <w:r w:rsidRPr="0031706B">
        <w:rPr>
          <w:rFonts w:cstheme="minorHAnsi"/>
          <w:sz w:val="24"/>
        </w:rPr>
        <w:t>,</w:t>
      </w:r>
      <w:r w:rsidR="00BE54BF" w:rsidRPr="0031706B">
        <w:rPr>
          <w:rFonts w:cstheme="minorHAnsi"/>
          <w:sz w:val="24"/>
        </w:rPr>
        <w:t xml:space="preserve"> a basic analysis has been presented based on a single pathway based on modal slider settings.  Variations in modal pathways can be demonstrated by </w:t>
      </w:r>
      <w:r w:rsidRPr="0031706B">
        <w:rPr>
          <w:rFonts w:cstheme="minorHAnsi"/>
          <w:sz w:val="24"/>
        </w:rPr>
        <w:t>comparing responses from different sub-groups</w:t>
      </w:r>
      <w:r w:rsidR="008D1860" w:rsidRPr="0031706B">
        <w:rPr>
          <w:rFonts w:cstheme="minorHAnsi"/>
          <w:sz w:val="24"/>
        </w:rPr>
        <w:t>, and this provides a simple method of establishing both the difference in main preference and its relative strength</w:t>
      </w:r>
      <w:r w:rsidRPr="0031706B">
        <w:rPr>
          <w:rFonts w:cstheme="minorHAnsi"/>
          <w:sz w:val="24"/>
        </w:rPr>
        <w:t xml:space="preserve">. </w:t>
      </w:r>
      <w:r w:rsidR="00BE54BF" w:rsidRPr="0031706B">
        <w:rPr>
          <w:rFonts w:cstheme="minorHAnsi"/>
          <w:sz w:val="24"/>
        </w:rPr>
        <w:t>Cluster analysis may also provide a useful tool for identifying preferred pathways</w:t>
      </w:r>
      <w:r w:rsidR="006E2ACB" w:rsidRPr="0031706B">
        <w:rPr>
          <w:rFonts w:cstheme="minorHAnsi"/>
          <w:sz w:val="24"/>
        </w:rPr>
        <w:t>, and was explored within the research but proved too complex to present within this paper</w:t>
      </w:r>
      <w:r w:rsidR="00BE54BF" w:rsidRPr="0031706B">
        <w:rPr>
          <w:rFonts w:cstheme="minorHAnsi"/>
          <w:sz w:val="24"/>
        </w:rPr>
        <w:t xml:space="preserve">.  </w:t>
      </w:r>
      <w:r w:rsidRPr="0031706B">
        <w:rPr>
          <w:rFonts w:cstheme="minorHAnsi"/>
          <w:sz w:val="24"/>
        </w:rPr>
        <w:t xml:space="preserve">Nearly all patterns demonstrated a preference for higher effort for demand-side options compared to supply. </w:t>
      </w:r>
    </w:p>
    <w:p w14:paraId="2AC16D1E" w14:textId="77777777" w:rsidR="00B83AF9" w:rsidRPr="0031706B" w:rsidRDefault="00B83AF9" w:rsidP="0032732C">
      <w:pPr>
        <w:spacing w:after="0" w:line="480" w:lineRule="auto"/>
        <w:rPr>
          <w:rFonts w:cstheme="minorHAnsi"/>
          <w:sz w:val="24"/>
        </w:rPr>
      </w:pPr>
    </w:p>
    <w:p w14:paraId="68CBA300" w14:textId="73A64C50" w:rsidR="00A405B7" w:rsidRPr="0031706B" w:rsidRDefault="007D3E7D" w:rsidP="00A405B7">
      <w:pPr>
        <w:spacing w:after="0" w:line="480" w:lineRule="auto"/>
      </w:pPr>
      <w:r w:rsidRPr="0031706B">
        <w:rPr>
          <w:rFonts w:cstheme="minorHAnsi"/>
          <w:sz w:val="24"/>
        </w:rPr>
        <w:t>However, the</w:t>
      </w:r>
      <w:r w:rsidR="007564E0" w:rsidRPr="0031706B">
        <w:rPr>
          <w:rFonts w:cstheme="minorHAnsi"/>
          <w:sz w:val="24"/>
        </w:rPr>
        <w:t xml:space="preserve"> extent </w:t>
      </w:r>
      <w:r w:rsidR="00AB096D" w:rsidRPr="0031706B">
        <w:rPr>
          <w:rFonts w:cstheme="minorHAnsi"/>
          <w:sz w:val="24"/>
        </w:rPr>
        <w:t xml:space="preserve">to which </w:t>
      </w:r>
      <w:r w:rsidR="007564E0" w:rsidRPr="0031706B">
        <w:rPr>
          <w:rFonts w:cstheme="minorHAnsi"/>
          <w:sz w:val="24"/>
        </w:rPr>
        <w:t xml:space="preserve">these preferences can be </w:t>
      </w:r>
      <w:proofErr w:type="spellStart"/>
      <w:r w:rsidR="008D1860" w:rsidRPr="0031706B">
        <w:rPr>
          <w:rFonts w:cstheme="minorHAnsi"/>
          <w:sz w:val="24"/>
        </w:rPr>
        <w:t>generalised</w:t>
      </w:r>
      <w:proofErr w:type="spellEnd"/>
      <w:r w:rsidR="008D1860" w:rsidRPr="0031706B">
        <w:rPr>
          <w:rFonts w:cstheme="minorHAnsi"/>
          <w:sz w:val="24"/>
        </w:rPr>
        <w:t xml:space="preserve"> from this </w:t>
      </w:r>
      <w:proofErr w:type="gramStart"/>
      <w:r w:rsidR="008D1860" w:rsidRPr="0031706B">
        <w:rPr>
          <w:rFonts w:cstheme="minorHAnsi"/>
          <w:sz w:val="24"/>
        </w:rPr>
        <w:t xml:space="preserve">research </w:t>
      </w:r>
      <w:r w:rsidR="007564E0" w:rsidRPr="0031706B">
        <w:rPr>
          <w:rFonts w:cstheme="minorHAnsi"/>
          <w:sz w:val="24"/>
        </w:rPr>
        <w:t xml:space="preserve"> is</w:t>
      </w:r>
      <w:proofErr w:type="gramEnd"/>
      <w:r w:rsidR="007564E0" w:rsidRPr="0031706B">
        <w:rPr>
          <w:rFonts w:cstheme="minorHAnsi"/>
          <w:sz w:val="24"/>
        </w:rPr>
        <w:t xml:space="preserve"> questionable, since ‘My2050’ respondents were not representative </w:t>
      </w:r>
      <w:r w:rsidRPr="0031706B">
        <w:rPr>
          <w:rFonts w:cstheme="minorHAnsi"/>
          <w:sz w:val="24"/>
        </w:rPr>
        <w:t xml:space="preserve">of the general </w:t>
      </w:r>
      <w:r w:rsidR="007564E0" w:rsidRPr="0031706B">
        <w:rPr>
          <w:rFonts w:cstheme="minorHAnsi"/>
          <w:sz w:val="24"/>
        </w:rPr>
        <w:t>population</w:t>
      </w:r>
      <w:r w:rsidR="0063116B" w:rsidRPr="0031706B">
        <w:rPr>
          <w:rFonts w:cstheme="minorHAnsi"/>
          <w:sz w:val="24"/>
        </w:rPr>
        <w:t>, as illustrated through demographic comparisons</w:t>
      </w:r>
      <w:r w:rsidR="007564E0" w:rsidRPr="0031706B">
        <w:rPr>
          <w:rFonts w:cstheme="minorHAnsi"/>
          <w:sz w:val="24"/>
        </w:rPr>
        <w:t xml:space="preserve">. </w:t>
      </w:r>
      <w:r w:rsidR="005319F4" w:rsidRPr="0031706B">
        <w:rPr>
          <w:rFonts w:cstheme="minorHAnsi"/>
          <w:sz w:val="24"/>
        </w:rPr>
        <w:t xml:space="preserve">Respondents were younger than the UK population, with over-representation in the 16-45 age </w:t>
      </w:r>
      <w:proofErr w:type="gramStart"/>
      <w:r w:rsidR="005319F4" w:rsidRPr="0031706B">
        <w:rPr>
          <w:rFonts w:cstheme="minorHAnsi"/>
          <w:sz w:val="24"/>
        </w:rPr>
        <w:t>group</w:t>
      </w:r>
      <w:proofErr w:type="gramEnd"/>
      <w:r w:rsidR="005319F4" w:rsidRPr="0031706B">
        <w:rPr>
          <w:rFonts w:cstheme="minorHAnsi"/>
          <w:sz w:val="24"/>
        </w:rPr>
        <w:t xml:space="preserve">. </w:t>
      </w:r>
      <w:r w:rsidRPr="0031706B">
        <w:rPr>
          <w:rFonts w:cstheme="minorHAnsi"/>
          <w:sz w:val="24"/>
        </w:rPr>
        <w:t xml:space="preserve">In particular </w:t>
      </w:r>
      <w:r w:rsidR="00E6287B" w:rsidRPr="0031706B">
        <w:rPr>
          <w:rFonts w:cstheme="minorHAnsi"/>
          <w:sz w:val="24"/>
        </w:rPr>
        <w:t>the</w:t>
      </w:r>
      <w:r w:rsidRPr="0031706B">
        <w:rPr>
          <w:rFonts w:cstheme="minorHAnsi"/>
          <w:sz w:val="24"/>
        </w:rPr>
        <w:t xml:space="preserve"> analysis showed that r</w:t>
      </w:r>
      <w:r w:rsidR="007564E0" w:rsidRPr="0031706B">
        <w:rPr>
          <w:rFonts w:cstheme="minorHAnsi"/>
          <w:sz w:val="24"/>
        </w:rPr>
        <w:t>espondents were more concerned about climate change than the general public.</w:t>
      </w:r>
      <w:r w:rsidR="00A405B7" w:rsidRPr="0031706B">
        <w:rPr>
          <w:rFonts w:cstheme="minorHAnsi"/>
          <w:sz w:val="24"/>
        </w:rPr>
        <w:t xml:space="preserve"> </w:t>
      </w:r>
      <w:r w:rsidR="005319F4" w:rsidRPr="0031706B">
        <w:rPr>
          <w:rFonts w:cstheme="minorHAnsi"/>
          <w:sz w:val="24"/>
        </w:rPr>
        <w:t>Since these participants were self-selecting, this sampling approach was more likely to attract participation from people already interested and engaged with the topics discussed.</w:t>
      </w:r>
      <w:r w:rsidR="005319F4" w:rsidRPr="0031706B">
        <w:t xml:space="preserve"> </w:t>
      </w:r>
      <w:r w:rsidR="00A405B7" w:rsidRPr="0031706B">
        <w:rPr>
          <w:rFonts w:cstheme="minorHAnsi"/>
          <w:sz w:val="24"/>
        </w:rPr>
        <w:t xml:space="preserve">Caution is required when extrapolating findings from this sample, since respondents were not sufficiently representative to enable observations to be made about wider public opinion. A weighted analysis would improve reliability, although insufficient demographic data were collected to translate this sample into a more representative sample. Alternatively, a </w:t>
      </w:r>
      <w:r w:rsidR="00A405B7" w:rsidRPr="0031706B">
        <w:rPr>
          <w:rFonts w:cstheme="minorHAnsi"/>
          <w:sz w:val="24"/>
        </w:rPr>
        <w:lastRenderedPageBreak/>
        <w:t>re-sampling with nationally representative participants would increase confidence in reliability. Other researchers are currently considering such sampling to secure more reliable results</w:t>
      </w:r>
      <w:r w:rsidR="00A405B7" w:rsidRPr="0031706B">
        <w:rPr>
          <w:rStyle w:val="EndnoteReference"/>
          <w:rFonts w:cstheme="minorHAnsi"/>
          <w:sz w:val="24"/>
        </w:rPr>
        <w:endnoteReference w:id="12"/>
      </w:r>
      <w:r w:rsidR="00A405B7" w:rsidRPr="0031706B">
        <w:rPr>
          <w:rFonts w:cstheme="minorHAnsi"/>
          <w:sz w:val="24"/>
        </w:rPr>
        <w:t xml:space="preserve"> .  </w:t>
      </w:r>
    </w:p>
    <w:p w14:paraId="31DE5F60" w14:textId="77777777" w:rsidR="00B83AF9" w:rsidRPr="0031706B" w:rsidRDefault="00B83AF9" w:rsidP="0032732C">
      <w:pPr>
        <w:spacing w:after="0" w:line="480" w:lineRule="auto"/>
        <w:rPr>
          <w:rFonts w:cstheme="minorHAnsi"/>
          <w:sz w:val="24"/>
        </w:rPr>
      </w:pPr>
    </w:p>
    <w:p w14:paraId="3AFDA231" w14:textId="5456F09A" w:rsidR="00504126" w:rsidRPr="0031706B" w:rsidRDefault="00E64616" w:rsidP="0032732C">
      <w:pPr>
        <w:spacing w:after="0" w:line="480" w:lineRule="auto"/>
        <w:rPr>
          <w:rFonts w:cstheme="minorHAnsi"/>
          <w:sz w:val="24"/>
        </w:rPr>
      </w:pPr>
      <w:r w:rsidRPr="0031706B">
        <w:rPr>
          <w:rFonts w:cstheme="minorHAnsi"/>
          <w:sz w:val="24"/>
        </w:rPr>
        <w:t>Modal p</w:t>
      </w:r>
      <w:r w:rsidR="00D6445C" w:rsidRPr="0031706B">
        <w:rPr>
          <w:rFonts w:cstheme="minorHAnsi"/>
          <w:sz w:val="24"/>
        </w:rPr>
        <w:t xml:space="preserve">references </w:t>
      </w:r>
      <w:r w:rsidRPr="0031706B">
        <w:rPr>
          <w:rFonts w:cstheme="minorHAnsi"/>
          <w:sz w:val="24"/>
        </w:rPr>
        <w:t xml:space="preserve">have </w:t>
      </w:r>
      <w:r w:rsidR="00D6445C" w:rsidRPr="0031706B">
        <w:rPr>
          <w:rFonts w:cstheme="minorHAnsi"/>
          <w:sz w:val="24"/>
        </w:rPr>
        <w:t>be</w:t>
      </w:r>
      <w:r w:rsidRPr="0031706B">
        <w:rPr>
          <w:rFonts w:cstheme="minorHAnsi"/>
          <w:sz w:val="24"/>
        </w:rPr>
        <w:t>en</w:t>
      </w:r>
      <w:r w:rsidR="00D6445C" w:rsidRPr="0031706B">
        <w:rPr>
          <w:rFonts w:cstheme="minorHAnsi"/>
          <w:sz w:val="24"/>
        </w:rPr>
        <w:t xml:space="preserve"> compared with DECC’s proposed scenarios to test acceptability of these scenarios. </w:t>
      </w:r>
      <w:r w:rsidR="00504126" w:rsidRPr="0031706B">
        <w:rPr>
          <w:rFonts w:cstheme="minorHAnsi"/>
          <w:sz w:val="24"/>
        </w:rPr>
        <w:t xml:space="preserve">Comparing DECC’s three proposed scenarios with the </w:t>
      </w:r>
      <w:r w:rsidRPr="0031706B">
        <w:rPr>
          <w:rFonts w:cstheme="minorHAnsi"/>
          <w:sz w:val="24"/>
        </w:rPr>
        <w:t xml:space="preserve">most frequently selected settings across all issues </w:t>
      </w:r>
      <w:r w:rsidR="00504126" w:rsidRPr="0031706B">
        <w:rPr>
          <w:rFonts w:cstheme="minorHAnsi"/>
          <w:sz w:val="24"/>
        </w:rPr>
        <w:t xml:space="preserve">in the ‘My2050’ sample, DECC’s </w:t>
      </w:r>
      <w:r w:rsidR="00504126" w:rsidRPr="0031706B">
        <w:rPr>
          <w:rFonts w:cstheme="minorHAnsi"/>
          <w:i/>
          <w:sz w:val="24"/>
        </w:rPr>
        <w:t xml:space="preserve">‘Higher CCS, more bioenergy’ </w:t>
      </w:r>
      <w:r w:rsidR="00504126" w:rsidRPr="0031706B">
        <w:rPr>
          <w:rFonts w:cstheme="minorHAnsi"/>
          <w:sz w:val="24"/>
        </w:rPr>
        <w:t>scenario</w:t>
      </w:r>
      <w:r w:rsidR="00504126" w:rsidRPr="0031706B">
        <w:rPr>
          <w:rFonts w:cstheme="minorHAnsi"/>
          <w:i/>
          <w:sz w:val="24"/>
        </w:rPr>
        <w:t xml:space="preserve"> </w:t>
      </w:r>
      <w:r w:rsidR="00504126" w:rsidRPr="0031706B">
        <w:rPr>
          <w:rFonts w:cstheme="minorHAnsi"/>
          <w:sz w:val="24"/>
        </w:rPr>
        <w:t>showed the strongest alignment</w:t>
      </w:r>
      <w:r w:rsidRPr="0031706B">
        <w:rPr>
          <w:rFonts w:cstheme="minorHAnsi"/>
          <w:sz w:val="24"/>
        </w:rPr>
        <w:t xml:space="preserve">, closely followed by the scenario called </w:t>
      </w:r>
      <w:r w:rsidRPr="0031706B">
        <w:rPr>
          <w:rFonts w:cstheme="minorHAnsi"/>
          <w:i/>
          <w:sz w:val="24"/>
        </w:rPr>
        <w:t>‘Higher renewables, more energy efficiency’</w:t>
      </w:r>
      <w:r w:rsidR="00504126" w:rsidRPr="0031706B">
        <w:rPr>
          <w:rFonts w:cstheme="minorHAnsi"/>
          <w:sz w:val="24"/>
        </w:rPr>
        <w:t xml:space="preserve">, whilst the weakest alignment was demonstrated by </w:t>
      </w:r>
      <w:r w:rsidR="00504126" w:rsidRPr="0031706B">
        <w:rPr>
          <w:rFonts w:cstheme="minorHAnsi"/>
          <w:i/>
          <w:sz w:val="24"/>
        </w:rPr>
        <w:t>‘Higher nuclear, less energy efficiency’</w:t>
      </w:r>
      <w:r w:rsidR="00504126" w:rsidRPr="0031706B">
        <w:rPr>
          <w:rFonts w:cstheme="minorHAnsi"/>
          <w:sz w:val="24"/>
        </w:rPr>
        <w:t xml:space="preserve">. </w:t>
      </w:r>
      <w:r w:rsidRPr="0031706B">
        <w:rPr>
          <w:rFonts w:cstheme="minorHAnsi"/>
          <w:sz w:val="24"/>
        </w:rPr>
        <w:t>T</w:t>
      </w:r>
      <w:r w:rsidR="00504126" w:rsidRPr="0031706B">
        <w:rPr>
          <w:rFonts w:cstheme="minorHAnsi"/>
          <w:sz w:val="24"/>
        </w:rPr>
        <w:t xml:space="preserve">he </w:t>
      </w:r>
      <w:r w:rsidRPr="0031706B">
        <w:rPr>
          <w:rFonts w:cstheme="minorHAnsi"/>
          <w:sz w:val="24"/>
        </w:rPr>
        <w:t>most popular</w:t>
      </w:r>
      <w:r w:rsidR="00504126" w:rsidRPr="0031706B">
        <w:rPr>
          <w:rFonts w:cstheme="minorHAnsi"/>
          <w:sz w:val="24"/>
        </w:rPr>
        <w:t xml:space="preserve"> settings </w:t>
      </w:r>
      <w:r w:rsidRPr="0031706B">
        <w:rPr>
          <w:rFonts w:cstheme="minorHAnsi"/>
          <w:sz w:val="24"/>
        </w:rPr>
        <w:t xml:space="preserve">selected </w:t>
      </w:r>
      <w:r w:rsidR="00504126" w:rsidRPr="0031706B">
        <w:rPr>
          <w:rFonts w:cstheme="minorHAnsi"/>
          <w:sz w:val="24"/>
        </w:rPr>
        <w:t>by the ‘My2050’ sample was similar to the range of settings across all of DECC’s scenarios</w:t>
      </w:r>
      <w:r w:rsidRPr="0031706B">
        <w:rPr>
          <w:rFonts w:cstheme="minorHAnsi"/>
          <w:sz w:val="24"/>
        </w:rPr>
        <w:t>, with the exception of solar, marine and hydro-power, and offshore wind</w:t>
      </w:r>
      <w:r w:rsidR="007277FE" w:rsidRPr="0031706B">
        <w:rPr>
          <w:rFonts w:cstheme="minorHAnsi"/>
          <w:sz w:val="24"/>
        </w:rPr>
        <w:t xml:space="preserve"> power</w:t>
      </w:r>
      <w:r w:rsidRPr="0031706B">
        <w:rPr>
          <w:rFonts w:cstheme="minorHAnsi"/>
          <w:sz w:val="24"/>
        </w:rPr>
        <w:t xml:space="preserve">. In these instances, the most popular choice for this sample </w:t>
      </w:r>
      <w:r w:rsidR="007277FE" w:rsidRPr="0031706B">
        <w:rPr>
          <w:rFonts w:cstheme="minorHAnsi"/>
          <w:sz w:val="24"/>
        </w:rPr>
        <w:t>was for greater effort than any of the DECC scenarios are proposing</w:t>
      </w:r>
      <w:r w:rsidR="00504126" w:rsidRPr="0031706B">
        <w:rPr>
          <w:rFonts w:cstheme="minorHAnsi"/>
          <w:sz w:val="24"/>
        </w:rPr>
        <w:t xml:space="preserve">. </w:t>
      </w:r>
    </w:p>
    <w:p w14:paraId="2F44141C" w14:textId="77777777" w:rsidR="00B83AF9" w:rsidRPr="0031706B" w:rsidRDefault="00B83AF9" w:rsidP="0032732C">
      <w:pPr>
        <w:spacing w:after="0" w:line="480" w:lineRule="auto"/>
        <w:rPr>
          <w:rFonts w:cstheme="minorHAnsi"/>
          <w:sz w:val="24"/>
        </w:rPr>
      </w:pPr>
    </w:p>
    <w:p w14:paraId="3F4A8249" w14:textId="6EA34BAD" w:rsidR="00B83AF9" w:rsidRPr="0031706B" w:rsidRDefault="00161E00" w:rsidP="0032732C">
      <w:pPr>
        <w:spacing w:after="0" w:line="480" w:lineRule="auto"/>
        <w:rPr>
          <w:rFonts w:cstheme="minorHAnsi"/>
          <w:sz w:val="24"/>
        </w:rPr>
      </w:pPr>
      <w:r w:rsidRPr="0031706B">
        <w:rPr>
          <w:rFonts w:cstheme="minorHAnsi"/>
          <w:sz w:val="24"/>
        </w:rPr>
        <w:t xml:space="preserve">This research drew out several identifiable patterns in preferences for long-term carbon reduction scenarios. The main one of these is that greater effort for demand-side options was </w:t>
      </w:r>
      <w:proofErr w:type="spellStart"/>
      <w:r w:rsidRPr="0031706B">
        <w:rPr>
          <w:rFonts w:cstheme="minorHAnsi"/>
          <w:sz w:val="24"/>
        </w:rPr>
        <w:t>favoured</w:t>
      </w:r>
      <w:proofErr w:type="spellEnd"/>
      <w:r w:rsidRPr="0031706B">
        <w:rPr>
          <w:rFonts w:cstheme="minorHAnsi"/>
          <w:sz w:val="24"/>
        </w:rPr>
        <w:t xml:space="preserve"> over supply-side changes, and this is in agreement with earlier findings from the data (</w:t>
      </w:r>
      <w:proofErr w:type="spellStart"/>
      <w:r w:rsidRPr="0031706B">
        <w:rPr>
          <w:rFonts w:cstheme="minorHAnsi"/>
          <w:sz w:val="24"/>
        </w:rPr>
        <w:t>Ipsos</w:t>
      </w:r>
      <w:proofErr w:type="spellEnd"/>
      <w:r w:rsidRPr="0031706B">
        <w:rPr>
          <w:rFonts w:cstheme="minorHAnsi"/>
          <w:sz w:val="24"/>
        </w:rPr>
        <w:t xml:space="preserve"> MORI, 2011).  However, elements of the simulation design (such as the inability to choose options other than the four presented for each slider) and the absence of accompanying cost implications may have influenced or constrained choices to the extent that they would not represent specific views of </w:t>
      </w:r>
      <w:r w:rsidRPr="0031706B">
        <w:rPr>
          <w:rFonts w:cstheme="minorHAnsi"/>
          <w:sz w:val="24"/>
        </w:rPr>
        <w:lastRenderedPageBreak/>
        <w:t xml:space="preserve">respondents. </w:t>
      </w:r>
      <w:r w:rsidR="00061C64" w:rsidRPr="0031706B">
        <w:rPr>
          <w:rFonts w:cstheme="minorHAnsi"/>
          <w:sz w:val="24"/>
        </w:rPr>
        <w:t>T</w:t>
      </w:r>
      <w:r w:rsidRPr="0031706B">
        <w:rPr>
          <w:rFonts w:cstheme="minorHAnsi"/>
          <w:sz w:val="24"/>
        </w:rPr>
        <w:t>his preference for demand-side measures presents an unusual picture, since this will require society-wide be</w:t>
      </w:r>
      <w:r w:rsidR="00D6445C" w:rsidRPr="0031706B">
        <w:rPr>
          <w:rFonts w:cstheme="minorHAnsi"/>
          <w:sz w:val="24"/>
        </w:rPr>
        <w:t>haviour change. M</w:t>
      </w:r>
      <w:r w:rsidRPr="0031706B">
        <w:rPr>
          <w:rFonts w:cstheme="minorHAnsi"/>
          <w:sz w:val="24"/>
        </w:rPr>
        <w:t xml:space="preserve">any analysts and decision-makers </w:t>
      </w:r>
      <w:r w:rsidR="00D6445C" w:rsidRPr="0031706B">
        <w:rPr>
          <w:rFonts w:cstheme="minorHAnsi"/>
          <w:sz w:val="24"/>
        </w:rPr>
        <w:t xml:space="preserve">regard this </w:t>
      </w:r>
      <w:r w:rsidRPr="0031706B">
        <w:rPr>
          <w:rFonts w:cstheme="minorHAnsi"/>
          <w:sz w:val="24"/>
        </w:rPr>
        <w:t>as a more difficult policy option (</w:t>
      </w:r>
      <w:proofErr w:type="spellStart"/>
      <w:r w:rsidRPr="0031706B">
        <w:rPr>
          <w:rFonts w:cstheme="minorHAnsi"/>
          <w:sz w:val="24"/>
        </w:rPr>
        <w:t>Jamasb</w:t>
      </w:r>
      <w:proofErr w:type="spellEnd"/>
      <w:r w:rsidRPr="0031706B">
        <w:rPr>
          <w:rFonts w:cstheme="minorHAnsi"/>
          <w:sz w:val="24"/>
        </w:rPr>
        <w:t xml:space="preserve"> and Pollitt, 2011) in part due to the embryonic nature of the evidence base (Jackson, 2005). Consideration of simulation design suggests that many demand-side options were ambiguous as to whose ‘effort’ may be required to bring about the changes selected (possibly suggesting that people want others to change their lifestyle in order that they may carry on as they are). Demand-side options may, therefore, have been interpreted as easier options due to this ambiguity. For example, over ninety percent of respondents expect three quarters or more homes to have additional insulation by 2050, but if homeowners are required to meet the costs of installing such insulation to a high standard, this expectation may have been considerably lower. </w:t>
      </w:r>
      <w:r w:rsidR="00A4313B" w:rsidRPr="0031706B">
        <w:rPr>
          <w:rFonts w:cstheme="minorHAnsi"/>
          <w:sz w:val="24"/>
        </w:rPr>
        <w:t xml:space="preserve">We highlight the higher preference (shown in the weighted means analysis) </w:t>
      </w:r>
      <w:r w:rsidR="00F56E7B" w:rsidRPr="0031706B">
        <w:rPr>
          <w:rFonts w:cstheme="minorHAnsi"/>
          <w:sz w:val="24"/>
        </w:rPr>
        <w:t>given to</w:t>
      </w:r>
      <w:r w:rsidR="00A4313B" w:rsidRPr="0031706B">
        <w:rPr>
          <w:rFonts w:cstheme="minorHAnsi"/>
          <w:sz w:val="24"/>
        </w:rPr>
        <w:t xml:space="preserve"> fuel switching for home and transport over and above their more </w:t>
      </w:r>
      <w:proofErr w:type="spellStart"/>
      <w:r w:rsidR="00A4313B" w:rsidRPr="0031706B">
        <w:rPr>
          <w:rFonts w:cstheme="minorHAnsi"/>
          <w:sz w:val="24"/>
        </w:rPr>
        <w:t>behavioural</w:t>
      </w:r>
      <w:proofErr w:type="spellEnd"/>
      <w:r w:rsidR="00A4313B" w:rsidRPr="0031706B">
        <w:rPr>
          <w:rFonts w:cstheme="minorHAnsi"/>
          <w:sz w:val="24"/>
        </w:rPr>
        <w:t xml:space="preserve"> counterparts of ‘</w:t>
      </w:r>
      <w:r w:rsidR="00A4313B" w:rsidRPr="0031706B">
        <w:rPr>
          <w:rFonts w:cstheme="minorHAnsi"/>
          <w:i/>
          <w:sz w:val="24"/>
        </w:rPr>
        <w:t>home temperature’</w:t>
      </w:r>
      <w:r w:rsidR="00A4313B" w:rsidRPr="0031706B">
        <w:rPr>
          <w:rFonts w:cstheme="minorHAnsi"/>
          <w:sz w:val="24"/>
        </w:rPr>
        <w:t xml:space="preserve"> and </w:t>
      </w:r>
      <w:r w:rsidR="00A4313B" w:rsidRPr="0031706B">
        <w:rPr>
          <w:rFonts w:cstheme="minorHAnsi"/>
          <w:i/>
          <w:sz w:val="24"/>
        </w:rPr>
        <w:t xml:space="preserve">‘how we </w:t>
      </w:r>
      <w:proofErr w:type="gramStart"/>
      <w:r w:rsidR="00A4313B" w:rsidRPr="0031706B">
        <w:rPr>
          <w:rFonts w:cstheme="minorHAnsi"/>
          <w:i/>
          <w:sz w:val="24"/>
        </w:rPr>
        <w:t>travel’</w:t>
      </w:r>
      <w:r w:rsidR="00A4313B" w:rsidRPr="0031706B">
        <w:rPr>
          <w:rFonts w:cstheme="minorHAnsi"/>
          <w:sz w:val="24"/>
        </w:rPr>
        <w:t xml:space="preserve"> </w:t>
      </w:r>
      <w:r w:rsidR="00B30204" w:rsidRPr="0031706B">
        <w:rPr>
          <w:rFonts w:cstheme="minorHAnsi"/>
          <w:sz w:val="24"/>
        </w:rPr>
        <w:t>.</w:t>
      </w:r>
      <w:proofErr w:type="gramEnd"/>
    </w:p>
    <w:p w14:paraId="2B0FDC49" w14:textId="77777777" w:rsidR="00B83AF9" w:rsidRPr="0031706B" w:rsidRDefault="00B83AF9" w:rsidP="0032732C">
      <w:pPr>
        <w:spacing w:after="0" w:line="480" w:lineRule="auto"/>
        <w:rPr>
          <w:rFonts w:cstheme="minorHAnsi"/>
          <w:sz w:val="24"/>
        </w:rPr>
      </w:pPr>
    </w:p>
    <w:p w14:paraId="7208122B" w14:textId="1E5B5D5B" w:rsidR="00933974" w:rsidRPr="0031706B" w:rsidRDefault="00B72C31" w:rsidP="0032732C">
      <w:pPr>
        <w:spacing w:after="0" w:line="480" w:lineRule="auto"/>
        <w:rPr>
          <w:rFonts w:cstheme="minorHAnsi"/>
          <w:sz w:val="24"/>
        </w:rPr>
      </w:pPr>
      <w:r w:rsidRPr="0031706B">
        <w:rPr>
          <w:rFonts w:cstheme="minorHAnsi"/>
          <w:sz w:val="24"/>
        </w:rPr>
        <w:t>The high level of support demonstrated in the results for energy efficiency measures is echoed in other research (Defra, 2011</w:t>
      </w:r>
      <w:r w:rsidR="001D5FF4" w:rsidRPr="0031706B">
        <w:rPr>
          <w:rFonts w:cstheme="minorHAnsi"/>
          <w:sz w:val="24"/>
        </w:rPr>
        <w:t xml:space="preserve">; </w:t>
      </w:r>
      <w:proofErr w:type="spellStart"/>
      <w:r w:rsidR="001D5FF4" w:rsidRPr="0031706B">
        <w:rPr>
          <w:rFonts w:cstheme="minorHAnsi"/>
          <w:sz w:val="24"/>
        </w:rPr>
        <w:t>Parkhill</w:t>
      </w:r>
      <w:proofErr w:type="spellEnd"/>
      <w:r w:rsidR="001D5FF4" w:rsidRPr="0031706B">
        <w:rPr>
          <w:rFonts w:cstheme="minorHAnsi"/>
          <w:sz w:val="24"/>
        </w:rPr>
        <w:t xml:space="preserve"> </w:t>
      </w:r>
      <w:r w:rsidR="001D5FF4" w:rsidRPr="0031706B">
        <w:rPr>
          <w:rFonts w:cstheme="minorHAnsi"/>
          <w:i/>
          <w:sz w:val="24"/>
        </w:rPr>
        <w:t xml:space="preserve">et al., </w:t>
      </w:r>
      <w:r w:rsidR="001D5FF4" w:rsidRPr="0031706B">
        <w:rPr>
          <w:rFonts w:cstheme="minorHAnsi"/>
          <w:sz w:val="24"/>
        </w:rPr>
        <w:t>2013</w:t>
      </w:r>
      <w:r w:rsidRPr="0031706B">
        <w:rPr>
          <w:rFonts w:cstheme="minorHAnsi"/>
          <w:sz w:val="24"/>
        </w:rPr>
        <w:t>). The high level of support found in this research for the electrification of home heating and transport is not matched by results from early pilot schemes designed to encourage the uptake of heat pumps and electric cars</w:t>
      </w:r>
      <w:r w:rsidR="0020106E" w:rsidRPr="0031706B">
        <w:rPr>
          <w:rStyle w:val="EndnoteReference"/>
          <w:rFonts w:cstheme="minorHAnsi"/>
          <w:sz w:val="24"/>
        </w:rPr>
        <w:endnoteReference w:id="13"/>
      </w:r>
      <w:r w:rsidRPr="0031706B">
        <w:rPr>
          <w:rFonts w:cstheme="minorHAnsi"/>
          <w:sz w:val="24"/>
        </w:rPr>
        <w:t xml:space="preserve"> (Energy Saving Trust 2010). The demonstration of preferences for renewable energy over nuclear power reinforces findings from previous </w:t>
      </w:r>
      <w:r w:rsidRPr="0031706B">
        <w:rPr>
          <w:rFonts w:cstheme="minorHAnsi"/>
          <w:sz w:val="24"/>
        </w:rPr>
        <w:lastRenderedPageBreak/>
        <w:t>multivariate evaluation (</w:t>
      </w:r>
      <w:proofErr w:type="spellStart"/>
      <w:r w:rsidRPr="0031706B">
        <w:rPr>
          <w:rFonts w:cstheme="minorHAnsi"/>
          <w:sz w:val="24"/>
        </w:rPr>
        <w:t>Stagl</w:t>
      </w:r>
      <w:proofErr w:type="spellEnd"/>
      <w:r w:rsidRPr="0031706B">
        <w:rPr>
          <w:rFonts w:cstheme="minorHAnsi"/>
          <w:sz w:val="24"/>
        </w:rPr>
        <w:t xml:space="preserve">, 2006), while ‘reluctant acceptance’ for nuclear power as a solution to climate change remains an unstable </w:t>
      </w:r>
      <w:r w:rsidR="0037272D" w:rsidRPr="0031706B">
        <w:rPr>
          <w:rFonts w:cstheme="minorHAnsi"/>
          <w:sz w:val="24"/>
        </w:rPr>
        <w:t xml:space="preserve">and conditional </w:t>
      </w:r>
      <w:r w:rsidRPr="0031706B">
        <w:rPr>
          <w:rFonts w:cstheme="minorHAnsi"/>
          <w:sz w:val="24"/>
        </w:rPr>
        <w:t>public opinion (</w:t>
      </w:r>
      <w:proofErr w:type="spellStart"/>
      <w:r w:rsidRPr="0031706B">
        <w:rPr>
          <w:rFonts w:cstheme="minorHAnsi"/>
          <w:sz w:val="24"/>
        </w:rPr>
        <w:t>Pidgeon</w:t>
      </w:r>
      <w:proofErr w:type="spellEnd"/>
      <w:r w:rsidR="00177C6D" w:rsidRPr="0031706B">
        <w:rPr>
          <w:rFonts w:cstheme="minorHAnsi"/>
          <w:sz w:val="24"/>
        </w:rPr>
        <w:t xml:space="preserve"> </w:t>
      </w:r>
      <w:r w:rsidR="00177C6D" w:rsidRPr="0031706B">
        <w:rPr>
          <w:rFonts w:cstheme="minorHAnsi"/>
          <w:i/>
          <w:sz w:val="24"/>
        </w:rPr>
        <w:t>et al.</w:t>
      </w:r>
      <w:r w:rsidR="0013777D" w:rsidRPr="0031706B">
        <w:rPr>
          <w:rFonts w:cstheme="minorHAnsi"/>
          <w:sz w:val="24"/>
        </w:rPr>
        <w:t xml:space="preserve">, </w:t>
      </w:r>
      <w:r w:rsidRPr="0031706B">
        <w:rPr>
          <w:rFonts w:cstheme="minorHAnsi"/>
          <w:sz w:val="24"/>
        </w:rPr>
        <w:t>2008</w:t>
      </w:r>
      <w:r w:rsidR="0037272D" w:rsidRPr="0031706B">
        <w:rPr>
          <w:rFonts w:cstheme="minorHAnsi"/>
          <w:sz w:val="24"/>
        </w:rPr>
        <w:t xml:space="preserve">; </w:t>
      </w:r>
      <w:proofErr w:type="spellStart"/>
      <w:r w:rsidR="0037272D" w:rsidRPr="0031706B">
        <w:rPr>
          <w:rFonts w:cstheme="minorHAnsi"/>
          <w:sz w:val="24"/>
        </w:rPr>
        <w:t>Parkhill</w:t>
      </w:r>
      <w:proofErr w:type="spellEnd"/>
      <w:r w:rsidR="0037272D" w:rsidRPr="0031706B">
        <w:rPr>
          <w:rFonts w:cstheme="minorHAnsi"/>
          <w:sz w:val="24"/>
        </w:rPr>
        <w:t xml:space="preserve"> </w:t>
      </w:r>
      <w:r w:rsidR="0037272D" w:rsidRPr="0031706B">
        <w:rPr>
          <w:rFonts w:cstheme="minorHAnsi"/>
          <w:i/>
          <w:sz w:val="24"/>
        </w:rPr>
        <w:t xml:space="preserve">et al., </w:t>
      </w:r>
      <w:r w:rsidR="0037272D" w:rsidRPr="0031706B">
        <w:rPr>
          <w:rFonts w:cstheme="minorHAnsi"/>
          <w:sz w:val="24"/>
        </w:rPr>
        <w:t>2013</w:t>
      </w:r>
      <w:r w:rsidRPr="0031706B">
        <w:rPr>
          <w:rFonts w:cstheme="minorHAnsi"/>
          <w:sz w:val="24"/>
        </w:rPr>
        <w:t>),</w:t>
      </w:r>
      <w:r w:rsidR="007A30C9" w:rsidRPr="0031706B">
        <w:rPr>
          <w:rFonts w:cstheme="minorHAnsi"/>
          <w:sz w:val="24"/>
        </w:rPr>
        <w:t xml:space="preserve"> </w:t>
      </w:r>
      <w:r w:rsidR="00B801A4" w:rsidRPr="0031706B">
        <w:rPr>
          <w:rFonts w:cstheme="minorHAnsi"/>
          <w:sz w:val="24"/>
        </w:rPr>
        <w:t>which is reflected in the nuclear option being selected for the lowest level of effort by respondents in this sample.</w:t>
      </w:r>
      <w:r w:rsidR="002C6E3B" w:rsidRPr="0031706B">
        <w:rPr>
          <w:rFonts w:cstheme="minorHAnsi"/>
          <w:sz w:val="24"/>
        </w:rPr>
        <w:t xml:space="preserve"> </w:t>
      </w:r>
      <w:r w:rsidRPr="0031706B">
        <w:rPr>
          <w:rFonts w:cstheme="minorHAnsi"/>
          <w:sz w:val="24"/>
        </w:rPr>
        <w:t>The preference for greater level</w:t>
      </w:r>
      <w:r w:rsidR="00E6287B" w:rsidRPr="0031706B">
        <w:rPr>
          <w:rFonts w:cstheme="minorHAnsi"/>
          <w:sz w:val="24"/>
        </w:rPr>
        <w:t>s of offshore over onshore wind</w:t>
      </w:r>
      <w:r w:rsidR="00D6445C" w:rsidRPr="0031706B">
        <w:rPr>
          <w:rFonts w:cstheme="minorHAnsi"/>
          <w:sz w:val="24"/>
        </w:rPr>
        <w:t xml:space="preserve"> </w:t>
      </w:r>
      <w:r w:rsidRPr="0031706B">
        <w:rPr>
          <w:rFonts w:cstheme="minorHAnsi"/>
          <w:sz w:val="24"/>
        </w:rPr>
        <w:t xml:space="preserve">power found in this research has been illustrated previously (Jones and </w:t>
      </w:r>
      <w:proofErr w:type="spellStart"/>
      <w:r w:rsidRPr="0031706B">
        <w:rPr>
          <w:rFonts w:cstheme="minorHAnsi"/>
          <w:sz w:val="24"/>
        </w:rPr>
        <w:t>Eiser</w:t>
      </w:r>
      <w:proofErr w:type="spellEnd"/>
      <w:r w:rsidRPr="0031706B">
        <w:rPr>
          <w:rFonts w:cstheme="minorHAnsi"/>
          <w:sz w:val="24"/>
        </w:rPr>
        <w:t>, 2010)</w:t>
      </w:r>
      <w:r w:rsidR="00E6287B" w:rsidRPr="0031706B">
        <w:rPr>
          <w:rFonts w:cstheme="minorHAnsi"/>
          <w:sz w:val="24"/>
        </w:rPr>
        <w:t>.</w:t>
      </w:r>
      <w:r w:rsidRPr="0031706B">
        <w:rPr>
          <w:rFonts w:cstheme="minorHAnsi"/>
          <w:sz w:val="24"/>
        </w:rPr>
        <w:t xml:space="preserve"> </w:t>
      </w:r>
      <w:r w:rsidR="00E6287B" w:rsidRPr="0031706B">
        <w:rPr>
          <w:rFonts w:cstheme="minorHAnsi"/>
          <w:sz w:val="24"/>
        </w:rPr>
        <w:t>However,</w:t>
      </w:r>
      <w:r w:rsidRPr="0031706B">
        <w:rPr>
          <w:rFonts w:cstheme="minorHAnsi"/>
          <w:sz w:val="24"/>
        </w:rPr>
        <w:t xml:space="preserve"> the absence of cost implications for this preference, as well as the relatively early stage of development for the offshore wind industry compared to the more mature and arguably more controversial onshore wind industry, may have influenced responses. The high preference demonstrated for travel behaviour change in this research reinforces existing findings (Goodwin and Lyons, 2010), although preferences were selected in the absence of information about how obstacles to mode shift might </w:t>
      </w:r>
      <w:r w:rsidR="002E7F4E" w:rsidRPr="0031706B">
        <w:rPr>
          <w:rFonts w:cstheme="minorHAnsi"/>
          <w:sz w:val="24"/>
        </w:rPr>
        <w:t xml:space="preserve">actually </w:t>
      </w:r>
      <w:r w:rsidRPr="0031706B">
        <w:rPr>
          <w:rFonts w:cstheme="minorHAnsi"/>
          <w:sz w:val="24"/>
        </w:rPr>
        <w:t xml:space="preserve">be overcome and therefore remain purely aspirational. </w:t>
      </w:r>
    </w:p>
    <w:p w14:paraId="50A796AA" w14:textId="77777777" w:rsidR="001E1BC0" w:rsidRPr="0031706B" w:rsidRDefault="001E1BC0" w:rsidP="0032732C">
      <w:pPr>
        <w:spacing w:after="0" w:line="480" w:lineRule="auto"/>
        <w:rPr>
          <w:rFonts w:cstheme="minorHAnsi"/>
          <w:sz w:val="24"/>
        </w:rPr>
      </w:pPr>
    </w:p>
    <w:p w14:paraId="3AADE5B8" w14:textId="4D3C610F" w:rsidR="00B72C31" w:rsidRPr="0031706B" w:rsidRDefault="00B72C31" w:rsidP="0032732C">
      <w:pPr>
        <w:spacing w:after="0" w:line="480" w:lineRule="auto"/>
        <w:rPr>
          <w:rFonts w:cstheme="minorHAnsi"/>
          <w:sz w:val="24"/>
        </w:rPr>
      </w:pPr>
      <w:r w:rsidRPr="0031706B">
        <w:rPr>
          <w:rFonts w:cstheme="minorHAnsi"/>
          <w:sz w:val="24"/>
        </w:rPr>
        <w:t xml:space="preserve">Analysis of sub-groups demonstrated greater variation in choices than was demonstrated when considering the whole sample, suggesting there are pockets of extreme opinion contained within the responses. This could reflect participation from different lobby groups and industry representatives with a vested interest in influencing policy, </w:t>
      </w:r>
      <w:r w:rsidR="00534213" w:rsidRPr="0031706B">
        <w:rPr>
          <w:rFonts w:cstheme="minorHAnsi"/>
          <w:sz w:val="24"/>
        </w:rPr>
        <w:t xml:space="preserve">as </w:t>
      </w:r>
      <w:r w:rsidRPr="0031706B">
        <w:rPr>
          <w:rFonts w:cstheme="minorHAnsi"/>
          <w:sz w:val="24"/>
        </w:rPr>
        <w:t xml:space="preserve">even though </w:t>
      </w:r>
      <w:r w:rsidR="00DC0D14" w:rsidRPr="0031706B">
        <w:rPr>
          <w:rFonts w:cstheme="minorHAnsi"/>
          <w:sz w:val="24"/>
        </w:rPr>
        <w:t>DECC makes</w:t>
      </w:r>
      <w:r w:rsidRPr="0031706B">
        <w:rPr>
          <w:rFonts w:cstheme="minorHAnsi"/>
          <w:sz w:val="24"/>
        </w:rPr>
        <w:t xml:space="preserve"> no claims </w:t>
      </w:r>
      <w:r w:rsidR="00DC0D14" w:rsidRPr="0031706B">
        <w:rPr>
          <w:rFonts w:cstheme="minorHAnsi"/>
          <w:sz w:val="24"/>
        </w:rPr>
        <w:t>that</w:t>
      </w:r>
      <w:r w:rsidR="001A1094" w:rsidRPr="0031706B">
        <w:rPr>
          <w:rFonts w:cstheme="minorHAnsi"/>
          <w:sz w:val="24"/>
        </w:rPr>
        <w:t xml:space="preserve"> the </w:t>
      </w:r>
      <w:r w:rsidR="00DC0D14" w:rsidRPr="0031706B">
        <w:rPr>
          <w:rFonts w:cstheme="minorHAnsi"/>
          <w:sz w:val="24"/>
        </w:rPr>
        <w:t xml:space="preserve">results from people’s participation in the </w:t>
      </w:r>
      <w:r w:rsidR="001A1094" w:rsidRPr="0031706B">
        <w:rPr>
          <w:rFonts w:cstheme="minorHAnsi"/>
          <w:sz w:val="24"/>
        </w:rPr>
        <w:t xml:space="preserve">‘My2050’ </w:t>
      </w:r>
      <w:r w:rsidR="00DC0D14" w:rsidRPr="0031706B">
        <w:rPr>
          <w:rFonts w:cstheme="minorHAnsi"/>
          <w:sz w:val="24"/>
        </w:rPr>
        <w:t xml:space="preserve">simulation </w:t>
      </w:r>
      <w:r w:rsidRPr="0031706B">
        <w:rPr>
          <w:rFonts w:cstheme="minorHAnsi"/>
          <w:sz w:val="24"/>
        </w:rPr>
        <w:t>will directly inform policy</w:t>
      </w:r>
      <w:r w:rsidR="00DC0D14" w:rsidRPr="0031706B">
        <w:rPr>
          <w:rFonts w:cstheme="minorHAnsi"/>
          <w:sz w:val="24"/>
        </w:rPr>
        <w:t>, they clearly state that the results will “feed into the debate” around the 2050 emissions reduction target</w:t>
      </w:r>
      <w:r w:rsidRPr="0031706B">
        <w:rPr>
          <w:rFonts w:cstheme="minorHAnsi"/>
          <w:sz w:val="24"/>
        </w:rPr>
        <w:t xml:space="preserve"> (DECC, 2011c). </w:t>
      </w:r>
      <w:r w:rsidR="007D3E66" w:rsidRPr="0031706B">
        <w:rPr>
          <w:rFonts w:cstheme="minorHAnsi"/>
          <w:sz w:val="24"/>
        </w:rPr>
        <w:t>Alternatively</w:t>
      </w:r>
      <w:r w:rsidR="006B1147" w:rsidRPr="0031706B">
        <w:rPr>
          <w:rFonts w:cstheme="minorHAnsi"/>
          <w:sz w:val="24"/>
        </w:rPr>
        <w:t xml:space="preserve">, it may just represent the ‘context free’ </w:t>
      </w:r>
      <w:r w:rsidR="006B1147" w:rsidRPr="0031706B">
        <w:rPr>
          <w:rFonts w:cstheme="minorHAnsi"/>
          <w:sz w:val="24"/>
        </w:rPr>
        <w:lastRenderedPageBreak/>
        <w:t xml:space="preserve">use of the simulation where any range of options could be tested with no consequence. </w:t>
      </w:r>
      <w:r w:rsidRPr="0031706B">
        <w:rPr>
          <w:rFonts w:cstheme="minorHAnsi"/>
          <w:sz w:val="24"/>
        </w:rPr>
        <w:t>Any plans for future development and promotion of the ‘My2050’ simulation could clarify whether and how responses will be used to shape future policy, in line with public participation good practice (HM Government, 2008</w:t>
      </w:r>
      <w:r w:rsidR="00D65082" w:rsidRPr="0031706B">
        <w:rPr>
          <w:rFonts w:cstheme="minorHAnsi"/>
          <w:sz w:val="24"/>
        </w:rPr>
        <w:t>b</w:t>
      </w:r>
      <w:r w:rsidRPr="0031706B">
        <w:rPr>
          <w:rFonts w:cstheme="minorHAnsi"/>
          <w:sz w:val="24"/>
        </w:rPr>
        <w:t xml:space="preserve">). </w:t>
      </w:r>
      <w:r w:rsidR="007D3E66" w:rsidRPr="0031706B">
        <w:rPr>
          <w:rFonts w:cstheme="minorHAnsi"/>
          <w:sz w:val="24"/>
        </w:rPr>
        <w:t>A</w:t>
      </w:r>
      <w:r w:rsidR="00876779" w:rsidRPr="0031706B">
        <w:rPr>
          <w:rFonts w:cstheme="minorHAnsi"/>
          <w:sz w:val="24"/>
        </w:rPr>
        <w:t xml:space="preserve"> greater level of </w:t>
      </w:r>
      <w:r w:rsidRPr="0031706B">
        <w:rPr>
          <w:rFonts w:cstheme="minorHAnsi"/>
          <w:sz w:val="24"/>
        </w:rPr>
        <w:t xml:space="preserve">sub-group analysis may demonstrate the tendency for individuals to fall into different segments. Analysis of these responses could inform the design of targeted public engagement with sub-populations most relevant to different policy objectives, although a greater breadth of demographic data would need to be collected to enable a sophisticated segmentation analysis. </w:t>
      </w:r>
      <w:r w:rsidR="00534213" w:rsidRPr="0031706B">
        <w:rPr>
          <w:rFonts w:cstheme="minorHAnsi"/>
          <w:sz w:val="24"/>
        </w:rPr>
        <w:t xml:space="preserve"> As with proposed use of the simulation with nationally representative samples, future exercises could be conducted testing particular subsets (based either on socio-economic or attitudinal characteristics).</w:t>
      </w:r>
    </w:p>
    <w:p w14:paraId="3C52A57A" w14:textId="77777777" w:rsidR="00B83AF9" w:rsidRPr="0031706B" w:rsidRDefault="00B83AF9" w:rsidP="0032732C">
      <w:pPr>
        <w:spacing w:after="0" w:line="480" w:lineRule="auto"/>
        <w:rPr>
          <w:rFonts w:cstheme="minorHAnsi"/>
          <w:sz w:val="24"/>
        </w:rPr>
      </w:pPr>
    </w:p>
    <w:p w14:paraId="49A306CC" w14:textId="29381753" w:rsidR="007564E0" w:rsidRPr="0031706B" w:rsidRDefault="002E7F4E" w:rsidP="0032732C">
      <w:pPr>
        <w:spacing w:after="0" w:line="480" w:lineRule="auto"/>
        <w:rPr>
          <w:rFonts w:cstheme="minorHAnsi"/>
          <w:sz w:val="24"/>
        </w:rPr>
      </w:pPr>
      <w:r w:rsidRPr="0031706B">
        <w:rPr>
          <w:rFonts w:cstheme="minorHAnsi"/>
          <w:sz w:val="24"/>
        </w:rPr>
        <w:t>There is a danger that o</w:t>
      </w:r>
      <w:r w:rsidR="002A2FCF" w:rsidRPr="0031706B">
        <w:rPr>
          <w:rFonts w:cstheme="minorHAnsi"/>
          <w:sz w:val="24"/>
        </w:rPr>
        <w:t xml:space="preserve">ver-interpreting </w:t>
      </w:r>
      <w:r w:rsidR="00B72C31" w:rsidRPr="0031706B">
        <w:rPr>
          <w:rFonts w:cstheme="minorHAnsi"/>
          <w:sz w:val="24"/>
        </w:rPr>
        <w:t xml:space="preserve">meaning from the preferences selected may lead to erroneous conclusions due </w:t>
      </w:r>
      <w:r w:rsidRPr="0031706B">
        <w:rPr>
          <w:rFonts w:cstheme="minorHAnsi"/>
          <w:sz w:val="24"/>
        </w:rPr>
        <w:t xml:space="preserve">the constrained nature of the simulation. For example, </w:t>
      </w:r>
      <w:r w:rsidR="00B72C31" w:rsidRPr="0031706B">
        <w:rPr>
          <w:rFonts w:cstheme="minorHAnsi"/>
          <w:sz w:val="24"/>
        </w:rPr>
        <w:t xml:space="preserve">the </w:t>
      </w:r>
      <w:r w:rsidR="000C6392" w:rsidRPr="0031706B">
        <w:rPr>
          <w:rFonts w:cstheme="minorHAnsi"/>
          <w:sz w:val="24"/>
        </w:rPr>
        <w:t>simulation required the respondent</w:t>
      </w:r>
      <w:r w:rsidR="00534213" w:rsidRPr="0031706B">
        <w:rPr>
          <w:rFonts w:cstheme="minorHAnsi"/>
          <w:sz w:val="24"/>
        </w:rPr>
        <w:t>s</w:t>
      </w:r>
      <w:r w:rsidR="00B72C31" w:rsidRPr="0031706B">
        <w:rPr>
          <w:rFonts w:cstheme="minorHAnsi"/>
          <w:sz w:val="24"/>
        </w:rPr>
        <w:t xml:space="preserve"> to achieve an eighty percent reduction in carbon emissions before submitting choices</w:t>
      </w:r>
      <w:r w:rsidRPr="0031706B">
        <w:rPr>
          <w:rFonts w:cstheme="minorHAnsi"/>
          <w:sz w:val="24"/>
        </w:rPr>
        <w:t>,</w:t>
      </w:r>
      <w:r w:rsidR="00B72C31" w:rsidRPr="0031706B">
        <w:rPr>
          <w:rFonts w:cstheme="minorHAnsi"/>
          <w:sz w:val="24"/>
        </w:rPr>
        <w:t xml:space="preserve"> </w:t>
      </w:r>
      <w:r w:rsidR="001A5090" w:rsidRPr="0031706B">
        <w:rPr>
          <w:rFonts w:cstheme="minorHAnsi"/>
          <w:sz w:val="24"/>
        </w:rPr>
        <w:t>and the respondent</w:t>
      </w:r>
      <w:r w:rsidR="00534213" w:rsidRPr="0031706B">
        <w:rPr>
          <w:rFonts w:cstheme="minorHAnsi"/>
          <w:sz w:val="24"/>
        </w:rPr>
        <w:t>s</w:t>
      </w:r>
      <w:r w:rsidR="001A5090" w:rsidRPr="0031706B">
        <w:rPr>
          <w:rFonts w:cstheme="minorHAnsi"/>
          <w:sz w:val="24"/>
        </w:rPr>
        <w:t xml:space="preserve"> had to</w:t>
      </w:r>
      <w:r w:rsidR="00EF7A3A" w:rsidRPr="0031706B">
        <w:rPr>
          <w:rFonts w:cstheme="minorHAnsi"/>
          <w:sz w:val="24"/>
        </w:rPr>
        <w:t xml:space="preserve"> </w:t>
      </w:r>
      <w:r w:rsidR="00B72C31" w:rsidRPr="0031706B">
        <w:rPr>
          <w:rFonts w:cstheme="minorHAnsi"/>
          <w:sz w:val="24"/>
        </w:rPr>
        <w:t xml:space="preserve">select one of four </w:t>
      </w:r>
      <w:r w:rsidR="00EF7A3A" w:rsidRPr="0031706B">
        <w:rPr>
          <w:rFonts w:cstheme="minorHAnsi"/>
          <w:sz w:val="24"/>
        </w:rPr>
        <w:t xml:space="preserve">defined </w:t>
      </w:r>
      <w:r w:rsidR="00B72C31" w:rsidRPr="0031706B">
        <w:rPr>
          <w:rFonts w:cstheme="minorHAnsi"/>
          <w:sz w:val="24"/>
        </w:rPr>
        <w:t xml:space="preserve">options for every slider, even if none of the options </w:t>
      </w:r>
      <w:r w:rsidR="00EF7A3A" w:rsidRPr="0031706B">
        <w:rPr>
          <w:rFonts w:cstheme="minorHAnsi"/>
          <w:sz w:val="24"/>
        </w:rPr>
        <w:t xml:space="preserve">actually </w:t>
      </w:r>
      <w:r w:rsidR="00B72C31" w:rsidRPr="0031706B">
        <w:rPr>
          <w:rFonts w:cstheme="minorHAnsi"/>
          <w:sz w:val="24"/>
        </w:rPr>
        <w:t>reflected the respondents</w:t>
      </w:r>
      <w:r w:rsidR="00660577" w:rsidRPr="0031706B">
        <w:rPr>
          <w:rFonts w:cstheme="minorHAnsi"/>
          <w:sz w:val="24"/>
        </w:rPr>
        <w:t>’</w:t>
      </w:r>
      <w:r w:rsidR="00B72C31" w:rsidRPr="0031706B">
        <w:rPr>
          <w:rFonts w:cstheme="minorHAnsi"/>
          <w:sz w:val="24"/>
        </w:rPr>
        <w:t xml:space="preserve"> preferred </w:t>
      </w:r>
      <w:r w:rsidR="00EF7A3A" w:rsidRPr="0031706B">
        <w:rPr>
          <w:rFonts w:cstheme="minorHAnsi"/>
          <w:sz w:val="24"/>
        </w:rPr>
        <w:t>opinion</w:t>
      </w:r>
      <w:r w:rsidR="00534213" w:rsidRPr="0031706B">
        <w:rPr>
          <w:rFonts w:cstheme="minorHAnsi"/>
          <w:sz w:val="24"/>
        </w:rPr>
        <w:t>s</w:t>
      </w:r>
      <w:r w:rsidR="00B72C31" w:rsidRPr="0031706B">
        <w:rPr>
          <w:rFonts w:cstheme="minorHAnsi"/>
          <w:sz w:val="24"/>
        </w:rPr>
        <w:t>.</w:t>
      </w:r>
      <w:r w:rsidR="00534213" w:rsidRPr="0031706B">
        <w:rPr>
          <w:rFonts w:cstheme="minorHAnsi"/>
          <w:sz w:val="24"/>
        </w:rPr>
        <w:t xml:space="preserve">  As briefly discussed</w:t>
      </w:r>
      <w:r w:rsidR="00660577" w:rsidRPr="0031706B">
        <w:rPr>
          <w:rFonts w:cstheme="minorHAnsi"/>
          <w:sz w:val="24"/>
        </w:rPr>
        <w:t>,</w:t>
      </w:r>
      <w:r w:rsidR="00534213" w:rsidRPr="0031706B">
        <w:rPr>
          <w:rFonts w:cstheme="minorHAnsi"/>
          <w:sz w:val="24"/>
        </w:rPr>
        <w:t xml:space="preserve"> there are a large number of aspects of the simulation that may provide particular framings or priming t</w:t>
      </w:r>
      <w:r w:rsidR="00660577" w:rsidRPr="0031706B">
        <w:rPr>
          <w:rFonts w:cstheme="minorHAnsi"/>
          <w:sz w:val="24"/>
        </w:rPr>
        <w:t>h</w:t>
      </w:r>
      <w:r w:rsidR="00534213" w:rsidRPr="0031706B">
        <w:rPr>
          <w:rFonts w:cstheme="minorHAnsi"/>
          <w:sz w:val="24"/>
        </w:rPr>
        <w:t>a</w:t>
      </w:r>
      <w:r w:rsidR="00660577" w:rsidRPr="0031706B">
        <w:rPr>
          <w:rFonts w:cstheme="minorHAnsi"/>
          <w:sz w:val="24"/>
        </w:rPr>
        <w:t>t</w:t>
      </w:r>
      <w:r w:rsidR="00534213" w:rsidRPr="0031706B">
        <w:rPr>
          <w:rFonts w:cstheme="minorHAnsi"/>
          <w:sz w:val="24"/>
        </w:rPr>
        <w:t xml:space="preserve"> may also lead to skewed results.</w:t>
      </w:r>
      <w:r w:rsidR="00B72C31" w:rsidRPr="0031706B">
        <w:rPr>
          <w:rFonts w:cstheme="minorHAnsi"/>
          <w:sz w:val="24"/>
        </w:rPr>
        <w:t xml:space="preserve"> These considerations add weight to the argument that scenario building should focus on integrated qualitative and quantitative methods (</w:t>
      </w:r>
      <w:proofErr w:type="spellStart"/>
      <w:r w:rsidR="00B72C31" w:rsidRPr="0031706B">
        <w:rPr>
          <w:rFonts w:cstheme="minorHAnsi"/>
          <w:sz w:val="24"/>
        </w:rPr>
        <w:t>Söderholm</w:t>
      </w:r>
      <w:proofErr w:type="spellEnd"/>
      <w:r w:rsidR="00B72C31" w:rsidRPr="0031706B">
        <w:rPr>
          <w:rFonts w:cstheme="minorHAnsi"/>
          <w:i/>
          <w:sz w:val="24"/>
        </w:rPr>
        <w:t xml:space="preserve"> et al.,</w:t>
      </w:r>
      <w:r w:rsidR="00B72C31" w:rsidRPr="0031706B">
        <w:rPr>
          <w:rFonts w:cstheme="minorHAnsi"/>
          <w:sz w:val="24"/>
        </w:rPr>
        <w:t xml:space="preserve"> 2011), and that deliberative </w:t>
      </w:r>
      <w:r w:rsidR="00B72C31" w:rsidRPr="0031706B">
        <w:rPr>
          <w:rFonts w:cstheme="minorHAnsi"/>
          <w:sz w:val="24"/>
        </w:rPr>
        <w:lastRenderedPageBreak/>
        <w:t>public engagement is a more appropriate approach when there are complex policy issues that require trade-offs and public buy-in for successful implementation (National Consumer Council, 2008). Placing such an approach within an overarching public engagement strategy would be required to accommodate the diversity and extent of the UK population.</w:t>
      </w:r>
    </w:p>
    <w:p w14:paraId="0E4892E9" w14:textId="77777777" w:rsidR="00B83AF9" w:rsidRPr="0031706B" w:rsidRDefault="00B83AF9" w:rsidP="0032732C">
      <w:pPr>
        <w:spacing w:after="0" w:line="480" w:lineRule="auto"/>
        <w:rPr>
          <w:rFonts w:cstheme="minorHAnsi"/>
          <w:sz w:val="24"/>
        </w:rPr>
      </w:pPr>
    </w:p>
    <w:p w14:paraId="11389D1C" w14:textId="36C43D31" w:rsidR="00B72C31" w:rsidRPr="0031706B" w:rsidRDefault="006B1147" w:rsidP="0032732C">
      <w:pPr>
        <w:spacing w:after="0" w:line="480" w:lineRule="auto"/>
        <w:rPr>
          <w:rFonts w:cstheme="minorHAnsi"/>
          <w:sz w:val="24"/>
        </w:rPr>
      </w:pPr>
      <w:r w:rsidRPr="0031706B">
        <w:rPr>
          <w:rFonts w:cstheme="minorHAnsi"/>
          <w:sz w:val="24"/>
        </w:rPr>
        <w:t>Since DECC published their three carbon reduction scenarios in December 2011 (DECC, 2011a), they h</w:t>
      </w:r>
      <w:r w:rsidR="00D52EF9" w:rsidRPr="0031706B">
        <w:rPr>
          <w:rFonts w:cstheme="minorHAnsi"/>
          <w:sz w:val="24"/>
        </w:rPr>
        <w:t>ave not documented any comparis</w:t>
      </w:r>
      <w:r w:rsidR="00D6445C" w:rsidRPr="0031706B">
        <w:rPr>
          <w:rFonts w:cstheme="minorHAnsi"/>
          <w:sz w:val="24"/>
        </w:rPr>
        <w:t>on of them with public opinion.</w:t>
      </w:r>
      <w:r w:rsidR="00B72C31" w:rsidRPr="0031706B">
        <w:rPr>
          <w:rFonts w:cstheme="minorHAnsi"/>
          <w:sz w:val="24"/>
        </w:rPr>
        <w:t xml:space="preserve"> This research has demonstrated that</w:t>
      </w:r>
      <w:r w:rsidR="00C9099C" w:rsidRPr="0031706B">
        <w:rPr>
          <w:rFonts w:cstheme="minorHAnsi"/>
          <w:sz w:val="24"/>
        </w:rPr>
        <w:t xml:space="preserve">, by comparing preference pathways identified through </w:t>
      </w:r>
      <w:r w:rsidR="00534213" w:rsidRPr="0031706B">
        <w:rPr>
          <w:rFonts w:cstheme="minorHAnsi"/>
          <w:sz w:val="24"/>
        </w:rPr>
        <w:t>modal an</w:t>
      </w:r>
      <w:r w:rsidR="00C9099C" w:rsidRPr="0031706B">
        <w:rPr>
          <w:rFonts w:cstheme="minorHAnsi"/>
          <w:sz w:val="24"/>
        </w:rPr>
        <w:t>alysis</w:t>
      </w:r>
      <w:r w:rsidR="00534213" w:rsidRPr="0031706B">
        <w:rPr>
          <w:rFonts w:cstheme="minorHAnsi"/>
          <w:sz w:val="24"/>
        </w:rPr>
        <w:t xml:space="preserve"> of the submitted pathways</w:t>
      </w:r>
      <w:r w:rsidR="00C9099C" w:rsidRPr="0031706B">
        <w:rPr>
          <w:rFonts w:cstheme="minorHAnsi"/>
          <w:sz w:val="24"/>
        </w:rPr>
        <w:t xml:space="preserve">, </w:t>
      </w:r>
      <w:r w:rsidR="00B72C31" w:rsidRPr="0031706B">
        <w:rPr>
          <w:rFonts w:cstheme="minorHAnsi"/>
          <w:sz w:val="24"/>
        </w:rPr>
        <w:t xml:space="preserve">the </w:t>
      </w:r>
      <w:r w:rsidR="00534213" w:rsidRPr="0031706B">
        <w:rPr>
          <w:rFonts w:cstheme="minorHAnsi"/>
          <w:sz w:val="24"/>
        </w:rPr>
        <w:t xml:space="preserve">DECC </w:t>
      </w:r>
      <w:r w:rsidR="00B72C31" w:rsidRPr="0031706B">
        <w:rPr>
          <w:rFonts w:cstheme="minorHAnsi"/>
          <w:sz w:val="24"/>
        </w:rPr>
        <w:t xml:space="preserve">scenario currently named </w:t>
      </w:r>
      <w:r w:rsidR="00B72C31" w:rsidRPr="0031706B">
        <w:rPr>
          <w:rFonts w:cstheme="minorHAnsi"/>
          <w:i/>
          <w:sz w:val="24"/>
        </w:rPr>
        <w:t>‘Higher CCS, more bioenergy’</w:t>
      </w:r>
      <w:r w:rsidR="00B72C31" w:rsidRPr="0031706B">
        <w:rPr>
          <w:rFonts w:cstheme="minorHAnsi"/>
          <w:sz w:val="24"/>
        </w:rPr>
        <w:t xml:space="preserve"> </w:t>
      </w:r>
      <w:r w:rsidR="00534213" w:rsidRPr="0031706B">
        <w:rPr>
          <w:rFonts w:cstheme="minorHAnsi"/>
          <w:sz w:val="24"/>
        </w:rPr>
        <w:t xml:space="preserve">is likely to be considered </w:t>
      </w:r>
      <w:r w:rsidR="00B72C31" w:rsidRPr="0031706B">
        <w:rPr>
          <w:rFonts w:cstheme="minorHAnsi"/>
          <w:sz w:val="24"/>
        </w:rPr>
        <w:t xml:space="preserve">the most popular with this sample of over 10,000 self-selected respondents. </w:t>
      </w:r>
      <w:r w:rsidRPr="0031706B">
        <w:rPr>
          <w:rFonts w:cstheme="minorHAnsi"/>
          <w:sz w:val="24"/>
        </w:rPr>
        <w:t xml:space="preserve"> </w:t>
      </w:r>
      <w:r w:rsidR="00B72C31" w:rsidRPr="0031706B">
        <w:rPr>
          <w:rFonts w:cstheme="minorHAnsi"/>
          <w:sz w:val="24"/>
        </w:rPr>
        <w:t>However the extent to which this tests ‘public acceptability</w:t>
      </w:r>
      <w:r w:rsidR="00EF646E" w:rsidRPr="0031706B">
        <w:rPr>
          <w:rFonts w:cstheme="minorHAnsi"/>
          <w:sz w:val="24"/>
        </w:rPr>
        <w:t>’</w:t>
      </w:r>
      <w:r w:rsidR="00B72C31" w:rsidRPr="0031706B">
        <w:rPr>
          <w:rFonts w:cstheme="minorHAnsi"/>
          <w:sz w:val="24"/>
        </w:rPr>
        <w:t xml:space="preserve"> is limited, for the reasons set out above. Given that the competition for the first UK demonstration for carbon capture and storage was cancelled in October 2011 due to budgetary issues (National Audit Office, 2012), and the implementation requirements of carbon capture and storage at a commercial scale remain largely unknown, it is reasonable to question how viable this scenario might be for this particular policy area. </w:t>
      </w:r>
    </w:p>
    <w:p w14:paraId="216C63A2" w14:textId="77777777" w:rsidR="00EF646E" w:rsidRPr="0031706B" w:rsidRDefault="00EF646E" w:rsidP="0032732C">
      <w:pPr>
        <w:spacing w:after="0" w:line="480" w:lineRule="auto"/>
        <w:rPr>
          <w:rFonts w:cstheme="minorHAnsi"/>
          <w:sz w:val="24"/>
        </w:rPr>
      </w:pPr>
    </w:p>
    <w:p w14:paraId="43EFF1F2" w14:textId="03999A0C" w:rsidR="00B72C31" w:rsidRPr="0031706B" w:rsidRDefault="00B72C31" w:rsidP="0032732C">
      <w:pPr>
        <w:spacing w:after="0" w:line="480" w:lineRule="auto"/>
        <w:rPr>
          <w:rFonts w:cstheme="minorHAnsi"/>
          <w:sz w:val="24"/>
        </w:rPr>
      </w:pPr>
      <w:r w:rsidRPr="0031706B">
        <w:rPr>
          <w:rFonts w:cstheme="minorHAnsi"/>
          <w:sz w:val="24"/>
        </w:rPr>
        <w:t xml:space="preserve">When comparing preferences in this sample with the range of options selected across all three of DECC’s carbon reduction scenarios, this sample demonstrated </w:t>
      </w:r>
      <w:r w:rsidR="006E2ACB" w:rsidRPr="0031706B">
        <w:rPr>
          <w:rFonts w:cstheme="minorHAnsi"/>
          <w:sz w:val="24"/>
        </w:rPr>
        <w:t>particular caution around support for high levels of effort in</w:t>
      </w:r>
      <w:r w:rsidRPr="0031706B">
        <w:rPr>
          <w:rFonts w:cstheme="minorHAnsi"/>
          <w:sz w:val="24"/>
        </w:rPr>
        <w:t xml:space="preserve"> </w:t>
      </w:r>
      <w:r w:rsidR="000C2426" w:rsidRPr="0031706B">
        <w:rPr>
          <w:rFonts w:cstheme="minorHAnsi"/>
          <w:sz w:val="24"/>
        </w:rPr>
        <w:t xml:space="preserve">seven </w:t>
      </w:r>
      <w:r w:rsidRPr="0031706B">
        <w:rPr>
          <w:rFonts w:cstheme="minorHAnsi"/>
          <w:sz w:val="24"/>
        </w:rPr>
        <w:t>policy areas</w:t>
      </w:r>
      <w:r w:rsidR="007B0C68" w:rsidRPr="0031706B">
        <w:rPr>
          <w:rFonts w:cstheme="minorHAnsi"/>
          <w:sz w:val="24"/>
        </w:rPr>
        <w:t xml:space="preserve"> in particular</w:t>
      </w:r>
      <w:r w:rsidRPr="0031706B">
        <w:rPr>
          <w:rFonts w:cstheme="minorHAnsi"/>
          <w:sz w:val="24"/>
        </w:rPr>
        <w:t xml:space="preserve">: biofuel production, nuclear power, </w:t>
      </w:r>
      <w:r w:rsidR="000C2426" w:rsidRPr="0031706B">
        <w:rPr>
          <w:rFonts w:cstheme="minorHAnsi"/>
          <w:sz w:val="24"/>
        </w:rPr>
        <w:lastRenderedPageBreak/>
        <w:t xml:space="preserve">onshore wind power, </w:t>
      </w:r>
      <w:r w:rsidRPr="0031706B">
        <w:rPr>
          <w:rFonts w:cstheme="minorHAnsi"/>
          <w:sz w:val="24"/>
        </w:rPr>
        <w:t xml:space="preserve">home temperature, travel behaviour change, and home </w:t>
      </w:r>
      <w:r w:rsidR="007B0C68" w:rsidRPr="0031706B">
        <w:rPr>
          <w:rFonts w:cstheme="minorHAnsi"/>
          <w:sz w:val="24"/>
        </w:rPr>
        <w:t>and transport electrification. However, t</w:t>
      </w:r>
      <w:r w:rsidRPr="0031706B">
        <w:rPr>
          <w:rFonts w:cstheme="minorHAnsi"/>
          <w:sz w:val="24"/>
        </w:rPr>
        <w:t xml:space="preserve">he </w:t>
      </w:r>
      <w:r w:rsidR="00122E8E" w:rsidRPr="0031706B">
        <w:rPr>
          <w:rFonts w:cstheme="minorHAnsi"/>
          <w:sz w:val="24"/>
        </w:rPr>
        <w:t xml:space="preserve">most </w:t>
      </w:r>
      <w:r w:rsidRPr="0031706B">
        <w:rPr>
          <w:rFonts w:cstheme="minorHAnsi"/>
          <w:sz w:val="24"/>
        </w:rPr>
        <w:t xml:space="preserve">ambitious goals for these policy areas only occur in the two less popular DECC scenarios, providing further evidence of the greater acceptability of the </w:t>
      </w:r>
      <w:r w:rsidRPr="0031706B">
        <w:rPr>
          <w:rFonts w:cstheme="minorHAnsi"/>
          <w:i/>
          <w:sz w:val="24"/>
        </w:rPr>
        <w:t xml:space="preserve">‘Higher CCS, more bioenergy’ </w:t>
      </w:r>
      <w:r w:rsidRPr="0031706B">
        <w:rPr>
          <w:rFonts w:cstheme="minorHAnsi"/>
          <w:sz w:val="24"/>
        </w:rPr>
        <w:t xml:space="preserve">scenario. </w:t>
      </w:r>
    </w:p>
    <w:p w14:paraId="6721A249" w14:textId="77777777" w:rsidR="00B83AF9" w:rsidRPr="0031706B" w:rsidRDefault="00B83AF9" w:rsidP="0032732C">
      <w:pPr>
        <w:spacing w:after="0" w:line="480" w:lineRule="auto"/>
        <w:rPr>
          <w:rFonts w:cstheme="minorHAnsi"/>
          <w:sz w:val="24"/>
        </w:rPr>
      </w:pPr>
    </w:p>
    <w:p w14:paraId="105BAE67" w14:textId="099B266F" w:rsidR="00B72C31" w:rsidRPr="0031706B" w:rsidRDefault="00B72C31" w:rsidP="0032732C">
      <w:pPr>
        <w:spacing w:after="0" w:line="480" w:lineRule="auto"/>
        <w:rPr>
          <w:rFonts w:cstheme="minorHAnsi"/>
          <w:sz w:val="24"/>
        </w:rPr>
      </w:pPr>
      <w:r w:rsidRPr="0031706B">
        <w:rPr>
          <w:rFonts w:cstheme="minorHAnsi"/>
          <w:sz w:val="24"/>
        </w:rPr>
        <w:t xml:space="preserve">In the absence of pre-existing approaches, the </w:t>
      </w:r>
      <w:r w:rsidR="006B1147" w:rsidRPr="0031706B">
        <w:rPr>
          <w:rFonts w:cstheme="minorHAnsi"/>
          <w:sz w:val="24"/>
        </w:rPr>
        <w:t>method</w:t>
      </w:r>
      <w:r w:rsidR="00022725" w:rsidRPr="0031706B">
        <w:rPr>
          <w:rFonts w:cstheme="minorHAnsi"/>
          <w:sz w:val="24"/>
        </w:rPr>
        <w:t xml:space="preserve"> used in</w:t>
      </w:r>
      <w:r w:rsidRPr="0031706B">
        <w:rPr>
          <w:rFonts w:cstheme="minorHAnsi"/>
          <w:sz w:val="24"/>
        </w:rPr>
        <w:t xml:space="preserve"> this research </w:t>
      </w:r>
      <w:r w:rsidR="00022725" w:rsidRPr="0031706B">
        <w:rPr>
          <w:rFonts w:cstheme="minorHAnsi"/>
          <w:sz w:val="24"/>
        </w:rPr>
        <w:t xml:space="preserve">to compare preference patterns in this sample with the three government scenarios </w:t>
      </w:r>
      <w:r w:rsidRPr="0031706B">
        <w:rPr>
          <w:rFonts w:cstheme="minorHAnsi"/>
          <w:sz w:val="24"/>
        </w:rPr>
        <w:t xml:space="preserve">was based on the assumption that </w:t>
      </w:r>
      <w:r w:rsidR="00EF7A3A" w:rsidRPr="0031706B">
        <w:rPr>
          <w:rFonts w:cstheme="minorHAnsi"/>
          <w:sz w:val="24"/>
        </w:rPr>
        <w:t xml:space="preserve">differences between </w:t>
      </w:r>
      <w:r w:rsidRPr="0031706B">
        <w:rPr>
          <w:rFonts w:cstheme="minorHAnsi"/>
          <w:sz w:val="24"/>
        </w:rPr>
        <w:t xml:space="preserve">each </w:t>
      </w:r>
      <w:r w:rsidR="00EF7A3A" w:rsidRPr="0031706B">
        <w:rPr>
          <w:rFonts w:cstheme="minorHAnsi"/>
          <w:sz w:val="24"/>
        </w:rPr>
        <w:t xml:space="preserve">and every </w:t>
      </w:r>
      <w:r w:rsidRPr="0031706B">
        <w:rPr>
          <w:rFonts w:cstheme="minorHAnsi"/>
          <w:sz w:val="24"/>
        </w:rPr>
        <w:t>setting in ‘My2050’ should be equally weighted</w:t>
      </w:r>
      <w:r w:rsidR="00CE4A8A" w:rsidRPr="0031706B">
        <w:rPr>
          <w:rFonts w:cstheme="minorHAnsi"/>
          <w:sz w:val="24"/>
        </w:rPr>
        <w:t>. The same assumption was made</w:t>
      </w:r>
      <w:r w:rsidR="00EF7A3A" w:rsidRPr="0031706B">
        <w:rPr>
          <w:rFonts w:cstheme="minorHAnsi"/>
          <w:sz w:val="24"/>
        </w:rPr>
        <w:t xml:space="preserve"> </w:t>
      </w:r>
      <w:r w:rsidR="00CE4A8A" w:rsidRPr="0031706B">
        <w:rPr>
          <w:rFonts w:cstheme="minorHAnsi"/>
          <w:sz w:val="24"/>
        </w:rPr>
        <w:t>for</w:t>
      </w:r>
      <w:r w:rsidRPr="0031706B">
        <w:rPr>
          <w:rFonts w:cstheme="minorHAnsi"/>
          <w:sz w:val="24"/>
        </w:rPr>
        <w:t xml:space="preserve"> each supply and demand slider, which are </w:t>
      </w:r>
      <w:r w:rsidR="00EF7A3A" w:rsidRPr="0031706B">
        <w:rPr>
          <w:rFonts w:cstheme="minorHAnsi"/>
          <w:sz w:val="24"/>
        </w:rPr>
        <w:t xml:space="preserve">all </w:t>
      </w:r>
      <w:r w:rsidRPr="0031706B">
        <w:rPr>
          <w:rFonts w:cstheme="minorHAnsi"/>
          <w:sz w:val="24"/>
        </w:rPr>
        <w:t>treated as directly comparable</w:t>
      </w:r>
      <w:r w:rsidR="00EF7A3A" w:rsidRPr="0031706B">
        <w:rPr>
          <w:rFonts w:cstheme="minorHAnsi"/>
          <w:sz w:val="24"/>
        </w:rPr>
        <w:t xml:space="preserve"> in their measures of ‘effort’</w:t>
      </w:r>
      <w:r w:rsidRPr="0031706B">
        <w:rPr>
          <w:rFonts w:cstheme="minorHAnsi"/>
          <w:sz w:val="24"/>
        </w:rPr>
        <w:t xml:space="preserve">. Assumptions are also made about high alignment indicating strong acceptability, such that an exact </w:t>
      </w:r>
      <w:proofErr w:type="gramStart"/>
      <w:r w:rsidRPr="0031706B">
        <w:rPr>
          <w:rFonts w:cstheme="minorHAnsi"/>
          <w:sz w:val="24"/>
        </w:rPr>
        <w:t>match</w:t>
      </w:r>
      <w:proofErr w:type="gramEnd"/>
      <w:r w:rsidRPr="0031706B">
        <w:rPr>
          <w:rFonts w:cstheme="minorHAnsi"/>
          <w:sz w:val="24"/>
        </w:rPr>
        <w:t xml:space="preserve"> between respondents’ preferences and DECC scenarios (as was illustrated for </w:t>
      </w:r>
      <w:r w:rsidR="00595912" w:rsidRPr="0031706B">
        <w:rPr>
          <w:rFonts w:cstheme="minorHAnsi"/>
          <w:i/>
          <w:sz w:val="24"/>
        </w:rPr>
        <w:t>‘</w:t>
      </w:r>
      <w:r w:rsidR="00122E8E" w:rsidRPr="0031706B">
        <w:rPr>
          <w:rFonts w:cstheme="minorHAnsi"/>
          <w:i/>
          <w:sz w:val="24"/>
        </w:rPr>
        <w:t>m</w:t>
      </w:r>
      <w:r w:rsidR="00D07AD5" w:rsidRPr="0031706B">
        <w:rPr>
          <w:rFonts w:cstheme="minorHAnsi"/>
          <w:i/>
          <w:sz w:val="24"/>
        </w:rPr>
        <w:t xml:space="preserve">anufacturing </w:t>
      </w:r>
      <w:r w:rsidR="00122E8E" w:rsidRPr="0031706B">
        <w:rPr>
          <w:rFonts w:cstheme="minorHAnsi"/>
          <w:i/>
          <w:sz w:val="24"/>
        </w:rPr>
        <w:t>g</w:t>
      </w:r>
      <w:r w:rsidR="00D07AD5" w:rsidRPr="0031706B">
        <w:rPr>
          <w:rFonts w:cstheme="minorHAnsi"/>
          <w:i/>
          <w:sz w:val="24"/>
        </w:rPr>
        <w:t>rowth</w:t>
      </w:r>
      <w:r w:rsidR="00595912" w:rsidRPr="0031706B">
        <w:rPr>
          <w:rFonts w:cstheme="minorHAnsi"/>
          <w:i/>
          <w:sz w:val="24"/>
        </w:rPr>
        <w:t>’</w:t>
      </w:r>
      <w:r w:rsidRPr="0031706B">
        <w:rPr>
          <w:rFonts w:cstheme="minorHAnsi"/>
          <w:sz w:val="24"/>
        </w:rPr>
        <w:t xml:space="preserve"> for instance) translates directly into public acceptability. Such simplifications however hide many qualitative factor</w:t>
      </w:r>
      <w:r w:rsidR="007B0C68" w:rsidRPr="0031706B">
        <w:rPr>
          <w:rFonts w:cstheme="minorHAnsi"/>
          <w:sz w:val="24"/>
        </w:rPr>
        <w:t xml:space="preserve">s that require closer scrutiny. </w:t>
      </w:r>
      <w:r w:rsidRPr="0031706B">
        <w:rPr>
          <w:rFonts w:cstheme="minorHAnsi"/>
          <w:sz w:val="24"/>
        </w:rPr>
        <w:t>For instance, social science literature shows the range of public opinion about different energy supply options (</w:t>
      </w:r>
      <w:proofErr w:type="spellStart"/>
      <w:r w:rsidRPr="0031706B">
        <w:rPr>
          <w:rFonts w:cstheme="minorHAnsi"/>
          <w:sz w:val="24"/>
        </w:rPr>
        <w:t>Pidgeon</w:t>
      </w:r>
      <w:proofErr w:type="spellEnd"/>
      <w:r w:rsidR="0037272D" w:rsidRPr="0031706B">
        <w:rPr>
          <w:rFonts w:cstheme="minorHAnsi"/>
          <w:sz w:val="24"/>
        </w:rPr>
        <w:t xml:space="preserve"> </w:t>
      </w:r>
      <w:r w:rsidR="0037272D" w:rsidRPr="0031706B">
        <w:rPr>
          <w:rFonts w:cstheme="minorHAnsi"/>
          <w:i/>
          <w:sz w:val="24"/>
        </w:rPr>
        <w:t>et al.</w:t>
      </w:r>
      <w:r w:rsidR="00070D9C" w:rsidRPr="0031706B">
        <w:rPr>
          <w:rFonts w:cstheme="minorHAnsi"/>
          <w:sz w:val="24"/>
        </w:rPr>
        <w:t xml:space="preserve">, </w:t>
      </w:r>
      <w:r w:rsidRPr="0031706B">
        <w:rPr>
          <w:rFonts w:cstheme="minorHAnsi"/>
          <w:sz w:val="24"/>
        </w:rPr>
        <w:t xml:space="preserve">2008; Corner </w:t>
      </w:r>
      <w:r w:rsidRPr="0031706B">
        <w:rPr>
          <w:rFonts w:cstheme="minorHAnsi"/>
          <w:i/>
          <w:sz w:val="24"/>
        </w:rPr>
        <w:t xml:space="preserve">et al., </w:t>
      </w:r>
      <w:r w:rsidRPr="0031706B">
        <w:rPr>
          <w:rFonts w:cstheme="minorHAnsi"/>
          <w:sz w:val="24"/>
        </w:rPr>
        <w:t xml:space="preserve">2011; </w:t>
      </w:r>
      <w:proofErr w:type="spellStart"/>
      <w:r w:rsidRPr="0031706B">
        <w:rPr>
          <w:rFonts w:cstheme="minorHAnsi"/>
          <w:sz w:val="24"/>
        </w:rPr>
        <w:t>Upham</w:t>
      </w:r>
      <w:proofErr w:type="spellEnd"/>
      <w:r w:rsidRPr="0031706B">
        <w:rPr>
          <w:rFonts w:cstheme="minorHAnsi"/>
          <w:sz w:val="24"/>
        </w:rPr>
        <w:t xml:space="preserve"> and Roberts, 2011; </w:t>
      </w:r>
      <w:proofErr w:type="spellStart"/>
      <w:r w:rsidRPr="0031706B">
        <w:rPr>
          <w:rFonts w:cstheme="minorHAnsi"/>
          <w:sz w:val="24"/>
        </w:rPr>
        <w:t>YouGov</w:t>
      </w:r>
      <w:proofErr w:type="spellEnd"/>
      <w:r w:rsidRPr="0031706B">
        <w:rPr>
          <w:rFonts w:cstheme="minorHAnsi"/>
          <w:sz w:val="24"/>
        </w:rPr>
        <w:t xml:space="preserve">, 2011), ranging from largely agnostic to frequently </w:t>
      </w:r>
      <w:proofErr w:type="spellStart"/>
      <w:r w:rsidRPr="0031706B">
        <w:rPr>
          <w:rFonts w:cstheme="minorHAnsi"/>
          <w:sz w:val="24"/>
        </w:rPr>
        <w:t>polarised</w:t>
      </w:r>
      <w:proofErr w:type="spellEnd"/>
      <w:r w:rsidRPr="0031706B">
        <w:rPr>
          <w:rFonts w:cstheme="minorHAnsi"/>
          <w:sz w:val="24"/>
        </w:rPr>
        <w:t xml:space="preserve">, with extensive networks of </w:t>
      </w:r>
      <w:proofErr w:type="spellStart"/>
      <w:r w:rsidRPr="0031706B">
        <w:rPr>
          <w:rFonts w:cstheme="minorHAnsi"/>
          <w:sz w:val="24"/>
        </w:rPr>
        <w:t>organised</w:t>
      </w:r>
      <w:proofErr w:type="spellEnd"/>
      <w:r w:rsidRPr="0031706B">
        <w:rPr>
          <w:rFonts w:cstheme="minorHAnsi"/>
          <w:sz w:val="24"/>
        </w:rPr>
        <w:t xml:space="preserve"> lobby groups both for and against some supply options (e.g. Stop New Nuclear, 2012 and Country Guardian, 2012). Additionally, high levels of public support for a technology, as frequently reported for onshore wind power for instance (Renewable UK, 2012), do not always translate to swift implementation of </w:t>
      </w:r>
      <w:r w:rsidRPr="0031706B">
        <w:rPr>
          <w:rFonts w:cstheme="minorHAnsi"/>
          <w:sz w:val="24"/>
        </w:rPr>
        <w:lastRenderedPageBreak/>
        <w:t>the same technology (Barclay, 2012)</w:t>
      </w:r>
      <w:r w:rsidR="003013EC" w:rsidRPr="0031706B">
        <w:rPr>
          <w:rFonts w:cstheme="minorHAnsi"/>
          <w:sz w:val="24"/>
        </w:rPr>
        <w:t>. This suggests</w:t>
      </w:r>
      <w:r w:rsidRPr="0031706B">
        <w:rPr>
          <w:rFonts w:cstheme="minorHAnsi"/>
          <w:sz w:val="24"/>
        </w:rPr>
        <w:t xml:space="preserve"> that public opinion is but one of many influences in a complex web of socio-political and economic considerations in implementing policy change (</w:t>
      </w:r>
      <w:proofErr w:type="spellStart"/>
      <w:r w:rsidRPr="0031706B">
        <w:rPr>
          <w:rFonts w:cstheme="minorHAnsi"/>
          <w:sz w:val="24"/>
        </w:rPr>
        <w:t>Whitmarsh</w:t>
      </w:r>
      <w:proofErr w:type="spellEnd"/>
      <w:r w:rsidR="00177C6D" w:rsidRPr="0031706B">
        <w:rPr>
          <w:rFonts w:cstheme="minorHAnsi"/>
          <w:sz w:val="24"/>
        </w:rPr>
        <w:t xml:space="preserve"> </w:t>
      </w:r>
      <w:r w:rsidR="00177C6D" w:rsidRPr="0031706B">
        <w:rPr>
          <w:rFonts w:cstheme="minorHAnsi"/>
          <w:i/>
          <w:sz w:val="24"/>
        </w:rPr>
        <w:t>et al.</w:t>
      </w:r>
      <w:r w:rsidR="008108C5" w:rsidRPr="0031706B">
        <w:rPr>
          <w:rFonts w:cstheme="minorHAnsi"/>
          <w:sz w:val="24"/>
        </w:rPr>
        <w:t>,</w:t>
      </w:r>
      <w:r w:rsidR="008108C5" w:rsidRPr="0031706B">
        <w:rPr>
          <w:rFonts w:cstheme="minorHAnsi"/>
          <w:sz w:val="20"/>
          <w:szCs w:val="20"/>
        </w:rPr>
        <w:t xml:space="preserve"> </w:t>
      </w:r>
      <w:r w:rsidRPr="0031706B">
        <w:rPr>
          <w:rFonts w:cstheme="minorHAnsi"/>
          <w:sz w:val="24"/>
        </w:rPr>
        <w:t xml:space="preserve">2011). Such complexities need to be accounted for when testing public acceptability of government options </w:t>
      </w:r>
      <w:r w:rsidR="006B1147" w:rsidRPr="0031706B">
        <w:rPr>
          <w:rFonts w:cstheme="minorHAnsi"/>
          <w:sz w:val="24"/>
        </w:rPr>
        <w:t xml:space="preserve">in order </w:t>
      </w:r>
      <w:r w:rsidRPr="0031706B">
        <w:rPr>
          <w:rFonts w:cstheme="minorHAnsi"/>
          <w:sz w:val="24"/>
        </w:rPr>
        <w:t xml:space="preserve">to avoid over-simplification. </w:t>
      </w:r>
    </w:p>
    <w:p w14:paraId="115D3B31" w14:textId="77777777" w:rsidR="00B6359F" w:rsidRPr="0031706B" w:rsidRDefault="00B6359F" w:rsidP="0032732C">
      <w:pPr>
        <w:spacing w:after="0" w:line="480" w:lineRule="auto"/>
        <w:rPr>
          <w:rFonts w:cstheme="minorHAnsi"/>
          <w:sz w:val="24"/>
        </w:rPr>
      </w:pPr>
    </w:p>
    <w:p w14:paraId="3A889D0A" w14:textId="201E2A19" w:rsidR="008108C5" w:rsidRPr="0031706B" w:rsidRDefault="005F3507" w:rsidP="00F56E7B">
      <w:pPr>
        <w:pStyle w:val="ListParagraph"/>
        <w:numPr>
          <w:ilvl w:val="0"/>
          <w:numId w:val="30"/>
        </w:numPr>
        <w:spacing w:line="480" w:lineRule="auto"/>
        <w:rPr>
          <w:rFonts w:asciiTheme="minorHAnsi" w:hAnsiTheme="minorHAnsi" w:cstheme="minorHAnsi"/>
          <w:b/>
        </w:rPr>
      </w:pPr>
      <w:r w:rsidRPr="0031706B">
        <w:rPr>
          <w:rFonts w:asciiTheme="minorHAnsi" w:hAnsiTheme="minorHAnsi" w:cstheme="minorHAnsi"/>
          <w:b/>
        </w:rPr>
        <w:t>Conclusions and policy implications</w:t>
      </w:r>
    </w:p>
    <w:p w14:paraId="4C350298" w14:textId="46EBDD14" w:rsidR="00122E8E" w:rsidRPr="0031706B" w:rsidRDefault="00AD1580" w:rsidP="0032732C">
      <w:pPr>
        <w:spacing w:after="0" w:line="480" w:lineRule="auto"/>
        <w:rPr>
          <w:rFonts w:cstheme="minorHAnsi"/>
          <w:sz w:val="24"/>
        </w:rPr>
      </w:pPr>
      <w:r w:rsidRPr="0031706B">
        <w:rPr>
          <w:rFonts w:cstheme="minorHAnsi"/>
          <w:sz w:val="24"/>
        </w:rPr>
        <w:t xml:space="preserve">The ‘My2050’ simulation was developed </w:t>
      </w:r>
      <w:r w:rsidR="00066EF9" w:rsidRPr="0031706B">
        <w:rPr>
          <w:rFonts w:cstheme="minorHAnsi"/>
          <w:sz w:val="24"/>
        </w:rPr>
        <w:t xml:space="preserve">to enable DECC to </w:t>
      </w:r>
      <w:r w:rsidR="00066EF9" w:rsidRPr="0031706B">
        <w:rPr>
          <w:sz w:val="24"/>
        </w:rPr>
        <w:t xml:space="preserve">‘engage in an open and transparent debate around the choices and trade-offs the United Kingdom faces to reach the 2050 emissions reduction </w:t>
      </w:r>
      <w:proofErr w:type="spellStart"/>
      <w:r w:rsidR="00066EF9" w:rsidRPr="0031706B">
        <w:rPr>
          <w:sz w:val="24"/>
        </w:rPr>
        <w:t>target’</w:t>
      </w:r>
      <w:r w:rsidR="00D07AD5" w:rsidRPr="0031706B">
        <w:rPr>
          <w:sz w:val="24"/>
          <w:vertAlign w:val="superscript"/>
        </w:rPr>
        <w:fldChar w:fldCharType="begin"/>
      </w:r>
      <w:r w:rsidR="00D07AD5" w:rsidRPr="0031706B">
        <w:rPr>
          <w:sz w:val="24"/>
          <w:vertAlign w:val="superscript"/>
        </w:rPr>
        <w:instrText xml:space="preserve"> NOTEREF _Ref361325073 \h  \* MERGEFORMAT </w:instrText>
      </w:r>
      <w:r w:rsidR="00D07AD5" w:rsidRPr="0031706B">
        <w:rPr>
          <w:sz w:val="24"/>
          <w:vertAlign w:val="superscript"/>
        </w:rPr>
      </w:r>
      <w:r w:rsidR="00D07AD5" w:rsidRPr="0031706B">
        <w:rPr>
          <w:sz w:val="24"/>
          <w:vertAlign w:val="superscript"/>
        </w:rPr>
        <w:fldChar w:fldCharType="separate"/>
      </w:r>
      <w:r w:rsidR="00D07AD5" w:rsidRPr="0031706B">
        <w:rPr>
          <w:sz w:val="24"/>
          <w:vertAlign w:val="superscript"/>
        </w:rPr>
        <w:t>iv</w:t>
      </w:r>
      <w:proofErr w:type="spellEnd"/>
      <w:r w:rsidR="00D07AD5" w:rsidRPr="0031706B">
        <w:rPr>
          <w:sz w:val="24"/>
          <w:vertAlign w:val="superscript"/>
        </w:rPr>
        <w:fldChar w:fldCharType="end"/>
      </w:r>
      <w:r w:rsidR="00D07AD5" w:rsidRPr="0031706B">
        <w:rPr>
          <w:sz w:val="24"/>
        </w:rPr>
        <w:t xml:space="preserve">. </w:t>
      </w:r>
      <w:r w:rsidR="00066EF9" w:rsidRPr="0031706B">
        <w:rPr>
          <w:sz w:val="24"/>
        </w:rPr>
        <w:t>Assessing</w:t>
      </w:r>
      <w:r w:rsidR="00D07AD5" w:rsidRPr="0031706B">
        <w:rPr>
          <w:sz w:val="24"/>
        </w:rPr>
        <w:t xml:space="preserve">, and trying to quantify, </w:t>
      </w:r>
      <w:r w:rsidR="00066EF9" w:rsidRPr="0031706B">
        <w:rPr>
          <w:sz w:val="24"/>
        </w:rPr>
        <w:t>public opinion on such issues, while not a stated aim of this simulation, may be a useful contribution to such a debate.</w:t>
      </w:r>
      <w:r w:rsidRPr="0031706B">
        <w:rPr>
          <w:rFonts w:cstheme="minorHAnsi"/>
          <w:sz w:val="24"/>
        </w:rPr>
        <w:t xml:space="preserve"> </w:t>
      </w:r>
      <w:r w:rsidR="003013EC" w:rsidRPr="0031706B">
        <w:rPr>
          <w:rFonts w:cstheme="minorHAnsi"/>
          <w:sz w:val="24"/>
        </w:rPr>
        <w:t xml:space="preserve">If interactive simulations such as ‘My2050’ are to play a significant role in future assessments of public opinion, then more sophisticated analytical models will be required to try and determine the public acceptability of government proposals before any definitive conclusions can be reached.  It would be </w:t>
      </w:r>
      <w:r w:rsidR="00D07AD5" w:rsidRPr="0031706B">
        <w:rPr>
          <w:rFonts w:cstheme="minorHAnsi"/>
          <w:sz w:val="24"/>
        </w:rPr>
        <w:t xml:space="preserve">essential </w:t>
      </w:r>
      <w:r w:rsidR="003013EC" w:rsidRPr="0031706B">
        <w:rPr>
          <w:rFonts w:cstheme="minorHAnsi"/>
          <w:sz w:val="24"/>
        </w:rPr>
        <w:t>for this to incorporate qualitative as well as quantitative data in order to verify that interpretations of the expressed preferences were correct</w:t>
      </w:r>
      <w:r w:rsidR="00D07AD5" w:rsidRPr="0031706B">
        <w:rPr>
          <w:rFonts w:cstheme="minorHAnsi"/>
          <w:sz w:val="24"/>
        </w:rPr>
        <w:t>, and/or to explore misunderstandings or uncertainties as to the meanings and implications of the sliders and their settings</w:t>
      </w:r>
      <w:r w:rsidR="003013EC" w:rsidRPr="0031706B">
        <w:rPr>
          <w:rFonts w:cstheme="minorHAnsi"/>
          <w:sz w:val="24"/>
        </w:rPr>
        <w:t>.</w:t>
      </w:r>
      <w:r w:rsidR="00122E8E" w:rsidRPr="0031706B">
        <w:rPr>
          <w:rFonts w:cstheme="minorHAnsi"/>
          <w:sz w:val="24"/>
        </w:rPr>
        <w:t xml:space="preserve">  It would also be helpful to test aspects of the design of the tool, particularly the phrasing of the effort descriptions, for any untoward priming or framing effects.</w:t>
      </w:r>
    </w:p>
    <w:p w14:paraId="35EE0C68" w14:textId="77777777" w:rsidR="00122E8E" w:rsidRPr="0031706B" w:rsidRDefault="00122E8E" w:rsidP="0032732C">
      <w:pPr>
        <w:spacing w:after="0" w:line="480" w:lineRule="auto"/>
        <w:rPr>
          <w:rFonts w:cstheme="minorHAnsi"/>
          <w:sz w:val="24"/>
        </w:rPr>
      </w:pPr>
    </w:p>
    <w:p w14:paraId="283E5DC4" w14:textId="33FAC0A6" w:rsidR="003013EC" w:rsidRPr="0031706B" w:rsidRDefault="003013EC" w:rsidP="0032732C">
      <w:pPr>
        <w:spacing w:after="0" w:line="480" w:lineRule="auto"/>
        <w:rPr>
          <w:rFonts w:cstheme="minorHAnsi"/>
          <w:sz w:val="24"/>
        </w:rPr>
      </w:pPr>
      <w:r w:rsidRPr="0031706B">
        <w:rPr>
          <w:rFonts w:cstheme="minorHAnsi"/>
          <w:sz w:val="24"/>
        </w:rPr>
        <w:lastRenderedPageBreak/>
        <w:t xml:space="preserve">The use of the </w:t>
      </w:r>
      <w:r w:rsidR="00D6445C" w:rsidRPr="0031706B">
        <w:rPr>
          <w:rFonts w:cstheme="minorHAnsi"/>
          <w:sz w:val="24"/>
        </w:rPr>
        <w:t>web-</w:t>
      </w:r>
      <w:r w:rsidRPr="0031706B">
        <w:rPr>
          <w:rFonts w:cstheme="minorHAnsi"/>
          <w:sz w:val="24"/>
        </w:rPr>
        <w:t xml:space="preserve">tool as a means to assess the alignment of public opinion with </w:t>
      </w:r>
      <w:r w:rsidR="004E0CBC" w:rsidRPr="0031706B">
        <w:rPr>
          <w:rFonts w:cstheme="minorHAnsi"/>
          <w:sz w:val="24"/>
        </w:rPr>
        <w:t>DECC’s three scenarios</w:t>
      </w:r>
      <w:r w:rsidRPr="0031706B">
        <w:rPr>
          <w:rFonts w:cstheme="minorHAnsi"/>
          <w:sz w:val="24"/>
        </w:rPr>
        <w:t xml:space="preserve"> was compromised by </w:t>
      </w:r>
      <w:r w:rsidR="004E0CBC" w:rsidRPr="0031706B">
        <w:rPr>
          <w:rFonts w:cstheme="minorHAnsi"/>
          <w:sz w:val="24"/>
        </w:rPr>
        <w:t xml:space="preserve">its simplification of </w:t>
      </w:r>
      <w:r w:rsidR="00B1186A" w:rsidRPr="0031706B">
        <w:rPr>
          <w:rFonts w:cstheme="minorHAnsi"/>
          <w:sz w:val="24"/>
        </w:rPr>
        <w:t xml:space="preserve">options (as the scenarios are illustrated through the DECC pathways calculator with over </w:t>
      </w:r>
      <w:r w:rsidR="002B6019" w:rsidRPr="0031706B">
        <w:rPr>
          <w:rFonts w:cstheme="minorHAnsi"/>
          <w:sz w:val="24"/>
        </w:rPr>
        <w:t xml:space="preserve">forty </w:t>
      </w:r>
      <w:r w:rsidR="00642F7E" w:rsidRPr="0031706B">
        <w:rPr>
          <w:rFonts w:cstheme="minorHAnsi"/>
          <w:sz w:val="24"/>
        </w:rPr>
        <w:t>different issues t</w:t>
      </w:r>
      <w:r w:rsidR="002B6019" w:rsidRPr="0031706B">
        <w:rPr>
          <w:rFonts w:cstheme="minorHAnsi"/>
          <w:sz w:val="24"/>
        </w:rPr>
        <w:t>o</w:t>
      </w:r>
      <w:r w:rsidR="00642F7E" w:rsidRPr="0031706B">
        <w:rPr>
          <w:rFonts w:cstheme="minorHAnsi"/>
          <w:sz w:val="24"/>
        </w:rPr>
        <w:t xml:space="preserve"> manipulate</w:t>
      </w:r>
      <w:r w:rsidR="00B1186A" w:rsidRPr="0031706B">
        <w:rPr>
          <w:rFonts w:cstheme="minorHAnsi"/>
          <w:sz w:val="24"/>
        </w:rPr>
        <w:t>, while the simulation contains only fourteen options)</w:t>
      </w:r>
      <w:r w:rsidRPr="0031706B">
        <w:rPr>
          <w:rFonts w:cstheme="minorHAnsi"/>
          <w:sz w:val="24"/>
        </w:rPr>
        <w:t xml:space="preserve">.  </w:t>
      </w:r>
      <w:r w:rsidR="00B1186A" w:rsidRPr="0031706B">
        <w:rPr>
          <w:rFonts w:cstheme="minorHAnsi"/>
          <w:sz w:val="24"/>
        </w:rPr>
        <w:t>F</w:t>
      </w:r>
      <w:r w:rsidRPr="0031706B">
        <w:rPr>
          <w:rFonts w:cstheme="minorHAnsi"/>
          <w:sz w:val="24"/>
        </w:rPr>
        <w:t>uture research could separate the initial stage of calculating alignment between pathways from subsequent assumptions about acceptability of different government scenarios. This latter stage</w:t>
      </w:r>
      <w:r w:rsidR="00B1186A" w:rsidRPr="0031706B">
        <w:rPr>
          <w:rFonts w:cstheme="minorHAnsi"/>
          <w:sz w:val="24"/>
        </w:rPr>
        <w:t xml:space="preserve"> </w:t>
      </w:r>
      <w:r w:rsidRPr="0031706B">
        <w:rPr>
          <w:rFonts w:cstheme="minorHAnsi"/>
          <w:sz w:val="24"/>
        </w:rPr>
        <w:t xml:space="preserve">could then </w:t>
      </w:r>
      <w:proofErr w:type="spellStart"/>
      <w:r w:rsidRPr="0031706B">
        <w:rPr>
          <w:rFonts w:cstheme="minorHAnsi"/>
          <w:sz w:val="24"/>
        </w:rPr>
        <w:t>utilise</w:t>
      </w:r>
      <w:proofErr w:type="spellEnd"/>
      <w:r w:rsidRPr="0031706B">
        <w:rPr>
          <w:rFonts w:cstheme="minorHAnsi"/>
          <w:sz w:val="24"/>
        </w:rPr>
        <w:t xml:space="preserve"> a m</w:t>
      </w:r>
      <w:r w:rsidR="00B1186A" w:rsidRPr="0031706B">
        <w:rPr>
          <w:rFonts w:cstheme="minorHAnsi"/>
          <w:sz w:val="24"/>
        </w:rPr>
        <w:t>ixed-methods</w:t>
      </w:r>
      <w:r w:rsidRPr="0031706B">
        <w:rPr>
          <w:rFonts w:cstheme="minorHAnsi"/>
          <w:sz w:val="24"/>
        </w:rPr>
        <w:t xml:space="preserve"> approach to capture the qualitative factors that also influence policy acceptability.  It is clear</w:t>
      </w:r>
      <w:r w:rsidR="00626FC2" w:rsidRPr="0031706B">
        <w:rPr>
          <w:rFonts w:cstheme="minorHAnsi"/>
          <w:sz w:val="24"/>
        </w:rPr>
        <w:t>,</w:t>
      </w:r>
      <w:r w:rsidRPr="0031706B">
        <w:rPr>
          <w:rFonts w:cstheme="minorHAnsi"/>
          <w:sz w:val="24"/>
        </w:rPr>
        <w:t xml:space="preserve"> however, that this simulation-based approach does have the opportunity both to reflect significant variation in opinion (as indicated by the vast majority of responses being unique), and to identify patterns within these variations.  However, in the way that the </w:t>
      </w:r>
      <w:r w:rsidR="00D6445C" w:rsidRPr="0031706B">
        <w:rPr>
          <w:rFonts w:cstheme="minorHAnsi"/>
          <w:sz w:val="24"/>
        </w:rPr>
        <w:t>web-</w:t>
      </w:r>
      <w:r w:rsidRPr="0031706B">
        <w:rPr>
          <w:rFonts w:cstheme="minorHAnsi"/>
          <w:sz w:val="24"/>
        </w:rPr>
        <w:t xml:space="preserve">tool was deployed in this instance, the validity of the responses is somewhat questionable.  Where better attempts can be made to identify the motivations for and context of participation, and where better socio-demographic data and more detailed qualitative feedback can be gathered, we conclude that this type of method has a significant and valuable part to play both in education around climate and energy issues, </w:t>
      </w:r>
      <w:r w:rsidR="00595912" w:rsidRPr="0031706B">
        <w:rPr>
          <w:rFonts w:cstheme="minorHAnsi"/>
          <w:sz w:val="24"/>
        </w:rPr>
        <w:t xml:space="preserve">and </w:t>
      </w:r>
      <w:r w:rsidRPr="0031706B">
        <w:rPr>
          <w:rFonts w:cstheme="minorHAnsi"/>
          <w:sz w:val="24"/>
        </w:rPr>
        <w:t>also in assessing public opinions.</w:t>
      </w:r>
    </w:p>
    <w:p w14:paraId="7B9FF274" w14:textId="77777777" w:rsidR="00693101" w:rsidRPr="0031706B" w:rsidRDefault="00693101" w:rsidP="0032732C">
      <w:pPr>
        <w:spacing w:after="0" w:line="480" w:lineRule="auto"/>
        <w:rPr>
          <w:rFonts w:cstheme="minorHAnsi"/>
          <w:sz w:val="24"/>
        </w:rPr>
      </w:pPr>
      <w:r w:rsidRPr="0031706B">
        <w:rPr>
          <w:rFonts w:cstheme="minorHAnsi"/>
          <w:sz w:val="24"/>
        </w:rPr>
        <w:br w:type="page"/>
      </w:r>
    </w:p>
    <w:p w14:paraId="42254C91" w14:textId="77777777" w:rsidR="008268B2" w:rsidRPr="0031706B" w:rsidRDefault="006B1147" w:rsidP="0032732C">
      <w:pPr>
        <w:spacing w:after="0" w:line="480" w:lineRule="auto"/>
        <w:rPr>
          <w:rFonts w:cstheme="minorHAnsi"/>
          <w:b/>
          <w:sz w:val="24"/>
        </w:rPr>
      </w:pPr>
      <w:r w:rsidRPr="0031706B">
        <w:rPr>
          <w:rFonts w:cstheme="minorHAnsi"/>
          <w:b/>
          <w:sz w:val="24"/>
        </w:rPr>
        <w:lastRenderedPageBreak/>
        <w:t>Acknowledgements</w:t>
      </w:r>
    </w:p>
    <w:p w14:paraId="46FB7361" w14:textId="0A6DA2AD" w:rsidR="008268B2" w:rsidRPr="0031706B" w:rsidRDefault="008B1E3A" w:rsidP="0032732C">
      <w:pPr>
        <w:spacing w:after="0" w:line="480" w:lineRule="auto"/>
        <w:rPr>
          <w:rFonts w:eastAsiaTheme="majorEastAsia" w:cstheme="minorHAnsi"/>
          <w:b/>
          <w:bCs/>
          <w:color w:val="365F91" w:themeColor="accent1" w:themeShade="BF"/>
          <w:sz w:val="24"/>
        </w:rPr>
      </w:pPr>
      <w:r w:rsidRPr="0031706B">
        <w:rPr>
          <w:rFonts w:cstheme="minorHAnsi"/>
          <w:sz w:val="24"/>
        </w:rPr>
        <w:t xml:space="preserve">This work was carried out as part of an MSc in Environmental Consultancy at the University of the West of England, Bristol. </w:t>
      </w:r>
      <w:r w:rsidR="006B1147" w:rsidRPr="0031706B">
        <w:rPr>
          <w:rFonts w:cstheme="minorHAnsi"/>
          <w:sz w:val="24"/>
        </w:rPr>
        <w:t xml:space="preserve">The authors would like to thank Jan </w:t>
      </w:r>
      <w:proofErr w:type="spellStart"/>
      <w:r w:rsidR="006B1147" w:rsidRPr="0031706B">
        <w:rPr>
          <w:rFonts w:cstheme="minorHAnsi"/>
          <w:sz w:val="24"/>
        </w:rPr>
        <w:t>Kiso</w:t>
      </w:r>
      <w:proofErr w:type="spellEnd"/>
      <w:r w:rsidR="006B1147" w:rsidRPr="0031706B">
        <w:rPr>
          <w:rFonts w:cstheme="minorHAnsi"/>
          <w:sz w:val="24"/>
        </w:rPr>
        <w:t xml:space="preserve">, Tom </w:t>
      </w:r>
      <w:proofErr w:type="spellStart"/>
      <w:r w:rsidR="006B1147" w:rsidRPr="0031706B">
        <w:rPr>
          <w:rFonts w:cstheme="minorHAnsi"/>
          <w:sz w:val="24"/>
        </w:rPr>
        <w:t>Counsell</w:t>
      </w:r>
      <w:proofErr w:type="spellEnd"/>
      <w:r w:rsidR="006B1147" w:rsidRPr="0031706B">
        <w:rPr>
          <w:rFonts w:cstheme="minorHAnsi"/>
          <w:sz w:val="24"/>
        </w:rPr>
        <w:t xml:space="preserve"> and </w:t>
      </w:r>
      <w:r w:rsidRPr="0031706B">
        <w:rPr>
          <w:rFonts w:cstheme="minorHAnsi"/>
          <w:sz w:val="24"/>
        </w:rPr>
        <w:t>the rest of the 2050 team at the Department of Energy and Climate Change for the provision of data and support in undertaking the project</w:t>
      </w:r>
      <w:r w:rsidR="00177C6D" w:rsidRPr="0031706B">
        <w:rPr>
          <w:rFonts w:cstheme="minorHAnsi"/>
          <w:sz w:val="24"/>
        </w:rPr>
        <w:t xml:space="preserve"> as well as</w:t>
      </w:r>
      <w:r w:rsidRPr="0031706B">
        <w:rPr>
          <w:rFonts w:cstheme="minorHAnsi"/>
          <w:sz w:val="24"/>
        </w:rPr>
        <w:t xml:space="preserve"> the (anonymous) panel of experts who participated in the interviews </w:t>
      </w:r>
      <w:r w:rsidR="00CB57E3" w:rsidRPr="0031706B">
        <w:rPr>
          <w:rFonts w:cstheme="minorHAnsi"/>
          <w:sz w:val="24"/>
        </w:rPr>
        <w:t>that complemented this research</w:t>
      </w:r>
      <w:r w:rsidRPr="0031706B">
        <w:rPr>
          <w:rFonts w:cstheme="minorHAnsi"/>
          <w:sz w:val="24"/>
        </w:rPr>
        <w:t>.</w:t>
      </w:r>
      <w:r w:rsidR="00177C6D" w:rsidRPr="0031706B">
        <w:rPr>
          <w:rFonts w:cstheme="minorHAnsi"/>
          <w:sz w:val="24"/>
        </w:rPr>
        <w:t xml:space="preserve">  We are also very grateful for the helpful comments from the paper </w:t>
      </w:r>
      <w:proofErr w:type="gramStart"/>
      <w:r w:rsidR="00177C6D" w:rsidRPr="0031706B">
        <w:rPr>
          <w:rFonts w:cstheme="minorHAnsi"/>
          <w:sz w:val="24"/>
        </w:rPr>
        <w:t>reviewers,</w:t>
      </w:r>
      <w:proofErr w:type="gramEnd"/>
      <w:r w:rsidR="00177C6D" w:rsidRPr="0031706B">
        <w:rPr>
          <w:rFonts w:cstheme="minorHAnsi"/>
          <w:sz w:val="24"/>
        </w:rPr>
        <w:t xml:space="preserve"> and to Paul White and Deirdre </w:t>
      </w:r>
      <w:proofErr w:type="spellStart"/>
      <w:r w:rsidR="00177C6D" w:rsidRPr="0031706B">
        <w:rPr>
          <w:rFonts w:cstheme="minorHAnsi"/>
          <w:sz w:val="24"/>
        </w:rPr>
        <w:t>Toher</w:t>
      </w:r>
      <w:proofErr w:type="spellEnd"/>
      <w:r w:rsidR="00177C6D" w:rsidRPr="0031706B">
        <w:rPr>
          <w:rFonts w:cstheme="minorHAnsi"/>
          <w:sz w:val="24"/>
        </w:rPr>
        <w:t xml:space="preserve"> at UWE for their statistical advice.</w:t>
      </w:r>
      <w:bookmarkStart w:id="34" w:name="_Toc193708837"/>
      <w:r w:rsidR="008268B2" w:rsidRPr="0031706B">
        <w:rPr>
          <w:rFonts w:cstheme="minorHAnsi"/>
          <w:sz w:val="24"/>
        </w:rPr>
        <w:br w:type="page"/>
      </w:r>
    </w:p>
    <w:p w14:paraId="37863DB6" w14:textId="629BF70E" w:rsidR="008268B2" w:rsidRPr="0031706B" w:rsidRDefault="008268B2" w:rsidP="0032732C">
      <w:pPr>
        <w:pStyle w:val="Heading1"/>
        <w:spacing w:before="0" w:line="480" w:lineRule="auto"/>
        <w:rPr>
          <w:rFonts w:asciiTheme="minorHAnsi" w:hAnsiTheme="minorHAnsi" w:cstheme="minorHAnsi"/>
          <w:color w:val="auto"/>
          <w:sz w:val="24"/>
          <w:szCs w:val="24"/>
        </w:rPr>
      </w:pPr>
      <w:r w:rsidRPr="0031706B">
        <w:rPr>
          <w:rFonts w:asciiTheme="minorHAnsi" w:hAnsiTheme="minorHAnsi" w:cstheme="minorHAnsi"/>
          <w:color w:val="auto"/>
          <w:sz w:val="24"/>
          <w:szCs w:val="24"/>
        </w:rPr>
        <w:lastRenderedPageBreak/>
        <w:t>R</w:t>
      </w:r>
      <w:bookmarkEnd w:id="34"/>
      <w:r w:rsidR="00EF2280">
        <w:rPr>
          <w:rFonts w:asciiTheme="minorHAnsi" w:hAnsiTheme="minorHAnsi" w:cstheme="minorHAnsi"/>
          <w:color w:val="auto"/>
          <w:sz w:val="24"/>
          <w:szCs w:val="24"/>
        </w:rPr>
        <w:t>eferences</w:t>
      </w:r>
    </w:p>
    <w:p w14:paraId="33FA310E" w14:textId="77777777" w:rsidR="008268B2" w:rsidRPr="0031706B" w:rsidRDefault="008268B2" w:rsidP="0032732C">
      <w:pPr>
        <w:spacing w:after="0" w:line="480" w:lineRule="auto"/>
        <w:rPr>
          <w:rFonts w:cstheme="minorHAnsi"/>
          <w:color w:val="000000"/>
          <w:sz w:val="20"/>
          <w:szCs w:val="20"/>
        </w:rPr>
      </w:pPr>
      <w:r w:rsidRPr="0031706B">
        <w:rPr>
          <w:rFonts w:cstheme="minorHAnsi"/>
          <w:sz w:val="20"/>
          <w:szCs w:val="20"/>
        </w:rPr>
        <w:t xml:space="preserve">Barclay, C. (2012) </w:t>
      </w:r>
      <w:r w:rsidRPr="0031706B">
        <w:rPr>
          <w:rFonts w:cstheme="minorHAnsi"/>
          <w:i/>
          <w:sz w:val="20"/>
          <w:szCs w:val="20"/>
        </w:rPr>
        <w:t>Consent for wind farms – onshore</w:t>
      </w:r>
      <w:r w:rsidRPr="0031706B">
        <w:rPr>
          <w:rFonts w:cstheme="minorHAnsi"/>
          <w:sz w:val="20"/>
          <w:szCs w:val="20"/>
        </w:rPr>
        <w:t xml:space="preserve"> [online]</w:t>
      </w:r>
      <w:r w:rsidRPr="0031706B">
        <w:rPr>
          <w:rFonts w:cstheme="minorHAnsi"/>
          <w:i/>
          <w:sz w:val="20"/>
          <w:szCs w:val="20"/>
        </w:rPr>
        <w:t>.</w:t>
      </w:r>
      <w:r w:rsidRPr="0031706B">
        <w:rPr>
          <w:rFonts w:cstheme="minorHAnsi"/>
          <w:sz w:val="20"/>
          <w:szCs w:val="20"/>
        </w:rPr>
        <w:t xml:space="preserve"> </w:t>
      </w:r>
      <w:proofErr w:type="gramStart"/>
      <w:r w:rsidRPr="0031706B">
        <w:rPr>
          <w:rFonts w:cstheme="minorHAnsi"/>
          <w:sz w:val="20"/>
          <w:szCs w:val="20"/>
        </w:rPr>
        <w:t xml:space="preserve">House of Commons Library Standard Note </w:t>
      </w:r>
      <w:r w:rsidRPr="0031706B">
        <w:rPr>
          <w:rFonts w:cstheme="minorHAnsi"/>
          <w:color w:val="000000"/>
          <w:sz w:val="20"/>
          <w:szCs w:val="20"/>
        </w:rPr>
        <w:t>SN/SC/4370.</w:t>
      </w:r>
      <w:proofErr w:type="gramEnd"/>
      <w:r w:rsidRPr="0031706B">
        <w:rPr>
          <w:rFonts w:cstheme="minorHAnsi"/>
          <w:color w:val="000000"/>
          <w:sz w:val="20"/>
          <w:szCs w:val="20"/>
        </w:rPr>
        <w:t xml:space="preserve"> Available from: </w:t>
      </w:r>
      <w:hyperlink r:id="rId21" w:history="1">
        <w:r w:rsidRPr="0031706B">
          <w:rPr>
            <w:rStyle w:val="Hyperlink"/>
            <w:rFonts w:cstheme="minorHAnsi"/>
            <w:sz w:val="20"/>
            <w:szCs w:val="20"/>
          </w:rPr>
          <w:t>http://www.parliament.uk/briefing-papers/SN04370</w:t>
        </w:r>
      </w:hyperlink>
      <w:r w:rsidRPr="0031706B">
        <w:rPr>
          <w:rFonts w:cstheme="minorHAnsi"/>
          <w:color w:val="000000"/>
          <w:sz w:val="20"/>
          <w:szCs w:val="20"/>
        </w:rPr>
        <w:t xml:space="preserve"> [Accessed 26 February 2012].</w:t>
      </w:r>
    </w:p>
    <w:p w14:paraId="3B41C31E" w14:textId="77777777" w:rsidR="008268B2" w:rsidRPr="0031706B" w:rsidRDefault="00911F3C" w:rsidP="0032732C">
      <w:pPr>
        <w:spacing w:after="0" w:line="480" w:lineRule="auto"/>
        <w:rPr>
          <w:rFonts w:cstheme="minorHAnsi"/>
          <w:sz w:val="20"/>
          <w:szCs w:val="20"/>
        </w:rPr>
      </w:pPr>
      <w:r w:rsidRPr="0031706B">
        <w:rPr>
          <w:rFonts w:cstheme="minorHAnsi"/>
          <w:sz w:val="20"/>
          <w:szCs w:val="20"/>
        </w:rPr>
        <w:t xml:space="preserve">Castell, S. (2010) </w:t>
      </w:r>
      <w:proofErr w:type="gramStart"/>
      <w:r w:rsidRPr="0031706B">
        <w:rPr>
          <w:rFonts w:cstheme="minorHAnsi"/>
          <w:i/>
          <w:sz w:val="20"/>
          <w:szCs w:val="20"/>
        </w:rPr>
        <w:t>What</w:t>
      </w:r>
      <w:proofErr w:type="gramEnd"/>
      <w:r w:rsidRPr="0031706B">
        <w:rPr>
          <w:rFonts w:cstheme="minorHAnsi"/>
          <w:i/>
          <w:sz w:val="20"/>
          <w:szCs w:val="20"/>
        </w:rPr>
        <w:t xml:space="preserve"> the public say about designing climate change and low carbon interventions </w:t>
      </w:r>
      <w:r w:rsidRPr="0031706B">
        <w:rPr>
          <w:rFonts w:cstheme="minorHAnsi"/>
          <w:sz w:val="20"/>
          <w:szCs w:val="20"/>
        </w:rPr>
        <w:t>[online]</w:t>
      </w:r>
      <w:r w:rsidRPr="0031706B">
        <w:rPr>
          <w:rFonts w:cstheme="minorHAnsi"/>
          <w:i/>
          <w:sz w:val="20"/>
          <w:szCs w:val="20"/>
        </w:rPr>
        <w:t>.</w:t>
      </w:r>
      <w:r w:rsidRPr="0031706B">
        <w:rPr>
          <w:rFonts w:cstheme="minorHAnsi"/>
          <w:sz w:val="20"/>
          <w:szCs w:val="20"/>
        </w:rPr>
        <w:t xml:space="preserve"> London: </w:t>
      </w:r>
      <w:proofErr w:type="spellStart"/>
      <w:r w:rsidRPr="0031706B">
        <w:rPr>
          <w:rFonts w:cstheme="minorHAnsi"/>
          <w:sz w:val="20"/>
          <w:szCs w:val="20"/>
        </w:rPr>
        <w:t>Sciencewise</w:t>
      </w:r>
      <w:proofErr w:type="spellEnd"/>
      <w:r w:rsidRPr="0031706B">
        <w:rPr>
          <w:rFonts w:cstheme="minorHAnsi"/>
          <w:sz w:val="20"/>
          <w:szCs w:val="20"/>
        </w:rPr>
        <w:t xml:space="preserve"> Expert Resource Centre, Department for Business Innovation and Skills. Available from: </w:t>
      </w:r>
      <w:hyperlink r:id="rId22" w:history="1">
        <w:r w:rsidRPr="0031706B">
          <w:rPr>
            <w:rStyle w:val="Hyperlink"/>
            <w:rFonts w:cstheme="minorHAnsi"/>
            <w:sz w:val="20"/>
            <w:szCs w:val="20"/>
          </w:rPr>
          <w:t>http://www.sciencewise-erc.org.uk/cms/assets/Uploads/Publications/What-the-public-say-about-climate-change.pdf</w:t>
        </w:r>
      </w:hyperlink>
      <w:r w:rsidRPr="0031706B">
        <w:rPr>
          <w:rFonts w:cstheme="minorHAnsi"/>
          <w:sz w:val="20"/>
          <w:szCs w:val="20"/>
        </w:rPr>
        <w:t xml:space="preserve"> [Accessed 25 February 2012].</w:t>
      </w:r>
    </w:p>
    <w:p w14:paraId="64E71FB3" w14:textId="77777777" w:rsidR="00EF785E" w:rsidRPr="0031706B" w:rsidRDefault="00EF785E" w:rsidP="0032732C">
      <w:pPr>
        <w:spacing w:after="0" w:line="480" w:lineRule="auto"/>
        <w:rPr>
          <w:rFonts w:cstheme="minorHAnsi"/>
          <w:sz w:val="20"/>
          <w:szCs w:val="20"/>
        </w:rPr>
      </w:pPr>
      <w:r w:rsidRPr="0031706B">
        <w:rPr>
          <w:rFonts w:cstheme="minorHAnsi"/>
          <w:sz w:val="20"/>
          <w:szCs w:val="20"/>
        </w:rPr>
        <w:t xml:space="preserve">Centre for Alternative Technology (2010) </w:t>
      </w:r>
      <w:r w:rsidRPr="0031706B">
        <w:rPr>
          <w:rFonts w:cstheme="minorHAnsi"/>
          <w:i/>
          <w:sz w:val="20"/>
          <w:szCs w:val="20"/>
        </w:rPr>
        <w:t xml:space="preserve">Zero Carbon Britain 2030: A New Energy Strategy. </w:t>
      </w:r>
      <w:proofErr w:type="gramStart"/>
      <w:r w:rsidRPr="0031706B">
        <w:rPr>
          <w:rFonts w:cstheme="minorHAnsi"/>
          <w:sz w:val="20"/>
          <w:szCs w:val="20"/>
        </w:rPr>
        <w:t xml:space="preserve">Available from </w:t>
      </w:r>
      <w:hyperlink r:id="rId23" w:history="1">
        <w:r w:rsidRPr="0031706B">
          <w:rPr>
            <w:rStyle w:val="Hyperlink"/>
            <w:rFonts w:cstheme="minorHAnsi"/>
            <w:sz w:val="20"/>
            <w:szCs w:val="20"/>
          </w:rPr>
          <w:t>http://www.zerocarbonbritain.org/</w:t>
        </w:r>
      </w:hyperlink>
      <w:r w:rsidRPr="0031706B">
        <w:rPr>
          <w:rFonts w:cstheme="minorHAnsi"/>
          <w:sz w:val="20"/>
          <w:szCs w:val="20"/>
        </w:rPr>
        <w:t xml:space="preserve"> [Accessed 16 September 2012].</w:t>
      </w:r>
      <w:proofErr w:type="gramEnd"/>
    </w:p>
    <w:p w14:paraId="54290CF2" w14:textId="4DA0EC14" w:rsidR="007A7A84" w:rsidRPr="0031706B" w:rsidRDefault="002D0935" w:rsidP="00EF2280">
      <w:pPr>
        <w:spacing w:line="480" w:lineRule="auto"/>
        <w:rPr>
          <w:sz w:val="20"/>
          <w:szCs w:val="20"/>
        </w:rPr>
      </w:pPr>
      <w:r w:rsidRPr="0031706B">
        <w:rPr>
          <w:rFonts w:cstheme="minorHAnsi"/>
          <w:sz w:val="20"/>
          <w:szCs w:val="20"/>
        </w:rPr>
        <w:t>Chatterton</w:t>
      </w:r>
      <w:r w:rsidR="007A7A84" w:rsidRPr="0031706B">
        <w:rPr>
          <w:rFonts w:cstheme="minorHAnsi"/>
          <w:sz w:val="20"/>
          <w:szCs w:val="20"/>
        </w:rPr>
        <w:t>, T.</w:t>
      </w:r>
      <w:r w:rsidRPr="0031706B">
        <w:rPr>
          <w:rFonts w:cstheme="minorHAnsi"/>
          <w:sz w:val="20"/>
          <w:szCs w:val="20"/>
        </w:rPr>
        <w:t xml:space="preserve"> and Wilson</w:t>
      </w:r>
      <w:r w:rsidR="007A7A84" w:rsidRPr="0031706B">
        <w:rPr>
          <w:rFonts w:cstheme="minorHAnsi"/>
          <w:sz w:val="20"/>
          <w:szCs w:val="20"/>
        </w:rPr>
        <w:t>, C.</w:t>
      </w:r>
      <w:r w:rsidRPr="0031706B">
        <w:rPr>
          <w:rFonts w:cstheme="minorHAnsi"/>
          <w:sz w:val="20"/>
          <w:szCs w:val="20"/>
        </w:rPr>
        <w:t xml:space="preserve">, </w:t>
      </w:r>
      <w:r w:rsidR="007A7A84" w:rsidRPr="0031706B">
        <w:rPr>
          <w:rFonts w:cstheme="minorHAnsi"/>
          <w:sz w:val="20"/>
          <w:szCs w:val="20"/>
        </w:rPr>
        <w:t>(</w:t>
      </w:r>
      <w:r w:rsidRPr="0031706B">
        <w:rPr>
          <w:rFonts w:cstheme="minorHAnsi"/>
          <w:sz w:val="20"/>
          <w:szCs w:val="20"/>
        </w:rPr>
        <w:t>2013</w:t>
      </w:r>
      <w:r w:rsidR="007A7A84" w:rsidRPr="0031706B">
        <w:rPr>
          <w:rFonts w:cstheme="minorHAnsi"/>
          <w:sz w:val="20"/>
          <w:szCs w:val="20"/>
        </w:rPr>
        <w:t xml:space="preserve">), </w:t>
      </w:r>
      <w:r w:rsidR="007A7A84" w:rsidRPr="0031706B">
        <w:rPr>
          <w:i/>
          <w:sz w:val="20"/>
          <w:szCs w:val="20"/>
        </w:rPr>
        <w:t xml:space="preserve">Improving Opportunities for Energy Reduction from 'Behaviour Change' through the Use of Multiple Models and a Better </w:t>
      </w:r>
      <w:proofErr w:type="spellStart"/>
      <w:r w:rsidR="007A7A84" w:rsidRPr="0031706B">
        <w:rPr>
          <w:i/>
          <w:sz w:val="20"/>
          <w:szCs w:val="20"/>
        </w:rPr>
        <w:t>Characterisation</w:t>
      </w:r>
      <w:proofErr w:type="spellEnd"/>
      <w:r w:rsidR="007A7A84" w:rsidRPr="0031706B">
        <w:rPr>
          <w:i/>
          <w:sz w:val="20"/>
          <w:szCs w:val="20"/>
        </w:rPr>
        <w:t xml:space="preserve"> of Behaviour</w:t>
      </w:r>
      <w:r w:rsidR="007A7A84" w:rsidRPr="0031706B">
        <w:rPr>
          <w:sz w:val="20"/>
          <w:szCs w:val="20"/>
        </w:rPr>
        <w:t xml:space="preserve">, Proceedings of the European Council for an Energy Efficient Economy (ECEEE) Summer Study on Energy Efficiency, , June 2013. </w:t>
      </w:r>
    </w:p>
    <w:p w14:paraId="5DBE0CAA" w14:textId="77777777" w:rsidR="00EF785E" w:rsidRPr="0031706B" w:rsidRDefault="0007506E" w:rsidP="0032732C">
      <w:pPr>
        <w:spacing w:after="0" w:line="480" w:lineRule="auto"/>
        <w:rPr>
          <w:rFonts w:cstheme="minorHAnsi"/>
          <w:sz w:val="20"/>
          <w:szCs w:val="20"/>
        </w:rPr>
      </w:pPr>
      <w:r w:rsidRPr="0031706B">
        <w:rPr>
          <w:rFonts w:cstheme="minorHAnsi"/>
          <w:sz w:val="20"/>
          <w:szCs w:val="20"/>
        </w:rPr>
        <w:t xml:space="preserve">Christmas, S., Young, D., Skates, A., </w:t>
      </w:r>
      <w:proofErr w:type="spellStart"/>
      <w:r w:rsidRPr="0031706B">
        <w:rPr>
          <w:rFonts w:cstheme="minorHAnsi"/>
          <w:sz w:val="20"/>
          <w:szCs w:val="20"/>
        </w:rPr>
        <w:t>Millward</w:t>
      </w:r>
      <w:proofErr w:type="spellEnd"/>
      <w:r w:rsidRPr="0031706B">
        <w:rPr>
          <w:rFonts w:cstheme="minorHAnsi"/>
          <w:sz w:val="20"/>
          <w:szCs w:val="20"/>
        </w:rPr>
        <w:t xml:space="preserve">, L., </w:t>
      </w:r>
      <w:proofErr w:type="spellStart"/>
      <w:r w:rsidRPr="0031706B">
        <w:rPr>
          <w:rFonts w:cstheme="minorHAnsi"/>
          <w:sz w:val="20"/>
          <w:szCs w:val="20"/>
        </w:rPr>
        <w:t>Duman</w:t>
      </w:r>
      <w:proofErr w:type="spellEnd"/>
      <w:r w:rsidRPr="0031706B">
        <w:rPr>
          <w:rFonts w:cstheme="minorHAnsi"/>
          <w:sz w:val="20"/>
          <w:szCs w:val="20"/>
        </w:rPr>
        <w:t xml:space="preserve">, M. and </w:t>
      </w:r>
      <w:proofErr w:type="spellStart"/>
      <w:r w:rsidRPr="0031706B">
        <w:rPr>
          <w:rFonts w:cstheme="minorHAnsi"/>
          <w:sz w:val="20"/>
          <w:szCs w:val="20"/>
        </w:rPr>
        <w:t>Dawe</w:t>
      </w:r>
      <w:proofErr w:type="spellEnd"/>
      <w:r w:rsidRPr="0031706B">
        <w:rPr>
          <w:rFonts w:cstheme="minorHAnsi"/>
          <w:sz w:val="20"/>
          <w:szCs w:val="20"/>
        </w:rPr>
        <w:t xml:space="preserve">, I.K. (2009) </w:t>
      </w:r>
      <w:r w:rsidRPr="0031706B">
        <w:rPr>
          <w:rFonts w:cstheme="minorHAnsi"/>
          <w:i/>
          <w:sz w:val="20"/>
          <w:szCs w:val="20"/>
        </w:rPr>
        <w:t xml:space="preserve">Nine big questions about behaviour change </w:t>
      </w:r>
      <w:r w:rsidRPr="0031706B">
        <w:rPr>
          <w:rFonts w:cstheme="minorHAnsi"/>
          <w:sz w:val="20"/>
          <w:szCs w:val="20"/>
        </w:rPr>
        <w:t>[online]</w:t>
      </w:r>
      <w:r w:rsidRPr="0031706B">
        <w:rPr>
          <w:rFonts w:cstheme="minorHAnsi"/>
          <w:i/>
          <w:sz w:val="20"/>
          <w:szCs w:val="20"/>
        </w:rPr>
        <w:t xml:space="preserve">. </w:t>
      </w:r>
      <w:r w:rsidRPr="0031706B">
        <w:rPr>
          <w:rFonts w:cstheme="minorHAnsi"/>
          <w:sz w:val="20"/>
          <w:szCs w:val="20"/>
        </w:rPr>
        <w:t xml:space="preserve">London: Department for Transport. Available from: </w:t>
      </w:r>
      <w:hyperlink r:id="rId24" w:history="1">
        <w:r w:rsidRPr="0031706B">
          <w:rPr>
            <w:rStyle w:val="Hyperlink"/>
            <w:rFonts w:cstheme="minorHAnsi"/>
            <w:sz w:val="20"/>
            <w:szCs w:val="20"/>
          </w:rPr>
          <w:t>http://webarchive.nationalarchives.gov.uk/20100413203302/http://www.dft.gov.uk/pgr/scienceresearch/social/behaviour-changes/pdf/questions.pdf</w:t>
        </w:r>
      </w:hyperlink>
      <w:r w:rsidRPr="0031706B">
        <w:rPr>
          <w:rFonts w:cstheme="minorHAnsi"/>
          <w:sz w:val="20"/>
          <w:szCs w:val="20"/>
        </w:rPr>
        <w:t xml:space="preserve"> [Accessed 17 March 2012].</w:t>
      </w:r>
    </w:p>
    <w:p w14:paraId="5EF8C6E6"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Committee on Climate Change (2008) </w:t>
      </w:r>
      <w:r w:rsidRPr="0031706B">
        <w:rPr>
          <w:rFonts w:cstheme="minorHAnsi"/>
          <w:i/>
          <w:sz w:val="20"/>
          <w:szCs w:val="20"/>
        </w:rPr>
        <w:t xml:space="preserve">Building a low-carbon economy – the UK’s contribution to tackling climate change. </w:t>
      </w:r>
      <w:r w:rsidRPr="0031706B">
        <w:rPr>
          <w:rFonts w:cstheme="minorHAnsi"/>
          <w:sz w:val="20"/>
          <w:szCs w:val="20"/>
        </w:rPr>
        <w:t xml:space="preserve">London: The Stationery Office </w:t>
      </w:r>
    </w:p>
    <w:p w14:paraId="08F34A0A" w14:textId="77777777" w:rsidR="008268B2" w:rsidRPr="0031706B" w:rsidRDefault="008268B2" w:rsidP="0032732C">
      <w:pPr>
        <w:spacing w:after="0" w:line="480" w:lineRule="auto"/>
        <w:rPr>
          <w:rFonts w:cstheme="minorHAnsi"/>
          <w:sz w:val="20"/>
          <w:szCs w:val="20"/>
        </w:rPr>
      </w:pPr>
      <w:proofErr w:type="gramStart"/>
      <w:r w:rsidRPr="0031706B">
        <w:rPr>
          <w:rFonts w:cstheme="minorHAnsi"/>
          <w:sz w:val="20"/>
          <w:szCs w:val="20"/>
        </w:rPr>
        <w:t>(ISBN 978-0-11-703929-2).</w:t>
      </w:r>
      <w:proofErr w:type="gramEnd"/>
    </w:p>
    <w:p w14:paraId="10C6CBF4" w14:textId="77777777" w:rsidR="002B6019" w:rsidRPr="0031706B" w:rsidRDefault="008268B2" w:rsidP="0032732C">
      <w:pPr>
        <w:spacing w:after="0" w:line="480" w:lineRule="auto"/>
        <w:rPr>
          <w:rFonts w:cstheme="minorHAnsi"/>
          <w:sz w:val="20"/>
          <w:szCs w:val="20"/>
        </w:rPr>
      </w:pPr>
      <w:r w:rsidRPr="0031706B">
        <w:rPr>
          <w:rFonts w:cstheme="minorHAnsi"/>
          <w:sz w:val="20"/>
          <w:szCs w:val="20"/>
        </w:rPr>
        <w:t xml:space="preserve">Corner, A., </w:t>
      </w:r>
      <w:proofErr w:type="spellStart"/>
      <w:r w:rsidRPr="0031706B">
        <w:rPr>
          <w:rFonts w:cstheme="minorHAnsi"/>
          <w:sz w:val="20"/>
          <w:szCs w:val="20"/>
        </w:rPr>
        <w:t>Venables</w:t>
      </w:r>
      <w:proofErr w:type="spellEnd"/>
      <w:r w:rsidRPr="0031706B">
        <w:rPr>
          <w:rFonts w:cstheme="minorHAnsi"/>
          <w:sz w:val="20"/>
          <w:szCs w:val="20"/>
        </w:rPr>
        <w:t xml:space="preserve">, D., Spence, A., </w:t>
      </w:r>
      <w:proofErr w:type="spellStart"/>
      <w:r w:rsidRPr="0031706B">
        <w:rPr>
          <w:rFonts w:cstheme="minorHAnsi"/>
          <w:sz w:val="20"/>
          <w:szCs w:val="20"/>
        </w:rPr>
        <w:t>Poortinga</w:t>
      </w:r>
      <w:proofErr w:type="spellEnd"/>
      <w:r w:rsidRPr="0031706B">
        <w:rPr>
          <w:rFonts w:cstheme="minorHAnsi"/>
          <w:sz w:val="20"/>
          <w:szCs w:val="20"/>
        </w:rPr>
        <w:t xml:space="preserve">, W., </w:t>
      </w:r>
      <w:proofErr w:type="spellStart"/>
      <w:r w:rsidRPr="0031706B">
        <w:rPr>
          <w:rFonts w:cstheme="minorHAnsi"/>
          <w:sz w:val="20"/>
          <w:szCs w:val="20"/>
        </w:rPr>
        <w:t>Demski</w:t>
      </w:r>
      <w:proofErr w:type="spellEnd"/>
      <w:r w:rsidRPr="0031706B">
        <w:rPr>
          <w:rFonts w:cstheme="minorHAnsi"/>
          <w:sz w:val="20"/>
          <w:szCs w:val="20"/>
        </w:rPr>
        <w:t xml:space="preserve">, C. and </w:t>
      </w:r>
      <w:proofErr w:type="spellStart"/>
      <w:r w:rsidRPr="0031706B">
        <w:rPr>
          <w:rFonts w:cstheme="minorHAnsi"/>
          <w:sz w:val="20"/>
          <w:szCs w:val="20"/>
        </w:rPr>
        <w:t>Pidgeon</w:t>
      </w:r>
      <w:proofErr w:type="spellEnd"/>
      <w:r w:rsidRPr="0031706B">
        <w:rPr>
          <w:rFonts w:cstheme="minorHAnsi"/>
          <w:sz w:val="20"/>
          <w:szCs w:val="20"/>
        </w:rPr>
        <w:t xml:space="preserve">, N. (2011) Nuclear power, climate change and energy security: Exploring British public attitudes. </w:t>
      </w:r>
      <w:proofErr w:type="gramStart"/>
      <w:r w:rsidRPr="0031706B">
        <w:rPr>
          <w:rFonts w:cstheme="minorHAnsi"/>
          <w:i/>
          <w:sz w:val="20"/>
          <w:szCs w:val="20"/>
        </w:rPr>
        <w:t>Energy Policy.</w:t>
      </w:r>
      <w:proofErr w:type="gramEnd"/>
      <w:r w:rsidRPr="0031706B">
        <w:rPr>
          <w:rFonts w:cstheme="minorHAnsi"/>
          <w:sz w:val="20"/>
          <w:szCs w:val="20"/>
        </w:rPr>
        <w:t xml:space="preserve"> 39, pp. 4823-4833.</w:t>
      </w:r>
      <w:r w:rsidR="00870ABB" w:rsidRPr="0031706B">
        <w:rPr>
          <w:rFonts w:cstheme="minorHAnsi"/>
          <w:sz w:val="20"/>
          <w:szCs w:val="20"/>
        </w:rPr>
        <w:t xml:space="preserve"> </w:t>
      </w:r>
    </w:p>
    <w:p w14:paraId="635E2F3E" w14:textId="358AF81A" w:rsidR="008268B2" w:rsidRPr="0031706B" w:rsidRDefault="008268B2" w:rsidP="0032732C">
      <w:pPr>
        <w:spacing w:after="0" w:line="480" w:lineRule="auto"/>
        <w:rPr>
          <w:rFonts w:cstheme="minorHAnsi"/>
          <w:sz w:val="20"/>
          <w:szCs w:val="20"/>
        </w:rPr>
      </w:pPr>
      <w:proofErr w:type="gramStart"/>
      <w:r w:rsidRPr="0031706B">
        <w:rPr>
          <w:rFonts w:cstheme="minorHAnsi"/>
          <w:sz w:val="20"/>
          <w:szCs w:val="20"/>
        </w:rPr>
        <w:t xml:space="preserve">Country Guardian (2012) </w:t>
      </w:r>
      <w:r w:rsidRPr="0031706B">
        <w:rPr>
          <w:rFonts w:cstheme="minorHAnsi"/>
          <w:i/>
          <w:sz w:val="20"/>
          <w:szCs w:val="20"/>
        </w:rPr>
        <w:t>Country Guardian’s website.</w:t>
      </w:r>
      <w:proofErr w:type="gramEnd"/>
      <w:r w:rsidRPr="0031706B">
        <w:rPr>
          <w:rFonts w:cstheme="minorHAnsi"/>
          <w:sz w:val="20"/>
          <w:szCs w:val="20"/>
        </w:rPr>
        <w:t xml:space="preserve"> Available from: </w:t>
      </w:r>
      <w:hyperlink r:id="rId25" w:history="1">
        <w:r w:rsidRPr="0031706B">
          <w:rPr>
            <w:rStyle w:val="Hyperlink"/>
            <w:rFonts w:cstheme="minorHAnsi"/>
            <w:sz w:val="20"/>
            <w:szCs w:val="20"/>
          </w:rPr>
          <w:t>http://www.countryguardian.net/</w:t>
        </w:r>
      </w:hyperlink>
      <w:r w:rsidRPr="0031706B">
        <w:rPr>
          <w:rFonts w:cstheme="minorHAnsi"/>
          <w:sz w:val="20"/>
          <w:szCs w:val="20"/>
        </w:rPr>
        <w:t xml:space="preserve"> [Accessed 25 January 2012].</w:t>
      </w:r>
    </w:p>
    <w:p w14:paraId="5D8D9524" w14:textId="77777777" w:rsidR="008268B2" w:rsidRPr="0031706B" w:rsidRDefault="0007506E" w:rsidP="0032732C">
      <w:pPr>
        <w:spacing w:after="0" w:line="480" w:lineRule="auto"/>
        <w:rPr>
          <w:rFonts w:cstheme="minorHAnsi"/>
          <w:sz w:val="20"/>
          <w:szCs w:val="20"/>
        </w:rPr>
      </w:pPr>
      <w:proofErr w:type="spellStart"/>
      <w:proofErr w:type="gramStart"/>
      <w:r w:rsidRPr="0031706B">
        <w:rPr>
          <w:rFonts w:cstheme="minorHAnsi"/>
          <w:sz w:val="20"/>
          <w:szCs w:val="20"/>
        </w:rPr>
        <w:lastRenderedPageBreak/>
        <w:t>Darnton</w:t>
      </w:r>
      <w:proofErr w:type="spellEnd"/>
      <w:r w:rsidRPr="0031706B">
        <w:rPr>
          <w:rFonts w:cstheme="minorHAnsi"/>
          <w:sz w:val="20"/>
          <w:szCs w:val="20"/>
        </w:rPr>
        <w:t xml:space="preserve">, A. (2008) </w:t>
      </w:r>
      <w:r w:rsidRPr="0031706B">
        <w:rPr>
          <w:rFonts w:cstheme="minorHAnsi"/>
          <w:i/>
          <w:sz w:val="20"/>
          <w:szCs w:val="20"/>
        </w:rPr>
        <w:t>Government Social Research Behaviour Change Knowledge Review.</w:t>
      </w:r>
      <w:proofErr w:type="gramEnd"/>
      <w:r w:rsidRPr="0031706B">
        <w:rPr>
          <w:rFonts w:cstheme="minorHAnsi"/>
          <w:sz w:val="20"/>
          <w:szCs w:val="20"/>
        </w:rPr>
        <w:t xml:space="preserve"> London: Government Social Research Unit, HM Treasury (PU547).</w:t>
      </w:r>
    </w:p>
    <w:p w14:paraId="1B9F6CA8"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DECC (2010) </w:t>
      </w:r>
      <w:r w:rsidRPr="0031706B">
        <w:rPr>
          <w:rFonts w:cstheme="minorHAnsi"/>
          <w:i/>
          <w:sz w:val="20"/>
          <w:szCs w:val="20"/>
        </w:rPr>
        <w:t>DECC</w:t>
      </w:r>
      <w:r w:rsidRPr="0031706B">
        <w:rPr>
          <w:rFonts w:cstheme="minorHAnsi"/>
          <w:sz w:val="20"/>
          <w:szCs w:val="20"/>
        </w:rPr>
        <w:t xml:space="preserve"> </w:t>
      </w:r>
      <w:r w:rsidRPr="0031706B">
        <w:rPr>
          <w:rFonts w:cstheme="minorHAnsi"/>
          <w:i/>
          <w:sz w:val="20"/>
          <w:szCs w:val="20"/>
        </w:rPr>
        <w:t>2050 Pathways Calculator.</w:t>
      </w:r>
      <w:r w:rsidRPr="0031706B">
        <w:rPr>
          <w:rFonts w:cstheme="minorHAnsi"/>
          <w:sz w:val="20"/>
          <w:szCs w:val="20"/>
        </w:rPr>
        <w:t xml:space="preserve"> Available from: </w:t>
      </w:r>
      <w:hyperlink r:id="rId26" w:history="1">
        <w:r w:rsidRPr="0031706B">
          <w:rPr>
            <w:rStyle w:val="Hyperlink"/>
            <w:rFonts w:cstheme="minorHAnsi"/>
            <w:sz w:val="20"/>
            <w:szCs w:val="20"/>
          </w:rPr>
          <w:t>http://www.decc.gov.uk/en/content/cms/tackling/2050/calculator_on/calculator_on.aspx</w:t>
        </w:r>
      </w:hyperlink>
      <w:r w:rsidRPr="0031706B">
        <w:rPr>
          <w:rFonts w:cstheme="minorHAnsi"/>
          <w:sz w:val="20"/>
          <w:szCs w:val="20"/>
        </w:rPr>
        <w:t xml:space="preserve"> [Accessed 12 January 2012]. </w:t>
      </w:r>
    </w:p>
    <w:p w14:paraId="11DEACCD"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DECC (2011a) </w:t>
      </w:r>
      <w:r w:rsidRPr="0031706B">
        <w:rPr>
          <w:rFonts w:cstheme="minorHAnsi"/>
          <w:i/>
          <w:sz w:val="20"/>
          <w:szCs w:val="20"/>
        </w:rPr>
        <w:t xml:space="preserve">The Carbon Plan: Delivering our low carbon future </w:t>
      </w:r>
      <w:r w:rsidRPr="0031706B">
        <w:rPr>
          <w:rFonts w:cstheme="minorHAnsi"/>
          <w:sz w:val="20"/>
          <w:szCs w:val="20"/>
        </w:rPr>
        <w:t>[online]</w:t>
      </w:r>
      <w:r w:rsidRPr="0031706B">
        <w:rPr>
          <w:rFonts w:cstheme="minorHAnsi"/>
          <w:i/>
          <w:sz w:val="20"/>
          <w:szCs w:val="20"/>
        </w:rPr>
        <w:t>.</w:t>
      </w:r>
      <w:r w:rsidRPr="0031706B">
        <w:rPr>
          <w:rFonts w:cstheme="minorHAnsi"/>
          <w:sz w:val="20"/>
          <w:szCs w:val="20"/>
        </w:rPr>
        <w:t xml:space="preserve"> London: Department of Energy and Climate Change. Available from: </w:t>
      </w:r>
      <w:hyperlink r:id="rId27" w:history="1">
        <w:r w:rsidRPr="0031706B">
          <w:rPr>
            <w:rStyle w:val="Hyperlink"/>
            <w:rFonts w:cstheme="minorHAnsi"/>
            <w:sz w:val="20"/>
            <w:szCs w:val="20"/>
          </w:rPr>
          <w:t>http://www.decc.gov.uk/assets/decc/11/tackling-climate-change/carbon-plan/3702-the-carbon-plan-delivering-our-low-carbon-future.pdf</w:t>
        </w:r>
      </w:hyperlink>
      <w:r w:rsidRPr="0031706B">
        <w:rPr>
          <w:rFonts w:cstheme="minorHAnsi"/>
          <w:sz w:val="20"/>
          <w:szCs w:val="20"/>
        </w:rPr>
        <w:t xml:space="preserve"> [Accessed 12 January 2012].</w:t>
      </w:r>
    </w:p>
    <w:p w14:paraId="2EB82F49"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DECC (2011b) </w:t>
      </w:r>
      <w:r w:rsidRPr="0031706B">
        <w:rPr>
          <w:rFonts w:cstheme="minorHAnsi"/>
          <w:i/>
          <w:sz w:val="20"/>
          <w:szCs w:val="20"/>
        </w:rPr>
        <w:t>2050 Pathways Analysis</w:t>
      </w:r>
      <w:r w:rsidRPr="0031706B">
        <w:rPr>
          <w:rFonts w:cstheme="minorHAnsi"/>
          <w:sz w:val="20"/>
          <w:szCs w:val="20"/>
        </w:rPr>
        <w:t xml:space="preserve">. Available from: </w:t>
      </w:r>
      <w:hyperlink r:id="rId28" w:history="1">
        <w:r w:rsidRPr="0031706B">
          <w:rPr>
            <w:rStyle w:val="Hyperlink"/>
            <w:rFonts w:cstheme="minorHAnsi"/>
            <w:sz w:val="20"/>
            <w:szCs w:val="20"/>
          </w:rPr>
          <w:t>http://www.decc.gov.uk/en/content/cms/tackling/2050/2050.aspx</w:t>
        </w:r>
      </w:hyperlink>
      <w:r w:rsidRPr="0031706B">
        <w:rPr>
          <w:rFonts w:cstheme="minorHAnsi"/>
          <w:sz w:val="20"/>
          <w:szCs w:val="20"/>
        </w:rPr>
        <w:t xml:space="preserve"> [Accessed 23 January 2012].</w:t>
      </w:r>
    </w:p>
    <w:p w14:paraId="3130F074"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DECC (2011c) </w:t>
      </w:r>
      <w:r w:rsidRPr="0031706B">
        <w:rPr>
          <w:rFonts w:cstheme="minorHAnsi"/>
          <w:i/>
          <w:sz w:val="20"/>
          <w:szCs w:val="20"/>
        </w:rPr>
        <w:t>‘My2050’ online simulation.</w:t>
      </w:r>
      <w:r w:rsidRPr="0031706B">
        <w:rPr>
          <w:rFonts w:cstheme="minorHAnsi"/>
          <w:sz w:val="20"/>
          <w:szCs w:val="20"/>
        </w:rPr>
        <w:t xml:space="preserve"> Available from: </w:t>
      </w:r>
      <w:hyperlink r:id="rId29" w:history="1">
        <w:r w:rsidRPr="0031706B">
          <w:rPr>
            <w:rStyle w:val="Hyperlink"/>
            <w:rFonts w:cstheme="minorHAnsi"/>
            <w:sz w:val="20"/>
            <w:szCs w:val="20"/>
          </w:rPr>
          <w:t>http://my2050.decc.gov.uk/</w:t>
        </w:r>
      </w:hyperlink>
      <w:r w:rsidRPr="0031706B">
        <w:rPr>
          <w:rFonts w:cstheme="minorHAnsi"/>
          <w:sz w:val="20"/>
          <w:szCs w:val="20"/>
        </w:rPr>
        <w:t xml:space="preserve"> [Accessed 27 March 2011]. </w:t>
      </w:r>
    </w:p>
    <w:p w14:paraId="419AD8B8"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DECC (2011d) </w:t>
      </w:r>
      <w:r w:rsidRPr="0031706B">
        <w:rPr>
          <w:rFonts w:cstheme="minorHAnsi"/>
          <w:i/>
          <w:sz w:val="20"/>
          <w:szCs w:val="20"/>
        </w:rPr>
        <w:t>The My2050 Schools Toolkit.</w:t>
      </w:r>
      <w:r w:rsidRPr="0031706B">
        <w:rPr>
          <w:rFonts w:cstheme="minorHAnsi"/>
          <w:sz w:val="20"/>
          <w:szCs w:val="20"/>
        </w:rPr>
        <w:t xml:space="preserve"> Available from: </w:t>
      </w:r>
      <w:hyperlink r:id="rId30" w:history="1">
        <w:r w:rsidRPr="0031706B">
          <w:rPr>
            <w:rStyle w:val="Hyperlink"/>
            <w:rFonts w:cstheme="minorHAnsi"/>
            <w:sz w:val="20"/>
            <w:szCs w:val="20"/>
          </w:rPr>
          <w:t>http://www.decc.gov.uk/assets/decc/11/tackling-climate-change/2050/3670-2050-schools-toolkit-pdf-version.pdf</w:t>
        </w:r>
      </w:hyperlink>
      <w:r w:rsidRPr="0031706B">
        <w:rPr>
          <w:rFonts w:cstheme="minorHAnsi"/>
          <w:sz w:val="20"/>
          <w:szCs w:val="20"/>
        </w:rPr>
        <w:t xml:space="preserve"> [Accessed 25 January 2012].</w:t>
      </w:r>
    </w:p>
    <w:p w14:paraId="60CCC89E" w14:textId="5DCBC7B8" w:rsidR="008268B2" w:rsidRPr="0031706B" w:rsidRDefault="008268B2" w:rsidP="0032732C">
      <w:pPr>
        <w:spacing w:after="0" w:line="480" w:lineRule="auto"/>
        <w:rPr>
          <w:rFonts w:cstheme="minorHAnsi"/>
          <w:sz w:val="20"/>
          <w:szCs w:val="20"/>
          <w:highlight w:val="yellow"/>
        </w:rPr>
      </w:pPr>
      <w:r w:rsidRPr="0031706B">
        <w:rPr>
          <w:rFonts w:cstheme="minorHAnsi"/>
          <w:sz w:val="20"/>
          <w:szCs w:val="20"/>
        </w:rPr>
        <w:t xml:space="preserve">DECC (2011e) </w:t>
      </w:r>
      <w:r w:rsidRPr="0031706B">
        <w:rPr>
          <w:rFonts w:cstheme="minorHAnsi"/>
          <w:i/>
          <w:sz w:val="20"/>
          <w:szCs w:val="20"/>
        </w:rPr>
        <w:t>New 2050 simulation puts power in public hands.</w:t>
      </w:r>
      <w:r w:rsidRPr="0031706B">
        <w:rPr>
          <w:rFonts w:cstheme="minorHAnsi"/>
          <w:sz w:val="20"/>
          <w:szCs w:val="20"/>
        </w:rPr>
        <w:t xml:space="preserve"> Available from: </w:t>
      </w:r>
      <w:hyperlink r:id="rId31" w:history="1">
        <w:r w:rsidRPr="0031706B">
          <w:rPr>
            <w:rStyle w:val="Hyperlink"/>
            <w:rFonts w:cstheme="minorHAnsi"/>
            <w:sz w:val="20"/>
            <w:szCs w:val="20"/>
          </w:rPr>
          <w:t>http://www.decc.gov.uk/en/content/cms/news/2050_sim/2050_sim.aspx</w:t>
        </w:r>
      </w:hyperlink>
      <w:r w:rsidRPr="0031706B">
        <w:rPr>
          <w:rFonts w:cstheme="minorHAnsi"/>
          <w:sz w:val="20"/>
          <w:szCs w:val="20"/>
        </w:rPr>
        <w:t xml:space="preserve"> [Accessed 09 January 2012].</w:t>
      </w:r>
    </w:p>
    <w:p w14:paraId="0FD62A59" w14:textId="0444C7A1" w:rsidR="008268B2" w:rsidRPr="0031706B" w:rsidDel="00080D5F" w:rsidRDefault="008268B2" w:rsidP="0032732C">
      <w:pPr>
        <w:spacing w:after="0" w:line="480" w:lineRule="auto"/>
        <w:rPr>
          <w:rFonts w:cstheme="minorHAnsi"/>
          <w:sz w:val="20"/>
          <w:szCs w:val="20"/>
        </w:rPr>
      </w:pPr>
      <w:proofErr w:type="gramStart"/>
      <w:r w:rsidRPr="0031706B">
        <w:rPr>
          <w:rFonts w:cstheme="minorHAnsi"/>
          <w:sz w:val="20"/>
          <w:szCs w:val="20"/>
        </w:rPr>
        <w:t xml:space="preserve">Defra (2011) </w:t>
      </w:r>
      <w:r w:rsidRPr="0031706B">
        <w:rPr>
          <w:rFonts w:cstheme="minorHAnsi"/>
          <w:i/>
          <w:sz w:val="20"/>
          <w:szCs w:val="20"/>
        </w:rPr>
        <w:t>Public attitude survey.</w:t>
      </w:r>
      <w:proofErr w:type="gramEnd"/>
      <w:r w:rsidRPr="0031706B">
        <w:rPr>
          <w:rFonts w:cstheme="minorHAnsi"/>
          <w:i/>
          <w:sz w:val="20"/>
          <w:szCs w:val="20"/>
        </w:rPr>
        <w:t xml:space="preserve"> </w:t>
      </w:r>
      <w:r w:rsidRPr="0031706B">
        <w:rPr>
          <w:rFonts w:cstheme="minorHAnsi"/>
          <w:sz w:val="20"/>
          <w:szCs w:val="20"/>
        </w:rPr>
        <w:t xml:space="preserve">Available from: </w:t>
      </w:r>
      <w:hyperlink r:id="rId32" w:history="1">
        <w:r w:rsidRPr="0031706B">
          <w:rPr>
            <w:rStyle w:val="Hyperlink"/>
            <w:rFonts w:cstheme="minorHAnsi"/>
            <w:sz w:val="20"/>
            <w:szCs w:val="20"/>
          </w:rPr>
          <w:t>http://www.defra.gov.uk/statistics/environment/public-attitude/</w:t>
        </w:r>
      </w:hyperlink>
      <w:r w:rsidRPr="0031706B">
        <w:rPr>
          <w:rFonts w:cstheme="minorHAnsi"/>
          <w:sz w:val="20"/>
          <w:szCs w:val="20"/>
        </w:rPr>
        <w:t xml:space="preserve"> [Accessed 25 February 2012].</w:t>
      </w:r>
    </w:p>
    <w:p w14:paraId="0CEE7123" w14:textId="0EC59FB6" w:rsidR="008268B2" w:rsidRPr="0031706B" w:rsidRDefault="00A8362A" w:rsidP="0032732C">
      <w:pPr>
        <w:spacing w:after="0" w:line="480" w:lineRule="auto"/>
        <w:rPr>
          <w:rFonts w:cstheme="minorHAnsi"/>
          <w:sz w:val="20"/>
          <w:szCs w:val="20"/>
        </w:rPr>
      </w:pPr>
      <w:proofErr w:type="gramStart"/>
      <w:r w:rsidRPr="0031706B">
        <w:rPr>
          <w:rFonts w:cstheme="minorHAnsi"/>
          <w:sz w:val="20"/>
          <w:szCs w:val="20"/>
        </w:rPr>
        <w:t>Department for Transport (2011</w:t>
      </w:r>
      <w:r w:rsidR="008268B2" w:rsidRPr="0031706B">
        <w:rPr>
          <w:rFonts w:cstheme="minorHAnsi"/>
          <w:sz w:val="20"/>
          <w:szCs w:val="20"/>
        </w:rPr>
        <w:t xml:space="preserve">) </w:t>
      </w:r>
      <w:r w:rsidR="008268B2" w:rsidRPr="0031706B">
        <w:rPr>
          <w:rFonts w:cstheme="minorHAnsi"/>
          <w:i/>
          <w:sz w:val="20"/>
          <w:szCs w:val="20"/>
        </w:rPr>
        <w:t>Attitudes to climate change and the impact of transport</w:t>
      </w:r>
      <w:r w:rsidR="008268B2" w:rsidRPr="0031706B">
        <w:rPr>
          <w:rFonts w:cstheme="minorHAnsi"/>
          <w:sz w:val="20"/>
          <w:szCs w:val="20"/>
        </w:rPr>
        <w:t xml:space="preserve"> [online].</w:t>
      </w:r>
      <w:proofErr w:type="gramEnd"/>
      <w:r w:rsidR="008268B2" w:rsidRPr="0031706B">
        <w:rPr>
          <w:rFonts w:cstheme="minorHAnsi"/>
          <w:sz w:val="20"/>
          <w:szCs w:val="20"/>
        </w:rPr>
        <w:t xml:space="preserve"> London: Department for Transport. Available from: </w:t>
      </w:r>
      <w:hyperlink r:id="rId33" w:history="1">
        <w:r w:rsidR="008268B2" w:rsidRPr="0031706B">
          <w:rPr>
            <w:rStyle w:val="Hyperlink"/>
            <w:rFonts w:cstheme="minorHAnsi"/>
            <w:sz w:val="20"/>
            <w:szCs w:val="20"/>
          </w:rPr>
          <w:t>http://assets.dft.gov.uk/statistics/releases/public-attitudes-climate-change-2010/climate-change-2010-report.pdf</w:t>
        </w:r>
      </w:hyperlink>
      <w:r w:rsidR="008268B2" w:rsidRPr="0031706B">
        <w:rPr>
          <w:rFonts w:cstheme="minorHAnsi"/>
          <w:sz w:val="20"/>
          <w:szCs w:val="20"/>
        </w:rPr>
        <w:t xml:space="preserve"> [Accessed 26 January 2012].</w:t>
      </w:r>
    </w:p>
    <w:p w14:paraId="18DE3B59" w14:textId="77777777" w:rsidR="008268B2" w:rsidRPr="0031706B" w:rsidRDefault="008268B2" w:rsidP="0032732C">
      <w:pPr>
        <w:spacing w:after="0" w:line="480" w:lineRule="auto"/>
        <w:rPr>
          <w:rFonts w:cstheme="minorHAnsi"/>
          <w:sz w:val="20"/>
          <w:szCs w:val="20"/>
        </w:rPr>
      </w:pPr>
      <w:proofErr w:type="spellStart"/>
      <w:r w:rsidRPr="0031706B">
        <w:rPr>
          <w:rFonts w:cstheme="minorHAnsi"/>
          <w:sz w:val="20"/>
          <w:szCs w:val="20"/>
        </w:rPr>
        <w:t>Ekins</w:t>
      </w:r>
      <w:proofErr w:type="spellEnd"/>
      <w:r w:rsidRPr="0031706B">
        <w:rPr>
          <w:rFonts w:cstheme="minorHAnsi"/>
          <w:sz w:val="20"/>
          <w:szCs w:val="20"/>
        </w:rPr>
        <w:t xml:space="preserve">, P., </w:t>
      </w:r>
      <w:proofErr w:type="spellStart"/>
      <w:r w:rsidRPr="0031706B">
        <w:rPr>
          <w:rFonts w:cstheme="minorHAnsi"/>
          <w:sz w:val="20"/>
          <w:szCs w:val="20"/>
        </w:rPr>
        <w:t>Anandarajah</w:t>
      </w:r>
      <w:proofErr w:type="spellEnd"/>
      <w:r w:rsidRPr="0031706B">
        <w:rPr>
          <w:rFonts w:cstheme="minorHAnsi"/>
          <w:sz w:val="20"/>
          <w:szCs w:val="20"/>
        </w:rPr>
        <w:t xml:space="preserve">, G. and Strachan, N. (2011) </w:t>
      </w:r>
      <w:proofErr w:type="gramStart"/>
      <w:r w:rsidRPr="0031706B">
        <w:rPr>
          <w:rFonts w:cstheme="minorHAnsi"/>
          <w:sz w:val="20"/>
          <w:szCs w:val="20"/>
        </w:rPr>
        <w:t>Towards</w:t>
      </w:r>
      <w:proofErr w:type="gramEnd"/>
      <w:r w:rsidRPr="0031706B">
        <w:rPr>
          <w:rFonts w:cstheme="minorHAnsi"/>
          <w:sz w:val="20"/>
          <w:szCs w:val="20"/>
        </w:rPr>
        <w:t xml:space="preserve"> a low-carbon economy: scenarios and policies for the UK. </w:t>
      </w:r>
      <w:proofErr w:type="gramStart"/>
      <w:r w:rsidRPr="0031706B">
        <w:rPr>
          <w:rFonts w:cstheme="minorHAnsi"/>
          <w:i/>
          <w:sz w:val="20"/>
          <w:szCs w:val="20"/>
        </w:rPr>
        <w:t>Climate Policy</w:t>
      </w:r>
      <w:r w:rsidRPr="0031706B">
        <w:rPr>
          <w:rFonts w:cstheme="minorHAnsi"/>
          <w:sz w:val="20"/>
          <w:szCs w:val="20"/>
        </w:rPr>
        <w:t>.</w:t>
      </w:r>
      <w:proofErr w:type="gramEnd"/>
      <w:r w:rsidRPr="0031706B">
        <w:rPr>
          <w:rFonts w:cstheme="minorHAnsi"/>
          <w:sz w:val="20"/>
          <w:szCs w:val="20"/>
        </w:rPr>
        <w:t xml:space="preserve"> 11 (2), pp. 865-882.</w:t>
      </w:r>
    </w:p>
    <w:p w14:paraId="6FF9783D" w14:textId="77777777" w:rsidR="008268B2" w:rsidRPr="0031706B" w:rsidRDefault="008268B2" w:rsidP="0032732C">
      <w:pPr>
        <w:spacing w:after="0" w:line="480" w:lineRule="auto"/>
        <w:rPr>
          <w:rFonts w:cstheme="minorHAnsi"/>
          <w:sz w:val="20"/>
          <w:szCs w:val="20"/>
        </w:rPr>
      </w:pPr>
      <w:proofErr w:type="gramStart"/>
      <w:r w:rsidRPr="0031706B">
        <w:rPr>
          <w:rFonts w:cstheme="minorHAnsi"/>
          <w:sz w:val="20"/>
          <w:szCs w:val="20"/>
        </w:rPr>
        <w:lastRenderedPageBreak/>
        <w:t xml:space="preserve">Energy Saving Trust (2010) </w:t>
      </w:r>
      <w:r w:rsidRPr="0031706B">
        <w:rPr>
          <w:rFonts w:cstheme="minorHAnsi"/>
          <w:i/>
          <w:sz w:val="20"/>
          <w:szCs w:val="20"/>
        </w:rPr>
        <w:t xml:space="preserve">Getting warmer: a field trial of heat pumps </w:t>
      </w:r>
      <w:r w:rsidRPr="0031706B">
        <w:rPr>
          <w:rFonts w:cstheme="minorHAnsi"/>
          <w:sz w:val="20"/>
          <w:szCs w:val="20"/>
        </w:rPr>
        <w:t>[online]</w:t>
      </w:r>
      <w:r w:rsidRPr="0031706B">
        <w:rPr>
          <w:rFonts w:cstheme="minorHAnsi"/>
          <w:i/>
          <w:sz w:val="20"/>
          <w:szCs w:val="20"/>
        </w:rPr>
        <w:t>.</w:t>
      </w:r>
      <w:proofErr w:type="gramEnd"/>
      <w:r w:rsidRPr="0031706B">
        <w:rPr>
          <w:rFonts w:cstheme="minorHAnsi"/>
          <w:sz w:val="20"/>
          <w:szCs w:val="20"/>
        </w:rPr>
        <w:t xml:space="preserve"> London: Energy Saving Trust. Available from: </w:t>
      </w:r>
      <w:hyperlink r:id="rId34" w:history="1">
        <w:r w:rsidRPr="0031706B">
          <w:rPr>
            <w:rStyle w:val="Hyperlink"/>
            <w:rFonts w:cstheme="minorHAnsi"/>
            <w:sz w:val="20"/>
            <w:szCs w:val="20"/>
          </w:rPr>
          <w:t>http://www.energysavingtrust.org.uk/Media/Generate-your-own-energy/PDFs/Full-heat-pump-field-trial-report</w:t>
        </w:r>
      </w:hyperlink>
      <w:r w:rsidRPr="0031706B">
        <w:rPr>
          <w:rFonts w:cstheme="minorHAnsi"/>
          <w:sz w:val="20"/>
          <w:szCs w:val="20"/>
        </w:rPr>
        <w:t xml:space="preserve"> [Accessed 17 March 2012].</w:t>
      </w:r>
    </w:p>
    <w:p w14:paraId="47805F7E" w14:textId="6DB9C23F" w:rsidR="008268B2" w:rsidRPr="0031706B" w:rsidRDefault="008268B2" w:rsidP="0032732C">
      <w:pPr>
        <w:spacing w:after="0" w:line="480" w:lineRule="auto"/>
        <w:rPr>
          <w:rFonts w:cstheme="minorHAnsi"/>
          <w:sz w:val="20"/>
          <w:szCs w:val="20"/>
          <w:highlight w:val="yellow"/>
        </w:rPr>
      </w:pPr>
      <w:r w:rsidRPr="0031706B">
        <w:rPr>
          <w:rFonts w:cstheme="minorHAnsi"/>
          <w:sz w:val="20"/>
          <w:szCs w:val="20"/>
        </w:rPr>
        <w:t xml:space="preserve">European Commission (2007) </w:t>
      </w:r>
      <w:proofErr w:type="spellStart"/>
      <w:r w:rsidRPr="0031706B">
        <w:rPr>
          <w:rFonts w:cstheme="minorHAnsi"/>
          <w:i/>
          <w:sz w:val="20"/>
          <w:szCs w:val="20"/>
        </w:rPr>
        <w:t>Eurobarometer</w:t>
      </w:r>
      <w:proofErr w:type="spellEnd"/>
      <w:r w:rsidRPr="0031706B">
        <w:rPr>
          <w:rFonts w:cstheme="minorHAnsi"/>
          <w:i/>
          <w:sz w:val="20"/>
          <w:szCs w:val="20"/>
        </w:rPr>
        <w:t xml:space="preserve">: Attitudes on issues related to EU Energy Policy, Analytical report </w:t>
      </w:r>
      <w:r w:rsidRPr="0031706B">
        <w:rPr>
          <w:rFonts w:cstheme="minorHAnsi"/>
          <w:sz w:val="20"/>
          <w:szCs w:val="20"/>
        </w:rPr>
        <w:t>(Flash EB Series #26) [online]</w:t>
      </w:r>
      <w:r w:rsidRPr="0031706B">
        <w:rPr>
          <w:rFonts w:cstheme="minorHAnsi"/>
          <w:i/>
          <w:sz w:val="20"/>
          <w:szCs w:val="20"/>
        </w:rPr>
        <w:t xml:space="preserve">. </w:t>
      </w:r>
      <w:r w:rsidRPr="0031706B">
        <w:rPr>
          <w:rFonts w:cstheme="minorHAnsi"/>
          <w:sz w:val="20"/>
          <w:szCs w:val="20"/>
        </w:rPr>
        <w:t xml:space="preserve">Available from: </w:t>
      </w:r>
      <w:hyperlink r:id="rId35" w:history="1">
        <w:r w:rsidRPr="0031706B">
          <w:rPr>
            <w:rStyle w:val="Hyperlink"/>
            <w:rFonts w:cstheme="minorHAnsi"/>
            <w:sz w:val="20"/>
            <w:szCs w:val="20"/>
          </w:rPr>
          <w:t>http://ec.europa.eu/public_opinion/flash/fl206a_en.pdf</w:t>
        </w:r>
      </w:hyperlink>
      <w:r w:rsidRPr="0031706B">
        <w:rPr>
          <w:rFonts w:cstheme="minorHAnsi"/>
          <w:sz w:val="20"/>
          <w:szCs w:val="20"/>
        </w:rPr>
        <w:t xml:space="preserve"> [Accessed 17 January 2012].</w:t>
      </w:r>
    </w:p>
    <w:p w14:paraId="7130ECBC" w14:textId="76E842CC" w:rsidR="008268B2" w:rsidRPr="0031706B" w:rsidRDefault="008268B2" w:rsidP="0032732C">
      <w:pPr>
        <w:spacing w:after="0" w:line="480" w:lineRule="auto"/>
        <w:rPr>
          <w:rFonts w:cstheme="minorHAnsi"/>
          <w:sz w:val="20"/>
          <w:szCs w:val="20"/>
        </w:rPr>
      </w:pPr>
      <w:r w:rsidRPr="0031706B">
        <w:rPr>
          <w:rFonts w:cstheme="minorHAnsi"/>
          <w:sz w:val="20"/>
          <w:szCs w:val="20"/>
        </w:rPr>
        <w:t>Goodwin, P. and Lyons, G. (2010) Public attitudes to transport: Interpreting the evidence.</w:t>
      </w:r>
      <w:r w:rsidRPr="0031706B">
        <w:rPr>
          <w:rFonts w:cstheme="minorHAnsi"/>
          <w:i/>
          <w:sz w:val="20"/>
          <w:szCs w:val="20"/>
        </w:rPr>
        <w:t xml:space="preserve"> </w:t>
      </w:r>
      <w:proofErr w:type="gramStart"/>
      <w:r w:rsidRPr="0031706B">
        <w:rPr>
          <w:rFonts w:cstheme="minorHAnsi"/>
          <w:i/>
          <w:sz w:val="20"/>
          <w:szCs w:val="20"/>
        </w:rPr>
        <w:t>Transportation</w:t>
      </w:r>
      <w:r w:rsidR="00205B8A" w:rsidRPr="0031706B">
        <w:rPr>
          <w:rFonts w:cstheme="minorHAnsi"/>
          <w:i/>
          <w:sz w:val="20"/>
          <w:szCs w:val="20"/>
        </w:rPr>
        <w:t xml:space="preserve"> </w:t>
      </w:r>
      <w:r w:rsidRPr="0031706B">
        <w:rPr>
          <w:rFonts w:cstheme="minorHAnsi"/>
          <w:i/>
          <w:sz w:val="20"/>
          <w:szCs w:val="20"/>
        </w:rPr>
        <w:t>Planning and Technology.</w:t>
      </w:r>
      <w:proofErr w:type="gramEnd"/>
      <w:r w:rsidRPr="0031706B">
        <w:rPr>
          <w:rFonts w:cstheme="minorHAnsi"/>
          <w:i/>
          <w:sz w:val="20"/>
          <w:szCs w:val="20"/>
        </w:rPr>
        <w:t xml:space="preserve"> </w:t>
      </w:r>
      <w:r w:rsidRPr="0031706B">
        <w:rPr>
          <w:rFonts w:cstheme="minorHAnsi"/>
          <w:sz w:val="20"/>
          <w:szCs w:val="20"/>
        </w:rPr>
        <w:t>33 (1), pp. 3-17.</w:t>
      </w:r>
    </w:p>
    <w:p w14:paraId="7D152558"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Hansen, J., Sato, M., </w:t>
      </w:r>
      <w:proofErr w:type="spellStart"/>
      <w:r w:rsidRPr="0031706B">
        <w:rPr>
          <w:rFonts w:cstheme="minorHAnsi"/>
          <w:sz w:val="20"/>
          <w:szCs w:val="20"/>
        </w:rPr>
        <w:t>Kharecha</w:t>
      </w:r>
      <w:proofErr w:type="spellEnd"/>
      <w:r w:rsidRPr="0031706B">
        <w:rPr>
          <w:rFonts w:cstheme="minorHAnsi"/>
          <w:sz w:val="20"/>
          <w:szCs w:val="20"/>
        </w:rPr>
        <w:t xml:space="preserve">, P., </w:t>
      </w:r>
      <w:proofErr w:type="spellStart"/>
      <w:r w:rsidRPr="0031706B">
        <w:rPr>
          <w:rFonts w:cstheme="minorHAnsi"/>
          <w:sz w:val="20"/>
          <w:szCs w:val="20"/>
        </w:rPr>
        <w:t>Beerling</w:t>
      </w:r>
      <w:proofErr w:type="spellEnd"/>
      <w:r w:rsidRPr="0031706B">
        <w:rPr>
          <w:rFonts w:cstheme="minorHAnsi"/>
          <w:sz w:val="20"/>
          <w:szCs w:val="20"/>
        </w:rPr>
        <w:t xml:space="preserve">, D., </w:t>
      </w:r>
      <w:proofErr w:type="spellStart"/>
      <w:r w:rsidRPr="0031706B">
        <w:rPr>
          <w:rFonts w:cstheme="minorHAnsi"/>
          <w:sz w:val="20"/>
          <w:szCs w:val="20"/>
        </w:rPr>
        <w:t>Berner</w:t>
      </w:r>
      <w:proofErr w:type="spellEnd"/>
      <w:r w:rsidRPr="0031706B">
        <w:rPr>
          <w:rFonts w:cstheme="minorHAnsi"/>
          <w:sz w:val="20"/>
          <w:szCs w:val="20"/>
        </w:rPr>
        <w:t>, R., Masson-</w:t>
      </w:r>
      <w:proofErr w:type="spellStart"/>
      <w:r w:rsidRPr="0031706B">
        <w:rPr>
          <w:rFonts w:cstheme="minorHAnsi"/>
          <w:sz w:val="20"/>
          <w:szCs w:val="20"/>
        </w:rPr>
        <w:t>Delmotte</w:t>
      </w:r>
      <w:proofErr w:type="spellEnd"/>
      <w:r w:rsidRPr="0031706B">
        <w:rPr>
          <w:rFonts w:cstheme="minorHAnsi"/>
          <w:sz w:val="20"/>
          <w:szCs w:val="20"/>
        </w:rPr>
        <w:t xml:space="preserve">, V., </w:t>
      </w:r>
      <w:proofErr w:type="spellStart"/>
      <w:r w:rsidRPr="0031706B">
        <w:rPr>
          <w:rFonts w:cstheme="minorHAnsi"/>
          <w:sz w:val="20"/>
          <w:szCs w:val="20"/>
        </w:rPr>
        <w:t>Pagani</w:t>
      </w:r>
      <w:proofErr w:type="spellEnd"/>
      <w:r w:rsidRPr="0031706B">
        <w:rPr>
          <w:rFonts w:cstheme="minorHAnsi"/>
          <w:sz w:val="20"/>
          <w:szCs w:val="20"/>
        </w:rPr>
        <w:t xml:space="preserve">, M., </w:t>
      </w:r>
      <w:proofErr w:type="spellStart"/>
      <w:r w:rsidRPr="0031706B">
        <w:rPr>
          <w:rFonts w:cstheme="minorHAnsi"/>
          <w:sz w:val="20"/>
          <w:szCs w:val="20"/>
        </w:rPr>
        <w:t>Raymo</w:t>
      </w:r>
      <w:proofErr w:type="spellEnd"/>
      <w:r w:rsidRPr="0031706B">
        <w:rPr>
          <w:rFonts w:cstheme="minorHAnsi"/>
          <w:sz w:val="20"/>
          <w:szCs w:val="20"/>
        </w:rPr>
        <w:t xml:space="preserve">, M., Royer, D.L. and </w:t>
      </w:r>
      <w:proofErr w:type="spellStart"/>
      <w:r w:rsidRPr="0031706B">
        <w:rPr>
          <w:rFonts w:cstheme="minorHAnsi"/>
          <w:sz w:val="20"/>
          <w:szCs w:val="20"/>
        </w:rPr>
        <w:t>Zachos</w:t>
      </w:r>
      <w:proofErr w:type="spellEnd"/>
      <w:r w:rsidRPr="0031706B">
        <w:rPr>
          <w:rFonts w:cstheme="minorHAnsi"/>
          <w:sz w:val="20"/>
          <w:szCs w:val="20"/>
        </w:rPr>
        <w:t>, J.C. (2008) Target atmospheric CO</w:t>
      </w:r>
      <w:r w:rsidRPr="0031706B">
        <w:rPr>
          <w:rFonts w:cstheme="minorHAnsi"/>
          <w:sz w:val="20"/>
          <w:szCs w:val="20"/>
          <w:vertAlign w:val="subscript"/>
        </w:rPr>
        <w:t>2</w:t>
      </w:r>
      <w:r w:rsidRPr="0031706B">
        <w:rPr>
          <w:rFonts w:cstheme="minorHAnsi"/>
          <w:sz w:val="20"/>
          <w:szCs w:val="20"/>
        </w:rPr>
        <w:t xml:space="preserve">: Where should humanity aim? </w:t>
      </w:r>
      <w:proofErr w:type="gramStart"/>
      <w:r w:rsidRPr="0031706B">
        <w:rPr>
          <w:rFonts w:cstheme="minorHAnsi"/>
          <w:i/>
          <w:sz w:val="20"/>
          <w:szCs w:val="20"/>
        </w:rPr>
        <w:t>The Open Atmospheric Science Journal.</w:t>
      </w:r>
      <w:proofErr w:type="gramEnd"/>
      <w:r w:rsidRPr="0031706B">
        <w:rPr>
          <w:rFonts w:cstheme="minorHAnsi"/>
          <w:sz w:val="20"/>
          <w:szCs w:val="20"/>
        </w:rPr>
        <w:t xml:space="preserve"> 2, pp. 217-231.</w:t>
      </w:r>
    </w:p>
    <w:p w14:paraId="40438D87"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HM Government (2008a) </w:t>
      </w:r>
      <w:r w:rsidRPr="0031706B">
        <w:rPr>
          <w:rFonts w:cstheme="minorHAnsi"/>
          <w:i/>
          <w:sz w:val="20"/>
          <w:szCs w:val="20"/>
        </w:rPr>
        <w:t xml:space="preserve">Climate Change Act 2008 </w:t>
      </w:r>
      <w:r w:rsidRPr="0031706B">
        <w:rPr>
          <w:rFonts w:cstheme="minorHAnsi"/>
          <w:sz w:val="20"/>
          <w:szCs w:val="20"/>
        </w:rPr>
        <w:t xml:space="preserve">[online]. London: The Stationery Office (415435 19585). Available from: </w:t>
      </w:r>
      <w:hyperlink r:id="rId36" w:history="1">
        <w:r w:rsidRPr="0031706B">
          <w:rPr>
            <w:rStyle w:val="Hyperlink"/>
            <w:rFonts w:cstheme="minorHAnsi"/>
            <w:sz w:val="20"/>
            <w:szCs w:val="20"/>
          </w:rPr>
          <w:t>http://www.legislation.gov.uk/ukpga/2008/27/pdfs/ukpga_20080027_en.pdf</w:t>
        </w:r>
      </w:hyperlink>
    </w:p>
    <w:p w14:paraId="7A995D17" w14:textId="77777777" w:rsidR="008268B2" w:rsidRPr="0031706B" w:rsidRDefault="008268B2" w:rsidP="0032732C">
      <w:pPr>
        <w:spacing w:after="0" w:line="480" w:lineRule="auto"/>
        <w:rPr>
          <w:rFonts w:cstheme="minorHAnsi"/>
          <w:sz w:val="20"/>
          <w:szCs w:val="20"/>
        </w:rPr>
      </w:pPr>
      <w:proofErr w:type="gramStart"/>
      <w:r w:rsidRPr="0031706B">
        <w:rPr>
          <w:rFonts w:cstheme="minorHAnsi"/>
          <w:sz w:val="20"/>
          <w:szCs w:val="20"/>
        </w:rPr>
        <w:t>[Accessed 24 January 2012].</w:t>
      </w:r>
      <w:proofErr w:type="gramEnd"/>
      <w:r w:rsidRPr="0031706B">
        <w:rPr>
          <w:rFonts w:cstheme="minorHAnsi"/>
          <w:sz w:val="20"/>
          <w:szCs w:val="20"/>
        </w:rPr>
        <w:t xml:space="preserve"> </w:t>
      </w:r>
    </w:p>
    <w:p w14:paraId="3E268533" w14:textId="37F81509" w:rsidR="008268B2" w:rsidRPr="0031706B" w:rsidRDefault="008268B2" w:rsidP="0032732C">
      <w:pPr>
        <w:spacing w:after="0" w:line="480" w:lineRule="auto"/>
        <w:rPr>
          <w:rFonts w:cstheme="minorHAnsi"/>
          <w:sz w:val="20"/>
          <w:szCs w:val="20"/>
        </w:rPr>
      </w:pPr>
      <w:r w:rsidRPr="0031706B">
        <w:rPr>
          <w:rFonts w:cstheme="minorHAnsi"/>
          <w:sz w:val="20"/>
          <w:szCs w:val="20"/>
        </w:rPr>
        <w:t>HM Government (2008</w:t>
      </w:r>
      <w:r w:rsidR="00D65082" w:rsidRPr="0031706B">
        <w:rPr>
          <w:rFonts w:cstheme="minorHAnsi"/>
          <w:sz w:val="20"/>
          <w:szCs w:val="20"/>
        </w:rPr>
        <w:t>b</w:t>
      </w:r>
      <w:r w:rsidRPr="0031706B">
        <w:rPr>
          <w:rFonts w:cstheme="minorHAnsi"/>
          <w:sz w:val="20"/>
          <w:szCs w:val="20"/>
        </w:rPr>
        <w:t xml:space="preserve">) </w:t>
      </w:r>
      <w:r w:rsidRPr="0031706B">
        <w:rPr>
          <w:rFonts w:cstheme="minorHAnsi"/>
          <w:i/>
          <w:sz w:val="20"/>
          <w:szCs w:val="20"/>
        </w:rPr>
        <w:t xml:space="preserve">Code of Practice on Consultation </w:t>
      </w:r>
      <w:r w:rsidRPr="0031706B">
        <w:rPr>
          <w:rFonts w:cstheme="minorHAnsi"/>
          <w:sz w:val="20"/>
          <w:szCs w:val="20"/>
        </w:rPr>
        <w:t xml:space="preserve">[online]. London: Department for Business, Enterprise and Regulatory Reform (URN 08/1097). Available from: </w:t>
      </w:r>
      <w:hyperlink r:id="rId37" w:history="1">
        <w:r w:rsidRPr="0031706B">
          <w:rPr>
            <w:rStyle w:val="Hyperlink"/>
            <w:rFonts w:cstheme="minorHAnsi"/>
            <w:sz w:val="20"/>
            <w:szCs w:val="20"/>
          </w:rPr>
          <w:t>http://webarchive.nationalarchives.gov.uk/+/http://www.bis.gov.uk/files/file47158.pdf</w:t>
        </w:r>
      </w:hyperlink>
      <w:r w:rsidRPr="0031706B">
        <w:rPr>
          <w:rFonts w:cstheme="minorHAnsi"/>
          <w:sz w:val="20"/>
          <w:szCs w:val="20"/>
        </w:rPr>
        <w:t xml:space="preserve"> [Accessed 12 January 2012].</w:t>
      </w:r>
    </w:p>
    <w:p w14:paraId="307A6571" w14:textId="0A5DD404" w:rsidR="008268B2" w:rsidRPr="0031706B" w:rsidRDefault="008268B2" w:rsidP="0032732C">
      <w:pPr>
        <w:spacing w:after="0" w:line="480" w:lineRule="auto"/>
        <w:rPr>
          <w:rFonts w:cstheme="minorHAnsi"/>
          <w:sz w:val="20"/>
          <w:szCs w:val="20"/>
          <w:highlight w:val="yellow"/>
        </w:rPr>
      </w:pPr>
      <w:proofErr w:type="gramStart"/>
      <w:r w:rsidRPr="0031706B">
        <w:rPr>
          <w:rFonts w:cstheme="minorHAnsi"/>
          <w:sz w:val="20"/>
          <w:szCs w:val="20"/>
        </w:rPr>
        <w:t xml:space="preserve">HM Government (2010) </w:t>
      </w:r>
      <w:r w:rsidRPr="0031706B">
        <w:rPr>
          <w:rFonts w:cstheme="minorHAnsi"/>
          <w:i/>
          <w:sz w:val="20"/>
          <w:szCs w:val="20"/>
        </w:rPr>
        <w:t xml:space="preserve">2050 Pathways Analysis </w:t>
      </w:r>
      <w:r w:rsidRPr="0031706B">
        <w:rPr>
          <w:rFonts w:cstheme="minorHAnsi"/>
          <w:sz w:val="20"/>
          <w:szCs w:val="20"/>
        </w:rPr>
        <w:t>[online].</w:t>
      </w:r>
      <w:proofErr w:type="gramEnd"/>
      <w:r w:rsidRPr="0031706B">
        <w:rPr>
          <w:rFonts w:cstheme="minorHAnsi"/>
          <w:sz w:val="20"/>
          <w:szCs w:val="20"/>
        </w:rPr>
        <w:t xml:space="preserve"> London: Department of Energy and Climate Change (URN 10D/764). Available from: </w:t>
      </w:r>
      <w:hyperlink r:id="rId38" w:history="1">
        <w:r w:rsidRPr="0031706B">
          <w:rPr>
            <w:rStyle w:val="Hyperlink"/>
            <w:rFonts w:cstheme="minorHAnsi"/>
            <w:sz w:val="20"/>
            <w:szCs w:val="20"/>
          </w:rPr>
          <w:t>http://www.decc.gov.uk/assets/decc/What%20we%20do/A%20low%20carbon%20UK/2050/216-2050-pathways-analysis-report.pdf</w:t>
        </w:r>
      </w:hyperlink>
      <w:r w:rsidRPr="0031706B">
        <w:rPr>
          <w:rFonts w:cstheme="minorHAnsi"/>
          <w:sz w:val="20"/>
          <w:szCs w:val="20"/>
        </w:rPr>
        <w:t xml:space="preserve"> [Accessed 12 January 2012]. </w:t>
      </w:r>
    </w:p>
    <w:p w14:paraId="7D093C73" w14:textId="777C558F" w:rsidR="008268B2" w:rsidRPr="0031706B" w:rsidRDefault="008268B2" w:rsidP="0032732C">
      <w:pPr>
        <w:spacing w:after="0" w:line="480" w:lineRule="auto"/>
        <w:rPr>
          <w:rFonts w:cstheme="minorHAnsi"/>
          <w:sz w:val="20"/>
          <w:szCs w:val="20"/>
        </w:rPr>
      </w:pPr>
      <w:proofErr w:type="spellStart"/>
      <w:r w:rsidRPr="0031706B">
        <w:rPr>
          <w:rFonts w:cstheme="minorHAnsi"/>
          <w:sz w:val="20"/>
          <w:szCs w:val="20"/>
        </w:rPr>
        <w:t>Ipsos</w:t>
      </w:r>
      <w:proofErr w:type="spellEnd"/>
      <w:r w:rsidRPr="0031706B">
        <w:rPr>
          <w:rFonts w:cstheme="minorHAnsi"/>
          <w:sz w:val="20"/>
          <w:szCs w:val="20"/>
        </w:rPr>
        <w:t xml:space="preserve"> MORI (2011) </w:t>
      </w:r>
      <w:r w:rsidRPr="0031706B">
        <w:rPr>
          <w:rFonts w:cstheme="minorHAnsi"/>
          <w:i/>
          <w:sz w:val="20"/>
          <w:szCs w:val="20"/>
        </w:rPr>
        <w:t xml:space="preserve">My2050 Simulation Analysis </w:t>
      </w:r>
      <w:r w:rsidRPr="0031706B">
        <w:rPr>
          <w:rFonts w:cstheme="minorHAnsi"/>
          <w:sz w:val="20"/>
          <w:szCs w:val="20"/>
        </w:rPr>
        <w:t>[online]</w:t>
      </w:r>
      <w:r w:rsidRPr="0031706B">
        <w:rPr>
          <w:rFonts w:cstheme="minorHAnsi"/>
          <w:i/>
          <w:sz w:val="20"/>
          <w:szCs w:val="20"/>
        </w:rPr>
        <w:t>.</w:t>
      </w:r>
      <w:r w:rsidRPr="0031706B">
        <w:rPr>
          <w:rFonts w:cstheme="minorHAnsi"/>
          <w:sz w:val="20"/>
          <w:szCs w:val="20"/>
        </w:rPr>
        <w:t xml:space="preserve"> Available from: </w:t>
      </w:r>
      <w:hyperlink r:id="rId39" w:history="1">
        <w:r w:rsidRPr="0031706B">
          <w:rPr>
            <w:rStyle w:val="Hyperlink"/>
            <w:rFonts w:cstheme="minorHAnsi"/>
            <w:sz w:val="20"/>
            <w:szCs w:val="20"/>
          </w:rPr>
          <w:t>http://www.decc.gov.uk/assets/decc/11/tackling-climate-change/2050/3681-my2050-simulation-analysis-may-2011.pdf</w:t>
        </w:r>
      </w:hyperlink>
      <w:r w:rsidRPr="0031706B">
        <w:rPr>
          <w:rFonts w:cstheme="minorHAnsi"/>
          <w:sz w:val="20"/>
          <w:szCs w:val="20"/>
        </w:rPr>
        <w:t xml:space="preserve"> [Accessed 23 January 2012].</w:t>
      </w:r>
    </w:p>
    <w:p w14:paraId="31F7EB51" w14:textId="77777777" w:rsidR="008268B2" w:rsidRPr="0031706B" w:rsidRDefault="008268B2" w:rsidP="0032732C">
      <w:pPr>
        <w:spacing w:after="0" w:line="480" w:lineRule="auto"/>
        <w:rPr>
          <w:rFonts w:cstheme="minorHAnsi"/>
          <w:sz w:val="20"/>
          <w:szCs w:val="20"/>
        </w:rPr>
      </w:pPr>
      <w:proofErr w:type="gramStart"/>
      <w:r w:rsidRPr="0031706B">
        <w:rPr>
          <w:rFonts w:cstheme="minorHAnsi"/>
          <w:sz w:val="20"/>
          <w:szCs w:val="20"/>
        </w:rPr>
        <w:t xml:space="preserve">Jackson, T. (2005) </w:t>
      </w:r>
      <w:r w:rsidRPr="0031706B">
        <w:rPr>
          <w:rFonts w:cstheme="minorHAnsi"/>
          <w:i/>
          <w:sz w:val="20"/>
          <w:szCs w:val="20"/>
        </w:rPr>
        <w:t xml:space="preserve">Motivating Sustainable Consumption: a review of evidence on consumer behaviour and </w:t>
      </w:r>
      <w:proofErr w:type="spellStart"/>
      <w:r w:rsidRPr="0031706B">
        <w:rPr>
          <w:rFonts w:cstheme="minorHAnsi"/>
          <w:i/>
          <w:sz w:val="20"/>
          <w:szCs w:val="20"/>
        </w:rPr>
        <w:t>behavioural</w:t>
      </w:r>
      <w:proofErr w:type="spellEnd"/>
      <w:r w:rsidRPr="0031706B">
        <w:rPr>
          <w:rFonts w:cstheme="minorHAnsi"/>
          <w:i/>
          <w:sz w:val="20"/>
          <w:szCs w:val="20"/>
        </w:rPr>
        <w:t xml:space="preserve"> change </w:t>
      </w:r>
      <w:r w:rsidRPr="0031706B">
        <w:rPr>
          <w:rFonts w:cstheme="minorHAnsi"/>
          <w:sz w:val="20"/>
          <w:szCs w:val="20"/>
        </w:rPr>
        <w:t>[online]</w:t>
      </w:r>
      <w:r w:rsidRPr="0031706B">
        <w:rPr>
          <w:rFonts w:cstheme="minorHAnsi"/>
          <w:i/>
          <w:sz w:val="20"/>
          <w:szCs w:val="20"/>
        </w:rPr>
        <w:t>.</w:t>
      </w:r>
      <w:proofErr w:type="gramEnd"/>
      <w:r w:rsidRPr="0031706B">
        <w:rPr>
          <w:rFonts w:cstheme="minorHAnsi"/>
          <w:sz w:val="20"/>
          <w:szCs w:val="20"/>
        </w:rPr>
        <w:t xml:space="preserve"> Centre for Environmental Strategy, University </w:t>
      </w:r>
      <w:r w:rsidRPr="0031706B">
        <w:rPr>
          <w:rFonts w:cstheme="minorHAnsi"/>
          <w:sz w:val="20"/>
          <w:szCs w:val="20"/>
        </w:rPr>
        <w:lastRenderedPageBreak/>
        <w:t xml:space="preserve">of Surrey (for the Sustainable Development Research Network). Available from: </w:t>
      </w:r>
      <w:hyperlink r:id="rId40" w:history="1">
        <w:r w:rsidRPr="0031706B">
          <w:rPr>
            <w:rStyle w:val="Hyperlink"/>
            <w:rFonts w:cstheme="minorHAnsi"/>
            <w:sz w:val="20"/>
            <w:szCs w:val="20"/>
          </w:rPr>
          <w:t>http://www.c2p2online.com/documents/MotivatingSC.pdf</w:t>
        </w:r>
      </w:hyperlink>
      <w:r w:rsidRPr="0031706B">
        <w:rPr>
          <w:rFonts w:cstheme="minorHAnsi"/>
          <w:sz w:val="20"/>
          <w:szCs w:val="20"/>
        </w:rPr>
        <w:t xml:space="preserve"> [Accessed 17 March 2012].</w:t>
      </w:r>
    </w:p>
    <w:p w14:paraId="3EF13021" w14:textId="77777777" w:rsidR="008268B2" w:rsidRPr="0031706B" w:rsidRDefault="008268B2" w:rsidP="0032732C">
      <w:pPr>
        <w:spacing w:after="0" w:line="480" w:lineRule="auto"/>
        <w:rPr>
          <w:rFonts w:cstheme="minorHAnsi"/>
          <w:sz w:val="20"/>
          <w:szCs w:val="20"/>
        </w:rPr>
      </w:pPr>
      <w:proofErr w:type="spellStart"/>
      <w:r w:rsidRPr="0031706B">
        <w:rPr>
          <w:rFonts w:cstheme="minorHAnsi"/>
          <w:sz w:val="20"/>
          <w:szCs w:val="20"/>
        </w:rPr>
        <w:t>Jamasb</w:t>
      </w:r>
      <w:proofErr w:type="spellEnd"/>
      <w:r w:rsidRPr="0031706B">
        <w:rPr>
          <w:rFonts w:cstheme="minorHAnsi"/>
          <w:sz w:val="20"/>
          <w:szCs w:val="20"/>
        </w:rPr>
        <w:t xml:space="preserve">, T. and Pollitt, M. (2011) </w:t>
      </w:r>
      <w:r w:rsidRPr="0031706B">
        <w:rPr>
          <w:rFonts w:cstheme="minorHAnsi"/>
          <w:i/>
          <w:sz w:val="20"/>
          <w:szCs w:val="20"/>
        </w:rPr>
        <w:t>The Future of Electricity Demand: Customers, Citizens and Loads</w:t>
      </w:r>
      <w:r w:rsidRPr="0031706B">
        <w:rPr>
          <w:rFonts w:cstheme="minorHAnsi"/>
          <w:sz w:val="20"/>
          <w:szCs w:val="20"/>
        </w:rPr>
        <w:t>. Cambridge: Cambridge University Press.</w:t>
      </w:r>
    </w:p>
    <w:p w14:paraId="6B25640B" w14:textId="4B0C8C9B" w:rsidR="00DB009E" w:rsidRPr="0031706B" w:rsidRDefault="008268B2" w:rsidP="0032732C">
      <w:pPr>
        <w:spacing w:after="0" w:line="480" w:lineRule="auto"/>
        <w:rPr>
          <w:rFonts w:cstheme="minorHAnsi"/>
          <w:sz w:val="20"/>
          <w:szCs w:val="20"/>
        </w:rPr>
      </w:pPr>
      <w:r w:rsidRPr="0031706B">
        <w:rPr>
          <w:rFonts w:cstheme="minorHAnsi"/>
          <w:sz w:val="20"/>
          <w:szCs w:val="20"/>
        </w:rPr>
        <w:t xml:space="preserve">Jones, C.R. and </w:t>
      </w:r>
      <w:proofErr w:type="spellStart"/>
      <w:r w:rsidRPr="0031706B">
        <w:rPr>
          <w:rFonts w:cstheme="minorHAnsi"/>
          <w:sz w:val="20"/>
          <w:szCs w:val="20"/>
        </w:rPr>
        <w:t>Eiser</w:t>
      </w:r>
      <w:proofErr w:type="spellEnd"/>
      <w:r w:rsidRPr="0031706B">
        <w:rPr>
          <w:rFonts w:cstheme="minorHAnsi"/>
          <w:sz w:val="20"/>
          <w:szCs w:val="20"/>
        </w:rPr>
        <w:t xml:space="preserve">, J.R. (2010) Understanding ‘local’ opposition to wind development in the UK: How big is a backyard? </w:t>
      </w:r>
      <w:proofErr w:type="gramStart"/>
      <w:r w:rsidRPr="0031706B">
        <w:rPr>
          <w:rFonts w:cstheme="minorHAnsi"/>
          <w:i/>
          <w:sz w:val="20"/>
          <w:szCs w:val="20"/>
        </w:rPr>
        <w:t>Energy Policy.</w:t>
      </w:r>
      <w:proofErr w:type="gramEnd"/>
      <w:r w:rsidRPr="0031706B">
        <w:rPr>
          <w:rFonts w:cstheme="minorHAnsi"/>
          <w:sz w:val="20"/>
          <w:szCs w:val="20"/>
        </w:rPr>
        <w:t xml:space="preserve"> 38 (6), pp. 3106-3117</w:t>
      </w:r>
      <w:r w:rsidR="00DB009E" w:rsidRPr="0031706B">
        <w:rPr>
          <w:rFonts w:cstheme="minorHAnsi"/>
          <w:sz w:val="20"/>
          <w:szCs w:val="20"/>
        </w:rPr>
        <w:t>.</w:t>
      </w:r>
    </w:p>
    <w:p w14:paraId="3053659A" w14:textId="77777777" w:rsidR="00BE4458" w:rsidRPr="0031706B" w:rsidRDefault="00DB009E" w:rsidP="0032732C">
      <w:pPr>
        <w:spacing w:after="0" w:line="480" w:lineRule="auto"/>
        <w:rPr>
          <w:rFonts w:cstheme="minorHAnsi"/>
          <w:sz w:val="20"/>
          <w:szCs w:val="20"/>
        </w:rPr>
      </w:pPr>
      <w:proofErr w:type="spellStart"/>
      <w:r w:rsidRPr="0031706B">
        <w:rPr>
          <w:rFonts w:cstheme="minorHAnsi"/>
          <w:sz w:val="20"/>
          <w:szCs w:val="20"/>
        </w:rPr>
        <w:t>Kahneman</w:t>
      </w:r>
      <w:proofErr w:type="spellEnd"/>
      <w:r w:rsidRPr="0031706B">
        <w:rPr>
          <w:rFonts w:cstheme="minorHAnsi"/>
          <w:sz w:val="20"/>
          <w:szCs w:val="20"/>
        </w:rPr>
        <w:t xml:space="preserve">, D. (1991) </w:t>
      </w:r>
      <w:proofErr w:type="gramStart"/>
      <w:r w:rsidRPr="0031706B">
        <w:rPr>
          <w:rFonts w:cstheme="minorHAnsi"/>
          <w:sz w:val="20"/>
          <w:szCs w:val="20"/>
        </w:rPr>
        <w:t>The</w:t>
      </w:r>
      <w:proofErr w:type="gramEnd"/>
      <w:r w:rsidRPr="0031706B">
        <w:rPr>
          <w:rFonts w:cstheme="minorHAnsi"/>
          <w:sz w:val="20"/>
          <w:szCs w:val="20"/>
        </w:rPr>
        <w:t xml:space="preserve"> endowment affect, loss aversion and status quo bias</w:t>
      </w:r>
      <w:r w:rsidR="00AA167B" w:rsidRPr="0031706B">
        <w:rPr>
          <w:rFonts w:cstheme="minorHAnsi"/>
          <w:sz w:val="20"/>
          <w:szCs w:val="20"/>
        </w:rPr>
        <w:t>.</w:t>
      </w:r>
      <w:r w:rsidRPr="0031706B">
        <w:rPr>
          <w:rFonts w:cstheme="minorHAnsi"/>
          <w:sz w:val="20"/>
          <w:szCs w:val="20"/>
        </w:rPr>
        <w:t xml:space="preserve"> </w:t>
      </w:r>
      <w:proofErr w:type="gramStart"/>
      <w:r w:rsidRPr="0031706B">
        <w:rPr>
          <w:rFonts w:cstheme="minorHAnsi"/>
          <w:i/>
          <w:sz w:val="20"/>
          <w:szCs w:val="20"/>
        </w:rPr>
        <w:t>Journal of Economic Perspectives</w:t>
      </w:r>
      <w:r w:rsidR="00AA167B" w:rsidRPr="0031706B">
        <w:rPr>
          <w:rFonts w:cstheme="minorHAnsi"/>
          <w:sz w:val="20"/>
          <w:szCs w:val="20"/>
        </w:rPr>
        <w:t>.</w:t>
      </w:r>
      <w:proofErr w:type="gramEnd"/>
      <w:r w:rsidRPr="0031706B">
        <w:rPr>
          <w:rFonts w:cstheme="minorHAnsi"/>
          <w:sz w:val="20"/>
          <w:szCs w:val="20"/>
        </w:rPr>
        <w:t xml:space="preserve"> 5</w:t>
      </w:r>
      <w:r w:rsidR="00AA167B" w:rsidRPr="0031706B">
        <w:rPr>
          <w:rFonts w:cstheme="minorHAnsi"/>
          <w:sz w:val="20"/>
          <w:szCs w:val="20"/>
        </w:rPr>
        <w:t xml:space="preserve"> (</w:t>
      </w:r>
      <w:r w:rsidRPr="0031706B">
        <w:rPr>
          <w:rFonts w:cstheme="minorHAnsi"/>
          <w:sz w:val="20"/>
          <w:szCs w:val="20"/>
        </w:rPr>
        <w:t>1</w:t>
      </w:r>
      <w:r w:rsidR="00AA167B" w:rsidRPr="0031706B">
        <w:rPr>
          <w:rFonts w:cstheme="minorHAnsi"/>
          <w:sz w:val="20"/>
          <w:szCs w:val="20"/>
        </w:rPr>
        <w:t>)</w:t>
      </w:r>
      <w:r w:rsidRPr="0031706B">
        <w:rPr>
          <w:rFonts w:cstheme="minorHAnsi"/>
          <w:sz w:val="20"/>
          <w:szCs w:val="20"/>
        </w:rPr>
        <w:t>, pp</w:t>
      </w:r>
      <w:r w:rsidR="00AA167B" w:rsidRPr="0031706B">
        <w:rPr>
          <w:rFonts w:cstheme="minorHAnsi"/>
          <w:sz w:val="20"/>
          <w:szCs w:val="20"/>
        </w:rPr>
        <w:t xml:space="preserve">. </w:t>
      </w:r>
      <w:r w:rsidRPr="0031706B">
        <w:rPr>
          <w:rFonts w:cstheme="minorHAnsi"/>
          <w:sz w:val="20"/>
          <w:szCs w:val="20"/>
        </w:rPr>
        <w:t>193-206.</w:t>
      </w:r>
    </w:p>
    <w:p w14:paraId="044760CE" w14:textId="0A6D80F7" w:rsidR="008268B2" w:rsidRPr="0031706B" w:rsidRDefault="008268B2" w:rsidP="0032732C">
      <w:pPr>
        <w:spacing w:after="0" w:line="480" w:lineRule="auto"/>
        <w:rPr>
          <w:rFonts w:cstheme="minorHAnsi"/>
          <w:sz w:val="20"/>
          <w:szCs w:val="20"/>
        </w:rPr>
      </w:pPr>
      <w:proofErr w:type="spellStart"/>
      <w:r w:rsidRPr="0031706B">
        <w:rPr>
          <w:rFonts w:cstheme="minorHAnsi"/>
          <w:sz w:val="20"/>
          <w:szCs w:val="20"/>
        </w:rPr>
        <w:t>Lempert</w:t>
      </w:r>
      <w:proofErr w:type="spellEnd"/>
      <w:r w:rsidRPr="0031706B">
        <w:rPr>
          <w:rFonts w:cstheme="minorHAnsi"/>
          <w:sz w:val="20"/>
          <w:szCs w:val="20"/>
        </w:rPr>
        <w:t xml:space="preserve">, R., Popper, S. and </w:t>
      </w:r>
      <w:proofErr w:type="spellStart"/>
      <w:r w:rsidRPr="0031706B">
        <w:rPr>
          <w:rFonts w:cstheme="minorHAnsi"/>
          <w:sz w:val="20"/>
          <w:szCs w:val="20"/>
        </w:rPr>
        <w:t>Bankes</w:t>
      </w:r>
      <w:proofErr w:type="spellEnd"/>
      <w:r w:rsidRPr="0031706B">
        <w:rPr>
          <w:rFonts w:cstheme="minorHAnsi"/>
          <w:sz w:val="20"/>
          <w:szCs w:val="20"/>
        </w:rPr>
        <w:t xml:space="preserve">, S. (2003) </w:t>
      </w:r>
      <w:r w:rsidRPr="0031706B">
        <w:rPr>
          <w:rFonts w:cstheme="minorHAnsi"/>
          <w:i/>
          <w:sz w:val="20"/>
          <w:szCs w:val="20"/>
        </w:rPr>
        <w:t>Shaping the Next One Hundred Years: New Methods for Quantitative, Long-Term Policy Analysis.</w:t>
      </w:r>
      <w:r w:rsidRPr="0031706B">
        <w:rPr>
          <w:rFonts w:cstheme="minorHAnsi"/>
          <w:sz w:val="20"/>
          <w:szCs w:val="20"/>
        </w:rPr>
        <w:t xml:space="preserve"> Santa Monica, USA: RAND.</w:t>
      </w:r>
    </w:p>
    <w:p w14:paraId="1E07C9CF" w14:textId="77777777" w:rsidR="008268B2" w:rsidRPr="0031706B" w:rsidRDefault="00911F3C" w:rsidP="0032732C">
      <w:pPr>
        <w:spacing w:after="0" w:line="480" w:lineRule="auto"/>
        <w:rPr>
          <w:rFonts w:cstheme="minorHAnsi"/>
          <w:sz w:val="20"/>
          <w:szCs w:val="20"/>
        </w:rPr>
      </w:pPr>
      <w:proofErr w:type="spellStart"/>
      <w:r w:rsidRPr="0031706B">
        <w:rPr>
          <w:rFonts w:cstheme="minorHAnsi"/>
          <w:sz w:val="20"/>
          <w:szCs w:val="20"/>
        </w:rPr>
        <w:t>Lidskog</w:t>
      </w:r>
      <w:proofErr w:type="spellEnd"/>
      <w:r w:rsidRPr="0031706B">
        <w:rPr>
          <w:rFonts w:cstheme="minorHAnsi"/>
          <w:sz w:val="20"/>
          <w:szCs w:val="20"/>
        </w:rPr>
        <w:t xml:space="preserve">, R. and </w:t>
      </w:r>
      <w:proofErr w:type="spellStart"/>
      <w:r w:rsidRPr="0031706B">
        <w:rPr>
          <w:rFonts w:cstheme="minorHAnsi"/>
          <w:sz w:val="20"/>
          <w:szCs w:val="20"/>
        </w:rPr>
        <w:t>Elander</w:t>
      </w:r>
      <w:proofErr w:type="spellEnd"/>
      <w:r w:rsidRPr="0031706B">
        <w:rPr>
          <w:rFonts w:cstheme="minorHAnsi"/>
          <w:sz w:val="20"/>
          <w:szCs w:val="20"/>
        </w:rPr>
        <w:t xml:space="preserve">, I. (2010) Addressing climate change democratically. </w:t>
      </w:r>
      <w:proofErr w:type="gramStart"/>
      <w:r w:rsidRPr="0031706B">
        <w:rPr>
          <w:rFonts w:cstheme="minorHAnsi"/>
          <w:sz w:val="20"/>
          <w:szCs w:val="20"/>
        </w:rPr>
        <w:t>Multi-level governance, transitional networks and governmental structures.</w:t>
      </w:r>
      <w:proofErr w:type="gramEnd"/>
      <w:r w:rsidRPr="0031706B">
        <w:rPr>
          <w:rFonts w:cstheme="minorHAnsi"/>
          <w:sz w:val="20"/>
          <w:szCs w:val="20"/>
        </w:rPr>
        <w:t xml:space="preserve"> </w:t>
      </w:r>
      <w:proofErr w:type="gramStart"/>
      <w:r w:rsidRPr="0031706B">
        <w:rPr>
          <w:rFonts w:cstheme="minorHAnsi"/>
          <w:i/>
          <w:sz w:val="20"/>
          <w:szCs w:val="20"/>
        </w:rPr>
        <w:t>Sustainable Development</w:t>
      </w:r>
      <w:r w:rsidRPr="0031706B">
        <w:rPr>
          <w:rFonts w:cstheme="minorHAnsi"/>
          <w:sz w:val="20"/>
          <w:szCs w:val="20"/>
        </w:rPr>
        <w:t>.</w:t>
      </w:r>
      <w:proofErr w:type="gramEnd"/>
      <w:r w:rsidRPr="0031706B">
        <w:rPr>
          <w:rFonts w:cstheme="minorHAnsi"/>
          <w:sz w:val="20"/>
          <w:szCs w:val="20"/>
        </w:rPr>
        <w:t xml:space="preserve"> 18 (1), pp. 32-41. </w:t>
      </w:r>
    </w:p>
    <w:p w14:paraId="2BD5C41F"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Lynn, P. and </w:t>
      </w:r>
      <w:proofErr w:type="spellStart"/>
      <w:r w:rsidRPr="0031706B">
        <w:rPr>
          <w:rFonts w:cstheme="minorHAnsi"/>
          <w:sz w:val="20"/>
          <w:szCs w:val="20"/>
        </w:rPr>
        <w:t>Longhi</w:t>
      </w:r>
      <w:proofErr w:type="spellEnd"/>
      <w:r w:rsidRPr="0031706B">
        <w:rPr>
          <w:rFonts w:cstheme="minorHAnsi"/>
          <w:sz w:val="20"/>
          <w:szCs w:val="20"/>
        </w:rPr>
        <w:t>, S. (2011) Environmental attitudes and behaviour: who cares</w:t>
      </w:r>
      <w:r w:rsidRPr="0031706B">
        <w:rPr>
          <w:rFonts w:cstheme="minorHAnsi"/>
          <w:i/>
          <w:sz w:val="20"/>
          <w:szCs w:val="20"/>
        </w:rPr>
        <w:t xml:space="preserve"> </w:t>
      </w:r>
      <w:r w:rsidRPr="0031706B">
        <w:rPr>
          <w:rFonts w:cstheme="minorHAnsi"/>
          <w:sz w:val="20"/>
          <w:szCs w:val="20"/>
        </w:rPr>
        <w:t xml:space="preserve">about climate change? In: </w:t>
      </w:r>
      <w:proofErr w:type="spellStart"/>
      <w:r w:rsidRPr="0031706B">
        <w:rPr>
          <w:rFonts w:cstheme="minorHAnsi"/>
          <w:sz w:val="20"/>
          <w:szCs w:val="20"/>
        </w:rPr>
        <w:t>McFall</w:t>
      </w:r>
      <w:proofErr w:type="spellEnd"/>
      <w:r w:rsidRPr="0031706B">
        <w:rPr>
          <w:rFonts w:cstheme="minorHAnsi"/>
          <w:sz w:val="20"/>
          <w:szCs w:val="20"/>
        </w:rPr>
        <w:t xml:space="preserve">, S. L. and </w:t>
      </w:r>
      <w:proofErr w:type="spellStart"/>
      <w:r w:rsidRPr="0031706B">
        <w:rPr>
          <w:rFonts w:cstheme="minorHAnsi"/>
          <w:sz w:val="20"/>
          <w:szCs w:val="20"/>
        </w:rPr>
        <w:t>Garrington</w:t>
      </w:r>
      <w:proofErr w:type="spellEnd"/>
      <w:r w:rsidRPr="0031706B">
        <w:rPr>
          <w:rFonts w:cstheme="minorHAnsi"/>
          <w:sz w:val="20"/>
          <w:szCs w:val="20"/>
        </w:rPr>
        <w:t xml:space="preserve">, C. (Eds.) (2011) </w:t>
      </w:r>
      <w:r w:rsidRPr="0031706B">
        <w:rPr>
          <w:rFonts w:cstheme="minorHAnsi"/>
          <w:i/>
          <w:sz w:val="20"/>
          <w:szCs w:val="20"/>
        </w:rPr>
        <w:t>Early findings</w:t>
      </w:r>
      <w:r w:rsidRPr="0031706B">
        <w:rPr>
          <w:rFonts w:cstheme="minorHAnsi"/>
          <w:i/>
          <w:color w:val="262830"/>
          <w:sz w:val="20"/>
          <w:szCs w:val="20"/>
        </w:rPr>
        <w:t xml:space="preserve"> </w:t>
      </w:r>
      <w:r w:rsidRPr="0031706B">
        <w:rPr>
          <w:rFonts w:cstheme="minorHAnsi"/>
          <w:i/>
          <w:sz w:val="20"/>
          <w:szCs w:val="20"/>
        </w:rPr>
        <w:t>from the first wave of the UK’s household longitudinal study</w:t>
      </w:r>
      <w:r w:rsidRPr="0031706B">
        <w:rPr>
          <w:rFonts w:cstheme="minorHAnsi"/>
          <w:sz w:val="20"/>
          <w:szCs w:val="20"/>
        </w:rPr>
        <w:t>. Colchester: Institute for Social and Economic Research, University of Essex, pp. 109-116.</w:t>
      </w:r>
    </w:p>
    <w:p w14:paraId="7E69C54D" w14:textId="77777777" w:rsidR="008268B2" w:rsidRPr="0031706B" w:rsidRDefault="008268B2" w:rsidP="0032732C">
      <w:pPr>
        <w:spacing w:after="0" w:line="480" w:lineRule="auto"/>
        <w:rPr>
          <w:rFonts w:cstheme="minorHAnsi"/>
          <w:sz w:val="20"/>
          <w:szCs w:val="20"/>
        </w:rPr>
      </w:pPr>
      <w:proofErr w:type="gramStart"/>
      <w:r w:rsidRPr="0031706B">
        <w:rPr>
          <w:rFonts w:cstheme="minorHAnsi"/>
          <w:sz w:val="20"/>
          <w:szCs w:val="20"/>
        </w:rPr>
        <w:t xml:space="preserve">MacKay, D. (2009) </w:t>
      </w:r>
      <w:r w:rsidRPr="0031706B">
        <w:rPr>
          <w:rFonts w:cstheme="minorHAnsi"/>
          <w:i/>
          <w:sz w:val="20"/>
          <w:szCs w:val="20"/>
        </w:rPr>
        <w:t>Sustainable Energy - without the hot air</w:t>
      </w:r>
      <w:r w:rsidRPr="0031706B">
        <w:rPr>
          <w:rFonts w:cstheme="minorHAnsi"/>
          <w:sz w:val="20"/>
          <w:szCs w:val="20"/>
        </w:rPr>
        <w:t>.</w:t>
      </w:r>
      <w:proofErr w:type="gramEnd"/>
      <w:r w:rsidRPr="0031706B">
        <w:rPr>
          <w:rFonts w:cstheme="minorHAnsi"/>
          <w:sz w:val="20"/>
          <w:szCs w:val="20"/>
        </w:rPr>
        <w:t xml:space="preserve"> Cambridge: UIT Cambridge Ltd.</w:t>
      </w:r>
    </w:p>
    <w:p w14:paraId="674D1DD1"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National Audit Office (2012) </w:t>
      </w:r>
      <w:r w:rsidRPr="0031706B">
        <w:rPr>
          <w:rFonts w:cstheme="minorHAnsi"/>
          <w:i/>
          <w:sz w:val="20"/>
          <w:szCs w:val="20"/>
        </w:rPr>
        <w:t>Carbon Capture and Storage: Lessons from the Competition for the First UK Demonstration.</w:t>
      </w:r>
      <w:r w:rsidRPr="0031706B">
        <w:rPr>
          <w:rFonts w:cstheme="minorHAnsi"/>
          <w:sz w:val="20"/>
          <w:szCs w:val="20"/>
        </w:rPr>
        <w:t xml:space="preserve"> London: The Stationery Office (HC 1829).</w:t>
      </w:r>
    </w:p>
    <w:p w14:paraId="3A357F35" w14:textId="77777777" w:rsidR="008268B2" w:rsidRPr="0031706B" w:rsidRDefault="008268B2" w:rsidP="0032732C">
      <w:pPr>
        <w:spacing w:after="0" w:line="480" w:lineRule="auto"/>
        <w:rPr>
          <w:rFonts w:cstheme="minorHAnsi"/>
          <w:sz w:val="20"/>
          <w:szCs w:val="20"/>
        </w:rPr>
      </w:pPr>
      <w:proofErr w:type="gramStart"/>
      <w:r w:rsidRPr="0031706B">
        <w:rPr>
          <w:rFonts w:cstheme="minorHAnsi"/>
          <w:sz w:val="20"/>
          <w:szCs w:val="20"/>
        </w:rPr>
        <w:t xml:space="preserve">National Centre for Social Research (2012) </w:t>
      </w:r>
      <w:r w:rsidRPr="0031706B">
        <w:rPr>
          <w:rFonts w:cstheme="minorHAnsi"/>
          <w:i/>
          <w:sz w:val="20"/>
          <w:szCs w:val="20"/>
        </w:rPr>
        <w:t>British Social Attitudes 28</w:t>
      </w:r>
      <w:r w:rsidRPr="0031706B">
        <w:rPr>
          <w:rFonts w:cstheme="minorHAnsi"/>
          <w:sz w:val="20"/>
          <w:szCs w:val="20"/>
        </w:rPr>
        <w:t>.</w:t>
      </w:r>
      <w:proofErr w:type="gramEnd"/>
      <w:r w:rsidRPr="0031706B">
        <w:rPr>
          <w:rFonts w:cstheme="minorHAnsi"/>
          <w:sz w:val="20"/>
          <w:szCs w:val="20"/>
        </w:rPr>
        <w:t xml:space="preserve"> London: Sage Publications Ltd.  </w:t>
      </w:r>
    </w:p>
    <w:p w14:paraId="781CE793"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National Consumer Council (2008) </w:t>
      </w:r>
      <w:r w:rsidRPr="0031706B">
        <w:rPr>
          <w:rFonts w:cstheme="minorHAnsi"/>
          <w:i/>
          <w:sz w:val="20"/>
          <w:szCs w:val="20"/>
        </w:rPr>
        <w:t xml:space="preserve">Deliberative public engagement: nine principles </w:t>
      </w:r>
      <w:r w:rsidRPr="0031706B">
        <w:rPr>
          <w:rFonts w:cstheme="minorHAnsi"/>
          <w:sz w:val="20"/>
          <w:szCs w:val="20"/>
        </w:rPr>
        <w:t xml:space="preserve">[online]. London: National Consumer Council (PD 23/08). Available from: </w:t>
      </w:r>
      <w:hyperlink r:id="rId41" w:history="1">
        <w:r w:rsidRPr="0031706B">
          <w:rPr>
            <w:rStyle w:val="Hyperlink"/>
            <w:rFonts w:cstheme="minorHAnsi"/>
            <w:sz w:val="20"/>
            <w:szCs w:val="20"/>
          </w:rPr>
          <w:t>http://www.involve.org.uk/wp-content/uploads/2011/03/Deliberative-public-engagement-nine-principles.pdf</w:t>
        </w:r>
      </w:hyperlink>
      <w:r w:rsidRPr="0031706B">
        <w:rPr>
          <w:rFonts w:cstheme="minorHAnsi"/>
          <w:sz w:val="20"/>
          <w:szCs w:val="20"/>
        </w:rPr>
        <w:t xml:space="preserve"> [Accessed 12 January 2012].</w:t>
      </w:r>
    </w:p>
    <w:p w14:paraId="257AB4C8"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Nicholson, E. (2011) From Here to 2050. </w:t>
      </w:r>
      <w:proofErr w:type="gramStart"/>
      <w:r w:rsidRPr="0031706B">
        <w:rPr>
          <w:rFonts w:cstheme="minorHAnsi"/>
          <w:i/>
          <w:sz w:val="20"/>
          <w:szCs w:val="20"/>
        </w:rPr>
        <w:t>Construction Research and Innovation.</w:t>
      </w:r>
      <w:proofErr w:type="gramEnd"/>
      <w:r w:rsidRPr="0031706B">
        <w:rPr>
          <w:rFonts w:cstheme="minorHAnsi"/>
          <w:sz w:val="20"/>
          <w:szCs w:val="20"/>
        </w:rPr>
        <w:t xml:space="preserve"> 2, pp. 24-27. </w:t>
      </w:r>
    </w:p>
    <w:p w14:paraId="5DAB2A80" w14:textId="5FA71084" w:rsidR="00870ABB" w:rsidRPr="0031706B" w:rsidRDefault="00DA6DCE" w:rsidP="00870ABB">
      <w:pPr>
        <w:spacing w:after="0" w:line="480" w:lineRule="auto"/>
        <w:rPr>
          <w:rFonts w:cstheme="minorHAnsi"/>
          <w:sz w:val="20"/>
          <w:szCs w:val="20"/>
        </w:rPr>
      </w:pPr>
      <w:r w:rsidRPr="0031706B">
        <w:rPr>
          <w:sz w:val="20"/>
          <w:szCs w:val="20"/>
        </w:rPr>
        <w:lastRenderedPageBreak/>
        <w:t>Office for National Statistics</w:t>
      </w:r>
      <w:r w:rsidR="00870ABB" w:rsidRPr="0031706B">
        <w:rPr>
          <w:sz w:val="20"/>
          <w:szCs w:val="20"/>
        </w:rPr>
        <w:t xml:space="preserve"> (</w:t>
      </w:r>
      <w:r w:rsidRPr="0031706B">
        <w:rPr>
          <w:sz w:val="20"/>
          <w:szCs w:val="20"/>
        </w:rPr>
        <w:t>2001</w:t>
      </w:r>
      <w:r w:rsidR="00870ABB" w:rsidRPr="0031706B">
        <w:rPr>
          <w:sz w:val="20"/>
          <w:szCs w:val="20"/>
        </w:rPr>
        <w:t>)</w:t>
      </w:r>
      <w:r w:rsidRPr="0031706B">
        <w:rPr>
          <w:sz w:val="20"/>
          <w:szCs w:val="20"/>
        </w:rPr>
        <w:t xml:space="preserve"> Census: Standard Area Statistics (England and Wales), ESRC/JISC Census </w:t>
      </w:r>
      <w:proofErr w:type="spellStart"/>
      <w:r w:rsidRPr="0031706B">
        <w:rPr>
          <w:sz w:val="20"/>
          <w:szCs w:val="20"/>
        </w:rPr>
        <w:t>Programme</w:t>
      </w:r>
      <w:proofErr w:type="spellEnd"/>
      <w:r w:rsidRPr="0031706B">
        <w:rPr>
          <w:sz w:val="20"/>
          <w:szCs w:val="20"/>
        </w:rPr>
        <w:t xml:space="preserve">, Census Dissemination Unit, </w:t>
      </w:r>
      <w:proofErr w:type="spellStart"/>
      <w:r w:rsidRPr="0031706B">
        <w:rPr>
          <w:sz w:val="20"/>
          <w:szCs w:val="20"/>
        </w:rPr>
        <w:t>Mimas</w:t>
      </w:r>
      <w:proofErr w:type="spellEnd"/>
      <w:r w:rsidRPr="0031706B">
        <w:rPr>
          <w:sz w:val="20"/>
          <w:szCs w:val="20"/>
        </w:rPr>
        <w:t xml:space="preserve"> (University of Manchester)</w:t>
      </w:r>
      <w:r w:rsidR="00100DD5" w:rsidRPr="0031706B">
        <w:rPr>
          <w:sz w:val="20"/>
          <w:szCs w:val="20"/>
        </w:rPr>
        <w:t>.</w:t>
      </w:r>
    </w:p>
    <w:p w14:paraId="7CD50048" w14:textId="77777777" w:rsidR="008268B2" w:rsidRPr="0031706B" w:rsidRDefault="008268B2" w:rsidP="0032732C">
      <w:pPr>
        <w:spacing w:after="0" w:line="480" w:lineRule="auto"/>
        <w:rPr>
          <w:rFonts w:cstheme="minorHAnsi"/>
          <w:sz w:val="20"/>
          <w:szCs w:val="20"/>
        </w:rPr>
      </w:pPr>
      <w:proofErr w:type="spellStart"/>
      <w:r w:rsidRPr="0031706B">
        <w:rPr>
          <w:rFonts w:cstheme="minorHAnsi"/>
          <w:sz w:val="20"/>
          <w:szCs w:val="20"/>
        </w:rPr>
        <w:t>Pallant</w:t>
      </w:r>
      <w:proofErr w:type="spellEnd"/>
      <w:r w:rsidRPr="0031706B">
        <w:rPr>
          <w:rFonts w:cstheme="minorHAnsi"/>
          <w:sz w:val="20"/>
          <w:szCs w:val="20"/>
        </w:rPr>
        <w:t xml:space="preserve">, J. (2010) </w:t>
      </w:r>
      <w:r w:rsidRPr="0031706B">
        <w:rPr>
          <w:rFonts w:cstheme="minorHAnsi"/>
          <w:i/>
          <w:sz w:val="20"/>
          <w:szCs w:val="20"/>
        </w:rPr>
        <w:t>SPSS Survival Manual.</w:t>
      </w:r>
      <w:r w:rsidRPr="0031706B">
        <w:rPr>
          <w:rFonts w:cstheme="minorHAnsi"/>
          <w:sz w:val="20"/>
          <w:szCs w:val="20"/>
        </w:rPr>
        <w:t xml:space="preserve"> 4</w:t>
      </w:r>
      <w:r w:rsidRPr="0031706B">
        <w:rPr>
          <w:rFonts w:cstheme="minorHAnsi"/>
          <w:sz w:val="20"/>
          <w:szCs w:val="20"/>
          <w:vertAlign w:val="superscript"/>
        </w:rPr>
        <w:t>th</w:t>
      </w:r>
      <w:r w:rsidRPr="0031706B">
        <w:rPr>
          <w:rFonts w:cstheme="minorHAnsi"/>
          <w:sz w:val="20"/>
          <w:szCs w:val="20"/>
        </w:rPr>
        <w:t xml:space="preserve"> ed. Maidenhead: Open University Press, McGraw Hill.</w:t>
      </w:r>
    </w:p>
    <w:p w14:paraId="02EC6CCE" w14:textId="15CDBEDD" w:rsidR="00895BC0" w:rsidRPr="0031706B" w:rsidRDefault="00895BC0" w:rsidP="00EF2280">
      <w:pPr>
        <w:spacing w:after="0" w:line="480" w:lineRule="auto"/>
        <w:rPr>
          <w:rFonts w:cstheme="minorHAnsi"/>
          <w:sz w:val="20"/>
          <w:szCs w:val="20"/>
        </w:rPr>
      </w:pPr>
      <w:proofErr w:type="spellStart"/>
      <w:r w:rsidRPr="0031706B">
        <w:rPr>
          <w:sz w:val="20"/>
          <w:szCs w:val="20"/>
          <w:lang w:val="en-GB"/>
        </w:rPr>
        <w:t>Parkhill</w:t>
      </w:r>
      <w:proofErr w:type="spellEnd"/>
      <w:r w:rsidRPr="0031706B">
        <w:rPr>
          <w:sz w:val="20"/>
          <w:szCs w:val="20"/>
          <w:lang w:val="en-GB"/>
        </w:rPr>
        <w:t xml:space="preserve">, K.A., </w:t>
      </w:r>
      <w:proofErr w:type="spellStart"/>
      <w:r w:rsidRPr="0031706B">
        <w:rPr>
          <w:sz w:val="20"/>
          <w:szCs w:val="20"/>
          <w:lang w:val="en-GB"/>
        </w:rPr>
        <w:t>Demski</w:t>
      </w:r>
      <w:proofErr w:type="spellEnd"/>
      <w:r w:rsidRPr="0031706B">
        <w:rPr>
          <w:sz w:val="20"/>
          <w:szCs w:val="20"/>
          <w:lang w:val="en-GB"/>
        </w:rPr>
        <w:t xml:space="preserve">, C., Butler, C., Spence, A. and </w:t>
      </w:r>
      <w:proofErr w:type="spellStart"/>
      <w:r w:rsidRPr="0031706B">
        <w:rPr>
          <w:sz w:val="20"/>
          <w:szCs w:val="20"/>
          <w:lang w:val="en-GB"/>
        </w:rPr>
        <w:t>Pidgeon</w:t>
      </w:r>
      <w:proofErr w:type="spellEnd"/>
      <w:r w:rsidRPr="0031706B">
        <w:rPr>
          <w:sz w:val="20"/>
          <w:szCs w:val="20"/>
          <w:lang w:val="en-GB"/>
        </w:rPr>
        <w:t>, N. (2013) Transforming the UK Energy System: Public Values, Attitudes and Acceptability –Synthesis Report (UKERC: London).</w:t>
      </w:r>
    </w:p>
    <w:p w14:paraId="026772E9" w14:textId="4C9B4AEF" w:rsidR="008268B2" w:rsidRPr="0031706B" w:rsidRDefault="008268B2" w:rsidP="0032732C">
      <w:pPr>
        <w:spacing w:after="0" w:line="480" w:lineRule="auto"/>
        <w:rPr>
          <w:rFonts w:cstheme="minorHAnsi"/>
          <w:sz w:val="20"/>
          <w:szCs w:val="20"/>
          <w:highlight w:val="yellow"/>
        </w:rPr>
      </w:pPr>
      <w:proofErr w:type="spellStart"/>
      <w:r w:rsidRPr="0031706B">
        <w:rPr>
          <w:rFonts w:cstheme="minorHAnsi"/>
          <w:sz w:val="20"/>
          <w:szCs w:val="20"/>
        </w:rPr>
        <w:t>Pidgeon</w:t>
      </w:r>
      <w:proofErr w:type="spellEnd"/>
      <w:r w:rsidRPr="0031706B">
        <w:rPr>
          <w:rFonts w:cstheme="minorHAnsi"/>
          <w:sz w:val="20"/>
          <w:szCs w:val="20"/>
        </w:rPr>
        <w:t xml:space="preserve">, N., </w:t>
      </w:r>
      <w:proofErr w:type="spellStart"/>
      <w:r w:rsidRPr="0031706B">
        <w:rPr>
          <w:rFonts w:cstheme="minorHAnsi"/>
          <w:sz w:val="20"/>
          <w:szCs w:val="20"/>
        </w:rPr>
        <w:t>Lorenzoni</w:t>
      </w:r>
      <w:proofErr w:type="spellEnd"/>
      <w:r w:rsidRPr="0031706B">
        <w:rPr>
          <w:rFonts w:cstheme="minorHAnsi"/>
          <w:sz w:val="20"/>
          <w:szCs w:val="20"/>
        </w:rPr>
        <w:t xml:space="preserve">, I. and </w:t>
      </w:r>
      <w:proofErr w:type="spellStart"/>
      <w:r w:rsidRPr="0031706B">
        <w:rPr>
          <w:rFonts w:cstheme="minorHAnsi"/>
          <w:sz w:val="20"/>
          <w:szCs w:val="20"/>
        </w:rPr>
        <w:t>Poortinga</w:t>
      </w:r>
      <w:proofErr w:type="spellEnd"/>
      <w:r w:rsidRPr="0031706B">
        <w:rPr>
          <w:rFonts w:cstheme="minorHAnsi"/>
          <w:sz w:val="20"/>
          <w:szCs w:val="20"/>
        </w:rPr>
        <w:t xml:space="preserve">, W. (2008) Climate change or nuclear power - no thanks! </w:t>
      </w:r>
      <w:proofErr w:type="gramStart"/>
      <w:r w:rsidRPr="0031706B">
        <w:rPr>
          <w:rFonts w:cstheme="minorHAnsi"/>
          <w:sz w:val="20"/>
          <w:szCs w:val="20"/>
        </w:rPr>
        <w:t>A quantitative study of public perceptions and risk framing in Britain.</w:t>
      </w:r>
      <w:proofErr w:type="gramEnd"/>
      <w:r w:rsidRPr="0031706B">
        <w:rPr>
          <w:rFonts w:cstheme="minorHAnsi"/>
          <w:sz w:val="20"/>
          <w:szCs w:val="20"/>
        </w:rPr>
        <w:t xml:space="preserve"> </w:t>
      </w:r>
      <w:proofErr w:type="gramStart"/>
      <w:r w:rsidRPr="0031706B">
        <w:rPr>
          <w:rFonts w:cstheme="minorHAnsi"/>
          <w:i/>
          <w:sz w:val="20"/>
          <w:szCs w:val="20"/>
        </w:rPr>
        <w:t>Global Environmental Change</w:t>
      </w:r>
      <w:r w:rsidRPr="0031706B">
        <w:rPr>
          <w:rFonts w:cstheme="minorHAnsi"/>
          <w:sz w:val="20"/>
          <w:szCs w:val="20"/>
        </w:rPr>
        <w:t>.</w:t>
      </w:r>
      <w:proofErr w:type="gramEnd"/>
      <w:r w:rsidRPr="0031706B">
        <w:rPr>
          <w:rFonts w:cstheme="minorHAnsi"/>
          <w:sz w:val="20"/>
          <w:szCs w:val="20"/>
        </w:rPr>
        <w:t xml:space="preserve"> 18 (1), pp. 69-85. </w:t>
      </w:r>
    </w:p>
    <w:p w14:paraId="55AFFE14" w14:textId="77777777" w:rsidR="008268B2" w:rsidRPr="0031706B" w:rsidRDefault="008268B2" w:rsidP="0032732C">
      <w:pPr>
        <w:spacing w:after="0" w:line="480" w:lineRule="auto"/>
        <w:rPr>
          <w:rFonts w:cstheme="minorHAnsi"/>
          <w:sz w:val="20"/>
          <w:szCs w:val="20"/>
        </w:rPr>
      </w:pPr>
      <w:proofErr w:type="gramStart"/>
      <w:r w:rsidRPr="0031706B">
        <w:rPr>
          <w:rFonts w:cstheme="minorHAnsi"/>
          <w:sz w:val="20"/>
          <w:szCs w:val="20"/>
        </w:rPr>
        <w:t xml:space="preserve">Renewable UK (2012) </w:t>
      </w:r>
      <w:r w:rsidRPr="0031706B">
        <w:rPr>
          <w:rFonts w:cstheme="minorHAnsi"/>
          <w:i/>
          <w:sz w:val="20"/>
          <w:szCs w:val="20"/>
        </w:rPr>
        <w:t>Public Attitudes to Wind Energy.</w:t>
      </w:r>
      <w:proofErr w:type="gramEnd"/>
      <w:r w:rsidRPr="0031706B">
        <w:rPr>
          <w:rFonts w:cstheme="minorHAnsi"/>
          <w:i/>
          <w:sz w:val="20"/>
          <w:szCs w:val="20"/>
        </w:rPr>
        <w:t xml:space="preserve"> </w:t>
      </w:r>
      <w:r w:rsidRPr="0031706B">
        <w:rPr>
          <w:rFonts w:cstheme="minorHAnsi"/>
          <w:sz w:val="20"/>
          <w:szCs w:val="20"/>
        </w:rPr>
        <w:t xml:space="preserve">Available from: </w:t>
      </w:r>
      <w:hyperlink r:id="rId42" w:history="1">
        <w:r w:rsidRPr="0031706B">
          <w:rPr>
            <w:rStyle w:val="Hyperlink"/>
            <w:rFonts w:cstheme="minorHAnsi"/>
            <w:sz w:val="20"/>
            <w:szCs w:val="20"/>
          </w:rPr>
          <w:t>http://www.bwea.com/ref/surveys.html</w:t>
        </w:r>
      </w:hyperlink>
      <w:r w:rsidRPr="0031706B">
        <w:rPr>
          <w:rFonts w:cstheme="minorHAnsi"/>
          <w:sz w:val="20"/>
          <w:szCs w:val="20"/>
        </w:rPr>
        <w:t xml:space="preserve"> [Accessed 26 February 2012].</w:t>
      </w:r>
    </w:p>
    <w:p w14:paraId="29EFA9FF" w14:textId="77777777" w:rsidR="008268B2" w:rsidRPr="0031706B" w:rsidRDefault="008268B2" w:rsidP="0032732C">
      <w:pPr>
        <w:spacing w:after="0" w:line="480" w:lineRule="auto"/>
        <w:rPr>
          <w:rFonts w:cstheme="minorHAnsi"/>
          <w:sz w:val="20"/>
          <w:szCs w:val="20"/>
        </w:rPr>
      </w:pPr>
      <w:proofErr w:type="spellStart"/>
      <w:proofErr w:type="gramStart"/>
      <w:r w:rsidRPr="0031706B">
        <w:rPr>
          <w:rFonts w:cstheme="minorHAnsi"/>
          <w:sz w:val="20"/>
          <w:szCs w:val="20"/>
        </w:rPr>
        <w:t>Skea</w:t>
      </w:r>
      <w:proofErr w:type="spellEnd"/>
      <w:r w:rsidRPr="0031706B">
        <w:rPr>
          <w:rFonts w:cstheme="minorHAnsi"/>
          <w:sz w:val="20"/>
          <w:szCs w:val="20"/>
        </w:rPr>
        <w:t xml:space="preserve">, J., </w:t>
      </w:r>
      <w:proofErr w:type="spellStart"/>
      <w:r w:rsidRPr="0031706B">
        <w:rPr>
          <w:rFonts w:cstheme="minorHAnsi"/>
          <w:sz w:val="20"/>
          <w:szCs w:val="20"/>
        </w:rPr>
        <w:t>Ekins</w:t>
      </w:r>
      <w:proofErr w:type="spellEnd"/>
      <w:r w:rsidRPr="0031706B">
        <w:rPr>
          <w:rFonts w:cstheme="minorHAnsi"/>
          <w:sz w:val="20"/>
          <w:szCs w:val="20"/>
        </w:rPr>
        <w:t xml:space="preserve">, P. and </w:t>
      </w:r>
      <w:proofErr w:type="spellStart"/>
      <w:r w:rsidRPr="0031706B">
        <w:rPr>
          <w:rFonts w:cstheme="minorHAnsi"/>
          <w:sz w:val="20"/>
          <w:szCs w:val="20"/>
        </w:rPr>
        <w:t>Winksel</w:t>
      </w:r>
      <w:proofErr w:type="spellEnd"/>
      <w:r w:rsidRPr="0031706B">
        <w:rPr>
          <w:rFonts w:cstheme="minorHAnsi"/>
          <w:sz w:val="20"/>
          <w:szCs w:val="20"/>
        </w:rPr>
        <w:t xml:space="preserve">, M. (2011) </w:t>
      </w:r>
      <w:r w:rsidRPr="0031706B">
        <w:rPr>
          <w:rFonts w:cstheme="minorHAnsi"/>
          <w:i/>
          <w:sz w:val="20"/>
          <w:szCs w:val="20"/>
        </w:rPr>
        <w:t>Energy 2050 – Making the Transition to a Secure Low Carbon Energy System.</w:t>
      </w:r>
      <w:proofErr w:type="gramEnd"/>
      <w:r w:rsidRPr="0031706B">
        <w:rPr>
          <w:rFonts w:cstheme="minorHAnsi"/>
          <w:sz w:val="20"/>
          <w:szCs w:val="20"/>
        </w:rPr>
        <w:t xml:space="preserve"> London: </w:t>
      </w:r>
      <w:proofErr w:type="spellStart"/>
      <w:r w:rsidRPr="0031706B">
        <w:rPr>
          <w:rFonts w:cstheme="minorHAnsi"/>
          <w:sz w:val="20"/>
          <w:szCs w:val="20"/>
        </w:rPr>
        <w:t>Earthscan</w:t>
      </w:r>
      <w:proofErr w:type="spellEnd"/>
      <w:r w:rsidRPr="0031706B">
        <w:rPr>
          <w:rFonts w:cstheme="minorHAnsi"/>
          <w:sz w:val="20"/>
          <w:szCs w:val="20"/>
        </w:rPr>
        <w:t xml:space="preserve">. </w:t>
      </w:r>
    </w:p>
    <w:p w14:paraId="02BDB4DD" w14:textId="77777777" w:rsidR="008268B2" w:rsidRPr="0031706B" w:rsidRDefault="008268B2" w:rsidP="0032732C">
      <w:pPr>
        <w:spacing w:after="0" w:line="480" w:lineRule="auto"/>
        <w:rPr>
          <w:rFonts w:cstheme="minorHAnsi"/>
          <w:sz w:val="20"/>
          <w:szCs w:val="20"/>
        </w:rPr>
      </w:pPr>
      <w:proofErr w:type="spellStart"/>
      <w:proofErr w:type="gramStart"/>
      <w:r w:rsidRPr="0031706B">
        <w:rPr>
          <w:rFonts w:cstheme="minorHAnsi"/>
          <w:sz w:val="20"/>
          <w:szCs w:val="20"/>
        </w:rPr>
        <w:t>Söderholm</w:t>
      </w:r>
      <w:proofErr w:type="spellEnd"/>
      <w:r w:rsidRPr="0031706B">
        <w:rPr>
          <w:rFonts w:cstheme="minorHAnsi"/>
          <w:sz w:val="20"/>
          <w:szCs w:val="20"/>
        </w:rPr>
        <w:t xml:space="preserve">, P., </w:t>
      </w:r>
      <w:proofErr w:type="spellStart"/>
      <w:r w:rsidRPr="0031706B">
        <w:rPr>
          <w:rFonts w:cstheme="minorHAnsi"/>
          <w:sz w:val="20"/>
          <w:szCs w:val="20"/>
        </w:rPr>
        <w:t>Hildingsson</w:t>
      </w:r>
      <w:proofErr w:type="spellEnd"/>
      <w:r w:rsidRPr="0031706B">
        <w:rPr>
          <w:rFonts w:cstheme="minorHAnsi"/>
          <w:sz w:val="20"/>
          <w:szCs w:val="20"/>
        </w:rPr>
        <w:t xml:space="preserve">, R., Johansson, B., Khan, J. and </w:t>
      </w:r>
      <w:proofErr w:type="spellStart"/>
      <w:r w:rsidRPr="0031706B">
        <w:rPr>
          <w:rFonts w:cstheme="minorHAnsi"/>
          <w:sz w:val="20"/>
          <w:szCs w:val="20"/>
        </w:rPr>
        <w:t>Wilhelmsson</w:t>
      </w:r>
      <w:proofErr w:type="spellEnd"/>
      <w:r w:rsidRPr="0031706B">
        <w:rPr>
          <w:rFonts w:cstheme="minorHAnsi"/>
          <w:sz w:val="20"/>
          <w:szCs w:val="20"/>
        </w:rPr>
        <w:t>, F. (2011) Governing the transition to low-carbon futures: A critical survey of energy scenarios for 2050.</w:t>
      </w:r>
      <w:proofErr w:type="gramEnd"/>
      <w:r w:rsidRPr="0031706B">
        <w:rPr>
          <w:rFonts w:cstheme="minorHAnsi"/>
          <w:sz w:val="20"/>
          <w:szCs w:val="20"/>
        </w:rPr>
        <w:t xml:space="preserve"> </w:t>
      </w:r>
      <w:proofErr w:type="gramStart"/>
      <w:r w:rsidRPr="0031706B">
        <w:rPr>
          <w:rFonts w:cstheme="minorHAnsi"/>
          <w:i/>
          <w:sz w:val="20"/>
          <w:szCs w:val="20"/>
        </w:rPr>
        <w:t>Futures.</w:t>
      </w:r>
      <w:proofErr w:type="gramEnd"/>
      <w:r w:rsidRPr="0031706B">
        <w:rPr>
          <w:rFonts w:cstheme="minorHAnsi"/>
          <w:i/>
          <w:sz w:val="20"/>
          <w:szCs w:val="20"/>
        </w:rPr>
        <w:t xml:space="preserve"> </w:t>
      </w:r>
      <w:r w:rsidRPr="0031706B">
        <w:rPr>
          <w:rFonts w:cstheme="minorHAnsi"/>
          <w:sz w:val="20"/>
          <w:szCs w:val="20"/>
        </w:rPr>
        <w:t>43, pp. 1105-1116.</w:t>
      </w:r>
    </w:p>
    <w:p w14:paraId="45A32E6F" w14:textId="77777777" w:rsidR="008268B2" w:rsidRPr="0031706B" w:rsidRDefault="00EF0F75" w:rsidP="0032732C">
      <w:pPr>
        <w:spacing w:after="0" w:line="480" w:lineRule="auto"/>
        <w:rPr>
          <w:rFonts w:cstheme="minorHAnsi"/>
          <w:sz w:val="20"/>
          <w:szCs w:val="20"/>
        </w:rPr>
      </w:pPr>
      <w:proofErr w:type="gramStart"/>
      <w:r w:rsidRPr="0031706B">
        <w:rPr>
          <w:rFonts w:cstheme="minorHAnsi"/>
          <w:sz w:val="20"/>
          <w:szCs w:val="20"/>
        </w:rPr>
        <w:t xml:space="preserve">Spence, A. and </w:t>
      </w:r>
      <w:proofErr w:type="spellStart"/>
      <w:r w:rsidRPr="0031706B">
        <w:rPr>
          <w:rFonts w:cstheme="minorHAnsi"/>
          <w:sz w:val="20"/>
          <w:szCs w:val="20"/>
        </w:rPr>
        <w:t>Pidgeon</w:t>
      </w:r>
      <w:proofErr w:type="spellEnd"/>
      <w:r w:rsidRPr="0031706B">
        <w:rPr>
          <w:rFonts w:cstheme="minorHAnsi"/>
          <w:sz w:val="20"/>
          <w:szCs w:val="20"/>
        </w:rPr>
        <w:t>, N. (2009) Psychology, climate change and sustainable behaviour.</w:t>
      </w:r>
      <w:proofErr w:type="gramEnd"/>
      <w:r w:rsidRPr="0031706B">
        <w:rPr>
          <w:rFonts w:cstheme="minorHAnsi"/>
          <w:sz w:val="20"/>
          <w:szCs w:val="20"/>
        </w:rPr>
        <w:t xml:space="preserve"> </w:t>
      </w:r>
      <w:r w:rsidRPr="0031706B">
        <w:rPr>
          <w:rFonts w:cstheme="minorHAnsi"/>
          <w:i/>
          <w:sz w:val="20"/>
          <w:szCs w:val="20"/>
        </w:rPr>
        <w:t>Environment: Science and Policy for Sustainable Development</w:t>
      </w:r>
      <w:r w:rsidRPr="0031706B">
        <w:rPr>
          <w:rFonts w:cstheme="minorHAnsi"/>
          <w:sz w:val="20"/>
          <w:szCs w:val="20"/>
        </w:rPr>
        <w:t>. 51 (6), pp. 8-18.</w:t>
      </w:r>
    </w:p>
    <w:p w14:paraId="20392281" w14:textId="67D2CA5F" w:rsidR="0007506E" w:rsidRPr="0031706B" w:rsidRDefault="0007506E" w:rsidP="0032732C">
      <w:pPr>
        <w:spacing w:after="0" w:line="480" w:lineRule="auto"/>
        <w:rPr>
          <w:rFonts w:cstheme="minorHAnsi"/>
          <w:sz w:val="20"/>
          <w:szCs w:val="20"/>
        </w:rPr>
      </w:pPr>
      <w:r w:rsidRPr="0031706B">
        <w:rPr>
          <w:rFonts w:cstheme="minorHAnsi"/>
          <w:sz w:val="20"/>
          <w:szCs w:val="20"/>
        </w:rPr>
        <w:t xml:space="preserve">Spence, A., </w:t>
      </w:r>
      <w:proofErr w:type="spellStart"/>
      <w:r w:rsidRPr="0031706B">
        <w:rPr>
          <w:rFonts w:cstheme="minorHAnsi"/>
          <w:sz w:val="20"/>
          <w:szCs w:val="20"/>
        </w:rPr>
        <w:t>Poortinga</w:t>
      </w:r>
      <w:proofErr w:type="spellEnd"/>
      <w:r w:rsidRPr="0031706B">
        <w:rPr>
          <w:rFonts w:cstheme="minorHAnsi"/>
          <w:sz w:val="20"/>
          <w:szCs w:val="20"/>
        </w:rPr>
        <w:t xml:space="preserve">, W. and </w:t>
      </w:r>
      <w:proofErr w:type="spellStart"/>
      <w:r w:rsidRPr="0031706B">
        <w:rPr>
          <w:rFonts w:cstheme="minorHAnsi"/>
          <w:sz w:val="20"/>
          <w:szCs w:val="20"/>
        </w:rPr>
        <w:t>Pidgeon</w:t>
      </w:r>
      <w:proofErr w:type="spellEnd"/>
      <w:r w:rsidRPr="0031706B">
        <w:rPr>
          <w:rFonts w:cstheme="minorHAnsi"/>
          <w:sz w:val="20"/>
          <w:szCs w:val="20"/>
        </w:rPr>
        <w:t>, N. (</w:t>
      </w:r>
      <w:r w:rsidR="00C02F1E" w:rsidRPr="0031706B">
        <w:rPr>
          <w:rFonts w:cstheme="minorHAnsi"/>
          <w:sz w:val="20"/>
          <w:szCs w:val="20"/>
        </w:rPr>
        <w:t>2012</w:t>
      </w:r>
      <w:r w:rsidRPr="0031706B">
        <w:rPr>
          <w:rFonts w:cstheme="minorHAnsi"/>
          <w:sz w:val="20"/>
          <w:szCs w:val="20"/>
        </w:rPr>
        <w:t xml:space="preserve">) </w:t>
      </w:r>
      <w:proofErr w:type="gramStart"/>
      <w:r w:rsidRPr="0031706B">
        <w:rPr>
          <w:rFonts w:cstheme="minorHAnsi"/>
          <w:sz w:val="20"/>
          <w:szCs w:val="20"/>
        </w:rPr>
        <w:t>The</w:t>
      </w:r>
      <w:proofErr w:type="gramEnd"/>
      <w:r w:rsidRPr="0031706B">
        <w:rPr>
          <w:rFonts w:cstheme="minorHAnsi"/>
          <w:sz w:val="20"/>
          <w:szCs w:val="20"/>
        </w:rPr>
        <w:t xml:space="preserve"> psychological distance of climate change. </w:t>
      </w:r>
      <w:r w:rsidRPr="0031706B">
        <w:rPr>
          <w:rFonts w:cstheme="minorHAnsi"/>
          <w:i/>
          <w:sz w:val="20"/>
          <w:szCs w:val="20"/>
        </w:rPr>
        <w:t>Risk Analysis</w:t>
      </w:r>
      <w:r w:rsidRPr="0031706B">
        <w:rPr>
          <w:rFonts w:cstheme="minorHAnsi"/>
          <w:sz w:val="20"/>
          <w:szCs w:val="20"/>
        </w:rPr>
        <w:t xml:space="preserve">. </w:t>
      </w:r>
      <w:r w:rsidR="00C02F1E" w:rsidRPr="0031706B">
        <w:rPr>
          <w:rFonts w:cstheme="minorHAnsi"/>
          <w:sz w:val="20"/>
          <w:szCs w:val="20"/>
        </w:rPr>
        <w:t>32 (6), pp. 957-972.</w:t>
      </w:r>
    </w:p>
    <w:p w14:paraId="4AED81F5" w14:textId="77777777" w:rsidR="008268B2" w:rsidRPr="0031706B" w:rsidRDefault="008268B2" w:rsidP="0032732C">
      <w:pPr>
        <w:spacing w:after="0" w:line="480" w:lineRule="auto"/>
        <w:rPr>
          <w:rFonts w:cstheme="minorHAnsi"/>
          <w:sz w:val="20"/>
          <w:szCs w:val="20"/>
        </w:rPr>
      </w:pPr>
      <w:proofErr w:type="spellStart"/>
      <w:r w:rsidRPr="0031706B">
        <w:rPr>
          <w:rFonts w:cstheme="minorHAnsi"/>
          <w:sz w:val="20"/>
          <w:szCs w:val="20"/>
        </w:rPr>
        <w:t>Stagl</w:t>
      </w:r>
      <w:proofErr w:type="spellEnd"/>
      <w:r w:rsidRPr="0031706B">
        <w:rPr>
          <w:rFonts w:cstheme="minorHAnsi"/>
          <w:sz w:val="20"/>
          <w:szCs w:val="20"/>
        </w:rPr>
        <w:t xml:space="preserve">, S. (2006) </w:t>
      </w:r>
      <w:proofErr w:type="spellStart"/>
      <w:r w:rsidRPr="0031706B">
        <w:rPr>
          <w:rFonts w:cstheme="minorHAnsi"/>
          <w:sz w:val="20"/>
          <w:szCs w:val="20"/>
        </w:rPr>
        <w:t>Multicriteria</w:t>
      </w:r>
      <w:proofErr w:type="spellEnd"/>
      <w:r w:rsidRPr="0031706B">
        <w:rPr>
          <w:rFonts w:cstheme="minorHAnsi"/>
          <w:sz w:val="20"/>
          <w:szCs w:val="20"/>
        </w:rPr>
        <w:t xml:space="preserve"> evaluation and public participation: the case of UK energy policy. </w:t>
      </w:r>
      <w:r w:rsidRPr="0031706B">
        <w:rPr>
          <w:rFonts w:cstheme="minorHAnsi"/>
          <w:i/>
          <w:sz w:val="20"/>
          <w:szCs w:val="20"/>
        </w:rPr>
        <w:t>Land Use Policy.</w:t>
      </w:r>
      <w:r w:rsidRPr="0031706B">
        <w:rPr>
          <w:rFonts w:cstheme="minorHAnsi"/>
          <w:sz w:val="20"/>
          <w:szCs w:val="20"/>
        </w:rPr>
        <w:t xml:space="preserve"> (23), pp. 53-62.</w:t>
      </w:r>
    </w:p>
    <w:p w14:paraId="45CC8C0B"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Stop New Nuclear (2012). </w:t>
      </w:r>
      <w:proofErr w:type="gramStart"/>
      <w:r w:rsidRPr="0031706B">
        <w:rPr>
          <w:rFonts w:cstheme="minorHAnsi"/>
          <w:i/>
          <w:sz w:val="20"/>
          <w:szCs w:val="20"/>
        </w:rPr>
        <w:t>A campaign to stop new nuclear power stations.</w:t>
      </w:r>
      <w:proofErr w:type="gramEnd"/>
      <w:r w:rsidRPr="0031706B">
        <w:rPr>
          <w:rFonts w:cstheme="minorHAnsi"/>
          <w:sz w:val="20"/>
          <w:szCs w:val="20"/>
        </w:rPr>
        <w:t xml:space="preserve"> Available from: </w:t>
      </w:r>
      <w:hyperlink r:id="rId43" w:history="1">
        <w:r w:rsidRPr="0031706B">
          <w:rPr>
            <w:rStyle w:val="Hyperlink"/>
            <w:rFonts w:cstheme="minorHAnsi"/>
            <w:sz w:val="20"/>
            <w:szCs w:val="20"/>
          </w:rPr>
          <w:t>http://stopnewnuclear.org.uk/</w:t>
        </w:r>
      </w:hyperlink>
      <w:r w:rsidRPr="0031706B">
        <w:rPr>
          <w:rFonts w:cstheme="minorHAnsi"/>
          <w:sz w:val="20"/>
          <w:szCs w:val="20"/>
        </w:rPr>
        <w:t xml:space="preserve"> [Accessed 25 January 2012].</w:t>
      </w:r>
    </w:p>
    <w:p w14:paraId="3AB0D3D3" w14:textId="77777777" w:rsidR="008268B2" w:rsidRPr="0031706B" w:rsidRDefault="008268B2" w:rsidP="0032732C">
      <w:pPr>
        <w:spacing w:after="0" w:line="480" w:lineRule="auto"/>
        <w:rPr>
          <w:rFonts w:cstheme="minorHAnsi"/>
          <w:sz w:val="20"/>
          <w:szCs w:val="20"/>
        </w:rPr>
      </w:pPr>
      <w:proofErr w:type="spellStart"/>
      <w:r w:rsidRPr="0031706B">
        <w:rPr>
          <w:rFonts w:cstheme="minorHAnsi"/>
          <w:sz w:val="20"/>
          <w:szCs w:val="20"/>
        </w:rPr>
        <w:t>Upham</w:t>
      </w:r>
      <w:proofErr w:type="spellEnd"/>
      <w:r w:rsidRPr="0031706B">
        <w:rPr>
          <w:rFonts w:cstheme="minorHAnsi"/>
          <w:sz w:val="20"/>
          <w:szCs w:val="20"/>
        </w:rPr>
        <w:t xml:space="preserve">, P. and Roberts, T. (2011) Public perceptions of CCS in context: results of </w:t>
      </w:r>
      <w:r w:rsidRPr="0031706B">
        <w:rPr>
          <w:rFonts w:cstheme="minorHAnsi"/>
          <w:i/>
          <w:sz w:val="20"/>
          <w:szCs w:val="20"/>
        </w:rPr>
        <w:t>NearCO</w:t>
      </w:r>
      <w:r w:rsidRPr="0031706B">
        <w:rPr>
          <w:rFonts w:cstheme="minorHAnsi"/>
          <w:i/>
          <w:sz w:val="20"/>
          <w:szCs w:val="20"/>
          <w:vertAlign w:val="subscript"/>
        </w:rPr>
        <w:t>2</w:t>
      </w:r>
      <w:r w:rsidRPr="0031706B">
        <w:rPr>
          <w:rFonts w:cstheme="minorHAnsi"/>
          <w:sz w:val="20"/>
          <w:szCs w:val="20"/>
        </w:rPr>
        <w:t xml:space="preserve"> focus groups in the UK, Belgium, the Netherlands, Germany, Spain and Poland. </w:t>
      </w:r>
      <w:proofErr w:type="gramStart"/>
      <w:r w:rsidRPr="0031706B">
        <w:rPr>
          <w:rFonts w:cstheme="minorHAnsi"/>
          <w:i/>
          <w:sz w:val="20"/>
          <w:szCs w:val="20"/>
        </w:rPr>
        <w:t xml:space="preserve">Energy </w:t>
      </w:r>
      <w:proofErr w:type="spellStart"/>
      <w:r w:rsidRPr="0031706B">
        <w:rPr>
          <w:rFonts w:cstheme="minorHAnsi"/>
          <w:i/>
          <w:sz w:val="20"/>
          <w:szCs w:val="20"/>
        </w:rPr>
        <w:t>Procedia</w:t>
      </w:r>
      <w:proofErr w:type="spellEnd"/>
      <w:r w:rsidRPr="0031706B">
        <w:rPr>
          <w:rFonts w:cstheme="minorHAnsi"/>
          <w:i/>
          <w:sz w:val="20"/>
          <w:szCs w:val="20"/>
        </w:rPr>
        <w:t>.</w:t>
      </w:r>
      <w:proofErr w:type="gramEnd"/>
      <w:r w:rsidRPr="0031706B">
        <w:rPr>
          <w:rFonts w:cstheme="minorHAnsi"/>
          <w:sz w:val="20"/>
          <w:szCs w:val="20"/>
        </w:rPr>
        <w:t xml:space="preserve"> 4, pp. 6338-6344.</w:t>
      </w:r>
    </w:p>
    <w:p w14:paraId="67BBF3F4" w14:textId="77777777" w:rsidR="008268B2" w:rsidRPr="0031706B" w:rsidRDefault="008268B2" w:rsidP="0032732C">
      <w:pPr>
        <w:spacing w:after="0" w:line="480" w:lineRule="auto"/>
        <w:rPr>
          <w:rFonts w:cstheme="minorHAnsi"/>
          <w:sz w:val="20"/>
          <w:szCs w:val="20"/>
        </w:rPr>
      </w:pPr>
      <w:proofErr w:type="spellStart"/>
      <w:r w:rsidRPr="0031706B">
        <w:rPr>
          <w:rFonts w:cstheme="minorHAnsi"/>
          <w:sz w:val="20"/>
          <w:szCs w:val="20"/>
        </w:rPr>
        <w:lastRenderedPageBreak/>
        <w:t>Whitmarsh</w:t>
      </w:r>
      <w:proofErr w:type="spellEnd"/>
      <w:r w:rsidRPr="0031706B">
        <w:rPr>
          <w:rFonts w:cstheme="minorHAnsi"/>
          <w:sz w:val="20"/>
          <w:szCs w:val="20"/>
        </w:rPr>
        <w:t xml:space="preserve">, L., O’Neill, S. and </w:t>
      </w:r>
      <w:proofErr w:type="spellStart"/>
      <w:r w:rsidRPr="0031706B">
        <w:rPr>
          <w:rFonts w:cstheme="minorHAnsi"/>
          <w:sz w:val="20"/>
          <w:szCs w:val="20"/>
        </w:rPr>
        <w:t>Lorenzoni</w:t>
      </w:r>
      <w:proofErr w:type="spellEnd"/>
      <w:r w:rsidRPr="0031706B">
        <w:rPr>
          <w:rFonts w:cstheme="minorHAnsi"/>
          <w:sz w:val="20"/>
          <w:szCs w:val="20"/>
        </w:rPr>
        <w:t xml:space="preserve">, I. (2011) </w:t>
      </w:r>
      <w:r w:rsidRPr="0031706B">
        <w:rPr>
          <w:rFonts w:cstheme="minorHAnsi"/>
          <w:i/>
          <w:sz w:val="20"/>
          <w:szCs w:val="20"/>
        </w:rPr>
        <w:t>Engaging the Public with Climate Change: Behaviour Change and Communication.</w:t>
      </w:r>
      <w:r w:rsidRPr="0031706B">
        <w:rPr>
          <w:rFonts w:cstheme="minorHAnsi"/>
          <w:sz w:val="20"/>
          <w:szCs w:val="20"/>
        </w:rPr>
        <w:t xml:space="preserve"> London: </w:t>
      </w:r>
      <w:proofErr w:type="spellStart"/>
      <w:r w:rsidRPr="0031706B">
        <w:rPr>
          <w:rFonts w:cstheme="minorHAnsi"/>
          <w:sz w:val="20"/>
          <w:szCs w:val="20"/>
        </w:rPr>
        <w:t>Earthscan</w:t>
      </w:r>
      <w:proofErr w:type="spellEnd"/>
      <w:r w:rsidRPr="0031706B">
        <w:rPr>
          <w:rFonts w:cstheme="minorHAnsi"/>
          <w:sz w:val="20"/>
          <w:szCs w:val="20"/>
        </w:rPr>
        <w:t>.</w:t>
      </w:r>
    </w:p>
    <w:p w14:paraId="5642D0C6" w14:textId="77777777" w:rsidR="008268B2" w:rsidRPr="0031706B" w:rsidRDefault="008268B2" w:rsidP="0032732C">
      <w:pPr>
        <w:spacing w:after="0" w:line="480" w:lineRule="auto"/>
        <w:rPr>
          <w:rFonts w:cstheme="minorHAnsi"/>
          <w:sz w:val="20"/>
          <w:szCs w:val="20"/>
        </w:rPr>
      </w:pPr>
      <w:r w:rsidRPr="0031706B">
        <w:rPr>
          <w:rFonts w:cstheme="minorHAnsi"/>
          <w:sz w:val="20"/>
          <w:szCs w:val="20"/>
        </w:rPr>
        <w:t xml:space="preserve">Williams, J., </w:t>
      </w:r>
      <w:proofErr w:type="spellStart"/>
      <w:r w:rsidRPr="0031706B">
        <w:rPr>
          <w:rFonts w:cstheme="minorHAnsi"/>
          <w:sz w:val="20"/>
          <w:szCs w:val="20"/>
        </w:rPr>
        <w:t>DeBenedictis</w:t>
      </w:r>
      <w:proofErr w:type="spellEnd"/>
      <w:r w:rsidRPr="0031706B">
        <w:rPr>
          <w:rFonts w:cstheme="minorHAnsi"/>
          <w:sz w:val="20"/>
          <w:szCs w:val="20"/>
        </w:rPr>
        <w:t xml:space="preserve">, A., </w:t>
      </w:r>
      <w:proofErr w:type="spellStart"/>
      <w:r w:rsidRPr="0031706B">
        <w:rPr>
          <w:rFonts w:cstheme="minorHAnsi"/>
          <w:sz w:val="20"/>
          <w:szCs w:val="20"/>
        </w:rPr>
        <w:t>Ghanadan</w:t>
      </w:r>
      <w:proofErr w:type="spellEnd"/>
      <w:r w:rsidRPr="0031706B">
        <w:rPr>
          <w:rFonts w:cstheme="minorHAnsi"/>
          <w:sz w:val="20"/>
          <w:szCs w:val="20"/>
        </w:rPr>
        <w:t xml:space="preserve">, R., </w:t>
      </w:r>
      <w:proofErr w:type="spellStart"/>
      <w:r w:rsidRPr="0031706B">
        <w:rPr>
          <w:rFonts w:cstheme="minorHAnsi"/>
          <w:sz w:val="20"/>
          <w:szCs w:val="20"/>
        </w:rPr>
        <w:t>Mahone</w:t>
      </w:r>
      <w:proofErr w:type="spellEnd"/>
      <w:r w:rsidRPr="0031706B">
        <w:rPr>
          <w:rFonts w:cstheme="minorHAnsi"/>
          <w:sz w:val="20"/>
          <w:szCs w:val="20"/>
        </w:rPr>
        <w:t xml:space="preserve">, A., Moore, J., Morrow III, W., Price, S. and Torn, M. (2012) </w:t>
      </w:r>
      <w:proofErr w:type="gramStart"/>
      <w:r w:rsidRPr="0031706B">
        <w:rPr>
          <w:rFonts w:cstheme="minorHAnsi"/>
          <w:sz w:val="20"/>
          <w:szCs w:val="20"/>
        </w:rPr>
        <w:t>The</w:t>
      </w:r>
      <w:proofErr w:type="gramEnd"/>
      <w:r w:rsidRPr="0031706B">
        <w:rPr>
          <w:rFonts w:cstheme="minorHAnsi"/>
          <w:sz w:val="20"/>
          <w:szCs w:val="20"/>
        </w:rPr>
        <w:t xml:space="preserve"> technology path to deep greenhouse gas emissions cuts by 2050: the pivotal role of electricity. </w:t>
      </w:r>
      <w:proofErr w:type="gramStart"/>
      <w:r w:rsidRPr="0031706B">
        <w:rPr>
          <w:rFonts w:cstheme="minorHAnsi"/>
          <w:i/>
          <w:sz w:val="20"/>
          <w:szCs w:val="20"/>
        </w:rPr>
        <w:t>Science</w:t>
      </w:r>
      <w:r w:rsidRPr="0031706B">
        <w:rPr>
          <w:rFonts w:cstheme="minorHAnsi"/>
          <w:sz w:val="20"/>
          <w:szCs w:val="20"/>
        </w:rPr>
        <w:t>.</w:t>
      </w:r>
      <w:proofErr w:type="gramEnd"/>
      <w:r w:rsidRPr="0031706B">
        <w:rPr>
          <w:rFonts w:cstheme="minorHAnsi"/>
          <w:sz w:val="20"/>
          <w:szCs w:val="20"/>
        </w:rPr>
        <w:t xml:space="preserve"> 335 (6064), pp. 53-59.</w:t>
      </w:r>
    </w:p>
    <w:p w14:paraId="08CD07D1" w14:textId="6BBDA328" w:rsidR="00607EE8" w:rsidRPr="0031706B" w:rsidRDefault="00607EE8" w:rsidP="0032732C">
      <w:pPr>
        <w:spacing w:after="0" w:line="480" w:lineRule="auto"/>
        <w:rPr>
          <w:rFonts w:cstheme="minorHAnsi"/>
          <w:sz w:val="20"/>
          <w:szCs w:val="20"/>
        </w:rPr>
      </w:pPr>
      <w:r w:rsidRPr="0031706B">
        <w:rPr>
          <w:rFonts w:cstheme="minorHAnsi"/>
          <w:sz w:val="20"/>
          <w:szCs w:val="20"/>
        </w:rPr>
        <w:t xml:space="preserve">WWF, IPPR and RSPB (2007) </w:t>
      </w:r>
      <w:r w:rsidRPr="0031706B">
        <w:rPr>
          <w:rFonts w:cstheme="minorHAnsi"/>
          <w:i/>
          <w:sz w:val="20"/>
          <w:szCs w:val="20"/>
        </w:rPr>
        <w:t>80% Challenge: Delivering a low-carbon UK</w:t>
      </w:r>
      <w:r w:rsidRPr="0031706B">
        <w:rPr>
          <w:rFonts w:cstheme="minorHAnsi"/>
          <w:sz w:val="20"/>
          <w:szCs w:val="20"/>
        </w:rPr>
        <w:t>. Available from</w:t>
      </w:r>
      <w:r w:rsidR="00923F52" w:rsidRPr="0031706B">
        <w:rPr>
          <w:rFonts w:cstheme="minorHAnsi"/>
          <w:sz w:val="20"/>
          <w:szCs w:val="20"/>
        </w:rPr>
        <w:t>:</w:t>
      </w:r>
      <w:r w:rsidRPr="0031706B">
        <w:rPr>
          <w:rFonts w:cstheme="minorHAnsi"/>
          <w:sz w:val="20"/>
          <w:szCs w:val="20"/>
        </w:rPr>
        <w:t xml:space="preserve"> </w:t>
      </w:r>
      <w:hyperlink r:id="rId44" w:history="1">
        <w:r w:rsidRPr="0031706B">
          <w:rPr>
            <w:rStyle w:val="Hyperlink"/>
            <w:rFonts w:cstheme="minorHAnsi"/>
            <w:sz w:val="20"/>
            <w:szCs w:val="20"/>
          </w:rPr>
          <w:t>http://www.ippr.org/publication/55/1608/80-challenge-delivering-a-low-carbon-uk</w:t>
        </w:r>
      </w:hyperlink>
      <w:r w:rsidRPr="0031706B">
        <w:rPr>
          <w:rFonts w:cstheme="minorHAnsi"/>
          <w:sz w:val="20"/>
          <w:szCs w:val="20"/>
        </w:rPr>
        <w:t xml:space="preserve"> [Accessed 16 September 2012].</w:t>
      </w:r>
    </w:p>
    <w:p w14:paraId="04FA5A34" w14:textId="6F428D5C" w:rsidR="008268B2" w:rsidRPr="0031706B" w:rsidRDefault="008268B2" w:rsidP="0032732C">
      <w:pPr>
        <w:spacing w:after="0" w:line="480" w:lineRule="auto"/>
        <w:rPr>
          <w:rFonts w:cstheme="minorHAnsi"/>
          <w:sz w:val="20"/>
          <w:szCs w:val="20"/>
        </w:rPr>
      </w:pPr>
      <w:proofErr w:type="spellStart"/>
      <w:proofErr w:type="gramStart"/>
      <w:r w:rsidRPr="0031706B">
        <w:rPr>
          <w:rFonts w:cstheme="minorHAnsi"/>
          <w:sz w:val="20"/>
          <w:szCs w:val="20"/>
        </w:rPr>
        <w:t>YouGov</w:t>
      </w:r>
      <w:proofErr w:type="spellEnd"/>
      <w:r w:rsidRPr="0031706B">
        <w:rPr>
          <w:rFonts w:cstheme="minorHAnsi"/>
          <w:sz w:val="20"/>
          <w:szCs w:val="20"/>
        </w:rPr>
        <w:t xml:space="preserve"> (2011) </w:t>
      </w:r>
      <w:r w:rsidRPr="0031706B">
        <w:rPr>
          <w:rFonts w:cstheme="minorHAnsi"/>
          <w:i/>
          <w:sz w:val="20"/>
          <w:szCs w:val="20"/>
        </w:rPr>
        <w:t>Sunday Times Survey Results.</w:t>
      </w:r>
      <w:proofErr w:type="gramEnd"/>
      <w:r w:rsidRPr="0031706B">
        <w:rPr>
          <w:rFonts w:cstheme="minorHAnsi"/>
          <w:sz w:val="20"/>
          <w:szCs w:val="20"/>
        </w:rPr>
        <w:t xml:space="preserve"> Available from: </w:t>
      </w:r>
      <w:hyperlink r:id="rId45" w:history="1">
        <w:r w:rsidRPr="0031706B">
          <w:rPr>
            <w:rStyle w:val="Hyperlink"/>
            <w:rFonts w:cstheme="minorHAnsi"/>
            <w:sz w:val="20"/>
            <w:szCs w:val="20"/>
          </w:rPr>
          <w:t>http://cdn.yougov.com/cumulus_uploads/document/gm4jg0973n/Sunday%20Times%20Results%20111125%20VI%20and%20Trackers.pdf</w:t>
        </w:r>
      </w:hyperlink>
      <w:r w:rsidRPr="0031706B">
        <w:rPr>
          <w:rFonts w:cstheme="minorHAnsi"/>
          <w:sz w:val="20"/>
          <w:szCs w:val="20"/>
        </w:rPr>
        <w:t xml:space="preserve"> [Accessed 26 January 2012].</w:t>
      </w:r>
    </w:p>
    <w:p w14:paraId="13632F65" w14:textId="77777777" w:rsidR="008268B2" w:rsidRPr="0031706B" w:rsidRDefault="008268B2" w:rsidP="0032732C">
      <w:pPr>
        <w:spacing w:after="0" w:line="480" w:lineRule="auto"/>
        <w:rPr>
          <w:rFonts w:cstheme="minorHAnsi"/>
          <w:sz w:val="24"/>
        </w:rPr>
      </w:pPr>
    </w:p>
    <w:sectPr w:rsidR="008268B2" w:rsidRPr="0031706B" w:rsidSect="00EF2280">
      <w:footerReference w:type="even" r:id="rId46"/>
      <w:footerReference w:type="default" r:id="rId47"/>
      <w:pgSz w:w="11906" w:h="16838"/>
      <w:pgMar w:top="1135" w:right="2268" w:bottom="1135"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EE3A3" w14:textId="77777777" w:rsidR="0084333D" w:rsidRDefault="0084333D" w:rsidP="00887639">
      <w:pPr>
        <w:spacing w:after="0"/>
      </w:pPr>
      <w:r>
        <w:separator/>
      </w:r>
    </w:p>
  </w:endnote>
  <w:endnote w:type="continuationSeparator" w:id="0">
    <w:p w14:paraId="6B769BC0" w14:textId="77777777" w:rsidR="0084333D" w:rsidRDefault="0084333D" w:rsidP="00887639">
      <w:pPr>
        <w:spacing w:after="0"/>
      </w:pPr>
      <w:r>
        <w:continuationSeparator/>
      </w:r>
    </w:p>
  </w:endnote>
  <w:endnote w:id="1">
    <w:p w14:paraId="27582DA3" w14:textId="39D863B0" w:rsidR="0071132A" w:rsidRPr="00F56E7B" w:rsidRDefault="0071132A" w:rsidP="00205B8A">
      <w:pPr>
        <w:spacing w:after="0"/>
        <w:rPr>
          <w:sz w:val="20"/>
          <w:szCs w:val="20"/>
        </w:rPr>
      </w:pPr>
      <w:r w:rsidRPr="00205B8A">
        <w:rPr>
          <w:rStyle w:val="EndnoteReference"/>
          <w:sz w:val="20"/>
          <w:szCs w:val="20"/>
        </w:rPr>
        <w:endnoteRef/>
      </w:r>
      <w:r w:rsidRPr="00F56E7B">
        <w:rPr>
          <w:sz w:val="20"/>
          <w:szCs w:val="20"/>
        </w:rPr>
        <w:t xml:space="preserve"> </w:t>
      </w:r>
      <w:proofErr w:type="spellStart"/>
      <w:proofErr w:type="gramStart"/>
      <w:r w:rsidRPr="00F56E7B">
        <w:rPr>
          <w:sz w:val="20"/>
          <w:szCs w:val="20"/>
        </w:rPr>
        <w:t>Kiso</w:t>
      </w:r>
      <w:proofErr w:type="spellEnd"/>
      <w:r w:rsidRPr="00F56E7B">
        <w:rPr>
          <w:sz w:val="20"/>
          <w:szCs w:val="20"/>
        </w:rPr>
        <w:t>, J. (2011) Department of Energy and Climate Change.</w:t>
      </w:r>
      <w:proofErr w:type="gramEnd"/>
      <w:r w:rsidRPr="00F56E7B">
        <w:rPr>
          <w:sz w:val="20"/>
          <w:szCs w:val="20"/>
        </w:rPr>
        <w:t xml:space="preserve"> </w:t>
      </w:r>
      <w:proofErr w:type="gramStart"/>
      <w:r w:rsidRPr="00F56E7B">
        <w:rPr>
          <w:sz w:val="20"/>
          <w:szCs w:val="20"/>
        </w:rPr>
        <w:t>Personal communication, 11 April</w:t>
      </w:r>
      <w:r>
        <w:rPr>
          <w:sz w:val="20"/>
          <w:szCs w:val="20"/>
        </w:rPr>
        <w:t>.</w:t>
      </w:r>
      <w:proofErr w:type="gramEnd"/>
    </w:p>
  </w:endnote>
  <w:endnote w:id="2">
    <w:p w14:paraId="05700C7B" w14:textId="0538ED2D" w:rsidR="0071132A" w:rsidRPr="00C20C75" w:rsidRDefault="0071132A" w:rsidP="005F272E">
      <w:pPr>
        <w:spacing w:after="0"/>
      </w:pPr>
      <w:r w:rsidRPr="005F272E">
        <w:rPr>
          <w:rStyle w:val="EndnoteReference"/>
          <w:sz w:val="20"/>
          <w:szCs w:val="20"/>
        </w:rPr>
        <w:endnoteRef/>
      </w:r>
      <w:r w:rsidRPr="005F272E">
        <w:rPr>
          <w:sz w:val="20"/>
          <w:szCs w:val="20"/>
        </w:rPr>
        <w:t xml:space="preserve"> </w:t>
      </w:r>
      <w:proofErr w:type="spellStart"/>
      <w:r w:rsidRPr="00C20C75">
        <w:rPr>
          <w:rFonts w:cstheme="minorHAnsi"/>
          <w:sz w:val="20"/>
          <w:szCs w:val="20"/>
        </w:rPr>
        <w:t>Counsell</w:t>
      </w:r>
      <w:proofErr w:type="spellEnd"/>
      <w:r w:rsidRPr="00C20C75">
        <w:rPr>
          <w:rFonts w:cstheme="minorHAnsi"/>
          <w:sz w:val="20"/>
          <w:szCs w:val="20"/>
        </w:rPr>
        <w:t xml:space="preserve">, T. (2011) Department of Energy and Climate Change. Personal communication, 23 March. </w:t>
      </w:r>
    </w:p>
  </w:endnote>
  <w:endnote w:id="3">
    <w:p w14:paraId="63808ACB" w14:textId="0C0A9CD9" w:rsidR="0071132A" w:rsidRDefault="0071132A" w:rsidP="005F272E">
      <w:pPr>
        <w:spacing w:after="0"/>
      </w:pPr>
      <w:r w:rsidRPr="005F272E">
        <w:rPr>
          <w:rStyle w:val="EndnoteReference"/>
          <w:sz w:val="20"/>
          <w:szCs w:val="20"/>
        </w:rPr>
        <w:endnoteRef/>
      </w:r>
      <w:r w:rsidRPr="005F272E">
        <w:rPr>
          <w:sz w:val="20"/>
          <w:szCs w:val="20"/>
        </w:rPr>
        <w:t xml:space="preserve"> </w:t>
      </w:r>
      <w:proofErr w:type="spellStart"/>
      <w:proofErr w:type="gramStart"/>
      <w:r w:rsidRPr="008D5A66">
        <w:rPr>
          <w:rFonts w:cstheme="minorHAnsi"/>
          <w:sz w:val="20"/>
          <w:szCs w:val="20"/>
        </w:rPr>
        <w:t>Kiso</w:t>
      </w:r>
      <w:proofErr w:type="spellEnd"/>
      <w:r w:rsidRPr="008D5A66">
        <w:rPr>
          <w:rFonts w:cstheme="minorHAnsi"/>
          <w:sz w:val="20"/>
          <w:szCs w:val="20"/>
        </w:rPr>
        <w:t>, J. (2012) Department of Energy and Climate Change.</w:t>
      </w:r>
      <w:proofErr w:type="gramEnd"/>
      <w:r w:rsidRPr="008D5A66">
        <w:rPr>
          <w:rFonts w:cstheme="minorHAnsi"/>
          <w:sz w:val="20"/>
          <w:szCs w:val="20"/>
        </w:rPr>
        <w:t xml:space="preserve"> </w:t>
      </w:r>
      <w:proofErr w:type="gramStart"/>
      <w:r w:rsidRPr="008D5A66">
        <w:rPr>
          <w:rFonts w:cstheme="minorHAnsi"/>
          <w:sz w:val="20"/>
          <w:szCs w:val="20"/>
        </w:rPr>
        <w:t>Personal communication, 27 January</w:t>
      </w:r>
      <w:r>
        <w:rPr>
          <w:rFonts w:cstheme="minorHAnsi"/>
          <w:sz w:val="20"/>
          <w:szCs w:val="20"/>
        </w:rPr>
        <w:t xml:space="preserve">, </w:t>
      </w:r>
      <w:r w:rsidRPr="00F974C3">
        <w:rPr>
          <w:sz w:val="20"/>
          <w:szCs w:val="20"/>
        </w:rPr>
        <w:t xml:space="preserve">and see </w:t>
      </w:r>
      <w:hyperlink r:id="rId1" w:history="1">
        <w:r w:rsidRPr="00F974C3">
          <w:rPr>
            <w:rStyle w:val="Hyperlink"/>
            <w:sz w:val="20"/>
            <w:szCs w:val="20"/>
          </w:rPr>
          <w:t>http://2050pathway-en.chinaenergyoutlook.org</w:t>
        </w:r>
      </w:hyperlink>
      <w:r w:rsidRPr="008D5A66">
        <w:rPr>
          <w:rFonts w:cstheme="minorHAnsi"/>
          <w:sz w:val="20"/>
          <w:szCs w:val="20"/>
        </w:rPr>
        <w:t>.</w:t>
      </w:r>
      <w:proofErr w:type="gramEnd"/>
      <w:r w:rsidRPr="008D5A66">
        <w:rPr>
          <w:rFonts w:cstheme="minorHAnsi"/>
          <w:sz w:val="20"/>
          <w:szCs w:val="20"/>
        </w:rPr>
        <w:t xml:space="preserve"> </w:t>
      </w:r>
    </w:p>
  </w:endnote>
  <w:endnote w:id="4">
    <w:p w14:paraId="20B72926" w14:textId="331A1A58" w:rsidR="0071132A" w:rsidRPr="00F56E7B" w:rsidRDefault="0071132A">
      <w:pPr>
        <w:pStyle w:val="EndnoteText"/>
        <w:rPr>
          <w:lang w:val="en-GB"/>
        </w:rPr>
      </w:pPr>
      <w:r>
        <w:rPr>
          <w:rStyle w:val="EndnoteReference"/>
        </w:rPr>
        <w:endnoteRef/>
      </w:r>
      <w:r>
        <w:t xml:space="preserve"> </w:t>
      </w:r>
      <w:proofErr w:type="gramStart"/>
      <w:r w:rsidRPr="009D4892">
        <w:t>4</w:t>
      </w:r>
      <w:r>
        <w:rPr>
          <w:vertAlign w:val="superscript"/>
        </w:rPr>
        <w:t>14</w:t>
      </w:r>
      <w:r>
        <w:t xml:space="preserve"> = </w:t>
      </w:r>
      <w:r w:rsidRPr="009D4892">
        <w:t>268</w:t>
      </w:r>
      <w:r>
        <w:t>,</w:t>
      </w:r>
      <w:r w:rsidRPr="009D4892">
        <w:t>435</w:t>
      </w:r>
      <w:r>
        <w:t>,</w:t>
      </w:r>
      <w:r w:rsidRPr="009D4892">
        <w:t>456</w:t>
      </w:r>
      <w:r>
        <w:t xml:space="preserve"> possible combinations.</w:t>
      </w:r>
      <w:proofErr w:type="gramEnd"/>
    </w:p>
  </w:endnote>
  <w:endnote w:id="5">
    <w:p w14:paraId="5C530D6A" w14:textId="10F80FDC" w:rsidR="0071132A" w:rsidRDefault="0071132A" w:rsidP="003D48EF">
      <w:pPr>
        <w:pStyle w:val="EndnoteText"/>
      </w:pPr>
      <w:r>
        <w:rPr>
          <w:rStyle w:val="EndnoteReference"/>
        </w:rPr>
        <w:endnoteRef/>
      </w:r>
      <w:r>
        <w:t xml:space="preserve"> The home page for the simulation states: </w:t>
      </w:r>
      <w:r w:rsidRPr="0020106E">
        <w:t>‘</w:t>
      </w:r>
      <w:r w:rsidRPr="0020106E">
        <w:rPr>
          <w:rFonts w:eastAsiaTheme="minorHAnsi" w:cs="Times"/>
        </w:rPr>
        <w:t xml:space="preserve">This web presence is a </w:t>
      </w:r>
      <w:proofErr w:type="spellStart"/>
      <w:r w:rsidRPr="0020106E">
        <w:rPr>
          <w:rFonts w:eastAsiaTheme="minorHAnsi" w:cs="Times"/>
        </w:rPr>
        <w:t>visualisation</w:t>
      </w:r>
      <w:proofErr w:type="spellEnd"/>
      <w:r w:rsidRPr="0020106E">
        <w:rPr>
          <w:rFonts w:eastAsiaTheme="minorHAnsi" w:cs="Times"/>
        </w:rPr>
        <w:t xml:space="preserve"> as well as simplification of the </w:t>
      </w:r>
      <w:r>
        <w:rPr>
          <w:rFonts w:eastAsiaTheme="minorHAnsi" w:cs="Times"/>
        </w:rPr>
        <w:t xml:space="preserve">2050 Pathways Analysis </w:t>
      </w:r>
      <w:r w:rsidRPr="0020106E">
        <w:rPr>
          <w:rFonts w:eastAsiaTheme="minorHAnsi" w:cs="Times"/>
        </w:rPr>
        <w:t>in order to further share its findings.</w:t>
      </w:r>
      <w:r w:rsidRPr="0020106E">
        <w:t xml:space="preserve"> </w:t>
      </w:r>
      <w:r w:rsidRPr="0020106E">
        <w:rPr>
          <w:rFonts w:eastAsiaTheme="minorHAnsi" w:cs="Times"/>
        </w:rPr>
        <w:t>The Department of Energy and Climate Change is keen to engage in an open and transparent debate around the choices and trade-offs the United Kingdom faces to reach the 2050 emissions reduction target. The data you are entering on this site will feed into this debate.’</w:t>
      </w:r>
    </w:p>
  </w:endnote>
  <w:endnote w:id="6">
    <w:p w14:paraId="3B5A63F7" w14:textId="77777777" w:rsidR="0071132A" w:rsidRPr="00C51D16" w:rsidRDefault="0071132A" w:rsidP="001177D1">
      <w:pPr>
        <w:pStyle w:val="EndnoteText"/>
      </w:pPr>
      <w:r w:rsidRPr="00C51D16">
        <w:rPr>
          <w:rStyle w:val="EndnoteReference"/>
        </w:rPr>
        <w:endnoteRef/>
      </w:r>
      <w:r w:rsidRPr="00C51D16">
        <w:t xml:space="preserve"> The word ‘pathway’ is used </w:t>
      </w:r>
      <w:r>
        <w:t>here</w:t>
      </w:r>
      <w:r w:rsidRPr="00C51D16">
        <w:t xml:space="preserve"> to describe </w:t>
      </w:r>
      <w:r>
        <w:t>carbon reduction scenarios represented by a</w:t>
      </w:r>
      <w:r w:rsidRPr="00C51D16">
        <w:t xml:space="preserve"> combination of settings selected for all fourteen supply and demand sliders</w:t>
      </w:r>
      <w:r>
        <w:t xml:space="preserve"> in ‘My2050’</w:t>
      </w:r>
      <w:r w:rsidRPr="00C51D16">
        <w:t xml:space="preserve">. </w:t>
      </w:r>
    </w:p>
  </w:endnote>
  <w:endnote w:id="7">
    <w:p w14:paraId="15B9DADE" w14:textId="77777777" w:rsidR="0071132A" w:rsidRPr="00BC3129" w:rsidRDefault="0071132A" w:rsidP="007564E0">
      <w:pPr>
        <w:pStyle w:val="EndnoteText"/>
      </w:pPr>
      <w:r w:rsidRPr="00BC3129">
        <w:rPr>
          <w:rStyle w:val="EndnoteReference"/>
        </w:rPr>
        <w:endnoteRef/>
      </w:r>
      <w:r w:rsidRPr="00BC3129">
        <w:t xml:space="preserve"> </w:t>
      </w:r>
      <w:r>
        <w:t>Nineteen</w:t>
      </w:r>
      <w:r w:rsidRPr="00BC3129">
        <w:t xml:space="preserve"> cases </w:t>
      </w:r>
      <w:r>
        <w:t>pre-dated the launch date of 3 March 2011 – two from February and the remainder from 1 and 2 March 2011. These were retained for analysis since they were not coded as ‘test’ cases.</w:t>
      </w:r>
    </w:p>
  </w:endnote>
  <w:endnote w:id="8">
    <w:p w14:paraId="599842E3" w14:textId="732FD14F" w:rsidR="0071132A" w:rsidRPr="00C51D16" w:rsidRDefault="0071132A" w:rsidP="00E34324">
      <w:pPr>
        <w:spacing w:after="0"/>
      </w:pPr>
      <w:r w:rsidRPr="00C51D16">
        <w:rPr>
          <w:rStyle w:val="EndnoteReference"/>
        </w:rPr>
        <w:endnoteRef/>
      </w:r>
      <w:r w:rsidRPr="00C51D16">
        <w:rPr>
          <w:sz w:val="20"/>
          <w:szCs w:val="20"/>
        </w:rPr>
        <w:t xml:space="preserve"> S = supply and D = demand. Each subsequent number corresponds to the setting selected for each supply and demand slider (where choices range fr</w:t>
      </w:r>
      <w:r>
        <w:rPr>
          <w:sz w:val="20"/>
          <w:szCs w:val="20"/>
        </w:rPr>
        <w:t>om 1 – 4 as described in Table 1 and Table 2</w:t>
      </w:r>
      <w:r w:rsidRPr="00C51D16">
        <w:rPr>
          <w:sz w:val="20"/>
          <w:szCs w:val="20"/>
        </w:rPr>
        <w:t xml:space="preserve">). </w:t>
      </w:r>
    </w:p>
  </w:endnote>
  <w:endnote w:id="9">
    <w:p w14:paraId="368DCE3E" w14:textId="1B2B98B9" w:rsidR="0071132A" w:rsidRPr="00F56E7B" w:rsidRDefault="0071132A">
      <w:pPr>
        <w:pStyle w:val="EndnoteText"/>
        <w:rPr>
          <w:lang w:val="en-GB"/>
        </w:rPr>
      </w:pPr>
      <w:r>
        <w:rPr>
          <w:rStyle w:val="EndnoteReference"/>
        </w:rPr>
        <w:endnoteRef/>
      </w:r>
      <w:r>
        <w:t xml:space="preserve"> </w:t>
      </w:r>
      <w:r>
        <w:rPr>
          <w:lang w:val="en-GB"/>
        </w:rPr>
        <w:t xml:space="preserve">A Chi-square test was run for each slider comparing the frequency of the most popular two selections to an ‘expected’ set of two values equal to the first slider.  </w:t>
      </w:r>
      <w:proofErr w:type="gramStart"/>
      <w:r>
        <w:rPr>
          <w:lang w:val="en-GB"/>
        </w:rPr>
        <w:t>For all sliders p ≤ 0.05.</w:t>
      </w:r>
      <w:proofErr w:type="gramEnd"/>
    </w:p>
  </w:endnote>
  <w:endnote w:id="10">
    <w:p w14:paraId="12F5D092" w14:textId="77777777" w:rsidR="0071132A" w:rsidRDefault="0071132A" w:rsidP="00C5678D">
      <w:pPr>
        <w:pStyle w:val="EndnoteText"/>
      </w:pPr>
      <w:r>
        <w:rPr>
          <w:rStyle w:val="EndnoteReference"/>
        </w:rPr>
        <w:endnoteRef/>
      </w:r>
      <w:r>
        <w:t xml:space="preserve"> </w:t>
      </w:r>
      <w:r w:rsidRPr="00582349">
        <w:t xml:space="preserve">The word </w:t>
      </w:r>
      <w:r>
        <w:t xml:space="preserve">heterogeneous </w:t>
      </w:r>
      <w:r w:rsidRPr="00582349">
        <w:t>was selected to convey the caution necessary in drawing conclusions from the data for these sliders.</w:t>
      </w:r>
    </w:p>
  </w:endnote>
  <w:endnote w:id="11">
    <w:p w14:paraId="3E94DBE4" w14:textId="77777777" w:rsidR="0071132A" w:rsidRDefault="0071132A" w:rsidP="005F272E">
      <w:pPr>
        <w:spacing w:after="0"/>
        <w:rPr>
          <w:sz w:val="20"/>
          <w:szCs w:val="20"/>
        </w:rPr>
      </w:pPr>
      <w:r>
        <w:rPr>
          <w:rStyle w:val="EndnoteReference"/>
        </w:rPr>
        <w:endnoteRef/>
      </w:r>
      <w:r>
        <w:t xml:space="preserve"> </w:t>
      </w:r>
      <w:r w:rsidRPr="005F272E">
        <w:rPr>
          <w:sz w:val="20"/>
          <w:szCs w:val="20"/>
        </w:rPr>
        <w:t>Pathways comparison method calculations were as follows:</w:t>
      </w:r>
    </w:p>
    <w:p w14:paraId="527AB328" w14:textId="3D752C6E" w:rsidR="0071132A" w:rsidRPr="00DF58CE" w:rsidRDefault="0071132A" w:rsidP="00DF58CE">
      <w:pPr>
        <w:widowControl w:val="0"/>
        <w:autoSpaceDE w:val="0"/>
        <w:autoSpaceDN w:val="0"/>
        <w:adjustRightInd w:val="0"/>
        <w:spacing w:after="0"/>
        <w:rPr>
          <w:rFonts w:eastAsiaTheme="minorHAnsi" w:cs="Arial"/>
          <w:color w:val="1A1A1A"/>
          <w:sz w:val="20"/>
          <w:szCs w:val="20"/>
        </w:rPr>
      </w:pPr>
      <w:r w:rsidRPr="00DF58CE">
        <w:rPr>
          <w:rFonts w:eastAsiaTheme="minorHAnsi" w:cs="Arial"/>
          <w:color w:val="1A1A1A"/>
          <w:sz w:val="20"/>
          <w:szCs w:val="20"/>
        </w:rPr>
        <w:t xml:space="preserve">13 sliders </w:t>
      </w:r>
      <w:r>
        <w:rPr>
          <w:rFonts w:eastAsiaTheme="minorHAnsi" w:cs="Arial"/>
          <w:color w:val="1A1A1A"/>
          <w:sz w:val="20"/>
          <w:szCs w:val="20"/>
        </w:rPr>
        <w:t>are</w:t>
      </w:r>
      <w:r w:rsidRPr="004C50C1">
        <w:rPr>
          <w:rFonts w:eastAsiaTheme="minorHAnsi" w:cs="Arial"/>
          <w:color w:val="1A1A1A"/>
          <w:sz w:val="20"/>
          <w:szCs w:val="20"/>
        </w:rPr>
        <w:t xml:space="preserve"> compared</w:t>
      </w:r>
      <w:r w:rsidRPr="00DF58CE">
        <w:rPr>
          <w:rFonts w:eastAsiaTheme="minorHAnsi" w:cs="Arial"/>
          <w:color w:val="1A1A1A"/>
          <w:sz w:val="20"/>
          <w:szCs w:val="20"/>
        </w:rPr>
        <w:t xml:space="preserve"> for each DECC scenario. If the DECC</w:t>
      </w:r>
      <w:r>
        <w:rPr>
          <w:rFonts w:eastAsiaTheme="minorHAnsi" w:cs="Arial"/>
          <w:color w:val="1A1A1A"/>
          <w:sz w:val="20"/>
          <w:szCs w:val="20"/>
        </w:rPr>
        <w:t xml:space="preserve"> scenario</w:t>
      </w:r>
      <w:r w:rsidRPr="00DF58CE">
        <w:rPr>
          <w:rFonts w:eastAsiaTheme="minorHAnsi" w:cs="Arial"/>
          <w:color w:val="1A1A1A"/>
          <w:sz w:val="20"/>
          <w:szCs w:val="20"/>
        </w:rPr>
        <w:t xml:space="preserve"> setting </w:t>
      </w:r>
      <w:r>
        <w:rPr>
          <w:rFonts w:eastAsiaTheme="minorHAnsi" w:cs="Arial"/>
          <w:color w:val="1A1A1A"/>
          <w:sz w:val="20"/>
          <w:szCs w:val="20"/>
        </w:rPr>
        <w:t xml:space="preserve">for the first slider </w:t>
      </w:r>
      <w:r w:rsidRPr="00DF58CE">
        <w:rPr>
          <w:rFonts w:eastAsiaTheme="minorHAnsi" w:cs="Arial"/>
          <w:color w:val="1A1A1A"/>
          <w:sz w:val="20"/>
          <w:szCs w:val="20"/>
        </w:rPr>
        <w:t>was 1 an</w:t>
      </w:r>
      <w:r w:rsidRPr="004C50C1">
        <w:rPr>
          <w:rFonts w:eastAsiaTheme="minorHAnsi" w:cs="Arial"/>
          <w:color w:val="1A1A1A"/>
          <w:sz w:val="20"/>
          <w:szCs w:val="20"/>
        </w:rPr>
        <w:t>d the modal setting was 1, that i</w:t>
      </w:r>
      <w:r w:rsidRPr="00DF58CE">
        <w:rPr>
          <w:rFonts w:eastAsiaTheme="minorHAnsi" w:cs="Arial"/>
          <w:color w:val="1A1A1A"/>
          <w:sz w:val="20"/>
          <w:szCs w:val="20"/>
        </w:rPr>
        <w:t xml:space="preserve">s </w:t>
      </w:r>
      <w:r>
        <w:rPr>
          <w:rFonts w:eastAsiaTheme="minorHAnsi" w:cs="Arial"/>
          <w:color w:val="1A1A1A"/>
          <w:sz w:val="20"/>
          <w:szCs w:val="20"/>
        </w:rPr>
        <w:t>regarded as full alignment</w:t>
      </w:r>
      <w:r w:rsidRPr="00DF58CE">
        <w:rPr>
          <w:rFonts w:eastAsiaTheme="minorHAnsi" w:cs="Arial"/>
          <w:color w:val="1A1A1A"/>
          <w:sz w:val="20"/>
          <w:szCs w:val="20"/>
        </w:rPr>
        <w:t>.</w:t>
      </w:r>
      <w:r>
        <w:rPr>
          <w:rFonts w:eastAsiaTheme="minorHAnsi" w:cs="Arial"/>
          <w:color w:val="1A1A1A"/>
          <w:sz w:val="20"/>
          <w:szCs w:val="20"/>
        </w:rPr>
        <w:t xml:space="preserve"> </w:t>
      </w:r>
      <w:r w:rsidRPr="00DF58CE">
        <w:rPr>
          <w:rFonts w:eastAsiaTheme="minorHAnsi" w:cs="Arial"/>
          <w:color w:val="1A1A1A"/>
          <w:sz w:val="20"/>
          <w:szCs w:val="20"/>
        </w:rPr>
        <w:t xml:space="preserve">If the DECC </w:t>
      </w:r>
      <w:r>
        <w:rPr>
          <w:rFonts w:eastAsiaTheme="minorHAnsi" w:cs="Arial"/>
          <w:color w:val="1A1A1A"/>
          <w:sz w:val="20"/>
          <w:szCs w:val="20"/>
        </w:rPr>
        <w:t xml:space="preserve">scenario </w:t>
      </w:r>
      <w:r w:rsidRPr="00DF58CE">
        <w:rPr>
          <w:rFonts w:eastAsiaTheme="minorHAnsi" w:cs="Arial"/>
          <w:color w:val="1A1A1A"/>
          <w:sz w:val="20"/>
          <w:szCs w:val="20"/>
        </w:rPr>
        <w:t xml:space="preserve">setting </w:t>
      </w:r>
      <w:r>
        <w:rPr>
          <w:rFonts w:eastAsiaTheme="minorHAnsi" w:cs="Arial"/>
          <w:color w:val="1A1A1A"/>
          <w:sz w:val="20"/>
          <w:szCs w:val="20"/>
        </w:rPr>
        <w:t xml:space="preserve">for the first slider </w:t>
      </w:r>
      <w:r w:rsidRPr="00DF58CE">
        <w:rPr>
          <w:rFonts w:eastAsiaTheme="minorHAnsi" w:cs="Arial"/>
          <w:color w:val="1A1A1A"/>
          <w:sz w:val="20"/>
          <w:szCs w:val="20"/>
        </w:rPr>
        <w:t>was 1 and the modal setting was 2, that</w:t>
      </w:r>
      <w:r>
        <w:rPr>
          <w:rFonts w:eastAsiaTheme="minorHAnsi" w:cs="Arial"/>
          <w:color w:val="1A1A1A"/>
          <w:sz w:val="20"/>
          <w:szCs w:val="20"/>
        </w:rPr>
        <w:t xml:space="preserve"> i</w:t>
      </w:r>
      <w:r w:rsidRPr="00DF58CE">
        <w:rPr>
          <w:rFonts w:eastAsiaTheme="minorHAnsi" w:cs="Arial"/>
          <w:color w:val="1A1A1A"/>
          <w:sz w:val="20"/>
          <w:szCs w:val="20"/>
        </w:rPr>
        <w:t>s</w:t>
      </w:r>
      <w:r>
        <w:rPr>
          <w:rFonts w:eastAsiaTheme="minorHAnsi" w:cs="Arial"/>
          <w:color w:val="1A1A1A"/>
          <w:sz w:val="20"/>
          <w:szCs w:val="20"/>
        </w:rPr>
        <w:t xml:space="preserve"> regarded as</w:t>
      </w:r>
      <w:r w:rsidRPr="00DF58CE">
        <w:rPr>
          <w:rFonts w:eastAsiaTheme="minorHAnsi" w:cs="Arial"/>
          <w:color w:val="1A1A1A"/>
          <w:sz w:val="20"/>
          <w:szCs w:val="20"/>
        </w:rPr>
        <w:t xml:space="preserve"> 1 mismatch. </w:t>
      </w:r>
      <w:r w:rsidRPr="00214E14">
        <w:rPr>
          <w:rFonts w:eastAsiaTheme="minorHAnsi" w:cs="Arial"/>
          <w:color w:val="1A1A1A"/>
          <w:sz w:val="20"/>
          <w:szCs w:val="20"/>
        </w:rPr>
        <w:t xml:space="preserve">If the DECC </w:t>
      </w:r>
      <w:r>
        <w:rPr>
          <w:rFonts w:eastAsiaTheme="minorHAnsi" w:cs="Arial"/>
          <w:color w:val="1A1A1A"/>
          <w:sz w:val="20"/>
          <w:szCs w:val="20"/>
        </w:rPr>
        <w:t xml:space="preserve">scenario </w:t>
      </w:r>
      <w:r w:rsidRPr="00214E14">
        <w:rPr>
          <w:rFonts w:eastAsiaTheme="minorHAnsi" w:cs="Arial"/>
          <w:color w:val="1A1A1A"/>
          <w:sz w:val="20"/>
          <w:szCs w:val="20"/>
        </w:rPr>
        <w:t xml:space="preserve">setting </w:t>
      </w:r>
      <w:r>
        <w:rPr>
          <w:rFonts w:eastAsiaTheme="minorHAnsi" w:cs="Arial"/>
          <w:color w:val="1A1A1A"/>
          <w:sz w:val="20"/>
          <w:szCs w:val="20"/>
        </w:rPr>
        <w:t xml:space="preserve">for the first slider </w:t>
      </w:r>
      <w:r w:rsidRPr="00214E14">
        <w:rPr>
          <w:rFonts w:eastAsiaTheme="minorHAnsi" w:cs="Arial"/>
          <w:color w:val="1A1A1A"/>
          <w:sz w:val="20"/>
          <w:szCs w:val="20"/>
        </w:rPr>
        <w:t>w</w:t>
      </w:r>
      <w:r>
        <w:rPr>
          <w:rFonts w:eastAsiaTheme="minorHAnsi" w:cs="Arial"/>
          <w:color w:val="1A1A1A"/>
          <w:sz w:val="20"/>
          <w:szCs w:val="20"/>
        </w:rPr>
        <w:t>as 1 and the modal setting was 3</w:t>
      </w:r>
      <w:r w:rsidRPr="00214E14">
        <w:rPr>
          <w:rFonts w:eastAsiaTheme="minorHAnsi" w:cs="Arial"/>
          <w:color w:val="1A1A1A"/>
          <w:sz w:val="20"/>
          <w:szCs w:val="20"/>
        </w:rPr>
        <w:t>, that</w:t>
      </w:r>
      <w:r>
        <w:rPr>
          <w:rFonts w:eastAsiaTheme="minorHAnsi" w:cs="Arial"/>
          <w:color w:val="1A1A1A"/>
          <w:sz w:val="20"/>
          <w:szCs w:val="20"/>
        </w:rPr>
        <w:t xml:space="preserve"> i</w:t>
      </w:r>
      <w:r w:rsidRPr="00214E14">
        <w:rPr>
          <w:rFonts w:eastAsiaTheme="minorHAnsi" w:cs="Arial"/>
          <w:color w:val="1A1A1A"/>
          <w:sz w:val="20"/>
          <w:szCs w:val="20"/>
        </w:rPr>
        <w:t>s</w:t>
      </w:r>
      <w:r>
        <w:rPr>
          <w:rFonts w:eastAsiaTheme="minorHAnsi" w:cs="Arial"/>
          <w:color w:val="1A1A1A"/>
          <w:sz w:val="20"/>
          <w:szCs w:val="20"/>
        </w:rPr>
        <w:t xml:space="preserve"> regarded as 2</w:t>
      </w:r>
      <w:r w:rsidRPr="00214E14">
        <w:rPr>
          <w:rFonts w:eastAsiaTheme="minorHAnsi" w:cs="Arial"/>
          <w:color w:val="1A1A1A"/>
          <w:sz w:val="20"/>
          <w:szCs w:val="20"/>
        </w:rPr>
        <w:t xml:space="preserve"> mismatch</w:t>
      </w:r>
      <w:r>
        <w:rPr>
          <w:rFonts w:eastAsiaTheme="minorHAnsi" w:cs="Arial"/>
          <w:color w:val="1A1A1A"/>
          <w:sz w:val="20"/>
          <w:szCs w:val="20"/>
        </w:rPr>
        <w:t>es</w:t>
      </w:r>
      <w:r w:rsidRPr="00214E14">
        <w:rPr>
          <w:rFonts w:eastAsiaTheme="minorHAnsi" w:cs="Arial"/>
          <w:color w:val="1A1A1A"/>
          <w:sz w:val="20"/>
          <w:szCs w:val="20"/>
        </w:rPr>
        <w:t xml:space="preserve">. If the DECC </w:t>
      </w:r>
      <w:r>
        <w:rPr>
          <w:rFonts w:eastAsiaTheme="minorHAnsi" w:cs="Arial"/>
          <w:color w:val="1A1A1A"/>
          <w:sz w:val="20"/>
          <w:szCs w:val="20"/>
        </w:rPr>
        <w:t xml:space="preserve">scenario </w:t>
      </w:r>
      <w:r w:rsidRPr="00214E14">
        <w:rPr>
          <w:rFonts w:eastAsiaTheme="minorHAnsi" w:cs="Arial"/>
          <w:color w:val="1A1A1A"/>
          <w:sz w:val="20"/>
          <w:szCs w:val="20"/>
        </w:rPr>
        <w:t xml:space="preserve">setting </w:t>
      </w:r>
      <w:r>
        <w:rPr>
          <w:rFonts w:eastAsiaTheme="minorHAnsi" w:cs="Arial"/>
          <w:color w:val="1A1A1A"/>
          <w:sz w:val="20"/>
          <w:szCs w:val="20"/>
        </w:rPr>
        <w:t xml:space="preserve">for the first slider </w:t>
      </w:r>
      <w:r w:rsidRPr="00214E14">
        <w:rPr>
          <w:rFonts w:eastAsiaTheme="minorHAnsi" w:cs="Arial"/>
          <w:color w:val="1A1A1A"/>
          <w:sz w:val="20"/>
          <w:szCs w:val="20"/>
        </w:rPr>
        <w:t>w</w:t>
      </w:r>
      <w:r>
        <w:rPr>
          <w:rFonts w:eastAsiaTheme="minorHAnsi" w:cs="Arial"/>
          <w:color w:val="1A1A1A"/>
          <w:sz w:val="20"/>
          <w:szCs w:val="20"/>
        </w:rPr>
        <w:t>as 1 and the modal setting was 4</w:t>
      </w:r>
      <w:r w:rsidRPr="00214E14">
        <w:rPr>
          <w:rFonts w:eastAsiaTheme="minorHAnsi" w:cs="Arial"/>
          <w:color w:val="1A1A1A"/>
          <w:sz w:val="20"/>
          <w:szCs w:val="20"/>
        </w:rPr>
        <w:t>, that</w:t>
      </w:r>
      <w:r>
        <w:rPr>
          <w:rFonts w:eastAsiaTheme="minorHAnsi" w:cs="Arial"/>
          <w:color w:val="1A1A1A"/>
          <w:sz w:val="20"/>
          <w:szCs w:val="20"/>
        </w:rPr>
        <w:t xml:space="preserve"> i</w:t>
      </w:r>
      <w:r w:rsidRPr="00214E14">
        <w:rPr>
          <w:rFonts w:eastAsiaTheme="minorHAnsi" w:cs="Arial"/>
          <w:color w:val="1A1A1A"/>
          <w:sz w:val="20"/>
          <w:szCs w:val="20"/>
        </w:rPr>
        <w:t>s</w:t>
      </w:r>
      <w:r>
        <w:rPr>
          <w:rFonts w:eastAsiaTheme="minorHAnsi" w:cs="Arial"/>
          <w:color w:val="1A1A1A"/>
          <w:sz w:val="20"/>
          <w:szCs w:val="20"/>
        </w:rPr>
        <w:t xml:space="preserve"> regarded as 3 </w:t>
      </w:r>
      <w:r w:rsidRPr="00214E14">
        <w:rPr>
          <w:rFonts w:eastAsiaTheme="minorHAnsi" w:cs="Arial"/>
          <w:color w:val="1A1A1A"/>
          <w:sz w:val="20"/>
          <w:szCs w:val="20"/>
        </w:rPr>
        <w:t>mismatch</w:t>
      </w:r>
      <w:r>
        <w:rPr>
          <w:rFonts w:eastAsiaTheme="minorHAnsi" w:cs="Arial"/>
          <w:color w:val="1A1A1A"/>
          <w:sz w:val="20"/>
          <w:szCs w:val="20"/>
        </w:rPr>
        <w:t>es. Therefore</w:t>
      </w:r>
      <w:r w:rsidRPr="00DF58CE">
        <w:rPr>
          <w:rFonts w:eastAsiaTheme="minorHAnsi" w:cs="Arial"/>
          <w:color w:val="1A1A1A"/>
          <w:sz w:val="20"/>
          <w:szCs w:val="20"/>
        </w:rPr>
        <w:t xml:space="preserve"> for each slider, there are a possible maximum of 3 mismatches. </w:t>
      </w:r>
      <w:r>
        <w:rPr>
          <w:rFonts w:eastAsiaTheme="minorHAnsi" w:cs="Arial"/>
          <w:color w:val="1A1A1A"/>
          <w:sz w:val="20"/>
          <w:szCs w:val="20"/>
        </w:rPr>
        <w:t>As t</w:t>
      </w:r>
      <w:r w:rsidRPr="00DF58CE">
        <w:rPr>
          <w:rFonts w:eastAsiaTheme="minorHAnsi" w:cs="Arial"/>
          <w:color w:val="1A1A1A"/>
          <w:sz w:val="20"/>
          <w:szCs w:val="20"/>
        </w:rPr>
        <w:t>here are 13 sliders</w:t>
      </w:r>
      <w:r>
        <w:rPr>
          <w:rFonts w:eastAsiaTheme="minorHAnsi" w:cs="Arial"/>
          <w:color w:val="1A1A1A"/>
          <w:sz w:val="20"/>
          <w:szCs w:val="20"/>
        </w:rPr>
        <w:t xml:space="preserve"> (as the ‘</w:t>
      </w:r>
      <w:r>
        <w:rPr>
          <w:rFonts w:eastAsiaTheme="minorHAnsi" w:cs="Arial"/>
          <w:i/>
          <w:color w:val="1A1A1A"/>
          <w:sz w:val="20"/>
          <w:szCs w:val="20"/>
        </w:rPr>
        <w:t>oil, gas and coal’</w:t>
      </w:r>
      <w:r>
        <w:rPr>
          <w:rFonts w:eastAsiaTheme="minorHAnsi" w:cs="Arial"/>
          <w:color w:val="1A1A1A"/>
          <w:sz w:val="20"/>
          <w:szCs w:val="20"/>
        </w:rPr>
        <w:t xml:space="preserve"> slider is not represented in the DECC scenarios)</w:t>
      </w:r>
      <w:r w:rsidRPr="00DF58CE">
        <w:rPr>
          <w:rFonts w:eastAsiaTheme="minorHAnsi" w:cs="Arial"/>
          <w:color w:val="1A1A1A"/>
          <w:sz w:val="20"/>
          <w:szCs w:val="20"/>
        </w:rPr>
        <w:t xml:space="preserve">, </w:t>
      </w:r>
      <w:r>
        <w:rPr>
          <w:rFonts w:eastAsiaTheme="minorHAnsi" w:cs="Arial"/>
          <w:color w:val="1A1A1A"/>
          <w:sz w:val="20"/>
          <w:szCs w:val="20"/>
        </w:rPr>
        <w:t>then</w:t>
      </w:r>
      <w:r w:rsidRPr="00DF58CE">
        <w:rPr>
          <w:rFonts w:eastAsiaTheme="minorHAnsi" w:cs="Arial"/>
          <w:color w:val="1A1A1A"/>
          <w:sz w:val="20"/>
          <w:szCs w:val="20"/>
        </w:rPr>
        <w:t xml:space="preserve"> there is a possible maximum of 13 x 3 mismatches (39</w:t>
      </w:r>
      <w:r>
        <w:rPr>
          <w:rFonts w:eastAsiaTheme="minorHAnsi" w:cs="Arial"/>
          <w:color w:val="1A1A1A"/>
          <w:sz w:val="20"/>
          <w:szCs w:val="20"/>
        </w:rPr>
        <w:t>)</w:t>
      </w:r>
      <w:r w:rsidRPr="00DF58CE">
        <w:rPr>
          <w:rFonts w:eastAsiaTheme="minorHAnsi" w:cs="Arial"/>
          <w:color w:val="1A1A1A"/>
          <w:sz w:val="20"/>
          <w:szCs w:val="20"/>
        </w:rPr>
        <w:t xml:space="preserve">. </w:t>
      </w:r>
    </w:p>
    <w:p w14:paraId="61315203" w14:textId="77777777" w:rsidR="0071132A" w:rsidRPr="005F272E" w:rsidRDefault="0071132A" w:rsidP="005F272E">
      <w:pPr>
        <w:spacing w:after="0"/>
        <w:rPr>
          <w:sz w:val="20"/>
          <w:szCs w:val="20"/>
        </w:rPr>
      </w:pPr>
      <w:r w:rsidRPr="005F272E">
        <w:rPr>
          <w:sz w:val="20"/>
          <w:szCs w:val="20"/>
        </w:rPr>
        <w:t>6 mismatches = 33/39 alignment (84.6%)</w:t>
      </w:r>
    </w:p>
    <w:p w14:paraId="3C241488" w14:textId="77777777" w:rsidR="0071132A" w:rsidRPr="005F272E" w:rsidRDefault="0071132A" w:rsidP="005F272E">
      <w:pPr>
        <w:spacing w:after="0"/>
        <w:rPr>
          <w:sz w:val="20"/>
          <w:szCs w:val="20"/>
        </w:rPr>
      </w:pPr>
      <w:r w:rsidRPr="005F272E">
        <w:rPr>
          <w:sz w:val="20"/>
          <w:szCs w:val="20"/>
        </w:rPr>
        <w:t>7 mismatches = 32/39 alignment (82.1%)</w:t>
      </w:r>
    </w:p>
    <w:p w14:paraId="4AFB1D11" w14:textId="3D4D8CB7" w:rsidR="0071132A" w:rsidRDefault="0071132A" w:rsidP="005F272E">
      <w:pPr>
        <w:spacing w:after="0"/>
      </w:pPr>
      <w:r w:rsidRPr="005F272E">
        <w:rPr>
          <w:sz w:val="20"/>
          <w:szCs w:val="20"/>
        </w:rPr>
        <w:t>14 mismatches = 25/39 alignment (64.1%)</w:t>
      </w:r>
    </w:p>
  </w:endnote>
  <w:endnote w:id="12">
    <w:p w14:paraId="035DD206" w14:textId="516A5246" w:rsidR="0071132A" w:rsidRDefault="0071132A" w:rsidP="0020106E">
      <w:pPr>
        <w:spacing w:after="0"/>
      </w:pPr>
      <w:r w:rsidRPr="00EE1CCD">
        <w:rPr>
          <w:rStyle w:val="EndnoteReference"/>
          <w:sz w:val="20"/>
          <w:szCs w:val="20"/>
        </w:rPr>
        <w:endnoteRef/>
      </w:r>
      <w:r w:rsidRPr="00EE1CCD">
        <w:rPr>
          <w:sz w:val="20"/>
          <w:szCs w:val="20"/>
        </w:rPr>
        <w:t xml:space="preserve"> </w:t>
      </w:r>
      <w:proofErr w:type="spellStart"/>
      <w:proofErr w:type="gramStart"/>
      <w:r w:rsidRPr="00080D5F">
        <w:rPr>
          <w:rFonts w:cstheme="minorHAnsi"/>
          <w:sz w:val="20"/>
          <w:szCs w:val="20"/>
        </w:rPr>
        <w:t>Demski</w:t>
      </w:r>
      <w:proofErr w:type="spellEnd"/>
      <w:r w:rsidRPr="00080D5F">
        <w:rPr>
          <w:rFonts w:cstheme="minorHAnsi"/>
          <w:sz w:val="20"/>
          <w:szCs w:val="20"/>
        </w:rPr>
        <w:t>, C. (2011) Cardiff University School of Psychology.</w:t>
      </w:r>
      <w:proofErr w:type="gramEnd"/>
      <w:r w:rsidRPr="00080D5F">
        <w:rPr>
          <w:rFonts w:cstheme="minorHAnsi"/>
          <w:sz w:val="20"/>
          <w:szCs w:val="20"/>
        </w:rPr>
        <w:t xml:space="preserve"> </w:t>
      </w:r>
      <w:proofErr w:type="gramStart"/>
      <w:r w:rsidRPr="00080D5F">
        <w:rPr>
          <w:rFonts w:cstheme="minorHAnsi"/>
          <w:sz w:val="20"/>
          <w:szCs w:val="20"/>
        </w:rPr>
        <w:t>Personal communication, 1 December.</w:t>
      </w:r>
      <w:proofErr w:type="gramEnd"/>
      <w:r w:rsidRPr="00080D5F">
        <w:rPr>
          <w:rFonts w:cstheme="minorHAnsi"/>
          <w:sz w:val="20"/>
          <w:szCs w:val="20"/>
        </w:rPr>
        <w:t xml:space="preserve"> </w:t>
      </w:r>
    </w:p>
  </w:endnote>
  <w:endnote w:id="13">
    <w:p w14:paraId="4E6B5CB4" w14:textId="77777777" w:rsidR="0071132A" w:rsidRPr="0032732C" w:rsidRDefault="0071132A" w:rsidP="0020106E">
      <w:pPr>
        <w:spacing w:after="0"/>
        <w:rPr>
          <w:rFonts w:cstheme="minorHAnsi"/>
          <w:sz w:val="20"/>
          <w:szCs w:val="20"/>
        </w:rPr>
      </w:pPr>
      <w:r>
        <w:rPr>
          <w:rStyle w:val="EndnoteReference"/>
        </w:rPr>
        <w:endnoteRef/>
      </w:r>
      <w:r>
        <w:t xml:space="preserve"> </w:t>
      </w:r>
      <w:r w:rsidRPr="0032732C">
        <w:rPr>
          <w:rFonts w:cstheme="minorHAnsi"/>
          <w:sz w:val="20"/>
          <w:szCs w:val="20"/>
        </w:rPr>
        <w:t xml:space="preserve">Vaughan, A. (2011) Electric car UK sales sputter out. </w:t>
      </w:r>
      <w:r w:rsidRPr="0032732C">
        <w:rPr>
          <w:rFonts w:cstheme="minorHAnsi"/>
          <w:i/>
          <w:sz w:val="20"/>
          <w:szCs w:val="20"/>
        </w:rPr>
        <w:t>The Guardian</w:t>
      </w:r>
      <w:r w:rsidRPr="0032732C">
        <w:rPr>
          <w:rFonts w:cstheme="minorHAnsi"/>
          <w:sz w:val="20"/>
          <w:szCs w:val="20"/>
        </w:rPr>
        <w:t xml:space="preserve"> [online].</w:t>
      </w:r>
      <w:r w:rsidRPr="0032732C">
        <w:rPr>
          <w:rFonts w:cstheme="minorHAnsi"/>
          <w:i/>
          <w:sz w:val="20"/>
          <w:szCs w:val="20"/>
        </w:rPr>
        <w:t xml:space="preserve"> </w:t>
      </w:r>
      <w:r w:rsidRPr="0032732C">
        <w:rPr>
          <w:rFonts w:cstheme="minorHAnsi"/>
          <w:sz w:val="20"/>
          <w:szCs w:val="20"/>
        </w:rPr>
        <w:t xml:space="preserve">21 October. Available from: </w:t>
      </w:r>
      <w:hyperlink r:id="rId2" w:history="1">
        <w:r w:rsidRPr="0032732C">
          <w:rPr>
            <w:rStyle w:val="Hyperlink"/>
            <w:rFonts w:cstheme="minorHAnsi"/>
            <w:sz w:val="20"/>
            <w:szCs w:val="20"/>
          </w:rPr>
          <w:t>http://www.guardian.co.uk/environment/2011/oct/21/electric-car-uk-sales-sputter</w:t>
        </w:r>
      </w:hyperlink>
      <w:r w:rsidRPr="0032732C">
        <w:rPr>
          <w:rFonts w:cstheme="minorHAnsi"/>
          <w:sz w:val="20"/>
          <w:szCs w:val="20"/>
        </w:rPr>
        <w:t xml:space="preserve"> [Accessed 17 March 2012].</w:t>
      </w:r>
    </w:p>
    <w:p w14:paraId="0D8CB69D" w14:textId="2A36CED0" w:rsidR="0071132A" w:rsidRDefault="0071132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2FED3" w14:textId="77777777" w:rsidR="0071132A" w:rsidRDefault="0071132A" w:rsidP="00A753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56BF3E" w14:textId="77777777" w:rsidR="0071132A" w:rsidRDefault="007113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546B7" w14:textId="77777777" w:rsidR="0071132A" w:rsidRPr="000318CD" w:rsidRDefault="0071132A" w:rsidP="00A753A7">
    <w:pPr>
      <w:pStyle w:val="Footer"/>
      <w:framePr w:wrap="around" w:vAnchor="text" w:hAnchor="margin" w:xAlign="center" w:y="1"/>
      <w:rPr>
        <w:rStyle w:val="PageNumber"/>
        <w:rFonts w:asciiTheme="minorHAnsi" w:hAnsiTheme="minorHAnsi"/>
      </w:rPr>
    </w:pPr>
    <w:r w:rsidRPr="000318CD">
      <w:rPr>
        <w:rStyle w:val="PageNumber"/>
        <w:rFonts w:asciiTheme="minorHAnsi" w:hAnsiTheme="minorHAnsi"/>
      </w:rPr>
      <w:fldChar w:fldCharType="begin"/>
    </w:r>
    <w:r w:rsidRPr="000318CD">
      <w:rPr>
        <w:rStyle w:val="PageNumber"/>
        <w:rFonts w:asciiTheme="minorHAnsi" w:hAnsiTheme="minorHAnsi"/>
      </w:rPr>
      <w:instrText xml:space="preserve">PAGE  </w:instrText>
    </w:r>
    <w:r w:rsidRPr="000318CD">
      <w:rPr>
        <w:rStyle w:val="PageNumber"/>
        <w:rFonts w:asciiTheme="minorHAnsi" w:hAnsiTheme="minorHAnsi"/>
      </w:rPr>
      <w:fldChar w:fldCharType="separate"/>
    </w:r>
    <w:r w:rsidR="00DE396A">
      <w:rPr>
        <w:rStyle w:val="PageNumber"/>
        <w:rFonts w:asciiTheme="minorHAnsi" w:hAnsiTheme="minorHAnsi"/>
        <w:noProof/>
      </w:rPr>
      <w:t>49</w:t>
    </w:r>
    <w:r w:rsidRPr="000318CD">
      <w:rPr>
        <w:rStyle w:val="PageNumber"/>
        <w:rFonts w:asciiTheme="minorHAnsi" w:hAnsiTheme="minorHAnsi"/>
      </w:rPr>
      <w:fldChar w:fldCharType="end"/>
    </w:r>
  </w:p>
  <w:p w14:paraId="6D868616" w14:textId="77777777" w:rsidR="0071132A" w:rsidRDefault="007113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917CB" w14:textId="77777777" w:rsidR="0084333D" w:rsidRDefault="0084333D" w:rsidP="00887639">
      <w:pPr>
        <w:spacing w:after="0"/>
      </w:pPr>
      <w:r>
        <w:separator/>
      </w:r>
    </w:p>
  </w:footnote>
  <w:footnote w:type="continuationSeparator" w:id="0">
    <w:p w14:paraId="7395747F" w14:textId="77777777" w:rsidR="0084333D" w:rsidRDefault="0084333D" w:rsidP="0088763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3B49"/>
    <w:multiLevelType w:val="multilevel"/>
    <w:tmpl w:val="319ED6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53916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68D0FB5"/>
    <w:multiLevelType w:val="hybridMultilevel"/>
    <w:tmpl w:val="9DFAE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34372"/>
    <w:multiLevelType w:val="multilevel"/>
    <w:tmpl w:val="65C23768"/>
    <w:lvl w:ilvl="0">
      <w:start w:val="2"/>
      <w:numFmt w:val="decimal"/>
      <w:lvlText w:val="(%1."/>
      <w:lvlJc w:val="left"/>
      <w:pPr>
        <w:ind w:left="500" w:hanging="5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1C14C94"/>
    <w:multiLevelType w:val="multilevel"/>
    <w:tmpl w:val="1D90707E"/>
    <w:lvl w:ilvl="0">
      <w:start w:val="1"/>
      <w:numFmt w:val="decimal"/>
      <w:lvlText w:val="(%1."/>
      <w:lvlJc w:val="left"/>
      <w:pPr>
        <w:ind w:left="500" w:hanging="5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6A028A0"/>
    <w:multiLevelType w:val="hybridMultilevel"/>
    <w:tmpl w:val="694E577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105F8F"/>
    <w:multiLevelType w:val="hybridMultilevel"/>
    <w:tmpl w:val="7A1E7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05284"/>
    <w:multiLevelType w:val="hybridMultilevel"/>
    <w:tmpl w:val="9378E47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A30DA7"/>
    <w:multiLevelType w:val="hybridMultilevel"/>
    <w:tmpl w:val="F61AD2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92E10"/>
    <w:multiLevelType w:val="hybridMultilevel"/>
    <w:tmpl w:val="90B2865A"/>
    <w:lvl w:ilvl="0" w:tplc="C4B60B9C">
      <w:start w:val="1"/>
      <w:numFmt w:val="bullet"/>
      <w:lvlText w:val="•"/>
      <w:lvlJc w:val="left"/>
      <w:pPr>
        <w:tabs>
          <w:tab w:val="num" w:pos="720"/>
        </w:tabs>
        <w:ind w:left="720" w:hanging="360"/>
      </w:pPr>
      <w:rPr>
        <w:rFonts w:ascii="Times New Roman" w:hAnsi="Times New Roman" w:hint="default"/>
      </w:rPr>
    </w:lvl>
    <w:lvl w:ilvl="1" w:tplc="C9C4208E" w:tentative="1">
      <w:start w:val="1"/>
      <w:numFmt w:val="bullet"/>
      <w:lvlText w:val="•"/>
      <w:lvlJc w:val="left"/>
      <w:pPr>
        <w:tabs>
          <w:tab w:val="num" w:pos="1440"/>
        </w:tabs>
        <w:ind w:left="1440" w:hanging="360"/>
      </w:pPr>
      <w:rPr>
        <w:rFonts w:ascii="Times New Roman" w:hAnsi="Times New Roman" w:hint="default"/>
      </w:rPr>
    </w:lvl>
    <w:lvl w:ilvl="2" w:tplc="54D84806" w:tentative="1">
      <w:start w:val="1"/>
      <w:numFmt w:val="bullet"/>
      <w:lvlText w:val="•"/>
      <w:lvlJc w:val="left"/>
      <w:pPr>
        <w:tabs>
          <w:tab w:val="num" w:pos="2160"/>
        </w:tabs>
        <w:ind w:left="2160" w:hanging="360"/>
      </w:pPr>
      <w:rPr>
        <w:rFonts w:ascii="Times New Roman" w:hAnsi="Times New Roman" w:hint="default"/>
      </w:rPr>
    </w:lvl>
    <w:lvl w:ilvl="3" w:tplc="6276B79C" w:tentative="1">
      <w:start w:val="1"/>
      <w:numFmt w:val="bullet"/>
      <w:lvlText w:val="•"/>
      <w:lvlJc w:val="left"/>
      <w:pPr>
        <w:tabs>
          <w:tab w:val="num" w:pos="2880"/>
        </w:tabs>
        <w:ind w:left="2880" w:hanging="360"/>
      </w:pPr>
      <w:rPr>
        <w:rFonts w:ascii="Times New Roman" w:hAnsi="Times New Roman" w:hint="default"/>
      </w:rPr>
    </w:lvl>
    <w:lvl w:ilvl="4" w:tplc="5A2CBB02" w:tentative="1">
      <w:start w:val="1"/>
      <w:numFmt w:val="bullet"/>
      <w:lvlText w:val="•"/>
      <w:lvlJc w:val="left"/>
      <w:pPr>
        <w:tabs>
          <w:tab w:val="num" w:pos="3600"/>
        </w:tabs>
        <w:ind w:left="3600" w:hanging="360"/>
      </w:pPr>
      <w:rPr>
        <w:rFonts w:ascii="Times New Roman" w:hAnsi="Times New Roman" w:hint="default"/>
      </w:rPr>
    </w:lvl>
    <w:lvl w:ilvl="5" w:tplc="DA70BB18" w:tentative="1">
      <w:start w:val="1"/>
      <w:numFmt w:val="bullet"/>
      <w:lvlText w:val="•"/>
      <w:lvlJc w:val="left"/>
      <w:pPr>
        <w:tabs>
          <w:tab w:val="num" w:pos="4320"/>
        </w:tabs>
        <w:ind w:left="4320" w:hanging="360"/>
      </w:pPr>
      <w:rPr>
        <w:rFonts w:ascii="Times New Roman" w:hAnsi="Times New Roman" w:hint="default"/>
      </w:rPr>
    </w:lvl>
    <w:lvl w:ilvl="6" w:tplc="0E52A99E" w:tentative="1">
      <w:start w:val="1"/>
      <w:numFmt w:val="bullet"/>
      <w:lvlText w:val="•"/>
      <w:lvlJc w:val="left"/>
      <w:pPr>
        <w:tabs>
          <w:tab w:val="num" w:pos="5040"/>
        </w:tabs>
        <w:ind w:left="5040" w:hanging="360"/>
      </w:pPr>
      <w:rPr>
        <w:rFonts w:ascii="Times New Roman" w:hAnsi="Times New Roman" w:hint="default"/>
      </w:rPr>
    </w:lvl>
    <w:lvl w:ilvl="7" w:tplc="830E3564" w:tentative="1">
      <w:start w:val="1"/>
      <w:numFmt w:val="bullet"/>
      <w:lvlText w:val="•"/>
      <w:lvlJc w:val="left"/>
      <w:pPr>
        <w:tabs>
          <w:tab w:val="num" w:pos="5760"/>
        </w:tabs>
        <w:ind w:left="5760" w:hanging="360"/>
      </w:pPr>
      <w:rPr>
        <w:rFonts w:ascii="Times New Roman" w:hAnsi="Times New Roman" w:hint="default"/>
      </w:rPr>
    </w:lvl>
    <w:lvl w:ilvl="8" w:tplc="997E0C1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96F50CC"/>
    <w:multiLevelType w:val="hybridMultilevel"/>
    <w:tmpl w:val="BCFECCA6"/>
    <w:lvl w:ilvl="0" w:tplc="8B3ADC5C">
      <w:start w:val="1"/>
      <w:numFmt w:val="bullet"/>
      <w:lvlText w:val="•"/>
      <w:lvlJc w:val="left"/>
      <w:pPr>
        <w:tabs>
          <w:tab w:val="num" w:pos="720"/>
        </w:tabs>
        <w:ind w:left="720" w:hanging="360"/>
      </w:pPr>
      <w:rPr>
        <w:rFonts w:ascii="Times New Roman" w:hAnsi="Times New Roman" w:hint="default"/>
      </w:rPr>
    </w:lvl>
    <w:lvl w:ilvl="1" w:tplc="541C4E50" w:tentative="1">
      <w:start w:val="1"/>
      <w:numFmt w:val="bullet"/>
      <w:lvlText w:val="•"/>
      <w:lvlJc w:val="left"/>
      <w:pPr>
        <w:tabs>
          <w:tab w:val="num" w:pos="1440"/>
        </w:tabs>
        <w:ind w:left="1440" w:hanging="360"/>
      </w:pPr>
      <w:rPr>
        <w:rFonts w:ascii="Times New Roman" w:hAnsi="Times New Roman" w:hint="default"/>
      </w:rPr>
    </w:lvl>
    <w:lvl w:ilvl="2" w:tplc="B02AA89C" w:tentative="1">
      <w:start w:val="1"/>
      <w:numFmt w:val="bullet"/>
      <w:lvlText w:val="•"/>
      <w:lvlJc w:val="left"/>
      <w:pPr>
        <w:tabs>
          <w:tab w:val="num" w:pos="2160"/>
        </w:tabs>
        <w:ind w:left="2160" w:hanging="360"/>
      </w:pPr>
      <w:rPr>
        <w:rFonts w:ascii="Times New Roman" w:hAnsi="Times New Roman" w:hint="default"/>
      </w:rPr>
    </w:lvl>
    <w:lvl w:ilvl="3" w:tplc="0486D87A" w:tentative="1">
      <w:start w:val="1"/>
      <w:numFmt w:val="bullet"/>
      <w:lvlText w:val="•"/>
      <w:lvlJc w:val="left"/>
      <w:pPr>
        <w:tabs>
          <w:tab w:val="num" w:pos="2880"/>
        </w:tabs>
        <w:ind w:left="2880" w:hanging="360"/>
      </w:pPr>
      <w:rPr>
        <w:rFonts w:ascii="Times New Roman" w:hAnsi="Times New Roman" w:hint="default"/>
      </w:rPr>
    </w:lvl>
    <w:lvl w:ilvl="4" w:tplc="6D142634" w:tentative="1">
      <w:start w:val="1"/>
      <w:numFmt w:val="bullet"/>
      <w:lvlText w:val="•"/>
      <w:lvlJc w:val="left"/>
      <w:pPr>
        <w:tabs>
          <w:tab w:val="num" w:pos="3600"/>
        </w:tabs>
        <w:ind w:left="3600" w:hanging="360"/>
      </w:pPr>
      <w:rPr>
        <w:rFonts w:ascii="Times New Roman" w:hAnsi="Times New Roman" w:hint="default"/>
      </w:rPr>
    </w:lvl>
    <w:lvl w:ilvl="5" w:tplc="16B2EB14" w:tentative="1">
      <w:start w:val="1"/>
      <w:numFmt w:val="bullet"/>
      <w:lvlText w:val="•"/>
      <w:lvlJc w:val="left"/>
      <w:pPr>
        <w:tabs>
          <w:tab w:val="num" w:pos="4320"/>
        </w:tabs>
        <w:ind w:left="4320" w:hanging="360"/>
      </w:pPr>
      <w:rPr>
        <w:rFonts w:ascii="Times New Roman" w:hAnsi="Times New Roman" w:hint="default"/>
      </w:rPr>
    </w:lvl>
    <w:lvl w:ilvl="6" w:tplc="F9B06C72" w:tentative="1">
      <w:start w:val="1"/>
      <w:numFmt w:val="bullet"/>
      <w:lvlText w:val="•"/>
      <w:lvlJc w:val="left"/>
      <w:pPr>
        <w:tabs>
          <w:tab w:val="num" w:pos="5040"/>
        </w:tabs>
        <w:ind w:left="5040" w:hanging="360"/>
      </w:pPr>
      <w:rPr>
        <w:rFonts w:ascii="Times New Roman" w:hAnsi="Times New Roman" w:hint="default"/>
      </w:rPr>
    </w:lvl>
    <w:lvl w:ilvl="7" w:tplc="C9BE2094" w:tentative="1">
      <w:start w:val="1"/>
      <w:numFmt w:val="bullet"/>
      <w:lvlText w:val="•"/>
      <w:lvlJc w:val="left"/>
      <w:pPr>
        <w:tabs>
          <w:tab w:val="num" w:pos="5760"/>
        </w:tabs>
        <w:ind w:left="5760" w:hanging="360"/>
      </w:pPr>
      <w:rPr>
        <w:rFonts w:ascii="Times New Roman" w:hAnsi="Times New Roman" w:hint="default"/>
      </w:rPr>
    </w:lvl>
    <w:lvl w:ilvl="8" w:tplc="2362D72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B2F77C6"/>
    <w:multiLevelType w:val="hybridMultilevel"/>
    <w:tmpl w:val="8CA4E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201150"/>
    <w:multiLevelType w:val="hybridMultilevel"/>
    <w:tmpl w:val="DCCE7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5A3DAE"/>
    <w:multiLevelType w:val="hybridMultilevel"/>
    <w:tmpl w:val="1A22E8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122C5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66F5ACF"/>
    <w:multiLevelType w:val="multilevel"/>
    <w:tmpl w:val="06286E84"/>
    <w:lvl w:ilvl="0">
      <w:start w:val="4"/>
      <w:numFmt w:val="decimal"/>
      <w:lvlText w:val="%1"/>
      <w:lvlJc w:val="left"/>
      <w:pPr>
        <w:ind w:left="360" w:hanging="360"/>
      </w:pPr>
      <w:rPr>
        <w:rFonts w:hint="default"/>
      </w:rPr>
    </w:lvl>
    <w:lvl w:ilvl="1">
      <w:start w:val="9"/>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482F7BD4"/>
    <w:multiLevelType w:val="hybridMultilevel"/>
    <w:tmpl w:val="9244A8D0"/>
    <w:lvl w:ilvl="0" w:tplc="0809000D">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nsid w:val="608C2ECD"/>
    <w:multiLevelType w:val="multilevel"/>
    <w:tmpl w:val="67A47320"/>
    <w:lvl w:ilvl="0">
      <w:start w:val="4"/>
      <w:numFmt w:val="decimal"/>
      <w:lvlText w:val="(%1."/>
      <w:lvlJc w:val="left"/>
      <w:pPr>
        <w:ind w:left="500" w:hanging="5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60E32C82"/>
    <w:multiLevelType w:val="hybridMultilevel"/>
    <w:tmpl w:val="778CA41A"/>
    <w:lvl w:ilvl="0" w:tplc="E74A8CDE">
      <w:start w:val="1"/>
      <w:numFmt w:val="bullet"/>
      <w:lvlText w:val="•"/>
      <w:lvlJc w:val="left"/>
      <w:pPr>
        <w:tabs>
          <w:tab w:val="num" w:pos="720"/>
        </w:tabs>
        <w:ind w:left="720" w:hanging="360"/>
      </w:pPr>
      <w:rPr>
        <w:rFonts w:ascii="Times New Roman" w:hAnsi="Times New Roman" w:hint="default"/>
      </w:rPr>
    </w:lvl>
    <w:lvl w:ilvl="1" w:tplc="AB44E770" w:tentative="1">
      <w:start w:val="1"/>
      <w:numFmt w:val="bullet"/>
      <w:lvlText w:val="•"/>
      <w:lvlJc w:val="left"/>
      <w:pPr>
        <w:tabs>
          <w:tab w:val="num" w:pos="1440"/>
        </w:tabs>
        <w:ind w:left="1440" w:hanging="360"/>
      </w:pPr>
      <w:rPr>
        <w:rFonts w:ascii="Times New Roman" w:hAnsi="Times New Roman" w:hint="default"/>
      </w:rPr>
    </w:lvl>
    <w:lvl w:ilvl="2" w:tplc="6478BC84" w:tentative="1">
      <w:start w:val="1"/>
      <w:numFmt w:val="bullet"/>
      <w:lvlText w:val="•"/>
      <w:lvlJc w:val="left"/>
      <w:pPr>
        <w:tabs>
          <w:tab w:val="num" w:pos="2160"/>
        </w:tabs>
        <w:ind w:left="2160" w:hanging="360"/>
      </w:pPr>
      <w:rPr>
        <w:rFonts w:ascii="Times New Roman" w:hAnsi="Times New Roman" w:hint="default"/>
      </w:rPr>
    </w:lvl>
    <w:lvl w:ilvl="3" w:tplc="8960B49A" w:tentative="1">
      <w:start w:val="1"/>
      <w:numFmt w:val="bullet"/>
      <w:lvlText w:val="•"/>
      <w:lvlJc w:val="left"/>
      <w:pPr>
        <w:tabs>
          <w:tab w:val="num" w:pos="2880"/>
        </w:tabs>
        <w:ind w:left="2880" w:hanging="360"/>
      </w:pPr>
      <w:rPr>
        <w:rFonts w:ascii="Times New Roman" w:hAnsi="Times New Roman" w:hint="default"/>
      </w:rPr>
    </w:lvl>
    <w:lvl w:ilvl="4" w:tplc="1564F61A" w:tentative="1">
      <w:start w:val="1"/>
      <w:numFmt w:val="bullet"/>
      <w:lvlText w:val="•"/>
      <w:lvlJc w:val="left"/>
      <w:pPr>
        <w:tabs>
          <w:tab w:val="num" w:pos="3600"/>
        </w:tabs>
        <w:ind w:left="3600" w:hanging="360"/>
      </w:pPr>
      <w:rPr>
        <w:rFonts w:ascii="Times New Roman" w:hAnsi="Times New Roman" w:hint="default"/>
      </w:rPr>
    </w:lvl>
    <w:lvl w:ilvl="5" w:tplc="C5A0426E" w:tentative="1">
      <w:start w:val="1"/>
      <w:numFmt w:val="bullet"/>
      <w:lvlText w:val="•"/>
      <w:lvlJc w:val="left"/>
      <w:pPr>
        <w:tabs>
          <w:tab w:val="num" w:pos="4320"/>
        </w:tabs>
        <w:ind w:left="4320" w:hanging="360"/>
      </w:pPr>
      <w:rPr>
        <w:rFonts w:ascii="Times New Roman" w:hAnsi="Times New Roman" w:hint="default"/>
      </w:rPr>
    </w:lvl>
    <w:lvl w:ilvl="6" w:tplc="C610D7F6" w:tentative="1">
      <w:start w:val="1"/>
      <w:numFmt w:val="bullet"/>
      <w:lvlText w:val="•"/>
      <w:lvlJc w:val="left"/>
      <w:pPr>
        <w:tabs>
          <w:tab w:val="num" w:pos="5040"/>
        </w:tabs>
        <w:ind w:left="5040" w:hanging="360"/>
      </w:pPr>
      <w:rPr>
        <w:rFonts w:ascii="Times New Roman" w:hAnsi="Times New Roman" w:hint="default"/>
      </w:rPr>
    </w:lvl>
    <w:lvl w:ilvl="7" w:tplc="7130A7D6" w:tentative="1">
      <w:start w:val="1"/>
      <w:numFmt w:val="bullet"/>
      <w:lvlText w:val="•"/>
      <w:lvlJc w:val="left"/>
      <w:pPr>
        <w:tabs>
          <w:tab w:val="num" w:pos="5760"/>
        </w:tabs>
        <w:ind w:left="5760" w:hanging="360"/>
      </w:pPr>
      <w:rPr>
        <w:rFonts w:ascii="Times New Roman" w:hAnsi="Times New Roman" w:hint="default"/>
      </w:rPr>
    </w:lvl>
    <w:lvl w:ilvl="8" w:tplc="592C43B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2E377BD"/>
    <w:multiLevelType w:val="hybridMultilevel"/>
    <w:tmpl w:val="D9C4C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557EC7"/>
    <w:multiLevelType w:val="multilevel"/>
    <w:tmpl w:val="0E0AF6EC"/>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1">
    <w:nsid w:val="66B73AD5"/>
    <w:multiLevelType w:val="multilevel"/>
    <w:tmpl w:val="8C2885FC"/>
    <w:lvl w:ilvl="0">
      <w:start w:val="3"/>
      <w:numFmt w:val="decimal"/>
      <w:lvlText w:val="(%1."/>
      <w:lvlJc w:val="left"/>
      <w:pPr>
        <w:ind w:left="500" w:hanging="5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66C26DF5"/>
    <w:multiLevelType w:val="hybridMultilevel"/>
    <w:tmpl w:val="3776025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6016AD"/>
    <w:multiLevelType w:val="multilevel"/>
    <w:tmpl w:val="B11ADB0C"/>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nsid w:val="708E4153"/>
    <w:multiLevelType w:val="hybridMultilevel"/>
    <w:tmpl w:val="87065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D10951"/>
    <w:multiLevelType w:val="hybridMultilevel"/>
    <w:tmpl w:val="319E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351A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44665A5"/>
    <w:multiLevelType w:val="hybridMultilevel"/>
    <w:tmpl w:val="74683AB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EC5265"/>
    <w:multiLevelType w:val="hybridMultilevel"/>
    <w:tmpl w:val="D1B2170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DF1992"/>
    <w:multiLevelType w:val="hybridMultilevel"/>
    <w:tmpl w:val="596E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1D54A3"/>
    <w:multiLevelType w:val="hybridMultilevel"/>
    <w:tmpl w:val="879A892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14"/>
  </w:num>
  <w:num w:numId="3">
    <w:abstractNumId w:val="23"/>
  </w:num>
  <w:num w:numId="4">
    <w:abstractNumId w:val="4"/>
  </w:num>
  <w:num w:numId="5">
    <w:abstractNumId w:val="3"/>
  </w:num>
  <w:num w:numId="6">
    <w:abstractNumId w:val="21"/>
  </w:num>
  <w:num w:numId="7">
    <w:abstractNumId w:val="30"/>
  </w:num>
  <w:num w:numId="8">
    <w:abstractNumId w:val="17"/>
  </w:num>
  <w:num w:numId="9">
    <w:abstractNumId w:val="26"/>
  </w:num>
  <w:num w:numId="10">
    <w:abstractNumId w:val="1"/>
  </w:num>
  <w:num w:numId="11">
    <w:abstractNumId w:val="16"/>
  </w:num>
  <w:num w:numId="12">
    <w:abstractNumId w:val="12"/>
  </w:num>
  <w:num w:numId="13">
    <w:abstractNumId w:val="24"/>
  </w:num>
  <w:num w:numId="14">
    <w:abstractNumId w:val="2"/>
  </w:num>
  <w:num w:numId="15">
    <w:abstractNumId w:val="19"/>
  </w:num>
  <w:num w:numId="16">
    <w:abstractNumId w:val="29"/>
  </w:num>
  <w:num w:numId="17">
    <w:abstractNumId w:val="11"/>
  </w:num>
  <w:num w:numId="18">
    <w:abstractNumId w:val="6"/>
  </w:num>
  <w:num w:numId="19">
    <w:abstractNumId w:val="8"/>
  </w:num>
  <w:num w:numId="20">
    <w:abstractNumId w:val="27"/>
  </w:num>
  <w:num w:numId="21">
    <w:abstractNumId w:val="13"/>
  </w:num>
  <w:num w:numId="22">
    <w:abstractNumId w:val="7"/>
  </w:num>
  <w:num w:numId="23">
    <w:abstractNumId w:val="22"/>
  </w:num>
  <w:num w:numId="24">
    <w:abstractNumId w:val="28"/>
  </w:num>
  <w:num w:numId="25">
    <w:abstractNumId w:val="0"/>
  </w:num>
  <w:num w:numId="26">
    <w:abstractNumId w:val="5"/>
  </w:num>
  <w:num w:numId="27">
    <w:abstractNumId w:val="18"/>
  </w:num>
  <w:num w:numId="28">
    <w:abstractNumId w:val="10"/>
  </w:num>
  <w:num w:numId="29">
    <w:abstractNumId w:val="9"/>
  </w:num>
  <w:num w:numId="30">
    <w:abstractNumId w:val="2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639"/>
    <w:rsid w:val="00000AF7"/>
    <w:rsid w:val="000048E1"/>
    <w:rsid w:val="00007D70"/>
    <w:rsid w:val="000202DB"/>
    <w:rsid w:val="0002166B"/>
    <w:rsid w:val="00022725"/>
    <w:rsid w:val="00024C2C"/>
    <w:rsid w:val="000318CD"/>
    <w:rsid w:val="000318E6"/>
    <w:rsid w:val="000322DA"/>
    <w:rsid w:val="000332C4"/>
    <w:rsid w:val="00037482"/>
    <w:rsid w:val="00042174"/>
    <w:rsid w:val="00042297"/>
    <w:rsid w:val="00042B95"/>
    <w:rsid w:val="000532FD"/>
    <w:rsid w:val="0005531A"/>
    <w:rsid w:val="00056E30"/>
    <w:rsid w:val="000612F3"/>
    <w:rsid w:val="00061C64"/>
    <w:rsid w:val="0006538E"/>
    <w:rsid w:val="000658FC"/>
    <w:rsid w:val="00066B57"/>
    <w:rsid w:val="00066EF9"/>
    <w:rsid w:val="00066FB7"/>
    <w:rsid w:val="00070D9C"/>
    <w:rsid w:val="0007198F"/>
    <w:rsid w:val="00074078"/>
    <w:rsid w:val="0007506E"/>
    <w:rsid w:val="00075FEA"/>
    <w:rsid w:val="00080D5F"/>
    <w:rsid w:val="00093DFD"/>
    <w:rsid w:val="00097B6F"/>
    <w:rsid w:val="000A497F"/>
    <w:rsid w:val="000C2426"/>
    <w:rsid w:val="000C6392"/>
    <w:rsid w:val="000C6AA1"/>
    <w:rsid w:val="000D3E5D"/>
    <w:rsid w:val="000D5CF3"/>
    <w:rsid w:val="000D6B5C"/>
    <w:rsid w:val="000E5DF3"/>
    <w:rsid w:val="000E6A6F"/>
    <w:rsid w:val="000E7BF2"/>
    <w:rsid w:val="000F29CD"/>
    <w:rsid w:val="000F32E6"/>
    <w:rsid w:val="000F4E46"/>
    <w:rsid w:val="000F6DD5"/>
    <w:rsid w:val="0010031E"/>
    <w:rsid w:val="00100DD5"/>
    <w:rsid w:val="0010192D"/>
    <w:rsid w:val="00105094"/>
    <w:rsid w:val="00105E6D"/>
    <w:rsid w:val="00107017"/>
    <w:rsid w:val="0011342A"/>
    <w:rsid w:val="001134D1"/>
    <w:rsid w:val="00113F34"/>
    <w:rsid w:val="001177D1"/>
    <w:rsid w:val="00121CD0"/>
    <w:rsid w:val="00122E8E"/>
    <w:rsid w:val="001245C1"/>
    <w:rsid w:val="00126654"/>
    <w:rsid w:val="00132B97"/>
    <w:rsid w:val="001374AA"/>
    <w:rsid w:val="0013777D"/>
    <w:rsid w:val="00142075"/>
    <w:rsid w:val="00142294"/>
    <w:rsid w:val="0014326F"/>
    <w:rsid w:val="00145E29"/>
    <w:rsid w:val="00150620"/>
    <w:rsid w:val="00154478"/>
    <w:rsid w:val="00156692"/>
    <w:rsid w:val="00157781"/>
    <w:rsid w:val="00161E00"/>
    <w:rsid w:val="001632A4"/>
    <w:rsid w:val="001641A0"/>
    <w:rsid w:val="00165932"/>
    <w:rsid w:val="001722FE"/>
    <w:rsid w:val="00173342"/>
    <w:rsid w:val="0017358B"/>
    <w:rsid w:val="00176783"/>
    <w:rsid w:val="00177C6D"/>
    <w:rsid w:val="00180662"/>
    <w:rsid w:val="00180FE7"/>
    <w:rsid w:val="00181BFE"/>
    <w:rsid w:val="001826F9"/>
    <w:rsid w:val="0018324F"/>
    <w:rsid w:val="001834AF"/>
    <w:rsid w:val="0019101C"/>
    <w:rsid w:val="00194581"/>
    <w:rsid w:val="001A1094"/>
    <w:rsid w:val="001A2936"/>
    <w:rsid w:val="001A5090"/>
    <w:rsid w:val="001B7074"/>
    <w:rsid w:val="001C2FFA"/>
    <w:rsid w:val="001C312A"/>
    <w:rsid w:val="001C5B12"/>
    <w:rsid w:val="001D094A"/>
    <w:rsid w:val="001D4033"/>
    <w:rsid w:val="001D5FF4"/>
    <w:rsid w:val="001D7F17"/>
    <w:rsid w:val="001E0D0D"/>
    <w:rsid w:val="001E1BC0"/>
    <w:rsid w:val="001E7A96"/>
    <w:rsid w:val="001E7FA6"/>
    <w:rsid w:val="001F164B"/>
    <w:rsid w:val="001F16CF"/>
    <w:rsid w:val="001F503E"/>
    <w:rsid w:val="001F67EA"/>
    <w:rsid w:val="002001AE"/>
    <w:rsid w:val="0020106E"/>
    <w:rsid w:val="00205B8A"/>
    <w:rsid w:val="00206A68"/>
    <w:rsid w:val="00207381"/>
    <w:rsid w:val="002074E6"/>
    <w:rsid w:val="002074FF"/>
    <w:rsid w:val="00210416"/>
    <w:rsid w:val="0021141B"/>
    <w:rsid w:val="00216088"/>
    <w:rsid w:val="00232A34"/>
    <w:rsid w:val="002359B7"/>
    <w:rsid w:val="00236979"/>
    <w:rsid w:val="0023724B"/>
    <w:rsid w:val="002400EE"/>
    <w:rsid w:val="00240C36"/>
    <w:rsid w:val="0024676D"/>
    <w:rsid w:val="002511AC"/>
    <w:rsid w:val="002542A4"/>
    <w:rsid w:val="00254AA1"/>
    <w:rsid w:val="00257EE0"/>
    <w:rsid w:val="00260C8E"/>
    <w:rsid w:val="002614D1"/>
    <w:rsid w:val="00262BA4"/>
    <w:rsid w:val="00265FFC"/>
    <w:rsid w:val="0026657C"/>
    <w:rsid w:val="002718D2"/>
    <w:rsid w:val="00274422"/>
    <w:rsid w:val="00275525"/>
    <w:rsid w:val="002775E3"/>
    <w:rsid w:val="00281F4C"/>
    <w:rsid w:val="00285EE0"/>
    <w:rsid w:val="002928C6"/>
    <w:rsid w:val="002A19F2"/>
    <w:rsid w:val="002A2B67"/>
    <w:rsid w:val="002A2FCF"/>
    <w:rsid w:val="002A358D"/>
    <w:rsid w:val="002A3D00"/>
    <w:rsid w:val="002A5759"/>
    <w:rsid w:val="002B0DF9"/>
    <w:rsid w:val="002B2F79"/>
    <w:rsid w:val="002B3A92"/>
    <w:rsid w:val="002B3E72"/>
    <w:rsid w:val="002B6019"/>
    <w:rsid w:val="002C1B8C"/>
    <w:rsid w:val="002C2A5D"/>
    <w:rsid w:val="002C6E3B"/>
    <w:rsid w:val="002D0935"/>
    <w:rsid w:val="002D09BB"/>
    <w:rsid w:val="002D564C"/>
    <w:rsid w:val="002E0536"/>
    <w:rsid w:val="002E10C0"/>
    <w:rsid w:val="002E3DE7"/>
    <w:rsid w:val="002E5417"/>
    <w:rsid w:val="002E620A"/>
    <w:rsid w:val="002E7F4E"/>
    <w:rsid w:val="002F37B7"/>
    <w:rsid w:val="002F5F77"/>
    <w:rsid w:val="003013EC"/>
    <w:rsid w:val="0031089B"/>
    <w:rsid w:val="00310A52"/>
    <w:rsid w:val="00310D20"/>
    <w:rsid w:val="0031706B"/>
    <w:rsid w:val="003251A7"/>
    <w:rsid w:val="003253CA"/>
    <w:rsid w:val="00326E39"/>
    <w:rsid w:val="0032732C"/>
    <w:rsid w:val="0032744B"/>
    <w:rsid w:val="0032747B"/>
    <w:rsid w:val="003277E8"/>
    <w:rsid w:val="00331475"/>
    <w:rsid w:val="003347B0"/>
    <w:rsid w:val="00334D41"/>
    <w:rsid w:val="00335868"/>
    <w:rsid w:val="00340429"/>
    <w:rsid w:val="00343D8A"/>
    <w:rsid w:val="00345763"/>
    <w:rsid w:val="00352A11"/>
    <w:rsid w:val="003541A1"/>
    <w:rsid w:val="0035462B"/>
    <w:rsid w:val="00354C4A"/>
    <w:rsid w:val="00356428"/>
    <w:rsid w:val="00361FB3"/>
    <w:rsid w:val="00363F49"/>
    <w:rsid w:val="00367566"/>
    <w:rsid w:val="003711C6"/>
    <w:rsid w:val="0037272D"/>
    <w:rsid w:val="00372882"/>
    <w:rsid w:val="00375B9A"/>
    <w:rsid w:val="00376745"/>
    <w:rsid w:val="00381040"/>
    <w:rsid w:val="003834CF"/>
    <w:rsid w:val="00385D47"/>
    <w:rsid w:val="003908A5"/>
    <w:rsid w:val="003A2459"/>
    <w:rsid w:val="003A3394"/>
    <w:rsid w:val="003A41E7"/>
    <w:rsid w:val="003A52B7"/>
    <w:rsid w:val="003B1587"/>
    <w:rsid w:val="003B1E9D"/>
    <w:rsid w:val="003B355F"/>
    <w:rsid w:val="003B36AC"/>
    <w:rsid w:val="003B39AE"/>
    <w:rsid w:val="003B6EEE"/>
    <w:rsid w:val="003C2AA4"/>
    <w:rsid w:val="003D0DDF"/>
    <w:rsid w:val="003D1F5F"/>
    <w:rsid w:val="003D48EF"/>
    <w:rsid w:val="003D5365"/>
    <w:rsid w:val="003D5996"/>
    <w:rsid w:val="003E3F96"/>
    <w:rsid w:val="003E417E"/>
    <w:rsid w:val="003E60C4"/>
    <w:rsid w:val="003F1B04"/>
    <w:rsid w:val="003F3D35"/>
    <w:rsid w:val="00400567"/>
    <w:rsid w:val="00401C42"/>
    <w:rsid w:val="00402A84"/>
    <w:rsid w:val="0040480F"/>
    <w:rsid w:val="004048DB"/>
    <w:rsid w:val="00410ABC"/>
    <w:rsid w:val="004114F3"/>
    <w:rsid w:val="0041263C"/>
    <w:rsid w:val="00416A0C"/>
    <w:rsid w:val="00420D26"/>
    <w:rsid w:val="00424439"/>
    <w:rsid w:val="00426C4D"/>
    <w:rsid w:val="00431356"/>
    <w:rsid w:val="00435881"/>
    <w:rsid w:val="00440FF3"/>
    <w:rsid w:val="004410F3"/>
    <w:rsid w:val="0044528C"/>
    <w:rsid w:val="0044665B"/>
    <w:rsid w:val="00446B11"/>
    <w:rsid w:val="0045395A"/>
    <w:rsid w:val="0045568C"/>
    <w:rsid w:val="004623BB"/>
    <w:rsid w:val="00467AC5"/>
    <w:rsid w:val="00484A3B"/>
    <w:rsid w:val="0049520D"/>
    <w:rsid w:val="00496B11"/>
    <w:rsid w:val="004A3FF6"/>
    <w:rsid w:val="004A6B5F"/>
    <w:rsid w:val="004A6E11"/>
    <w:rsid w:val="004B1985"/>
    <w:rsid w:val="004B43DF"/>
    <w:rsid w:val="004B45C5"/>
    <w:rsid w:val="004B60A9"/>
    <w:rsid w:val="004B74B0"/>
    <w:rsid w:val="004C3928"/>
    <w:rsid w:val="004C50C1"/>
    <w:rsid w:val="004C6839"/>
    <w:rsid w:val="004C7294"/>
    <w:rsid w:val="004D0FB3"/>
    <w:rsid w:val="004D53D0"/>
    <w:rsid w:val="004D73A4"/>
    <w:rsid w:val="004E0CBC"/>
    <w:rsid w:val="004E5B88"/>
    <w:rsid w:val="004E5F82"/>
    <w:rsid w:val="004E7510"/>
    <w:rsid w:val="004F0344"/>
    <w:rsid w:val="004F2382"/>
    <w:rsid w:val="004F352A"/>
    <w:rsid w:val="004F44A5"/>
    <w:rsid w:val="004F49D2"/>
    <w:rsid w:val="004F6089"/>
    <w:rsid w:val="00500C37"/>
    <w:rsid w:val="00502805"/>
    <w:rsid w:val="00502EB0"/>
    <w:rsid w:val="00504126"/>
    <w:rsid w:val="00505D9C"/>
    <w:rsid w:val="005064C2"/>
    <w:rsid w:val="00510852"/>
    <w:rsid w:val="005110D2"/>
    <w:rsid w:val="005128D0"/>
    <w:rsid w:val="005150CD"/>
    <w:rsid w:val="00516FC8"/>
    <w:rsid w:val="00521278"/>
    <w:rsid w:val="005248E3"/>
    <w:rsid w:val="00524EEC"/>
    <w:rsid w:val="005307D3"/>
    <w:rsid w:val="005319F4"/>
    <w:rsid w:val="00531AE9"/>
    <w:rsid w:val="0053411F"/>
    <w:rsid w:val="00534213"/>
    <w:rsid w:val="005353DE"/>
    <w:rsid w:val="005433FE"/>
    <w:rsid w:val="00552E73"/>
    <w:rsid w:val="00554680"/>
    <w:rsid w:val="005556A4"/>
    <w:rsid w:val="005573DE"/>
    <w:rsid w:val="00557E3C"/>
    <w:rsid w:val="00566226"/>
    <w:rsid w:val="00567400"/>
    <w:rsid w:val="00570263"/>
    <w:rsid w:val="00571E16"/>
    <w:rsid w:val="00582349"/>
    <w:rsid w:val="00582AA7"/>
    <w:rsid w:val="00585D3C"/>
    <w:rsid w:val="00590662"/>
    <w:rsid w:val="00592EC4"/>
    <w:rsid w:val="0059557B"/>
    <w:rsid w:val="0059589C"/>
    <w:rsid w:val="00595912"/>
    <w:rsid w:val="00596207"/>
    <w:rsid w:val="005B169E"/>
    <w:rsid w:val="005C0E28"/>
    <w:rsid w:val="005C1BE3"/>
    <w:rsid w:val="005C1F67"/>
    <w:rsid w:val="005C22A6"/>
    <w:rsid w:val="005C54F1"/>
    <w:rsid w:val="005D0395"/>
    <w:rsid w:val="005D3ACC"/>
    <w:rsid w:val="005D55B7"/>
    <w:rsid w:val="005D61AB"/>
    <w:rsid w:val="005E16BA"/>
    <w:rsid w:val="005E3BBD"/>
    <w:rsid w:val="005E6FEF"/>
    <w:rsid w:val="005F0CE4"/>
    <w:rsid w:val="005F272E"/>
    <w:rsid w:val="005F3507"/>
    <w:rsid w:val="005F3E87"/>
    <w:rsid w:val="005F51C3"/>
    <w:rsid w:val="00600FBB"/>
    <w:rsid w:val="00601877"/>
    <w:rsid w:val="00603CC4"/>
    <w:rsid w:val="00607EE8"/>
    <w:rsid w:val="006231B1"/>
    <w:rsid w:val="00626FC2"/>
    <w:rsid w:val="0063116B"/>
    <w:rsid w:val="00632307"/>
    <w:rsid w:val="00633ACC"/>
    <w:rsid w:val="00634141"/>
    <w:rsid w:val="006419AC"/>
    <w:rsid w:val="00641E28"/>
    <w:rsid w:val="00642F7E"/>
    <w:rsid w:val="006544BC"/>
    <w:rsid w:val="00655570"/>
    <w:rsid w:val="00657DE3"/>
    <w:rsid w:val="00660577"/>
    <w:rsid w:val="0066755D"/>
    <w:rsid w:val="006716CA"/>
    <w:rsid w:val="00671E29"/>
    <w:rsid w:val="006737B1"/>
    <w:rsid w:val="00673A38"/>
    <w:rsid w:val="006773E4"/>
    <w:rsid w:val="00680009"/>
    <w:rsid w:val="0068149F"/>
    <w:rsid w:val="00685C0F"/>
    <w:rsid w:val="006879DB"/>
    <w:rsid w:val="00690B97"/>
    <w:rsid w:val="00693101"/>
    <w:rsid w:val="00695BB7"/>
    <w:rsid w:val="00696947"/>
    <w:rsid w:val="006A06B9"/>
    <w:rsid w:val="006A188A"/>
    <w:rsid w:val="006A58CA"/>
    <w:rsid w:val="006B1147"/>
    <w:rsid w:val="006B2DCE"/>
    <w:rsid w:val="006B499D"/>
    <w:rsid w:val="006B6445"/>
    <w:rsid w:val="006C0D65"/>
    <w:rsid w:val="006C1087"/>
    <w:rsid w:val="006C6731"/>
    <w:rsid w:val="006D28E5"/>
    <w:rsid w:val="006D4B46"/>
    <w:rsid w:val="006E00A4"/>
    <w:rsid w:val="006E09EA"/>
    <w:rsid w:val="006E0DCB"/>
    <w:rsid w:val="006E22F8"/>
    <w:rsid w:val="006E2ACB"/>
    <w:rsid w:val="006E73EB"/>
    <w:rsid w:val="006F1B94"/>
    <w:rsid w:val="006F38EC"/>
    <w:rsid w:val="006F7229"/>
    <w:rsid w:val="006F734F"/>
    <w:rsid w:val="00707255"/>
    <w:rsid w:val="0071132A"/>
    <w:rsid w:val="00715969"/>
    <w:rsid w:val="007164B8"/>
    <w:rsid w:val="007277FE"/>
    <w:rsid w:val="007279F9"/>
    <w:rsid w:val="0073107F"/>
    <w:rsid w:val="00745A7F"/>
    <w:rsid w:val="007460D7"/>
    <w:rsid w:val="007528CE"/>
    <w:rsid w:val="007564E0"/>
    <w:rsid w:val="00762D9B"/>
    <w:rsid w:val="00773A3B"/>
    <w:rsid w:val="007764DD"/>
    <w:rsid w:val="007769F9"/>
    <w:rsid w:val="00780564"/>
    <w:rsid w:val="00782367"/>
    <w:rsid w:val="00782F5C"/>
    <w:rsid w:val="00787E04"/>
    <w:rsid w:val="007906F6"/>
    <w:rsid w:val="00792FE6"/>
    <w:rsid w:val="00796D32"/>
    <w:rsid w:val="007A30C9"/>
    <w:rsid w:val="007A387C"/>
    <w:rsid w:val="007A4435"/>
    <w:rsid w:val="007A53D3"/>
    <w:rsid w:val="007A5BE0"/>
    <w:rsid w:val="007A6BE5"/>
    <w:rsid w:val="007A7A84"/>
    <w:rsid w:val="007A7F2D"/>
    <w:rsid w:val="007B0C68"/>
    <w:rsid w:val="007B304E"/>
    <w:rsid w:val="007B372E"/>
    <w:rsid w:val="007B5151"/>
    <w:rsid w:val="007C0033"/>
    <w:rsid w:val="007C13D5"/>
    <w:rsid w:val="007C4FCA"/>
    <w:rsid w:val="007C7039"/>
    <w:rsid w:val="007D3E66"/>
    <w:rsid w:val="007D3E7D"/>
    <w:rsid w:val="007D5734"/>
    <w:rsid w:val="007D63D5"/>
    <w:rsid w:val="007D6EF4"/>
    <w:rsid w:val="007D7E17"/>
    <w:rsid w:val="007E11AE"/>
    <w:rsid w:val="007E1BB4"/>
    <w:rsid w:val="007F49B0"/>
    <w:rsid w:val="007F624D"/>
    <w:rsid w:val="00805C4B"/>
    <w:rsid w:val="008108C5"/>
    <w:rsid w:val="008109D8"/>
    <w:rsid w:val="00815815"/>
    <w:rsid w:val="00817088"/>
    <w:rsid w:val="00817A7F"/>
    <w:rsid w:val="008219F3"/>
    <w:rsid w:val="008268B2"/>
    <w:rsid w:val="00826D73"/>
    <w:rsid w:val="008272CF"/>
    <w:rsid w:val="00827862"/>
    <w:rsid w:val="008301A5"/>
    <w:rsid w:val="008367C5"/>
    <w:rsid w:val="0084333D"/>
    <w:rsid w:val="008708AD"/>
    <w:rsid w:val="00870ABB"/>
    <w:rsid w:val="00876716"/>
    <w:rsid w:val="00876779"/>
    <w:rsid w:val="00883B45"/>
    <w:rsid w:val="00886784"/>
    <w:rsid w:val="00887639"/>
    <w:rsid w:val="00890A04"/>
    <w:rsid w:val="00895BC0"/>
    <w:rsid w:val="00896089"/>
    <w:rsid w:val="00897B74"/>
    <w:rsid w:val="008A0EE0"/>
    <w:rsid w:val="008A1817"/>
    <w:rsid w:val="008A42A5"/>
    <w:rsid w:val="008A533F"/>
    <w:rsid w:val="008A5CE1"/>
    <w:rsid w:val="008B1E3A"/>
    <w:rsid w:val="008B4C4C"/>
    <w:rsid w:val="008B5810"/>
    <w:rsid w:val="008C11C8"/>
    <w:rsid w:val="008C12C9"/>
    <w:rsid w:val="008C569D"/>
    <w:rsid w:val="008D1860"/>
    <w:rsid w:val="008D1A25"/>
    <w:rsid w:val="008D57E0"/>
    <w:rsid w:val="008D5A66"/>
    <w:rsid w:val="008E042F"/>
    <w:rsid w:val="008E47A3"/>
    <w:rsid w:val="008E760A"/>
    <w:rsid w:val="008F120C"/>
    <w:rsid w:val="008F7B03"/>
    <w:rsid w:val="009023CA"/>
    <w:rsid w:val="0090353C"/>
    <w:rsid w:val="00903F12"/>
    <w:rsid w:val="009044C1"/>
    <w:rsid w:val="009060A1"/>
    <w:rsid w:val="00911F3C"/>
    <w:rsid w:val="00914B9E"/>
    <w:rsid w:val="009231FA"/>
    <w:rsid w:val="00923F52"/>
    <w:rsid w:val="00924702"/>
    <w:rsid w:val="0092537B"/>
    <w:rsid w:val="009263A2"/>
    <w:rsid w:val="009304F7"/>
    <w:rsid w:val="00933974"/>
    <w:rsid w:val="009359B3"/>
    <w:rsid w:val="0095060D"/>
    <w:rsid w:val="00953A68"/>
    <w:rsid w:val="00962D99"/>
    <w:rsid w:val="00963E80"/>
    <w:rsid w:val="009643DE"/>
    <w:rsid w:val="009645D2"/>
    <w:rsid w:val="00965CA9"/>
    <w:rsid w:val="0097407D"/>
    <w:rsid w:val="009759B8"/>
    <w:rsid w:val="009774A9"/>
    <w:rsid w:val="009818C7"/>
    <w:rsid w:val="00984760"/>
    <w:rsid w:val="00990AFA"/>
    <w:rsid w:val="009A0290"/>
    <w:rsid w:val="009A1475"/>
    <w:rsid w:val="009A1603"/>
    <w:rsid w:val="009A3DAC"/>
    <w:rsid w:val="009A7C90"/>
    <w:rsid w:val="009B0EC0"/>
    <w:rsid w:val="009B2EEA"/>
    <w:rsid w:val="009B3B8A"/>
    <w:rsid w:val="009D0435"/>
    <w:rsid w:val="009D4892"/>
    <w:rsid w:val="009D4FE7"/>
    <w:rsid w:val="009D5095"/>
    <w:rsid w:val="009D567D"/>
    <w:rsid w:val="009E1F74"/>
    <w:rsid w:val="009E343B"/>
    <w:rsid w:val="009E54C6"/>
    <w:rsid w:val="009E6A8A"/>
    <w:rsid w:val="009F10F5"/>
    <w:rsid w:val="009F495E"/>
    <w:rsid w:val="00A00F6F"/>
    <w:rsid w:val="00A0195C"/>
    <w:rsid w:val="00A04775"/>
    <w:rsid w:val="00A06F96"/>
    <w:rsid w:val="00A101F0"/>
    <w:rsid w:val="00A12C5A"/>
    <w:rsid w:val="00A13C16"/>
    <w:rsid w:val="00A17A20"/>
    <w:rsid w:val="00A17BB5"/>
    <w:rsid w:val="00A2009B"/>
    <w:rsid w:val="00A25664"/>
    <w:rsid w:val="00A26090"/>
    <w:rsid w:val="00A311EF"/>
    <w:rsid w:val="00A319D1"/>
    <w:rsid w:val="00A37BCF"/>
    <w:rsid w:val="00A405B7"/>
    <w:rsid w:val="00A41066"/>
    <w:rsid w:val="00A4313B"/>
    <w:rsid w:val="00A44F3C"/>
    <w:rsid w:val="00A4642F"/>
    <w:rsid w:val="00A472BD"/>
    <w:rsid w:val="00A47E70"/>
    <w:rsid w:val="00A50E7E"/>
    <w:rsid w:val="00A552DF"/>
    <w:rsid w:val="00A67212"/>
    <w:rsid w:val="00A706CC"/>
    <w:rsid w:val="00A714D2"/>
    <w:rsid w:val="00A73017"/>
    <w:rsid w:val="00A753A7"/>
    <w:rsid w:val="00A7546B"/>
    <w:rsid w:val="00A81BB0"/>
    <w:rsid w:val="00A81C51"/>
    <w:rsid w:val="00A826BA"/>
    <w:rsid w:val="00A8362A"/>
    <w:rsid w:val="00A86D4D"/>
    <w:rsid w:val="00A87CEE"/>
    <w:rsid w:val="00A958DF"/>
    <w:rsid w:val="00A95D78"/>
    <w:rsid w:val="00AA167B"/>
    <w:rsid w:val="00AA2E21"/>
    <w:rsid w:val="00AB0182"/>
    <w:rsid w:val="00AB096D"/>
    <w:rsid w:val="00AB5E54"/>
    <w:rsid w:val="00AB7FC0"/>
    <w:rsid w:val="00AC2B5C"/>
    <w:rsid w:val="00AC3176"/>
    <w:rsid w:val="00AD0255"/>
    <w:rsid w:val="00AD1580"/>
    <w:rsid w:val="00AD293C"/>
    <w:rsid w:val="00AD4FEE"/>
    <w:rsid w:val="00AD66BC"/>
    <w:rsid w:val="00AD6E6A"/>
    <w:rsid w:val="00AE17DA"/>
    <w:rsid w:val="00AE556A"/>
    <w:rsid w:val="00AE7143"/>
    <w:rsid w:val="00AF2793"/>
    <w:rsid w:val="00AF2B24"/>
    <w:rsid w:val="00AF2CCA"/>
    <w:rsid w:val="00AF4D26"/>
    <w:rsid w:val="00B00315"/>
    <w:rsid w:val="00B0356C"/>
    <w:rsid w:val="00B04B72"/>
    <w:rsid w:val="00B04FFD"/>
    <w:rsid w:val="00B066AD"/>
    <w:rsid w:val="00B0703E"/>
    <w:rsid w:val="00B1186A"/>
    <w:rsid w:val="00B11EC2"/>
    <w:rsid w:val="00B16632"/>
    <w:rsid w:val="00B171C9"/>
    <w:rsid w:val="00B21045"/>
    <w:rsid w:val="00B229E6"/>
    <w:rsid w:val="00B2305B"/>
    <w:rsid w:val="00B23A68"/>
    <w:rsid w:val="00B30204"/>
    <w:rsid w:val="00B30207"/>
    <w:rsid w:val="00B32E5C"/>
    <w:rsid w:val="00B33857"/>
    <w:rsid w:val="00B36829"/>
    <w:rsid w:val="00B402F8"/>
    <w:rsid w:val="00B41A13"/>
    <w:rsid w:val="00B461B5"/>
    <w:rsid w:val="00B623D4"/>
    <w:rsid w:val="00B6359F"/>
    <w:rsid w:val="00B641DB"/>
    <w:rsid w:val="00B64832"/>
    <w:rsid w:val="00B704E6"/>
    <w:rsid w:val="00B72C31"/>
    <w:rsid w:val="00B73168"/>
    <w:rsid w:val="00B74105"/>
    <w:rsid w:val="00B74D63"/>
    <w:rsid w:val="00B75348"/>
    <w:rsid w:val="00B801A4"/>
    <w:rsid w:val="00B83848"/>
    <w:rsid w:val="00B83AF9"/>
    <w:rsid w:val="00B84B78"/>
    <w:rsid w:val="00B875F9"/>
    <w:rsid w:val="00B9092B"/>
    <w:rsid w:val="00B92380"/>
    <w:rsid w:val="00B94E4F"/>
    <w:rsid w:val="00B973DF"/>
    <w:rsid w:val="00BA13BC"/>
    <w:rsid w:val="00BA179A"/>
    <w:rsid w:val="00BA51BE"/>
    <w:rsid w:val="00BA55B8"/>
    <w:rsid w:val="00BB6286"/>
    <w:rsid w:val="00BC1099"/>
    <w:rsid w:val="00BC183C"/>
    <w:rsid w:val="00BD0338"/>
    <w:rsid w:val="00BD0498"/>
    <w:rsid w:val="00BD0F10"/>
    <w:rsid w:val="00BE0FCC"/>
    <w:rsid w:val="00BE1051"/>
    <w:rsid w:val="00BE4458"/>
    <w:rsid w:val="00BE54BF"/>
    <w:rsid w:val="00BE6A13"/>
    <w:rsid w:val="00BE7DEF"/>
    <w:rsid w:val="00BF0EFF"/>
    <w:rsid w:val="00BF1710"/>
    <w:rsid w:val="00BF44D3"/>
    <w:rsid w:val="00BF6245"/>
    <w:rsid w:val="00C0013F"/>
    <w:rsid w:val="00C02F1E"/>
    <w:rsid w:val="00C07B3C"/>
    <w:rsid w:val="00C16FE7"/>
    <w:rsid w:val="00C20C75"/>
    <w:rsid w:val="00C24955"/>
    <w:rsid w:val="00C26BFE"/>
    <w:rsid w:val="00C26E0F"/>
    <w:rsid w:val="00C3039E"/>
    <w:rsid w:val="00C33DBE"/>
    <w:rsid w:val="00C40924"/>
    <w:rsid w:val="00C40F32"/>
    <w:rsid w:val="00C42588"/>
    <w:rsid w:val="00C4421B"/>
    <w:rsid w:val="00C52902"/>
    <w:rsid w:val="00C53DA8"/>
    <w:rsid w:val="00C5678D"/>
    <w:rsid w:val="00C576E3"/>
    <w:rsid w:val="00C67BD8"/>
    <w:rsid w:val="00C76078"/>
    <w:rsid w:val="00C77289"/>
    <w:rsid w:val="00C80C7C"/>
    <w:rsid w:val="00C86AAA"/>
    <w:rsid w:val="00C9099C"/>
    <w:rsid w:val="00C91305"/>
    <w:rsid w:val="00C91F85"/>
    <w:rsid w:val="00CA4371"/>
    <w:rsid w:val="00CA4C4E"/>
    <w:rsid w:val="00CA7C65"/>
    <w:rsid w:val="00CB0CBA"/>
    <w:rsid w:val="00CB2338"/>
    <w:rsid w:val="00CB57E3"/>
    <w:rsid w:val="00CC0C96"/>
    <w:rsid w:val="00CC5F23"/>
    <w:rsid w:val="00CD5DDA"/>
    <w:rsid w:val="00CD79DC"/>
    <w:rsid w:val="00CE45AD"/>
    <w:rsid w:val="00CE462E"/>
    <w:rsid w:val="00CE4A8A"/>
    <w:rsid w:val="00CE6809"/>
    <w:rsid w:val="00CF093A"/>
    <w:rsid w:val="00CF2FB8"/>
    <w:rsid w:val="00CF4B56"/>
    <w:rsid w:val="00CF50FC"/>
    <w:rsid w:val="00D01268"/>
    <w:rsid w:val="00D012A9"/>
    <w:rsid w:val="00D02301"/>
    <w:rsid w:val="00D04BCE"/>
    <w:rsid w:val="00D06635"/>
    <w:rsid w:val="00D07AD5"/>
    <w:rsid w:val="00D12C5A"/>
    <w:rsid w:val="00D16EB4"/>
    <w:rsid w:val="00D17933"/>
    <w:rsid w:val="00D21AA6"/>
    <w:rsid w:val="00D23497"/>
    <w:rsid w:val="00D24CAE"/>
    <w:rsid w:val="00D25A01"/>
    <w:rsid w:val="00D26324"/>
    <w:rsid w:val="00D465EE"/>
    <w:rsid w:val="00D466DE"/>
    <w:rsid w:val="00D52EF9"/>
    <w:rsid w:val="00D60087"/>
    <w:rsid w:val="00D636A4"/>
    <w:rsid w:val="00D63EE5"/>
    <w:rsid w:val="00D6445C"/>
    <w:rsid w:val="00D65082"/>
    <w:rsid w:val="00D67412"/>
    <w:rsid w:val="00D67A28"/>
    <w:rsid w:val="00D71A3A"/>
    <w:rsid w:val="00D76F12"/>
    <w:rsid w:val="00D819E5"/>
    <w:rsid w:val="00D8377A"/>
    <w:rsid w:val="00D8499A"/>
    <w:rsid w:val="00D8695D"/>
    <w:rsid w:val="00D869A5"/>
    <w:rsid w:val="00D86C20"/>
    <w:rsid w:val="00D910C3"/>
    <w:rsid w:val="00D912D0"/>
    <w:rsid w:val="00D97847"/>
    <w:rsid w:val="00D97B3C"/>
    <w:rsid w:val="00DA2CB8"/>
    <w:rsid w:val="00DA55C5"/>
    <w:rsid w:val="00DA64AC"/>
    <w:rsid w:val="00DA6DCE"/>
    <w:rsid w:val="00DB009E"/>
    <w:rsid w:val="00DB4482"/>
    <w:rsid w:val="00DB474B"/>
    <w:rsid w:val="00DB527F"/>
    <w:rsid w:val="00DB6619"/>
    <w:rsid w:val="00DB666E"/>
    <w:rsid w:val="00DC0D14"/>
    <w:rsid w:val="00DD1564"/>
    <w:rsid w:val="00DD2339"/>
    <w:rsid w:val="00DD41F6"/>
    <w:rsid w:val="00DD5486"/>
    <w:rsid w:val="00DD55D7"/>
    <w:rsid w:val="00DD60A4"/>
    <w:rsid w:val="00DE18B3"/>
    <w:rsid w:val="00DE2D89"/>
    <w:rsid w:val="00DE3000"/>
    <w:rsid w:val="00DE36AF"/>
    <w:rsid w:val="00DE396A"/>
    <w:rsid w:val="00DF2534"/>
    <w:rsid w:val="00DF58CE"/>
    <w:rsid w:val="00E003DA"/>
    <w:rsid w:val="00E04BD4"/>
    <w:rsid w:val="00E055F2"/>
    <w:rsid w:val="00E10D48"/>
    <w:rsid w:val="00E10DF6"/>
    <w:rsid w:val="00E128BB"/>
    <w:rsid w:val="00E154FA"/>
    <w:rsid w:val="00E17EF5"/>
    <w:rsid w:val="00E221D5"/>
    <w:rsid w:val="00E25549"/>
    <w:rsid w:val="00E2603A"/>
    <w:rsid w:val="00E27175"/>
    <w:rsid w:val="00E273C1"/>
    <w:rsid w:val="00E315E7"/>
    <w:rsid w:val="00E33AA3"/>
    <w:rsid w:val="00E34324"/>
    <w:rsid w:val="00E373E7"/>
    <w:rsid w:val="00E41805"/>
    <w:rsid w:val="00E43BCB"/>
    <w:rsid w:val="00E44589"/>
    <w:rsid w:val="00E4598B"/>
    <w:rsid w:val="00E47FD1"/>
    <w:rsid w:val="00E52913"/>
    <w:rsid w:val="00E56A0E"/>
    <w:rsid w:val="00E56F40"/>
    <w:rsid w:val="00E6287B"/>
    <w:rsid w:val="00E63D92"/>
    <w:rsid w:val="00E64616"/>
    <w:rsid w:val="00E66305"/>
    <w:rsid w:val="00E73A33"/>
    <w:rsid w:val="00E7420C"/>
    <w:rsid w:val="00E806F3"/>
    <w:rsid w:val="00E93228"/>
    <w:rsid w:val="00EA1995"/>
    <w:rsid w:val="00EA23E0"/>
    <w:rsid w:val="00EA28C0"/>
    <w:rsid w:val="00EA6564"/>
    <w:rsid w:val="00EB01B2"/>
    <w:rsid w:val="00EC2403"/>
    <w:rsid w:val="00EC3BC3"/>
    <w:rsid w:val="00EC533B"/>
    <w:rsid w:val="00EC56D2"/>
    <w:rsid w:val="00EC59A0"/>
    <w:rsid w:val="00EC65E6"/>
    <w:rsid w:val="00EC6E2A"/>
    <w:rsid w:val="00ED45D7"/>
    <w:rsid w:val="00ED7F20"/>
    <w:rsid w:val="00EE1C99"/>
    <w:rsid w:val="00EE1F19"/>
    <w:rsid w:val="00EE383A"/>
    <w:rsid w:val="00EE3AF8"/>
    <w:rsid w:val="00EE7AEB"/>
    <w:rsid w:val="00EF0F75"/>
    <w:rsid w:val="00EF2280"/>
    <w:rsid w:val="00EF646E"/>
    <w:rsid w:val="00EF785E"/>
    <w:rsid w:val="00EF7A3A"/>
    <w:rsid w:val="00F0221B"/>
    <w:rsid w:val="00F03882"/>
    <w:rsid w:val="00F03EAD"/>
    <w:rsid w:val="00F15F0B"/>
    <w:rsid w:val="00F22725"/>
    <w:rsid w:val="00F25CE9"/>
    <w:rsid w:val="00F300F6"/>
    <w:rsid w:val="00F3471F"/>
    <w:rsid w:val="00F372AF"/>
    <w:rsid w:val="00F37591"/>
    <w:rsid w:val="00F4000A"/>
    <w:rsid w:val="00F41D59"/>
    <w:rsid w:val="00F4775D"/>
    <w:rsid w:val="00F56490"/>
    <w:rsid w:val="00F56773"/>
    <w:rsid w:val="00F56A74"/>
    <w:rsid w:val="00F56E7B"/>
    <w:rsid w:val="00F62133"/>
    <w:rsid w:val="00F63A9E"/>
    <w:rsid w:val="00F64576"/>
    <w:rsid w:val="00F64827"/>
    <w:rsid w:val="00F64CFC"/>
    <w:rsid w:val="00F65232"/>
    <w:rsid w:val="00F70A49"/>
    <w:rsid w:val="00F73735"/>
    <w:rsid w:val="00F768AB"/>
    <w:rsid w:val="00F77068"/>
    <w:rsid w:val="00F81B2E"/>
    <w:rsid w:val="00F82FD7"/>
    <w:rsid w:val="00F85CB7"/>
    <w:rsid w:val="00F86DEB"/>
    <w:rsid w:val="00F92E2C"/>
    <w:rsid w:val="00F96412"/>
    <w:rsid w:val="00F96E69"/>
    <w:rsid w:val="00F977DA"/>
    <w:rsid w:val="00FA03DA"/>
    <w:rsid w:val="00FA0B3C"/>
    <w:rsid w:val="00FA1134"/>
    <w:rsid w:val="00FA1E83"/>
    <w:rsid w:val="00FA1E94"/>
    <w:rsid w:val="00FA2C7C"/>
    <w:rsid w:val="00FA4C1D"/>
    <w:rsid w:val="00FA670E"/>
    <w:rsid w:val="00FA6B1B"/>
    <w:rsid w:val="00FA77B6"/>
    <w:rsid w:val="00FB513D"/>
    <w:rsid w:val="00FC0611"/>
    <w:rsid w:val="00FC11E5"/>
    <w:rsid w:val="00FD17D5"/>
    <w:rsid w:val="00FD7C3F"/>
    <w:rsid w:val="00FE052A"/>
    <w:rsid w:val="00FE26C9"/>
    <w:rsid w:val="00FE336B"/>
    <w:rsid w:val="00FE4661"/>
    <w:rsid w:val="00FE68C9"/>
    <w:rsid w:val="00FF0B8B"/>
    <w:rsid w:val="00FF3884"/>
    <w:rsid w:val="00FF3C15"/>
    <w:rsid w:val="00FF3F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6DA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39"/>
    <w:pPr>
      <w:spacing w:after="240" w:line="240" w:lineRule="auto"/>
    </w:pPr>
    <w:rPr>
      <w:rFonts w:eastAsiaTheme="minorEastAsia"/>
      <w:szCs w:val="24"/>
      <w:lang w:val="en-US"/>
    </w:rPr>
  </w:style>
  <w:style w:type="paragraph" w:styleId="Heading1">
    <w:name w:val="heading 1"/>
    <w:basedOn w:val="Normal"/>
    <w:next w:val="Normal"/>
    <w:link w:val="Heading1Char"/>
    <w:uiPriority w:val="9"/>
    <w:qFormat/>
    <w:rsid w:val="001177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0EFF"/>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1177D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564E0"/>
    <w:pPr>
      <w:keepNext/>
      <w:keepLines/>
      <w:spacing w:before="200" w:after="0" w:line="360" w:lineRule="auto"/>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unhideWhenUsed/>
    <w:qFormat/>
    <w:rsid w:val="007564E0"/>
    <w:pPr>
      <w:keepNext/>
      <w:keepLines/>
      <w:spacing w:before="200" w:after="0" w:line="360" w:lineRule="auto"/>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unhideWhenUsed/>
    <w:qFormat/>
    <w:rsid w:val="007564E0"/>
    <w:pPr>
      <w:keepNext/>
      <w:keepLines/>
      <w:spacing w:before="200" w:after="0" w:line="360" w:lineRule="auto"/>
      <w:outlineLvl w:val="5"/>
    </w:pPr>
    <w:rPr>
      <w:rFonts w:asciiTheme="majorHAnsi" w:eastAsiaTheme="majorEastAsia" w:hAnsiTheme="majorHAnsi" w:cstheme="majorBidi"/>
      <w:i/>
      <w:iCs/>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87639"/>
  </w:style>
  <w:style w:type="character" w:customStyle="1" w:styleId="FootnoteTextChar">
    <w:name w:val="Footnote Text Char"/>
    <w:basedOn w:val="DefaultParagraphFont"/>
    <w:link w:val="FootnoteText"/>
    <w:uiPriority w:val="99"/>
    <w:rsid w:val="00887639"/>
    <w:rPr>
      <w:rFonts w:asciiTheme="majorHAnsi" w:eastAsiaTheme="minorEastAsia" w:hAnsiTheme="majorHAnsi"/>
      <w:sz w:val="24"/>
      <w:szCs w:val="24"/>
      <w:lang w:val="en-US"/>
    </w:rPr>
  </w:style>
  <w:style w:type="character" w:styleId="FootnoteReference">
    <w:name w:val="footnote reference"/>
    <w:basedOn w:val="DefaultParagraphFont"/>
    <w:uiPriority w:val="99"/>
    <w:unhideWhenUsed/>
    <w:rsid w:val="00887639"/>
    <w:rPr>
      <w:vertAlign w:val="superscript"/>
    </w:rPr>
  </w:style>
  <w:style w:type="character" w:customStyle="1" w:styleId="Heading1Char">
    <w:name w:val="Heading 1 Char"/>
    <w:basedOn w:val="DefaultParagraphFont"/>
    <w:link w:val="Heading1"/>
    <w:uiPriority w:val="9"/>
    <w:rsid w:val="001177D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BF0EFF"/>
    <w:rPr>
      <w:rFonts w:asciiTheme="majorHAnsi" w:eastAsiaTheme="majorEastAsia" w:hAnsiTheme="majorHAnsi" w:cstheme="majorBidi"/>
      <w:b/>
      <w:bCs/>
      <w:color w:val="000000" w:themeColor="text1"/>
      <w:sz w:val="26"/>
      <w:szCs w:val="26"/>
      <w:lang w:val="en-US"/>
    </w:rPr>
  </w:style>
  <w:style w:type="table" w:styleId="TableGrid">
    <w:name w:val="Table Grid"/>
    <w:basedOn w:val="TableNormal"/>
    <w:uiPriority w:val="59"/>
    <w:rsid w:val="001177D1"/>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uiPriority w:val="35"/>
    <w:unhideWhenUsed/>
    <w:qFormat/>
    <w:rsid w:val="00A81BB0"/>
    <w:pPr>
      <w:spacing w:after="200"/>
    </w:pPr>
    <w:rPr>
      <w:b/>
      <w:bCs/>
      <w:szCs w:val="22"/>
    </w:rPr>
  </w:style>
  <w:style w:type="paragraph" w:customStyle="1" w:styleId="Body">
    <w:name w:val="Body"/>
    <w:rsid w:val="001177D1"/>
    <w:pPr>
      <w:spacing w:after="0" w:line="240" w:lineRule="auto"/>
    </w:pPr>
    <w:rPr>
      <w:rFonts w:ascii="Helvetica" w:eastAsia="ヒラギノ角ゴ Pro W3" w:hAnsi="Helvetica" w:cs="Times New Roman"/>
      <w:color w:val="000000"/>
      <w:sz w:val="24"/>
      <w:szCs w:val="20"/>
      <w:lang w:val="en-US"/>
    </w:rPr>
  </w:style>
  <w:style w:type="character" w:customStyle="1" w:styleId="Heading3Char">
    <w:name w:val="Heading 3 Char"/>
    <w:basedOn w:val="DefaultParagraphFont"/>
    <w:link w:val="Heading3"/>
    <w:uiPriority w:val="9"/>
    <w:rsid w:val="001177D1"/>
    <w:rPr>
      <w:rFonts w:asciiTheme="majorHAnsi" w:eastAsiaTheme="majorEastAsia" w:hAnsiTheme="majorHAnsi" w:cstheme="majorBidi"/>
      <w:b/>
      <w:bCs/>
      <w:color w:val="4F81BD" w:themeColor="accent1"/>
      <w:szCs w:val="24"/>
      <w:lang w:val="en-US"/>
    </w:rPr>
  </w:style>
  <w:style w:type="paragraph" w:styleId="BalloonText">
    <w:name w:val="Balloon Text"/>
    <w:basedOn w:val="Normal"/>
    <w:link w:val="BalloonTextChar"/>
    <w:uiPriority w:val="99"/>
    <w:semiHidden/>
    <w:unhideWhenUsed/>
    <w:rsid w:val="001177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7D1"/>
    <w:rPr>
      <w:rFonts w:ascii="Tahoma" w:eastAsiaTheme="minorEastAsia" w:hAnsi="Tahoma" w:cs="Tahoma"/>
      <w:sz w:val="16"/>
      <w:szCs w:val="16"/>
      <w:lang w:val="en-US"/>
    </w:rPr>
  </w:style>
  <w:style w:type="character" w:customStyle="1" w:styleId="Heading4Char">
    <w:name w:val="Heading 4 Char"/>
    <w:basedOn w:val="DefaultParagraphFont"/>
    <w:link w:val="Heading4"/>
    <w:uiPriority w:val="9"/>
    <w:rsid w:val="007564E0"/>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uiPriority w:val="9"/>
    <w:rsid w:val="007564E0"/>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rsid w:val="007564E0"/>
    <w:rPr>
      <w:rFonts w:asciiTheme="majorHAnsi" w:eastAsiaTheme="majorEastAsia" w:hAnsiTheme="majorHAnsi" w:cstheme="majorBidi"/>
      <w:i/>
      <w:iCs/>
      <w:color w:val="243F60" w:themeColor="accent1" w:themeShade="7F"/>
      <w:sz w:val="24"/>
      <w:szCs w:val="24"/>
      <w:lang w:val="en-US"/>
    </w:rPr>
  </w:style>
  <w:style w:type="paragraph" w:styleId="TOCHeading">
    <w:name w:val="TOC Heading"/>
    <w:basedOn w:val="Heading1"/>
    <w:next w:val="Normal"/>
    <w:uiPriority w:val="39"/>
    <w:unhideWhenUsed/>
    <w:qFormat/>
    <w:rsid w:val="007564E0"/>
    <w:pPr>
      <w:spacing w:before="360" w:after="120" w:line="276" w:lineRule="auto"/>
      <w:outlineLvl w:val="9"/>
    </w:pPr>
    <w:rPr>
      <w:sz w:val="32"/>
    </w:rPr>
  </w:style>
  <w:style w:type="paragraph" w:styleId="TOC1">
    <w:name w:val="toc 1"/>
    <w:basedOn w:val="Normal"/>
    <w:next w:val="Normal"/>
    <w:autoRedefine/>
    <w:uiPriority w:val="39"/>
    <w:unhideWhenUsed/>
    <w:rsid w:val="007564E0"/>
    <w:pPr>
      <w:tabs>
        <w:tab w:val="right" w:leader="dot" w:pos="8290"/>
      </w:tabs>
      <w:spacing w:before="120" w:after="0" w:line="360" w:lineRule="auto"/>
    </w:pPr>
    <w:rPr>
      <w:rFonts w:asciiTheme="majorHAnsi" w:hAnsiTheme="majorHAnsi"/>
      <w:b/>
      <w:sz w:val="24"/>
    </w:rPr>
  </w:style>
  <w:style w:type="paragraph" w:styleId="TOC2">
    <w:name w:val="toc 2"/>
    <w:basedOn w:val="Normal"/>
    <w:next w:val="Normal"/>
    <w:autoRedefine/>
    <w:uiPriority w:val="39"/>
    <w:unhideWhenUsed/>
    <w:rsid w:val="007564E0"/>
    <w:pPr>
      <w:spacing w:after="0" w:line="360" w:lineRule="auto"/>
      <w:ind w:left="240"/>
    </w:pPr>
    <w:rPr>
      <w:rFonts w:asciiTheme="majorHAnsi" w:hAnsiTheme="majorHAnsi"/>
      <w:b/>
      <w:sz w:val="24"/>
      <w:szCs w:val="22"/>
    </w:rPr>
  </w:style>
  <w:style w:type="paragraph" w:styleId="TOC3">
    <w:name w:val="toc 3"/>
    <w:basedOn w:val="Normal"/>
    <w:next w:val="Normal"/>
    <w:autoRedefine/>
    <w:uiPriority w:val="39"/>
    <w:unhideWhenUsed/>
    <w:rsid w:val="007564E0"/>
    <w:pPr>
      <w:spacing w:after="0" w:line="360" w:lineRule="auto"/>
      <w:ind w:left="480"/>
    </w:pPr>
    <w:rPr>
      <w:rFonts w:asciiTheme="majorHAnsi" w:hAnsiTheme="majorHAnsi"/>
      <w:sz w:val="24"/>
      <w:szCs w:val="22"/>
    </w:rPr>
  </w:style>
  <w:style w:type="paragraph" w:styleId="TOC4">
    <w:name w:val="toc 4"/>
    <w:basedOn w:val="Normal"/>
    <w:next w:val="Normal"/>
    <w:autoRedefine/>
    <w:uiPriority w:val="39"/>
    <w:unhideWhenUsed/>
    <w:rsid w:val="007564E0"/>
    <w:pPr>
      <w:spacing w:after="0" w:line="360" w:lineRule="auto"/>
      <w:ind w:left="720"/>
    </w:pPr>
    <w:rPr>
      <w:rFonts w:asciiTheme="majorHAnsi" w:hAnsiTheme="majorHAnsi"/>
      <w:sz w:val="24"/>
      <w:szCs w:val="20"/>
    </w:rPr>
  </w:style>
  <w:style w:type="paragraph" w:styleId="TOC5">
    <w:name w:val="toc 5"/>
    <w:basedOn w:val="Normal"/>
    <w:next w:val="Normal"/>
    <w:autoRedefine/>
    <w:uiPriority w:val="39"/>
    <w:unhideWhenUsed/>
    <w:rsid w:val="007564E0"/>
    <w:pPr>
      <w:spacing w:after="0" w:line="360" w:lineRule="auto"/>
      <w:ind w:left="960"/>
    </w:pPr>
    <w:rPr>
      <w:rFonts w:asciiTheme="majorHAnsi" w:hAnsiTheme="majorHAnsi"/>
      <w:sz w:val="24"/>
      <w:szCs w:val="20"/>
    </w:rPr>
  </w:style>
  <w:style w:type="paragraph" w:styleId="TOC6">
    <w:name w:val="toc 6"/>
    <w:basedOn w:val="Normal"/>
    <w:next w:val="Normal"/>
    <w:autoRedefine/>
    <w:uiPriority w:val="39"/>
    <w:unhideWhenUsed/>
    <w:rsid w:val="007564E0"/>
    <w:pPr>
      <w:spacing w:after="0" w:line="360" w:lineRule="auto"/>
      <w:ind w:left="1200"/>
    </w:pPr>
    <w:rPr>
      <w:rFonts w:asciiTheme="majorHAnsi" w:hAnsiTheme="majorHAnsi"/>
      <w:sz w:val="24"/>
      <w:szCs w:val="20"/>
    </w:rPr>
  </w:style>
  <w:style w:type="paragraph" w:styleId="TOC7">
    <w:name w:val="toc 7"/>
    <w:basedOn w:val="Normal"/>
    <w:next w:val="Normal"/>
    <w:autoRedefine/>
    <w:uiPriority w:val="39"/>
    <w:unhideWhenUsed/>
    <w:rsid w:val="007564E0"/>
    <w:pPr>
      <w:spacing w:after="0" w:line="360" w:lineRule="auto"/>
      <w:ind w:left="1440"/>
    </w:pPr>
    <w:rPr>
      <w:rFonts w:asciiTheme="majorHAnsi" w:hAnsiTheme="majorHAnsi"/>
      <w:sz w:val="24"/>
      <w:szCs w:val="20"/>
    </w:rPr>
  </w:style>
  <w:style w:type="paragraph" w:styleId="TOC8">
    <w:name w:val="toc 8"/>
    <w:basedOn w:val="Normal"/>
    <w:next w:val="Normal"/>
    <w:autoRedefine/>
    <w:uiPriority w:val="39"/>
    <w:unhideWhenUsed/>
    <w:rsid w:val="007564E0"/>
    <w:pPr>
      <w:spacing w:after="0" w:line="360" w:lineRule="auto"/>
      <w:ind w:left="1680"/>
    </w:pPr>
    <w:rPr>
      <w:rFonts w:asciiTheme="majorHAnsi" w:hAnsiTheme="majorHAnsi"/>
      <w:sz w:val="24"/>
      <w:szCs w:val="20"/>
    </w:rPr>
  </w:style>
  <w:style w:type="paragraph" w:styleId="TOC9">
    <w:name w:val="toc 9"/>
    <w:basedOn w:val="Normal"/>
    <w:next w:val="Normal"/>
    <w:autoRedefine/>
    <w:uiPriority w:val="39"/>
    <w:unhideWhenUsed/>
    <w:rsid w:val="007564E0"/>
    <w:pPr>
      <w:spacing w:after="0" w:line="360" w:lineRule="auto"/>
      <w:ind w:left="1920"/>
    </w:pPr>
    <w:rPr>
      <w:rFonts w:asciiTheme="majorHAnsi" w:hAnsiTheme="majorHAnsi"/>
      <w:sz w:val="24"/>
      <w:szCs w:val="20"/>
    </w:rPr>
  </w:style>
  <w:style w:type="paragraph" w:styleId="TableofFigures">
    <w:name w:val="table of figures"/>
    <w:basedOn w:val="Normal"/>
    <w:next w:val="Normal"/>
    <w:uiPriority w:val="99"/>
    <w:unhideWhenUsed/>
    <w:rsid w:val="007564E0"/>
    <w:pPr>
      <w:spacing w:after="0" w:line="360" w:lineRule="auto"/>
    </w:pPr>
    <w:rPr>
      <w:rFonts w:asciiTheme="majorHAnsi" w:hAnsiTheme="majorHAnsi"/>
      <w:sz w:val="24"/>
    </w:rPr>
  </w:style>
  <w:style w:type="character" w:styleId="SubtleEmphasis">
    <w:name w:val="Subtle Emphasis"/>
    <w:basedOn w:val="DefaultParagraphFont"/>
    <w:uiPriority w:val="19"/>
    <w:qFormat/>
    <w:rsid w:val="007564E0"/>
    <w:rPr>
      <w:i/>
      <w:iCs/>
      <w:color w:val="808080" w:themeColor="text1" w:themeTint="7F"/>
    </w:rPr>
  </w:style>
  <w:style w:type="character" w:styleId="Strong">
    <w:name w:val="Strong"/>
    <w:basedOn w:val="DefaultParagraphFont"/>
    <w:uiPriority w:val="22"/>
    <w:qFormat/>
    <w:rsid w:val="007564E0"/>
    <w:rPr>
      <w:b/>
      <w:bCs/>
    </w:rPr>
  </w:style>
  <w:style w:type="paragraph" w:styleId="ListParagraph">
    <w:name w:val="List Paragraph"/>
    <w:basedOn w:val="Normal"/>
    <w:uiPriority w:val="34"/>
    <w:qFormat/>
    <w:rsid w:val="007564E0"/>
    <w:pPr>
      <w:spacing w:after="0" w:line="360" w:lineRule="auto"/>
      <w:ind w:left="720"/>
      <w:contextualSpacing/>
    </w:pPr>
    <w:rPr>
      <w:rFonts w:asciiTheme="majorHAnsi" w:hAnsiTheme="majorHAnsi"/>
      <w:sz w:val="24"/>
    </w:rPr>
  </w:style>
  <w:style w:type="paragraph" w:styleId="Footer">
    <w:name w:val="footer"/>
    <w:basedOn w:val="Normal"/>
    <w:link w:val="FooterChar"/>
    <w:uiPriority w:val="99"/>
    <w:unhideWhenUsed/>
    <w:rsid w:val="007564E0"/>
    <w:pPr>
      <w:tabs>
        <w:tab w:val="center" w:pos="4320"/>
        <w:tab w:val="right" w:pos="8640"/>
      </w:tabs>
      <w:spacing w:after="0"/>
    </w:pPr>
    <w:rPr>
      <w:rFonts w:asciiTheme="majorHAnsi" w:hAnsiTheme="majorHAnsi"/>
      <w:sz w:val="24"/>
    </w:rPr>
  </w:style>
  <w:style w:type="character" w:customStyle="1" w:styleId="FooterChar">
    <w:name w:val="Footer Char"/>
    <w:basedOn w:val="DefaultParagraphFont"/>
    <w:link w:val="Footer"/>
    <w:uiPriority w:val="99"/>
    <w:rsid w:val="007564E0"/>
    <w:rPr>
      <w:rFonts w:asciiTheme="majorHAnsi" w:eastAsiaTheme="minorEastAsia" w:hAnsiTheme="majorHAnsi"/>
      <w:sz w:val="24"/>
      <w:szCs w:val="24"/>
      <w:lang w:val="en-US"/>
    </w:rPr>
  </w:style>
  <w:style w:type="character" w:styleId="PageNumber">
    <w:name w:val="page number"/>
    <w:basedOn w:val="DefaultParagraphFont"/>
    <w:uiPriority w:val="99"/>
    <w:semiHidden/>
    <w:unhideWhenUsed/>
    <w:rsid w:val="007564E0"/>
  </w:style>
  <w:style w:type="paragraph" w:customStyle="1" w:styleId="FreeForm">
    <w:name w:val="Free Form"/>
    <w:rsid w:val="007564E0"/>
    <w:pPr>
      <w:spacing w:after="0" w:line="240" w:lineRule="auto"/>
    </w:pPr>
    <w:rPr>
      <w:rFonts w:ascii="Helvetica" w:eastAsia="ヒラギノ角ゴ Pro W3" w:hAnsi="Helvetica" w:cs="Times New Roman"/>
      <w:color w:val="000000"/>
      <w:sz w:val="24"/>
      <w:szCs w:val="20"/>
      <w:lang w:val="en-US"/>
    </w:rPr>
  </w:style>
  <w:style w:type="character" w:customStyle="1" w:styleId="Hyperlink1">
    <w:name w:val="Hyperlink1"/>
    <w:rsid w:val="007564E0"/>
    <w:rPr>
      <w:color w:val="0000FF"/>
      <w:sz w:val="20"/>
      <w:u w:val="single"/>
    </w:rPr>
  </w:style>
  <w:style w:type="character" w:styleId="Hyperlink">
    <w:name w:val="Hyperlink"/>
    <w:basedOn w:val="DefaultParagraphFont"/>
    <w:uiPriority w:val="99"/>
    <w:unhideWhenUsed/>
    <w:rsid w:val="007564E0"/>
    <w:rPr>
      <w:color w:val="0000FF" w:themeColor="hyperlink"/>
      <w:u w:val="single"/>
    </w:rPr>
  </w:style>
  <w:style w:type="character" w:styleId="FollowedHyperlink">
    <w:name w:val="FollowedHyperlink"/>
    <w:basedOn w:val="DefaultParagraphFont"/>
    <w:uiPriority w:val="99"/>
    <w:semiHidden/>
    <w:unhideWhenUsed/>
    <w:rsid w:val="007564E0"/>
    <w:rPr>
      <w:color w:val="800080" w:themeColor="followedHyperlink"/>
      <w:u w:val="single"/>
    </w:rPr>
  </w:style>
  <w:style w:type="paragraph" w:styleId="Header">
    <w:name w:val="header"/>
    <w:basedOn w:val="Normal"/>
    <w:link w:val="HeaderChar"/>
    <w:uiPriority w:val="99"/>
    <w:unhideWhenUsed/>
    <w:rsid w:val="007564E0"/>
    <w:pPr>
      <w:tabs>
        <w:tab w:val="center" w:pos="4320"/>
        <w:tab w:val="right" w:pos="8640"/>
      </w:tabs>
      <w:spacing w:after="0"/>
    </w:pPr>
    <w:rPr>
      <w:rFonts w:asciiTheme="majorHAnsi" w:hAnsiTheme="majorHAnsi"/>
      <w:sz w:val="24"/>
    </w:rPr>
  </w:style>
  <w:style w:type="character" w:customStyle="1" w:styleId="HeaderChar">
    <w:name w:val="Header Char"/>
    <w:basedOn w:val="DefaultParagraphFont"/>
    <w:link w:val="Header"/>
    <w:uiPriority w:val="99"/>
    <w:rsid w:val="007564E0"/>
    <w:rPr>
      <w:rFonts w:asciiTheme="majorHAnsi" w:eastAsiaTheme="minorEastAsia" w:hAnsiTheme="majorHAnsi"/>
      <w:sz w:val="24"/>
      <w:szCs w:val="24"/>
      <w:lang w:val="en-US"/>
    </w:rPr>
  </w:style>
  <w:style w:type="numbering" w:styleId="111111">
    <w:name w:val="Outline List 2"/>
    <w:basedOn w:val="NoList"/>
    <w:uiPriority w:val="99"/>
    <w:semiHidden/>
    <w:unhideWhenUsed/>
    <w:rsid w:val="007564E0"/>
    <w:pPr>
      <w:numPr>
        <w:numId w:val="2"/>
      </w:numPr>
    </w:pPr>
  </w:style>
  <w:style w:type="paragraph" w:styleId="CommentText">
    <w:name w:val="annotation text"/>
    <w:basedOn w:val="Normal"/>
    <w:link w:val="CommentTextChar"/>
    <w:uiPriority w:val="99"/>
    <w:unhideWhenUsed/>
    <w:rsid w:val="007564E0"/>
    <w:pPr>
      <w:spacing w:after="0"/>
    </w:pPr>
    <w:rPr>
      <w:rFonts w:ascii="Arial" w:hAnsi="Arial"/>
      <w:sz w:val="20"/>
      <w:szCs w:val="20"/>
    </w:rPr>
  </w:style>
  <w:style w:type="character" w:customStyle="1" w:styleId="CommentTextChar">
    <w:name w:val="Comment Text Char"/>
    <w:basedOn w:val="DefaultParagraphFont"/>
    <w:link w:val="CommentText"/>
    <w:uiPriority w:val="99"/>
    <w:rsid w:val="007564E0"/>
    <w:rPr>
      <w:rFonts w:ascii="Arial" w:eastAsiaTheme="minorEastAsia" w:hAnsi="Arial"/>
      <w:sz w:val="20"/>
      <w:szCs w:val="20"/>
      <w:lang w:val="en-US"/>
    </w:rPr>
  </w:style>
  <w:style w:type="paragraph" w:customStyle="1" w:styleId="caption2">
    <w:name w:val="caption 2"/>
    <w:basedOn w:val="Caption"/>
    <w:qFormat/>
    <w:rsid w:val="007564E0"/>
    <w:rPr>
      <w:sz w:val="26"/>
    </w:rPr>
  </w:style>
  <w:style w:type="character" w:styleId="CommentReference">
    <w:name w:val="annotation reference"/>
    <w:basedOn w:val="DefaultParagraphFont"/>
    <w:uiPriority w:val="99"/>
    <w:semiHidden/>
    <w:unhideWhenUsed/>
    <w:rsid w:val="00D869A5"/>
    <w:rPr>
      <w:sz w:val="16"/>
      <w:szCs w:val="16"/>
    </w:rPr>
  </w:style>
  <w:style w:type="paragraph" w:styleId="CommentSubject">
    <w:name w:val="annotation subject"/>
    <w:basedOn w:val="CommentText"/>
    <w:next w:val="CommentText"/>
    <w:link w:val="CommentSubjectChar"/>
    <w:uiPriority w:val="99"/>
    <w:semiHidden/>
    <w:unhideWhenUsed/>
    <w:rsid w:val="00D869A5"/>
    <w:pPr>
      <w:spacing w:after="240"/>
    </w:pPr>
    <w:rPr>
      <w:rFonts w:asciiTheme="minorHAnsi" w:hAnsiTheme="minorHAnsi"/>
      <w:b/>
      <w:bCs/>
    </w:rPr>
  </w:style>
  <w:style w:type="character" w:customStyle="1" w:styleId="CommentSubjectChar">
    <w:name w:val="Comment Subject Char"/>
    <w:basedOn w:val="CommentTextChar"/>
    <w:link w:val="CommentSubject"/>
    <w:uiPriority w:val="99"/>
    <w:semiHidden/>
    <w:rsid w:val="00D869A5"/>
    <w:rPr>
      <w:rFonts w:ascii="Arial" w:eastAsiaTheme="minorEastAsia" w:hAnsi="Arial"/>
      <w:b/>
      <w:bCs/>
      <w:sz w:val="20"/>
      <w:szCs w:val="20"/>
      <w:lang w:val="en-US"/>
    </w:rPr>
  </w:style>
  <w:style w:type="paragraph" w:styleId="Revision">
    <w:name w:val="Revision"/>
    <w:hidden/>
    <w:uiPriority w:val="99"/>
    <w:semiHidden/>
    <w:rsid w:val="00B04FFD"/>
    <w:pPr>
      <w:spacing w:after="0" w:line="240" w:lineRule="auto"/>
    </w:pPr>
    <w:rPr>
      <w:rFonts w:eastAsiaTheme="minorEastAsia"/>
      <w:szCs w:val="24"/>
      <w:lang w:val="en-US"/>
    </w:rPr>
  </w:style>
  <w:style w:type="character" w:customStyle="1" w:styleId="apple-converted-space">
    <w:name w:val="apple-converted-space"/>
    <w:basedOn w:val="DefaultParagraphFont"/>
    <w:rsid w:val="0066755D"/>
  </w:style>
  <w:style w:type="paragraph" w:styleId="EndnoteText">
    <w:name w:val="endnote text"/>
    <w:basedOn w:val="Normal"/>
    <w:link w:val="EndnoteTextChar"/>
    <w:uiPriority w:val="99"/>
    <w:unhideWhenUsed/>
    <w:rsid w:val="00097B6F"/>
    <w:pPr>
      <w:spacing w:after="0"/>
    </w:pPr>
    <w:rPr>
      <w:sz w:val="20"/>
      <w:szCs w:val="20"/>
    </w:rPr>
  </w:style>
  <w:style w:type="character" w:customStyle="1" w:styleId="EndnoteTextChar">
    <w:name w:val="Endnote Text Char"/>
    <w:basedOn w:val="DefaultParagraphFont"/>
    <w:link w:val="EndnoteText"/>
    <w:uiPriority w:val="99"/>
    <w:rsid w:val="00097B6F"/>
    <w:rPr>
      <w:rFonts w:eastAsiaTheme="minorEastAsia"/>
      <w:sz w:val="20"/>
      <w:szCs w:val="20"/>
      <w:lang w:val="en-US"/>
    </w:rPr>
  </w:style>
  <w:style w:type="character" w:styleId="EndnoteReference">
    <w:name w:val="endnote reference"/>
    <w:basedOn w:val="DefaultParagraphFont"/>
    <w:uiPriority w:val="99"/>
    <w:unhideWhenUsed/>
    <w:rsid w:val="00097B6F"/>
    <w:rPr>
      <w:vertAlign w:val="superscript"/>
    </w:rPr>
  </w:style>
  <w:style w:type="character" w:styleId="LineNumber">
    <w:name w:val="line number"/>
    <w:basedOn w:val="DefaultParagraphFont"/>
    <w:uiPriority w:val="99"/>
    <w:semiHidden/>
    <w:unhideWhenUsed/>
    <w:rsid w:val="00EC53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639"/>
    <w:pPr>
      <w:spacing w:after="240" w:line="240" w:lineRule="auto"/>
    </w:pPr>
    <w:rPr>
      <w:rFonts w:eastAsiaTheme="minorEastAsia"/>
      <w:szCs w:val="24"/>
      <w:lang w:val="en-US"/>
    </w:rPr>
  </w:style>
  <w:style w:type="paragraph" w:styleId="Heading1">
    <w:name w:val="heading 1"/>
    <w:basedOn w:val="Normal"/>
    <w:next w:val="Normal"/>
    <w:link w:val="Heading1Char"/>
    <w:uiPriority w:val="9"/>
    <w:qFormat/>
    <w:rsid w:val="001177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0EFF"/>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1177D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564E0"/>
    <w:pPr>
      <w:keepNext/>
      <w:keepLines/>
      <w:spacing w:before="200" w:after="0" w:line="360" w:lineRule="auto"/>
      <w:outlineLvl w:val="3"/>
    </w:pPr>
    <w:rPr>
      <w:rFonts w:asciiTheme="majorHAnsi" w:eastAsiaTheme="majorEastAsia" w:hAnsiTheme="majorHAnsi" w:cstheme="majorBidi"/>
      <w:b/>
      <w:bCs/>
      <w:i/>
      <w:iCs/>
      <w:color w:val="4F81BD" w:themeColor="accent1"/>
      <w:sz w:val="24"/>
    </w:rPr>
  </w:style>
  <w:style w:type="paragraph" w:styleId="Heading5">
    <w:name w:val="heading 5"/>
    <w:basedOn w:val="Normal"/>
    <w:next w:val="Normal"/>
    <w:link w:val="Heading5Char"/>
    <w:uiPriority w:val="9"/>
    <w:unhideWhenUsed/>
    <w:qFormat/>
    <w:rsid w:val="007564E0"/>
    <w:pPr>
      <w:keepNext/>
      <w:keepLines/>
      <w:spacing w:before="200" w:after="0" w:line="360" w:lineRule="auto"/>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unhideWhenUsed/>
    <w:qFormat/>
    <w:rsid w:val="007564E0"/>
    <w:pPr>
      <w:keepNext/>
      <w:keepLines/>
      <w:spacing w:before="200" w:after="0" w:line="360" w:lineRule="auto"/>
      <w:outlineLvl w:val="5"/>
    </w:pPr>
    <w:rPr>
      <w:rFonts w:asciiTheme="majorHAnsi" w:eastAsiaTheme="majorEastAsia" w:hAnsiTheme="majorHAnsi" w:cstheme="majorBidi"/>
      <w:i/>
      <w:iCs/>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87639"/>
  </w:style>
  <w:style w:type="character" w:customStyle="1" w:styleId="FootnoteTextChar">
    <w:name w:val="Footnote Text Char"/>
    <w:basedOn w:val="DefaultParagraphFont"/>
    <w:link w:val="FootnoteText"/>
    <w:uiPriority w:val="99"/>
    <w:rsid w:val="00887639"/>
    <w:rPr>
      <w:rFonts w:asciiTheme="majorHAnsi" w:eastAsiaTheme="minorEastAsia" w:hAnsiTheme="majorHAnsi"/>
      <w:sz w:val="24"/>
      <w:szCs w:val="24"/>
      <w:lang w:val="en-US"/>
    </w:rPr>
  </w:style>
  <w:style w:type="character" w:styleId="FootnoteReference">
    <w:name w:val="footnote reference"/>
    <w:basedOn w:val="DefaultParagraphFont"/>
    <w:uiPriority w:val="99"/>
    <w:unhideWhenUsed/>
    <w:rsid w:val="00887639"/>
    <w:rPr>
      <w:vertAlign w:val="superscript"/>
    </w:rPr>
  </w:style>
  <w:style w:type="character" w:customStyle="1" w:styleId="Heading1Char">
    <w:name w:val="Heading 1 Char"/>
    <w:basedOn w:val="DefaultParagraphFont"/>
    <w:link w:val="Heading1"/>
    <w:uiPriority w:val="9"/>
    <w:rsid w:val="001177D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BF0EFF"/>
    <w:rPr>
      <w:rFonts w:asciiTheme="majorHAnsi" w:eastAsiaTheme="majorEastAsia" w:hAnsiTheme="majorHAnsi" w:cstheme="majorBidi"/>
      <w:b/>
      <w:bCs/>
      <w:color w:val="000000" w:themeColor="text1"/>
      <w:sz w:val="26"/>
      <w:szCs w:val="26"/>
      <w:lang w:val="en-US"/>
    </w:rPr>
  </w:style>
  <w:style w:type="table" w:styleId="TableGrid">
    <w:name w:val="Table Grid"/>
    <w:basedOn w:val="TableNormal"/>
    <w:uiPriority w:val="59"/>
    <w:rsid w:val="001177D1"/>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uiPriority w:val="35"/>
    <w:unhideWhenUsed/>
    <w:qFormat/>
    <w:rsid w:val="00A81BB0"/>
    <w:pPr>
      <w:spacing w:after="200"/>
    </w:pPr>
    <w:rPr>
      <w:b/>
      <w:bCs/>
      <w:szCs w:val="22"/>
    </w:rPr>
  </w:style>
  <w:style w:type="paragraph" w:customStyle="1" w:styleId="Body">
    <w:name w:val="Body"/>
    <w:rsid w:val="001177D1"/>
    <w:pPr>
      <w:spacing w:after="0" w:line="240" w:lineRule="auto"/>
    </w:pPr>
    <w:rPr>
      <w:rFonts w:ascii="Helvetica" w:eastAsia="ヒラギノ角ゴ Pro W3" w:hAnsi="Helvetica" w:cs="Times New Roman"/>
      <w:color w:val="000000"/>
      <w:sz w:val="24"/>
      <w:szCs w:val="20"/>
      <w:lang w:val="en-US"/>
    </w:rPr>
  </w:style>
  <w:style w:type="character" w:customStyle="1" w:styleId="Heading3Char">
    <w:name w:val="Heading 3 Char"/>
    <w:basedOn w:val="DefaultParagraphFont"/>
    <w:link w:val="Heading3"/>
    <w:uiPriority w:val="9"/>
    <w:rsid w:val="001177D1"/>
    <w:rPr>
      <w:rFonts w:asciiTheme="majorHAnsi" w:eastAsiaTheme="majorEastAsia" w:hAnsiTheme="majorHAnsi" w:cstheme="majorBidi"/>
      <w:b/>
      <w:bCs/>
      <w:color w:val="4F81BD" w:themeColor="accent1"/>
      <w:szCs w:val="24"/>
      <w:lang w:val="en-US"/>
    </w:rPr>
  </w:style>
  <w:style w:type="paragraph" w:styleId="BalloonText">
    <w:name w:val="Balloon Text"/>
    <w:basedOn w:val="Normal"/>
    <w:link w:val="BalloonTextChar"/>
    <w:uiPriority w:val="99"/>
    <w:semiHidden/>
    <w:unhideWhenUsed/>
    <w:rsid w:val="001177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7D1"/>
    <w:rPr>
      <w:rFonts w:ascii="Tahoma" w:eastAsiaTheme="minorEastAsia" w:hAnsi="Tahoma" w:cs="Tahoma"/>
      <w:sz w:val="16"/>
      <w:szCs w:val="16"/>
      <w:lang w:val="en-US"/>
    </w:rPr>
  </w:style>
  <w:style w:type="character" w:customStyle="1" w:styleId="Heading4Char">
    <w:name w:val="Heading 4 Char"/>
    <w:basedOn w:val="DefaultParagraphFont"/>
    <w:link w:val="Heading4"/>
    <w:uiPriority w:val="9"/>
    <w:rsid w:val="007564E0"/>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uiPriority w:val="9"/>
    <w:rsid w:val="007564E0"/>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rsid w:val="007564E0"/>
    <w:rPr>
      <w:rFonts w:asciiTheme="majorHAnsi" w:eastAsiaTheme="majorEastAsia" w:hAnsiTheme="majorHAnsi" w:cstheme="majorBidi"/>
      <w:i/>
      <w:iCs/>
      <w:color w:val="243F60" w:themeColor="accent1" w:themeShade="7F"/>
      <w:sz w:val="24"/>
      <w:szCs w:val="24"/>
      <w:lang w:val="en-US"/>
    </w:rPr>
  </w:style>
  <w:style w:type="paragraph" w:styleId="TOCHeading">
    <w:name w:val="TOC Heading"/>
    <w:basedOn w:val="Heading1"/>
    <w:next w:val="Normal"/>
    <w:uiPriority w:val="39"/>
    <w:unhideWhenUsed/>
    <w:qFormat/>
    <w:rsid w:val="007564E0"/>
    <w:pPr>
      <w:spacing w:before="360" w:after="120" w:line="276" w:lineRule="auto"/>
      <w:outlineLvl w:val="9"/>
    </w:pPr>
    <w:rPr>
      <w:sz w:val="32"/>
    </w:rPr>
  </w:style>
  <w:style w:type="paragraph" w:styleId="TOC1">
    <w:name w:val="toc 1"/>
    <w:basedOn w:val="Normal"/>
    <w:next w:val="Normal"/>
    <w:autoRedefine/>
    <w:uiPriority w:val="39"/>
    <w:unhideWhenUsed/>
    <w:rsid w:val="007564E0"/>
    <w:pPr>
      <w:tabs>
        <w:tab w:val="right" w:leader="dot" w:pos="8290"/>
      </w:tabs>
      <w:spacing w:before="120" w:after="0" w:line="360" w:lineRule="auto"/>
    </w:pPr>
    <w:rPr>
      <w:rFonts w:asciiTheme="majorHAnsi" w:hAnsiTheme="majorHAnsi"/>
      <w:b/>
      <w:sz w:val="24"/>
    </w:rPr>
  </w:style>
  <w:style w:type="paragraph" w:styleId="TOC2">
    <w:name w:val="toc 2"/>
    <w:basedOn w:val="Normal"/>
    <w:next w:val="Normal"/>
    <w:autoRedefine/>
    <w:uiPriority w:val="39"/>
    <w:unhideWhenUsed/>
    <w:rsid w:val="007564E0"/>
    <w:pPr>
      <w:spacing w:after="0" w:line="360" w:lineRule="auto"/>
      <w:ind w:left="240"/>
    </w:pPr>
    <w:rPr>
      <w:rFonts w:asciiTheme="majorHAnsi" w:hAnsiTheme="majorHAnsi"/>
      <w:b/>
      <w:sz w:val="24"/>
      <w:szCs w:val="22"/>
    </w:rPr>
  </w:style>
  <w:style w:type="paragraph" w:styleId="TOC3">
    <w:name w:val="toc 3"/>
    <w:basedOn w:val="Normal"/>
    <w:next w:val="Normal"/>
    <w:autoRedefine/>
    <w:uiPriority w:val="39"/>
    <w:unhideWhenUsed/>
    <w:rsid w:val="007564E0"/>
    <w:pPr>
      <w:spacing w:after="0" w:line="360" w:lineRule="auto"/>
      <w:ind w:left="480"/>
    </w:pPr>
    <w:rPr>
      <w:rFonts w:asciiTheme="majorHAnsi" w:hAnsiTheme="majorHAnsi"/>
      <w:sz w:val="24"/>
      <w:szCs w:val="22"/>
    </w:rPr>
  </w:style>
  <w:style w:type="paragraph" w:styleId="TOC4">
    <w:name w:val="toc 4"/>
    <w:basedOn w:val="Normal"/>
    <w:next w:val="Normal"/>
    <w:autoRedefine/>
    <w:uiPriority w:val="39"/>
    <w:unhideWhenUsed/>
    <w:rsid w:val="007564E0"/>
    <w:pPr>
      <w:spacing w:after="0" w:line="360" w:lineRule="auto"/>
      <w:ind w:left="720"/>
    </w:pPr>
    <w:rPr>
      <w:rFonts w:asciiTheme="majorHAnsi" w:hAnsiTheme="majorHAnsi"/>
      <w:sz w:val="24"/>
      <w:szCs w:val="20"/>
    </w:rPr>
  </w:style>
  <w:style w:type="paragraph" w:styleId="TOC5">
    <w:name w:val="toc 5"/>
    <w:basedOn w:val="Normal"/>
    <w:next w:val="Normal"/>
    <w:autoRedefine/>
    <w:uiPriority w:val="39"/>
    <w:unhideWhenUsed/>
    <w:rsid w:val="007564E0"/>
    <w:pPr>
      <w:spacing w:after="0" w:line="360" w:lineRule="auto"/>
      <w:ind w:left="960"/>
    </w:pPr>
    <w:rPr>
      <w:rFonts w:asciiTheme="majorHAnsi" w:hAnsiTheme="majorHAnsi"/>
      <w:sz w:val="24"/>
      <w:szCs w:val="20"/>
    </w:rPr>
  </w:style>
  <w:style w:type="paragraph" w:styleId="TOC6">
    <w:name w:val="toc 6"/>
    <w:basedOn w:val="Normal"/>
    <w:next w:val="Normal"/>
    <w:autoRedefine/>
    <w:uiPriority w:val="39"/>
    <w:unhideWhenUsed/>
    <w:rsid w:val="007564E0"/>
    <w:pPr>
      <w:spacing w:after="0" w:line="360" w:lineRule="auto"/>
      <w:ind w:left="1200"/>
    </w:pPr>
    <w:rPr>
      <w:rFonts w:asciiTheme="majorHAnsi" w:hAnsiTheme="majorHAnsi"/>
      <w:sz w:val="24"/>
      <w:szCs w:val="20"/>
    </w:rPr>
  </w:style>
  <w:style w:type="paragraph" w:styleId="TOC7">
    <w:name w:val="toc 7"/>
    <w:basedOn w:val="Normal"/>
    <w:next w:val="Normal"/>
    <w:autoRedefine/>
    <w:uiPriority w:val="39"/>
    <w:unhideWhenUsed/>
    <w:rsid w:val="007564E0"/>
    <w:pPr>
      <w:spacing w:after="0" w:line="360" w:lineRule="auto"/>
      <w:ind w:left="1440"/>
    </w:pPr>
    <w:rPr>
      <w:rFonts w:asciiTheme="majorHAnsi" w:hAnsiTheme="majorHAnsi"/>
      <w:sz w:val="24"/>
      <w:szCs w:val="20"/>
    </w:rPr>
  </w:style>
  <w:style w:type="paragraph" w:styleId="TOC8">
    <w:name w:val="toc 8"/>
    <w:basedOn w:val="Normal"/>
    <w:next w:val="Normal"/>
    <w:autoRedefine/>
    <w:uiPriority w:val="39"/>
    <w:unhideWhenUsed/>
    <w:rsid w:val="007564E0"/>
    <w:pPr>
      <w:spacing w:after="0" w:line="360" w:lineRule="auto"/>
      <w:ind w:left="1680"/>
    </w:pPr>
    <w:rPr>
      <w:rFonts w:asciiTheme="majorHAnsi" w:hAnsiTheme="majorHAnsi"/>
      <w:sz w:val="24"/>
      <w:szCs w:val="20"/>
    </w:rPr>
  </w:style>
  <w:style w:type="paragraph" w:styleId="TOC9">
    <w:name w:val="toc 9"/>
    <w:basedOn w:val="Normal"/>
    <w:next w:val="Normal"/>
    <w:autoRedefine/>
    <w:uiPriority w:val="39"/>
    <w:unhideWhenUsed/>
    <w:rsid w:val="007564E0"/>
    <w:pPr>
      <w:spacing w:after="0" w:line="360" w:lineRule="auto"/>
      <w:ind w:left="1920"/>
    </w:pPr>
    <w:rPr>
      <w:rFonts w:asciiTheme="majorHAnsi" w:hAnsiTheme="majorHAnsi"/>
      <w:sz w:val="24"/>
      <w:szCs w:val="20"/>
    </w:rPr>
  </w:style>
  <w:style w:type="paragraph" w:styleId="TableofFigures">
    <w:name w:val="table of figures"/>
    <w:basedOn w:val="Normal"/>
    <w:next w:val="Normal"/>
    <w:uiPriority w:val="99"/>
    <w:unhideWhenUsed/>
    <w:rsid w:val="007564E0"/>
    <w:pPr>
      <w:spacing w:after="0" w:line="360" w:lineRule="auto"/>
    </w:pPr>
    <w:rPr>
      <w:rFonts w:asciiTheme="majorHAnsi" w:hAnsiTheme="majorHAnsi"/>
      <w:sz w:val="24"/>
    </w:rPr>
  </w:style>
  <w:style w:type="character" w:styleId="SubtleEmphasis">
    <w:name w:val="Subtle Emphasis"/>
    <w:basedOn w:val="DefaultParagraphFont"/>
    <w:uiPriority w:val="19"/>
    <w:qFormat/>
    <w:rsid w:val="007564E0"/>
    <w:rPr>
      <w:i/>
      <w:iCs/>
      <w:color w:val="808080" w:themeColor="text1" w:themeTint="7F"/>
    </w:rPr>
  </w:style>
  <w:style w:type="character" w:styleId="Strong">
    <w:name w:val="Strong"/>
    <w:basedOn w:val="DefaultParagraphFont"/>
    <w:uiPriority w:val="22"/>
    <w:qFormat/>
    <w:rsid w:val="007564E0"/>
    <w:rPr>
      <w:b/>
      <w:bCs/>
    </w:rPr>
  </w:style>
  <w:style w:type="paragraph" w:styleId="ListParagraph">
    <w:name w:val="List Paragraph"/>
    <w:basedOn w:val="Normal"/>
    <w:uiPriority w:val="34"/>
    <w:qFormat/>
    <w:rsid w:val="007564E0"/>
    <w:pPr>
      <w:spacing w:after="0" w:line="360" w:lineRule="auto"/>
      <w:ind w:left="720"/>
      <w:contextualSpacing/>
    </w:pPr>
    <w:rPr>
      <w:rFonts w:asciiTheme="majorHAnsi" w:hAnsiTheme="majorHAnsi"/>
      <w:sz w:val="24"/>
    </w:rPr>
  </w:style>
  <w:style w:type="paragraph" w:styleId="Footer">
    <w:name w:val="footer"/>
    <w:basedOn w:val="Normal"/>
    <w:link w:val="FooterChar"/>
    <w:uiPriority w:val="99"/>
    <w:unhideWhenUsed/>
    <w:rsid w:val="007564E0"/>
    <w:pPr>
      <w:tabs>
        <w:tab w:val="center" w:pos="4320"/>
        <w:tab w:val="right" w:pos="8640"/>
      </w:tabs>
      <w:spacing w:after="0"/>
    </w:pPr>
    <w:rPr>
      <w:rFonts w:asciiTheme="majorHAnsi" w:hAnsiTheme="majorHAnsi"/>
      <w:sz w:val="24"/>
    </w:rPr>
  </w:style>
  <w:style w:type="character" w:customStyle="1" w:styleId="FooterChar">
    <w:name w:val="Footer Char"/>
    <w:basedOn w:val="DefaultParagraphFont"/>
    <w:link w:val="Footer"/>
    <w:uiPriority w:val="99"/>
    <w:rsid w:val="007564E0"/>
    <w:rPr>
      <w:rFonts w:asciiTheme="majorHAnsi" w:eastAsiaTheme="minorEastAsia" w:hAnsiTheme="majorHAnsi"/>
      <w:sz w:val="24"/>
      <w:szCs w:val="24"/>
      <w:lang w:val="en-US"/>
    </w:rPr>
  </w:style>
  <w:style w:type="character" w:styleId="PageNumber">
    <w:name w:val="page number"/>
    <w:basedOn w:val="DefaultParagraphFont"/>
    <w:uiPriority w:val="99"/>
    <w:semiHidden/>
    <w:unhideWhenUsed/>
    <w:rsid w:val="007564E0"/>
  </w:style>
  <w:style w:type="paragraph" w:customStyle="1" w:styleId="FreeForm">
    <w:name w:val="Free Form"/>
    <w:rsid w:val="007564E0"/>
    <w:pPr>
      <w:spacing w:after="0" w:line="240" w:lineRule="auto"/>
    </w:pPr>
    <w:rPr>
      <w:rFonts w:ascii="Helvetica" w:eastAsia="ヒラギノ角ゴ Pro W3" w:hAnsi="Helvetica" w:cs="Times New Roman"/>
      <w:color w:val="000000"/>
      <w:sz w:val="24"/>
      <w:szCs w:val="20"/>
      <w:lang w:val="en-US"/>
    </w:rPr>
  </w:style>
  <w:style w:type="character" w:customStyle="1" w:styleId="Hyperlink1">
    <w:name w:val="Hyperlink1"/>
    <w:rsid w:val="007564E0"/>
    <w:rPr>
      <w:color w:val="0000FF"/>
      <w:sz w:val="20"/>
      <w:u w:val="single"/>
    </w:rPr>
  </w:style>
  <w:style w:type="character" w:styleId="Hyperlink">
    <w:name w:val="Hyperlink"/>
    <w:basedOn w:val="DefaultParagraphFont"/>
    <w:uiPriority w:val="99"/>
    <w:unhideWhenUsed/>
    <w:rsid w:val="007564E0"/>
    <w:rPr>
      <w:color w:val="0000FF" w:themeColor="hyperlink"/>
      <w:u w:val="single"/>
    </w:rPr>
  </w:style>
  <w:style w:type="character" w:styleId="FollowedHyperlink">
    <w:name w:val="FollowedHyperlink"/>
    <w:basedOn w:val="DefaultParagraphFont"/>
    <w:uiPriority w:val="99"/>
    <w:semiHidden/>
    <w:unhideWhenUsed/>
    <w:rsid w:val="007564E0"/>
    <w:rPr>
      <w:color w:val="800080" w:themeColor="followedHyperlink"/>
      <w:u w:val="single"/>
    </w:rPr>
  </w:style>
  <w:style w:type="paragraph" w:styleId="Header">
    <w:name w:val="header"/>
    <w:basedOn w:val="Normal"/>
    <w:link w:val="HeaderChar"/>
    <w:uiPriority w:val="99"/>
    <w:unhideWhenUsed/>
    <w:rsid w:val="007564E0"/>
    <w:pPr>
      <w:tabs>
        <w:tab w:val="center" w:pos="4320"/>
        <w:tab w:val="right" w:pos="8640"/>
      </w:tabs>
      <w:spacing w:after="0"/>
    </w:pPr>
    <w:rPr>
      <w:rFonts w:asciiTheme="majorHAnsi" w:hAnsiTheme="majorHAnsi"/>
      <w:sz w:val="24"/>
    </w:rPr>
  </w:style>
  <w:style w:type="character" w:customStyle="1" w:styleId="HeaderChar">
    <w:name w:val="Header Char"/>
    <w:basedOn w:val="DefaultParagraphFont"/>
    <w:link w:val="Header"/>
    <w:uiPriority w:val="99"/>
    <w:rsid w:val="007564E0"/>
    <w:rPr>
      <w:rFonts w:asciiTheme="majorHAnsi" w:eastAsiaTheme="minorEastAsia" w:hAnsiTheme="majorHAnsi"/>
      <w:sz w:val="24"/>
      <w:szCs w:val="24"/>
      <w:lang w:val="en-US"/>
    </w:rPr>
  </w:style>
  <w:style w:type="numbering" w:styleId="111111">
    <w:name w:val="Outline List 2"/>
    <w:basedOn w:val="NoList"/>
    <w:uiPriority w:val="99"/>
    <w:semiHidden/>
    <w:unhideWhenUsed/>
    <w:rsid w:val="007564E0"/>
    <w:pPr>
      <w:numPr>
        <w:numId w:val="2"/>
      </w:numPr>
    </w:pPr>
  </w:style>
  <w:style w:type="paragraph" w:styleId="CommentText">
    <w:name w:val="annotation text"/>
    <w:basedOn w:val="Normal"/>
    <w:link w:val="CommentTextChar"/>
    <w:uiPriority w:val="99"/>
    <w:unhideWhenUsed/>
    <w:rsid w:val="007564E0"/>
    <w:pPr>
      <w:spacing w:after="0"/>
    </w:pPr>
    <w:rPr>
      <w:rFonts w:ascii="Arial" w:hAnsi="Arial"/>
      <w:sz w:val="20"/>
      <w:szCs w:val="20"/>
    </w:rPr>
  </w:style>
  <w:style w:type="character" w:customStyle="1" w:styleId="CommentTextChar">
    <w:name w:val="Comment Text Char"/>
    <w:basedOn w:val="DefaultParagraphFont"/>
    <w:link w:val="CommentText"/>
    <w:uiPriority w:val="99"/>
    <w:rsid w:val="007564E0"/>
    <w:rPr>
      <w:rFonts w:ascii="Arial" w:eastAsiaTheme="minorEastAsia" w:hAnsi="Arial"/>
      <w:sz w:val="20"/>
      <w:szCs w:val="20"/>
      <w:lang w:val="en-US"/>
    </w:rPr>
  </w:style>
  <w:style w:type="paragraph" w:customStyle="1" w:styleId="caption2">
    <w:name w:val="caption 2"/>
    <w:basedOn w:val="Caption"/>
    <w:qFormat/>
    <w:rsid w:val="007564E0"/>
    <w:rPr>
      <w:sz w:val="26"/>
    </w:rPr>
  </w:style>
  <w:style w:type="character" w:styleId="CommentReference">
    <w:name w:val="annotation reference"/>
    <w:basedOn w:val="DefaultParagraphFont"/>
    <w:uiPriority w:val="99"/>
    <w:semiHidden/>
    <w:unhideWhenUsed/>
    <w:rsid w:val="00D869A5"/>
    <w:rPr>
      <w:sz w:val="16"/>
      <w:szCs w:val="16"/>
    </w:rPr>
  </w:style>
  <w:style w:type="paragraph" w:styleId="CommentSubject">
    <w:name w:val="annotation subject"/>
    <w:basedOn w:val="CommentText"/>
    <w:next w:val="CommentText"/>
    <w:link w:val="CommentSubjectChar"/>
    <w:uiPriority w:val="99"/>
    <w:semiHidden/>
    <w:unhideWhenUsed/>
    <w:rsid w:val="00D869A5"/>
    <w:pPr>
      <w:spacing w:after="240"/>
    </w:pPr>
    <w:rPr>
      <w:rFonts w:asciiTheme="minorHAnsi" w:hAnsiTheme="minorHAnsi"/>
      <w:b/>
      <w:bCs/>
    </w:rPr>
  </w:style>
  <w:style w:type="character" w:customStyle="1" w:styleId="CommentSubjectChar">
    <w:name w:val="Comment Subject Char"/>
    <w:basedOn w:val="CommentTextChar"/>
    <w:link w:val="CommentSubject"/>
    <w:uiPriority w:val="99"/>
    <w:semiHidden/>
    <w:rsid w:val="00D869A5"/>
    <w:rPr>
      <w:rFonts w:ascii="Arial" w:eastAsiaTheme="minorEastAsia" w:hAnsi="Arial"/>
      <w:b/>
      <w:bCs/>
      <w:sz w:val="20"/>
      <w:szCs w:val="20"/>
      <w:lang w:val="en-US"/>
    </w:rPr>
  </w:style>
  <w:style w:type="paragraph" w:styleId="Revision">
    <w:name w:val="Revision"/>
    <w:hidden/>
    <w:uiPriority w:val="99"/>
    <w:semiHidden/>
    <w:rsid w:val="00B04FFD"/>
    <w:pPr>
      <w:spacing w:after="0" w:line="240" w:lineRule="auto"/>
    </w:pPr>
    <w:rPr>
      <w:rFonts w:eastAsiaTheme="minorEastAsia"/>
      <w:szCs w:val="24"/>
      <w:lang w:val="en-US"/>
    </w:rPr>
  </w:style>
  <w:style w:type="character" w:customStyle="1" w:styleId="apple-converted-space">
    <w:name w:val="apple-converted-space"/>
    <w:basedOn w:val="DefaultParagraphFont"/>
    <w:rsid w:val="0066755D"/>
  </w:style>
  <w:style w:type="paragraph" w:styleId="EndnoteText">
    <w:name w:val="endnote text"/>
    <w:basedOn w:val="Normal"/>
    <w:link w:val="EndnoteTextChar"/>
    <w:uiPriority w:val="99"/>
    <w:unhideWhenUsed/>
    <w:rsid w:val="00097B6F"/>
    <w:pPr>
      <w:spacing w:after="0"/>
    </w:pPr>
    <w:rPr>
      <w:sz w:val="20"/>
      <w:szCs w:val="20"/>
    </w:rPr>
  </w:style>
  <w:style w:type="character" w:customStyle="1" w:styleId="EndnoteTextChar">
    <w:name w:val="Endnote Text Char"/>
    <w:basedOn w:val="DefaultParagraphFont"/>
    <w:link w:val="EndnoteText"/>
    <w:uiPriority w:val="99"/>
    <w:rsid w:val="00097B6F"/>
    <w:rPr>
      <w:rFonts w:eastAsiaTheme="minorEastAsia"/>
      <w:sz w:val="20"/>
      <w:szCs w:val="20"/>
      <w:lang w:val="en-US"/>
    </w:rPr>
  </w:style>
  <w:style w:type="character" w:styleId="EndnoteReference">
    <w:name w:val="endnote reference"/>
    <w:basedOn w:val="DefaultParagraphFont"/>
    <w:uiPriority w:val="99"/>
    <w:unhideWhenUsed/>
    <w:rsid w:val="00097B6F"/>
    <w:rPr>
      <w:vertAlign w:val="superscript"/>
    </w:rPr>
  </w:style>
  <w:style w:type="character" w:styleId="LineNumber">
    <w:name w:val="line number"/>
    <w:basedOn w:val="DefaultParagraphFont"/>
    <w:uiPriority w:val="99"/>
    <w:semiHidden/>
    <w:unhideWhenUsed/>
    <w:rsid w:val="00EC5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7830">
      <w:bodyDiv w:val="1"/>
      <w:marLeft w:val="0"/>
      <w:marRight w:val="0"/>
      <w:marTop w:val="0"/>
      <w:marBottom w:val="0"/>
      <w:divBdr>
        <w:top w:val="none" w:sz="0" w:space="0" w:color="auto"/>
        <w:left w:val="none" w:sz="0" w:space="0" w:color="auto"/>
        <w:bottom w:val="none" w:sz="0" w:space="0" w:color="auto"/>
        <w:right w:val="none" w:sz="0" w:space="0" w:color="auto"/>
      </w:divBdr>
      <w:divsChild>
        <w:div w:id="166092148">
          <w:marLeft w:val="547"/>
          <w:marRight w:val="0"/>
          <w:marTop w:val="0"/>
          <w:marBottom w:val="0"/>
          <w:divBdr>
            <w:top w:val="none" w:sz="0" w:space="0" w:color="auto"/>
            <w:left w:val="none" w:sz="0" w:space="0" w:color="auto"/>
            <w:bottom w:val="none" w:sz="0" w:space="0" w:color="auto"/>
            <w:right w:val="none" w:sz="0" w:space="0" w:color="auto"/>
          </w:divBdr>
        </w:div>
        <w:div w:id="911356578">
          <w:marLeft w:val="547"/>
          <w:marRight w:val="0"/>
          <w:marTop w:val="0"/>
          <w:marBottom w:val="0"/>
          <w:divBdr>
            <w:top w:val="none" w:sz="0" w:space="0" w:color="auto"/>
            <w:left w:val="none" w:sz="0" w:space="0" w:color="auto"/>
            <w:bottom w:val="none" w:sz="0" w:space="0" w:color="auto"/>
            <w:right w:val="none" w:sz="0" w:space="0" w:color="auto"/>
          </w:divBdr>
        </w:div>
      </w:divsChild>
    </w:div>
    <w:div w:id="216286485">
      <w:bodyDiv w:val="1"/>
      <w:marLeft w:val="0"/>
      <w:marRight w:val="0"/>
      <w:marTop w:val="0"/>
      <w:marBottom w:val="0"/>
      <w:divBdr>
        <w:top w:val="none" w:sz="0" w:space="0" w:color="auto"/>
        <w:left w:val="none" w:sz="0" w:space="0" w:color="auto"/>
        <w:bottom w:val="none" w:sz="0" w:space="0" w:color="auto"/>
        <w:right w:val="none" w:sz="0" w:space="0" w:color="auto"/>
      </w:divBdr>
    </w:div>
    <w:div w:id="336885277">
      <w:bodyDiv w:val="1"/>
      <w:marLeft w:val="0"/>
      <w:marRight w:val="0"/>
      <w:marTop w:val="0"/>
      <w:marBottom w:val="0"/>
      <w:divBdr>
        <w:top w:val="none" w:sz="0" w:space="0" w:color="auto"/>
        <w:left w:val="none" w:sz="0" w:space="0" w:color="auto"/>
        <w:bottom w:val="none" w:sz="0" w:space="0" w:color="auto"/>
        <w:right w:val="none" w:sz="0" w:space="0" w:color="auto"/>
      </w:divBdr>
    </w:div>
    <w:div w:id="560795456">
      <w:bodyDiv w:val="1"/>
      <w:marLeft w:val="0"/>
      <w:marRight w:val="0"/>
      <w:marTop w:val="0"/>
      <w:marBottom w:val="0"/>
      <w:divBdr>
        <w:top w:val="none" w:sz="0" w:space="0" w:color="auto"/>
        <w:left w:val="none" w:sz="0" w:space="0" w:color="auto"/>
        <w:bottom w:val="none" w:sz="0" w:space="0" w:color="auto"/>
        <w:right w:val="none" w:sz="0" w:space="0" w:color="auto"/>
      </w:divBdr>
    </w:div>
    <w:div w:id="1346665058">
      <w:bodyDiv w:val="1"/>
      <w:marLeft w:val="0"/>
      <w:marRight w:val="0"/>
      <w:marTop w:val="0"/>
      <w:marBottom w:val="0"/>
      <w:divBdr>
        <w:top w:val="none" w:sz="0" w:space="0" w:color="auto"/>
        <w:left w:val="none" w:sz="0" w:space="0" w:color="auto"/>
        <w:bottom w:val="none" w:sz="0" w:space="0" w:color="auto"/>
        <w:right w:val="none" w:sz="0" w:space="0" w:color="auto"/>
      </w:divBdr>
      <w:divsChild>
        <w:div w:id="460734641">
          <w:marLeft w:val="547"/>
          <w:marRight w:val="0"/>
          <w:marTop w:val="0"/>
          <w:marBottom w:val="0"/>
          <w:divBdr>
            <w:top w:val="none" w:sz="0" w:space="0" w:color="auto"/>
            <w:left w:val="none" w:sz="0" w:space="0" w:color="auto"/>
            <w:bottom w:val="none" w:sz="0" w:space="0" w:color="auto"/>
            <w:right w:val="none" w:sz="0" w:space="0" w:color="auto"/>
          </w:divBdr>
        </w:div>
        <w:div w:id="578948065">
          <w:marLeft w:val="547"/>
          <w:marRight w:val="0"/>
          <w:marTop w:val="0"/>
          <w:marBottom w:val="0"/>
          <w:divBdr>
            <w:top w:val="none" w:sz="0" w:space="0" w:color="auto"/>
            <w:left w:val="none" w:sz="0" w:space="0" w:color="auto"/>
            <w:bottom w:val="none" w:sz="0" w:space="0" w:color="auto"/>
            <w:right w:val="none" w:sz="0" w:space="0" w:color="auto"/>
          </w:divBdr>
        </w:div>
      </w:divsChild>
    </w:div>
    <w:div w:id="1399549924">
      <w:bodyDiv w:val="1"/>
      <w:marLeft w:val="0"/>
      <w:marRight w:val="0"/>
      <w:marTop w:val="0"/>
      <w:marBottom w:val="0"/>
      <w:divBdr>
        <w:top w:val="none" w:sz="0" w:space="0" w:color="auto"/>
        <w:left w:val="none" w:sz="0" w:space="0" w:color="auto"/>
        <w:bottom w:val="none" w:sz="0" w:space="0" w:color="auto"/>
        <w:right w:val="none" w:sz="0" w:space="0" w:color="auto"/>
      </w:divBdr>
    </w:div>
    <w:div w:id="1420442606">
      <w:bodyDiv w:val="1"/>
      <w:marLeft w:val="0"/>
      <w:marRight w:val="0"/>
      <w:marTop w:val="0"/>
      <w:marBottom w:val="0"/>
      <w:divBdr>
        <w:top w:val="none" w:sz="0" w:space="0" w:color="auto"/>
        <w:left w:val="none" w:sz="0" w:space="0" w:color="auto"/>
        <w:bottom w:val="none" w:sz="0" w:space="0" w:color="auto"/>
        <w:right w:val="none" w:sz="0" w:space="0" w:color="auto"/>
      </w:divBdr>
    </w:div>
    <w:div w:id="1787120743">
      <w:bodyDiv w:val="1"/>
      <w:marLeft w:val="0"/>
      <w:marRight w:val="0"/>
      <w:marTop w:val="0"/>
      <w:marBottom w:val="0"/>
      <w:divBdr>
        <w:top w:val="none" w:sz="0" w:space="0" w:color="auto"/>
        <w:left w:val="none" w:sz="0" w:space="0" w:color="auto"/>
        <w:bottom w:val="none" w:sz="0" w:space="0" w:color="auto"/>
        <w:right w:val="none" w:sz="0" w:space="0" w:color="auto"/>
      </w:divBdr>
      <w:divsChild>
        <w:div w:id="969868065">
          <w:marLeft w:val="547"/>
          <w:marRight w:val="0"/>
          <w:marTop w:val="0"/>
          <w:marBottom w:val="0"/>
          <w:divBdr>
            <w:top w:val="none" w:sz="0" w:space="0" w:color="auto"/>
            <w:left w:val="none" w:sz="0" w:space="0" w:color="auto"/>
            <w:bottom w:val="none" w:sz="0" w:space="0" w:color="auto"/>
            <w:right w:val="none" w:sz="0" w:space="0" w:color="auto"/>
          </w:divBdr>
        </w:div>
        <w:div w:id="175308946">
          <w:marLeft w:val="547"/>
          <w:marRight w:val="0"/>
          <w:marTop w:val="0"/>
          <w:marBottom w:val="0"/>
          <w:divBdr>
            <w:top w:val="none" w:sz="0" w:space="0" w:color="auto"/>
            <w:left w:val="none" w:sz="0" w:space="0" w:color="auto"/>
            <w:bottom w:val="none" w:sz="0" w:space="0" w:color="auto"/>
            <w:right w:val="none" w:sz="0" w:space="0" w:color="auto"/>
          </w:divBdr>
        </w:div>
      </w:divsChild>
    </w:div>
    <w:div w:id="2093239484">
      <w:bodyDiv w:val="1"/>
      <w:marLeft w:val="0"/>
      <w:marRight w:val="0"/>
      <w:marTop w:val="0"/>
      <w:marBottom w:val="0"/>
      <w:divBdr>
        <w:top w:val="none" w:sz="0" w:space="0" w:color="auto"/>
        <w:left w:val="none" w:sz="0" w:space="0" w:color="auto"/>
        <w:bottom w:val="none" w:sz="0" w:space="0" w:color="auto"/>
        <w:right w:val="none" w:sz="0" w:space="0" w:color="auto"/>
      </w:divBdr>
    </w:div>
    <w:div w:id="211347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2.emf"/><Relationship Id="rId26" Type="http://schemas.openxmlformats.org/officeDocument/2006/relationships/hyperlink" Target="http://www.decc.gov.uk/en/content/cms/tackling/2050/calculator_on/calculator_on.aspx" TargetMode="External"/><Relationship Id="rId39" Type="http://schemas.openxmlformats.org/officeDocument/2006/relationships/hyperlink" Target="http://www.decc.gov.uk/assets/decc/11/tackling-climate-change/2050/3681-my2050-simulation-analysis-may-2011.pdf" TargetMode="External"/><Relationship Id="rId3" Type="http://schemas.openxmlformats.org/officeDocument/2006/relationships/styles" Target="styles.xml"/><Relationship Id="rId21" Type="http://schemas.openxmlformats.org/officeDocument/2006/relationships/hyperlink" Target="http://www.parliament.uk/briefing-papers/SN04370" TargetMode="External"/><Relationship Id="rId34" Type="http://schemas.openxmlformats.org/officeDocument/2006/relationships/hyperlink" Target="http://www.energysavingtrust.org.uk/Media/Generate-your-own-energy/PDFs/Full-heat-pump-field-trial-report" TargetMode="External"/><Relationship Id="rId42" Type="http://schemas.openxmlformats.org/officeDocument/2006/relationships/hyperlink" Target="http://www.bwea.com/ref/surveys.html" TargetMode="External"/><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countryguardian.net/" TargetMode="External"/><Relationship Id="rId33" Type="http://schemas.openxmlformats.org/officeDocument/2006/relationships/hyperlink" Target="http://assets.dft.gov.uk/statistics/releases/public-attitudes-climate-change-2010/climate-change-2010-report.pdf" TargetMode="External"/><Relationship Id="rId38" Type="http://schemas.openxmlformats.org/officeDocument/2006/relationships/hyperlink" Target="http://www.decc.gov.uk/assets/decc/What%20we%20do/A%20low%20carbon%20UK/2050/216-2050-pathways-analysis-report.p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3.emf"/><Relationship Id="rId29" Type="http://schemas.openxmlformats.org/officeDocument/2006/relationships/hyperlink" Target="http://my2050.decc.gov.uk/" TargetMode="External"/><Relationship Id="rId41" Type="http://schemas.openxmlformats.org/officeDocument/2006/relationships/hyperlink" Target="http://www.involve.org.uk/wp-content/uploads/2011/03/Deliberative-public-engagement-nine-principle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webarchive.nationalarchives.gov.uk/20100413203302/http://www.dft.gov.uk/pgr/scienceresearch/social/behaviour-changes/pdf/questions.pdf" TargetMode="External"/><Relationship Id="rId32" Type="http://schemas.openxmlformats.org/officeDocument/2006/relationships/hyperlink" Target="http://www.defra.gov.uk/statistics/environment/public-attitude/" TargetMode="External"/><Relationship Id="rId37" Type="http://schemas.openxmlformats.org/officeDocument/2006/relationships/hyperlink" Target="http://webarchive.nationalarchives.gov.uk/+/http://www.bis.gov.uk/files/file47158.pdf" TargetMode="External"/><Relationship Id="rId40" Type="http://schemas.openxmlformats.org/officeDocument/2006/relationships/hyperlink" Target="http://www.c2p2online.com/documents/MotivatingSC.pdf" TargetMode="External"/><Relationship Id="rId45" Type="http://schemas.openxmlformats.org/officeDocument/2006/relationships/hyperlink" Target="http://cdn.yougov.com/cumulus_uploads/document/gm4jg0973n/Sunday%20Times%20Results%20111125%20VI%20and%20Trackers.pdf"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http://www.zerocarbonbritain.org/" TargetMode="External"/><Relationship Id="rId28" Type="http://schemas.openxmlformats.org/officeDocument/2006/relationships/hyperlink" Target="http://www.decc.gov.uk/en/content/cms/tackling/2050/2050.aspx" TargetMode="External"/><Relationship Id="rId36" Type="http://schemas.openxmlformats.org/officeDocument/2006/relationships/hyperlink" Target="http://www.legislation.gov.uk/ukpga/2008/27/pdfs/ukpga_20080027_en.pdf" TargetMode="External"/><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chart" Target="charts/chart8.xml"/><Relationship Id="rId31" Type="http://schemas.openxmlformats.org/officeDocument/2006/relationships/hyperlink" Target="http://www.decc.gov.uk/en/content/cms/news/2050_sim/2050_sim.aspx" TargetMode="External"/><Relationship Id="rId44" Type="http://schemas.openxmlformats.org/officeDocument/2006/relationships/hyperlink" Target="http://www.ippr.org/publication/55/1608/80-challenge-delivering-a-low-carbon-uk" TargetMode="External"/><Relationship Id="rId4" Type="http://schemas.microsoft.com/office/2007/relationships/stylesWithEffects" Target="stylesWithEffects.xml"/><Relationship Id="rId9" Type="http://schemas.openxmlformats.org/officeDocument/2006/relationships/hyperlink" Target="mailto:tim.chatterton@uwe.ac.uk" TargetMode="External"/><Relationship Id="rId14" Type="http://schemas.openxmlformats.org/officeDocument/2006/relationships/chart" Target="charts/chart4.xml"/><Relationship Id="rId22" Type="http://schemas.openxmlformats.org/officeDocument/2006/relationships/hyperlink" Target="http://www.sciencewise-erc.org.uk/cms/assets/Uploads/Publications/What-the-public-say-about-climate-change.pdf" TargetMode="External"/><Relationship Id="rId27" Type="http://schemas.openxmlformats.org/officeDocument/2006/relationships/hyperlink" Target="http://www.decc.gov.uk/assets/decc/11/tackling-climate-change/carbon-plan/3702-the-carbon-plan-delivering-our-low-carbon-future.pdf" TargetMode="External"/><Relationship Id="rId30" Type="http://schemas.openxmlformats.org/officeDocument/2006/relationships/hyperlink" Target="http://www.decc.gov.uk/assets/decc/11/tackling-climate-change/2050/3670-2050-schools-toolkit-pdf-version.pdf" TargetMode="External"/><Relationship Id="rId35" Type="http://schemas.openxmlformats.org/officeDocument/2006/relationships/hyperlink" Target="http://ec.europa.eu/public_opinion/flash/fl206a_en.pdf" TargetMode="External"/><Relationship Id="rId43" Type="http://schemas.openxmlformats.org/officeDocument/2006/relationships/hyperlink" Target="http://stopnewnuclear.org.uk/" TargetMode="External"/><Relationship Id="rId48" Type="http://schemas.openxmlformats.org/officeDocument/2006/relationships/fontTable" Target="fontTable.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2" Type="http://schemas.openxmlformats.org/officeDocument/2006/relationships/hyperlink" Target="http://www.guardian.co.uk/environment/2011/oct/21/electric-car-uk-sales-sputter" TargetMode="External"/><Relationship Id="rId1" Type="http://schemas.openxmlformats.org/officeDocument/2006/relationships/hyperlink" Target="http://2050pathway-en.chinaenergyoutlook.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tricia:Documents:UWE:Dissertation:dissertation%20document:excel%20file%20for%20graphs%20and%20tables%20for%20dissertation%20document%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tricia:Documents:UWE:Dissertation:dissertation%20document:excel%20file%20for%20graphs%20and%20tables%20for%20dissertation%20document%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tricia:Documents:UWE:Dissertation:dissertation%20document:excel%20file%20for%20graphs%20and%20tables%20for%20dissertation%20document%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tricia:Documents:UWE:Dissertation:dissertation%20document:excel%20file%20for%20graphs%20and%20tables%20for%20dissertation%20document%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tricia:Documents:UWE:Dissertation:dissertation%20document:excel%20file%20for%20graphs%20and%20tables%20for%20dissertation%20document%2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tricia:Documents:UWE:Dissertation:dissertation%20document:excel%20file%20for%20graphs%20and%20tables%20for%20dissertation%20document%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tricia:Documents:UWE:Dissertation:dissertation%20document:excel%20file%20for%20graphs%20and%20tables%20for%20dissertation%20document%2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tricia:Documents:UWE:Dissertation:paper%20for%20publication:xls%20for%20all%20graphs%20and%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radarChart>
        <c:radarStyle val="marker"/>
        <c:varyColors val="0"/>
        <c:ser>
          <c:idx val="0"/>
          <c:order val="0"/>
          <c:tx>
            <c:strRef>
              <c:f>various!$C$372</c:f>
              <c:strCache>
                <c:ptCount val="1"/>
                <c:pt idx="0">
                  <c:v>Percentage of 'My2050' respondents in each age group</c:v>
                </c:pt>
              </c:strCache>
            </c:strRef>
          </c:tx>
          <c:spPr>
            <a:ln w="25400">
              <a:solidFill>
                <a:schemeClr val="tx1">
                  <a:lumMod val="95000"/>
                  <a:lumOff val="5000"/>
                </a:schemeClr>
              </a:solidFill>
              <a:prstDash val="solid"/>
            </a:ln>
          </c:spPr>
          <c:marker>
            <c:symbol val="none"/>
          </c:marker>
          <c:cat>
            <c:strRef>
              <c:f>various!$B$373:$B$379</c:f>
              <c:strCache>
                <c:ptCount val="7"/>
                <c:pt idx="0">
                  <c:v>Under 16</c:v>
                </c:pt>
                <c:pt idx="1">
                  <c:v>16-18</c:v>
                </c:pt>
                <c:pt idx="2">
                  <c:v>19-21</c:v>
                </c:pt>
                <c:pt idx="3">
                  <c:v>22-24</c:v>
                </c:pt>
                <c:pt idx="4">
                  <c:v>25-45</c:v>
                </c:pt>
                <c:pt idx="5">
                  <c:v>46-65</c:v>
                </c:pt>
                <c:pt idx="6">
                  <c:v>Over 65</c:v>
                </c:pt>
              </c:strCache>
            </c:strRef>
          </c:cat>
          <c:val>
            <c:numRef>
              <c:f>various!$C$373:$C$379</c:f>
              <c:numCache>
                <c:formatCode>0.00%</c:formatCode>
                <c:ptCount val="7"/>
                <c:pt idx="0">
                  <c:v>0.122</c:v>
                </c:pt>
                <c:pt idx="1">
                  <c:v>8.1000000000000003E-2</c:v>
                </c:pt>
                <c:pt idx="2">
                  <c:v>0.11</c:v>
                </c:pt>
                <c:pt idx="3">
                  <c:v>0.112</c:v>
                </c:pt>
                <c:pt idx="4">
                  <c:v>0.42199999999999999</c:v>
                </c:pt>
                <c:pt idx="5">
                  <c:v>0.13700000000000001</c:v>
                </c:pt>
                <c:pt idx="6">
                  <c:v>1.6E-2</c:v>
                </c:pt>
              </c:numCache>
            </c:numRef>
          </c:val>
        </c:ser>
        <c:ser>
          <c:idx val="1"/>
          <c:order val="1"/>
          <c:tx>
            <c:strRef>
              <c:f>various!$D$372</c:f>
              <c:strCache>
                <c:ptCount val="1"/>
                <c:pt idx="0">
                  <c:v>Percentage of UK population in equivalent age group</c:v>
                </c:pt>
              </c:strCache>
            </c:strRef>
          </c:tx>
          <c:spPr>
            <a:ln w="25400">
              <a:solidFill>
                <a:schemeClr val="tx1">
                  <a:lumMod val="95000"/>
                  <a:lumOff val="5000"/>
                </a:schemeClr>
              </a:solidFill>
              <a:prstDash val="sysDash"/>
            </a:ln>
          </c:spPr>
          <c:marker>
            <c:symbol val="none"/>
          </c:marker>
          <c:cat>
            <c:strRef>
              <c:f>various!$B$373:$B$379</c:f>
              <c:strCache>
                <c:ptCount val="7"/>
                <c:pt idx="0">
                  <c:v>Under 16</c:v>
                </c:pt>
                <c:pt idx="1">
                  <c:v>16-18</c:v>
                </c:pt>
                <c:pt idx="2">
                  <c:v>19-21</c:v>
                </c:pt>
                <c:pt idx="3">
                  <c:v>22-24</c:v>
                </c:pt>
                <c:pt idx="4">
                  <c:v>25-45</c:v>
                </c:pt>
                <c:pt idx="5">
                  <c:v>46-65</c:v>
                </c:pt>
                <c:pt idx="6">
                  <c:v>Over 65</c:v>
                </c:pt>
              </c:strCache>
            </c:strRef>
          </c:cat>
          <c:val>
            <c:numRef>
              <c:f>various!$D$373:$D$379</c:f>
              <c:numCache>
                <c:formatCode>0.00%</c:formatCode>
                <c:ptCount val="7"/>
                <c:pt idx="0">
                  <c:v>0.186</c:v>
                </c:pt>
                <c:pt idx="1">
                  <c:v>3.5999999999999997E-2</c:v>
                </c:pt>
                <c:pt idx="2">
                  <c:v>4.1000000000000002E-2</c:v>
                </c:pt>
                <c:pt idx="3">
                  <c:v>4.2000000000000003E-2</c:v>
                </c:pt>
                <c:pt idx="4">
                  <c:v>0.28699999999999998</c:v>
                </c:pt>
                <c:pt idx="5">
                  <c:v>0.25</c:v>
                </c:pt>
                <c:pt idx="6">
                  <c:v>0.158</c:v>
                </c:pt>
              </c:numCache>
            </c:numRef>
          </c:val>
        </c:ser>
        <c:dLbls>
          <c:showLegendKey val="0"/>
          <c:showVal val="0"/>
          <c:showCatName val="0"/>
          <c:showSerName val="0"/>
          <c:showPercent val="0"/>
          <c:showBubbleSize val="0"/>
        </c:dLbls>
        <c:axId val="134158592"/>
        <c:axId val="134160384"/>
      </c:radarChart>
      <c:catAx>
        <c:axId val="134158592"/>
        <c:scaling>
          <c:orientation val="minMax"/>
        </c:scaling>
        <c:delete val="0"/>
        <c:axPos val="b"/>
        <c:majorGridlines/>
        <c:majorTickMark val="none"/>
        <c:minorTickMark val="none"/>
        <c:tickLblPos val="nextTo"/>
        <c:spPr>
          <a:ln w="9525">
            <a:noFill/>
          </a:ln>
        </c:spPr>
        <c:txPr>
          <a:bodyPr/>
          <a:lstStyle/>
          <a:p>
            <a:pPr>
              <a:defRPr sz="900">
                <a:latin typeface="+mn-lt"/>
              </a:defRPr>
            </a:pPr>
            <a:endParaRPr lang="en-US"/>
          </a:p>
        </c:txPr>
        <c:crossAx val="134160384"/>
        <c:crosses val="autoZero"/>
        <c:auto val="1"/>
        <c:lblAlgn val="ctr"/>
        <c:lblOffset val="100"/>
        <c:noMultiLvlLbl val="0"/>
      </c:catAx>
      <c:valAx>
        <c:axId val="134160384"/>
        <c:scaling>
          <c:orientation val="minMax"/>
        </c:scaling>
        <c:delete val="0"/>
        <c:axPos val="l"/>
        <c:majorGridlines>
          <c:spPr>
            <a:ln w="3175"/>
          </c:spPr>
        </c:majorGridlines>
        <c:minorGridlines/>
        <c:numFmt formatCode="0%" sourceLinked="0"/>
        <c:majorTickMark val="out"/>
        <c:minorTickMark val="none"/>
        <c:tickLblPos val="nextTo"/>
        <c:txPr>
          <a:bodyPr/>
          <a:lstStyle/>
          <a:p>
            <a:pPr>
              <a:defRPr sz="900">
                <a:latin typeface="+mn-lt"/>
              </a:defRPr>
            </a:pPr>
            <a:endParaRPr lang="en-US"/>
          </a:p>
        </c:txPr>
        <c:crossAx val="134158592"/>
        <c:crosses val="autoZero"/>
        <c:crossBetween val="between"/>
        <c:majorUnit val="0.1"/>
        <c:minorUnit val="0.05"/>
      </c:valAx>
    </c:plotArea>
    <c:legend>
      <c:legendPos val="r"/>
      <c:overlay val="0"/>
      <c:txPr>
        <a:bodyPr/>
        <a:lstStyle/>
        <a:p>
          <a:pPr>
            <a:defRPr>
              <a:latin typeface="+mn-lt"/>
            </a:defRPr>
          </a:pPr>
          <a:endParaRPr lang="en-US"/>
        </a:p>
      </c:txPr>
    </c:legend>
    <c:plotVisOnly val="1"/>
    <c:dispBlanksAs val="gap"/>
    <c:showDLblsOverMax val="0"/>
  </c:chart>
  <c:spPr>
    <a:ln>
      <a:noFill/>
    </a:ln>
  </c:spPr>
  <c:txPr>
    <a:bodyPr/>
    <a:lstStyle/>
    <a:p>
      <a:pPr>
        <a:defRPr sz="1100">
          <a:latin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0531700405961"/>
          <c:y val="4.2256071702827497E-2"/>
          <c:w val="0.51371577255265199"/>
          <c:h val="0.86441838874943899"/>
        </c:manualLayout>
      </c:layout>
      <c:radarChart>
        <c:radarStyle val="marker"/>
        <c:varyColors val="0"/>
        <c:ser>
          <c:idx val="0"/>
          <c:order val="0"/>
          <c:tx>
            <c:strRef>
              <c:f>various!$C$391</c:f>
              <c:strCache>
                <c:ptCount val="1"/>
                <c:pt idx="0">
                  <c:v>Percentage of 'My2050' respondents from each region/country</c:v>
                </c:pt>
              </c:strCache>
            </c:strRef>
          </c:tx>
          <c:spPr>
            <a:ln w="25400">
              <a:solidFill>
                <a:schemeClr val="tx1">
                  <a:lumMod val="95000"/>
                  <a:lumOff val="5000"/>
                </a:schemeClr>
              </a:solidFill>
              <a:prstDash val="solid"/>
            </a:ln>
          </c:spPr>
          <c:marker>
            <c:symbol val="none"/>
          </c:marker>
          <c:cat>
            <c:strRef>
              <c:f>various!$B$392:$B$403</c:f>
              <c:strCache>
                <c:ptCount val="12"/>
                <c:pt idx="0">
                  <c:v>Scotland </c:v>
                </c:pt>
                <c:pt idx="1">
                  <c:v>Wales </c:v>
                </c:pt>
                <c:pt idx="2">
                  <c:v>Northern Ireland </c:v>
                </c:pt>
                <c:pt idx="3">
                  <c:v>North East </c:v>
                </c:pt>
                <c:pt idx="4">
                  <c:v>North West</c:v>
                </c:pt>
                <c:pt idx="5">
                  <c:v>Yorkshire and the Humber</c:v>
                </c:pt>
                <c:pt idx="6">
                  <c:v>East Midlands</c:v>
                </c:pt>
                <c:pt idx="7">
                  <c:v>West Midlands </c:v>
                </c:pt>
                <c:pt idx="8">
                  <c:v>East of England </c:v>
                </c:pt>
                <c:pt idx="9">
                  <c:v>South West</c:v>
                </c:pt>
                <c:pt idx="10">
                  <c:v>South East</c:v>
                </c:pt>
                <c:pt idx="11">
                  <c:v>Greater London</c:v>
                </c:pt>
              </c:strCache>
            </c:strRef>
          </c:cat>
          <c:val>
            <c:numRef>
              <c:f>various!$C$392:$C$403</c:f>
              <c:numCache>
                <c:formatCode>0.00%</c:formatCode>
                <c:ptCount val="12"/>
                <c:pt idx="0">
                  <c:v>7.4999999999999997E-2</c:v>
                </c:pt>
                <c:pt idx="1">
                  <c:v>4.1000000000000002E-2</c:v>
                </c:pt>
                <c:pt idx="2">
                  <c:v>0.01</c:v>
                </c:pt>
                <c:pt idx="3">
                  <c:v>5.2999999999999999E-2</c:v>
                </c:pt>
                <c:pt idx="4">
                  <c:v>9.1999999999999998E-2</c:v>
                </c:pt>
                <c:pt idx="5">
                  <c:v>5.8999999999999997E-2</c:v>
                </c:pt>
                <c:pt idx="6">
                  <c:v>7.1999999999999995E-2</c:v>
                </c:pt>
                <c:pt idx="7">
                  <c:v>6.8000000000000005E-2</c:v>
                </c:pt>
                <c:pt idx="8">
                  <c:v>6.3E-2</c:v>
                </c:pt>
                <c:pt idx="9">
                  <c:v>0.11899999999999999</c:v>
                </c:pt>
                <c:pt idx="10">
                  <c:v>0.17499999999999999</c:v>
                </c:pt>
                <c:pt idx="11">
                  <c:v>0.17399999999999999</c:v>
                </c:pt>
              </c:numCache>
            </c:numRef>
          </c:val>
        </c:ser>
        <c:ser>
          <c:idx val="1"/>
          <c:order val="1"/>
          <c:tx>
            <c:strRef>
              <c:f>various!$D$391</c:f>
              <c:strCache>
                <c:ptCount val="1"/>
                <c:pt idx="0">
                  <c:v>Percentage of UK population in equivalent region/country</c:v>
                </c:pt>
              </c:strCache>
            </c:strRef>
          </c:tx>
          <c:spPr>
            <a:ln w="25400">
              <a:solidFill>
                <a:schemeClr val="tx1">
                  <a:lumMod val="95000"/>
                  <a:lumOff val="5000"/>
                </a:schemeClr>
              </a:solidFill>
              <a:prstDash val="sysDash"/>
            </a:ln>
          </c:spPr>
          <c:marker>
            <c:symbol val="none"/>
          </c:marker>
          <c:cat>
            <c:strRef>
              <c:f>various!$B$392:$B$403</c:f>
              <c:strCache>
                <c:ptCount val="12"/>
                <c:pt idx="0">
                  <c:v>Scotland </c:v>
                </c:pt>
                <c:pt idx="1">
                  <c:v>Wales </c:v>
                </c:pt>
                <c:pt idx="2">
                  <c:v>Northern Ireland </c:v>
                </c:pt>
                <c:pt idx="3">
                  <c:v>North East </c:v>
                </c:pt>
                <c:pt idx="4">
                  <c:v>North West</c:v>
                </c:pt>
                <c:pt idx="5">
                  <c:v>Yorkshire and the Humber</c:v>
                </c:pt>
                <c:pt idx="6">
                  <c:v>East Midlands</c:v>
                </c:pt>
                <c:pt idx="7">
                  <c:v>West Midlands </c:v>
                </c:pt>
                <c:pt idx="8">
                  <c:v>East of England </c:v>
                </c:pt>
                <c:pt idx="9">
                  <c:v>South West</c:v>
                </c:pt>
                <c:pt idx="10">
                  <c:v>South East</c:v>
                </c:pt>
                <c:pt idx="11">
                  <c:v>Greater London</c:v>
                </c:pt>
              </c:strCache>
            </c:strRef>
          </c:cat>
          <c:val>
            <c:numRef>
              <c:f>various!$D$392:$D$403</c:f>
              <c:numCache>
                <c:formatCode>0.00%</c:formatCode>
                <c:ptCount val="12"/>
                <c:pt idx="0">
                  <c:v>8.4000000000000005E-2</c:v>
                </c:pt>
                <c:pt idx="1">
                  <c:v>4.8000000000000001E-2</c:v>
                </c:pt>
                <c:pt idx="2">
                  <c:v>2.9000000000000001E-2</c:v>
                </c:pt>
                <c:pt idx="3">
                  <c:v>4.2000000000000003E-2</c:v>
                </c:pt>
                <c:pt idx="4">
                  <c:v>0.111</c:v>
                </c:pt>
                <c:pt idx="5">
                  <c:v>8.5999999999999993E-2</c:v>
                </c:pt>
                <c:pt idx="6">
                  <c:v>7.2999999999999995E-2</c:v>
                </c:pt>
                <c:pt idx="7">
                  <c:v>8.6999999999999994E-2</c:v>
                </c:pt>
                <c:pt idx="8">
                  <c:v>9.4E-2</c:v>
                </c:pt>
                <c:pt idx="9">
                  <c:v>8.4000000000000005E-2</c:v>
                </c:pt>
                <c:pt idx="10">
                  <c:v>0.13600000000000001</c:v>
                </c:pt>
                <c:pt idx="11">
                  <c:v>0.126</c:v>
                </c:pt>
              </c:numCache>
            </c:numRef>
          </c:val>
        </c:ser>
        <c:dLbls>
          <c:showLegendKey val="0"/>
          <c:showVal val="0"/>
          <c:showCatName val="0"/>
          <c:showSerName val="0"/>
          <c:showPercent val="0"/>
          <c:showBubbleSize val="0"/>
        </c:dLbls>
        <c:axId val="134176768"/>
        <c:axId val="134178304"/>
      </c:radarChart>
      <c:catAx>
        <c:axId val="134176768"/>
        <c:scaling>
          <c:orientation val="minMax"/>
        </c:scaling>
        <c:delete val="0"/>
        <c:axPos val="b"/>
        <c:majorGridlines/>
        <c:majorTickMark val="out"/>
        <c:minorTickMark val="none"/>
        <c:tickLblPos val="nextTo"/>
        <c:txPr>
          <a:bodyPr/>
          <a:lstStyle/>
          <a:p>
            <a:pPr>
              <a:defRPr sz="900">
                <a:latin typeface="+mn-lt"/>
              </a:defRPr>
            </a:pPr>
            <a:endParaRPr lang="en-US"/>
          </a:p>
        </c:txPr>
        <c:crossAx val="134178304"/>
        <c:crosses val="autoZero"/>
        <c:auto val="1"/>
        <c:lblAlgn val="ctr"/>
        <c:lblOffset val="100"/>
        <c:noMultiLvlLbl val="0"/>
      </c:catAx>
      <c:valAx>
        <c:axId val="134178304"/>
        <c:scaling>
          <c:orientation val="minMax"/>
          <c:max val="0.2"/>
        </c:scaling>
        <c:delete val="0"/>
        <c:axPos val="l"/>
        <c:majorGridlines>
          <c:spPr>
            <a:ln w="3175"/>
          </c:spPr>
        </c:majorGridlines>
        <c:minorGridlines/>
        <c:numFmt formatCode="0%" sourceLinked="0"/>
        <c:majorTickMark val="cross"/>
        <c:minorTickMark val="none"/>
        <c:tickLblPos val="nextTo"/>
        <c:txPr>
          <a:bodyPr/>
          <a:lstStyle/>
          <a:p>
            <a:pPr>
              <a:defRPr sz="900">
                <a:latin typeface="+mn-lt"/>
              </a:defRPr>
            </a:pPr>
            <a:endParaRPr lang="en-US"/>
          </a:p>
        </c:txPr>
        <c:crossAx val="134176768"/>
        <c:crosses val="autoZero"/>
        <c:crossBetween val="between"/>
        <c:majorUnit val="0.05"/>
        <c:minorUnit val="2.5000000000000001E-2"/>
      </c:valAx>
    </c:plotArea>
    <c:legend>
      <c:legendPos val="r"/>
      <c:layout>
        <c:manualLayout>
          <c:xMode val="edge"/>
          <c:yMode val="edge"/>
          <c:x val="0.74283699261884695"/>
          <c:y val="0.16773763225469601"/>
          <c:w val="0.23711254796578099"/>
          <c:h val="0.76264062515515096"/>
        </c:manualLayout>
      </c:layout>
      <c:overlay val="0"/>
      <c:txPr>
        <a:bodyPr/>
        <a:lstStyle/>
        <a:p>
          <a:pPr>
            <a:defRPr sz="1100">
              <a:latin typeface="+mn-lt"/>
            </a:defRPr>
          </a:pPr>
          <a:endParaRPr lang="en-US"/>
        </a:p>
      </c:txPr>
    </c:legend>
    <c:plotVisOnly val="1"/>
    <c:dispBlanksAs val="gap"/>
    <c:showDLblsOverMax val="0"/>
  </c:chart>
  <c:spPr>
    <a:ln>
      <a:noFill/>
    </a:ln>
  </c:spPr>
  <c:txPr>
    <a:bodyPr/>
    <a:lstStyle/>
    <a:p>
      <a:pPr>
        <a:defRPr sz="1100">
          <a:latin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various!$C$462</c:f>
              <c:strCache>
                <c:ptCount val="1"/>
                <c:pt idx="0">
                  <c:v>Percentage of total respondents</c:v>
                </c:pt>
              </c:strCache>
            </c:strRef>
          </c:tx>
          <c:dPt>
            <c:idx val="0"/>
            <c:bubble3D val="0"/>
            <c:spPr>
              <a:pattFill prst="pct25">
                <a:fgClr>
                  <a:schemeClr val="bg1">
                    <a:lumMod val="85000"/>
                  </a:schemeClr>
                </a:fgClr>
                <a:bgClr>
                  <a:prstClr val="white"/>
                </a:bgClr>
              </a:pattFill>
            </c:spPr>
          </c:dPt>
          <c:dPt>
            <c:idx val="1"/>
            <c:bubble3D val="0"/>
            <c:spPr>
              <a:pattFill prst="wdDnDiag">
                <a:fgClr>
                  <a:schemeClr val="bg1">
                    <a:lumMod val="50000"/>
                  </a:schemeClr>
                </a:fgClr>
                <a:bgClr>
                  <a:prstClr val="white"/>
                </a:bgClr>
              </a:pattFill>
            </c:spPr>
          </c:dPt>
          <c:dPt>
            <c:idx val="2"/>
            <c:bubble3D val="0"/>
            <c:spPr>
              <a:pattFill prst="ltHorz">
                <a:fgClr>
                  <a:schemeClr val="bg1">
                    <a:lumMod val="85000"/>
                  </a:schemeClr>
                </a:fgClr>
                <a:bgClr>
                  <a:prstClr val="white"/>
                </a:bgClr>
              </a:pattFill>
            </c:spPr>
          </c:dPt>
          <c:dPt>
            <c:idx val="3"/>
            <c:bubble3D val="0"/>
            <c:spPr>
              <a:pattFill prst="horzBrick">
                <a:fgClr>
                  <a:schemeClr val="tx1">
                    <a:lumMod val="75000"/>
                    <a:lumOff val="25000"/>
                  </a:schemeClr>
                </a:fgClr>
                <a:bgClr>
                  <a:prstClr val="white"/>
                </a:bgClr>
              </a:pattFill>
            </c:spPr>
          </c:dPt>
          <c:dPt>
            <c:idx val="4"/>
            <c:bubble3D val="0"/>
            <c:spPr>
              <a:solidFill>
                <a:schemeClr val="tx1">
                  <a:lumMod val="95000"/>
                  <a:lumOff val="5000"/>
                </a:schemeClr>
              </a:solidFill>
            </c:spPr>
          </c:dPt>
          <c:dLbls>
            <c:txPr>
              <a:bodyPr/>
              <a:lstStyle/>
              <a:p>
                <a:pPr>
                  <a:defRPr sz="900">
                    <a:latin typeface="+mn-lt"/>
                  </a:defRPr>
                </a:pPr>
                <a:endParaRPr lang="en-US"/>
              </a:p>
            </c:txPr>
            <c:dLblPos val="outEnd"/>
            <c:showLegendKey val="0"/>
            <c:showVal val="1"/>
            <c:showCatName val="0"/>
            <c:showSerName val="0"/>
            <c:showPercent val="0"/>
            <c:showBubbleSize val="0"/>
            <c:showLeaderLines val="1"/>
          </c:dLbls>
          <c:cat>
            <c:strRef>
              <c:f>various!$B$463:$B$467</c:f>
              <c:strCache>
                <c:ptCount val="5"/>
                <c:pt idx="0">
                  <c:v>Very concerned</c:v>
                </c:pt>
                <c:pt idx="1">
                  <c:v>Fairly concerned</c:v>
                </c:pt>
                <c:pt idx="2">
                  <c:v>Mildly concerned</c:v>
                </c:pt>
                <c:pt idx="3">
                  <c:v>Not concerned</c:v>
                </c:pt>
                <c:pt idx="4">
                  <c:v>Don’t know, or no response given</c:v>
                </c:pt>
              </c:strCache>
            </c:strRef>
          </c:cat>
          <c:val>
            <c:numRef>
              <c:f>various!$C$463:$C$467</c:f>
              <c:numCache>
                <c:formatCode>0.0%</c:formatCode>
                <c:ptCount val="5"/>
                <c:pt idx="0">
                  <c:v>0.47299999999999998</c:v>
                </c:pt>
                <c:pt idx="1">
                  <c:v>0.30399999999999999</c:v>
                </c:pt>
                <c:pt idx="2">
                  <c:v>0.13400000000000001</c:v>
                </c:pt>
                <c:pt idx="3">
                  <c:v>5.8400000000000001E-2</c:v>
                </c:pt>
                <c:pt idx="4">
                  <c:v>3.0200000000000001E-2</c:v>
                </c:pt>
              </c:numCache>
            </c:numRef>
          </c:val>
        </c:ser>
        <c:dLbls>
          <c:showLegendKey val="0"/>
          <c:showVal val="1"/>
          <c:showCatName val="0"/>
          <c:showSerName val="0"/>
          <c:showPercent val="0"/>
          <c:showBubbleSize val="0"/>
          <c:showLeaderLines val="1"/>
        </c:dLbls>
        <c:firstSliceAng val="0"/>
      </c:pieChart>
    </c:plotArea>
    <c:legend>
      <c:legendPos val="r"/>
      <c:overlay val="0"/>
      <c:txPr>
        <a:bodyPr/>
        <a:lstStyle/>
        <a:p>
          <a:pPr>
            <a:defRPr>
              <a:latin typeface="+mn-lt"/>
            </a:defRPr>
          </a:pPr>
          <a:endParaRPr lang="en-US"/>
        </a:p>
      </c:txPr>
    </c:legend>
    <c:plotVisOnly val="1"/>
    <c:dispBlanksAs val="zero"/>
    <c:showDLblsOverMax val="0"/>
  </c:chart>
  <c:spPr>
    <a:ln>
      <a:noFill/>
    </a:ln>
  </c:spPr>
  <c:txPr>
    <a:bodyPr/>
    <a:lstStyle/>
    <a:p>
      <a:pPr>
        <a:defRPr sz="1100">
          <a:latin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areaChart>
        <c:grouping val="standard"/>
        <c:varyColors val="0"/>
        <c:ser>
          <c:idx val="0"/>
          <c:order val="0"/>
          <c:spPr>
            <a:solidFill>
              <a:schemeClr val="tx1"/>
            </a:solidFill>
          </c:spPr>
          <c:cat>
            <c:numRef>
              <c:f>various!$C$648:$C$714</c:f>
              <c:numCache>
                <c:formatCode>General</c:formatCode>
                <c:ptCount val="67"/>
                <c:pt idx="0">
                  <c:v>0</c:v>
                </c:pt>
                <c:pt idx="5">
                  <c:v>5</c:v>
                </c:pt>
                <c:pt idx="10">
                  <c:v>10</c:v>
                </c:pt>
                <c:pt idx="15">
                  <c:v>15</c:v>
                </c:pt>
                <c:pt idx="20">
                  <c:v>20</c:v>
                </c:pt>
                <c:pt idx="25">
                  <c:v>25</c:v>
                </c:pt>
                <c:pt idx="30">
                  <c:v>30</c:v>
                </c:pt>
                <c:pt idx="35">
                  <c:v>35</c:v>
                </c:pt>
                <c:pt idx="40">
                  <c:v>40</c:v>
                </c:pt>
                <c:pt idx="45">
                  <c:v>45</c:v>
                </c:pt>
                <c:pt idx="50">
                  <c:v>50</c:v>
                </c:pt>
                <c:pt idx="55">
                  <c:v>55</c:v>
                </c:pt>
                <c:pt idx="60">
                  <c:v>60</c:v>
                </c:pt>
              </c:numCache>
            </c:numRef>
          </c:cat>
          <c:val>
            <c:numRef>
              <c:f>various!$D$648:$D$714</c:f>
              <c:numCache>
                <c:formatCode>General</c:formatCode>
                <c:ptCount val="67"/>
                <c:pt idx="0">
                  <c:v>0</c:v>
                </c:pt>
                <c:pt idx="1">
                  <c:v>26</c:v>
                </c:pt>
                <c:pt idx="2">
                  <c:v>43</c:v>
                </c:pt>
                <c:pt idx="3">
                  <c:v>89</c:v>
                </c:pt>
                <c:pt idx="4">
                  <c:v>207</c:v>
                </c:pt>
                <c:pt idx="5">
                  <c:v>337</c:v>
                </c:pt>
                <c:pt idx="6">
                  <c:v>463</c:v>
                </c:pt>
                <c:pt idx="7">
                  <c:v>562</c:v>
                </c:pt>
                <c:pt idx="8">
                  <c:v>638</c:v>
                </c:pt>
                <c:pt idx="9">
                  <c:v>643</c:v>
                </c:pt>
                <c:pt idx="10">
                  <c:v>686</c:v>
                </c:pt>
                <c:pt idx="11">
                  <c:v>594</c:v>
                </c:pt>
                <c:pt idx="12">
                  <c:v>582</c:v>
                </c:pt>
                <c:pt idx="13">
                  <c:v>527</c:v>
                </c:pt>
                <c:pt idx="14">
                  <c:v>552</c:v>
                </c:pt>
                <c:pt idx="15">
                  <c:v>478</c:v>
                </c:pt>
                <c:pt idx="16">
                  <c:v>410</c:v>
                </c:pt>
                <c:pt idx="17">
                  <c:v>385</c:v>
                </c:pt>
                <c:pt idx="18">
                  <c:v>304</c:v>
                </c:pt>
                <c:pt idx="19">
                  <c:v>296</c:v>
                </c:pt>
                <c:pt idx="20">
                  <c:v>295</c:v>
                </c:pt>
                <c:pt idx="21">
                  <c:v>233</c:v>
                </c:pt>
                <c:pt idx="22">
                  <c:v>181</c:v>
                </c:pt>
                <c:pt idx="23">
                  <c:v>155</c:v>
                </c:pt>
                <c:pt idx="24">
                  <c:v>192</c:v>
                </c:pt>
                <c:pt idx="25">
                  <c:v>150</c:v>
                </c:pt>
                <c:pt idx="26">
                  <c:v>123</c:v>
                </c:pt>
                <c:pt idx="27">
                  <c:v>114</c:v>
                </c:pt>
                <c:pt idx="28">
                  <c:v>140</c:v>
                </c:pt>
                <c:pt idx="29">
                  <c:v>105</c:v>
                </c:pt>
                <c:pt idx="30">
                  <c:v>86</c:v>
                </c:pt>
                <c:pt idx="31">
                  <c:v>94</c:v>
                </c:pt>
                <c:pt idx="32">
                  <c:v>61</c:v>
                </c:pt>
                <c:pt idx="33">
                  <c:v>65</c:v>
                </c:pt>
                <c:pt idx="34">
                  <c:v>70</c:v>
                </c:pt>
                <c:pt idx="35">
                  <c:v>49</c:v>
                </c:pt>
                <c:pt idx="36">
                  <c:v>49</c:v>
                </c:pt>
                <c:pt idx="37">
                  <c:v>51</c:v>
                </c:pt>
                <c:pt idx="38">
                  <c:v>65</c:v>
                </c:pt>
                <c:pt idx="39">
                  <c:v>46</c:v>
                </c:pt>
                <c:pt idx="40">
                  <c:v>39</c:v>
                </c:pt>
                <c:pt idx="41">
                  <c:v>56</c:v>
                </c:pt>
                <c:pt idx="42">
                  <c:v>28</c:v>
                </c:pt>
                <c:pt idx="43">
                  <c:v>35</c:v>
                </c:pt>
                <c:pt idx="44">
                  <c:v>28</c:v>
                </c:pt>
                <c:pt idx="45">
                  <c:v>25</c:v>
                </c:pt>
                <c:pt idx="46">
                  <c:v>33</c:v>
                </c:pt>
                <c:pt idx="47">
                  <c:v>19</c:v>
                </c:pt>
                <c:pt idx="48">
                  <c:v>26</c:v>
                </c:pt>
                <c:pt idx="49">
                  <c:v>21</c:v>
                </c:pt>
                <c:pt idx="50">
                  <c:v>22</c:v>
                </c:pt>
                <c:pt idx="51">
                  <c:v>17</c:v>
                </c:pt>
                <c:pt idx="52">
                  <c:v>10</c:v>
                </c:pt>
                <c:pt idx="53">
                  <c:v>18</c:v>
                </c:pt>
                <c:pt idx="54">
                  <c:v>16</c:v>
                </c:pt>
                <c:pt idx="55">
                  <c:v>13</c:v>
                </c:pt>
                <c:pt idx="56">
                  <c:v>13</c:v>
                </c:pt>
                <c:pt idx="57">
                  <c:v>10</c:v>
                </c:pt>
                <c:pt idx="58">
                  <c:v>15</c:v>
                </c:pt>
                <c:pt idx="59">
                  <c:v>11</c:v>
                </c:pt>
                <c:pt idx="60">
                  <c:v>12</c:v>
                </c:pt>
                <c:pt idx="61">
                  <c:v>10</c:v>
                </c:pt>
                <c:pt idx="62">
                  <c:v>10</c:v>
                </c:pt>
                <c:pt idx="63">
                  <c:v>8</c:v>
                </c:pt>
                <c:pt idx="64">
                  <c:v>9</c:v>
                </c:pt>
                <c:pt idx="65">
                  <c:v>7</c:v>
                </c:pt>
                <c:pt idx="66">
                  <c:v>4</c:v>
                </c:pt>
              </c:numCache>
            </c:numRef>
          </c:val>
        </c:ser>
        <c:dLbls>
          <c:showLegendKey val="0"/>
          <c:showVal val="0"/>
          <c:showCatName val="0"/>
          <c:showSerName val="0"/>
          <c:showPercent val="0"/>
          <c:showBubbleSize val="0"/>
        </c:dLbls>
        <c:axId val="139580928"/>
        <c:axId val="139582848"/>
      </c:areaChart>
      <c:catAx>
        <c:axId val="139580928"/>
        <c:scaling>
          <c:orientation val="minMax"/>
        </c:scaling>
        <c:delete val="0"/>
        <c:axPos val="b"/>
        <c:title>
          <c:tx>
            <c:rich>
              <a:bodyPr/>
              <a:lstStyle/>
              <a:p>
                <a:pPr>
                  <a:defRPr>
                    <a:latin typeface="+mn-lt"/>
                  </a:defRPr>
                </a:pPr>
                <a:r>
                  <a:rPr lang="en-US">
                    <a:latin typeface="+mn-lt"/>
                  </a:rPr>
                  <a:t>Participation</a:t>
                </a:r>
                <a:r>
                  <a:rPr lang="en-US" baseline="0">
                    <a:latin typeface="+mn-lt"/>
                  </a:rPr>
                  <a:t> </a:t>
                </a:r>
                <a:r>
                  <a:rPr lang="en-US">
                    <a:latin typeface="+mn-lt"/>
                  </a:rPr>
                  <a:t>time (minutes)</a:t>
                </a:r>
              </a:p>
            </c:rich>
          </c:tx>
          <c:overlay val="0"/>
        </c:title>
        <c:numFmt formatCode="General" sourceLinked="1"/>
        <c:majorTickMark val="out"/>
        <c:minorTickMark val="none"/>
        <c:tickLblPos val="nextTo"/>
        <c:txPr>
          <a:bodyPr/>
          <a:lstStyle/>
          <a:p>
            <a:pPr>
              <a:defRPr sz="900">
                <a:latin typeface="+mn-lt"/>
              </a:defRPr>
            </a:pPr>
            <a:endParaRPr lang="en-US"/>
          </a:p>
        </c:txPr>
        <c:crossAx val="139582848"/>
        <c:crosses val="autoZero"/>
        <c:auto val="1"/>
        <c:lblAlgn val="ctr"/>
        <c:lblOffset val="100"/>
        <c:noMultiLvlLbl val="0"/>
      </c:catAx>
      <c:valAx>
        <c:axId val="139582848"/>
        <c:scaling>
          <c:orientation val="minMax"/>
          <c:max val="700"/>
        </c:scaling>
        <c:delete val="0"/>
        <c:axPos val="l"/>
        <c:majorGridlines>
          <c:spPr>
            <a:ln w="3175"/>
          </c:spPr>
        </c:majorGridlines>
        <c:title>
          <c:tx>
            <c:rich>
              <a:bodyPr rot="-5400000" vert="horz"/>
              <a:lstStyle/>
              <a:p>
                <a:pPr>
                  <a:defRPr>
                    <a:latin typeface="+mn-lt"/>
                  </a:defRPr>
                </a:pPr>
                <a:r>
                  <a:rPr lang="en-US">
                    <a:latin typeface="+mn-lt"/>
                  </a:rPr>
                  <a:t>Number of respondents</a:t>
                </a:r>
              </a:p>
            </c:rich>
          </c:tx>
          <c:overlay val="0"/>
        </c:title>
        <c:numFmt formatCode="General" sourceLinked="1"/>
        <c:majorTickMark val="out"/>
        <c:minorTickMark val="none"/>
        <c:tickLblPos val="nextTo"/>
        <c:txPr>
          <a:bodyPr/>
          <a:lstStyle/>
          <a:p>
            <a:pPr>
              <a:defRPr sz="900">
                <a:latin typeface="+mn-lt"/>
              </a:defRPr>
            </a:pPr>
            <a:endParaRPr lang="en-US"/>
          </a:p>
        </c:txPr>
        <c:crossAx val="139580928"/>
        <c:crosses val="autoZero"/>
        <c:crossBetween val="midCat"/>
      </c:valAx>
    </c:plotArea>
    <c:plotVisOnly val="1"/>
    <c:dispBlanksAs val="zero"/>
    <c:showDLblsOverMax val="0"/>
  </c:chart>
  <c:spPr>
    <a:ln>
      <a:noFill/>
    </a:ln>
  </c:spPr>
  <c:txPr>
    <a:bodyPr/>
    <a:lstStyle/>
    <a:p>
      <a:pPr>
        <a:defRPr sz="1100">
          <a:latin typeface="+mn-lt"/>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chemeClr val="tx1"/>
            </a:solidFill>
          </c:spPr>
          <c:invertIfNegative val="0"/>
          <c:cat>
            <c:numRef>
              <c:f>various!$B$348:$B$367</c:f>
              <c:numCache>
                <c:formatCode>General</c:formatCode>
                <c:ptCount val="20"/>
                <c:pt idx="0">
                  <c:v>80</c:v>
                </c:pt>
                <c:pt idx="1">
                  <c:v>81</c:v>
                </c:pt>
                <c:pt idx="2">
                  <c:v>82</c:v>
                </c:pt>
                <c:pt idx="3">
                  <c:v>83</c:v>
                </c:pt>
                <c:pt idx="4">
                  <c:v>84</c:v>
                </c:pt>
                <c:pt idx="5">
                  <c:v>85</c:v>
                </c:pt>
                <c:pt idx="6">
                  <c:v>86</c:v>
                </c:pt>
                <c:pt idx="7">
                  <c:v>87</c:v>
                </c:pt>
                <c:pt idx="8">
                  <c:v>88</c:v>
                </c:pt>
                <c:pt idx="9">
                  <c:v>89</c:v>
                </c:pt>
                <c:pt idx="10">
                  <c:v>90</c:v>
                </c:pt>
                <c:pt idx="11">
                  <c:v>91</c:v>
                </c:pt>
                <c:pt idx="12">
                  <c:v>92</c:v>
                </c:pt>
                <c:pt idx="13">
                  <c:v>93</c:v>
                </c:pt>
                <c:pt idx="14">
                  <c:v>94</c:v>
                </c:pt>
                <c:pt idx="15">
                  <c:v>95</c:v>
                </c:pt>
                <c:pt idx="16">
                  <c:v>96</c:v>
                </c:pt>
                <c:pt idx="17">
                  <c:v>97</c:v>
                </c:pt>
                <c:pt idx="18">
                  <c:v>98</c:v>
                </c:pt>
                <c:pt idx="19">
                  <c:v>99</c:v>
                </c:pt>
              </c:numCache>
            </c:numRef>
          </c:cat>
          <c:val>
            <c:numRef>
              <c:f>various!$C$348:$C$367</c:f>
              <c:numCache>
                <c:formatCode>General</c:formatCode>
                <c:ptCount val="20"/>
                <c:pt idx="0">
                  <c:v>3021</c:v>
                </c:pt>
                <c:pt idx="1">
                  <c:v>1751</c:v>
                </c:pt>
                <c:pt idx="2">
                  <c:v>1169</c:v>
                </c:pt>
                <c:pt idx="3">
                  <c:v>907</c:v>
                </c:pt>
                <c:pt idx="4">
                  <c:v>572</c:v>
                </c:pt>
                <c:pt idx="5">
                  <c:v>337</c:v>
                </c:pt>
                <c:pt idx="6">
                  <c:v>198</c:v>
                </c:pt>
                <c:pt idx="7">
                  <c:v>167</c:v>
                </c:pt>
                <c:pt idx="8">
                  <c:v>107</c:v>
                </c:pt>
                <c:pt idx="9">
                  <c:v>118</c:v>
                </c:pt>
                <c:pt idx="10">
                  <c:v>143</c:v>
                </c:pt>
                <c:pt idx="11">
                  <c:v>86</c:v>
                </c:pt>
                <c:pt idx="12">
                  <c:v>61</c:v>
                </c:pt>
                <c:pt idx="13">
                  <c:v>90</c:v>
                </c:pt>
                <c:pt idx="14">
                  <c:v>345</c:v>
                </c:pt>
                <c:pt idx="15">
                  <c:v>228</c:v>
                </c:pt>
                <c:pt idx="16">
                  <c:v>622</c:v>
                </c:pt>
                <c:pt idx="17">
                  <c:v>165</c:v>
                </c:pt>
                <c:pt idx="18">
                  <c:v>225</c:v>
                </c:pt>
                <c:pt idx="19">
                  <c:v>671</c:v>
                </c:pt>
              </c:numCache>
            </c:numRef>
          </c:val>
        </c:ser>
        <c:dLbls>
          <c:showLegendKey val="0"/>
          <c:showVal val="0"/>
          <c:showCatName val="0"/>
          <c:showSerName val="0"/>
          <c:showPercent val="0"/>
          <c:showBubbleSize val="0"/>
        </c:dLbls>
        <c:gapWidth val="150"/>
        <c:axId val="134433792"/>
        <c:axId val="134440064"/>
      </c:barChart>
      <c:catAx>
        <c:axId val="134433792"/>
        <c:scaling>
          <c:orientation val="minMax"/>
        </c:scaling>
        <c:delete val="0"/>
        <c:axPos val="b"/>
        <c:title>
          <c:tx>
            <c:rich>
              <a:bodyPr/>
              <a:lstStyle/>
              <a:p>
                <a:pPr>
                  <a:defRPr>
                    <a:latin typeface="+mn-lt"/>
                  </a:defRPr>
                </a:pPr>
                <a:r>
                  <a:rPr lang="en-US">
                    <a:latin typeface="+mn-lt"/>
                  </a:rPr>
                  <a:t>Carbon reduction levels achieved (percent)</a:t>
                </a:r>
              </a:p>
            </c:rich>
          </c:tx>
          <c:overlay val="0"/>
        </c:title>
        <c:numFmt formatCode="General" sourceLinked="1"/>
        <c:majorTickMark val="out"/>
        <c:minorTickMark val="none"/>
        <c:tickLblPos val="nextTo"/>
        <c:txPr>
          <a:bodyPr/>
          <a:lstStyle/>
          <a:p>
            <a:pPr>
              <a:defRPr sz="900">
                <a:latin typeface="+mn-lt"/>
              </a:defRPr>
            </a:pPr>
            <a:endParaRPr lang="en-US"/>
          </a:p>
        </c:txPr>
        <c:crossAx val="134440064"/>
        <c:crosses val="autoZero"/>
        <c:auto val="1"/>
        <c:lblAlgn val="ctr"/>
        <c:lblOffset val="100"/>
        <c:noMultiLvlLbl val="0"/>
      </c:catAx>
      <c:valAx>
        <c:axId val="134440064"/>
        <c:scaling>
          <c:orientation val="minMax"/>
        </c:scaling>
        <c:delete val="0"/>
        <c:axPos val="l"/>
        <c:majorGridlines>
          <c:spPr>
            <a:ln w="1270"/>
          </c:spPr>
        </c:majorGridlines>
        <c:title>
          <c:tx>
            <c:rich>
              <a:bodyPr rot="-5400000" vert="horz"/>
              <a:lstStyle/>
              <a:p>
                <a:pPr>
                  <a:defRPr>
                    <a:latin typeface="+mn-lt"/>
                  </a:defRPr>
                </a:pPr>
                <a:r>
                  <a:rPr lang="en-US">
                    <a:latin typeface="+mn-lt"/>
                  </a:rPr>
                  <a:t>Number of respondents</a:t>
                </a:r>
              </a:p>
            </c:rich>
          </c:tx>
          <c:overlay val="0"/>
        </c:title>
        <c:numFmt formatCode="#,##0" sourceLinked="0"/>
        <c:majorTickMark val="out"/>
        <c:minorTickMark val="none"/>
        <c:tickLblPos val="nextTo"/>
        <c:txPr>
          <a:bodyPr/>
          <a:lstStyle/>
          <a:p>
            <a:pPr>
              <a:defRPr sz="900">
                <a:latin typeface="+mn-lt"/>
              </a:defRPr>
            </a:pPr>
            <a:endParaRPr lang="en-US"/>
          </a:p>
        </c:txPr>
        <c:crossAx val="134433792"/>
        <c:crosses val="autoZero"/>
        <c:crossBetween val="between"/>
      </c:valAx>
    </c:plotArea>
    <c:plotVisOnly val="1"/>
    <c:dispBlanksAs val="gap"/>
    <c:showDLblsOverMax val="0"/>
  </c:chart>
  <c:spPr>
    <a:ln>
      <a:noFill/>
    </a:ln>
  </c:spPr>
  <c:txPr>
    <a:bodyPr/>
    <a:lstStyle/>
    <a:p>
      <a:pPr>
        <a:defRPr sz="1100">
          <a:latin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various!$B$526</c:f>
              <c:strCache>
                <c:ptCount val="1"/>
                <c:pt idx="0">
                  <c:v>Biofuel production</c:v>
                </c:pt>
              </c:strCache>
            </c:strRef>
          </c:tx>
          <c:spPr>
            <a:ln w="19050" cmpd="sng">
              <a:solidFill>
                <a:schemeClr val="tx1"/>
              </a:solidFill>
              <a:prstDash val="sysDash"/>
            </a:ln>
          </c:spPr>
          <c:marker>
            <c:symbol val="none"/>
          </c:marker>
          <c:cat>
            <c:numRef>
              <c:f>various!$C$525:$F$525</c:f>
              <c:numCache>
                <c:formatCode>General</c:formatCode>
                <c:ptCount val="4"/>
                <c:pt idx="0">
                  <c:v>1</c:v>
                </c:pt>
                <c:pt idx="1">
                  <c:v>2</c:v>
                </c:pt>
                <c:pt idx="2">
                  <c:v>3</c:v>
                </c:pt>
                <c:pt idx="3">
                  <c:v>4</c:v>
                </c:pt>
              </c:numCache>
            </c:numRef>
          </c:cat>
          <c:val>
            <c:numRef>
              <c:f>various!$C$526:$F$526</c:f>
              <c:numCache>
                <c:formatCode>General</c:formatCode>
                <c:ptCount val="4"/>
                <c:pt idx="0">
                  <c:v>1478</c:v>
                </c:pt>
                <c:pt idx="1">
                  <c:v>3497</c:v>
                </c:pt>
                <c:pt idx="2">
                  <c:v>3123</c:v>
                </c:pt>
                <c:pt idx="3">
                  <c:v>2885</c:v>
                </c:pt>
              </c:numCache>
            </c:numRef>
          </c:val>
          <c:smooth val="0"/>
        </c:ser>
        <c:ser>
          <c:idx val="1"/>
          <c:order val="1"/>
          <c:tx>
            <c:strRef>
              <c:f>various!$B$527</c:f>
              <c:strCache>
                <c:ptCount val="1"/>
                <c:pt idx="0">
                  <c:v>Oil, gas and coal power</c:v>
                </c:pt>
              </c:strCache>
            </c:strRef>
          </c:tx>
          <c:spPr>
            <a:ln w="19050" cmpd="sng">
              <a:solidFill>
                <a:schemeClr val="tx1"/>
              </a:solidFill>
            </a:ln>
          </c:spPr>
          <c:marker>
            <c:symbol val="none"/>
          </c:marker>
          <c:cat>
            <c:numRef>
              <c:f>various!$C$525:$F$525</c:f>
              <c:numCache>
                <c:formatCode>General</c:formatCode>
                <c:ptCount val="4"/>
                <c:pt idx="0">
                  <c:v>1</c:v>
                </c:pt>
                <c:pt idx="1">
                  <c:v>2</c:v>
                </c:pt>
                <c:pt idx="2">
                  <c:v>3</c:v>
                </c:pt>
                <c:pt idx="3">
                  <c:v>4</c:v>
                </c:pt>
              </c:numCache>
            </c:numRef>
          </c:cat>
          <c:val>
            <c:numRef>
              <c:f>various!$C$527:$F$527</c:f>
              <c:numCache>
                <c:formatCode>General</c:formatCode>
                <c:ptCount val="4"/>
                <c:pt idx="0">
                  <c:v>94</c:v>
                </c:pt>
                <c:pt idx="1">
                  <c:v>1004</c:v>
                </c:pt>
                <c:pt idx="2">
                  <c:v>7748</c:v>
                </c:pt>
                <c:pt idx="3">
                  <c:v>2137</c:v>
                </c:pt>
              </c:numCache>
            </c:numRef>
          </c:val>
          <c:smooth val="0"/>
        </c:ser>
        <c:ser>
          <c:idx val="2"/>
          <c:order val="2"/>
          <c:tx>
            <c:strRef>
              <c:f>various!$B$528</c:f>
              <c:strCache>
                <c:ptCount val="1"/>
                <c:pt idx="0">
                  <c:v>Nuclear power</c:v>
                </c:pt>
              </c:strCache>
            </c:strRef>
          </c:tx>
          <c:spPr>
            <a:ln w="19050" cmpd="sng">
              <a:solidFill>
                <a:schemeClr val="tx1"/>
              </a:solidFill>
              <a:prstDash val="sysDot"/>
            </a:ln>
          </c:spPr>
          <c:marker>
            <c:symbol val="none"/>
          </c:marker>
          <c:cat>
            <c:numRef>
              <c:f>various!$C$525:$F$525</c:f>
              <c:numCache>
                <c:formatCode>General</c:formatCode>
                <c:ptCount val="4"/>
                <c:pt idx="0">
                  <c:v>1</c:v>
                </c:pt>
                <c:pt idx="1">
                  <c:v>2</c:v>
                </c:pt>
                <c:pt idx="2">
                  <c:v>3</c:v>
                </c:pt>
                <c:pt idx="3">
                  <c:v>4</c:v>
                </c:pt>
              </c:numCache>
            </c:numRef>
          </c:cat>
          <c:val>
            <c:numRef>
              <c:f>various!$C$528:$F$528</c:f>
              <c:numCache>
                <c:formatCode>General</c:formatCode>
                <c:ptCount val="4"/>
                <c:pt idx="0">
                  <c:v>3184</c:v>
                </c:pt>
                <c:pt idx="1">
                  <c:v>4077</c:v>
                </c:pt>
                <c:pt idx="2">
                  <c:v>2304</c:v>
                </c:pt>
                <c:pt idx="3">
                  <c:v>1418</c:v>
                </c:pt>
              </c:numCache>
            </c:numRef>
          </c:val>
          <c:smooth val="0"/>
        </c:ser>
        <c:ser>
          <c:idx val="3"/>
          <c:order val="3"/>
          <c:tx>
            <c:strRef>
              <c:f>various!$B$529</c:f>
              <c:strCache>
                <c:ptCount val="1"/>
                <c:pt idx="0">
                  <c:v>Clean coal and gas power</c:v>
                </c:pt>
              </c:strCache>
            </c:strRef>
          </c:tx>
          <c:spPr>
            <a:ln w="19050" cmpd="sng">
              <a:solidFill>
                <a:schemeClr val="tx1"/>
              </a:solidFill>
              <a:prstDash val="lgDash"/>
            </a:ln>
          </c:spPr>
          <c:marker>
            <c:symbol val="none"/>
          </c:marker>
          <c:cat>
            <c:numRef>
              <c:f>various!$C$525:$F$525</c:f>
              <c:numCache>
                <c:formatCode>General</c:formatCode>
                <c:ptCount val="4"/>
                <c:pt idx="0">
                  <c:v>1</c:v>
                </c:pt>
                <c:pt idx="1">
                  <c:v>2</c:v>
                </c:pt>
                <c:pt idx="2">
                  <c:v>3</c:v>
                </c:pt>
                <c:pt idx="3">
                  <c:v>4</c:v>
                </c:pt>
              </c:numCache>
            </c:numRef>
          </c:cat>
          <c:val>
            <c:numRef>
              <c:f>various!$C$529:$F$529</c:f>
              <c:numCache>
                <c:formatCode>General</c:formatCode>
                <c:ptCount val="4"/>
                <c:pt idx="0">
                  <c:v>3057</c:v>
                </c:pt>
                <c:pt idx="1">
                  <c:v>3825</c:v>
                </c:pt>
                <c:pt idx="2">
                  <c:v>2610</c:v>
                </c:pt>
                <c:pt idx="3">
                  <c:v>1491</c:v>
                </c:pt>
              </c:numCache>
            </c:numRef>
          </c:val>
          <c:smooth val="0"/>
        </c:ser>
        <c:ser>
          <c:idx val="4"/>
          <c:order val="4"/>
          <c:tx>
            <c:strRef>
              <c:f>various!$B$530</c:f>
              <c:strCache>
                <c:ptCount val="1"/>
                <c:pt idx="0">
                  <c:v>Wind turbines on land</c:v>
                </c:pt>
              </c:strCache>
            </c:strRef>
          </c:tx>
          <c:spPr>
            <a:ln w="19050" cmpd="sng">
              <a:solidFill>
                <a:schemeClr val="tx1"/>
              </a:solidFill>
              <a:prstDash val="lgDashDotDot"/>
            </a:ln>
          </c:spPr>
          <c:marker>
            <c:symbol val="none"/>
          </c:marker>
          <c:cat>
            <c:numRef>
              <c:f>various!$C$525:$F$525</c:f>
              <c:numCache>
                <c:formatCode>General</c:formatCode>
                <c:ptCount val="4"/>
                <c:pt idx="0">
                  <c:v>1</c:v>
                </c:pt>
                <c:pt idx="1">
                  <c:v>2</c:v>
                </c:pt>
                <c:pt idx="2">
                  <c:v>3</c:v>
                </c:pt>
                <c:pt idx="3">
                  <c:v>4</c:v>
                </c:pt>
              </c:numCache>
            </c:numRef>
          </c:cat>
          <c:val>
            <c:numRef>
              <c:f>various!$C$530:$F$530</c:f>
              <c:numCache>
                <c:formatCode>General</c:formatCode>
                <c:ptCount val="4"/>
                <c:pt idx="0">
                  <c:v>1894</c:v>
                </c:pt>
                <c:pt idx="1">
                  <c:v>3784</c:v>
                </c:pt>
                <c:pt idx="2">
                  <c:v>3254</c:v>
                </c:pt>
                <c:pt idx="3">
                  <c:v>2051</c:v>
                </c:pt>
              </c:numCache>
            </c:numRef>
          </c:val>
          <c:smooth val="0"/>
        </c:ser>
        <c:ser>
          <c:idx val="5"/>
          <c:order val="5"/>
          <c:tx>
            <c:strRef>
              <c:f>various!$B$531</c:f>
              <c:strCache>
                <c:ptCount val="1"/>
                <c:pt idx="0">
                  <c:v>Wind turbines on sea</c:v>
                </c:pt>
              </c:strCache>
            </c:strRef>
          </c:tx>
          <c:spPr>
            <a:ln w="19050" cmpd="sng">
              <a:solidFill>
                <a:schemeClr val="tx1"/>
              </a:solidFill>
              <a:prstDash val="dash"/>
            </a:ln>
          </c:spPr>
          <c:marker>
            <c:symbol val="none"/>
          </c:marker>
          <c:cat>
            <c:numRef>
              <c:f>various!$C$525:$F$525</c:f>
              <c:numCache>
                <c:formatCode>General</c:formatCode>
                <c:ptCount val="4"/>
                <c:pt idx="0">
                  <c:v>1</c:v>
                </c:pt>
                <c:pt idx="1">
                  <c:v>2</c:v>
                </c:pt>
                <c:pt idx="2">
                  <c:v>3</c:v>
                </c:pt>
                <c:pt idx="3">
                  <c:v>4</c:v>
                </c:pt>
              </c:numCache>
            </c:numRef>
          </c:cat>
          <c:val>
            <c:numRef>
              <c:f>various!$C$531:$F$531</c:f>
              <c:numCache>
                <c:formatCode>General</c:formatCode>
                <c:ptCount val="4"/>
                <c:pt idx="0">
                  <c:v>688</c:v>
                </c:pt>
                <c:pt idx="1">
                  <c:v>3077</c:v>
                </c:pt>
                <c:pt idx="2">
                  <c:v>4491</c:v>
                </c:pt>
                <c:pt idx="3">
                  <c:v>2727</c:v>
                </c:pt>
              </c:numCache>
            </c:numRef>
          </c:val>
          <c:smooth val="0"/>
        </c:ser>
        <c:ser>
          <c:idx val="6"/>
          <c:order val="6"/>
          <c:tx>
            <c:strRef>
              <c:f>various!$B$532</c:f>
              <c:strCache>
                <c:ptCount val="1"/>
                <c:pt idx="0">
                  <c:v>Solar, marine and hydro power</c:v>
                </c:pt>
              </c:strCache>
            </c:strRef>
          </c:tx>
          <c:spPr>
            <a:ln w="19050" cmpd="sng">
              <a:solidFill>
                <a:schemeClr val="tx1"/>
              </a:solidFill>
              <a:prstDash val="lgDashDot"/>
            </a:ln>
          </c:spPr>
          <c:marker>
            <c:symbol val="none"/>
          </c:marker>
          <c:cat>
            <c:numRef>
              <c:f>various!$C$525:$F$525</c:f>
              <c:numCache>
                <c:formatCode>General</c:formatCode>
                <c:ptCount val="4"/>
                <c:pt idx="0">
                  <c:v>1</c:v>
                </c:pt>
                <c:pt idx="1">
                  <c:v>2</c:v>
                </c:pt>
                <c:pt idx="2">
                  <c:v>3</c:v>
                </c:pt>
                <c:pt idx="3">
                  <c:v>4</c:v>
                </c:pt>
              </c:numCache>
            </c:numRef>
          </c:cat>
          <c:val>
            <c:numRef>
              <c:f>various!$C$532:$F$532</c:f>
              <c:numCache>
                <c:formatCode>General</c:formatCode>
                <c:ptCount val="4"/>
                <c:pt idx="0">
                  <c:v>1015</c:v>
                </c:pt>
                <c:pt idx="1">
                  <c:v>3139</c:v>
                </c:pt>
                <c:pt idx="2">
                  <c:v>4013</c:v>
                </c:pt>
                <c:pt idx="3">
                  <c:v>2816</c:v>
                </c:pt>
              </c:numCache>
            </c:numRef>
          </c:val>
          <c:smooth val="0"/>
        </c:ser>
        <c:dLbls>
          <c:showLegendKey val="0"/>
          <c:showVal val="0"/>
          <c:showCatName val="0"/>
          <c:showSerName val="0"/>
          <c:showPercent val="0"/>
          <c:showBubbleSize val="0"/>
        </c:dLbls>
        <c:marker val="1"/>
        <c:smooth val="0"/>
        <c:axId val="134469120"/>
        <c:axId val="134471040"/>
      </c:lineChart>
      <c:catAx>
        <c:axId val="134469120"/>
        <c:scaling>
          <c:orientation val="minMax"/>
        </c:scaling>
        <c:delete val="0"/>
        <c:axPos val="b"/>
        <c:title>
          <c:tx>
            <c:rich>
              <a:bodyPr/>
              <a:lstStyle/>
              <a:p>
                <a:pPr>
                  <a:defRPr sz="1100">
                    <a:latin typeface="+mn-lt"/>
                  </a:defRPr>
                </a:pPr>
                <a:r>
                  <a:rPr lang="en-US" sz="1100">
                    <a:latin typeface="+mn-lt"/>
                  </a:rPr>
                  <a:t>Settings</a:t>
                </a:r>
                <a:r>
                  <a:rPr lang="en-US" sz="1100" baseline="0">
                    <a:latin typeface="+mn-lt"/>
                  </a:rPr>
                  <a:t> </a:t>
                </a:r>
                <a:r>
                  <a:rPr lang="en-US" sz="1100">
                    <a:latin typeface="+mn-lt"/>
                  </a:rPr>
                  <a:t>selected </a:t>
                </a:r>
              </a:p>
              <a:p>
                <a:pPr>
                  <a:defRPr sz="1100">
                    <a:latin typeface="+mn-lt"/>
                  </a:defRPr>
                </a:pPr>
                <a:r>
                  <a:rPr lang="en-US" sz="1100">
                    <a:latin typeface="+mn-lt"/>
                  </a:rPr>
                  <a:t>1 = low effort;</a:t>
                </a:r>
                <a:r>
                  <a:rPr lang="en-US" sz="1100" baseline="0">
                    <a:latin typeface="+mn-lt"/>
                  </a:rPr>
                  <a:t> 4 = high effort</a:t>
                </a:r>
                <a:endParaRPr lang="en-US" sz="1100">
                  <a:latin typeface="+mn-lt"/>
                </a:endParaRPr>
              </a:p>
            </c:rich>
          </c:tx>
          <c:overlay val="0"/>
        </c:title>
        <c:numFmt formatCode="General" sourceLinked="1"/>
        <c:majorTickMark val="out"/>
        <c:minorTickMark val="none"/>
        <c:tickLblPos val="nextTo"/>
        <c:txPr>
          <a:bodyPr/>
          <a:lstStyle/>
          <a:p>
            <a:pPr>
              <a:defRPr sz="900">
                <a:latin typeface="+mn-lt"/>
              </a:defRPr>
            </a:pPr>
            <a:endParaRPr lang="en-US"/>
          </a:p>
        </c:txPr>
        <c:crossAx val="134471040"/>
        <c:crosses val="autoZero"/>
        <c:auto val="1"/>
        <c:lblAlgn val="ctr"/>
        <c:lblOffset val="100"/>
        <c:noMultiLvlLbl val="0"/>
      </c:catAx>
      <c:valAx>
        <c:axId val="134471040"/>
        <c:scaling>
          <c:orientation val="minMax"/>
          <c:max val="8000"/>
        </c:scaling>
        <c:delete val="0"/>
        <c:axPos val="l"/>
        <c:majorGridlines>
          <c:spPr>
            <a:ln w="3175"/>
          </c:spPr>
        </c:majorGridlines>
        <c:title>
          <c:tx>
            <c:rich>
              <a:bodyPr rot="-5400000" vert="horz"/>
              <a:lstStyle/>
              <a:p>
                <a:pPr>
                  <a:defRPr sz="1100">
                    <a:latin typeface="+mn-lt"/>
                  </a:defRPr>
                </a:pPr>
                <a:r>
                  <a:rPr lang="en-US" sz="1100">
                    <a:latin typeface="+mn-lt"/>
                  </a:rPr>
                  <a:t>Frequency</a:t>
                </a:r>
                <a:r>
                  <a:rPr lang="en-US" sz="1100" baseline="0">
                    <a:latin typeface="+mn-lt"/>
                  </a:rPr>
                  <a:t> of selection</a:t>
                </a:r>
                <a:endParaRPr lang="en-US" sz="1100">
                  <a:latin typeface="+mn-lt"/>
                </a:endParaRPr>
              </a:p>
            </c:rich>
          </c:tx>
          <c:overlay val="0"/>
        </c:title>
        <c:numFmt formatCode="#,##0" sourceLinked="0"/>
        <c:majorTickMark val="out"/>
        <c:minorTickMark val="none"/>
        <c:tickLblPos val="nextTo"/>
        <c:txPr>
          <a:bodyPr/>
          <a:lstStyle/>
          <a:p>
            <a:pPr>
              <a:defRPr sz="900">
                <a:latin typeface="+mn-lt"/>
              </a:defRPr>
            </a:pPr>
            <a:endParaRPr lang="en-US"/>
          </a:p>
        </c:txPr>
        <c:crossAx val="134469120"/>
        <c:crosses val="autoZero"/>
        <c:crossBetween val="between"/>
      </c:valAx>
    </c:plotArea>
    <c:legend>
      <c:legendPos val="r"/>
      <c:layout>
        <c:manualLayout>
          <c:xMode val="edge"/>
          <c:yMode val="edge"/>
          <c:x val="0.64355624817730905"/>
          <c:y val="3.1935783811776898E-2"/>
          <c:w val="0.34366433362496401"/>
          <c:h val="0.90025375751797798"/>
        </c:manualLayout>
      </c:layout>
      <c:overlay val="0"/>
      <c:txPr>
        <a:bodyPr/>
        <a:lstStyle/>
        <a:p>
          <a:pPr>
            <a:defRPr sz="1100">
              <a:latin typeface="+mn-lt"/>
            </a:defRPr>
          </a:pPr>
          <a:endParaRPr lang="en-US"/>
        </a:p>
      </c:txPr>
    </c:legend>
    <c:plotVisOnly val="1"/>
    <c:dispBlanksAs val="gap"/>
    <c:showDLblsOverMax val="0"/>
  </c:chart>
  <c:spPr>
    <a:ln>
      <a:noFill/>
    </a:ln>
  </c:spPr>
  <c:txPr>
    <a:bodyPr/>
    <a:lstStyle/>
    <a:p>
      <a:pPr>
        <a:defRPr sz="1100">
          <a:latin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various!$B$534</c:f>
              <c:strCache>
                <c:ptCount val="1"/>
                <c:pt idx="0">
                  <c:v>Manufacturing growth </c:v>
                </c:pt>
              </c:strCache>
            </c:strRef>
          </c:tx>
          <c:spPr>
            <a:ln w="19050" cmpd="sng">
              <a:solidFill>
                <a:schemeClr val="tx1"/>
              </a:solidFill>
            </a:ln>
          </c:spPr>
          <c:marker>
            <c:symbol val="none"/>
          </c:marker>
          <c:cat>
            <c:numRef>
              <c:f>various!$C$533:$F$533</c:f>
              <c:numCache>
                <c:formatCode>General</c:formatCode>
                <c:ptCount val="4"/>
                <c:pt idx="0">
                  <c:v>1</c:v>
                </c:pt>
                <c:pt idx="1">
                  <c:v>2</c:v>
                </c:pt>
                <c:pt idx="2">
                  <c:v>3</c:v>
                </c:pt>
                <c:pt idx="3">
                  <c:v>4</c:v>
                </c:pt>
              </c:numCache>
            </c:numRef>
          </c:cat>
          <c:val>
            <c:numRef>
              <c:f>various!$C$534:$F$534</c:f>
              <c:numCache>
                <c:formatCode>General</c:formatCode>
                <c:ptCount val="4"/>
                <c:pt idx="0">
                  <c:v>2821</c:v>
                </c:pt>
                <c:pt idx="1">
                  <c:v>3921</c:v>
                </c:pt>
                <c:pt idx="2">
                  <c:v>2557</c:v>
                </c:pt>
                <c:pt idx="3">
                  <c:v>1684</c:v>
                </c:pt>
              </c:numCache>
            </c:numRef>
          </c:val>
          <c:smooth val="0"/>
        </c:ser>
        <c:ser>
          <c:idx val="1"/>
          <c:order val="1"/>
          <c:tx>
            <c:strRef>
              <c:f>various!$B$535</c:f>
              <c:strCache>
                <c:ptCount val="1"/>
                <c:pt idx="0">
                  <c:v>Business greenness</c:v>
                </c:pt>
              </c:strCache>
            </c:strRef>
          </c:tx>
          <c:spPr>
            <a:ln w="19050" cmpd="sng">
              <a:solidFill>
                <a:schemeClr val="tx1"/>
              </a:solidFill>
              <a:prstDash val="lgDash"/>
            </a:ln>
          </c:spPr>
          <c:marker>
            <c:symbol val="none"/>
          </c:marker>
          <c:cat>
            <c:numRef>
              <c:f>various!$C$533:$F$533</c:f>
              <c:numCache>
                <c:formatCode>General</c:formatCode>
                <c:ptCount val="4"/>
                <c:pt idx="0">
                  <c:v>1</c:v>
                </c:pt>
                <c:pt idx="1">
                  <c:v>2</c:v>
                </c:pt>
                <c:pt idx="2">
                  <c:v>3</c:v>
                </c:pt>
                <c:pt idx="3">
                  <c:v>4</c:v>
                </c:pt>
              </c:numCache>
            </c:numRef>
          </c:cat>
          <c:val>
            <c:numRef>
              <c:f>various!$C$535:$F$535</c:f>
              <c:numCache>
                <c:formatCode>General</c:formatCode>
                <c:ptCount val="4"/>
                <c:pt idx="0">
                  <c:v>108</c:v>
                </c:pt>
                <c:pt idx="1">
                  <c:v>893</c:v>
                </c:pt>
                <c:pt idx="2">
                  <c:v>4269</c:v>
                </c:pt>
                <c:pt idx="3">
                  <c:v>5713</c:v>
                </c:pt>
              </c:numCache>
            </c:numRef>
          </c:val>
          <c:smooth val="0"/>
        </c:ser>
        <c:ser>
          <c:idx val="2"/>
          <c:order val="2"/>
          <c:tx>
            <c:strRef>
              <c:f>various!$B$536</c:f>
              <c:strCache>
                <c:ptCount val="1"/>
                <c:pt idx="0">
                  <c:v>Home efficiency</c:v>
                </c:pt>
              </c:strCache>
            </c:strRef>
          </c:tx>
          <c:spPr>
            <a:ln w="19050" cmpd="sng">
              <a:solidFill>
                <a:schemeClr val="tx1"/>
              </a:solidFill>
              <a:prstDash val="lgDashDot"/>
            </a:ln>
          </c:spPr>
          <c:marker>
            <c:symbol val="none"/>
          </c:marker>
          <c:cat>
            <c:numRef>
              <c:f>various!$C$533:$F$533</c:f>
              <c:numCache>
                <c:formatCode>General</c:formatCode>
                <c:ptCount val="4"/>
                <c:pt idx="0">
                  <c:v>1</c:v>
                </c:pt>
                <c:pt idx="1">
                  <c:v>2</c:v>
                </c:pt>
                <c:pt idx="2">
                  <c:v>3</c:v>
                </c:pt>
                <c:pt idx="3">
                  <c:v>4</c:v>
                </c:pt>
              </c:numCache>
            </c:numRef>
          </c:cat>
          <c:val>
            <c:numRef>
              <c:f>various!$C$536:$F$536</c:f>
              <c:numCache>
                <c:formatCode>General</c:formatCode>
                <c:ptCount val="4"/>
                <c:pt idx="0">
                  <c:v>272</c:v>
                </c:pt>
                <c:pt idx="1">
                  <c:v>745</c:v>
                </c:pt>
                <c:pt idx="2">
                  <c:v>4525</c:v>
                </c:pt>
                <c:pt idx="3">
                  <c:v>5441</c:v>
                </c:pt>
              </c:numCache>
            </c:numRef>
          </c:val>
          <c:smooth val="0"/>
        </c:ser>
        <c:ser>
          <c:idx val="3"/>
          <c:order val="3"/>
          <c:tx>
            <c:strRef>
              <c:f>various!$B$537</c:f>
              <c:strCache>
                <c:ptCount val="1"/>
                <c:pt idx="0">
                  <c:v>Home temperature </c:v>
                </c:pt>
              </c:strCache>
            </c:strRef>
          </c:tx>
          <c:spPr>
            <a:ln w="19050" cmpd="sng">
              <a:solidFill>
                <a:schemeClr val="tx1"/>
              </a:solidFill>
              <a:prstDash val="sysDot"/>
            </a:ln>
          </c:spPr>
          <c:marker>
            <c:symbol val="none"/>
          </c:marker>
          <c:cat>
            <c:numRef>
              <c:f>various!$C$533:$F$533</c:f>
              <c:numCache>
                <c:formatCode>General</c:formatCode>
                <c:ptCount val="4"/>
                <c:pt idx="0">
                  <c:v>1</c:v>
                </c:pt>
                <c:pt idx="1">
                  <c:v>2</c:v>
                </c:pt>
                <c:pt idx="2">
                  <c:v>3</c:v>
                </c:pt>
                <c:pt idx="3">
                  <c:v>4</c:v>
                </c:pt>
              </c:numCache>
            </c:numRef>
          </c:cat>
          <c:val>
            <c:numRef>
              <c:f>various!$C$537:$F$537</c:f>
              <c:numCache>
                <c:formatCode>General</c:formatCode>
                <c:ptCount val="4"/>
                <c:pt idx="0">
                  <c:v>1557</c:v>
                </c:pt>
                <c:pt idx="1">
                  <c:v>2859</c:v>
                </c:pt>
                <c:pt idx="2">
                  <c:v>4521</c:v>
                </c:pt>
                <c:pt idx="3">
                  <c:v>2046</c:v>
                </c:pt>
              </c:numCache>
            </c:numRef>
          </c:val>
          <c:smooth val="0"/>
        </c:ser>
        <c:ser>
          <c:idx val="4"/>
          <c:order val="4"/>
          <c:tx>
            <c:strRef>
              <c:f>various!$B$538</c:f>
              <c:strCache>
                <c:ptCount val="1"/>
                <c:pt idx="0">
                  <c:v>Heating fuel</c:v>
                </c:pt>
              </c:strCache>
            </c:strRef>
          </c:tx>
          <c:spPr>
            <a:ln w="19050" cmpd="sng">
              <a:solidFill>
                <a:schemeClr val="tx1"/>
              </a:solidFill>
              <a:prstDash val="dashDot"/>
            </a:ln>
          </c:spPr>
          <c:marker>
            <c:symbol val="none"/>
          </c:marker>
          <c:cat>
            <c:numRef>
              <c:f>various!$C$533:$F$533</c:f>
              <c:numCache>
                <c:formatCode>General</c:formatCode>
                <c:ptCount val="4"/>
                <c:pt idx="0">
                  <c:v>1</c:v>
                </c:pt>
                <c:pt idx="1">
                  <c:v>2</c:v>
                </c:pt>
                <c:pt idx="2">
                  <c:v>3</c:v>
                </c:pt>
                <c:pt idx="3">
                  <c:v>4</c:v>
                </c:pt>
              </c:numCache>
            </c:numRef>
          </c:cat>
          <c:val>
            <c:numRef>
              <c:f>various!$C$538:$F$538</c:f>
              <c:numCache>
                <c:formatCode>General</c:formatCode>
                <c:ptCount val="4"/>
                <c:pt idx="0">
                  <c:v>533</c:v>
                </c:pt>
                <c:pt idx="1">
                  <c:v>1195</c:v>
                </c:pt>
                <c:pt idx="2">
                  <c:v>5209</c:v>
                </c:pt>
                <c:pt idx="3">
                  <c:v>4046</c:v>
                </c:pt>
              </c:numCache>
            </c:numRef>
          </c:val>
          <c:smooth val="0"/>
        </c:ser>
        <c:ser>
          <c:idx val="5"/>
          <c:order val="5"/>
          <c:tx>
            <c:strRef>
              <c:f>various!$B$539</c:f>
              <c:strCache>
                <c:ptCount val="1"/>
                <c:pt idx="0">
                  <c:v>How we travel</c:v>
                </c:pt>
              </c:strCache>
            </c:strRef>
          </c:tx>
          <c:spPr>
            <a:ln w="19050" cmpd="sng">
              <a:solidFill>
                <a:schemeClr val="tx1"/>
              </a:solidFill>
              <a:prstDash val="sysDash"/>
            </a:ln>
          </c:spPr>
          <c:marker>
            <c:symbol val="none"/>
          </c:marker>
          <c:cat>
            <c:numRef>
              <c:f>various!$C$533:$F$533</c:f>
              <c:numCache>
                <c:formatCode>General</c:formatCode>
                <c:ptCount val="4"/>
                <c:pt idx="0">
                  <c:v>1</c:v>
                </c:pt>
                <c:pt idx="1">
                  <c:v>2</c:v>
                </c:pt>
                <c:pt idx="2">
                  <c:v>3</c:v>
                </c:pt>
                <c:pt idx="3">
                  <c:v>4</c:v>
                </c:pt>
              </c:numCache>
            </c:numRef>
          </c:cat>
          <c:val>
            <c:numRef>
              <c:f>various!$C$539:$F$539</c:f>
              <c:numCache>
                <c:formatCode>General</c:formatCode>
                <c:ptCount val="4"/>
                <c:pt idx="0">
                  <c:v>659</c:v>
                </c:pt>
                <c:pt idx="1">
                  <c:v>2221</c:v>
                </c:pt>
                <c:pt idx="2">
                  <c:v>4612</c:v>
                </c:pt>
                <c:pt idx="3">
                  <c:v>3491</c:v>
                </c:pt>
              </c:numCache>
            </c:numRef>
          </c:val>
          <c:smooth val="0"/>
        </c:ser>
        <c:ser>
          <c:idx val="6"/>
          <c:order val="6"/>
          <c:tx>
            <c:strRef>
              <c:f>various!$B$540</c:f>
              <c:strCache>
                <c:ptCount val="1"/>
                <c:pt idx="0">
                  <c:v>Transport fuel</c:v>
                </c:pt>
              </c:strCache>
            </c:strRef>
          </c:tx>
          <c:spPr>
            <a:ln w="19050" cmpd="sng">
              <a:solidFill>
                <a:schemeClr val="tx1"/>
              </a:solidFill>
              <a:prstDash val="dash"/>
            </a:ln>
          </c:spPr>
          <c:marker>
            <c:symbol val="none"/>
          </c:marker>
          <c:cat>
            <c:numRef>
              <c:f>various!$C$533:$F$533</c:f>
              <c:numCache>
                <c:formatCode>General</c:formatCode>
                <c:ptCount val="4"/>
                <c:pt idx="0">
                  <c:v>1</c:v>
                </c:pt>
                <c:pt idx="1">
                  <c:v>2</c:v>
                </c:pt>
                <c:pt idx="2">
                  <c:v>3</c:v>
                </c:pt>
                <c:pt idx="3">
                  <c:v>4</c:v>
                </c:pt>
              </c:numCache>
            </c:numRef>
          </c:cat>
          <c:val>
            <c:numRef>
              <c:f>various!$C$540:$F$540</c:f>
              <c:numCache>
                <c:formatCode>General</c:formatCode>
                <c:ptCount val="4"/>
                <c:pt idx="0">
                  <c:v>328</c:v>
                </c:pt>
                <c:pt idx="1">
                  <c:v>2090</c:v>
                </c:pt>
                <c:pt idx="2">
                  <c:v>4494</c:v>
                </c:pt>
                <c:pt idx="3">
                  <c:v>4071</c:v>
                </c:pt>
              </c:numCache>
            </c:numRef>
          </c:val>
          <c:smooth val="0"/>
        </c:ser>
        <c:dLbls>
          <c:showLegendKey val="0"/>
          <c:showVal val="0"/>
          <c:showCatName val="0"/>
          <c:showSerName val="0"/>
          <c:showPercent val="0"/>
          <c:showBubbleSize val="0"/>
        </c:dLbls>
        <c:marker val="1"/>
        <c:smooth val="0"/>
        <c:axId val="134652288"/>
        <c:axId val="134654208"/>
      </c:lineChart>
      <c:catAx>
        <c:axId val="134652288"/>
        <c:scaling>
          <c:orientation val="minMax"/>
        </c:scaling>
        <c:delete val="0"/>
        <c:axPos val="b"/>
        <c:title>
          <c:tx>
            <c:rich>
              <a:bodyPr/>
              <a:lstStyle/>
              <a:p>
                <a:pPr>
                  <a:defRPr>
                    <a:latin typeface="+mn-lt"/>
                  </a:defRPr>
                </a:pPr>
                <a:r>
                  <a:rPr lang="en-US">
                    <a:latin typeface="+mn-lt"/>
                  </a:rPr>
                  <a:t>Settings</a:t>
                </a:r>
                <a:r>
                  <a:rPr lang="en-US" baseline="0">
                    <a:latin typeface="+mn-lt"/>
                  </a:rPr>
                  <a:t> </a:t>
                </a:r>
                <a:r>
                  <a:rPr lang="en-US">
                    <a:latin typeface="+mn-lt"/>
                  </a:rPr>
                  <a:t>selected</a:t>
                </a:r>
              </a:p>
              <a:p>
                <a:pPr>
                  <a:defRPr>
                    <a:latin typeface="+mn-lt"/>
                  </a:defRPr>
                </a:pPr>
                <a:r>
                  <a:rPr lang="en-US">
                    <a:latin typeface="+mn-lt"/>
                  </a:rPr>
                  <a:t>1 = low effort; 4 = high effort</a:t>
                </a:r>
              </a:p>
            </c:rich>
          </c:tx>
          <c:overlay val="0"/>
        </c:title>
        <c:numFmt formatCode="General" sourceLinked="1"/>
        <c:majorTickMark val="out"/>
        <c:minorTickMark val="none"/>
        <c:tickLblPos val="nextTo"/>
        <c:txPr>
          <a:bodyPr/>
          <a:lstStyle/>
          <a:p>
            <a:pPr>
              <a:defRPr sz="900">
                <a:latin typeface="+mn-lt"/>
              </a:defRPr>
            </a:pPr>
            <a:endParaRPr lang="en-US"/>
          </a:p>
        </c:txPr>
        <c:crossAx val="134654208"/>
        <c:crosses val="autoZero"/>
        <c:auto val="1"/>
        <c:lblAlgn val="ctr"/>
        <c:lblOffset val="100"/>
        <c:noMultiLvlLbl val="0"/>
      </c:catAx>
      <c:valAx>
        <c:axId val="134654208"/>
        <c:scaling>
          <c:orientation val="minMax"/>
        </c:scaling>
        <c:delete val="0"/>
        <c:axPos val="l"/>
        <c:majorGridlines/>
        <c:title>
          <c:tx>
            <c:rich>
              <a:bodyPr rot="-5400000" vert="horz"/>
              <a:lstStyle/>
              <a:p>
                <a:pPr>
                  <a:defRPr>
                    <a:latin typeface="+mn-lt"/>
                  </a:defRPr>
                </a:pPr>
                <a:r>
                  <a:rPr lang="en-US">
                    <a:latin typeface="+mn-lt"/>
                  </a:rPr>
                  <a:t>Frequency</a:t>
                </a:r>
                <a:r>
                  <a:rPr lang="en-US" baseline="0">
                    <a:latin typeface="+mn-lt"/>
                  </a:rPr>
                  <a:t> of selection</a:t>
                </a:r>
                <a:endParaRPr lang="en-US">
                  <a:latin typeface="+mn-lt"/>
                </a:endParaRPr>
              </a:p>
            </c:rich>
          </c:tx>
          <c:overlay val="0"/>
        </c:title>
        <c:numFmt formatCode="#,##0" sourceLinked="0"/>
        <c:majorTickMark val="out"/>
        <c:minorTickMark val="none"/>
        <c:tickLblPos val="nextTo"/>
        <c:txPr>
          <a:bodyPr/>
          <a:lstStyle/>
          <a:p>
            <a:pPr>
              <a:defRPr sz="900">
                <a:latin typeface="+mn-lt"/>
              </a:defRPr>
            </a:pPr>
            <a:endParaRPr lang="en-US"/>
          </a:p>
        </c:txPr>
        <c:crossAx val="134652288"/>
        <c:crosses val="autoZero"/>
        <c:crossBetween val="between"/>
      </c:valAx>
    </c:plotArea>
    <c:legend>
      <c:legendPos val="r"/>
      <c:layout>
        <c:manualLayout>
          <c:xMode val="edge"/>
          <c:yMode val="edge"/>
          <c:x val="0.66416356809565202"/>
          <c:y val="3.3687570303712E-2"/>
          <c:w val="0.32276447214931497"/>
          <c:h val="0.94333886389201105"/>
        </c:manualLayout>
      </c:layout>
      <c:overlay val="0"/>
      <c:txPr>
        <a:bodyPr/>
        <a:lstStyle/>
        <a:p>
          <a:pPr>
            <a:defRPr>
              <a:latin typeface="+mn-lt"/>
            </a:defRPr>
          </a:pPr>
          <a:endParaRPr lang="en-US"/>
        </a:p>
      </c:txPr>
    </c:legend>
    <c:plotVisOnly val="1"/>
    <c:dispBlanksAs val="gap"/>
    <c:showDLblsOverMax val="0"/>
  </c:chart>
  <c:spPr>
    <a:ln>
      <a:noFill/>
    </a:ln>
  </c:spPr>
  <c:txPr>
    <a:bodyPr/>
    <a:lstStyle/>
    <a:p>
      <a:pPr>
        <a:defRPr sz="1100">
          <a:latin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Pt>
            <c:idx val="0"/>
            <c:invertIfNegative val="0"/>
            <c:bubble3D val="0"/>
            <c:spPr>
              <a:solidFill>
                <a:srgbClr val="BFBFBF"/>
              </a:solidFill>
            </c:spPr>
          </c:dPt>
          <c:dPt>
            <c:idx val="1"/>
            <c:invertIfNegative val="0"/>
            <c:bubble3D val="0"/>
            <c:spPr>
              <a:solidFill>
                <a:srgbClr val="BFBFBF"/>
              </a:solidFill>
            </c:spPr>
          </c:dPt>
          <c:dPt>
            <c:idx val="2"/>
            <c:invertIfNegative val="0"/>
            <c:bubble3D val="0"/>
            <c:spPr>
              <a:solidFill>
                <a:srgbClr val="BFBFBF"/>
              </a:solidFill>
            </c:spPr>
          </c:dPt>
          <c:dPt>
            <c:idx val="3"/>
            <c:invertIfNegative val="0"/>
            <c:bubble3D val="0"/>
            <c:spPr>
              <a:solidFill>
                <a:srgbClr val="BFBFBF"/>
              </a:solidFill>
            </c:spPr>
          </c:dPt>
          <c:dPt>
            <c:idx val="4"/>
            <c:invertIfNegative val="0"/>
            <c:bubble3D val="0"/>
            <c:spPr>
              <a:solidFill>
                <a:schemeClr val="tx1"/>
              </a:solidFill>
            </c:spPr>
          </c:dPt>
          <c:dPt>
            <c:idx val="5"/>
            <c:invertIfNegative val="0"/>
            <c:bubble3D val="0"/>
            <c:spPr>
              <a:solidFill>
                <a:srgbClr val="BFBFBF"/>
              </a:solidFill>
            </c:spPr>
          </c:dPt>
          <c:dPt>
            <c:idx val="6"/>
            <c:invertIfNegative val="0"/>
            <c:bubble3D val="0"/>
            <c:spPr>
              <a:solidFill>
                <a:srgbClr val="000000"/>
              </a:solidFill>
            </c:spPr>
          </c:dPt>
          <c:dPt>
            <c:idx val="7"/>
            <c:invertIfNegative val="0"/>
            <c:bubble3D val="0"/>
            <c:spPr>
              <a:solidFill>
                <a:srgbClr val="000000"/>
              </a:solidFill>
            </c:spPr>
          </c:dPt>
          <c:dPt>
            <c:idx val="8"/>
            <c:invertIfNegative val="0"/>
            <c:bubble3D val="0"/>
            <c:spPr>
              <a:solidFill>
                <a:srgbClr val="000000"/>
              </a:solidFill>
            </c:spPr>
          </c:dPt>
          <c:dPt>
            <c:idx val="9"/>
            <c:invertIfNegative val="0"/>
            <c:bubble3D val="0"/>
            <c:spPr>
              <a:solidFill>
                <a:srgbClr val="BFBFBF"/>
              </a:solidFill>
            </c:spPr>
          </c:dPt>
          <c:dPt>
            <c:idx val="10"/>
            <c:invertIfNegative val="0"/>
            <c:bubble3D val="0"/>
            <c:spPr>
              <a:solidFill>
                <a:srgbClr val="000000"/>
              </a:solidFill>
            </c:spPr>
          </c:dPt>
          <c:dPt>
            <c:idx val="11"/>
            <c:invertIfNegative val="0"/>
            <c:bubble3D val="0"/>
            <c:spPr>
              <a:solidFill>
                <a:srgbClr val="BFBFBF"/>
              </a:solidFill>
            </c:spPr>
          </c:dPt>
          <c:dPt>
            <c:idx val="12"/>
            <c:invertIfNegative val="0"/>
            <c:bubble3D val="0"/>
            <c:spPr>
              <a:solidFill>
                <a:srgbClr val="000000"/>
              </a:solidFill>
            </c:spPr>
          </c:dPt>
          <c:dPt>
            <c:idx val="13"/>
            <c:invertIfNegative val="0"/>
            <c:bubble3D val="0"/>
            <c:spPr>
              <a:solidFill>
                <a:srgbClr val="000000"/>
              </a:solidFill>
            </c:spPr>
          </c:dPt>
          <c:cat>
            <c:strRef>
              <c:f>Sheet1!$B$2:$B$15</c:f>
              <c:strCache>
                <c:ptCount val="14"/>
                <c:pt idx="0">
                  <c:v>Business greenness</c:v>
                </c:pt>
                <c:pt idx="1">
                  <c:v>Home efficiency</c:v>
                </c:pt>
                <c:pt idx="2">
                  <c:v>Heating fuel</c:v>
                </c:pt>
                <c:pt idx="3">
                  <c:v>Transport fuel</c:v>
                </c:pt>
                <c:pt idx="4">
                  <c:v>Oil, gas and coal power </c:v>
                </c:pt>
                <c:pt idx="5">
                  <c:v>How we travel</c:v>
                </c:pt>
                <c:pt idx="6">
                  <c:v>Wind turbines on sea</c:v>
                </c:pt>
                <c:pt idx="7">
                  <c:v>Solar, marine and hydro power</c:v>
                </c:pt>
                <c:pt idx="8">
                  <c:v>Biofuel production</c:v>
                </c:pt>
                <c:pt idx="9">
                  <c:v>Home temperature </c:v>
                </c:pt>
                <c:pt idx="10">
                  <c:v>Wind turbines on land</c:v>
                </c:pt>
                <c:pt idx="11">
                  <c:v>Manufacturing growth </c:v>
                </c:pt>
                <c:pt idx="12">
                  <c:v>Clean coal and gas power</c:v>
                </c:pt>
                <c:pt idx="13">
                  <c:v>Nuclear power</c:v>
                </c:pt>
              </c:strCache>
            </c:strRef>
          </c:cat>
          <c:val>
            <c:numRef>
              <c:f>Sheet1!$C$2:$C$15</c:f>
              <c:numCache>
                <c:formatCode>0.00</c:formatCode>
                <c:ptCount val="14"/>
                <c:pt idx="0">
                  <c:v>3.4191932987344078</c:v>
                </c:pt>
                <c:pt idx="1">
                  <c:v>3.3780387872166071</c:v>
                </c:pt>
                <c:pt idx="2">
                  <c:v>3.1625239005736141</c:v>
                </c:pt>
                <c:pt idx="3">
                  <c:v>3.1206409906218702</c:v>
                </c:pt>
                <c:pt idx="4">
                  <c:v>3.086042065009559</c:v>
                </c:pt>
                <c:pt idx="5">
                  <c:v>2.9956296093963402</c:v>
                </c:pt>
                <c:pt idx="6">
                  <c:v>2.842848037876716</c:v>
                </c:pt>
                <c:pt idx="7">
                  <c:v>2.785759810616407</c:v>
                </c:pt>
                <c:pt idx="8">
                  <c:v>2.6751342984612578</c:v>
                </c:pt>
                <c:pt idx="9">
                  <c:v>2.6424474187380471</c:v>
                </c:pt>
                <c:pt idx="10">
                  <c:v>2.497314030774834</c:v>
                </c:pt>
                <c:pt idx="11">
                  <c:v>2.2826185923700271</c:v>
                </c:pt>
                <c:pt idx="12">
                  <c:v>2.230811253755804</c:v>
                </c:pt>
                <c:pt idx="13">
                  <c:v>2.1780934170991531</c:v>
                </c:pt>
              </c:numCache>
            </c:numRef>
          </c:val>
        </c:ser>
        <c:dLbls>
          <c:showLegendKey val="0"/>
          <c:showVal val="0"/>
          <c:showCatName val="0"/>
          <c:showSerName val="0"/>
          <c:showPercent val="0"/>
          <c:showBubbleSize val="0"/>
        </c:dLbls>
        <c:gapWidth val="150"/>
        <c:axId val="134675840"/>
        <c:axId val="134813184"/>
      </c:barChart>
      <c:catAx>
        <c:axId val="134675840"/>
        <c:scaling>
          <c:orientation val="minMax"/>
        </c:scaling>
        <c:delete val="0"/>
        <c:axPos val="b"/>
        <c:title>
          <c:tx>
            <c:rich>
              <a:bodyPr/>
              <a:lstStyle/>
              <a:p>
                <a:pPr algn="ctr">
                  <a:defRPr/>
                </a:pPr>
                <a:r>
                  <a:rPr lang="en-US" sz="1100" b="1" i="0" baseline="0">
                    <a:effectLst/>
                  </a:rPr>
                  <a:t>Sliders</a:t>
                </a:r>
                <a:endParaRPr lang="en-US" sz="1100">
                  <a:effectLst/>
                </a:endParaRPr>
              </a:p>
              <a:p>
                <a:pPr algn="ctr">
                  <a:defRPr/>
                </a:pPr>
                <a:r>
                  <a:rPr lang="en-US" sz="1100" b="1" i="0" baseline="0">
                    <a:effectLst/>
                  </a:rPr>
                  <a:t>Grey = Demand; Black = Supply</a:t>
                </a:r>
                <a:endParaRPr lang="en-US" sz="1100">
                  <a:effectLst/>
                </a:endParaRPr>
              </a:p>
            </c:rich>
          </c:tx>
          <c:overlay val="0"/>
        </c:title>
        <c:majorTickMark val="out"/>
        <c:minorTickMark val="none"/>
        <c:tickLblPos val="nextTo"/>
        <c:txPr>
          <a:bodyPr/>
          <a:lstStyle/>
          <a:p>
            <a:pPr>
              <a:defRPr sz="1100"/>
            </a:pPr>
            <a:endParaRPr lang="en-US"/>
          </a:p>
        </c:txPr>
        <c:crossAx val="134813184"/>
        <c:crosses val="autoZero"/>
        <c:auto val="1"/>
        <c:lblAlgn val="ctr"/>
        <c:lblOffset val="100"/>
        <c:noMultiLvlLbl val="0"/>
      </c:catAx>
      <c:valAx>
        <c:axId val="134813184"/>
        <c:scaling>
          <c:orientation val="minMax"/>
        </c:scaling>
        <c:delete val="0"/>
        <c:axPos val="l"/>
        <c:majorGridlines/>
        <c:title>
          <c:tx>
            <c:rich>
              <a:bodyPr rot="-5400000" vert="horz"/>
              <a:lstStyle/>
              <a:p>
                <a:pPr>
                  <a:defRPr sz="1100"/>
                </a:pPr>
                <a:r>
                  <a:rPr lang="en-US" sz="1100"/>
                  <a:t>Frequency-weighted mean</a:t>
                </a:r>
              </a:p>
              <a:p>
                <a:pPr>
                  <a:defRPr sz="1100"/>
                </a:pPr>
                <a:r>
                  <a:rPr lang="en-US" sz="1100" baseline="0"/>
                  <a:t> of settings selected</a:t>
                </a:r>
                <a:endParaRPr lang="en-US" sz="1100"/>
              </a:p>
            </c:rich>
          </c:tx>
          <c:overlay val="0"/>
        </c:title>
        <c:numFmt formatCode="0.0" sourceLinked="0"/>
        <c:majorTickMark val="out"/>
        <c:minorTickMark val="none"/>
        <c:tickLblPos val="nextTo"/>
        <c:txPr>
          <a:bodyPr/>
          <a:lstStyle/>
          <a:p>
            <a:pPr>
              <a:defRPr sz="1100"/>
            </a:pPr>
            <a:endParaRPr lang="en-US"/>
          </a:p>
        </c:txPr>
        <c:crossAx val="13467584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9F51C3-7E09-4D0F-9C9E-A809A5B93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49</Pages>
  <Words>10850</Words>
  <Characters>61849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UWE Bristol</Company>
  <LinksUpToDate>false</LinksUpToDate>
  <CharactersWithSpaces>72554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dc:creator>
  <cp:lastModifiedBy>Tim Chatterton</cp:lastModifiedBy>
  <cp:revision>9</cp:revision>
  <cp:lastPrinted>2013-06-14T18:35:00Z</cp:lastPrinted>
  <dcterms:created xsi:type="dcterms:W3CDTF">2013-07-19T14:12:00Z</dcterms:created>
  <dcterms:modified xsi:type="dcterms:W3CDTF">2013-07-19T17:50:00Z</dcterms:modified>
</cp:coreProperties>
</file>