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7112A" w14:textId="77777777" w:rsidR="00957DF6" w:rsidRDefault="00586846" w:rsidP="00043696">
      <w:pPr>
        <w:pStyle w:val="Title"/>
        <w:spacing w:line="360" w:lineRule="auto"/>
        <w:jc w:val="center"/>
        <w:rPr>
          <w:rFonts w:ascii="Times New Roman" w:hAnsi="Times New Roman" w:cs="Times New Roman"/>
          <w:sz w:val="36"/>
          <w:szCs w:val="36"/>
        </w:rPr>
      </w:pPr>
      <w:bookmarkStart w:id="0" w:name="_GoBack"/>
      <w:bookmarkEnd w:id="0"/>
      <w:r w:rsidRPr="00F21388">
        <w:rPr>
          <w:rFonts w:ascii="Times New Roman" w:hAnsi="Times New Roman" w:cs="Times New Roman"/>
          <w:sz w:val="36"/>
          <w:szCs w:val="36"/>
        </w:rPr>
        <w:t xml:space="preserve">Brain Scanning and Lie Detectors: The Implications for Fundamental </w:t>
      </w:r>
      <w:r w:rsidR="00026B56" w:rsidRPr="00F21388">
        <w:rPr>
          <w:rFonts w:ascii="Times New Roman" w:hAnsi="Times New Roman" w:cs="Times New Roman"/>
          <w:sz w:val="36"/>
          <w:szCs w:val="36"/>
        </w:rPr>
        <w:t>Defence</w:t>
      </w:r>
      <w:r w:rsidRPr="00F21388">
        <w:rPr>
          <w:rFonts w:ascii="Times New Roman" w:hAnsi="Times New Roman" w:cs="Times New Roman"/>
          <w:sz w:val="36"/>
          <w:szCs w:val="36"/>
        </w:rPr>
        <w:t xml:space="preserve"> Rights</w:t>
      </w:r>
      <w:r w:rsidR="00957DF6">
        <w:rPr>
          <w:rFonts w:ascii="Times New Roman" w:hAnsi="Times New Roman" w:cs="Times New Roman"/>
          <w:sz w:val="36"/>
          <w:szCs w:val="36"/>
        </w:rPr>
        <w:t xml:space="preserve"> </w:t>
      </w:r>
    </w:p>
    <w:p w14:paraId="41AF3C66" w14:textId="01EDCAB1" w:rsidR="001E206E" w:rsidRPr="00957DF6" w:rsidRDefault="00957DF6" w:rsidP="00043696">
      <w:pPr>
        <w:pStyle w:val="Title"/>
        <w:spacing w:line="360" w:lineRule="auto"/>
        <w:jc w:val="center"/>
        <w:rPr>
          <w:rFonts w:asciiTheme="minorHAnsi" w:eastAsiaTheme="minorHAnsi" w:hAnsiTheme="minorHAnsi" w:cstheme="minorBidi"/>
          <w:color w:val="auto"/>
          <w:spacing w:val="0"/>
          <w:kern w:val="0"/>
          <w:sz w:val="24"/>
          <w:szCs w:val="24"/>
        </w:rPr>
      </w:pPr>
      <w:r w:rsidRPr="00957DF6">
        <w:rPr>
          <w:rFonts w:ascii="Times New Roman" w:hAnsi="Times New Roman" w:cs="Times New Roman"/>
          <w:sz w:val="24"/>
          <w:szCs w:val="24"/>
        </w:rPr>
        <w:t>Ed Johnston</w:t>
      </w:r>
      <w:r w:rsidR="001E206E" w:rsidRPr="00957DF6">
        <w:rPr>
          <w:rStyle w:val="EndnoteReference"/>
          <w:rFonts w:asciiTheme="minorHAnsi" w:eastAsiaTheme="minorHAnsi" w:hAnsiTheme="minorHAnsi" w:cstheme="minorBidi"/>
          <w:color w:val="auto"/>
          <w:spacing w:val="0"/>
          <w:kern w:val="0"/>
          <w:sz w:val="24"/>
          <w:szCs w:val="24"/>
        </w:rPr>
        <w:endnoteReference w:customMarkFollows="1" w:id="1"/>
        <w:sym w:font="Symbol" w:char="F02A"/>
      </w:r>
      <w:r w:rsidR="001E206E" w:rsidRPr="00957DF6">
        <w:rPr>
          <w:rFonts w:asciiTheme="minorHAnsi" w:eastAsiaTheme="minorHAnsi" w:hAnsiTheme="minorHAnsi" w:cstheme="minorBidi"/>
          <w:color w:val="auto"/>
          <w:spacing w:val="0"/>
          <w:kern w:val="0"/>
          <w:sz w:val="24"/>
          <w:szCs w:val="24"/>
        </w:rPr>
        <w:t xml:space="preserve"> </w:t>
      </w:r>
    </w:p>
    <w:p w14:paraId="7A42473A" w14:textId="77777777" w:rsidR="009F4FD3" w:rsidRDefault="009F4FD3" w:rsidP="00043696">
      <w:pPr>
        <w:pStyle w:val="Default"/>
        <w:spacing w:line="360" w:lineRule="auto"/>
        <w:jc w:val="both"/>
      </w:pPr>
    </w:p>
    <w:p w14:paraId="0DA90092" w14:textId="77777777" w:rsidR="00850A5D" w:rsidRDefault="00850A5D" w:rsidP="0097328C">
      <w:pPr>
        <w:pStyle w:val="Default"/>
        <w:spacing w:line="360" w:lineRule="auto"/>
        <w:ind w:firstLine="720"/>
        <w:jc w:val="both"/>
      </w:pPr>
    </w:p>
    <w:p w14:paraId="194207A4" w14:textId="77777777" w:rsidR="00850A5D" w:rsidRPr="0097328C" w:rsidRDefault="009F4FD3" w:rsidP="0097328C">
      <w:pPr>
        <w:pStyle w:val="Default"/>
        <w:spacing w:line="360" w:lineRule="auto"/>
        <w:ind w:firstLine="720"/>
        <w:jc w:val="both"/>
        <w:rPr>
          <w:b/>
        </w:rPr>
      </w:pPr>
      <w:r w:rsidRPr="0097328C">
        <w:rPr>
          <w:b/>
        </w:rPr>
        <w:t xml:space="preserve">Abstract </w:t>
      </w:r>
    </w:p>
    <w:p w14:paraId="0471E1E4" w14:textId="152BEDEE" w:rsidR="001E206E" w:rsidRDefault="001E206E" w:rsidP="00043696">
      <w:pPr>
        <w:pStyle w:val="Default"/>
        <w:spacing w:line="360" w:lineRule="auto"/>
        <w:jc w:val="both"/>
      </w:pPr>
      <w:r w:rsidRPr="000C1CCA">
        <w:t>This paper will examine how advancing neuroscientific technologies may impact on the fundamental human rights of the citizen</w:t>
      </w:r>
      <w:r>
        <w:t xml:space="preserve"> accused</w:t>
      </w:r>
      <w:r w:rsidRPr="000C1CCA">
        <w:t xml:space="preserve">. The paper takes an exploratory approach to analysis; the techniques </w:t>
      </w:r>
      <w:r>
        <w:t xml:space="preserve">explored throughout the paper </w:t>
      </w:r>
      <w:r w:rsidRPr="000C1CCA">
        <w:t xml:space="preserve">are in their infancy and yet to permeate the criminal justice </w:t>
      </w:r>
      <w:r>
        <w:t>process</w:t>
      </w:r>
      <w:r w:rsidRPr="000C1CCA">
        <w:t xml:space="preserve"> of England and Wales. </w:t>
      </w:r>
      <w:r>
        <w:t>A</w:t>
      </w:r>
      <w:r w:rsidRPr="000C1CCA">
        <w:t xml:space="preserve">s </w:t>
      </w:r>
      <w:r>
        <w:t>such</w:t>
      </w:r>
      <w:r w:rsidRPr="000C1CCA">
        <w:t xml:space="preserve"> technology develops, other jurisdictions may start relying on the technology and they may be utilized more frequently in </w:t>
      </w:r>
      <w:r>
        <w:t>criminal trials in countries around the world; which may influence the techniques use in England and Wales</w:t>
      </w:r>
      <w:r w:rsidRPr="000C1CCA">
        <w:t xml:space="preserve">. </w:t>
      </w:r>
      <w:r>
        <w:t>The</w:t>
      </w:r>
      <w:r w:rsidRPr="001A2ADF">
        <w:t xml:space="preserve"> paper will argue that adversarial criminal justice process of England and Wales should be concerned with both the domestic and</w:t>
      </w:r>
      <w:r>
        <w:t xml:space="preserve"> international developments in “lie detection”</w:t>
      </w:r>
      <w:r w:rsidRPr="001A2ADF">
        <w:t xml:space="preserve"> technology. Furthermore, England and Wales should resist any advances to utilize the technology at the pre-trial investigation or trial stage. The paper will conclude that there is a role for neuroscientific evidence to play in the criminal justice process; we just need to ascertain the parameters for its use</w:t>
      </w:r>
      <w:r>
        <w:t>.</w:t>
      </w:r>
    </w:p>
    <w:p w14:paraId="6AD4F7F1" w14:textId="77777777" w:rsidR="00E730C4" w:rsidRDefault="00E730C4" w:rsidP="00043696">
      <w:pPr>
        <w:pStyle w:val="Default"/>
        <w:spacing w:line="360" w:lineRule="auto"/>
        <w:jc w:val="both"/>
      </w:pPr>
    </w:p>
    <w:p w14:paraId="5CD84370" w14:textId="36B8FBD9" w:rsidR="00E730C4" w:rsidRPr="00E730C4" w:rsidRDefault="00E730C4" w:rsidP="0097328C">
      <w:pPr>
        <w:ind w:firstLine="720"/>
      </w:pPr>
      <w:r w:rsidRPr="0097328C">
        <w:rPr>
          <w:rFonts w:ascii="Times New Roman" w:hAnsi="Times New Roman" w:cs="Times New Roman"/>
          <w:sz w:val="24"/>
          <w:szCs w:val="24"/>
        </w:rPr>
        <w:t xml:space="preserve">1. </w:t>
      </w:r>
      <w:r w:rsidR="009F4FD3" w:rsidRPr="0097328C">
        <w:rPr>
          <w:rFonts w:ascii="Times New Roman" w:hAnsi="Times New Roman" w:cs="Times New Roman"/>
          <w:b/>
          <w:bCs/>
          <w:sz w:val="24"/>
          <w:szCs w:val="24"/>
        </w:rPr>
        <w:t>Introduction</w:t>
      </w:r>
      <w:r w:rsidRPr="0097328C">
        <w:rPr>
          <w:rFonts w:ascii="Times New Roman" w:hAnsi="Times New Roman" w:cs="Times New Roman"/>
          <w:sz w:val="24"/>
          <w:szCs w:val="24"/>
        </w:rPr>
        <w:t xml:space="preserve"> </w:t>
      </w:r>
    </w:p>
    <w:p w14:paraId="58107075" w14:textId="4D6C40D1" w:rsidR="001E206E" w:rsidRPr="004B636F" w:rsidRDefault="001E206E" w:rsidP="00043696">
      <w:pPr>
        <w:pStyle w:val="Default"/>
        <w:spacing w:line="360" w:lineRule="auto"/>
        <w:jc w:val="both"/>
        <w:rPr>
          <w:color w:val="auto"/>
        </w:rPr>
      </w:pPr>
      <w:r w:rsidRPr="004B636F">
        <w:rPr>
          <w:color w:val="auto"/>
        </w:rPr>
        <w:t>Currently, England and Wales do not employ the use of lie detectors in either the pre-trial</w:t>
      </w:r>
      <w:r w:rsidRPr="004B636F">
        <w:rPr>
          <w:rStyle w:val="EndnoteReference"/>
          <w:color w:val="auto"/>
        </w:rPr>
        <w:endnoteReference w:id="2"/>
      </w:r>
      <w:r w:rsidRPr="004B636F">
        <w:rPr>
          <w:color w:val="auto"/>
        </w:rPr>
        <w:t xml:space="preserve"> or trial stage; however, polygraph examinations are used to a limited extent in the post-conviction stage. The Offender Management Act 2007</w:t>
      </w:r>
      <w:r w:rsidRPr="004B636F">
        <w:rPr>
          <w:rStyle w:val="EndnoteReference"/>
          <w:color w:val="auto"/>
        </w:rPr>
        <w:endnoteReference w:id="3"/>
      </w:r>
      <w:r w:rsidRPr="004B636F">
        <w:rPr>
          <w:color w:val="auto"/>
        </w:rPr>
        <w:t xml:space="preserve"> provides that participation in a polygraph</w:t>
      </w:r>
      <w:r w:rsidRPr="004B636F">
        <w:rPr>
          <w:rStyle w:val="EndnoteReference"/>
          <w:color w:val="auto"/>
        </w:rPr>
        <w:endnoteReference w:id="4"/>
      </w:r>
      <w:r w:rsidRPr="004B636F">
        <w:rPr>
          <w:color w:val="auto"/>
        </w:rPr>
        <w:t xml:space="preserve"> examination may be a condition placed upon the release of a convicted sexual offender.</w:t>
      </w:r>
      <w:r w:rsidRPr="004B636F">
        <w:rPr>
          <w:rStyle w:val="EndnoteReference"/>
          <w:color w:val="auto"/>
        </w:rPr>
        <w:endnoteReference w:id="5"/>
      </w:r>
      <w:r w:rsidRPr="004B636F">
        <w:rPr>
          <w:color w:val="auto"/>
        </w:rPr>
        <w:t xml:space="preserve"> However, a safeguard is built into the statute that prohibits any statement made by an offender, in a polygraph examination, being used in criminal proceedings.</w:t>
      </w:r>
      <w:r w:rsidRPr="004B636F">
        <w:rPr>
          <w:rStyle w:val="EndnoteReference"/>
          <w:color w:val="auto"/>
        </w:rPr>
        <w:endnoteReference w:id="6"/>
      </w:r>
      <w:r w:rsidRPr="004B636F">
        <w:rPr>
          <w:color w:val="auto"/>
        </w:rPr>
        <w:t xml:space="preserve"> Despite this exclusion, clinical trials have taken place to potentially widen the use of the polygraph tests in the criminal justice process. In April 2012, Hertfordshire Police and Professor Don Grubin from Newcastle University examined twenty-five “low-level” sexual offenders.</w:t>
      </w:r>
      <w:r w:rsidRPr="004B636F">
        <w:rPr>
          <w:rStyle w:val="EndnoteReference"/>
          <w:color w:val="auto"/>
        </w:rPr>
        <w:endnoteReference w:id="7"/>
      </w:r>
      <w:r w:rsidRPr="004B636F">
        <w:rPr>
          <w:color w:val="auto"/>
        </w:rPr>
        <w:t xml:space="preserve"> The force claimed that the tests would be administered pre-charge and with the aim of ‘speed[ing] up the risk assessment process.’</w:t>
      </w:r>
      <w:r w:rsidRPr="004B636F">
        <w:rPr>
          <w:rStyle w:val="EndnoteReference"/>
          <w:color w:val="auto"/>
        </w:rPr>
        <w:endnoteReference w:id="8"/>
      </w:r>
      <w:r w:rsidRPr="004B636F">
        <w:rPr>
          <w:color w:val="auto"/>
        </w:rPr>
        <w:t xml:space="preserve"> Although the twelve-month trial was voluntary, it raises a </w:t>
      </w:r>
      <w:r w:rsidRPr="004B636F">
        <w:rPr>
          <w:color w:val="auto"/>
        </w:rPr>
        <w:lastRenderedPageBreak/>
        <w:t xml:space="preserve">number of questions about the potential impact for the suspect at the police station and trial stage. </w:t>
      </w:r>
    </w:p>
    <w:p w14:paraId="1CCEDCAA" w14:textId="67A1B55F" w:rsidR="00E730C4" w:rsidRPr="004B636F" w:rsidRDefault="001E206E" w:rsidP="004B636F">
      <w:pPr>
        <w:pStyle w:val="Heading1"/>
        <w:numPr>
          <w:ilvl w:val="0"/>
          <w:numId w:val="11"/>
        </w:numPr>
        <w:spacing w:line="360" w:lineRule="auto"/>
        <w:rPr>
          <w:rFonts w:ascii="Times New Roman" w:hAnsi="Times New Roman" w:cs="Times New Roman"/>
          <w:color w:val="auto"/>
          <w:sz w:val="24"/>
          <w:szCs w:val="24"/>
        </w:rPr>
      </w:pPr>
      <w:r w:rsidRPr="004B636F">
        <w:rPr>
          <w:rFonts w:ascii="Times New Roman" w:hAnsi="Times New Roman" w:cs="Times New Roman"/>
          <w:color w:val="auto"/>
          <w:sz w:val="24"/>
          <w:szCs w:val="24"/>
        </w:rPr>
        <w:t xml:space="preserve">Admissibility of Expert Evidence </w:t>
      </w:r>
    </w:p>
    <w:p w14:paraId="3FDE9388" w14:textId="71A27338" w:rsidR="001E206E" w:rsidRPr="004B636F" w:rsidRDefault="001E206E" w:rsidP="00043696">
      <w:pPr>
        <w:pStyle w:val="Default"/>
        <w:spacing w:line="360" w:lineRule="auto"/>
        <w:jc w:val="both"/>
        <w:rPr>
          <w:color w:val="auto"/>
        </w:rPr>
      </w:pPr>
      <w:r w:rsidRPr="004B636F">
        <w:rPr>
          <w:color w:val="auto"/>
        </w:rPr>
        <w:t>The general rule of admissibility under English law is that witnesses should only testify to matters within their knowledge; evidence of both opinion and belief are inadmissible.</w:t>
      </w:r>
      <w:r w:rsidRPr="004B636F">
        <w:rPr>
          <w:rStyle w:val="EndnoteReference"/>
          <w:color w:val="auto"/>
        </w:rPr>
        <w:endnoteReference w:id="9"/>
      </w:r>
      <w:r w:rsidRPr="004B636F">
        <w:rPr>
          <w:color w:val="auto"/>
        </w:rPr>
        <w:t xml:space="preserve"> However, there are common law exceptions to this. For an expert opinion to be admissible, the following needs to be satisfied: </w:t>
      </w:r>
    </w:p>
    <w:p w14:paraId="58CE9821" w14:textId="77777777" w:rsidR="001E206E" w:rsidRPr="004B636F" w:rsidRDefault="001E206E" w:rsidP="00043696">
      <w:pPr>
        <w:pStyle w:val="Default"/>
        <w:spacing w:line="360" w:lineRule="auto"/>
        <w:jc w:val="both"/>
        <w:rPr>
          <w:color w:val="auto"/>
        </w:rPr>
      </w:pPr>
    </w:p>
    <w:p w14:paraId="08AF0E05" w14:textId="77777777" w:rsidR="001E206E" w:rsidRPr="004B636F" w:rsidRDefault="001E206E" w:rsidP="00043696">
      <w:pPr>
        <w:pStyle w:val="Default"/>
        <w:numPr>
          <w:ilvl w:val="0"/>
          <w:numId w:val="1"/>
        </w:numPr>
        <w:spacing w:line="360" w:lineRule="auto"/>
        <w:jc w:val="both"/>
        <w:rPr>
          <w:color w:val="auto"/>
        </w:rPr>
      </w:pPr>
      <w:r w:rsidRPr="004B636F">
        <w:rPr>
          <w:color w:val="auto"/>
        </w:rPr>
        <w:t>It will be of assistance to the court;</w:t>
      </w:r>
      <w:r w:rsidRPr="004B636F">
        <w:rPr>
          <w:rStyle w:val="EndnoteReference"/>
          <w:color w:val="auto"/>
        </w:rPr>
        <w:endnoteReference w:id="10"/>
      </w:r>
    </w:p>
    <w:p w14:paraId="3EB99C19" w14:textId="77777777" w:rsidR="001E206E" w:rsidRPr="004B636F" w:rsidRDefault="001E206E" w:rsidP="00043696">
      <w:pPr>
        <w:pStyle w:val="Default"/>
        <w:numPr>
          <w:ilvl w:val="0"/>
          <w:numId w:val="1"/>
        </w:numPr>
        <w:spacing w:line="360" w:lineRule="auto"/>
        <w:jc w:val="both"/>
        <w:rPr>
          <w:color w:val="auto"/>
        </w:rPr>
      </w:pPr>
      <w:r w:rsidRPr="004B636F">
        <w:rPr>
          <w:color w:val="auto"/>
        </w:rPr>
        <w:t>The expert has relevant experience;</w:t>
      </w:r>
      <w:r w:rsidRPr="004B636F">
        <w:rPr>
          <w:rStyle w:val="EndnoteReference"/>
          <w:color w:val="auto"/>
        </w:rPr>
        <w:endnoteReference w:id="11"/>
      </w:r>
    </w:p>
    <w:p w14:paraId="71A65374" w14:textId="6DB29F25" w:rsidR="001E206E" w:rsidRPr="004B636F" w:rsidRDefault="001E206E" w:rsidP="00043696">
      <w:pPr>
        <w:pStyle w:val="Default"/>
        <w:numPr>
          <w:ilvl w:val="0"/>
          <w:numId w:val="1"/>
        </w:numPr>
        <w:spacing w:line="360" w:lineRule="auto"/>
        <w:jc w:val="both"/>
        <w:rPr>
          <w:color w:val="auto"/>
        </w:rPr>
      </w:pPr>
      <w:r w:rsidRPr="004B636F">
        <w:rPr>
          <w:color w:val="auto"/>
        </w:rPr>
        <w:t>The evidence is impartial</w:t>
      </w:r>
      <w:r w:rsidRPr="004B636F">
        <w:rPr>
          <w:rStyle w:val="EndnoteReference"/>
          <w:color w:val="auto"/>
        </w:rPr>
        <w:endnoteReference w:id="12"/>
      </w:r>
      <w:r w:rsidRPr="004B636F">
        <w:rPr>
          <w:color w:val="auto"/>
        </w:rPr>
        <w:t xml:space="preserve"> and;</w:t>
      </w:r>
    </w:p>
    <w:p w14:paraId="5EAB5397" w14:textId="2A576FF4" w:rsidR="001E206E" w:rsidRPr="004B636F" w:rsidRDefault="001E206E" w:rsidP="00043696">
      <w:pPr>
        <w:pStyle w:val="Default"/>
        <w:numPr>
          <w:ilvl w:val="0"/>
          <w:numId w:val="1"/>
        </w:numPr>
        <w:spacing w:line="360" w:lineRule="auto"/>
        <w:jc w:val="both"/>
        <w:rPr>
          <w:color w:val="auto"/>
        </w:rPr>
      </w:pPr>
      <w:r w:rsidRPr="004B636F">
        <w:rPr>
          <w:color w:val="auto"/>
        </w:rPr>
        <w:t xml:space="preserve">The evidence is reliable. </w:t>
      </w:r>
    </w:p>
    <w:p w14:paraId="4650F1C2" w14:textId="77777777" w:rsidR="001E206E" w:rsidRPr="004B636F" w:rsidRDefault="001E206E" w:rsidP="00043696">
      <w:pPr>
        <w:pStyle w:val="Default"/>
        <w:spacing w:line="360" w:lineRule="auto"/>
        <w:jc w:val="both"/>
        <w:rPr>
          <w:color w:val="auto"/>
        </w:rPr>
      </w:pPr>
    </w:p>
    <w:p w14:paraId="5E0EAEB9" w14:textId="4307AB1F" w:rsidR="001E206E" w:rsidRPr="009F4FD3" w:rsidRDefault="00903C6D" w:rsidP="00043696">
      <w:pPr>
        <w:widowControl w:val="0"/>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r</w:t>
      </w:r>
      <w:r w:rsidR="001E206E" w:rsidRPr="009F4FD3">
        <w:rPr>
          <w:rFonts w:ascii="Times New Roman" w:hAnsi="Times New Roman" w:cs="Times New Roman"/>
          <w:sz w:val="24"/>
          <w:szCs w:val="24"/>
        </w:rPr>
        <w:t>eliability of the evidence is of pivotal importance. There should be a sufficiently reliable scientific basis for the expert evidence.</w:t>
      </w:r>
      <w:r w:rsidR="001E206E" w:rsidRPr="009F4FD3">
        <w:rPr>
          <w:rStyle w:val="EndnoteReference"/>
          <w:rFonts w:ascii="Times New Roman" w:hAnsi="Times New Roman" w:cs="Times New Roman"/>
          <w:sz w:val="24"/>
          <w:szCs w:val="24"/>
        </w:rPr>
        <w:endnoteReference w:id="13"/>
      </w:r>
      <w:r w:rsidR="001E206E" w:rsidRPr="009F4FD3">
        <w:rPr>
          <w:rFonts w:ascii="Times New Roman" w:hAnsi="Times New Roman" w:cs="Times New Roman"/>
          <w:sz w:val="24"/>
          <w:szCs w:val="24"/>
        </w:rPr>
        <w:t xml:space="preserve"> Although, the neuroscientific technologies are yet to infiltrate the criminal trial process of England and Wales, </w:t>
      </w:r>
      <w:r>
        <w:rPr>
          <w:rFonts w:ascii="Times New Roman" w:hAnsi="Times New Roman" w:cs="Times New Roman"/>
          <w:sz w:val="24"/>
          <w:szCs w:val="24"/>
        </w:rPr>
        <w:t xml:space="preserve">therefore, </w:t>
      </w:r>
      <w:r w:rsidR="001E206E" w:rsidRPr="009F4FD3">
        <w:rPr>
          <w:rFonts w:ascii="Times New Roman" w:hAnsi="Times New Roman" w:cs="Times New Roman"/>
          <w:sz w:val="24"/>
          <w:szCs w:val="24"/>
        </w:rPr>
        <w:t xml:space="preserve">it is difficult to </w:t>
      </w:r>
      <w:r>
        <w:rPr>
          <w:rFonts w:ascii="Times New Roman" w:hAnsi="Times New Roman" w:cs="Times New Roman"/>
          <w:sz w:val="24"/>
          <w:szCs w:val="24"/>
        </w:rPr>
        <w:t xml:space="preserve">conceive if </w:t>
      </w:r>
      <w:r w:rsidR="001E206E" w:rsidRPr="009F4FD3">
        <w:rPr>
          <w:rFonts w:ascii="Times New Roman" w:hAnsi="Times New Roman" w:cs="Times New Roman"/>
          <w:sz w:val="24"/>
          <w:szCs w:val="24"/>
        </w:rPr>
        <w:t>the</w:t>
      </w:r>
      <w:r>
        <w:rPr>
          <w:rFonts w:ascii="Times New Roman" w:hAnsi="Times New Roman" w:cs="Times New Roman"/>
          <w:sz w:val="24"/>
          <w:szCs w:val="24"/>
        </w:rPr>
        <w:t xml:space="preserve"> technologies</w:t>
      </w:r>
      <w:r w:rsidR="001E206E" w:rsidRPr="009F4FD3">
        <w:rPr>
          <w:rFonts w:ascii="Times New Roman" w:hAnsi="Times New Roman" w:cs="Times New Roman"/>
          <w:sz w:val="24"/>
          <w:szCs w:val="24"/>
        </w:rPr>
        <w:t xml:space="preserve"> would pass the reliability test.</w:t>
      </w:r>
      <w:r w:rsidR="001E206E" w:rsidRPr="009F4FD3">
        <w:rPr>
          <w:rStyle w:val="EndnoteReference"/>
          <w:rFonts w:ascii="Times New Roman" w:hAnsi="Times New Roman" w:cs="Times New Roman"/>
          <w:sz w:val="24"/>
          <w:szCs w:val="24"/>
        </w:rPr>
        <w:endnoteReference w:id="14"/>
      </w:r>
      <w:r w:rsidR="001E206E" w:rsidRPr="009F4FD3">
        <w:rPr>
          <w:rFonts w:ascii="Times New Roman" w:hAnsi="Times New Roman" w:cs="Times New Roman"/>
          <w:sz w:val="24"/>
          <w:szCs w:val="24"/>
        </w:rPr>
        <w:t xml:space="preserve"> </w:t>
      </w:r>
    </w:p>
    <w:p w14:paraId="19358365" w14:textId="7F7E6B9B" w:rsidR="00F4553D" w:rsidRDefault="001E206E" w:rsidP="00043696">
      <w:pPr>
        <w:widowControl w:val="0"/>
        <w:autoSpaceDE w:val="0"/>
        <w:autoSpaceDN w:val="0"/>
        <w:adjustRightInd w:val="0"/>
        <w:spacing w:after="240" w:line="360" w:lineRule="auto"/>
        <w:jc w:val="both"/>
        <w:rPr>
          <w:rFonts w:ascii="Times New Roman" w:hAnsi="Times New Roman" w:cs="Times New Roman"/>
          <w:sz w:val="24"/>
          <w:szCs w:val="24"/>
          <w:lang w:val="en-US"/>
        </w:rPr>
      </w:pPr>
      <w:r w:rsidRPr="009F4FD3">
        <w:rPr>
          <w:rFonts w:ascii="Times New Roman" w:hAnsi="Times New Roman" w:cs="Times New Roman"/>
          <w:sz w:val="24"/>
          <w:szCs w:val="24"/>
        </w:rPr>
        <w:t xml:space="preserve">In some jurisdictions, </w:t>
      </w:r>
      <w:r w:rsidR="00903C6D" w:rsidRPr="009F4FD3">
        <w:rPr>
          <w:rFonts w:ascii="Times New Roman" w:hAnsi="Times New Roman" w:cs="Times New Roman"/>
          <w:sz w:val="24"/>
          <w:szCs w:val="24"/>
        </w:rPr>
        <w:t xml:space="preserve">such techniques </w:t>
      </w:r>
      <w:r w:rsidRPr="009F4FD3">
        <w:rPr>
          <w:rFonts w:ascii="Times New Roman" w:hAnsi="Times New Roman" w:cs="Times New Roman"/>
          <w:sz w:val="24"/>
          <w:szCs w:val="24"/>
        </w:rPr>
        <w:t>have rendered inadmissible at the trial stage</w:t>
      </w:r>
      <w:r w:rsidR="00903C6D">
        <w:rPr>
          <w:rFonts w:ascii="Times New Roman" w:hAnsi="Times New Roman" w:cs="Times New Roman"/>
          <w:sz w:val="24"/>
          <w:szCs w:val="24"/>
        </w:rPr>
        <w:t xml:space="preserve"> because of issues with reliability</w:t>
      </w:r>
      <w:r w:rsidRPr="009F4FD3">
        <w:rPr>
          <w:rFonts w:ascii="Times New Roman" w:hAnsi="Times New Roman" w:cs="Times New Roman"/>
          <w:sz w:val="24"/>
          <w:szCs w:val="24"/>
        </w:rPr>
        <w:t xml:space="preserve">. In the US case of </w:t>
      </w:r>
      <w:r w:rsidRPr="009F4FD3">
        <w:rPr>
          <w:rFonts w:ascii="Times New Roman" w:hAnsi="Times New Roman" w:cs="Times New Roman"/>
          <w:i/>
          <w:sz w:val="24"/>
          <w:szCs w:val="24"/>
        </w:rPr>
        <w:t>Frye</w:t>
      </w:r>
      <w:r w:rsidRPr="009F4FD3">
        <w:rPr>
          <w:rStyle w:val="EndnoteReference"/>
          <w:rFonts w:ascii="Times New Roman" w:hAnsi="Times New Roman" w:cs="Times New Roman"/>
          <w:sz w:val="24"/>
          <w:szCs w:val="24"/>
        </w:rPr>
        <w:endnoteReference w:id="15"/>
      </w:r>
      <w:r w:rsidRPr="009F4FD3">
        <w:rPr>
          <w:rFonts w:ascii="Times New Roman" w:hAnsi="Times New Roman" w:cs="Times New Roman"/>
          <w:i/>
          <w:sz w:val="24"/>
          <w:szCs w:val="24"/>
        </w:rPr>
        <w:t xml:space="preserve"> </w:t>
      </w:r>
      <w:r w:rsidRPr="009F4FD3">
        <w:rPr>
          <w:rFonts w:ascii="Times New Roman" w:hAnsi="Times New Roman" w:cs="Times New Roman"/>
          <w:sz w:val="24"/>
          <w:szCs w:val="24"/>
        </w:rPr>
        <w:t>the Court stated that the opinion of an expert, based on a scientific technique, would be inadmissible unless the test “[has been] sufficiently established to have gained the general acceptance in the particular field in which it belongs.”</w:t>
      </w:r>
      <w:r w:rsidRPr="009F4FD3">
        <w:rPr>
          <w:rStyle w:val="EndnoteReference"/>
          <w:rFonts w:ascii="Times New Roman" w:hAnsi="Times New Roman" w:cs="Times New Roman"/>
          <w:sz w:val="24"/>
          <w:szCs w:val="24"/>
        </w:rPr>
        <w:endnoteReference w:id="16"/>
      </w:r>
      <w:r w:rsidRPr="009F4FD3">
        <w:rPr>
          <w:rFonts w:ascii="Times New Roman" w:hAnsi="Times New Roman" w:cs="Times New Roman"/>
          <w:sz w:val="24"/>
          <w:szCs w:val="24"/>
        </w:rPr>
        <w:t xml:space="preserve"> Frye</w:t>
      </w:r>
      <w:r w:rsidR="00903C6D">
        <w:rPr>
          <w:rFonts w:ascii="Times New Roman" w:hAnsi="Times New Roman" w:cs="Times New Roman"/>
          <w:sz w:val="24"/>
          <w:szCs w:val="24"/>
        </w:rPr>
        <w:t xml:space="preserve"> involved a defendant who</w:t>
      </w:r>
      <w:r w:rsidRPr="009F4FD3">
        <w:rPr>
          <w:rFonts w:ascii="Times New Roman" w:hAnsi="Times New Roman" w:cs="Times New Roman"/>
          <w:sz w:val="24"/>
          <w:szCs w:val="24"/>
        </w:rPr>
        <w:t xml:space="preserve"> wanted to use a Systolic Blood Pressure Deception test</w:t>
      </w:r>
      <w:r w:rsidR="00903C6D">
        <w:rPr>
          <w:rFonts w:ascii="Times New Roman" w:hAnsi="Times New Roman" w:cs="Times New Roman"/>
          <w:sz w:val="24"/>
          <w:szCs w:val="24"/>
        </w:rPr>
        <w:t xml:space="preserve"> to </w:t>
      </w:r>
      <w:r w:rsidR="00F16AA4">
        <w:rPr>
          <w:rFonts w:ascii="Times New Roman" w:hAnsi="Times New Roman" w:cs="Times New Roman"/>
          <w:sz w:val="24"/>
          <w:szCs w:val="24"/>
        </w:rPr>
        <w:t>prove he was telling the truth when he denied a charge of murder. T</w:t>
      </w:r>
      <w:r w:rsidRPr="009F4FD3">
        <w:rPr>
          <w:rFonts w:ascii="Times New Roman" w:hAnsi="Times New Roman" w:cs="Times New Roman"/>
          <w:sz w:val="24"/>
          <w:szCs w:val="24"/>
        </w:rPr>
        <w:t xml:space="preserve">his test was the precursor the traditional polygraph test. However, the test </w:t>
      </w:r>
      <w:r w:rsidR="00903C6D">
        <w:rPr>
          <w:rFonts w:ascii="Times New Roman" w:hAnsi="Times New Roman" w:cs="Times New Roman"/>
          <w:sz w:val="24"/>
          <w:szCs w:val="24"/>
        </w:rPr>
        <w:t xml:space="preserve">at the time </w:t>
      </w:r>
      <w:r w:rsidRPr="009F4FD3">
        <w:rPr>
          <w:rFonts w:ascii="Times New Roman" w:hAnsi="Times New Roman" w:cs="Times New Roman"/>
          <w:sz w:val="24"/>
          <w:szCs w:val="24"/>
        </w:rPr>
        <w:t>was not generally accepted by the scientific community and therefore affirmed the decision of the lower court. The Court did acknowledge</w:t>
      </w:r>
      <w:r w:rsidR="00903C6D">
        <w:rPr>
          <w:rFonts w:ascii="Times New Roman" w:hAnsi="Times New Roman" w:cs="Times New Roman"/>
          <w:sz w:val="24"/>
          <w:szCs w:val="24"/>
        </w:rPr>
        <w:t xml:space="preserve"> the</w:t>
      </w:r>
      <w:r w:rsidRPr="009F4FD3">
        <w:rPr>
          <w:rFonts w:ascii="Times New Roman" w:hAnsi="Times New Roman" w:cs="Times New Roman"/>
          <w:sz w:val="24"/>
          <w:szCs w:val="24"/>
        </w:rPr>
        <w:t xml:space="preserve"> great </w:t>
      </w:r>
      <w:r w:rsidR="00903C6D" w:rsidRPr="009F4FD3">
        <w:rPr>
          <w:rFonts w:ascii="Times New Roman" w:hAnsi="Times New Roman" w:cs="Times New Roman"/>
          <w:sz w:val="24"/>
          <w:szCs w:val="24"/>
        </w:rPr>
        <w:t>difficulty, which</w:t>
      </w:r>
      <w:r w:rsidR="00903C6D">
        <w:rPr>
          <w:rFonts w:ascii="Times New Roman" w:hAnsi="Times New Roman" w:cs="Times New Roman"/>
          <w:sz w:val="24"/>
          <w:szCs w:val="24"/>
        </w:rPr>
        <w:t xml:space="preserve"> </w:t>
      </w:r>
      <w:r w:rsidRPr="009F4FD3">
        <w:rPr>
          <w:rFonts w:ascii="Times New Roman" w:hAnsi="Times New Roman" w:cs="Times New Roman"/>
          <w:sz w:val="24"/>
          <w:szCs w:val="24"/>
        </w:rPr>
        <w:t>exist</w:t>
      </w:r>
      <w:r w:rsidR="00903C6D">
        <w:rPr>
          <w:rFonts w:ascii="Times New Roman" w:hAnsi="Times New Roman" w:cs="Times New Roman"/>
          <w:sz w:val="24"/>
          <w:szCs w:val="24"/>
        </w:rPr>
        <w:t>ed</w:t>
      </w:r>
      <w:r w:rsidRPr="009F4FD3">
        <w:rPr>
          <w:rFonts w:ascii="Times New Roman" w:hAnsi="Times New Roman" w:cs="Times New Roman"/>
          <w:sz w:val="24"/>
          <w:szCs w:val="24"/>
        </w:rPr>
        <w:t xml:space="preserve"> in determining whe</w:t>
      </w:r>
      <w:r w:rsidR="00903C6D">
        <w:rPr>
          <w:rFonts w:ascii="Times New Roman" w:hAnsi="Times New Roman" w:cs="Times New Roman"/>
          <w:sz w:val="24"/>
          <w:szCs w:val="24"/>
        </w:rPr>
        <w:t>ther a</w:t>
      </w:r>
      <w:r w:rsidRPr="009F4FD3">
        <w:rPr>
          <w:rFonts w:ascii="Times New Roman" w:hAnsi="Times New Roman" w:cs="Times New Roman"/>
          <w:sz w:val="24"/>
          <w:szCs w:val="24"/>
        </w:rPr>
        <w:t xml:space="preserve"> scientific discovery cross</w:t>
      </w:r>
      <w:r w:rsidR="00903C6D">
        <w:rPr>
          <w:rFonts w:ascii="Times New Roman" w:hAnsi="Times New Roman" w:cs="Times New Roman"/>
          <w:sz w:val="24"/>
          <w:szCs w:val="24"/>
        </w:rPr>
        <w:t>ed</w:t>
      </w:r>
      <w:r w:rsidRPr="009F4FD3">
        <w:rPr>
          <w:rFonts w:ascii="Times New Roman" w:hAnsi="Times New Roman" w:cs="Times New Roman"/>
          <w:sz w:val="24"/>
          <w:szCs w:val="24"/>
        </w:rPr>
        <w:t xml:space="preserve"> the line between experimental and demonstrable stages.</w:t>
      </w:r>
      <w:r w:rsidRPr="009F4FD3">
        <w:rPr>
          <w:rStyle w:val="EndnoteReference"/>
          <w:rFonts w:ascii="Times New Roman" w:hAnsi="Times New Roman" w:cs="Times New Roman"/>
          <w:sz w:val="24"/>
          <w:szCs w:val="24"/>
        </w:rPr>
        <w:endnoteReference w:id="17"/>
      </w:r>
      <w:r w:rsidRPr="009F4FD3">
        <w:rPr>
          <w:rFonts w:ascii="Times New Roman" w:hAnsi="Times New Roman" w:cs="Times New Roman"/>
          <w:sz w:val="24"/>
          <w:szCs w:val="24"/>
        </w:rPr>
        <w:t xml:space="preserve"> </w:t>
      </w:r>
      <w:r w:rsidR="00F4553D">
        <w:rPr>
          <w:rFonts w:ascii="Times New Roman" w:hAnsi="Times New Roman" w:cs="Times New Roman"/>
          <w:sz w:val="24"/>
          <w:szCs w:val="24"/>
        </w:rPr>
        <w:t xml:space="preserve">But </w:t>
      </w:r>
      <w:r w:rsidR="00F4553D">
        <w:rPr>
          <w:rFonts w:ascii="Times New Roman" w:hAnsi="Times New Roman" w:cs="Times New Roman"/>
          <w:sz w:val="24"/>
          <w:szCs w:val="24"/>
          <w:lang w:val="en-US"/>
        </w:rPr>
        <w:t>t</w:t>
      </w:r>
      <w:r w:rsidRPr="009F4FD3">
        <w:rPr>
          <w:rFonts w:ascii="Times New Roman" w:hAnsi="Times New Roman" w:cs="Times New Roman"/>
          <w:sz w:val="24"/>
          <w:szCs w:val="24"/>
          <w:lang w:val="en-US"/>
        </w:rPr>
        <w:t>his traditional stance</w:t>
      </w:r>
      <w:r w:rsidRPr="009F4FD3">
        <w:rPr>
          <w:rStyle w:val="EndnoteReference"/>
          <w:rFonts w:ascii="Times New Roman" w:hAnsi="Times New Roman" w:cs="Times New Roman"/>
          <w:sz w:val="24"/>
          <w:szCs w:val="24"/>
          <w:lang w:val="en-US"/>
        </w:rPr>
        <w:endnoteReference w:id="18"/>
      </w:r>
      <w:r w:rsidRPr="009F4FD3">
        <w:rPr>
          <w:rFonts w:ascii="Times New Roman" w:hAnsi="Times New Roman" w:cs="Times New Roman"/>
          <w:sz w:val="24"/>
          <w:szCs w:val="24"/>
          <w:lang w:val="en-US"/>
        </w:rPr>
        <w:t xml:space="preserve"> altered in the early 1990s when the Supreme Court held that it is for the judge to make an assessment of the reliability and relevance of the evidence. </w:t>
      </w:r>
    </w:p>
    <w:p w14:paraId="2E3CC2CD" w14:textId="71991826" w:rsidR="001E206E" w:rsidRPr="009F4FD3" w:rsidRDefault="001E206E" w:rsidP="00043696">
      <w:pPr>
        <w:widowControl w:val="0"/>
        <w:autoSpaceDE w:val="0"/>
        <w:autoSpaceDN w:val="0"/>
        <w:adjustRightInd w:val="0"/>
        <w:spacing w:after="240" w:line="360" w:lineRule="auto"/>
        <w:jc w:val="both"/>
        <w:rPr>
          <w:rFonts w:ascii="Times New Roman" w:hAnsi="Times New Roman" w:cs="Times New Roman"/>
          <w:sz w:val="24"/>
          <w:szCs w:val="24"/>
          <w:lang w:val="en-US"/>
        </w:rPr>
      </w:pPr>
      <w:r w:rsidRPr="009F4FD3">
        <w:rPr>
          <w:rFonts w:ascii="Times New Roman" w:hAnsi="Times New Roman" w:cs="Times New Roman"/>
          <w:sz w:val="24"/>
          <w:szCs w:val="24"/>
          <w:lang w:val="en-US"/>
        </w:rPr>
        <w:t xml:space="preserve">In </w:t>
      </w:r>
      <w:r w:rsidRPr="009F4FD3">
        <w:rPr>
          <w:rFonts w:ascii="Times New Roman" w:hAnsi="Times New Roman" w:cs="Times New Roman"/>
          <w:i/>
          <w:iCs/>
          <w:sz w:val="24"/>
          <w:szCs w:val="24"/>
          <w:lang w:val="en-US"/>
        </w:rPr>
        <w:t>Daubert</w:t>
      </w:r>
      <w:r w:rsidRPr="009F4FD3">
        <w:rPr>
          <w:rFonts w:ascii="Times New Roman" w:hAnsi="Times New Roman" w:cs="Times New Roman"/>
          <w:sz w:val="24"/>
          <w:szCs w:val="24"/>
          <w:lang w:val="en-US"/>
        </w:rPr>
        <w:t>,</w:t>
      </w:r>
      <w:r w:rsidRPr="009F4FD3">
        <w:rPr>
          <w:rStyle w:val="EndnoteReference"/>
          <w:rFonts w:ascii="Times New Roman" w:hAnsi="Times New Roman" w:cs="Times New Roman"/>
          <w:sz w:val="24"/>
          <w:szCs w:val="24"/>
          <w:lang w:val="en-US"/>
        </w:rPr>
        <w:endnoteReference w:id="19"/>
      </w:r>
      <w:r w:rsidRPr="009F4FD3">
        <w:rPr>
          <w:rFonts w:ascii="Times New Roman" w:hAnsi="Times New Roman" w:cs="Times New Roman"/>
          <w:position w:val="13"/>
          <w:sz w:val="24"/>
          <w:szCs w:val="24"/>
          <w:lang w:val="en-US"/>
        </w:rPr>
        <w:t xml:space="preserve"> </w:t>
      </w:r>
      <w:r w:rsidRPr="009F4FD3">
        <w:rPr>
          <w:rFonts w:ascii="Times New Roman" w:hAnsi="Times New Roman" w:cs="Times New Roman"/>
          <w:sz w:val="24"/>
          <w:szCs w:val="24"/>
          <w:lang w:val="en-US"/>
        </w:rPr>
        <w:t xml:space="preserve">the Supreme Court ruled that the 1923 </w:t>
      </w:r>
      <w:r w:rsidRPr="009F4FD3">
        <w:rPr>
          <w:rFonts w:ascii="Times New Roman" w:hAnsi="Times New Roman" w:cs="Times New Roman"/>
          <w:i/>
          <w:iCs/>
          <w:sz w:val="24"/>
          <w:szCs w:val="24"/>
          <w:lang w:val="en-US"/>
        </w:rPr>
        <w:t xml:space="preserve">Frye </w:t>
      </w:r>
      <w:r w:rsidRPr="009F4FD3">
        <w:rPr>
          <w:rFonts w:ascii="Times New Roman" w:hAnsi="Times New Roman" w:cs="Times New Roman"/>
          <w:sz w:val="24"/>
          <w:szCs w:val="24"/>
          <w:lang w:val="en-US"/>
        </w:rPr>
        <w:t xml:space="preserve">test superseded the 1975 Federal Rules of Evidence, Rule 702 governing expert testimony. The rule stated: </w:t>
      </w:r>
    </w:p>
    <w:p w14:paraId="6C09F9F4" w14:textId="77777777" w:rsidR="001E206E" w:rsidRPr="009F4FD3" w:rsidRDefault="001E206E" w:rsidP="00043696">
      <w:pPr>
        <w:widowControl w:val="0"/>
        <w:autoSpaceDE w:val="0"/>
        <w:autoSpaceDN w:val="0"/>
        <w:adjustRightInd w:val="0"/>
        <w:spacing w:after="240" w:line="360" w:lineRule="auto"/>
        <w:ind w:left="720" w:right="1513"/>
        <w:jc w:val="both"/>
        <w:rPr>
          <w:rFonts w:ascii="Times New Roman" w:hAnsi="Times New Roman" w:cs="Times New Roman"/>
          <w:sz w:val="24"/>
          <w:szCs w:val="24"/>
          <w:lang w:val="en-US"/>
        </w:rPr>
      </w:pPr>
      <w:r w:rsidRPr="009F4FD3">
        <w:rPr>
          <w:rFonts w:ascii="Times New Roman" w:hAnsi="Times New Roman" w:cs="Times New Roman"/>
          <w:sz w:val="24"/>
          <w:szCs w:val="24"/>
          <w:lang w:val="en-US"/>
        </w:rPr>
        <w:lastRenderedPageBreak/>
        <w:t xml:space="preserve">“If scientific, technical, or other specialized knowledge will assist the trier of fact to understand the evidence or determine a fact in issue, a witness qualified as an expert by knowledge, skill, experience, training, or education, may testify thereto in the form of an opinion or otherwise.” </w:t>
      </w:r>
    </w:p>
    <w:p w14:paraId="0DF1B2A9" w14:textId="11A09A08" w:rsidR="001E206E" w:rsidRPr="009F4FD3" w:rsidRDefault="001E206E" w:rsidP="00043696">
      <w:pPr>
        <w:widowControl w:val="0"/>
        <w:autoSpaceDE w:val="0"/>
        <w:autoSpaceDN w:val="0"/>
        <w:adjustRightInd w:val="0"/>
        <w:spacing w:after="240" w:line="360" w:lineRule="auto"/>
        <w:jc w:val="both"/>
        <w:rPr>
          <w:rFonts w:ascii="Times New Roman" w:hAnsi="Times New Roman" w:cs="Times New Roman"/>
          <w:sz w:val="24"/>
          <w:szCs w:val="24"/>
          <w:lang w:val="en-US"/>
        </w:rPr>
      </w:pPr>
      <w:r w:rsidRPr="009F4FD3">
        <w:rPr>
          <w:rFonts w:ascii="Times New Roman" w:hAnsi="Times New Roman" w:cs="Times New Roman"/>
          <w:i/>
          <w:sz w:val="24"/>
          <w:szCs w:val="24"/>
          <w:lang w:val="en-US"/>
        </w:rPr>
        <w:t>Daubert</w:t>
      </w:r>
      <w:r w:rsidRPr="009F4FD3">
        <w:rPr>
          <w:rStyle w:val="EndnoteReference"/>
          <w:rFonts w:ascii="Times New Roman" w:hAnsi="Times New Roman" w:cs="Times New Roman"/>
          <w:i/>
          <w:sz w:val="24"/>
          <w:szCs w:val="24"/>
          <w:lang w:val="en-US"/>
        </w:rPr>
        <w:endnoteReference w:id="20"/>
      </w:r>
      <w:r w:rsidRPr="009F4FD3">
        <w:rPr>
          <w:rFonts w:ascii="Times New Roman" w:hAnsi="Times New Roman" w:cs="Times New Roman"/>
          <w:sz w:val="24"/>
          <w:szCs w:val="24"/>
          <w:lang w:val="en-US"/>
        </w:rPr>
        <w:t xml:space="preserve"> provided substantive criteria set</w:t>
      </w:r>
      <w:r w:rsidR="00F4553D">
        <w:rPr>
          <w:rFonts w:ascii="Times New Roman" w:hAnsi="Times New Roman" w:cs="Times New Roman"/>
          <w:sz w:val="24"/>
          <w:szCs w:val="24"/>
          <w:lang w:val="en-US"/>
        </w:rPr>
        <w:t>ting</w:t>
      </w:r>
      <w:r w:rsidRPr="009F4FD3">
        <w:rPr>
          <w:rFonts w:ascii="Times New Roman" w:hAnsi="Times New Roman" w:cs="Times New Roman"/>
          <w:sz w:val="24"/>
          <w:szCs w:val="24"/>
          <w:lang w:val="en-US"/>
        </w:rPr>
        <w:t xml:space="preserve"> out the factors </w:t>
      </w:r>
      <w:r w:rsidR="00F4553D">
        <w:rPr>
          <w:rFonts w:ascii="Times New Roman" w:hAnsi="Times New Roman" w:cs="Times New Roman"/>
          <w:sz w:val="24"/>
          <w:szCs w:val="24"/>
          <w:lang w:val="en-US"/>
        </w:rPr>
        <w:t xml:space="preserve">a </w:t>
      </w:r>
      <w:r w:rsidRPr="009F4FD3">
        <w:rPr>
          <w:rFonts w:ascii="Times New Roman" w:hAnsi="Times New Roman" w:cs="Times New Roman"/>
          <w:sz w:val="24"/>
          <w:szCs w:val="24"/>
          <w:lang w:val="en-US"/>
        </w:rPr>
        <w:t>court ought to consider when assessing scientific evidence: (1) whether the theory or technique can, and has been, tested; (2) whether the technique has been subjected to peer review and publication; (3) the known or potential error</w:t>
      </w:r>
      <w:r w:rsidR="00F4553D">
        <w:rPr>
          <w:rFonts w:ascii="Times New Roman" w:hAnsi="Times New Roman" w:cs="Times New Roman"/>
          <w:sz w:val="24"/>
          <w:szCs w:val="24"/>
          <w:lang w:val="en-US"/>
        </w:rPr>
        <w:t>-</w:t>
      </w:r>
      <w:r w:rsidRPr="009F4FD3">
        <w:rPr>
          <w:rFonts w:ascii="Times New Roman" w:hAnsi="Times New Roman" w:cs="Times New Roman"/>
          <w:sz w:val="24"/>
          <w:szCs w:val="24"/>
          <w:lang w:val="en-US"/>
        </w:rPr>
        <w:t>rate of the technique; (4) the existence and maintenance of standards controlling the technique</w:t>
      </w:r>
      <w:r w:rsidR="00F4553D">
        <w:rPr>
          <w:rFonts w:ascii="Times New Roman" w:hAnsi="Times New Roman" w:cs="Times New Roman"/>
          <w:sz w:val="24"/>
          <w:szCs w:val="24"/>
          <w:lang w:val="en-US"/>
        </w:rPr>
        <w:t>’</w:t>
      </w:r>
      <w:r w:rsidRPr="009F4FD3">
        <w:rPr>
          <w:rFonts w:ascii="Times New Roman" w:hAnsi="Times New Roman" w:cs="Times New Roman"/>
          <w:sz w:val="24"/>
          <w:szCs w:val="24"/>
          <w:lang w:val="en-US"/>
        </w:rPr>
        <w:t>s operation and; (5) the scientific technique</w:t>
      </w:r>
      <w:r w:rsidR="00F4553D">
        <w:rPr>
          <w:rFonts w:ascii="Times New Roman" w:hAnsi="Times New Roman" w:cs="Times New Roman"/>
          <w:sz w:val="24"/>
          <w:szCs w:val="24"/>
          <w:lang w:val="en-US"/>
        </w:rPr>
        <w:t>’</w:t>
      </w:r>
      <w:r w:rsidRPr="009F4FD3">
        <w:rPr>
          <w:rFonts w:ascii="Times New Roman" w:hAnsi="Times New Roman" w:cs="Times New Roman"/>
          <w:sz w:val="24"/>
          <w:szCs w:val="24"/>
          <w:lang w:val="en-US"/>
        </w:rPr>
        <w:t>s degree of acceptance in the relevant scientific community.</w:t>
      </w:r>
      <w:r w:rsidRPr="009F4FD3">
        <w:rPr>
          <w:rStyle w:val="EndnoteReference"/>
          <w:rFonts w:ascii="Times New Roman" w:hAnsi="Times New Roman" w:cs="Times New Roman"/>
          <w:sz w:val="24"/>
          <w:szCs w:val="24"/>
          <w:lang w:val="en-US"/>
        </w:rPr>
        <w:endnoteReference w:id="21"/>
      </w:r>
      <w:r w:rsidRPr="009F4FD3">
        <w:rPr>
          <w:rFonts w:ascii="Times New Roman" w:hAnsi="Times New Roman" w:cs="Times New Roman"/>
          <w:sz w:val="24"/>
          <w:szCs w:val="24"/>
          <w:lang w:val="en-US"/>
        </w:rPr>
        <w:t xml:space="preserve"> Th</w:t>
      </w:r>
      <w:r w:rsidR="00F4553D">
        <w:rPr>
          <w:rFonts w:ascii="Times New Roman" w:hAnsi="Times New Roman" w:cs="Times New Roman"/>
          <w:sz w:val="24"/>
          <w:szCs w:val="24"/>
          <w:lang w:val="en-US"/>
        </w:rPr>
        <w:t>is</w:t>
      </w:r>
      <w:r w:rsidRPr="009F4FD3">
        <w:rPr>
          <w:rFonts w:ascii="Times New Roman" w:hAnsi="Times New Roman" w:cs="Times New Roman"/>
          <w:sz w:val="24"/>
          <w:szCs w:val="24"/>
          <w:lang w:val="en-US"/>
        </w:rPr>
        <w:t xml:space="preserve"> ruling means that the trial judge </w:t>
      </w:r>
      <w:r w:rsidR="00F4553D">
        <w:rPr>
          <w:rFonts w:ascii="Times New Roman" w:hAnsi="Times New Roman" w:cs="Times New Roman"/>
          <w:sz w:val="24"/>
          <w:szCs w:val="24"/>
          <w:lang w:val="en-US"/>
        </w:rPr>
        <w:t xml:space="preserve">inevitably </w:t>
      </w:r>
      <w:r w:rsidRPr="009F4FD3">
        <w:rPr>
          <w:rFonts w:ascii="Times New Roman" w:hAnsi="Times New Roman" w:cs="Times New Roman"/>
          <w:sz w:val="24"/>
          <w:szCs w:val="24"/>
          <w:lang w:val="en-US"/>
        </w:rPr>
        <w:t xml:space="preserve">performs a role akin to </w:t>
      </w:r>
      <w:r w:rsidR="00F4553D">
        <w:rPr>
          <w:rFonts w:ascii="Times New Roman" w:hAnsi="Times New Roman" w:cs="Times New Roman"/>
          <w:sz w:val="24"/>
          <w:szCs w:val="24"/>
          <w:lang w:val="en-US"/>
        </w:rPr>
        <w:t xml:space="preserve">that of </w:t>
      </w:r>
      <w:r w:rsidRPr="009F4FD3">
        <w:rPr>
          <w:rFonts w:ascii="Times New Roman" w:hAnsi="Times New Roman" w:cs="Times New Roman"/>
          <w:sz w:val="24"/>
          <w:szCs w:val="24"/>
          <w:lang w:val="en-US"/>
        </w:rPr>
        <w:t xml:space="preserve">a gatekeeper; determining if the evidence </w:t>
      </w:r>
      <w:r w:rsidR="00F4553D">
        <w:rPr>
          <w:rFonts w:ascii="Times New Roman" w:hAnsi="Times New Roman" w:cs="Times New Roman"/>
          <w:sz w:val="24"/>
          <w:szCs w:val="24"/>
          <w:lang w:val="en-US"/>
        </w:rPr>
        <w:t xml:space="preserve">should </w:t>
      </w:r>
      <w:r w:rsidRPr="009F4FD3">
        <w:rPr>
          <w:rFonts w:ascii="Times New Roman" w:hAnsi="Times New Roman" w:cs="Times New Roman"/>
          <w:sz w:val="24"/>
          <w:szCs w:val="24"/>
          <w:lang w:val="en-US"/>
        </w:rPr>
        <w:t>pass</w:t>
      </w:r>
      <w:r w:rsidR="00F4553D">
        <w:rPr>
          <w:rFonts w:ascii="Times New Roman" w:hAnsi="Times New Roman" w:cs="Times New Roman"/>
          <w:sz w:val="24"/>
          <w:szCs w:val="24"/>
          <w:lang w:val="en-US"/>
        </w:rPr>
        <w:t xml:space="preserve"> </w:t>
      </w:r>
      <w:r w:rsidRPr="009F4FD3">
        <w:rPr>
          <w:rFonts w:ascii="Times New Roman" w:hAnsi="Times New Roman" w:cs="Times New Roman"/>
          <w:sz w:val="24"/>
          <w:szCs w:val="24"/>
          <w:lang w:val="en-US"/>
        </w:rPr>
        <w:t>the</w:t>
      </w:r>
      <w:r w:rsidR="00F4553D">
        <w:rPr>
          <w:rFonts w:ascii="Times New Roman" w:hAnsi="Times New Roman" w:cs="Times New Roman"/>
          <w:sz w:val="24"/>
          <w:szCs w:val="24"/>
          <w:lang w:val="en-US"/>
        </w:rPr>
        <w:t>se</w:t>
      </w:r>
      <w:r w:rsidRPr="009F4FD3">
        <w:rPr>
          <w:rFonts w:ascii="Times New Roman" w:hAnsi="Times New Roman" w:cs="Times New Roman"/>
          <w:sz w:val="24"/>
          <w:szCs w:val="24"/>
          <w:lang w:val="en-US"/>
        </w:rPr>
        <w:t xml:space="preserve"> criteri</w:t>
      </w:r>
      <w:r w:rsidR="00F4553D">
        <w:rPr>
          <w:rFonts w:ascii="Times New Roman" w:hAnsi="Times New Roman" w:cs="Times New Roman"/>
          <w:sz w:val="24"/>
          <w:szCs w:val="24"/>
          <w:lang w:val="en-US"/>
        </w:rPr>
        <w:t>on</w:t>
      </w:r>
      <w:r w:rsidRPr="009F4FD3">
        <w:rPr>
          <w:rFonts w:ascii="Times New Roman" w:hAnsi="Times New Roman" w:cs="Times New Roman"/>
          <w:sz w:val="24"/>
          <w:szCs w:val="24"/>
          <w:lang w:val="en-US"/>
        </w:rPr>
        <w:t xml:space="preserve"> and be admitted at trial.</w:t>
      </w:r>
      <w:r w:rsidRPr="009F4FD3">
        <w:rPr>
          <w:rStyle w:val="EndnoteReference"/>
          <w:rFonts w:ascii="Times New Roman" w:hAnsi="Times New Roman" w:cs="Times New Roman"/>
          <w:sz w:val="24"/>
          <w:szCs w:val="24"/>
          <w:lang w:val="en-US"/>
        </w:rPr>
        <w:endnoteReference w:id="22"/>
      </w:r>
      <w:r w:rsidRPr="009F4FD3">
        <w:rPr>
          <w:rFonts w:ascii="Times New Roman" w:hAnsi="Times New Roman" w:cs="Times New Roman"/>
          <w:sz w:val="24"/>
          <w:szCs w:val="24"/>
          <w:lang w:val="en-US"/>
        </w:rPr>
        <w:t xml:space="preserve"> Guadet suggests that judges have embraced their role as gatekeepers</w:t>
      </w:r>
      <w:r w:rsidRPr="009F4FD3">
        <w:rPr>
          <w:rStyle w:val="EndnoteReference"/>
          <w:rFonts w:ascii="Times New Roman" w:hAnsi="Times New Roman" w:cs="Times New Roman"/>
          <w:sz w:val="24"/>
          <w:szCs w:val="24"/>
          <w:lang w:val="en-US"/>
        </w:rPr>
        <w:endnoteReference w:id="23"/>
      </w:r>
      <w:r w:rsidRPr="009F4FD3">
        <w:rPr>
          <w:rFonts w:ascii="Times New Roman" w:hAnsi="Times New Roman" w:cs="Times New Roman"/>
          <w:sz w:val="24"/>
          <w:szCs w:val="24"/>
          <w:lang w:val="en-US"/>
        </w:rPr>
        <w:t xml:space="preserve"> and the standard has led to a reduction in excluded evidence on the basis of admissibility; lawyers will either advance a higher quality of expert evidence or refrain from making any submissions.</w:t>
      </w:r>
      <w:r w:rsidRPr="009F4FD3">
        <w:rPr>
          <w:rStyle w:val="EndnoteReference"/>
          <w:rFonts w:ascii="Times New Roman" w:hAnsi="Times New Roman" w:cs="Times New Roman"/>
          <w:sz w:val="24"/>
          <w:szCs w:val="24"/>
          <w:lang w:val="en-US"/>
        </w:rPr>
        <w:endnoteReference w:id="24"/>
      </w:r>
    </w:p>
    <w:p w14:paraId="55C6EA6B" w14:textId="291404D8" w:rsidR="001E206E" w:rsidRPr="009F4FD3" w:rsidRDefault="001E206E" w:rsidP="00043696">
      <w:pPr>
        <w:widowControl w:val="0"/>
        <w:autoSpaceDE w:val="0"/>
        <w:autoSpaceDN w:val="0"/>
        <w:adjustRightInd w:val="0"/>
        <w:spacing w:after="240" w:line="360" w:lineRule="auto"/>
        <w:jc w:val="both"/>
        <w:rPr>
          <w:rFonts w:ascii="Times New Roman" w:hAnsi="Times New Roman" w:cs="Times New Roman"/>
          <w:sz w:val="24"/>
          <w:szCs w:val="24"/>
          <w:lang w:val="en-US"/>
        </w:rPr>
      </w:pPr>
      <w:r w:rsidRPr="009F4FD3">
        <w:rPr>
          <w:rFonts w:ascii="Times New Roman" w:hAnsi="Times New Roman" w:cs="Times New Roman"/>
          <w:sz w:val="24"/>
          <w:szCs w:val="24"/>
          <w:lang w:val="en-US"/>
        </w:rPr>
        <w:t xml:space="preserve">The </w:t>
      </w:r>
      <w:r w:rsidRPr="009F4FD3">
        <w:rPr>
          <w:rFonts w:ascii="Times New Roman" w:hAnsi="Times New Roman" w:cs="Times New Roman"/>
          <w:i/>
          <w:iCs/>
          <w:sz w:val="24"/>
          <w:szCs w:val="24"/>
          <w:lang w:val="en-US"/>
        </w:rPr>
        <w:t xml:space="preserve">Daubert </w:t>
      </w:r>
      <w:r w:rsidRPr="009F4FD3">
        <w:rPr>
          <w:rFonts w:ascii="Times New Roman" w:hAnsi="Times New Roman" w:cs="Times New Roman"/>
          <w:sz w:val="24"/>
          <w:szCs w:val="24"/>
          <w:lang w:val="en-US"/>
        </w:rPr>
        <w:t xml:space="preserve">case opened the door for </w:t>
      </w:r>
      <w:r w:rsidR="00F4553D">
        <w:rPr>
          <w:rFonts w:ascii="Times New Roman" w:hAnsi="Times New Roman" w:cs="Times New Roman"/>
          <w:sz w:val="24"/>
          <w:szCs w:val="24"/>
          <w:lang w:val="en-US"/>
        </w:rPr>
        <w:t xml:space="preserve">the use of </w:t>
      </w:r>
      <w:r w:rsidRPr="009F4FD3">
        <w:rPr>
          <w:rFonts w:ascii="Times New Roman" w:hAnsi="Times New Roman" w:cs="Times New Roman"/>
          <w:sz w:val="24"/>
          <w:szCs w:val="24"/>
          <w:lang w:val="en-US"/>
        </w:rPr>
        <w:t>polygraph data in post-conviction sex offender management</w:t>
      </w:r>
      <w:r w:rsidR="00F4553D">
        <w:rPr>
          <w:rFonts w:ascii="Times New Roman" w:hAnsi="Times New Roman" w:cs="Times New Roman"/>
          <w:sz w:val="24"/>
          <w:szCs w:val="24"/>
          <w:lang w:val="en-US"/>
        </w:rPr>
        <w:t xml:space="preserve"> cases</w:t>
      </w:r>
      <w:r w:rsidRPr="009F4FD3">
        <w:rPr>
          <w:rFonts w:ascii="Times New Roman" w:hAnsi="Times New Roman" w:cs="Times New Roman"/>
          <w:sz w:val="24"/>
          <w:szCs w:val="24"/>
          <w:lang w:val="en-US"/>
        </w:rPr>
        <w:t xml:space="preserve">. In </w:t>
      </w:r>
      <w:r w:rsidRPr="009F4FD3">
        <w:rPr>
          <w:rFonts w:ascii="Times New Roman" w:hAnsi="Times New Roman" w:cs="Times New Roman"/>
          <w:i/>
          <w:sz w:val="24"/>
          <w:szCs w:val="24"/>
          <w:lang w:val="en-US"/>
        </w:rPr>
        <w:t>Kansas</w:t>
      </w:r>
      <w:r w:rsidRPr="009F4FD3">
        <w:rPr>
          <w:rFonts w:ascii="Times New Roman" w:hAnsi="Times New Roman" w:cs="Times New Roman"/>
          <w:i/>
          <w:iCs/>
          <w:sz w:val="24"/>
          <w:szCs w:val="24"/>
          <w:lang w:val="en-US"/>
        </w:rPr>
        <w:t xml:space="preserve"> v Lumley</w:t>
      </w:r>
      <w:r w:rsidRPr="009F4FD3">
        <w:rPr>
          <w:rStyle w:val="EndnoteReference"/>
          <w:rFonts w:ascii="Times New Roman" w:hAnsi="Times New Roman" w:cs="Times New Roman"/>
          <w:i/>
          <w:iCs/>
          <w:sz w:val="24"/>
          <w:szCs w:val="24"/>
          <w:lang w:val="en-US"/>
        </w:rPr>
        <w:endnoteReference w:id="25"/>
      </w:r>
      <w:r w:rsidRPr="009F4FD3">
        <w:rPr>
          <w:rFonts w:ascii="Times New Roman" w:hAnsi="Times New Roman" w:cs="Times New Roman"/>
          <w:position w:val="13"/>
          <w:sz w:val="24"/>
          <w:szCs w:val="24"/>
          <w:lang w:val="en-US"/>
        </w:rPr>
        <w:t xml:space="preserve">  </w:t>
      </w:r>
      <w:r w:rsidRPr="009F4FD3">
        <w:rPr>
          <w:rFonts w:ascii="Times New Roman" w:hAnsi="Times New Roman" w:cs="Times New Roman"/>
          <w:sz w:val="24"/>
          <w:szCs w:val="24"/>
          <w:lang w:val="en-US"/>
        </w:rPr>
        <w:t xml:space="preserve">the defendant appealed against a prison sentence that resulted from a </w:t>
      </w:r>
      <w:r w:rsidR="00F4553D" w:rsidRPr="009F4FD3">
        <w:rPr>
          <w:rFonts w:ascii="Times New Roman" w:hAnsi="Times New Roman" w:cs="Times New Roman"/>
          <w:sz w:val="24"/>
          <w:szCs w:val="24"/>
          <w:lang w:val="en-US"/>
        </w:rPr>
        <w:t xml:space="preserve">question he </w:t>
      </w:r>
      <w:r w:rsidR="00F4553D">
        <w:rPr>
          <w:rFonts w:ascii="Times New Roman" w:hAnsi="Times New Roman" w:cs="Times New Roman"/>
          <w:sz w:val="24"/>
          <w:szCs w:val="24"/>
          <w:lang w:val="en-US"/>
        </w:rPr>
        <w:t>‘</w:t>
      </w:r>
      <w:r w:rsidRPr="009F4FD3">
        <w:rPr>
          <w:rFonts w:ascii="Times New Roman" w:hAnsi="Times New Roman" w:cs="Times New Roman"/>
          <w:sz w:val="24"/>
          <w:szCs w:val="24"/>
          <w:lang w:val="en-US"/>
        </w:rPr>
        <w:t xml:space="preserve">failed’ </w:t>
      </w:r>
      <w:r w:rsidR="00F4553D">
        <w:rPr>
          <w:rFonts w:ascii="Times New Roman" w:hAnsi="Times New Roman" w:cs="Times New Roman"/>
          <w:sz w:val="24"/>
          <w:szCs w:val="24"/>
          <w:lang w:val="en-US"/>
        </w:rPr>
        <w:t xml:space="preserve">to </w:t>
      </w:r>
      <w:r w:rsidRPr="009F4FD3">
        <w:rPr>
          <w:rFonts w:ascii="Times New Roman" w:hAnsi="Times New Roman" w:cs="Times New Roman"/>
          <w:sz w:val="24"/>
          <w:szCs w:val="24"/>
          <w:lang w:val="en-US"/>
        </w:rPr>
        <w:t xml:space="preserve">answer on a polygraph examination. </w:t>
      </w:r>
      <w:r w:rsidR="00F4553D">
        <w:rPr>
          <w:rFonts w:ascii="Times New Roman" w:hAnsi="Times New Roman" w:cs="Times New Roman"/>
          <w:sz w:val="24"/>
          <w:szCs w:val="24"/>
          <w:lang w:val="en-US"/>
        </w:rPr>
        <w:t xml:space="preserve">On </w:t>
      </w:r>
      <w:r w:rsidRPr="009F4FD3">
        <w:rPr>
          <w:rFonts w:ascii="Times New Roman" w:hAnsi="Times New Roman" w:cs="Times New Roman"/>
          <w:sz w:val="24"/>
          <w:szCs w:val="24"/>
          <w:lang w:val="en-US"/>
        </w:rPr>
        <w:t>appeal</w:t>
      </w:r>
      <w:r w:rsidR="00F4553D">
        <w:rPr>
          <w:rFonts w:ascii="Times New Roman" w:hAnsi="Times New Roman" w:cs="Times New Roman"/>
          <w:sz w:val="24"/>
          <w:szCs w:val="24"/>
          <w:lang w:val="en-US"/>
        </w:rPr>
        <w:t>,</w:t>
      </w:r>
      <w:r w:rsidRPr="009F4FD3">
        <w:rPr>
          <w:rFonts w:ascii="Times New Roman" w:hAnsi="Times New Roman" w:cs="Times New Roman"/>
          <w:sz w:val="24"/>
          <w:szCs w:val="24"/>
          <w:lang w:val="en-US"/>
        </w:rPr>
        <w:t xml:space="preserve"> judge found the reliability of the examination robust enough to satisfy any evidential threshold required for a parole or probation hearing; as the standard of proof is lower than in a criminal trial. </w:t>
      </w:r>
      <w:r w:rsidR="00F4553D">
        <w:rPr>
          <w:rFonts w:ascii="Times New Roman" w:hAnsi="Times New Roman" w:cs="Times New Roman"/>
          <w:sz w:val="24"/>
          <w:szCs w:val="24"/>
          <w:lang w:val="en-US"/>
        </w:rPr>
        <w:t xml:space="preserve">Thus granted his appeal. Nonetheless </w:t>
      </w:r>
      <w:r w:rsidRPr="009F4FD3">
        <w:rPr>
          <w:rFonts w:ascii="Times New Roman" w:hAnsi="Times New Roman" w:cs="Times New Roman"/>
          <w:sz w:val="24"/>
          <w:szCs w:val="24"/>
          <w:lang w:val="en-US"/>
        </w:rPr>
        <w:t xml:space="preserve">lie detection methods are still inadmissible at the trial stage. In </w:t>
      </w:r>
      <w:r w:rsidRPr="009F4FD3">
        <w:rPr>
          <w:rFonts w:ascii="Times New Roman" w:hAnsi="Times New Roman" w:cs="Times New Roman"/>
          <w:i/>
          <w:sz w:val="24"/>
          <w:szCs w:val="24"/>
          <w:lang w:val="en-US"/>
        </w:rPr>
        <w:t>United States v Semrau</w:t>
      </w:r>
      <w:r w:rsidRPr="009F4FD3">
        <w:rPr>
          <w:rFonts w:ascii="Times New Roman" w:hAnsi="Times New Roman" w:cs="Times New Roman"/>
          <w:sz w:val="24"/>
          <w:szCs w:val="24"/>
          <w:lang w:val="en-US"/>
        </w:rPr>
        <w:t>,</w:t>
      </w:r>
      <w:r w:rsidRPr="009F4FD3">
        <w:rPr>
          <w:rStyle w:val="EndnoteReference"/>
          <w:rFonts w:ascii="Times New Roman" w:hAnsi="Times New Roman" w:cs="Times New Roman"/>
          <w:sz w:val="24"/>
          <w:szCs w:val="24"/>
          <w:lang w:val="en-US"/>
        </w:rPr>
        <w:endnoteReference w:id="26"/>
      </w:r>
      <w:r w:rsidRPr="009F4FD3">
        <w:rPr>
          <w:rFonts w:ascii="Times New Roman" w:hAnsi="Times New Roman" w:cs="Times New Roman"/>
          <w:i/>
          <w:sz w:val="24"/>
          <w:szCs w:val="24"/>
          <w:lang w:val="en-US"/>
        </w:rPr>
        <w:t xml:space="preserve"> </w:t>
      </w:r>
      <w:r w:rsidRPr="009F4FD3">
        <w:rPr>
          <w:rFonts w:ascii="Times New Roman" w:hAnsi="Times New Roman" w:cs="Times New Roman"/>
          <w:sz w:val="24"/>
          <w:szCs w:val="24"/>
          <w:lang w:val="en-US"/>
        </w:rPr>
        <w:t xml:space="preserve">the defendant was charged with multiple counts of health care fraud and money laundering. Semrau attempted to call Dr. Steven Laken to testify about the </w:t>
      </w:r>
      <w:r w:rsidR="00F4553D">
        <w:rPr>
          <w:rFonts w:ascii="Times New Roman" w:hAnsi="Times New Roman" w:cs="Times New Roman"/>
          <w:sz w:val="24"/>
          <w:szCs w:val="24"/>
          <w:lang w:val="en-US"/>
        </w:rPr>
        <w:t xml:space="preserve">results of the </w:t>
      </w:r>
      <w:r w:rsidRPr="009F4FD3">
        <w:rPr>
          <w:rFonts w:ascii="Times New Roman" w:hAnsi="Times New Roman" w:cs="Times New Roman"/>
          <w:sz w:val="24"/>
          <w:szCs w:val="24"/>
          <w:lang w:val="en-US"/>
        </w:rPr>
        <w:t xml:space="preserve">fMRI ‘lie detection’ test </w:t>
      </w:r>
      <w:r w:rsidR="00F4553D">
        <w:rPr>
          <w:rFonts w:ascii="Times New Roman" w:hAnsi="Times New Roman" w:cs="Times New Roman"/>
          <w:sz w:val="24"/>
          <w:szCs w:val="24"/>
          <w:lang w:val="en-US"/>
        </w:rPr>
        <w:t>he</w:t>
      </w:r>
      <w:r w:rsidRPr="009F4FD3">
        <w:rPr>
          <w:rFonts w:ascii="Times New Roman" w:hAnsi="Times New Roman" w:cs="Times New Roman"/>
          <w:sz w:val="24"/>
          <w:szCs w:val="24"/>
          <w:lang w:val="en-US"/>
        </w:rPr>
        <w:t xml:space="preserve"> undertook. </w:t>
      </w:r>
      <w:r w:rsidR="00F16AA4">
        <w:rPr>
          <w:rFonts w:ascii="Times New Roman" w:hAnsi="Times New Roman" w:cs="Times New Roman"/>
          <w:sz w:val="24"/>
          <w:szCs w:val="24"/>
          <w:lang w:val="en-US"/>
        </w:rPr>
        <w:t>T</w:t>
      </w:r>
      <w:r w:rsidRPr="009F4FD3">
        <w:rPr>
          <w:rFonts w:ascii="Times New Roman" w:hAnsi="Times New Roman" w:cs="Times New Roman"/>
          <w:sz w:val="24"/>
          <w:szCs w:val="24"/>
          <w:lang w:val="en-US"/>
        </w:rPr>
        <w:t>he court excluded the evidence under Federal Rules of Evidence</w:t>
      </w:r>
      <w:r w:rsidR="00F4553D">
        <w:rPr>
          <w:rFonts w:ascii="Times New Roman" w:hAnsi="Times New Roman" w:cs="Times New Roman"/>
          <w:sz w:val="24"/>
          <w:szCs w:val="24"/>
          <w:lang w:val="en-US"/>
        </w:rPr>
        <w:t>, rule</w:t>
      </w:r>
      <w:r w:rsidRPr="009F4FD3">
        <w:rPr>
          <w:rFonts w:ascii="Times New Roman" w:hAnsi="Times New Roman" w:cs="Times New Roman"/>
          <w:sz w:val="24"/>
          <w:szCs w:val="24"/>
          <w:lang w:val="en-US"/>
        </w:rPr>
        <w:t xml:space="preserve"> 702</w:t>
      </w:r>
      <w:r w:rsidR="00F16AA4">
        <w:rPr>
          <w:rFonts w:ascii="Times New Roman" w:hAnsi="Times New Roman" w:cs="Times New Roman"/>
          <w:sz w:val="24"/>
          <w:szCs w:val="24"/>
          <w:lang w:val="en-US"/>
        </w:rPr>
        <w:t>(c), as the evidence is not the product of reliable principles or methods</w:t>
      </w:r>
      <w:r w:rsidRPr="009F4FD3">
        <w:rPr>
          <w:rFonts w:ascii="Times New Roman" w:hAnsi="Times New Roman" w:cs="Times New Roman"/>
          <w:sz w:val="24"/>
          <w:szCs w:val="24"/>
          <w:lang w:val="en-US"/>
        </w:rPr>
        <w:t xml:space="preserve">. However, the court did leave the door ajar concerning the future admissibility of such technology: </w:t>
      </w:r>
    </w:p>
    <w:p w14:paraId="13DD14E4" w14:textId="57FD3B90" w:rsidR="001E206E" w:rsidRPr="009F4FD3" w:rsidRDefault="001E206E" w:rsidP="00043696">
      <w:pPr>
        <w:widowControl w:val="0"/>
        <w:autoSpaceDE w:val="0"/>
        <w:autoSpaceDN w:val="0"/>
        <w:adjustRightInd w:val="0"/>
        <w:spacing w:after="240" w:line="360" w:lineRule="auto"/>
        <w:ind w:left="720" w:right="1513"/>
        <w:jc w:val="both"/>
        <w:rPr>
          <w:rFonts w:ascii="Times New Roman" w:hAnsi="Times New Roman" w:cs="Times New Roman"/>
          <w:sz w:val="24"/>
          <w:szCs w:val="24"/>
          <w:lang w:val="en-US"/>
        </w:rPr>
      </w:pPr>
      <w:r w:rsidRPr="009F4FD3">
        <w:rPr>
          <w:rFonts w:ascii="Times New Roman" w:hAnsi="Times New Roman" w:cs="Times New Roman"/>
          <w:sz w:val="24"/>
          <w:szCs w:val="24"/>
          <w:lang w:val="en-US"/>
        </w:rPr>
        <w:t xml:space="preserve">“[I]n the future, should fMRI-based lie detection undergo further testing, development and peer review, improve upon standards controlling the technique’s operation, and gain acceptance by the scientific community for use in the world, this methodology may be </w:t>
      </w:r>
      <w:r w:rsidRPr="009F4FD3">
        <w:rPr>
          <w:rFonts w:ascii="Times New Roman" w:hAnsi="Times New Roman" w:cs="Times New Roman"/>
          <w:sz w:val="24"/>
          <w:szCs w:val="24"/>
          <w:lang w:val="en-US"/>
        </w:rPr>
        <w:lastRenderedPageBreak/>
        <w:t>found to be admissible.”</w:t>
      </w:r>
      <w:r w:rsidRPr="009F4FD3">
        <w:rPr>
          <w:rStyle w:val="EndnoteReference"/>
          <w:rFonts w:ascii="Times New Roman" w:hAnsi="Times New Roman" w:cs="Times New Roman"/>
          <w:sz w:val="24"/>
          <w:szCs w:val="24"/>
          <w:lang w:val="en-US"/>
        </w:rPr>
        <w:endnoteReference w:id="27"/>
      </w:r>
    </w:p>
    <w:p w14:paraId="0167FBA6" w14:textId="324276E2" w:rsidR="001E206E" w:rsidRPr="004B636F" w:rsidRDefault="001E206E" w:rsidP="00043696">
      <w:pPr>
        <w:pStyle w:val="Default"/>
        <w:spacing w:line="360" w:lineRule="auto"/>
        <w:jc w:val="both"/>
        <w:rPr>
          <w:color w:val="auto"/>
        </w:rPr>
      </w:pPr>
      <w:r w:rsidRPr="0097328C">
        <w:rPr>
          <w:color w:val="auto"/>
        </w:rPr>
        <w:t xml:space="preserve">Likewise in England and Wales, new or novel experts </w:t>
      </w:r>
      <w:r w:rsidR="00903C6D">
        <w:rPr>
          <w:color w:val="auto"/>
        </w:rPr>
        <w:t>have become</w:t>
      </w:r>
      <w:r w:rsidRPr="004B636F">
        <w:rPr>
          <w:color w:val="auto"/>
        </w:rPr>
        <w:t xml:space="preserve"> welcome at trial. The court highlighted in </w:t>
      </w:r>
      <w:r w:rsidRPr="004B636F">
        <w:rPr>
          <w:i/>
          <w:color w:val="auto"/>
        </w:rPr>
        <w:t>R v Clarke (Robert Lee)</w:t>
      </w:r>
      <w:r w:rsidRPr="004B636F">
        <w:rPr>
          <w:rStyle w:val="EndnoteReference"/>
          <w:color w:val="auto"/>
        </w:rPr>
        <w:endnoteReference w:id="28"/>
      </w:r>
      <w:r w:rsidRPr="004B636F">
        <w:rPr>
          <w:color w:val="auto"/>
        </w:rPr>
        <w:t xml:space="preserve"> that there </w:t>
      </w:r>
      <w:r w:rsidR="00F4553D">
        <w:rPr>
          <w:color w:val="auto"/>
        </w:rPr>
        <w:t>are</w:t>
      </w:r>
      <w:r w:rsidR="00F4553D" w:rsidRPr="004B636F">
        <w:rPr>
          <w:color w:val="auto"/>
        </w:rPr>
        <w:t xml:space="preserve"> </w:t>
      </w:r>
      <w:r w:rsidRPr="004B636F">
        <w:rPr>
          <w:color w:val="auto"/>
        </w:rPr>
        <w:t xml:space="preserve">no closed categories of expert evidence </w:t>
      </w:r>
      <w:r w:rsidR="00F4553D">
        <w:rPr>
          <w:color w:val="auto"/>
        </w:rPr>
        <w:t>that</w:t>
      </w:r>
      <w:r w:rsidR="00F4553D" w:rsidRPr="004B636F">
        <w:rPr>
          <w:color w:val="auto"/>
        </w:rPr>
        <w:t xml:space="preserve"> </w:t>
      </w:r>
      <w:r w:rsidRPr="004B636F">
        <w:rPr>
          <w:color w:val="auto"/>
        </w:rPr>
        <w:t xml:space="preserve">could be placed before a jury. </w:t>
      </w:r>
      <w:r w:rsidR="00F4553D">
        <w:rPr>
          <w:color w:val="auto"/>
        </w:rPr>
        <w:t>For i</w:t>
      </w:r>
      <w:r w:rsidRPr="004B636F">
        <w:rPr>
          <w:color w:val="auto"/>
        </w:rPr>
        <w:t>t would ‘be entirely wrong to deny to the law of evidence the advantages to be gained from new techniques and advances in science’.</w:t>
      </w:r>
      <w:r w:rsidRPr="004B636F">
        <w:rPr>
          <w:rStyle w:val="EndnoteReference"/>
          <w:color w:val="auto"/>
        </w:rPr>
        <w:endnoteReference w:id="29"/>
      </w:r>
      <w:r w:rsidRPr="004B636F">
        <w:rPr>
          <w:color w:val="auto"/>
        </w:rPr>
        <w:t xml:space="preserve"> Despite the apparent open arms of the court </w:t>
      </w:r>
      <w:r w:rsidR="00F4553D">
        <w:rPr>
          <w:color w:val="auto"/>
        </w:rPr>
        <w:t>to neuro</w:t>
      </w:r>
      <w:r w:rsidRPr="004B636F">
        <w:rPr>
          <w:color w:val="auto"/>
        </w:rPr>
        <w:t xml:space="preserve">scientific technology, the courts have exercised a great deal of caution to embracing new techniques. </w:t>
      </w:r>
    </w:p>
    <w:p w14:paraId="2F73C5E2" w14:textId="77777777" w:rsidR="001E206E" w:rsidRPr="004B636F" w:rsidRDefault="001E206E" w:rsidP="00043696">
      <w:pPr>
        <w:pStyle w:val="Default"/>
        <w:spacing w:line="360" w:lineRule="auto"/>
        <w:jc w:val="both"/>
        <w:rPr>
          <w:color w:val="auto"/>
        </w:rPr>
      </w:pPr>
    </w:p>
    <w:p w14:paraId="776E9A43" w14:textId="7A0DA253" w:rsidR="001E206E" w:rsidRPr="004B636F" w:rsidRDefault="001E206E" w:rsidP="00043696">
      <w:pPr>
        <w:pStyle w:val="Default"/>
        <w:spacing w:line="360" w:lineRule="auto"/>
        <w:jc w:val="both"/>
        <w:rPr>
          <w:color w:val="auto"/>
        </w:rPr>
      </w:pPr>
      <w:r w:rsidRPr="004B636F">
        <w:rPr>
          <w:color w:val="auto"/>
        </w:rPr>
        <w:t xml:space="preserve">In </w:t>
      </w:r>
      <w:r w:rsidRPr="004B636F">
        <w:rPr>
          <w:i/>
          <w:color w:val="auto"/>
        </w:rPr>
        <w:t>Lundy v R</w:t>
      </w:r>
      <w:r w:rsidRPr="004B636F">
        <w:rPr>
          <w:rStyle w:val="EndnoteReference"/>
          <w:color w:val="auto"/>
        </w:rPr>
        <w:endnoteReference w:id="30"/>
      </w:r>
      <w:r w:rsidRPr="004B636F">
        <w:rPr>
          <w:color w:val="auto"/>
        </w:rPr>
        <w:t xml:space="preserve"> the court outlined four factors </w:t>
      </w:r>
      <w:r w:rsidR="00850A5D">
        <w:rPr>
          <w:color w:val="auto"/>
        </w:rPr>
        <w:t>that</w:t>
      </w:r>
      <w:r w:rsidR="00850A5D" w:rsidRPr="004B636F">
        <w:rPr>
          <w:color w:val="auto"/>
        </w:rPr>
        <w:t xml:space="preserve"> </w:t>
      </w:r>
      <w:r w:rsidRPr="004B636F">
        <w:rPr>
          <w:color w:val="auto"/>
        </w:rPr>
        <w:t>contain</w:t>
      </w:r>
      <w:r w:rsidR="00850A5D">
        <w:rPr>
          <w:color w:val="auto"/>
        </w:rPr>
        <w:t>ed</w:t>
      </w:r>
      <w:r w:rsidRPr="004B636F">
        <w:rPr>
          <w:color w:val="auto"/>
        </w:rPr>
        <w:t xml:space="preserve"> similarities to the </w:t>
      </w:r>
      <w:r w:rsidRPr="009F4FD3">
        <w:rPr>
          <w:i/>
          <w:color w:val="auto"/>
        </w:rPr>
        <w:t xml:space="preserve">Daubert </w:t>
      </w:r>
      <w:r w:rsidRPr="004B636F">
        <w:rPr>
          <w:color w:val="auto"/>
        </w:rPr>
        <w:t>standard the court</w:t>
      </w:r>
      <w:r w:rsidR="00850A5D">
        <w:rPr>
          <w:color w:val="auto"/>
        </w:rPr>
        <w:t>s</w:t>
      </w:r>
      <w:r w:rsidRPr="004B636F">
        <w:rPr>
          <w:color w:val="auto"/>
        </w:rPr>
        <w:t xml:space="preserve"> ought to consider when assessing a new technique or novel science: </w:t>
      </w:r>
    </w:p>
    <w:p w14:paraId="12F4EA18" w14:textId="77777777" w:rsidR="001E206E" w:rsidRPr="004B636F" w:rsidRDefault="001E206E" w:rsidP="00043696">
      <w:pPr>
        <w:pStyle w:val="Default"/>
        <w:spacing w:line="360" w:lineRule="auto"/>
        <w:jc w:val="both"/>
        <w:rPr>
          <w:color w:val="auto"/>
        </w:rPr>
      </w:pPr>
    </w:p>
    <w:p w14:paraId="1BCE188D" w14:textId="67C8A5AC" w:rsidR="001E206E" w:rsidRPr="004B636F" w:rsidRDefault="001E206E" w:rsidP="00043696">
      <w:pPr>
        <w:pStyle w:val="Default"/>
        <w:numPr>
          <w:ilvl w:val="0"/>
          <w:numId w:val="2"/>
        </w:numPr>
        <w:spacing w:line="360" w:lineRule="auto"/>
        <w:jc w:val="both"/>
        <w:rPr>
          <w:color w:val="auto"/>
        </w:rPr>
      </w:pPr>
      <w:r w:rsidRPr="004B636F">
        <w:rPr>
          <w:color w:val="auto"/>
        </w:rPr>
        <w:t>Whether the theory or technique can be or has been tested;</w:t>
      </w:r>
    </w:p>
    <w:p w14:paraId="63FED7D5" w14:textId="54C8606C" w:rsidR="001E206E" w:rsidRPr="004B636F" w:rsidRDefault="001E206E" w:rsidP="00043696">
      <w:pPr>
        <w:pStyle w:val="Default"/>
        <w:numPr>
          <w:ilvl w:val="0"/>
          <w:numId w:val="2"/>
        </w:numPr>
        <w:spacing w:line="360" w:lineRule="auto"/>
        <w:jc w:val="both"/>
        <w:rPr>
          <w:color w:val="auto"/>
        </w:rPr>
      </w:pPr>
      <w:r w:rsidRPr="004B636F">
        <w:rPr>
          <w:color w:val="auto"/>
        </w:rPr>
        <w:t xml:space="preserve">Whether the theory or technique has been subject to peer review or publication; </w:t>
      </w:r>
    </w:p>
    <w:p w14:paraId="1788985F" w14:textId="41790A08" w:rsidR="001E206E" w:rsidRPr="004B636F" w:rsidRDefault="001E206E" w:rsidP="00043696">
      <w:pPr>
        <w:pStyle w:val="Default"/>
        <w:numPr>
          <w:ilvl w:val="0"/>
          <w:numId w:val="2"/>
        </w:numPr>
        <w:spacing w:line="360" w:lineRule="auto"/>
        <w:jc w:val="both"/>
        <w:rPr>
          <w:color w:val="auto"/>
        </w:rPr>
      </w:pPr>
      <w:r w:rsidRPr="004B636F">
        <w:rPr>
          <w:color w:val="auto"/>
        </w:rPr>
        <w:t xml:space="preserve">The known or potential rate of error or existence of standards; and </w:t>
      </w:r>
    </w:p>
    <w:p w14:paraId="77DF0C5A" w14:textId="7C29CD7F" w:rsidR="001E206E" w:rsidRPr="004B636F" w:rsidRDefault="001E206E" w:rsidP="00043696">
      <w:pPr>
        <w:pStyle w:val="Default"/>
        <w:numPr>
          <w:ilvl w:val="0"/>
          <w:numId w:val="2"/>
        </w:numPr>
        <w:spacing w:line="360" w:lineRule="auto"/>
        <w:jc w:val="both"/>
        <w:rPr>
          <w:color w:val="auto"/>
        </w:rPr>
      </w:pPr>
      <w:r w:rsidRPr="004B636F">
        <w:rPr>
          <w:color w:val="auto"/>
        </w:rPr>
        <w:t>Whether the theory of technique has been generally accepted.</w:t>
      </w:r>
      <w:r w:rsidRPr="004B636F">
        <w:rPr>
          <w:rStyle w:val="EndnoteReference"/>
          <w:color w:val="auto"/>
        </w:rPr>
        <w:endnoteReference w:id="31"/>
      </w:r>
    </w:p>
    <w:p w14:paraId="08CF3F77" w14:textId="77777777" w:rsidR="001E206E" w:rsidRPr="004B636F" w:rsidRDefault="001E206E" w:rsidP="00043696">
      <w:pPr>
        <w:pStyle w:val="Default"/>
        <w:spacing w:line="360" w:lineRule="auto"/>
        <w:jc w:val="both"/>
        <w:rPr>
          <w:color w:val="auto"/>
        </w:rPr>
      </w:pPr>
    </w:p>
    <w:p w14:paraId="5E66DD9F" w14:textId="7FB66871" w:rsidR="00FB2171" w:rsidRDefault="001E206E" w:rsidP="00043696">
      <w:pPr>
        <w:pStyle w:val="Default"/>
        <w:spacing w:line="360" w:lineRule="auto"/>
        <w:jc w:val="both"/>
        <w:rPr>
          <w:color w:val="auto"/>
        </w:rPr>
      </w:pPr>
      <w:r w:rsidRPr="004B636F">
        <w:rPr>
          <w:color w:val="auto"/>
        </w:rPr>
        <w:t>Th</w:t>
      </w:r>
      <w:r w:rsidR="00850A5D">
        <w:rPr>
          <w:color w:val="auto"/>
        </w:rPr>
        <w:t>is</w:t>
      </w:r>
      <w:r w:rsidRPr="004B636F">
        <w:rPr>
          <w:color w:val="auto"/>
        </w:rPr>
        <w:t xml:space="preserve"> </w:t>
      </w:r>
      <w:r w:rsidR="00850A5D" w:rsidRPr="00C21F18">
        <w:rPr>
          <w:color w:val="auto"/>
        </w:rPr>
        <w:t xml:space="preserve">Privy Council </w:t>
      </w:r>
      <w:r w:rsidRPr="004B636F">
        <w:rPr>
          <w:color w:val="auto"/>
        </w:rPr>
        <w:t>four-fold test bears a striking resemblance to the tests outlined in the aforementioned US</w:t>
      </w:r>
      <w:r w:rsidR="00850A5D">
        <w:rPr>
          <w:color w:val="auto"/>
        </w:rPr>
        <w:t>A</w:t>
      </w:r>
      <w:r w:rsidRPr="004B636F">
        <w:rPr>
          <w:color w:val="auto"/>
        </w:rPr>
        <w:t xml:space="preserve"> cases and Part 19 of the Criminal Procedure Rules </w:t>
      </w:r>
      <w:r w:rsidR="00850A5D">
        <w:rPr>
          <w:color w:val="auto"/>
        </w:rPr>
        <w:t>(</w:t>
      </w:r>
      <w:r w:rsidRPr="004B636F">
        <w:rPr>
          <w:color w:val="auto"/>
        </w:rPr>
        <w:t>2015</w:t>
      </w:r>
      <w:r w:rsidR="00850A5D">
        <w:rPr>
          <w:color w:val="auto"/>
        </w:rPr>
        <w:t>)</w:t>
      </w:r>
      <w:r w:rsidRPr="004B636F">
        <w:rPr>
          <w:color w:val="auto"/>
        </w:rPr>
        <w:t xml:space="preserve">. </w:t>
      </w:r>
      <w:r w:rsidR="00850A5D">
        <w:rPr>
          <w:color w:val="auto"/>
        </w:rPr>
        <w:t>A</w:t>
      </w:r>
      <w:r w:rsidR="00850A5D" w:rsidRPr="00557A4C">
        <w:rPr>
          <w:color w:val="auto"/>
        </w:rPr>
        <w:t>rguably</w:t>
      </w:r>
      <w:r w:rsidR="00850A5D">
        <w:rPr>
          <w:color w:val="auto"/>
        </w:rPr>
        <w:t xml:space="preserve">, however, </w:t>
      </w:r>
      <w:r w:rsidRPr="004B636F">
        <w:rPr>
          <w:color w:val="auto"/>
        </w:rPr>
        <w:t>The Criminal Practice Direction</w:t>
      </w:r>
      <w:r w:rsidRPr="004B636F">
        <w:rPr>
          <w:rStyle w:val="EndnoteReference"/>
          <w:color w:val="auto"/>
        </w:rPr>
        <w:endnoteReference w:id="32"/>
      </w:r>
      <w:r w:rsidRPr="004B636F">
        <w:rPr>
          <w:color w:val="auto"/>
        </w:rPr>
        <w:t xml:space="preserve"> accompanying</w:t>
      </w:r>
      <w:r w:rsidR="00850A5D">
        <w:rPr>
          <w:color w:val="auto"/>
        </w:rPr>
        <w:t xml:space="preserve"> </w:t>
      </w:r>
      <w:r w:rsidRPr="004B636F">
        <w:rPr>
          <w:color w:val="auto"/>
        </w:rPr>
        <w:t xml:space="preserve">the rules </w:t>
      </w:r>
      <w:r w:rsidR="00850A5D">
        <w:rPr>
          <w:color w:val="auto"/>
        </w:rPr>
        <w:t>in fact</w:t>
      </w:r>
      <w:r w:rsidR="00850A5D" w:rsidRPr="00163B37">
        <w:rPr>
          <w:color w:val="auto"/>
        </w:rPr>
        <w:t xml:space="preserve"> </w:t>
      </w:r>
      <w:r w:rsidRPr="004B636F">
        <w:rPr>
          <w:color w:val="auto"/>
        </w:rPr>
        <w:t xml:space="preserve">moves England and Wales </w:t>
      </w:r>
      <w:r w:rsidR="00FB2171">
        <w:rPr>
          <w:color w:val="auto"/>
        </w:rPr>
        <w:t>towards making a</w:t>
      </w:r>
      <w:r w:rsidRPr="004B636F">
        <w:rPr>
          <w:color w:val="auto"/>
        </w:rPr>
        <w:t xml:space="preserve"> </w:t>
      </w:r>
      <w:r w:rsidRPr="004B636F">
        <w:rPr>
          <w:i/>
          <w:color w:val="auto"/>
        </w:rPr>
        <w:t>Daubert</w:t>
      </w:r>
      <w:r w:rsidRPr="004B636F">
        <w:rPr>
          <w:rStyle w:val="EndnoteReference"/>
          <w:i/>
          <w:color w:val="auto"/>
        </w:rPr>
        <w:endnoteReference w:id="33"/>
      </w:r>
      <w:r w:rsidRPr="004B636F">
        <w:rPr>
          <w:color w:val="auto"/>
        </w:rPr>
        <w:t xml:space="preserve"> </w:t>
      </w:r>
      <w:r w:rsidR="00FB2171">
        <w:rPr>
          <w:color w:val="auto"/>
        </w:rPr>
        <w:t>decision</w:t>
      </w:r>
      <w:r w:rsidRPr="004B636F">
        <w:rPr>
          <w:color w:val="auto"/>
        </w:rPr>
        <w:t xml:space="preserve">. </w:t>
      </w:r>
      <w:r w:rsidR="00FB2171">
        <w:rPr>
          <w:color w:val="auto"/>
        </w:rPr>
        <w:t>For t</w:t>
      </w:r>
      <w:r w:rsidRPr="004B636F">
        <w:rPr>
          <w:color w:val="auto"/>
        </w:rPr>
        <w:t xml:space="preserve">he Directions </w:t>
      </w:r>
      <w:r w:rsidR="00FB2171">
        <w:rPr>
          <w:color w:val="auto"/>
        </w:rPr>
        <w:t>provide</w:t>
      </w:r>
      <w:r w:rsidR="00FB2171" w:rsidRPr="004B636F">
        <w:rPr>
          <w:color w:val="auto"/>
        </w:rPr>
        <w:t xml:space="preserve"> </w:t>
      </w:r>
      <w:r w:rsidRPr="004B636F">
        <w:rPr>
          <w:color w:val="auto"/>
        </w:rPr>
        <w:t xml:space="preserve">factors the court may take into account when determining the reliability of expert evidence, these include: (a) the extent and quality of the data which the expert opinion is based; (b) if the opinion relies on an inference from the findings, whether the opinion explains how safe the inference is; (c) if the opinion is based on a test, measurement or survey, whether the opinion takes into account the degree of precision or margin of uncertainty; (d) whether the material upon the opinion is based has been reviewed by others with relevant experience; (e) the extent to which the expert opinion is based on material outside the field of expertise; (f) whether the expert took into account all relevant information in arriving at an opinion; (g) where in a range the expert opinion resides and whether the expert’s preference has been properly explained; and (h) whether the methods followed established practice in the field. </w:t>
      </w:r>
    </w:p>
    <w:p w14:paraId="5C89FE2F" w14:textId="77777777" w:rsidR="00FB2171" w:rsidRDefault="00FB2171" w:rsidP="00043696">
      <w:pPr>
        <w:pStyle w:val="Default"/>
        <w:spacing w:line="360" w:lineRule="auto"/>
        <w:jc w:val="both"/>
        <w:rPr>
          <w:color w:val="auto"/>
        </w:rPr>
      </w:pPr>
    </w:p>
    <w:p w14:paraId="11C25D40" w14:textId="13D1A13A" w:rsidR="001E206E" w:rsidRPr="004B636F" w:rsidRDefault="001E206E" w:rsidP="00043696">
      <w:pPr>
        <w:pStyle w:val="Default"/>
        <w:spacing w:line="360" w:lineRule="auto"/>
        <w:jc w:val="both"/>
        <w:rPr>
          <w:color w:val="auto"/>
        </w:rPr>
      </w:pPr>
      <w:r w:rsidRPr="004B636F">
        <w:rPr>
          <w:color w:val="auto"/>
        </w:rPr>
        <w:t xml:space="preserve">The Practice Direction incorporates all five aspects of the Daubert test. What is clear is that new technologies will not be prohibited from entering the courtroom, should the technology </w:t>
      </w:r>
      <w:r w:rsidRPr="004B636F">
        <w:rPr>
          <w:color w:val="auto"/>
        </w:rPr>
        <w:lastRenderedPageBreak/>
        <w:t xml:space="preserve">satisfy the limbs of the onerous test. The remaining sections of this paper will examine if it will be possible for the scientific advances to obtain judicial approval. If it is not possible, the paper will examine if the criminal justice process should employ the technology at any stage. </w:t>
      </w:r>
    </w:p>
    <w:p w14:paraId="56F2DDC3" w14:textId="21F23259" w:rsidR="009F4FD3" w:rsidRPr="004B636F" w:rsidRDefault="001E206E" w:rsidP="004B636F">
      <w:pPr>
        <w:pStyle w:val="Heading1"/>
        <w:numPr>
          <w:ilvl w:val="0"/>
          <w:numId w:val="11"/>
        </w:numPr>
        <w:spacing w:line="360" w:lineRule="auto"/>
        <w:rPr>
          <w:rFonts w:ascii="Times New Roman" w:hAnsi="Times New Roman" w:cs="Times New Roman"/>
          <w:sz w:val="24"/>
          <w:szCs w:val="24"/>
        </w:rPr>
      </w:pPr>
      <w:r w:rsidRPr="001E11A4">
        <w:rPr>
          <w:rFonts w:ascii="Times New Roman" w:hAnsi="Times New Roman" w:cs="Times New Roman"/>
          <w:color w:val="auto"/>
          <w:sz w:val="24"/>
          <w:szCs w:val="24"/>
        </w:rPr>
        <w:t xml:space="preserve">Lie Detection Evidence </w:t>
      </w:r>
    </w:p>
    <w:p w14:paraId="5DF1F509" w14:textId="136CAFEE" w:rsidR="001E206E" w:rsidRPr="001E11A4" w:rsidRDefault="001E206E" w:rsidP="00043696">
      <w:pPr>
        <w:pStyle w:val="Default"/>
        <w:spacing w:line="360" w:lineRule="auto"/>
        <w:jc w:val="both"/>
        <w:rPr>
          <w:color w:val="auto"/>
        </w:rPr>
      </w:pPr>
      <w:r w:rsidRPr="001E11A4">
        <w:rPr>
          <w:color w:val="auto"/>
        </w:rPr>
        <w:t xml:space="preserve">The allure </w:t>
      </w:r>
      <w:r w:rsidR="005D1961">
        <w:rPr>
          <w:color w:val="auto"/>
        </w:rPr>
        <w:t>in</w:t>
      </w:r>
      <w:r w:rsidRPr="001E11A4">
        <w:rPr>
          <w:color w:val="auto"/>
        </w:rPr>
        <w:t xml:space="preserve"> creating a technology that can accurately detect human deception has been around for centuries.</w:t>
      </w:r>
      <w:r w:rsidRPr="001E11A4">
        <w:rPr>
          <w:rStyle w:val="EndnoteReference"/>
          <w:color w:val="auto"/>
        </w:rPr>
        <w:endnoteReference w:id="34"/>
      </w:r>
      <w:r w:rsidR="005D1961">
        <w:rPr>
          <w:color w:val="auto"/>
        </w:rPr>
        <w:t xml:space="preserve"> As</w:t>
      </w:r>
      <w:r w:rsidRPr="001E11A4">
        <w:rPr>
          <w:color w:val="auto"/>
        </w:rPr>
        <w:t xml:space="preserve"> </w:t>
      </w:r>
      <w:r w:rsidR="005D1961">
        <w:rPr>
          <w:color w:val="auto"/>
        </w:rPr>
        <w:t>scientists</w:t>
      </w:r>
      <w:r w:rsidRPr="001E11A4">
        <w:rPr>
          <w:color w:val="auto"/>
        </w:rPr>
        <w:t xml:space="preserve"> have attempted to develop techniques for detecting deception for as long as people have been deceiving each other.</w:t>
      </w:r>
      <w:r w:rsidRPr="001E11A4">
        <w:rPr>
          <w:rStyle w:val="EndnoteReference"/>
          <w:color w:val="auto"/>
        </w:rPr>
        <w:endnoteReference w:id="35"/>
      </w:r>
      <w:r w:rsidRPr="001E11A4">
        <w:rPr>
          <w:color w:val="auto"/>
        </w:rPr>
        <w:t xml:space="preserve"> This paper will examine the utility of the traditional Polygraph Examination, the Brain Electrical Oscillation Signature (BEOS) and Functional Magnetic Resonance Imaging (fMRI).  </w:t>
      </w:r>
    </w:p>
    <w:p w14:paraId="2D60D7CB" w14:textId="77777777" w:rsidR="001E206E" w:rsidRPr="001E11A4" w:rsidRDefault="001E206E" w:rsidP="00043696">
      <w:pPr>
        <w:pStyle w:val="Default"/>
        <w:spacing w:line="360" w:lineRule="auto"/>
        <w:jc w:val="both"/>
        <w:rPr>
          <w:color w:val="auto"/>
        </w:rPr>
      </w:pPr>
    </w:p>
    <w:p w14:paraId="160EE0CB" w14:textId="2188A91F" w:rsidR="00224DF6" w:rsidRDefault="001E206E" w:rsidP="00043696">
      <w:pPr>
        <w:pStyle w:val="Default"/>
        <w:spacing w:line="360" w:lineRule="auto"/>
        <w:jc w:val="both"/>
        <w:rPr>
          <w:bCs/>
          <w:color w:val="auto"/>
          <w:lang w:val="en-US"/>
        </w:rPr>
      </w:pPr>
      <w:r w:rsidRPr="001E11A4">
        <w:rPr>
          <w:color w:val="auto"/>
        </w:rPr>
        <w:t>A polygraph test is known as a “lie detector,” however this label is somewhat of a misnomer</w:t>
      </w:r>
      <w:r w:rsidR="00250C46">
        <w:rPr>
          <w:color w:val="auto"/>
        </w:rPr>
        <w:t>.</w:t>
      </w:r>
      <w:r w:rsidRPr="001E11A4">
        <w:rPr>
          <w:color w:val="auto"/>
        </w:rPr>
        <w:t xml:space="preserve"> </w:t>
      </w:r>
      <w:r w:rsidR="00250C46">
        <w:rPr>
          <w:color w:val="auto"/>
        </w:rPr>
        <w:t>T</w:t>
      </w:r>
      <w:r w:rsidRPr="001E11A4">
        <w:rPr>
          <w:color w:val="auto"/>
        </w:rPr>
        <w:t xml:space="preserve">he test does not measure lies. </w:t>
      </w:r>
      <w:r w:rsidR="005D1961">
        <w:rPr>
          <w:color w:val="auto"/>
        </w:rPr>
        <w:t xml:space="preserve">In fact, </w:t>
      </w:r>
      <w:r w:rsidR="00E730C4">
        <w:rPr>
          <w:color w:val="auto"/>
        </w:rPr>
        <w:t>it</w:t>
      </w:r>
      <w:r w:rsidRPr="001E11A4">
        <w:rPr>
          <w:color w:val="auto"/>
        </w:rPr>
        <w:t xml:space="preserve"> measures the physiological changes associated with the central nervous system</w:t>
      </w:r>
      <w:r w:rsidR="00250C46">
        <w:rPr>
          <w:color w:val="auto"/>
        </w:rPr>
        <w:t>;</w:t>
      </w:r>
      <w:r w:rsidRPr="001E11A4">
        <w:rPr>
          <w:color w:val="auto"/>
        </w:rPr>
        <w:t xml:space="preserve"> </w:t>
      </w:r>
      <w:r w:rsidR="00250C46">
        <w:rPr>
          <w:color w:val="auto"/>
        </w:rPr>
        <w:t>s</w:t>
      </w:r>
      <w:r w:rsidRPr="001E11A4">
        <w:rPr>
          <w:color w:val="auto"/>
        </w:rPr>
        <w:t xml:space="preserve">omething </w:t>
      </w:r>
      <w:r w:rsidR="00E730C4">
        <w:rPr>
          <w:color w:val="auto"/>
        </w:rPr>
        <w:t>which</w:t>
      </w:r>
      <w:r w:rsidRPr="001E11A4">
        <w:rPr>
          <w:color w:val="auto"/>
        </w:rPr>
        <w:t xml:space="preserve"> is largely outside the conscious control of the subject.</w:t>
      </w:r>
      <w:r w:rsidRPr="001E11A4">
        <w:rPr>
          <w:rStyle w:val="EndnoteReference"/>
          <w:color w:val="auto"/>
        </w:rPr>
        <w:endnoteReference w:id="36"/>
      </w:r>
      <w:r w:rsidRPr="001E11A4">
        <w:rPr>
          <w:color w:val="auto"/>
        </w:rPr>
        <w:t xml:space="preserve"> The accuracy of the polygraph test </w:t>
      </w:r>
      <w:r w:rsidR="00250C46">
        <w:rPr>
          <w:color w:val="auto"/>
        </w:rPr>
        <w:t xml:space="preserve">is a </w:t>
      </w:r>
      <w:r w:rsidRPr="001E11A4">
        <w:rPr>
          <w:color w:val="auto"/>
        </w:rPr>
        <w:t>concern</w:t>
      </w:r>
      <w:r w:rsidR="00250C46">
        <w:rPr>
          <w:color w:val="auto"/>
        </w:rPr>
        <w:t xml:space="preserve"> since</w:t>
      </w:r>
      <w:r w:rsidRPr="001E11A4">
        <w:rPr>
          <w:color w:val="auto"/>
        </w:rPr>
        <w:t xml:space="preserve"> “</w:t>
      </w:r>
      <w:r w:rsidRPr="001E11A4">
        <w:rPr>
          <w:bCs/>
          <w:color w:val="auto"/>
          <w:lang w:val="en-US"/>
        </w:rPr>
        <w:t>specific-incident polygraph tests can discriminate lying from truth telling at rates well above chance, although well below perfection.”</w:t>
      </w:r>
      <w:r w:rsidRPr="001E11A4">
        <w:rPr>
          <w:rStyle w:val="EndnoteReference"/>
          <w:bCs/>
          <w:color w:val="auto"/>
          <w:lang w:val="en-US"/>
        </w:rPr>
        <w:endnoteReference w:id="37"/>
      </w:r>
      <w:r w:rsidRPr="001E11A4">
        <w:rPr>
          <w:bCs/>
          <w:color w:val="auto"/>
          <w:lang w:val="en-US"/>
        </w:rPr>
        <w:t xml:space="preserve"> </w:t>
      </w:r>
      <w:r w:rsidR="00250C46">
        <w:rPr>
          <w:bCs/>
          <w:color w:val="auto"/>
          <w:lang w:val="en-US"/>
        </w:rPr>
        <w:t>This is further compounded by the fact that l</w:t>
      </w:r>
      <w:r w:rsidRPr="001E11A4">
        <w:rPr>
          <w:bCs/>
          <w:color w:val="auto"/>
          <w:lang w:val="en-US"/>
        </w:rPr>
        <w:t xml:space="preserve">ittle case law exists </w:t>
      </w:r>
      <w:r w:rsidR="00250C46">
        <w:rPr>
          <w:bCs/>
          <w:color w:val="auto"/>
          <w:lang w:val="en-US"/>
        </w:rPr>
        <w:t>in</w:t>
      </w:r>
      <w:r w:rsidR="00250C46" w:rsidRPr="001E11A4">
        <w:rPr>
          <w:bCs/>
          <w:color w:val="auto"/>
          <w:lang w:val="en-US"/>
        </w:rPr>
        <w:t xml:space="preserve"> </w:t>
      </w:r>
      <w:r w:rsidRPr="001E11A4">
        <w:rPr>
          <w:bCs/>
          <w:color w:val="auto"/>
          <w:lang w:val="en-US"/>
        </w:rPr>
        <w:t xml:space="preserve">the use of polygraph evidence in </w:t>
      </w:r>
      <w:r w:rsidR="00250C46">
        <w:rPr>
          <w:bCs/>
          <w:color w:val="auto"/>
          <w:lang w:val="en-US"/>
        </w:rPr>
        <w:t xml:space="preserve">the </w:t>
      </w:r>
      <w:r w:rsidRPr="001E11A4">
        <w:rPr>
          <w:bCs/>
          <w:color w:val="auto"/>
          <w:lang w:val="en-US"/>
        </w:rPr>
        <w:t xml:space="preserve">courts of England and Wales. </w:t>
      </w:r>
      <w:r w:rsidR="00507AF6">
        <w:rPr>
          <w:bCs/>
          <w:color w:val="auto"/>
          <w:lang w:val="en-US"/>
        </w:rPr>
        <w:t>One of the</w:t>
      </w:r>
      <w:r w:rsidR="00E730C4">
        <w:rPr>
          <w:bCs/>
          <w:color w:val="auto"/>
          <w:lang w:val="en-US"/>
        </w:rPr>
        <w:t>se</w:t>
      </w:r>
      <w:r w:rsidR="00507AF6">
        <w:rPr>
          <w:bCs/>
          <w:color w:val="auto"/>
          <w:lang w:val="en-US"/>
        </w:rPr>
        <w:t xml:space="preserve"> cases in England and Wales</w:t>
      </w:r>
      <w:r w:rsidR="00E730C4">
        <w:rPr>
          <w:bCs/>
          <w:color w:val="auto"/>
          <w:lang w:val="en-US"/>
        </w:rPr>
        <w:t xml:space="preserve"> is</w:t>
      </w:r>
      <w:r w:rsidR="00507AF6">
        <w:rPr>
          <w:bCs/>
          <w:color w:val="auto"/>
          <w:lang w:val="en-US"/>
        </w:rPr>
        <w:t xml:space="preserve"> </w:t>
      </w:r>
      <w:r w:rsidRPr="001E11A4">
        <w:rPr>
          <w:bCs/>
          <w:i/>
          <w:color w:val="auto"/>
          <w:lang w:val="en-US"/>
        </w:rPr>
        <w:t>Fennell v Jerome Property Maintenance Ltd</w:t>
      </w:r>
      <w:r w:rsidR="00E730C4" w:rsidRPr="001E11A4">
        <w:rPr>
          <w:bCs/>
          <w:color w:val="auto"/>
          <w:lang w:val="en-US"/>
        </w:rPr>
        <w:t>.</w:t>
      </w:r>
      <w:r w:rsidRPr="001E11A4">
        <w:rPr>
          <w:rStyle w:val="EndnoteReference"/>
          <w:bCs/>
          <w:i/>
          <w:color w:val="auto"/>
          <w:lang w:val="en-US"/>
        </w:rPr>
        <w:endnoteReference w:id="38"/>
      </w:r>
      <w:r w:rsidR="00E730C4">
        <w:rPr>
          <w:bCs/>
          <w:color w:val="auto"/>
          <w:lang w:val="en-US"/>
        </w:rPr>
        <w:t xml:space="preserve"> In </w:t>
      </w:r>
      <w:r w:rsidR="00E730C4">
        <w:rPr>
          <w:bCs/>
          <w:i/>
          <w:color w:val="auto"/>
          <w:lang w:val="en-US"/>
        </w:rPr>
        <w:t xml:space="preserve">Fennell </w:t>
      </w:r>
      <w:r w:rsidR="00E730C4">
        <w:rPr>
          <w:bCs/>
          <w:color w:val="auto"/>
          <w:lang w:val="en-US"/>
        </w:rPr>
        <w:t xml:space="preserve">it was </w:t>
      </w:r>
      <w:r w:rsidRPr="001E11A4">
        <w:rPr>
          <w:bCs/>
          <w:color w:val="auto"/>
          <w:lang w:val="en-US"/>
        </w:rPr>
        <w:t>suggest</w:t>
      </w:r>
      <w:r w:rsidR="00E730C4">
        <w:rPr>
          <w:bCs/>
          <w:color w:val="auto"/>
          <w:lang w:val="en-US"/>
        </w:rPr>
        <w:t>ed</w:t>
      </w:r>
      <w:r w:rsidRPr="001E11A4">
        <w:rPr>
          <w:bCs/>
          <w:color w:val="auto"/>
          <w:lang w:val="en-US"/>
        </w:rPr>
        <w:t xml:space="preserve"> that the courts </w:t>
      </w:r>
      <w:r w:rsidR="00CF62F5">
        <w:rPr>
          <w:bCs/>
          <w:color w:val="auto"/>
          <w:lang w:val="en-US"/>
        </w:rPr>
        <w:t>should</w:t>
      </w:r>
      <w:r w:rsidR="00CF62F5" w:rsidRPr="001E11A4">
        <w:rPr>
          <w:bCs/>
          <w:color w:val="auto"/>
          <w:lang w:val="en-US"/>
        </w:rPr>
        <w:t xml:space="preserve"> </w:t>
      </w:r>
      <w:r w:rsidRPr="001E11A4">
        <w:rPr>
          <w:bCs/>
          <w:color w:val="auto"/>
          <w:lang w:val="en-US"/>
        </w:rPr>
        <w:t xml:space="preserve">not admit any ‘truth’ [seeking] drug as evidence </w:t>
      </w:r>
      <w:r w:rsidR="00CF62F5">
        <w:rPr>
          <w:bCs/>
          <w:color w:val="auto"/>
          <w:lang w:val="en-US"/>
        </w:rPr>
        <w:t xml:space="preserve">as it </w:t>
      </w:r>
      <w:r w:rsidRPr="001E11A4">
        <w:rPr>
          <w:bCs/>
          <w:color w:val="auto"/>
          <w:lang w:val="en-US"/>
        </w:rPr>
        <w:t>will usurp the function of the trial judge. As a result, th</w:t>
      </w:r>
      <w:r w:rsidR="00CF62F5">
        <w:rPr>
          <w:bCs/>
          <w:color w:val="auto"/>
          <w:lang w:val="en-US"/>
        </w:rPr>
        <w:t>is</w:t>
      </w:r>
      <w:r w:rsidRPr="001E11A4">
        <w:rPr>
          <w:bCs/>
          <w:color w:val="auto"/>
          <w:lang w:val="en-US"/>
        </w:rPr>
        <w:t xml:space="preserve"> technique remain</w:t>
      </w:r>
      <w:r w:rsidR="00CF62F5">
        <w:rPr>
          <w:bCs/>
          <w:color w:val="auto"/>
          <w:lang w:val="en-US"/>
        </w:rPr>
        <w:t>s</w:t>
      </w:r>
      <w:r w:rsidRPr="004B636F">
        <w:rPr>
          <w:bCs/>
          <w:color w:val="auto"/>
          <w:lang w:val="en-US"/>
        </w:rPr>
        <w:t xml:space="preserve"> on the periphery of both the pre-trial and trial stage</w:t>
      </w:r>
      <w:r w:rsidR="00CF62F5">
        <w:rPr>
          <w:bCs/>
          <w:color w:val="auto"/>
          <w:lang w:val="en-US"/>
        </w:rPr>
        <w:t>s</w:t>
      </w:r>
      <w:r w:rsidRPr="004B636F">
        <w:rPr>
          <w:bCs/>
          <w:color w:val="auto"/>
          <w:lang w:val="en-US"/>
        </w:rPr>
        <w:t xml:space="preserve">. </w:t>
      </w:r>
    </w:p>
    <w:p w14:paraId="4D08A3A5" w14:textId="77777777" w:rsidR="00224DF6" w:rsidRDefault="00224DF6" w:rsidP="00043696">
      <w:pPr>
        <w:pStyle w:val="Default"/>
        <w:spacing w:line="360" w:lineRule="auto"/>
        <w:jc w:val="both"/>
        <w:rPr>
          <w:bCs/>
          <w:color w:val="auto"/>
          <w:lang w:val="en-US"/>
        </w:rPr>
      </w:pPr>
    </w:p>
    <w:p w14:paraId="15E52D10" w14:textId="51C8DF88" w:rsidR="001E206E" w:rsidRPr="004B636F" w:rsidRDefault="001E206E" w:rsidP="00043696">
      <w:pPr>
        <w:pStyle w:val="Default"/>
        <w:spacing w:line="360" w:lineRule="auto"/>
        <w:jc w:val="both"/>
        <w:rPr>
          <w:bCs/>
          <w:color w:val="auto"/>
          <w:lang w:val="en-US"/>
        </w:rPr>
      </w:pPr>
      <w:r w:rsidRPr="004B636F">
        <w:rPr>
          <w:bCs/>
          <w:color w:val="auto"/>
          <w:lang w:val="en-US"/>
        </w:rPr>
        <w:t xml:space="preserve">The </w:t>
      </w:r>
      <w:r w:rsidR="0097328C">
        <w:rPr>
          <w:bCs/>
          <w:color w:val="auto"/>
          <w:lang w:val="en-US"/>
        </w:rPr>
        <w:t xml:space="preserve">use of </w:t>
      </w:r>
      <w:r w:rsidRPr="004B636F">
        <w:rPr>
          <w:bCs/>
          <w:color w:val="auto"/>
          <w:lang w:val="en-US"/>
        </w:rPr>
        <w:t xml:space="preserve"> polygraph evidence in criminal proceedings in England and Wales has existed for over thirty years. The Phillips Commission </w:t>
      </w:r>
      <w:r w:rsidR="00224DF6" w:rsidRPr="00AF3FF1">
        <w:rPr>
          <w:bCs/>
          <w:color w:val="auto"/>
          <w:lang w:val="en-US"/>
        </w:rPr>
        <w:t>in 1981</w:t>
      </w:r>
      <w:r w:rsidR="00224DF6">
        <w:rPr>
          <w:bCs/>
          <w:color w:val="auto"/>
          <w:lang w:val="en-US"/>
        </w:rPr>
        <w:t xml:space="preserve"> </w:t>
      </w:r>
      <w:r w:rsidRPr="001E11A4">
        <w:rPr>
          <w:bCs/>
          <w:color w:val="auto"/>
          <w:lang w:val="en-US"/>
        </w:rPr>
        <w:t xml:space="preserve">considered </w:t>
      </w:r>
      <w:r w:rsidR="00224DF6">
        <w:rPr>
          <w:bCs/>
          <w:color w:val="auto"/>
          <w:lang w:val="en-US"/>
        </w:rPr>
        <w:t xml:space="preserve">the </w:t>
      </w:r>
      <w:r w:rsidRPr="001E11A4">
        <w:rPr>
          <w:bCs/>
          <w:color w:val="auto"/>
          <w:lang w:val="en-US"/>
        </w:rPr>
        <w:t>us</w:t>
      </w:r>
      <w:r w:rsidR="00224DF6">
        <w:rPr>
          <w:bCs/>
          <w:color w:val="auto"/>
          <w:lang w:val="en-US"/>
        </w:rPr>
        <w:t>e of</w:t>
      </w:r>
      <w:r w:rsidRPr="001E11A4">
        <w:rPr>
          <w:bCs/>
          <w:color w:val="auto"/>
          <w:lang w:val="en-US"/>
        </w:rPr>
        <w:t xml:space="preserve"> the</w:t>
      </w:r>
      <w:r w:rsidR="00224DF6">
        <w:rPr>
          <w:bCs/>
          <w:color w:val="auto"/>
          <w:lang w:val="en-US"/>
        </w:rPr>
        <w:t>se</w:t>
      </w:r>
      <w:r w:rsidRPr="001E11A4">
        <w:rPr>
          <w:bCs/>
          <w:color w:val="auto"/>
          <w:lang w:val="en-US"/>
        </w:rPr>
        <w:t xml:space="preserve"> techniques at trial but was </w:t>
      </w:r>
      <w:r w:rsidR="00224DF6">
        <w:rPr>
          <w:bCs/>
          <w:color w:val="auto"/>
          <w:lang w:val="en-US"/>
        </w:rPr>
        <w:t xml:space="preserve">ultimately </w:t>
      </w:r>
      <w:r w:rsidRPr="001E11A4">
        <w:rPr>
          <w:bCs/>
          <w:color w:val="auto"/>
          <w:lang w:val="en-US"/>
        </w:rPr>
        <w:t xml:space="preserve">criticised for </w:t>
      </w:r>
      <w:r w:rsidR="00224DF6">
        <w:rPr>
          <w:bCs/>
          <w:color w:val="auto"/>
          <w:lang w:val="en-US"/>
        </w:rPr>
        <w:t>its</w:t>
      </w:r>
      <w:r w:rsidRPr="001E11A4">
        <w:rPr>
          <w:bCs/>
          <w:color w:val="auto"/>
          <w:lang w:val="en-US"/>
        </w:rPr>
        <w:t xml:space="preserve"> “lack of certainty from an evidential point of view [for the purpose of court proceedings].”</w:t>
      </w:r>
      <w:r w:rsidRPr="001E11A4">
        <w:rPr>
          <w:rStyle w:val="EndnoteReference"/>
          <w:bCs/>
          <w:color w:val="auto"/>
          <w:lang w:val="en-US"/>
        </w:rPr>
        <w:endnoteReference w:id="39"/>
      </w:r>
      <w:r w:rsidR="0097328C">
        <w:rPr>
          <w:rStyle w:val="CommentReference"/>
          <w:rFonts w:asciiTheme="minorHAnsi" w:hAnsiTheme="minorHAnsi" w:cstheme="minorBidi"/>
          <w:color w:val="auto"/>
        </w:rPr>
        <w:t xml:space="preserve"> </w:t>
      </w:r>
      <w:r w:rsidRPr="001E11A4">
        <w:rPr>
          <w:bCs/>
          <w:color w:val="auto"/>
          <w:lang w:val="en-US"/>
        </w:rPr>
        <w:t xml:space="preserve"> </w:t>
      </w:r>
      <w:r w:rsidR="00224DF6">
        <w:rPr>
          <w:bCs/>
          <w:color w:val="auto"/>
          <w:lang w:val="en-US"/>
        </w:rPr>
        <w:t>Similarly, i</w:t>
      </w:r>
      <w:r w:rsidRPr="001E11A4">
        <w:rPr>
          <w:bCs/>
          <w:color w:val="auto"/>
          <w:lang w:val="en-US"/>
        </w:rPr>
        <w:t>n the United States</w:t>
      </w:r>
      <w:r w:rsidR="00224DF6">
        <w:rPr>
          <w:bCs/>
          <w:color w:val="auto"/>
          <w:lang w:val="en-US"/>
        </w:rPr>
        <w:t>,</w:t>
      </w:r>
      <w:r w:rsidRPr="001E11A4">
        <w:rPr>
          <w:bCs/>
          <w:color w:val="auto"/>
          <w:lang w:val="en-US"/>
        </w:rPr>
        <w:t xml:space="preserve"> the Federal Bureau of Investigation concede</w:t>
      </w:r>
      <w:r w:rsidR="00224DF6">
        <w:rPr>
          <w:bCs/>
          <w:color w:val="auto"/>
          <w:lang w:val="en-US"/>
        </w:rPr>
        <w:t>d</w:t>
      </w:r>
      <w:r w:rsidRPr="001E11A4">
        <w:rPr>
          <w:bCs/>
          <w:color w:val="auto"/>
          <w:lang w:val="en-US"/>
        </w:rPr>
        <w:t xml:space="preserve"> that the results from the tests do not meet the standards to be admitted as evidence at the trial stage.</w:t>
      </w:r>
      <w:r w:rsidRPr="001E11A4">
        <w:rPr>
          <w:rStyle w:val="EndnoteReference"/>
          <w:bCs/>
          <w:color w:val="auto"/>
          <w:lang w:val="en-US"/>
        </w:rPr>
        <w:endnoteReference w:id="40"/>
      </w:r>
      <w:r w:rsidRPr="001E11A4">
        <w:rPr>
          <w:bCs/>
          <w:color w:val="auto"/>
          <w:lang w:val="en-US"/>
        </w:rPr>
        <w:t xml:space="preserve"> </w:t>
      </w:r>
      <w:r w:rsidR="00A32FBD">
        <w:rPr>
          <w:bCs/>
          <w:color w:val="auto"/>
          <w:lang w:val="en-US"/>
        </w:rPr>
        <w:t>What this shows is that t</w:t>
      </w:r>
      <w:r w:rsidRPr="004B636F">
        <w:rPr>
          <w:bCs/>
          <w:color w:val="auto"/>
          <w:lang w:val="en-US"/>
        </w:rPr>
        <w:t xml:space="preserve">he scant availability of case law is not </w:t>
      </w:r>
      <w:r w:rsidR="00A32FBD" w:rsidRPr="00862223">
        <w:rPr>
          <w:bCs/>
          <w:color w:val="auto"/>
          <w:lang w:val="en-US"/>
        </w:rPr>
        <w:t>exclusive</w:t>
      </w:r>
      <w:r w:rsidR="00A32FBD">
        <w:rPr>
          <w:bCs/>
          <w:color w:val="auto"/>
          <w:lang w:val="en-US"/>
        </w:rPr>
        <w:t>ly</w:t>
      </w:r>
      <w:r w:rsidR="00A32FBD" w:rsidRPr="00A32FBD">
        <w:rPr>
          <w:bCs/>
          <w:color w:val="auto"/>
          <w:lang w:val="en-US"/>
        </w:rPr>
        <w:t xml:space="preserve"> </w:t>
      </w:r>
      <w:r w:rsidRPr="004B636F">
        <w:rPr>
          <w:bCs/>
          <w:color w:val="auto"/>
          <w:lang w:val="en-US"/>
        </w:rPr>
        <w:t xml:space="preserve">a problem </w:t>
      </w:r>
      <w:r w:rsidR="00A32FBD">
        <w:rPr>
          <w:bCs/>
          <w:color w:val="auto"/>
          <w:lang w:val="en-US"/>
        </w:rPr>
        <w:t xml:space="preserve">attributed </w:t>
      </w:r>
      <w:r w:rsidRPr="004B636F">
        <w:rPr>
          <w:bCs/>
          <w:color w:val="auto"/>
          <w:lang w:val="en-US"/>
        </w:rPr>
        <w:t>England and Wales</w:t>
      </w:r>
      <w:r w:rsidR="001E11A4">
        <w:rPr>
          <w:bCs/>
          <w:color w:val="auto"/>
          <w:lang w:val="en-US"/>
        </w:rPr>
        <w:t xml:space="preserve"> since </w:t>
      </w:r>
      <w:r w:rsidRPr="004B636F">
        <w:rPr>
          <w:bCs/>
          <w:color w:val="auto"/>
          <w:lang w:val="en-US"/>
        </w:rPr>
        <w:t xml:space="preserve">the United States </w:t>
      </w:r>
      <w:r w:rsidR="001E11A4">
        <w:rPr>
          <w:bCs/>
          <w:color w:val="auto"/>
          <w:lang w:val="en-US"/>
        </w:rPr>
        <w:t xml:space="preserve">also </w:t>
      </w:r>
      <w:r w:rsidRPr="004B636F">
        <w:rPr>
          <w:bCs/>
          <w:color w:val="auto"/>
          <w:lang w:val="en-US"/>
        </w:rPr>
        <w:t xml:space="preserve">ruled polygraph evidence </w:t>
      </w:r>
      <w:r w:rsidR="001E11A4">
        <w:rPr>
          <w:bCs/>
          <w:color w:val="auto"/>
          <w:lang w:val="en-US"/>
        </w:rPr>
        <w:t xml:space="preserve">to be </w:t>
      </w:r>
      <w:r w:rsidRPr="004B636F">
        <w:rPr>
          <w:bCs/>
          <w:color w:val="auto"/>
          <w:lang w:val="en-US"/>
        </w:rPr>
        <w:t xml:space="preserve">inadmissible at trial. Furthermore, Canada also excludes such evidence on the basis of a general “mistrust … as a method for determining the truthfulness of an individual’s statements … and there is a generally antipathy toward the use of the </w:t>
      </w:r>
      <w:r w:rsidRPr="004B636F">
        <w:rPr>
          <w:bCs/>
          <w:color w:val="auto"/>
          <w:lang w:val="en-US"/>
        </w:rPr>
        <w:lastRenderedPageBreak/>
        <w:t>technique in any court-related context.”</w:t>
      </w:r>
      <w:r w:rsidRPr="004B636F">
        <w:rPr>
          <w:rStyle w:val="EndnoteReference"/>
          <w:bCs/>
          <w:color w:val="auto"/>
          <w:lang w:val="en-US"/>
        </w:rPr>
        <w:endnoteReference w:id="41"/>
      </w:r>
      <w:r w:rsidRPr="004B636F">
        <w:rPr>
          <w:bCs/>
          <w:color w:val="auto"/>
          <w:lang w:val="en-US"/>
        </w:rPr>
        <w:t xml:space="preserve"> However, Frederiksen argues that the technique is inadmissible, not because it is unreliable, but because the examiner provides direct expert evidence as to the credibility of the subject.</w:t>
      </w:r>
      <w:r w:rsidRPr="004B636F">
        <w:rPr>
          <w:rStyle w:val="EndnoteReference"/>
          <w:bCs/>
          <w:color w:val="auto"/>
          <w:lang w:val="en-US"/>
        </w:rPr>
        <w:endnoteReference w:id="42"/>
      </w:r>
      <w:r w:rsidRPr="004B636F">
        <w:rPr>
          <w:bCs/>
          <w:color w:val="auto"/>
          <w:lang w:val="en-US"/>
        </w:rPr>
        <w:t xml:space="preserve"> Canadian courts</w:t>
      </w:r>
      <w:r w:rsidR="00FB2171">
        <w:rPr>
          <w:bCs/>
          <w:color w:val="auto"/>
          <w:lang w:val="en-US"/>
        </w:rPr>
        <w:t>, on the one hand,</w:t>
      </w:r>
      <w:r w:rsidRPr="004B636F">
        <w:rPr>
          <w:bCs/>
          <w:color w:val="auto"/>
          <w:lang w:val="en-US"/>
        </w:rPr>
        <w:t xml:space="preserve"> have allowed confessions </w:t>
      </w:r>
      <w:r w:rsidR="00FB2171">
        <w:rPr>
          <w:bCs/>
          <w:color w:val="auto"/>
          <w:lang w:val="en-US"/>
        </w:rPr>
        <w:t xml:space="preserve">founded on </w:t>
      </w:r>
      <w:r w:rsidRPr="004B636F">
        <w:rPr>
          <w:bCs/>
          <w:color w:val="auto"/>
          <w:lang w:val="en-US"/>
        </w:rPr>
        <w:t>failed polygraph</w:t>
      </w:r>
      <w:r w:rsidR="00FB2171">
        <w:rPr>
          <w:bCs/>
          <w:color w:val="auto"/>
          <w:lang w:val="en-US"/>
        </w:rPr>
        <w:t xml:space="preserve"> tests</w:t>
      </w:r>
      <w:r w:rsidRPr="004B636F">
        <w:rPr>
          <w:bCs/>
          <w:color w:val="auto"/>
          <w:lang w:val="en-US"/>
        </w:rPr>
        <w:t xml:space="preserve"> during </w:t>
      </w:r>
      <w:r w:rsidR="00FB2171">
        <w:rPr>
          <w:bCs/>
          <w:color w:val="auto"/>
          <w:lang w:val="en-US"/>
        </w:rPr>
        <w:t>a</w:t>
      </w:r>
      <w:r w:rsidR="00FB2171" w:rsidRPr="004B636F">
        <w:rPr>
          <w:bCs/>
          <w:color w:val="auto"/>
          <w:lang w:val="en-US"/>
        </w:rPr>
        <w:t xml:space="preserve"> </w:t>
      </w:r>
      <w:r w:rsidRPr="004B636F">
        <w:rPr>
          <w:bCs/>
          <w:color w:val="auto"/>
          <w:lang w:val="en-US"/>
        </w:rPr>
        <w:t xml:space="preserve">pre-trial investigation. </w:t>
      </w:r>
      <w:r w:rsidR="00FB2171">
        <w:rPr>
          <w:bCs/>
          <w:color w:val="auto"/>
          <w:lang w:val="en-US"/>
        </w:rPr>
        <w:t>This occurred i</w:t>
      </w:r>
      <w:r w:rsidRPr="004B636F">
        <w:rPr>
          <w:bCs/>
          <w:color w:val="auto"/>
          <w:lang w:val="en-US"/>
        </w:rPr>
        <w:t xml:space="preserve">n </w:t>
      </w:r>
      <w:r w:rsidR="000A41E4">
        <w:rPr>
          <w:bCs/>
          <w:i/>
          <w:color w:val="auto"/>
          <w:lang w:val="en-US"/>
        </w:rPr>
        <w:t>R v Oickle;</w:t>
      </w:r>
      <w:r w:rsidRPr="004B636F">
        <w:rPr>
          <w:rStyle w:val="EndnoteReference"/>
          <w:bCs/>
          <w:color w:val="auto"/>
          <w:lang w:val="en-US"/>
        </w:rPr>
        <w:endnoteReference w:id="43"/>
      </w:r>
      <w:r w:rsidR="00FB2171">
        <w:rPr>
          <w:bCs/>
          <w:i/>
          <w:color w:val="auto"/>
          <w:lang w:val="en-US"/>
        </w:rPr>
        <w:t xml:space="preserve"> </w:t>
      </w:r>
      <w:r w:rsidR="000A41E4">
        <w:rPr>
          <w:bCs/>
          <w:color w:val="auto"/>
          <w:lang w:val="en-US"/>
        </w:rPr>
        <w:t>the case</w:t>
      </w:r>
      <w:r w:rsidR="00FB2171">
        <w:rPr>
          <w:bCs/>
          <w:color w:val="auto"/>
          <w:lang w:val="en-US"/>
        </w:rPr>
        <w:t xml:space="preserve"> concerned a</w:t>
      </w:r>
      <w:r w:rsidRPr="004B636F">
        <w:rPr>
          <w:bCs/>
          <w:color w:val="auto"/>
          <w:lang w:val="en-US"/>
        </w:rPr>
        <w:t xml:space="preserve"> suspect</w:t>
      </w:r>
      <w:r w:rsidR="00FB2171">
        <w:rPr>
          <w:bCs/>
          <w:color w:val="auto"/>
          <w:lang w:val="en-US"/>
        </w:rPr>
        <w:t xml:space="preserve"> that</w:t>
      </w:r>
      <w:r w:rsidRPr="004B636F">
        <w:rPr>
          <w:bCs/>
          <w:color w:val="auto"/>
          <w:lang w:val="en-US"/>
        </w:rPr>
        <w:t xml:space="preserve"> undertook a voluntary polygraph, the interpretation of </w:t>
      </w:r>
      <w:r w:rsidR="00FB2171">
        <w:rPr>
          <w:bCs/>
          <w:color w:val="auto"/>
          <w:lang w:val="en-US"/>
        </w:rPr>
        <w:t xml:space="preserve">which </w:t>
      </w:r>
      <w:r w:rsidRPr="004B636F">
        <w:rPr>
          <w:bCs/>
          <w:color w:val="auto"/>
          <w:lang w:val="en-US"/>
        </w:rPr>
        <w:t>would not provide admissible evidence</w:t>
      </w:r>
      <w:r w:rsidR="00FB2171">
        <w:rPr>
          <w:bCs/>
          <w:color w:val="auto"/>
          <w:lang w:val="en-US"/>
        </w:rPr>
        <w:t xml:space="preserve"> since</w:t>
      </w:r>
      <w:r w:rsidRPr="004B636F">
        <w:rPr>
          <w:bCs/>
          <w:color w:val="auto"/>
          <w:lang w:val="en-US"/>
        </w:rPr>
        <w:t xml:space="preserve"> anything the suspect said during the test would be admissible. </w:t>
      </w:r>
      <w:r w:rsidR="00FB2171">
        <w:rPr>
          <w:bCs/>
          <w:color w:val="auto"/>
          <w:lang w:val="en-US"/>
        </w:rPr>
        <w:t xml:space="preserve">He </w:t>
      </w:r>
      <w:r w:rsidRPr="004B636F">
        <w:rPr>
          <w:bCs/>
          <w:color w:val="auto"/>
          <w:lang w:val="en-US"/>
        </w:rPr>
        <w:t xml:space="preserve">was </w:t>
      </w:r>
      <w:r w:rsidR="00FB2171">
        <w:rPr>
          <w:bCs/>
          <w:color w:val="auto"/>
          <w:lang w:val="en-US"/>
        </w:rPr>
        <w:t xml:space="preserve">then </w:t>
      </w:r>
      <w:r w:rsidRPr="004B636F">
        <w:rPr>
          <w:bCs/>
          <w:color w:val="auto"/>
          <w:lang w:val="en-US"/>
        </w:rPr>
        <w:t xml:space="preserve">informed he “failed” the test and he later made admissions. He was convicted; the court at first instance held that the polygraph was not a ground for exclusions because the police made it abundantly clear that any evidence obtained would be inadmissible. </w:t>
      </w:r>
      <w:r w:rsidR="000A41E4">
        <w:rPr>
          <w:bCs/>
          <w:color w:val="auto"/>
          <w:lang w:val="en-US"/>
        </w:rPr>
        <w:t>T</w:t>
      </w:r>
      <w:r w:rsidRPr="004B636F">
        <w:rPr>
          <w:bCs/>
          <w:color w:val="auto"/>
          <w:lang w:val="en-US"/>
        </w:rPr>
        <w:t xml:space="preserve">he Supreme Court overturned the ruling of the appeal court.  Justice Iacobucci outlined four factors that should be used to determine whether a confession was voluntary: </w:t>
      </w:r>
    </w:p>
    <w:p w14:paraId="06CF053F" w14:textId="77777777" w:rsidR="001E206E" w:rsidRPr="004B636F" w:rsidRDefault="001E206E" w:rsidP="00043696">
      <w:pPr>
        <w:pStyle w:val="Default"/>
        <w:spacing w:line="360" w:lineRule="auto"/>
        <w:jc w:val="both"/>
        <w:rPr>
          <w:bCs/>
          <w:color w:val="auto"/>
          <w:lang w:val="en-US"/>
        </w:rPr>
      </w:pPr>
    </w:p>
    <w:p w14:paraId="7C3B6B9B" w14:textId="1BF58049" w:rsidR="001E206E" w:rsidRPr="004B636F" w:rsidRDefault="001E206E" w:rsidP="001B751B">
      <w:pPr>
        <w:pStyle w:val="Default"/>
        <w:numPr>
          <w:ilvl w:val="0"/>
          <w:numId w:val="4"/>
        </w:numPr>
        <w:spacing w:line="360" w:lineRule="auto"/>
        <w:jc w:val="both"/>
        <w:rPr>
          <w:bCs/>
          <w:color w:val="auto"/>
          <w:lang w:val="en-US"/>
        </w:rPr>
      </w:pPr>
      <w:r w:rsidRPr="004B636F">
        <w:rPr>
          <w:bCs/>
          <w:color w:val="auto"/>
          <w:lang w:val="en-US"/>
        </w:rPr>
        <w:t>The court must consider any threats or promises made by the police.</w:t>
      </w:r>
      <w:r w:rsidRPr="004B636F">
        <w:rPr>
          <w:rStyle w:val="EndnoteReference"/>
          <w:bCs/>
          <w:color w:val="auto"/>
          <w:lang w:val="en-US"/>
        </w:rPr>
        <w:endnoteReference w:id="44"/>
      </w:r>
    </w:p>
    <w:p w14:paraId="1335A33D" w14:textId="476060D7" w:rsidR="001E206E" w:rsidRPr="004B636F" w:rsidRDefault="001E206E" w:rsidP="001B751B">
      <w:pPr>
        <w:pStyle w:val="Default"/>
        <w:numPr>
          <w:ilvl w:val="0"/>
          <w:numId w:val="4"/>
        </w:numPr>
        <w:spacing w:line="360" w:lineRule="auto"/>
        <w:jc w:val="both"/>
        <w:rPr>
          <w:bCs/>
          <w:color w:val="auto"/>
          <w:lang w:val="en-US"/>
        </w:rPr>
      </w:pPr>
      <w:r w:rsidRPr="004B636F">
        <w:rPr>
          <w:bCs/>
          <w:color w:val="auto"/>
          <w:lang w:val="en-US"/>
        </w:rPr>
        <w:t>The court should look for oppression, if it is distasteful or inhumane that would amount to an involuntary confession.</w:t>
      </w:r>
      <w:r w:rsidRPr="004B636F">
        <w:rPr>
          <w:rStyle w:val="EndnoteReference"/>
          <w:bCs/>
          <w:color w:val="auto"/>
          <w:lang w:val="en-US"/>
        </w:rPr>
        <w:endnoteReference w:id="45"/>
      </w:r>
    </w:p>
    <w:p w14:paraId="7AE7DF9B" w14:textId="72553AE7" w:rsidR="001E206E" w:rsidRPr="004B636F" w:rsidRDefault="001E206E" w:rsidP="001B751B">
      <w:pPr>
        <w:pStyle w:val="Default"/>
        <w:numPr>
          <w:ilvl w:val="0"/>
          <w:numId w:val="4"/>
        </w:numPr>
        <w:spacing w:line="360" w:lineRule="auto"/>
        <w:jc w:val="both"/>
        <w:rPr>
          <w:bCs/>
          <w:color w:val="auto"/>
          <w:lang w:val="en-US"/>
        </w:rPr>
      </w:pPr>
      <w:r w:rsidRPr="004B636F">
        <w:rPr>
          <w:bCs/>
          <w:color w:val="auto"/>
          <w:lang w:val="en-US"/>
        </w:rPr>
        <w:t>The court must consider whether the suspect has an operating mind; are they aware what they are saying and who they are saying it to.</w:t>
      </w:r>
      <w:r w:rsidRPr="004B636F">
        <w:rPr>
          <w:rStyle w:val="EndnoteReference"/>
          <w:bCs/>
          <w:color w:val="auto"/>
          <w:lang w:val="en-US"/>
        </w:rPr>
        <w:endnoteReference w:id="46"/>
      </w:r>
    </w:p>
    <w:p w14:paraId="250B8031" w14:textId="5E3B9A33" w:rsidR="001E206E" w:rsidRPr="004B636F" w:rsidRDefault="001E206E" w:rsidP="00043696">
      <w:pPr>
        <w:pStyle w:val="Default"/>
        <w:numPr>
          <w:ilvl w:val="0"/>
          <w:numId w:val="4"/>
        </w:numPr>
        <w:spacing w:line="360" w:lineRule="auto"/>
        <w:jc w:val="both"/>
        <w:rPr>
          <w:bCs/>
          <w:color w:val="auto"/>
          <w:lang w:val="en-US"/>
        </w:rPr>
      </w:pPr>
      <w:r w:rsidRPr="004B636F">
        <w:rPr>
          <w:bCs/>
          <w:color w:val="auto"/>
          <w:lang w:val="en-US"/>
        </w:rPr>
        <w:t>The court can consider the tactics used by the police to elicit a confession. If it goes as far as to ‘shock the community’, it should be inadmissible.</w:t>
      </w:r>
      <w:r w:rsidRPr="004B636F">
        <w:rPr>
          <w:rStyle w:val="EndnoteReference"/>
          <w:bCs/>
          <w:color w:val="auto"/>
          <w:lang w:val="en-US"/>
        </w:rPr>
        <w:endnoteReference w:id="47"/>
      </w:r>
      <w:r w:rsidRPr="004B636F">
        <w:rPr>
          <w:bCs/>
          <w:color w:val="auto"/>
          <w:lang w:val="en-US"/>
        </w:rPr>
        <w:t xml:space="preserve"> </w:t>
      </w:r>
    </w:p>
    <w:p w14:paraId="2F978AF8" w14:textId="77777777" w:rsidR="001E206E" w:rsidRPr="004B636F" w:rsidRDefault="001E206E" w:rsidP="001B751B">
      <w:pPr>
        <w:pStyle w:val="Default"/>
        <w:spacing w:line="360" w:lineRule="auto"/>
        <w:jc w:val="both"/>
        <w:rPr>
          <w:bCs/>
          <w:color w:val="auto"/>
          <w:lang w:val="en-US"/>
        </w:rPr>
      </w:pPr>
    </w:p>
    <w:p w14:paraId="47C85DC8" w14:textId="005360F2" w:rsidR="001E206E" w:rsidRPr="004B636F" w:rsidRDefault="001E206E" w:rsidP="001B751B">
      <w:pPr>
        <w:pStyle w:val="Default"/>
        <w:spacing w:line="360" w:lineRule="auto"/>
        <w:jc w:val="both"/>
        <w:rPr>
          <w:bCs/>
          <w:color w:val="auto"/>
          <w:lang w:val="en-US"/>
        </w:rPr>
      </w:pPr>
      <w:r w:rsidRPr="004B636F">
        <w:rPr>
          <w:bCs/>
          <w:color w:val="auto"/>
          <w:lang w:val="en-US"/>
        </w:rPr>
        <w:t xml:space="preserve">The Supreme Court’s decision was not </w:t>
      </w:r>
      <w:r w:rsidR="00850A5D" w:rsidRPr="009F4FD3">
        <w:rPr>
          <w:bCs/>
          <w:color w:val="auto"/>
          <w:lang w:val="en-US"/>
        </w:rPr>
        <w:t>unanimous</w:t>
      </w:r>
      <w:r w:rsidR="00850A5D">
        <w:rPr>
          <w:bCs/>
          <w:color w:val="auto"/>
          <w:lang w:val="en-US"/>
        </w:rPr>
        <w:t>;</w:t>
      </w:r>
      <w:r w:rsidRPr="004B636F">
        <w:rPr>
          <w:bCs/>
          <w:color w:val="auto"/>
          <w:lang w:val="en-US"/>
        </w:rPr>
        <w:t xml:space="preserve"> Arbout JJ dissented </w:t>
      </w:r>
      <w:r w:rsidR="00850A5D">
        <w:rPr>
          <w:bCs/>
          <w:color w:val="auto"/>
          <w:lang w:val="en-US"/>
        </w:rPr>
        <w:t xml:space="preserve">that the </w:t>
      </w:r>
      <w:r w:rsidRPr="004B636F">
        <w:rPr>
          <w:bCs/>
          <w:color w:val="auto"/>
          <w:lang w:val="en-US"/>
        </w:rPr>
        <w:t>confession be excluded for two reasons.</w:t>
      </w:r>
      <w:r w:rsidRPr="004B636F">
        <w:rPr>
          <w:rStyle w:val="EndnoteReference"/>
          <w:bCs/>
          <w:color w:val="auto"/>
          <w:lang w:val="en-US"/>
        </w:rPr>
        <w:endnoteReference w:id="48"/>
      </w:r>
      <w:r w:rsidRPr="004B636F">
        <w:rPr>
          <w:bCs/>
          <w:color w:val="auto"/>
          <w:lang w:val="en-US"/>
        </w:rPr>
        <w:t xml:space="preserve"> First, the statements obtained </w:t>
      </w:r>
      <w:r w:rsidR="00850A5D">
        <w:rPr>
          <w:bCs/>
          <w:color w:val="auto"/>
          <w:lang w:val="en-US"/>
        </w:rPr>
        <w:t xml:space="preserve">were procured </w:t>
      </w:r>
      <w:r w:rsidRPr="004B636F">
        <w:rPr>
          <w:bCs/>
          <w:color w:val="auto"/>
          <w:lang w:val="en-US"/>
        </w:rPr>
        <w:t xml:space="preserve">as a result of </w:t>
      </w:r>
      <w:r w:rsidR="00850A5D">
        <w:rPr>
          <w:bCs/>
          <w:color w:val="auto"/>
          <w:lang w:val="en-US"/>
        </w:rPr>
        <w:t xml:space="preserve">some kind of </w:t>
      </w:r>
      <w:r w:rsidRPr="004B636F">
        <w:rPr>
          <w:bCs/>
          <w:color w:val="auto"/>
          <w:lang w:val="en-US"/>
        </w:rPr>
        <w:t>fear</w:t>
      </w:r>
      <w:r w:rsidR="00850A5D">
        <w:rPr>
          <w:bCs/>
          <w:color w:val="auto"/>
          <w:lang w:val="en-US"/>
        </w:rPr>
        <w:t>,</w:t>
      </w:r>
      <w:r w:rsidRPr="004B636F">
        <w:rPr>
          <w:bCs/>
          <w:color w:val="auto"/>
          <w:lang w:val="en-US"/>
        </w:rPr>
        <w:t xml:space="preserve"> prejudice or advantage held by </w:t>
      </w:r>
      <w:r w:rsidR="00850A5D">
        <w:rPr>
          <w:bCs/>
          <w:color w:val="auto"/>
          <w:lang w:val="en-US"/>
        </w:rPr>
        <w:t xml:space="preserve">the </w:t>
      </w:r>
      <w:r w:rsidRPr="004B636F">
        <w:rPr>
          <w:bCs/>
          <w:color w:val="auto"/>
          <w:lang w:val="en-US"/>
        </w:rPr>
        <w:t>authorit</w:t>
      </w:r>
      <w:r w:rsidR="00850A5D">
        <w:rPr>
          <w:bCs/>
          <w:color w:val="auto"/>
          <w:lang w:val="en-US"/>
        </w:rPr>
        <w:t>ies</w:t>
      </w:r>
      <w:r w:rsidRPr="004B636F">
        <w:rPr>
          <w:bCs/>
          <w:color w:val="auto"/>
          <w:lang w:val="en-US"/>
        </w:rPr>
        <w:t xml:space="preserve">. Second, the respondent </w:t>
      </w:r>
      <w:r w:rsidR="00850A5D">
        <w:rPr>
          <w:bCs/>
          <w:color w:val="auto"/>
          <w:lang w:val="en-US"/>
        </w:rPr>
        <w:t>was</w:t>
      </w:r>
      <w:r w:rsidRPr="004B636F">
        <w:rPr>
          <w:bCs/>
          <w:color w:val="auto"/>
          <w:lang w:val="en-US"/>
        </w:rPr>
        <w:t xml:space="preserve"> placed in an unfair position</w:t>
      </w:r>
      <w:r w:rsidR="00850A5D">
        <w:rPr>
          <w:bCs/>
          <w:color w:val="auto"/>
          <w:lang w:val="en-US"/>
        </w:rPr>
        <w:t xml:space="preserve"> by</w:t>
      </w:r>
      <w:r w:rsidRPr="004B636F">
        <w:rPr>
          <w:bCs/>
          <w:color w:val="auto"/>
          <w:lang w:val="en-US"/>
        </w:rPr>
        <w:t xml:space="preserve"> having to lead prejudicial, unreliable and inadmissible evidence against himself in order to impeach the veracity of the statements he made.</w:t>
      </w:r>
      <w:r w:rsidR="000A41E4">
        <w:rPr>
          <w:rStyle w:val="EndnoteReference"/>
          <w:bCs/>
          <w:color w:val="auto"/>
          <w:lang w:val="en-US"/>
        </w:rPr>
        <w:endnoteReference w:id="49"/>
      </w:r>
      <w:r w:rsidRPr="004B636F">
        <w:rPr>
          <w:bCs/>
          <w:color w:val="auto"/>
          <w:lang w:val="en-US"/>
        </w:rPr>
        <w:t xml:space="preserve"> Despite this argument,</w:t>
      </w:r>
      <w:r w:rsidR="00850A5D">
        <w:rPr>
          <w:bCs/>
          <w:color w:val="auto"/>
          <w:lang w:val="en-US"/>
        </w:rPr>
        <w:t xml:space="preserve"> however,</w:t>
      </w:r>
      <w:r w:rsidRPr="004B636F">
        <w:rPr>
          <w:bCs/>
          <w:color w:val="auto"/>
          <w:lang w:val="en-US"/>
        </w:rPr>
        <w:t xml:space="preserve"> the Supreme Court re-instated the conviction. </w:t>
      </w:r>
    </w:p>
    <w:p w14:paraId="63BB09E8" w14:textId="6CC2B006" w:rsidR="001E206E" w:rsidRPr="004B636F" w:rsidRDefault="001E206E" w:rsidP="001B751B">
      <w:pPr>
        <w:pStyle w:val="Default"/>
        <w:spacing w:line="360" w:lineRule="auto"/>
        <w:jc w:val="both"/>
        <w:rPr>
          <w:bCs/>
          <w:color w:val="auto"/>
          <w:lang w:val="en-US"/>
        </w:rPr>
      </w:pPr>
      <w:r w:rsidRPr="004B636F">
        <w:rPr>
          <w:bCs/>
          <w:color w:val="auto"/>
          <w:lang w:val="en-US"/>
        </w:rPr>
        <w:t xml:space="preserve"> </w:t>
      </w:r>
    </w:p>
    <w:p w14:paraId="55BB95F4" w14:textId="38320EB3" w:rsidR="001E206E" w:rsidRPr="004B636F" w:rsidRDefault="001E206E" w:rsidP="00043696">
      <w:pPr>
        <w:pStyle w:val="Default"/>
        <w:spacing w:line="360" w:lineRule="auto"/>
        <w:jc w:val="both"/>
        <w:rPr>
          <w:bCs/>
          <w:color w:val="auto"/>
          <w:lang w:val="en-US"/>
        </w:rPr>
      </w:pPr>
      <w:r w:rsidRPr="004B636F">
        <w:rPr>
          <w:bCs/>
          <w:color w:val="auto"/>
          <w:lang w:val="en-US"/>
        </w:rPr>
        <w:t xml:space="preserve">Notwithstanding the decision in </w:t>
      </w:r>
      <w:r w:rsidRPr="004B636F">
        <w:rPr>
          <w:bCs/>
          <w:i/>
          <w:color w:val="auto"/>
          <w:lang w:val="en-US"/>
        </w:rPr>
        <w:t xml:space="preserve">Oickle, </w:t>
      </w:r>
      <w:r w:rsidRPr="004B636F">
        <w:rPr>
          <w:bCs/>
          <w:color w:val="auto"/>
          <w:lang w:val="en-US"/>
        </w:rPr>
        <w:t xml:space="preserve">there </w:t>
      </w:r>
      <w:r w:rsidR="00850A5D">
        <w:rPr>
          <w:bCs/>
          <w:color w:val="auto"/>
          <w:lang w:val="en-US"/>
        </w:rPr>
        <w:t xml:space="preserve">has been </w:t>
      </w:r>
      <w:r w:rsidRPr="004B636F">
        <w:rPr>
          <w:bCs/>
          <w:color w:val="auto"/>
          <w:lang w:val="en-US"/>
        </w:rPr>
        <w:t>a general reluctance to use th</w:t>
      </w:r>
      <w:r w:rsidR="00850A5D">
        <w:rPr>
          <w:bCs/>
          <w:color w:val="auto"/>
          <w:lang w:val="en-US"/>
        </w:rPr>
        <w:t>is</w:t>
      </w:r>
      <w:r w:rsidRPr="004B636F">
        <w:rPr>
          <w:bCs/>
          <w:color w:val="auto"/>
          <w:lang w:val="en-US"/>
        </w:rPr>
        <w:t xml:space="preserve"> technique in the courtroom. </w:t>
      </w:r>
      <w:r w:rsidR="00FB2171">
        <w:rPr>
          <w:bCs/>
          <w:color w:val="auto"/>
          <w:lang w:val="en-US"/>
        </w:rPr>
        <w:t>Even though</w:t>
      </w:r>
      <w:r w:rsidRPr="004B636F">
        <w:rPr>
          <w:bCs/>
          <w:color w:val="auto"/>
          <w:lang w:val="en-US"/>
        </w:rPr>
        <w:t xml:space="preserve"> polygraph examination</w:t>
      </w:r>
      <w:r w:rsidR="00FB2171">
        <w:rPr>
          <w:bCs/>
          <w:color w:val="auto"/>
          <w:lang w:val="en-US"/>
        </w:rPr>
        <w:t>s</w:t>
      </w:r>
      <w:r w:rsidRPr="004B636F">
        <w:rPr>
          <w:bCs/>
          <w:color w:val="auto"/>
          <w:lang w:val="en-US"/>
        </w:rPr>
        <w:t xml:space="preserve"> ha</w:t>
      </w:r>
      <w:r w:rsidR="00FB2171">
        <w:rPr>
          <w:bCs/>
          <w:color w:val="auto"/>
          <w:lang w:val="en-US"/>
        </w:rPr>
        <w:t>ve</w:t>
      </w:r>
      <w:r w:rsidRPr="004B636F">
        <w:rPr>
          <w:bCs/>
          <w:color w:val="auto"/>
          <w:lang w:val="en-US"/>
        </w:rPr>
        <w:t xml:space="preserve"> infiltrated the post-conviction stage. Despite the criticisms of the method, the United States</w:t>
      </w:r>
      <w:r w:rsidR="00850A5D">
        <w:rPr>
          <w:bCs/>
          <w:color w:val="auto"/>
          <w:lang w:val="en-US"/>
        </w:rPr>
        <w:t xml:space="preserve"> </w:t>
      </w:r>
      <w:r w:rsidRPr="004B636F">
        <w:rPr>
          <w:bCs/>
          <w:color w:val="auto"/>
          <w:lang w:val="en-US"/>
        </w:rPr>
        <w:t xml:space="preserve">routinely </w:t>
      </w:r>
      <w:r w:rsidR="00850A5D" w:rsidRPr="009F4FD3">
        <w:rPr>
          <w:bCs/>
          <w:color w:val="auto"/>
          <w:lang w:val="en-US"/>
        </w:rPr>
        <w:t>uses</w:t>
      </w:r>
      <w:r w:rsidRPr="004B636F">
        <w:rPr>
          <w:bCs/>
          <w:color w:val="auto"/>
          <w:lang w:val="en-US"/>
        </w:rPr>
        <w:t xml:space="preserve"> polygraphs to manage offenders post-conviction. </w:t>
      </w:r>
      <w:r w:rsidR="000A41E4">
        <w:rPr>
          <w:bCs/>
          <w:color w:val="auto"/>
          <w:lang w:val="en-US"/>
        </w:rPr>
        <w:t>In 2007,</w:t>
      </w:r>
      <w:r w:rsidR="00850A5D">
        <w:rPr>
          <w:bCs/>
          <w:color w:val="auto"/>
          <w:lang w:val="en-US"/>
        </w:rPr>
        <w:t xml:space="preserve"> o</w:t>
      </w:r>
      <w:r w:rsidRPr="004B636F">
        <w:rPr>
          <w:bCs/>
          <w:color w:val="auto"/>
          <w:lang w:val="en-US"/>
        </w:rPr>
        <w:t xml:space="preserve">ver </w:t>
      </w:r>
      <w:r w:rsidR="00850A5D">
        <w:rPr>
          <w:bCs/>
          <w:color w:val="auto"/>
          <w:lang w:val="en-US"/>
        </w:rPr>
        <w:t>80%</w:t>
      </w:r>
      <w:r w:rsidRPr="004B636F">
        <w:rPr>
          <w:bCs/>
          <w:color w:val="auto"/>
          <w:lang w:val="en-US"/>
        </w:rPr>
        <w:t xml:space="preserve"> of community treatment plans in the USA for adult sex offenders ma</w:t>
      </w:r>
      <w:r w:rsidR="00850A5D">
        <w:rPr>
          <w:bCs/>
          <w:color w:val="auto"/>
          <w:lang w:val="en-US"/>
        </w:rPr>
        <w:t>d</w:t>
      </w:r>
      <w:r w:rsidRPr="004B636F">
        <w:rPr>
          <w:bCs/>
          <w:color w:val="auto"/>
          <w:lang w:val="en-US"/>
        </w:rPr>
        <w:t>e use of the test.</w:t>
      </w:r>
      <w:r w:rsidRPr="004B636F">
        <w:rPr>
          <w:rStyle w:val="EndnoteReference"/>
          <w:bCs/>
          <w:color w:val="auto"/>
          <w:lang w:val="en-US"/>
        </w:rPr>
        <w:endnoteReference w:id="50"/>
      </w:r>
      <w:r w:rsidRPr="004B636F">
        <w:rPr>
          <w:bCs/>
          <w:color w:val="auto"/>
          <w:lang w:val="en-US"/>
        </w:rPr>
        <w:t xml:space="preserve"> It is estimated that </w:t>
      </w:r>
      <w:r w:rsidR="00FB2171" w:rsidRPr="00412C5E">
        <w:rPr>
          <w:bCs/>
          <w:color w:val="auto"/>
          <w:lang w:val="en-US"/>
        </w:rPr>
        <w:t>polygraph</w:t>
      </w:r>
      <w:r w:rsidR="00FB2171" w:rsidRPr="009F4FD3" w:rsidDel="00FB2171">
        <w:rPr>
          <w:bCs/>
          <w:color w:val="auto"/>
          <w:lang w:val="en-US"/>
        </w:rPr>
        <w:t xml:space="preserve"> </w:t>
      </w:r>
      <w:r w:rsidRPr="004B636F">
        <w:rPr>
          <w:bCs/>
          <w:color w:val="auto"/>
          <w:lang w:val="en-US"/>
        </w:rPr>
        <w:t xml:space="preserve">accuracy is likely to be in the region of </w:t>
      </w:r>
      <w:r w:rsidR="00FB2171">
        <w:rPr>
          <w:bCs/>
          <w:color w:val="auto"/>
          <w:lang w:val="en-US"/>
        </w:rPr>
        <w:t>80-90%</w:t>
      </w:r>
      <w:r w:rsidRPr="004B636F">
        <w:rPr>
          <w:bCs/>
          <w:color w:val="auto"/>
          <w:lang w:val="en-US"/>
        </w:rPr>
        <w:t>.</w:t>
      </w:r>
      <w:r w:rsidRPr="004B636F">
        <w:rPr>
          <w:rStyle w:val="EndnoteReference"/>
          <w:bCs/>
          <w:color w:val="auto"/>
          <w:lang w:val="en-US"/>
        </w:rPr>
        <w:endnoteReference w:id="51"/>
      </w:r>
      <w:r w:rsidRPr="004B636F">
        <w:rPr>
          <w:bCs/>
          <w:color w:val="auto"/>
          <w:lang w:val="en-US"/>
        </w:rPr>
        <w:t xml:space="preserve"> In the early part of the Twenty-First </w:t>
      </w:r>
      <w:r w:rsidRPr="004B636F">
        <w:rPr>
          <w:bCs/>
          <w:color w:val="auto"/>
          <w:lang w:val="en-US"/>
        </w:rPr>
        <w:lastRenderedPageBreak/>
        <w:t>Century, the Home Office supported a voluntary polygraph pilot with a small group of sexual offenders.</w:t>
      </w:r>
      <w:r w:rsidRPr="004B636F">
        <w:rPr>
          <w:rStyle w:val="EndnoteReference"/>
          <w:bCs/>
          <w:color w:val="auto"/>
          <w:lang w:val="en-US"/>
        </w:rPr>
        <w:endnoteReference w:id="52"/>
      </w:r>
      <w:r w:rsidRPr="004B636F">
        <w:rPr>
          <w:bCs/>
          <w:color w:val="auto"/>
          <w:lang w:val="en-US"/>
        </w:rPr>
        <w:t xml:space="preserve"> This study led to the National Offender Management Service (NOMS) commission a more sizable study across ten probation areas. NOMS then commissioned compulsory polygraph tests for sexual offenders;</w:t>
      </w:r>
      <w:r w:rsidRPr="004B636F">
        <w:rPr>
          <w:rStyle w:val="EndnoteReference"/>
          <w:bCs/>
          <w:color w:val="auto"/>
          <w:lang w:val="en-US"/>
        </w:rPr>
        <w:endnoteReference w:id="53"/>
      </w:r>
      <w:r w:rsidRPr="004B636F">
        <w:rPr>
          <w:bCs/>
          <w:color w:val="auto"/>
          <w:lang w:val="en-US"/>
        </w:rPr>
        <w:t xml:space="preserve"> here, the test acted as a truth facilitator, where those who failed to comply with their polygraph license or those who disclosed clear license breaches as a result of the test could face being re-called to prison.</w:t>
      </w:r>
      <w:r w:rsidRPr="004B636F">
        <w:rPr>
          <w:rStyle w:val="EndnoteReference"/>
          <w:bCs/>
          <w:color w:val="auto"/>
          <w:lang w:val="en-US"/>
        </w:rPr>
        <w:endnoteReference w:id="54"/>
      </w:r>
      <w:r w:rsidRPr="004B636F">
        <w:rPr>
          <w:bCs/>
          <w:color w:val="auto"/>
          <w:lang w:val="en-US"/>
        </w:rPr>
        <w:t xml:space="preserve"> Offender managers welcome the technique at the post-conviction stage. They indicated that the test was helpful as it disclosed risk and provided them with confidence in the offenders’ honesty. Furthermore, the study indicated that the sexual offenders in the community </w:t>
      </w:r>
      <w:r w:rsidR="00FB2171">
        <w:rPr>
          <w:bCs/>
          <w:color w:val="auto"/>
          <w:lang w:val="en-US"/>
        </w:rPr>
        <w:t>c</w:t>
      </w:r>
      <w:r w:rsidRPr="004B636F">
        <w:rPr>
          <w:bCs/>
          <w:color w:val="auto"/>
          <w:lang w:val="en-US"/>
        </w:rPr>
        <w:t>ould make more disclosures</w:t>
      </w:r>
      <w:r w:rsidR="00FB2171">
        <w:rPr>
          <w:bCs/>
          <w:color w:val="auto"/>
          <w:lang w:val="en-US"/>
        </w:rPr>
        <w:t xml:space="preserve">, </w:t>
      </w:r>
      <w:r w:rsidRPr="004B636F">
        <w:rPr>
          <w:bCs/>
          <w:color w:val="auto"/>
          <w:lang w:val="en-US"/>
        </w:rPr>
        <w:t>assist</w:t>
      </w:r>
      <w:r w:rsidR="00FB2171">
        <w:rPr>
          <w:bCs/>
          <w:color w:val="auto"/>
          <w:lang w:val="en-US"/>
        </w:rPr>
        <w:t>ing</w:t>
      </w:r>
      <w:r w:rsidRPr="004B636F">
        <w:rPr>
          <w:bCs/>
          <w:color w:val="auto"/>
          <w:lang w:val="en-US"/>
        </w:rPr>
        <w:t xml:space="preserve"> </w:t>
      </w:r>
      <w:r w:rsidR="00FB2171">
        <w:rPr>
          <w:bCs/>
          <w:color w:val="auto"/>
          <w:lang w:val="en-US"/>
        </w:rPr>
        <w:t xml:space="preserve">in </w:t>
      </w:r>
      <w:r w:rsidRPr="004B636F">
        <w:rPr>
          <w:bCs/>
          <w:color w:val="auto"/>
          <w:lang w:val="en-US"/>
        </w:rPr>
        <w:t>their post-conviction management and supervision.</w:t>
      </w:r>
      <w:r w:rsidRPr="004B636F">
        <w:rPr>
          <w:rStyle w:val="EndnoteReference"/>
          <w:bCs/>
          <w:color w:val="auto"/>
          <w:lang w:val="en-US"/>
        </w:rPr>
        <w:endnoteReference w:id="55"/>
      </w:r>
      <w:r w:rsidRPr="004B636F">
        <w:rPr>
          <w:bCs/>
          <w:color w:val="auto"/>
          <w:lang w:val="en-US"/>
        </w:rPr>
        <w:t xml:space="preserve"> </w:t>
      </w:r>
    </w:p>
    <w:p w14:paraId="72FC059F" w14:textId="77777777" w:rsidR="001E206E" w:rsidRPr="004B636F" w:rsidRDefault="001E206E" w:rsidP="00043696">
      <w:pPr>
        <w:pStyle w:val="Default"/>
        <w:spacing w:line="360" w:lineRule="auto"/>
        <w:jc w:val="both"/>
        <w:rPr>
          <w:bCs/>
          <w:color w:val="auto"/>
          <w:lang w:val="en-US"/>
        </w:rPr>
      </w:pPr>
    </w:p>
    <w:p w14:paraId="6CEE14BA" w14:textId="35A35252" w:rsidR="001E206E" w:rsidRPr="004B636F" w:rsidRDefault="001E206E" w:rsidP="00043696">
      <w:pPr>
        <w:pStyle w:val="Default"/>
        <w:spacing w:line="360" w:lineRule="auto"/>
        <w:jc w:val="both"/>
        <w:rPr>
          <w:bCs/>
          <w:color w:val="auto"/>
          <w:lang w:val="en-US"/>
        </w:rPr>
      </w:pPr>
      <w:r w:rsidRPr="004B636F">
        <w:rPr>
          <w:bCs/>
          <w:color w:val="auto"/>
          <w:lang w:val="en-US"/>
        </w:rPr>
        <w:t>Whilst the current use of polygraph testing is firmly rooted in the post-conviction stage of offender management, a potential new avenue for its use has arisen. Professor Don Grubin conducted a study on using the technique in the police station. Hertfordshire Police force used the technique on low-risk offenders on a voluntary basis. A “low-risk” offender was defined as those whose offending was believed to be limited to the downloading of indecent images and no police intelligence suggest any other involvement with sexual activity with children.</w:t>
      </w:r>
      <w:r w:rsidRPr="004B636F">
        <w:rPr>
          <w:rStyle w:val="EndnoteReference"/>
          <w:bCs/>
          <w:color w:val="auto"/>
          <w:lang w:val="en-US"/>
        </w:rPr>
        <w:endnoteReference w:id="56"/>
      </w:r>
      <w:r w:rsidRPr="004B636F">
        <w:rPr>
          <w:bCs/>
          <w:color w:val="auto"/>
          <w:lang w:val="en-US"/>
        </w:rPr>
        <w:t xml:space="preserve"> The findings of the study indicated </w:t>
      </w:r>
      <w:r w:rsidR="00FB2171">
        <w:rPr>
          <w:bCs/>
          <w:color w:val="auto"/>
          <w:lang w:val="en-US"/>
        </w:rPr>
        <w:t xml:space="preserve">that </w:t>
      </w:r>
      <w:r w:rsidRPr="004B636F">
        <w:rPr>
          <w:bCs/>
          <w:color w:val="auto"/>
          <w:lang w:val="en-US"/>
        </w:rPr>
        <w:t>the testing can be useful for the investigation of men arrested for downloading indecent images.</w:t>
      </w:r>
      <w:r w:rsidRPr="004B636F">
        <w:rPr>
          <w:rStyle w:val="EndnoteReference"/>
          <w:bCs/>
          <w:color w:val="auto"/>
          <w:lang w:val="en-US"/>
        </w:rPr>
        <w:endnoteReference w:id="57"/>
      </w:r>
      <w:r w:rsidRPr="004B636F">
        <w:rPr>
          <w:bCs/>
          <w:color w:val="auto"/>
          <w:lang w:val="en-US"/>
        </w:rPr>
        <w:t xml:space="preserve"> Furthermore, the study claimed that significant cost savings could be made if the results of the testing meant suspects were confirmed as “low-risk”. These savings would occur as the test would circumvent any need for a full investigation of the suspect and their IT devices. </w:t>
      </w:r>
    </w:p>
    <w:p w14:paraId="74292535" w14:textId="77777777" w:rsidR="001E206E" w:rsidRPr="004B636F" w:rsidRDefault="001E206E" w:rsidP="00043696">
      <w:pPr>
        <w:pStyle w:val="Default"/>
        <w:spacing w:line="360" w:lineRule="auto"/>
        <w:jc w:val="both"/>
        <w:rPr>
          <w:color w:val="auto"/>
        </w:rPr>
      </w:pPr>
    </w:p>
    <w:p w14:paraId="2E8941A6" w14:textId="0C8D2038" w:rsidR="009F4FD3" w:rsidRPr="004B636F" w:rsidRDefault="001E206E" w:rsidP="004B636F">
      <w:pPr>
        <w:pStyle w:val="Heading2"/>
        <w:numPr>
          <w:ilvl w:val="0"/>
          <w:numId w:val="11"/>
        </w:numPr>
        <w:spacing w:line="360" w:lineRule="auto"/>
        <w:rPr>
          <w:rFonts w:ascii="Times New Roman" w:hAnsi="Times New Roman" w:cs="Times New Roman"/>
          <w:sz w:val="24"/>
          <w:szCs w:val="24"/>
        </w:rPr>
      </w:pPr>
      <w:r w:rsidRPr="004B636F">
        <w:rPr>
          <w:rFonts w:ascii="Times New Roman" w:hAnsi="Times New Roman" w:cs="Times New Roman"/>
          <w:color w:val="auto"/>
          <w:sz w:val="24"/>
          <w:szCs w:val="24"/>
        </w:rPr>
        <w:t xml:space="preserve">Brain Based Lie Detection </w:t>
      </w:r>
    </w:p>
    <w:p w14:paraId="368DEEB3" w14:textId="77777777" w:rsidR="000A41E4" w:rsidRPr="000A41E4" w:rsidRDefault="001E206E" w:rsidP="000A41E4">
      <w:pPr>
        <w:pStyle w:val="Default"/>
        <w:spacing w:line="360" w:lineRule="auto"/>
      </w:pPr>
      <w:r w:rsidRPr="000A41E4">
        <w:rPr>
          <w:color w:val="auto"/>
        </w:rPr>
        <w:t xml:space="preserve">The case of </w:t>
      </w:r>
      <w:r w:rsidRPr="000A41E4">
        <w:rPr>
          <w:i/>
          <w:color w:val="auto"/>
        </w:rPr>
        <w:t>State of Maharashtra v Sharma</w:t>
      </w:r>
      <w:r w:rsidRPr="000A41E4">
        <w:rPr>
          <w:rStyle w:val="EndnoteReference"/>
          <w:color w:val="auto"/>
        </w:rPr>
        <w:endnoteReference w:id="58"/>
      </w:r>
      <w:r w:rsidRPr="000A41E4">
        <w:rPr>
          <w:i/>
          <w:color w:val="auto"/>
        </w:rPr>
        <w:t xml:space="preserve"> </w:t>
      </w:r>
      <w:r w:rsidRPr="000A41E4">
        <w:rPr>
          <w:color w:val="auto"/>
        </w:rPr>
        <w:t>was one of the first world</w:t>
      </w:r>
      <w:r w:rsidR="00FB2171" w:rsidRPr="000A41E4">
        <w:rPr>
          <w:color w:val="auto"/>
        </w:rPr>
        <w:t>wide</w:t>
      </w:r>
      <w:r w:rsidRPr="000A41E4">
        <w:rPr>
          <w:color w:val="auto"/>
        </w:rPr>
        <w:t xml:space="preserve"> to admit evidence of a controversial technique called Brain Electrical Oscillation Signature (BEOS).</w:t>
      </w:r>
      <w:r w:rsidR="000A41E4" w:rsidRPr="000A41E4">
        <w:t xml:space="preserve"> </w:t>
      </w:r>
    </w:p>
    <w:p w14:paraId="497106DB" w14:textId="3F15494A" w:rsidR="001E206E" w:rsidRPr="004B636F" w:rsidRDefault="000A41E4" w:rsidP="000A41E4">
      <w:pPr>
        <w:pStyle w:val="Default"/>
        <w:spacing w:line="360" w:lineRule="auto"/>
        <w:jc w:val="both"/>
        <w:rPr>
          <w:color w:val="auto"/>
        </w:rPr>
      </w:pPr>
      <w:r w:rsidRPr="000A41E4">
        <w:rPr>
          <w:color w:val="auto"/>
        </w:rPr>
        <w:t xml:space="preserve"> </w:t>
      </w:r>
      <w:r w:rsidRPr="000A41E4">
        <w:t xml:space="preserve">In BEOS profiling the subject is presented with a probe, which contains references to the episode to be remembered. The electrical oscillations/ activity related to remembrance is called the “Signature” of the experience. The awareness of the remembered episode is called “Experiential </w:t>
      </w:r>
      <w:r w:rsidRPr="00C02C95">
        <w:t>Knowledge”</w:t>
      </w:r>
      <w:r w:rsidR="00C02C95">
        <w:t>;</w:t>
      </w:r>
      <w:r w:rsidRPr="00C02C95">
        <w:t xml:space="preserve"> </w:t>
      </w:r>
      <w:r w:rsidR="00C02C95">
        <w:rPr>
          <w:rStyle w:val="EndnoteReference"/>
        </w:rPr>
        <w:endnoteReference w:id="59"/>
      </w:r>
      <w:r w:rsidR="00C02C95" w:rsidRPr="00C02C95">
        <w:t>thus</w:t>
      </w:r>
      <w:r w:rsidRPr="00C02C95">
        <w:t xml:space="preserve"> it can be said that the test measures remembrance of the Experiential Knowledge. The results of BEOS are obtained in form of electrical activity from the brain. </w:t>
      </w:r>
      <w:r w:rsidR="001E206E" w:rsidRPr="004B636F">
        <w:rPr>
          <w:color w:val="auto"/>
        </w:rPr>
        <w:t>Whilst the evidence was not a determining factor in her conviction, enough evidence existed to secure a conviction without the admissibility of the BEOS test,</w:t>
      </w:r>
      <w:r w:rsidR="001E206E" w:rsidRPr="004B636F">
        <w:rPr>
          <w:rStyle w:val="EndnoteReference"/>
          <w:color w:val="auto"/>
        </w:rPr>
        <w:endnoteReference w:id="60"/>
      </w:r>
      <w:r w:rsidR="001E206E" w:rsidRPr="004B636F">
        <w:rPr>
          <w:color w:val="auto"/>
        </w:rPr>
        <w:t xml:space="preserve"> the </w:t>
      </w:r>
      <w:r w:rsidR="001E206E" w:rsidRPr="004B636F">
        <w:rPr>
          <w:color w:val="auto"/>
        </w:rPr>
        <w:lastRenderedPageBreak/>
        <w:t xml:space="preserve">application and admissibility of the test </w:t>
      </w:r>
      <w:r w:rsidR="00FB2171">
        <w:rPr>
          <w:color w:val="auto"/>
        </w:rPr>
        <w:t>is a</w:t>
      </w:r>
      <w:r w:rsidR="00FB2171" w:rsidRPr="004B636F">
        <w:rPr>
          <w:color w:val="auto"/>
        </w:rPr>
        <w:t xml:space="preserve"> </w:t>
      </w:r>
      <w:r w:rsidR="001E206E" w:rsidRPr="004B636F">
        <w:rPr>
          <w:color w:val="auto"/>
        </w:rPr>
        <w:t>concern for the procedural rights of the defendant. The defendant fitted with a cap with 32 sensors was told to close her eyes and listen to statements</w:t>
      </w:r>
      <w:r w:rsidR="00545E38">
        <w:rPr>
          <w:color w:val="auto"/>
        </w:rPr>
        <w:t>. Note that</w:t>
      </w:r>
      <w:r w:rsidR="001E206E" w:rsidRPr="004B636F">
        <w:rPr>
          <w:color w:val="auto"/>
        </w:rPr>
        <w:t xml:space="preserve"> she was not required to </w:t>
      </w:r>
      <w:r w:rsidR="00545E38">
        <w:rPr>
          <w:color w:val="auto"/>
        </w:rPr>
        <w:t>verbally</w:t>
      </w:r>
      <w:r w:rsidR="00545E38" w:rsidRPr="004B636F">
        <w:rPr>
          <w:color w:val="auto"/>
        </w:rPr>
        <w:t xml:space="preserve"> </w:t>
      </w:r>
      <w:r w:rsidR="001E206E" w:rsidRPr="004B636F">
        <w:rPr>
          <w:color w:val="auto"/>
        </w:rPr>
        <w:t xml:space="preserve">respond to </w:t>
      </w:r>
      <w:r w:rsidR="00545E38">
        <w:rPr>
          <w:color w:val="auto"/>
        </w:rPr>
        <w:t xml:space="preserve">any of </w:t>
      </w:r>
      <w:r w:rsidR="001E206E" w:rsidRPr="004B636F">
        <w:rPr>
          <w:color w:val="auto"/>
        </w:rPr>
        <w:t>the questions</w:t>
      </w:r>
      <w:r w:rsidR="00545E38">
        <w:rPr>
          <w:color w:val="auto"/>
        </w:rPr>
        <w:t xml:space="preserve"> asked</w:t>
      </w:r>
      <w:r w:rsidR="001E206E" w:rsidRPr="004B636F">
        <w:rPr>
          <w:color w:val="auto"/>
        </w:rPr>
        <w:t>. The questions were classified into three distinct categories, neutral, control and relevant.</w:t>
      </w:r>
      <w:r w:rsidR="001E206E" w:rsidRPr="004B636F">
        <w:rPr>
          <w:rStyle w:val="EndnoteReference"/>
          <w:color w:val="auto"/>
        </w:rPr>
        <w:endnoteReference w:id="61"/>
      </w:r>
      <w:r w:rsidR="001E206E" w:rsidRPr="004B636F">
        <w:rPr>
          <w:color w:val="auto"/>
        </w:rPr>
        <w:t xml:space="preserve"> The neutral categories allow the examiner to establish a baseline of answers, the control questions relate to personal information and the relevant questions are about the investigation. The BEOS computer based system analyses the electrical activity generated by the responses and compares it to the defendant’s baseline. At trial, an expert witness for the prosecution claimed the BEOS system detect</w:t>
      </w:r>
      <w:r w:rsidR="0066360F">
        <w:rPr>
          <w:color w:val="auto"/>
        </w:rPr>
        <w:t>s</w:t>
      </w:r>
      <w:r w:rsidR="001E206E" w:rsidRPr="004B636F">
        <w:rPr>
          <w:color w:val="auto"/>
        </w:rPr>
        <w:t xml:space="preserve"> the difference between responses that are conceptual and experiential.</w:t>
      </w:r>
      <w:r w:rsidR="001E206E" w:rsidRPr="004B636F">
        <w:rPr>
          <w:rStyle w:val="EndnoteReference"/>
          <w:color w:val="auto"/>
        </w:rPr>
        <w:endnoteReference w:id="62"/>
      </w:r>
      <w:r w:rsidR="001E206E" w:rsidRPr="004B636F">
        <w:rPr>
          <w:color w:val="auto"/>
        </w:rPr>
        <w:t xml:space="preserve"> </w:t>
      </w:r>
      <w:r w:rsidR="0066360F">
        <w:rPr>
          <w:color w:val="auto"/>
        </w:rPr>
        <w:t>E</w:t>
      </w:r>
      <w:r w:rsidR="001E206E" w:rsidRPr="004B636F">
        <w:rPr>
          <w:color w:val="auto"/>
        </w:rPr>
        <w:t xml:space="preserve">xperiential knowledge is something the individual has experienced or witnessed </w:t>
      </w:r>
      <w:r w:rsidR="0066360F">
        <w:rPr>
          <w:color w:val="auto"/>
        </w:rPr>
        <w:t>personally.</w:t>
      </w:r>
      <w:r w:rsidR="001E206E" w:rsidRPr="004B636F">
        <w:rPr>
          <w:color w:val="auto"/>
        </w:rPr>
        <w:t xml:space="preserve"> </w:t>
      </w:r>
      <w:r w:rsidR="0066360F">
        <w:rPr>
          <w:color w:val="auto"/>
        </w:rPr>
        <w:t xml:space="preserve">It </w:t>
      </w:r>
      <w:r w:rsidR="001E206E" w:rsidRPr="004B636F">
        <w:rPr>
          <w:color w:val="auto"/>
        </w:rPr>
        <w:t>is not something that they have second-hand knowledge of. It is something the defendant would have experienced.  The experiential knowledge in this instance was the fact the defendant was alleged to hold was going into a shop to buy arsenic, mixing it with sweets and giving the sweets to her fiancé.</w:t>
      </w:r>
      <w:r w:rsidR="001E206E" w:rsidRPr="004B636F">
        <w:rPr>
          <w:rStyle w:val="EndnoteReference"/>
          <w:color w:val="auto"/>
        </w:rPr>
        <w:endnoteReference w:id="63"/>
      </w:r>
      <w:r w:rsidR="001E206E" w:rsidRPr="004B636F">
        <w:rPr>
          <w:color w:val="auto"/>
        </w:rPr>
        <w:t xml:space="preserve"> The defendant was convicted and sentenced to life imprisonment.</w:t>
      </w:r>
      <w:r w:rsidR="001E206E" w:rsidRPr="004B636F">
        <w:rPr>
          <w:rStyle w:val="EndnoteReference"/>
          <w:color w:val="auto"/>
        </w:rPr>
        <w:endnoteReference w:id="64"/>
      </w:r>
      <w:r w:rsidR="001E206E" w:rsidRPr="004B636F">
        <w:rPr>
          <w:color w:val="auto"/>
        </w:rPr>
        <w:t xml:space="preserve"> </w:t>
      </w:r>
    </w:p>
    <w:p w14:paraId="39E95396" w14:textId="77777777" w:rsidR="001E206E" w:rsidRPr="004B636F" w:rsidRDefault="001E206E" w:rsidP="00043696">
      <w:pPr>
        <w:pStyle w:val="Default"/>
        <w:spacing w:line="360" w:lineRule="auto"/>
        <w:jc w:val="both"/>
        <w:rPr>
          <w:color w:val="auto"/>
        </w:rPr>
      </w:pPr>
    </w:p>
    <w:p w14:paraId="2D2EEE49" w14:textId="6FDFF002" w:rsidR="0066360F" w:rsidRDefault="001E206E" w:rsidP="00043696">
      <w:pPr>
        <w:pStyle w:val="Default"/>
        <w:spacing w:line="360" w:lineRule="auto"/>
        <w:jc w:val="both"/>
        <w:rPr>
          <w:color w:val="auto"/>
        </w:rPr>
      </w:pPr>
      <w:r w:rsidRPr="004B636F">
        <w:rPr>
          <w:color w:val="auto"/>
        </w:rPr>
        <w:t>Another form of brain based lie detection is Functional Magnetic Resonance Imaging (fMRI). Th</w:t>
      </w:r>
      <w:r w:rsidR="00EA0A26">
        <w:rPr>
          <w:color w:val="auto"/>
        </w:rPr>
        <w:t>is</w:t>
      </w:r>
      <w:r w:rsidRPr="004B636F">
        <w:rPr>
          <w:color w:val="auto"/>
        </w:rPr>
        <w:t xml:space="preserve"> </w:t>
      </w:r>
      <w:r w:rsidR="00EA0A26">
        <w:rPr>
          <w:color w:val="auto"/>
        </w:rPr>
        <w:t>type of</w:t>
      </w:r>
      <w:r w:rsidRPr="004B636F">
        <w:rPr>
          <w:color w:val="auto"/>
        </w:rPr>
        <w:t xml:space="preserve"> brain scan determine</w:t>
      </w:r>
      <w:r w:rsidR="00EA0A26">
        <w:rPr>
          <w:color w:val="auto"/>
        </w:rPr>
        <w:t>s</w:t>
      </w:r>
      <w:r w:rsidRPr="004B636F">
        <w:rPr>
          <w:color w:val="auto"/>
        </w:rPr>
        <w:t xml:space="preserve"> whether subjects are lying or </w:t>
      </w:r>
      <w:r w:rsidR="00EA0A26">
        <w:rPr>
          <w:color w:val="auto"/>
        </w:rPr>
        <w:t xml:space="preserve">being </w:t>
      </w:r>
      <w:r w:rsidRPr="004B636F">
        <w:rPr>
          <w:color w:val="auto"/>
        </w:rPr>
        <w:t>decepti</w:t>
      </w:r>
      <w:r w:rsidR="00EA0A26">
        <w:rPr>
          <w:color w:val="auto"/>
        </w:rPr>
        <w:t xml:space="preserve">ve when being asked </w:t>
      </w:r>
      <w:r w:rsidR="00EA0A26" w:rsidRPr="00F95FD5">
        <w:rPr>
          <w:color w:val="auto"/>
        </w:rPr>
        <w:t>a series of yes or no/true or false questions</w:t>
      </w:r>
      <w:r w:rsidR="00EA0A26">
        <w:rPr>
          <w:color w:val="auto"/>
        </w:rPr>
        <w:t>. It does so by reading</w:t>
      </w:r>
      <w:r w:rsidRPr="004B636F">
        <w:rPr>
          <w:color w:val="auto"/>
        </w:rPr>
        <w:t xml:space="preserve"> </w:t>
      </w:r>
      <w:r w:rsidR="00EA0A26">
        <w:rPr>
          <w:color w:val="auto"/>
        </w:rPr>
        <w:t xml:space="preserve">the subject’s </w:t>
      </w:r>
      <w:r w:rsidRPr="004B636F">
        <w:rPr>
          <w:color w:val="auto"/>
        </w:rPr>
        <w:t>neural data</w:t>
      </w:r>
      <w:r w:rsidR="00EA0A26">
        <w:rPr>
          <w:color w:val="auto"/>
        </w:rPr>
        <w:t xml:space="preserve"> and </w:t>
      </w:r>
      <w:r w:rsidR="00EA0A26" w:rsidRPr="004F755C">
        <w:rPr>
          <w:color w:val="auto"/>
        </w:rPr>
        <w:t>measuring the blood flow to different areas of the brain</w:t>
      </w:r>
      <w:r w:rsidR="00EA0A26">
        <w:rPr>
          <w:color w:val="auto"/>
        </w:rPr>
        <w:t xml:space="preserve"> to </w:t>
      </w:r>
      <w:r w:rsidRPr="004B636F">
        <w:rPr>
          <w:color w:val="auto"/>
        </w:rPr>
        <w:t>distinguish</w:t>
      </w:r>
      <w:r w:rsidR="00EA0A26">
        <w:rPr>
          <w:color w:val="auto"/>
        </w:rPr>
        <w:t xml:space="preserve"> whether </w:t>
      </w:r>
      <w:r w:rsidRPr="004B636F">
        <w:rPr>
          <w:color w:val="auto"/>
        </w:rPr>
        <w:t>subjects are engaged in non-deceptive behaviour</w:t>
      </w:r>
      <w:r w:rsidR="00EA0A26">
        <w:rPr>
          <w:color w:val="auto"/>
        </w:rPr>
        <w:t>s</w:t>
      </w:r>
      <w:r w:rsidRPr="004B636F">
        <w:rPr>
          <w:color w:val="auto"/>
        </w:rPr>
        <w:t>.</w:t>
      </w:r>
      <w:r w:rsidRPr="004B636F">
        <w:rPr>
          <w:rStyle w:val="EndnoteReference"/>
          <w:color w:val="auto"/>
        </w:rPr>
        <w:endnoteReference w:id="65"/>
      </w:r>
      <w:r w:rsidRPr="004B636F">
        <w:rPr>
          <w:color w:val="auto"/>
        </w:rPr>
        <w:t xml:space="preserve"> Broadly speaking, it is argued that conclusions can be drawn about the brain activity at the time a particular question is asked. The basic idea behind fMRI</w:t>
      </w:r>
      <w:r w:rsidRPr="004B636F">
        <w:rPr>
          <w:rStyle w:val="EndnoteReference"/>
          <w:color w:val="auto"/>
        </w:rPr>
        <w:endnoteReference w:id="66"/>
      </w:r>
      <w:r w:rsidRPr="004B636F">
        <w:rPr>
          <w:color w:val="auto"/>
        </w:rPr>
        <w:t xml:space="preserve"> is that the signal for one area is increased when the person is telling the truth and the signal is increased for a completely different area when they are lying.</w:t>
      </w:r>
      <w:r w:rsidRPr="004B636F">
        <w:rPr>
          <w:rStyle w:val="EndnoteReference"/>
          <w:color w:val="auto"/>
        </w:rPr>
        <w:endnoteReference w:id="67"/>
      </w:r>
      <w:r w:rsidRPr="004B636F">
        <w:rPr>
          <w:color w:val="auto"/>
        </w:rPr>
        <w:t xml:space="preserve"> Studies illustrate that certain areas of the brain are correlated more with lying than telling the truth. One study suggested that if the subject did not use countermeasures,</w:t>
      </w:r>
      <w:r w:rsidRPr="004B636F">
        <w:rPr>
          <w:rStyle w:val="EndnoteReference"/>
          <w:color w:val="auto"/>
        </w:rPr>
        <w:endnoteReference w:id="68"/>
      </w:r>
      <w:r w:rsidRPr="004B636F">
        <w:rPr>
          <w:color w:val="auto"/>
        </w:rPr>
        <w:t xml:space="preserve"> deception accuracy was 100%; however, when the subject employed countermeasures, this fell to 77%. Kozel conducted a study where subjects were instructed to steal a watch or a ring from a room. When in the scanner, they were instructed to answer as if they had not stolen an item. The study identified what item was stolen 90% of the time.</w:t>
      </w:r>
      <w:r w:rsidRPr="004B636F">
        <w:rPr>
          <w:rStyle w:val="EndnoteReference"/>
          <w:color w:val="auto"/>
        </w:rPr>
        <w:endnoteReference w:id="69"/>
      </w:r>
      <w:r w:rsidRPr="004B636F">
        <w:rPr>
          <w:color w:val="auto"/>
        </w:rPr>
        <w:t xml:space="preserve"> Whilst it is outside the remit of this paper to assess the scientific validity of the technique, the results discussed represent a persuasive argument as to the effectiveness of the technique.</w:t>
      </w:r>
      <w:r w:rsidRPr="004B636F">
        <w:rPr>
          <w:rStyle w:val="EndnoteReference"/>
          <w:color w:val="auto"/>
        </w:rPr>
        <w:endnoteReference w:id="70"/>
      </w:r>
      <w:r w:rsidRPr="004B636F">
        <w:rPr>
          <w:color w:val="auto"/>
        </w:rPr>
        <w:t xml:space="preserve"> However, the technique </w:t>
      </w:r>
      <w:r w:rsidR="00EA0A26">
        <w:rPr>
          <w:color w:val="auto"/>
        </w:rPr>
        <w:t>can be cheated for it</w:t>
      </w:r>
      <w:r w:rsidRPr="004B636F">
        <w:rPr>
          <w:color w:val="auto"/>
        </w:rPr>
        <w:t xml:space="preserve"> </w:t>
      </w:r>
      <w:r w:rsidR="00EA0A26">
        <w:rPr>
          <w:color w:val="auto"/>
        </w:rPr>
        <w:t xml:space="preserve">is </w:t>
      </w:r>
      <w:r w:rsidRPr="004B636F">
        <w:rPr>
          <w:color w:val="auto"/>
        </w:rPr>
        <w:t>easily disrupted by simple countermeasures.</w:t>
      </w:r>
      <w:r w:rsidRPr="004B636F">
        <w:rPr>
          <w:rStyle w:val="EndnoteReference"/>
          <w:color w:val="auto"/>
        </w:rPr>
        <w:endnoteReference w:id="71"/>
      </w:r>
      <w:r w:rsidRPr="004B636F">
        <w:rPr>
          <w:color w:val="auto"/>
        </w:rPr>
        <w:t xml:space="preserve"> Despite the </w:t>
      </w:r>
      <w:r w:rsidRPr="004B636F">
        <w:rPr>
          <w:color w:val="auto"/>
        </w:rPr>
        <w:lastRenderedPageBreak/>
        <w:t>potential limitation posed by the impact of countermeasures, the technique has enter</w:t>
      </w:r>
      <w:r w:rsidR="00EA0A26">
        <w:rPr>
          <w:color w:val="auto"/>
        </w:rPr>
        <w:t>ed</w:t>
      </w:r>
      <w:r w:rsidRPr="004B636F">
        <w:rPr>
          <w:color w:val="auto"/>
        </w:rPr>
        <w:t xml:space="preserve"> the US</w:t>
      </w:r>
      <w:r w:rsidR="00EA0A26">
        <w:rPr>
          <w:color w:val="auto"/>
        </w:rPr>
        <w:t>A</w:t>
      </w:r>
      <w:r w:rsidRPr="004B636F">
        <w:rPr>
          <w:color w:val="auto"/>
        </w:rPr>
        <w:t xml:space="preserve"> courtroom. </w:t>
      </w:r>
    </w:p>
    <w:p w14:paraId="1D19B400" w14:textId="77777777" w:rsidR="00D546F0" w:rsidRDefault="00D546F0" w:rsidP="00043696">
      <w:pPr>
        <w:pStyle w:val="Default"/>
        <w:spacing w:line="360" w:lineRule="auto"/>
        <w:jc w:val="both"/>
        <w:rPr>
          <w:color w:val="auto"/>
        </w:rPr>
      </w:pPr>
    </w:p>
    <w:p w14:paraId="0CC4F793" w14:textId="7C782E73" w:rsidR="0066360F" w:rsidRDefault="001E206E" w:rsidP="00043696">
      <w:pPr>
        <w:pStyle w:val="Default"/>
        <w:spacing w:line="360" w:lineRule="auto"/>
        <w:jc w:val="both"/>
        <w:rPr>
          <w:color w:val="auto"/>
        </w:rPr>
      </w:pPr>
      <w:r w:rsidRPr="004B636F">
        <w:rPr>
          <w:i/>
          <w:color w:val="auto"/>
        </w:rPr>
        <w:t>Wilson v Corestaff Services L.P</w:t>
      </w:r>
      <w:r w:rsidRPr="004B636F">
        <w:rPr>
          <w:rStyle w:val="EndnoteReference"/>
          <w:color w:val="auto"/>
        </w:rPr>
        <w:endnoteReference w:id="72"/>
      </w:r>
      <w:r w:rsidRPr="004B636F">
        <w:rPr>
          <w:i/>
          <w:color w:val="auto"/>
        </w:rPr>
        <w:t xml:space="preserve"> </w:t>
      </w:r>
      <w:r w:rsidRPr="004B636F">
        <w:rPr>
          <w:color w:val="auto"/>
        </w:rPr>
        <w:t>concerned a case of sexual harassment in the work place. A pivotal witness was an employee who would testify that a Corestaff employee told him not to offer work to the complainant, as she complained of sexual harassment. The complainant wanted to introduce expert evidence from an fMRI scan the witnesses undertook; the expert would testify that there was a “high probability” the witness was telling the truth.</w:t>
      </w:r>
      <w:r w:rsidRPr="004B636F">
        <w:rPr>
          <w:rStyle w:val="EndnoteReference"/>
          <w:color w:val="auto"/>
        </w:rPr>
        <w:endnoteReference w:id="73"/>
      </w:r>
      <w:r w:rsidRPr="004B636F">
        <w:rPr>
          <w:color w:val="auto"/>
        </w:rPr>
        <w:t xml:space="preserve"> However, the evidence was held to be inadmissible using the </w:t>
      </w:r>
      <w:r w:rsidRPr="004B636F">
        <w:rPr>
          <w:i/>
          <w:color w:val="auto"/>
        </w:rPr>
        <w:t>Frye</w:t>
      </w:r>
      <w:r w:rsidRPr="004B636F">
        <w:rPr>
          <w:color w:val="auto"/>
        </w:rPr>
        <w:t xml:space="preserve"> standard. This two-stage test requires the acceptance of the relevant scientific field and the testimony must be on a topic “beyond the ken of the average juror.”</w:t>
      </w:r>
      <w:r w:rsidRPr="004B636F">
        <w:rPr>
          <w:rStyle w:val="EndnoteReference"/>
          <w:color w:val="auto"/>
        </w:rPr>
        <w:endnoteReference w:id="74"/>
      </w:r>
      <w:r w:rsidRPr="004B636F">
        <w:rPr>
          <w:color w:val="auto"/>
        </w:rPr>
        <w:t xml:space="preserve"> In this instance, excluded the evidence as it raised a question of the credibility of the witness; the court held the deciding on credibility was solely a matter for the jury and clearly within the ken of the jury.</w:t>
      </w:r>
      <w:r w:rsidRPr="004B636F">
        <w:rPr>
          <w:rStyle w:val="EndnoteReference"/>
          <w:color w:val="auto"/>
        </w:rPr>
        <w:endnoteReference w:id="75"/>
      </w:r>
      <w:r w:rsidRPr="004B636F">
        <w:rPr>
          <w:color w:val="auto"/>
        </w:rPr>
        <w:t xml:space="preserve"> </w:t>
      </w:r>
    </w:p>
    <w:p w14:paraId="5929A1BE" w14:textId="77777777" w:rsidR="0066360F" w:rsidRDefault="0066360F" w:rsidP="00043696">
      <w:pPr>
        <w:pStyle w:val="Default"/>
        <w:spacing w:line="360" w:lineRule="auto"/>
        <w:jc w:val="both"/>
        <w:rPr>
          <w:color w:val="auto"/>
        </w:rPr>
      </w:pPr>
    </w:p>
    <w:p w14:paraId="08F08213" w14:textId="5C69E414" w:rsidR="001E206E" w:rsidRPr="004B636F" w:rsidRDefault="001E206E" w:rsidP="00043696">
      <w:pPr>
        <w:pStyle w:val="Default"/>
        <w:spacing w:line="360" w:lineRule="auto"/>
        <w:jc w:val="both"/>
        <w:rPr>
          <w:color w:val="auto"/>
        </w:rPr>
      </w:pPr>
      <w:r w:rsidRPr="004B636F">
        <w:rPr>
          <w:color w:val="auto"/>
        </w:rPr>
        <w:t xml:space="preserve">The case of </w:t>
      </w:r>
      <w:r w:rsidRPr="004B636F">
        <w:rPr>
          <w:i/>
          <w:color w:val="auto"/>
        </w:rPr>
        <w:t>United States v Semrau</w:t>
      </w:r>
      <w:r w:rsidRPr="004B636F">
        <w:rPr>
          <w:rStyle w:val="EndnoteReference"/>
          <w:i/>
          <w:color w:val="auto"/>
        </w:rPr>
        <w:endnoteReference w:id="76"/>
      </w:r>
      <w:r w:rsidRPr="004B636F">
        <w:rPr>
          <w:i/>
          <w:color w:val="auto"/>
        </w:rPr>
        <w:t xml:space="preserve"> </w:t>
      </w:r>
      <w:r w:rsidRPr="004B636F">
        <w:rPr>
          <w:color w:val="auto"/>
        </w:rPr>
        <w:t xml:space="preserve">also yielded a similar result </w:t>
      </w:r>
      <w:r w:rsidR="00EA0A26">
        <w:rPr>
          <w:color w:val="auto"/>
        </w:rPr>
        <w:t>of</w:t>
      </w:r>
      <w:r w:rsidR="00EA0A26" w:rsidRPr="004B636F">
        <w:rPr>
          <w:color w:val="auto"/>
        </w:rPr>
        <w:t xml:space="preserve"> </w:t>
      </w:r>
      <w:r w:rsidRPr="004B636F">
        <w:rPr>
          <w:color w:val="auto"/>
        </w:rPr>
        <w:t>fMRI admissibility. The defendant sought to admit evidence of his own fMRI scan</w:t>
      </w:r>
      <w:r w:rsidR="00EA0A26">
        <w:rPr>
          <w:color w:val="auto"/>
        </w:rPr>
        <w:t xml:space="preserve"> results which</w:t>
      </w:r>
      <w:r w:rsidRPr="004B636F">
        <w:rPr>
          <w:color w:val="auto"/>
        </w:rPr>
        <w:t xml:space="preserve"> indicated </w:t>
      </w:r>
      <w:r w:rsidR="00EA0A26">
        <w:rPr>
          <w:color w:val="auto"/>
        </w:rPr>
        <w:t xml:space="preserve">that </w:t>
      </w:r>
      <w:r w:rsidRPr="004B636F">
        <w:rPr>
          <w:color w:val="auto"/>
        </w:rPr>
        <w:t>he was not</w:t>
      </w:r>
      <w:r w:rsidR="00EA0A26">
        <w:rPr>
          <w:color w:val="auto"/>
        </w:rPr>
        <w:t xml:space="preserve"> </w:t>
      </w:r>
      <w:r w:rsidRPr="004B636F">
        <w:rPr>
          <w:color w:val="auto"/>
        </w:rPr>
        <w:t>being deceptive when he claimed he did not intend to commit fraud via his method of billing; the mistakes were a result of confusing billing codes. The defendant sought to call Steven Laken</w:t>
      </w:r>
      <w:r w:rsidRPr="004B636F">
        <w:rPr>
          <w:rStyle w:val="EndnoteReference"/>
          <w:color w:val="auto"/>
        </w:rPr>
        <w:endnoteReference w:id="77"/>
      </w:r>
      <w:r w:rsidRPr="004B636F">
        <w:rPr>
          <w:color w:val="auto"/>
        </w:rPr>
        <w:t xml:space="preserve"> to testify about his fMRI results. However, the evidence was again ruled inadmissible, as the technique does not have the general acceptance of the scientific community, owing to the lack of “real world testing.”</w:t>
      </w:r>
      <w:r w:rsidRPr="004B636F">
        <w:rPr>
          <w:rStyle w:val="EndnoteReference"/>
          <w:color w:val="auto"/>
        </w:rPr>
        <w:endnoteReference w:id="78"/>
      </w:r>
      <w:r w:rsidRPr="004B636F">
        <w:rPr>
          <w:color w:val="auto"/>
        </w:rPr>
        <w:t xml:space="preserve"> The door clearly is left ajar for neuroscience to enter the courtroom; despite the door being ajar, the technology cannot find a way into the courtroom and the case </w:t>
      </w:r>
      <w:r w:rsidRPr="004B636F">
        <w:rPr>
          <w:i/>
          <w:color w:val="auto"/>
        </w:rPr>
        <w:t>Smith v Maryland</w:t>
      </w:r>
      <w:r w:rsidRPr="004B636F">
        <w:rPr>
          <w:rStyle w:val="EndnoteReference"/>
          <w:color w:val="auto"/>
        </w:rPr>
        <w:endnoteReference w:id="79"/>
      </w:r>
      <w:r w:rsidRPr="004B636F">
        <w:rPr>
          <w:color w:val="auto"/>
        </w:rPr>
        <w:t xml:space="preserve"> further ruled expert evidence of fMRI scans as inadmissible. During a </w:t>
      </w:r>
      <w:r w:rsidR="00EA0A26" w:rsidRPr="004B636F">
        <w:rPr>
          <w:color w:val="auto"/>
        </w:rPr>
        <w:t>sentenc</w:t>
      </w:r>
      <w:r w:rsidR="00EA0A26">
        <w:rPr>
          <w:color w:val="auto"/>
        </w:rPr>
        <w:t>e</w:t>
      </w:r>
      <w:r w:rsidR="00EA0A26" w:rsidRPr="004B636F">
        <w:rPr>
          <w:color w:val="auto"/>
        </w:rPr>
        <w:t xml:space="preserve"> </w:t>
      </w:r>
      <w:r w:rsidRPr="004B636F">
        <w:rPr>
          <w:color w:val="auto"/>
        </w:rPr>
        <w:t xml:space="preserve">hearing in a death penalty case, the court allowed fMRI evidence to be introduced. Brian Dugan had already entered a guilty plea for the rape and murder of </w:t>
      </w:r>
      <w:r w:rsidR="00EA0A26" w:rsidRPr="009F4FD3">
        <w:rPr>
          <w:color w:val="auto"/>
        </w:rPr>
        <w:t>10-year-old</w:t>
      </w:r>
      <w:r w:rsidRPr="004B636F">
        <w:rPr>
          <w:color w:val="auto"/>
        </w:rPr>
        <w:t xml:space="preserve"> child. The defendant claimed he should be spared the death penalty </w:t>
      </w:r>
      <w:r w:rsidR="00EA0A26">
        <w:rPr>
          <w:color w:val="auto"/>
        </w:rPr>
        <w:t>because</w:t>
      </w:r>
      <w:r w:rsidRPr="004B636F">
        <w:rPr>
          <w:color w:val="auto"/>
        </w:rPr>
        <w:t xml:space="preserve"> he suffered from </w:t>
      </w:r>
      <w:r w:rsidR="00830723">
        <w:rPr>
          <w:color w:val="auto"/>
        </w:rPr>
        <w:t xml:space="preserve">a </w:t>
      </w:r>
      <w:r w:rsidRPr="004B636F">
        <w:rPr>
          <w:color w:val="auto"/>
        </w:rPr>
        <w:t>psychopath</w:t>
      </w:r>
      <w:r w:rsidR="00830723">
        <w:rPr>
          <w:color w:val="auto"/>
        </w:rPr>
        <w:t>ic condition</w:t>
      </w:r>
      <w:r w:rsidRPr="004B636F">
        <w:rPr>
          <w:color w:val="auto"/>
        </w:rPr>
        <w:t xml:space="preserve"> that impaired his ability to control his impulse</w:t>
      </w:r>
      <w:r w:rsidR="00830723">
        <w:rPr>
          <w:color w:val="auto"/>
        </w:rPr>
        <w:t>s</w:t>
      </w:r>
      <w:r w:rsidRPr="004B636F">
        <w:rPr>
          <w:color w:val="auto"/>
        </w:rPr>
        <w:t xml:space="preserve"> to kill.</w:t>
      </w:r>
      <w:r w:rsidRPr="004B636F">
        <w:rPr>
          <w:rStyle w:val="EndnoteReference"/>
          <w:color w:val="auto"/>
        </w:rPr>
        <w:endnoteReference w:id="80"/>
      </w:r>
      <w:r w:rsidRPr="004B636F">
        <w:rPr>
          <w:color w:val="auto"/>
        </w:rPr>
        <w:t xml:space="preserve"> The court allowed the expert to explain the scans and to use diagrams of the brain but stopped short of allowing the jury to see scans of Dugan’s brain activity. </w:t>
      </w:r>
      <w:r w:rsidR="00830723">
        <w:rPr>
          <w:color w:val="auto"/>
        </w:rPr>
        <w:t xml:space="preserve">Consequently </w:t>
      </w:r>
      <w:r w:rsidRPr="004B636F">
        <w:rPr>
          <w:color w:val="auto"/>
        </w:rPr>
        <w:t>Dugan received the death penalty</w:t>
      </w:r>
      <w:r w:rsidR="00830723">
        <w:rPr>
          <w:color w:val="auto"/>
        </w:rPr>
        <w:t>.</w:t>
      </w:r>
      <w:r w:rsidRPr="004B636F">
        <w:rPr>
          <w:color w:val="auto"/>
        </w:rPr>
        <w:t xml:space="preserve"> </w:t>
      </w:r>
      <w:r w:rsidR="004B636F">
        <w:rPr>
          <w:color w:val="auto"/>
        </w:rPr>
        <w:t>T</w:t>
      </w:r>
      <w:r w:rsidRPr="004B636F">
        <w:rPr>
          <w:color w:val="auto"/>
        </w:rPr>
        <w:t xml:space="preserve">here is evidence to suggest that influence of the expert evidence was almost convincing. Two newspaper reporters, Barnum and St. Clair, suggest they have seen a signed verdict form discovered after sentencing. This form indicated the jury may have settled on a verdict of life in prison but later changed their </w:t>
      </w:r>
      <w:r w:rsidRPr="004B636F">
        <w:rPr>
          <w:color w:val="auto"/>
        </w:rPr>
        <w:lastRenderedPageBreak/>
        <w:t>minds in further deliberations. If this is the case, it goes a little way to suggest the testimony may have been influential.</w:t>
      </w:r>
      <w:r w:rsidRPr="004B636F">
        <w:rPr>
          <w:rStyle w:val="EndnoteReference"/>
          <w:color w:val="auto"/>
        </w:rPr>
        <w:endnoteReference w:id="81"/>
      </w:r>
      <w:r w:rsidRPr="004B636F">
        <w:rPr>
          <w:color w:val="auto"/>
        </w:rPr>
        <w:t xml:space="preserve"> </w:t>
      </w:r>
    </w:p>
    <w:p w14:paraId="3B4B68DC" w14:textId="70A880E9" w:rsidR="009F4FD3" w:rsidRPr="004B636F" w:rsidRDefault="00B47BC9" w:rsidP="004B636F">
      <w:pPr>
        <w:pStyle w:val="Heading3"/>
        <w:numPr>
          <w:ilvl w:val="0"/>
          <w:numId w:val="11"/>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Implications: What if the evidence enters the courtroom - </w:t>
      </w:r>
      <w:r w:rsidR="001E206E" w:rsidRPr="004B636F">
        <w:rPr>
          <w:rFonts w:ascii="Times New Roman" w:hAnsi="Times New Roman" w:cs="Times New Roman"/>
          <w:color w:val="auto"/>
          <w:sz w:val="24"/>
          <w:szCs w:val="24"/>
        </w:rPr>
        <w:t>The Privilege against Self-Incrimination</w:t>
      </w:r>
    </w:p>
    <w:p w14:paraId="719E444B" w14:textId="7FEF3085" w:rsidR="00AD61CE" w:rsidRDefault="00B47BC9" w:rsidP="00043696">
      <w:pPr>
        <w:pStyle w:val="Default"/>
        <w:spacing w:line="360" w:lineRule="auto"/>
        <w:jc w:val="both"/>
        <w:rPr>
          <w:color w:val="auto"/>
        </w:rPr>
      </w:pPr>
      <w:r w:rsidRPr="004B636F">
        <w:rPr>
          <w:color w:val="auto"/>
        </w:rPr>
        <w:t>fMRI technology is struggling to enter US courtrooms and it is highly probable the technology will suffer a similar fate in England and Wales. The evidence would fall foul of the test outlined in the CrimPR and the accompanying Practice Direction.</w:t>
      </w:r>
      <w:r w:rsidRPr="004B636F">
        <w:rPr>
          <w:rStyle w:val="EndnoteReference"/>
          <w:color w:val="auto"/>
        </w:rPr>
        <w:endnoteReference w:id="82"/>
      </w:r>
      <w:r w:rsidRPr="004B636F">
        <w:rPr>
          <w:color w:val="auto"/>
        </w:rPr>
        <w:t xml:space="preserve"> However, if it were possible to satisfy the four-stage test of sufficient testing; peer review or publication; identifying the known or potential rate of error; and being generally accepted by the scientific community, there are potentially colossal ramifications for criminal procedure in England and Wales. </w:t>
      </w:r>
      <w:r w:rsidR="001E206E" w:rsidRPr="004B636F">
        <w:rPr>
          <w:color w:val="auto"/>
        </w:rPr>
        <w:t xml:space="preserve">Article 6 of the European Convention on Human Rights states that the right to a fair trial is absolute. In </w:t>
      </w:r>
      <w:r w:rsidR="001E206E" w:rsidRPr="004B636F">
        <w:rPr>
          <w:i/>
          <w:color w:val="auto"/>
        </w:rPr>
        <w:t>Blunt v Park Lane Hotel Ltd</w:t>
      </w:r>
      <w:r w:rsidR="001E206E" w:rsidRPr="004B636F">
        <w:rPr>
          <w:rStyle w:val="EndnoteReference"/>
          <w:i/>
          <w:color w:val="auto"/>
        </w:rPr>
        <w:endnoteReference w:id="83"/>
      </w:r>
      <w:r w:rsidR="001E206E" w:rsidRPr="004B636F">
        <w:rPr>
          <w:color w:val="auto"/>
        </w:rPr>
        <w:t>Goddard LJ said “the rule … that no person is bound to answer any question if the answer thereto would, in the opinion of the judge, have a tendency to expose [him] to any criminal charge…”</w:t>
      </w:r>
      <w:r w:rsidR="001E206E" w:rsidRPr="004B636F">
        <w:rPr>
          <w:rStyle w:val="EndnoteReference"/>
          <w:color w:val="auto"/>
        </w:rPr>
        <w:endnoteReference w:id="84"/>
      </w:r>
      <w:r w:rsidR="001E206E" w:rsidRPr="004B636F">
        <w:rPr>
          <w:color w:val="auto"/>
        </w:rPr>
        <w:t xml:space="preserve"> The basic rationale for th</w:t>
      </w:r>
      <w:r w:rsidR="00D56358">
        <w:rPr>
          <w:color w:val="auto"/>
        </w:rPr>
        <w:t xml:space="preserve">is </w:t>
      </w:r>
      <w:r w:rsidR="001E206E" w:rsidRPr="004B636F">
        <w:rPr>
          <w:color w:val="auto"/>
        </w:rPr>
        <w:t xml:space="preserve">privilege is to ensure the accused is protected from improper compulsion to answer questions by the State </w:t>
      </w:r>
      <w:r w:rsidR="00D56358">
        <w:rPr>
          <w:color w:val="auto"/>
        </w:rPr>
        <w:t xml:space="preserve">to </w:t>
      </w:r>
      <w:r w:rsidR="001E206E" w:rsidRPr="004B636F">
        <w:rPr>
          <w:color w:val="auto"/>
        </w:rPr>
        <w:t>avoid</w:t>
      </w:r>
      <w:r w:rsidR="00D56358">
        <w:rPr>
          <w:color w:val="auto"/>
        </w:rPr>
        <w:t xml:space="preserve"> </w:t>
      </w:r>
      <w:r w:rsidR="001E206E" w:rsidRPr="004B636F">
        <w:rPr>
          <w:color w:val="auto"/>
        </w:rPr>
        <w:t>a miscarriage of justice. Furthermore, the Right ensures the evidence in the prosecution case was not obtained through illegitimate methods such as oppression or coercion.</w:t>
      </w:r>
      <w:r w:rsidR="001E206E" w:rsidRPr="004B636F">
        <w:rPr>
          <w:rStyle w:val="EndnoteReference"/>
          <w:color w:val="auto"/>
        </w:rPr>
        <w:endnoteReference w:id="85"/>
      </w:r>
      <w:r w:rsidR="001E206E" w:rsidRPr="004B636F">
        <w:rPr>
          <w:color w:val="auto"/>
        </w:rPr>
        <w:t xml:space="preserve"> In essence, the privilege strengthens the burden of proof; it is firmly placed on the prosecution and it is for them to prove the guilt of the defendant beyond a reasonable doubt. However, both domestic courts and </w:t>
      </w:r>
      <w:r w:rsidR="00D56358">
        <w:rPr>
          <w:color w:val="auto"/>
        </w:rPr>
        <w:t xml:space="preserve">the </w:t>
      </w:r>
      <w:r w:rsidR="001E206E" w:rsidRPr="004B636F">
        <w:rPr>
          <w:color w:val="auto"/>
        </w:rPr>
        <w:t xml:space="preserve">ECtHR have held the right not to incriminate oneself is not absolute. In </w:t>
      </w:r>
      <w:r w:rsidR="001E206E" w:rsidRPr="004B636F">
        <w:rPr>
          <w:i/>
          <w:color w:val="auto"/>
        </w:rPr>
        <w:t>Murray</w:t>
      </w:r>
      <w:r w:rsidR="001E206E" w:rsidRPr="004B636F">
        <w:rPr>
          <w:rStyle w:val="EndnoteReference"/>
          <w:i/>
          <w:color w:val="auto"/>
        </w:rPr>
        <w:endnoteReference w:id="86"/>
      </w:r>
      <w:r w:rsidR="001E206E" w:rsidRPr="004B636F">
        <w:rPr>
          <w:i/>
          <w:color w:val="auto"/>
        </w:rPr>
        <w:t xml:space="preserve"> </w:t>
      </w:r>
      <w:r w:rsidR="001E206E" w:rsidRPr="004B636F">
        <w:rPr>
          <w:color w:val="auto"/>
        </w:rPr>
        <w:t xml:space="preserve">there was no violation of Art. 6(1) when adverse inferences were drawn from the fact the accused exercised his right to silence after the police found the defendant in a house with an IRA kidnap victim. Finally, </w:t>
      </w:r>
      <w:r w:rsidR="001E206E" w:rsidRPr="004B636F">
        <w:rPr>
          <w:i/>
          <w:color w:val="auto"/>
        </w:rPr>
        <w:t>Saunders</w:t>
      </w:r>
      <w:r w:rsidR="001E206E" w:rsidRPr="004B636F">
        <w:rPr>
          <w:rStyle w:val="EndnoteReference"/>
          <w:i/>
          <w:color w:val="auto"/>
        </w:rPr>
        <w:endnoteReference w:id="87"/>
      </w:r>
      <w:r w:rsidR="001E206E" w:rsidRPr="004B636F">
        <w:rPr>
          <w:color w:val="auto"/>
        </w:rPr>
        <w:t xml:space="preserve"> held that transcripts taken under compulsory powers in an investigation into a company takeover did not contravene the Article 6(1). </w:t>
      </w:r>
    </w:p>
    <w:p w14:paraId="553DDCDA" w14:textId="77777777" w:rsidR="00AD61CE" w:rsidRDefault="00AD61CE" w:rsidP="00043696">
      <w:pPr>
        <w:pStyle w:val="Default"/>
        <w:spacing w:line="360" w:lineRule="auto"/>
        <w:jc w:val="both"/>
        <w:rPr>
          <w:color w:val="auto"/>
        </w:rPr>
      </w:pPr>
    </w:p>
    <w:p w14:paraId="093BFBF4" w14:textId="25DC7A3A" w:rsidR="001E206E" w:rsidRPr="004B636F" w:rsidRDefault="001E206E" w:rsidP="00043696">
      <w:pPr>
        <w:pStyle w:val="Default"/>
        <w:spacing w:line="360" w:lineRule="auto"/>
        <w:jc w:val="both"/>
        <w:rPr>
          <w:color w:val="auto"/>
        </w:rPr>
      </w:pPr>
      <w:r w:rsidRPr="004B636F">
        <w:rPr>
          <w:color w:val="auto"/>
        </w:rPr>
        <w:t xml:space="preserve">Despite </w:t>
      </w:r>
      <w:r w:rsidR="00D56358">
        <w:rPr>
          <w:color w:val="auto"/>
        </w:rPr>
        <w:t>a</w:t>
      </w:r>
      <w:r w:rsidRPr="004B636F">
        <w:rPr>
          <w:color w:val="auto"/>
        </w:rPr>
        <w:t xml:space="preserve"> lack of </w:t>
      </w:r>
      <w:r w:rsidR="00D56358" w:rsidRPr="00324ED4">
        <w:rPr>
          <w:color w:val="auto"/>
        </w:rPr>
        <w:t>recognition</w:t>
      </w:r>
      <w:r w:rsidR="00D56358">
        <w:rPr>
          <w:color w:val="auto"/>
        </w:rPr>
        <w:t xml:space="preserve"> from the</w:t>
      </w:r>
      <w:r w:rsidR="00D56358" w:rsidRPr="009F4FD3">
        <w:rPr>
          <w:color w:val="auto"/>
        </w:rPr>
        <w:t xml:space="preserve"> </w:t>
      </w:r>
      <w:r w:rsidRPr="004B636F">
        <w:rPr>
          <w:color w:val="auto"/>
        </w:rPr>
        <w:t>Convention for the privilege</w:t>
      </w:r>
      <w:r w:rsidR="00D56358">
        <w:rPr>
          <w:color w:val="auto"/>
        </w:rPr>
        <w:t>,</w:t>
      </w:r>
      <w:r w:rsidRPr="004B636F">
        <w:rPr>
          <w:color w:val="auto"/>
        </w:rPr>
        <w:t xml:space="preserve"> it is</w:t>
      </w:r>
      <w:r w:rsidR="00D56358">
        <w:rPr>
          <w:color w:val="auto"/>
        </w:rPr>
        <w:t xml:space="preserve"> still</w:t>
      </w:r>
      <w:r w:rsidRPr="004B636F">
        <w:rPr>
          <w:color w:val="auto"/>
        </w:rPr>
        <w:t xml:space="preserve"> a “generally recognised standard, which lies at the heart of fair procedure.”</w:t>
      </w:r>
      <w:r w:rsidRPr="004B636F">
        <w:rPr>
          <w:rStyle w:val="EndnoteReference"/>
          <w:color w:val="auto"/>
        </w:rPr>
        <w:endnoteReference w:id="88"/>
      </w:r>
      <w:r w:rsidRPr="004B636F">
        <w:rPr>
          <w:color w:val="auto"/>
        </w:rPr>
        <w:t xml:space="preserve"> If England and Wales were to admit such techniques to gather evidence, the method would almost certainly erode the privilege against self-incriminatio</w:t>
      </w:r>
      <w:r w:rsidRPr="009F4FD3">
        <w:rPr>
          <w:color w:val="auto"/>
        </w:rPr>
        <w:t>n.</w:t>
      </w:r>
      <w:r w:rsidRPr="004B636F">
        <w:rPr>
          <w:color w:val="auto"/>
        </w:rPr>
        <w:t xml:space="preserve"> In the wake of the </w:t>
      </w:r>
      <w:r w:rsidRPr="004B636F">
        <w:rPr>
          <w:i/>
          <w:color w:val="auto"/>
        </w:rPr>
        <w:t>Sharma</w:t>
      </w:r>
      <w:r w:rsidRPr="004B636F">
        <w:rPr>
          <w:rStyle w:val="EndnoteReference"/>
          <w:i/>
          <w:color w:val="auto"/>
        </w:rPr>
        <w:endnoteReference w:id="89"/>
      </w:r>
      <w:r w:rsidRPr="004B636F">
        <w:rPr>
          <w:i/>
          <w:color w:val="auto"/>
        </w:rPr>
        <w:t xml:space="preserve"> </w:t>
      </w:r>
      <w:r w:rsidRPr="004B636F">
        <w:rPr>
          <w:color w:val="auto"/>
        </w:rPr>
        <w:t xml:space="preserve">appeal, </w:t>
      </w:r>
      <w:r w:rsidRPr="004B636F">
        <w:rPr>
          <w:i/>
          <w:color w:val="auto"/>
        </w:rPr>
        <w:t>Smt. Selvi and Others v State of Karnatake</w:t>
      </w:r>
      <w:r w:rsidRPr="004B636F">
        <w:rPr>
          <w:rStyle w:val="EndnoteReference"/>
          <w:color w:val="auto"/>
        </w:rPr>
        <w:endnoteReference w:id="90"/>
      </w:r>
      <w:r w:rsidRPr="004B636F">
        <w:rPr>
          <w:color w:val="auto"/>
        </w:rPr>
        <w:t xml:space="preserve"> further illustrates the potential threat to the privilege should neuroscientific evidence be admitted at trial. The case concerned both brain mapping and polygraph evidence; the Supreme Court held that the techniques were unconstitutional. The </w:t>
      </w:r>
      <w:r w:rsidRPr="004B636F">
        <w:rPr>
          <w:color w:val="auto"/>
        </w:rPr>
        <w:lastRenderedPageBreak/>
        <w:t>court reiterated</w:t>
      </w:r>
      <w:r w:rsidRPr="004B636F">
        <w:rPr>
          <w:rStyle w:val="EndnoteReference"/>
          <w:color w:val="auto"/>
        </w:rPr>
        <w:endnoteReference w:id="91"/>
      </w:r>
      <w:r w:rsidRPr="004B636F">
        <w:rPr>
          <w:color w:val="auto"/>
        </w:rPr>
        <w:t xml:space="preserve"> the importance of the privilege against self-incrimination. To circumvent the privilege, the prosecution attempted to argue that polygraph evidence</w:t>
      </w:r>
      <w:r w:rsidR="00D56358">
        <w:rPr>
          <w:color w:val="auto"/>
        </w:rPr>
        <w:t xml:space="preserve"> could</w:t>
      </w:r>
      <w:r w:rsidRPr="004B636F">
        <w:rPr>
          <w:color w:val="auto"/>
        </w:rPr>
        <w:t xml:space="preserve"> be admitted </w:t>
      </w:r>
      <w:r w:rsidR="00D56358">
        <w:rPr>
          <w:color w:val="auto"/>
        </w:rPr>
        <w:t>into</w:t>
      </w:r>
      <w:r w:rsidRPr="004B636F">
        <w:rPr>
          <w:color w:val="auto"/>
        </w:rPr>
        <w:t xml:space="preserve"> physical evidence</w:t>
      </w:r>
      <w:r w:rsidR="00D56358">
        <w:rPr>
          <w:color w:val="auto"/>
        </w:rPr>
        <w:t xml:space="preserve"> (</w:t>
      </w:r>
      <w:r w:rsidRPr="004B636F">
        <w:rPr>
          <w:color w:val="auto"/>
        </w:rPr>
        <w:t>similar to blood, semen and hair</w:t>
      </w:r>
      <w:r w:rsidR="00D56358">
        <w:rPr>
          <w:color w:val="auto"/>
        </w:rPr>
        <w:t>) enabling it to</w:t>
      </w:r>
      <w:r w:rsidRPr="004B636F">
        <w:rPr>
          <w:color w:val="auto"/>
        </w:rPr>
        <w:t>, fall</w:t>
      </w:r>
      <w:r w:rsidR="00D56358">
        <w:rPr>
          <w:color w:val="auto"/>
        </w:rPr>
        <w:t xml:space="preserve"> </w:t>
      </w:r>
      <w:r w:rsidRPr="004B636F">
        <w:rPr>
          <w:color w:val="auto"/>
        </w:rPr>
        <w:t xml:space="preserve">outside the remit of constitutional protection. </w:t>
      </w:r>
      <w:r w:rsidR="00D56358">
        <w:rPr>
          <w:color w:val="auto"/>
        </w:rPr>
        <w:t>But, t</w:t>
      </w:r>
      <w:r w:rsidRPr="004B636F">
        <w:rPr>
          <w:color w:val="auto"/>
        </w:rPr>
        <w:t xml:space="preserve">he court rejected this contention and </w:t>
      </w:r>
      <w:r w:rsidR="00D56358">
        <w:rPr>
          <w:color w:val="auto"/>
        </w:rPr>
        <w:t xml:space="preserve">directed </w:t>
      </w:r>
      <w:r w:rsidRPr="004B636F">
        <w:rPr>
          <w:color w:val="auto"/>
        </w:rPr>
        <w:t>that the results from a polygraph examination are not dissimilar from admissions contained in oral or written reports. Furthermore, the types of evidence can be distinguished from bodily evidence, as the examiner will be extracting information that might not readily be available.</w:t>
      </w:r>
      <w:r w:rsidRPr="004B636F">
        <w:rPr>
          <w:rStyle w:val="EndnoteReference"/>
          <w:color w:val="auto"/>
        </w:rPr>
        <w:endnoteReference w:id="92"/>
      </w:r>
      <w:r w:rsidRPr="004B636F">
        <w:rPr>
          <w:color w:val="auto"/>
        </w:rPr>
        <w:t xml:space="preserve"> However, the possibility remains that different jurisdictions will interpret the differently. As such, it is entirely plausible to believe that one jurisdiction will allow the evidence to be admissible at the trial stage.   </w:t>
      </w:r>
    </w:p>
    <w:p w14:paraId="4F2D1D6A" w14:textId="5A2F9BA6" w:rsidR="009F4FD3" w:rsidRPr="004B636F" w:rsidRDefault="00B47BC9" w:rsidP="004B636F">
      <w:pPr>
        <w:pStyle w:val="Heading3"/>
        <w:numPr>
          <w:ilvl w:val="0"/>
          <w:numId w:val="11"/>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Implications: </w:t>
      </w:r>
      <w:r w:rsidR="001E206E" w:rsidRPr="004B636F">
        <w:rPr>
          <w:rFonts w:ascii="Times New Roman" w:hAnsi="Times New Roman" w:cs="Times New Roman"/>
          <w:color w:val="auto"/>
          <w:sz w:val="24"/>
          <w:szCs w:val="24"/>
        </w:rPr>
        <w:t>The Right to Silence</w:t>
      </w:r>
    </w:p>
    <w:p w14:paraId="4A039A54" w14:textId="0F3E1F50" w:rsidR="001E206E" w:rsidRPr="004B636F" w:rsidRDefault="001E206E" w:rsidP="00043696">
      <w:pPr>
        <w:pStyle w:val="Default"/>
        <w:spacing w:line="360" w:lineRule="auto"/>
        <w:jc w:val="both"/>
        <w:rPr>
          <w:color w:val="auto"/>
        </w:rPr>
      </w:pPr>
      <w:r w:rsidRPr="004B636F">
        <w:rPr>
          <w:color w:val="auto"/>
        </w:rPr>
        <w:t>The right to silence that a person, suspected of committing a crime, is within their rights to not contribute to either the pre-trial investigation</w:t>
      </w:r>
      <w:r w:rsidRPr="004B636F">
        <w:rPr>
          <w:rStyle w:val="EndnoteReference"/>
          <w:color w:val="auto"/>
        </w:rPr>
        <w:endnoteReference w:id="93"/>
      </w:r>
      <w:r w:rsidRPr="004B636F">
        <w:rPr>
          <w:color w:val="auto"/>
        </w:rPr>
        <w:t xml:space="preserve"> or their own defence at trial. However, the right is not explicitly mentioned in the ECHR; it is a generally recognised international standard which lies at the heart of the notion of a fair procedure under Article 6.</w:t>
      </w:r>
      <w:r w:rsidRPr="004B636F">
        <w:rPr>
          <w:rStyle w:val="EndnoteReference"/>
          <w:color w:val="auto"/>
        </w:rPr>
        <w:endnoteReference w:id="94"/>
      </w:r>
      <w:r w:rsidRPr="004B636F">
        <w:rPr>
          <w:color w:val="auto"/>
        </w:rPr>
        <w:t xml:space="preserve"> Despite being a generally recognised standard, the right is not absolute,</w:t>
      </w:r>
      <w:r w:rsidRPr="004B636F">
        <w:rPr>
          <w:rStyle w:val="EndnoteReference"/>
          <w:color w:val="auto"/>
        </w:rPr>
        <w:endnoteReference w:id="95"/>
      </w:r>
      <w:r w:rsidRPr="004B636F">
        <w:rPr>
          <w:color w:val="auto"/>
        </w:rPr>
        <w:t xml:space="preserve"> although it is not possible for a defendant to be convicted “solely or mainly based on his silence or refusal to answer questions or give evidence himself.”</w:t>
      </w:r>
      <w:r w:rsidRPr="004B636F">
        <w:rPr>
          <w:rStyle w:val="EndnoteReference"/>
          <w:color w:val="auto"/>
        </w:rPr>
        <w:endnoteReference w:id="96"/>
      </w:r>
      <w:r w:rsidRPr="004B636F">
        <w:rPr>
          <w:color w:val="auto"/>
        </w:rPr>
        <w:t xml:space="preserve"> For strategic or tactical reasons, the suspect may wish to conceal knowledge about a particular crime and allow the prosecution to discharge the burden of proof. However, the suspect runs the risks of the jury being permitted to draw an adverse inference if the accused failed to ‘mention a fact which in the circumstances existing at the time the accused could reasonably have been expected to mention when so questioned.’</w:t>
      </w:r>
      <w:r w:rsidRPr="004B636F">
        <w:rPr>
          <w:rStyle w:val="EndnoteReference"/>
          <w:color w:val="auto"/>
        </w:rPr>
        <w:endnoteReference w:id="97"/>
      </w:r>
      <w:r w:rsidRPr="004B636F">
        <w:rPr>
          <w:color w:val="auto"/>
        </w:rPr>
        <w:t xml:space="preserve"> The inference the jury can draw is that the defendant has no answer or none that would stand up to cross-examination.</w:t>
      </w:r>
      <w:r w:rsidRPr="004B636F">
        <w:rPr>
          <w:rStyle w:val="EndnoteReference"/>
          <w:color w:val="auto"/>
        </w:rPr>
        <w:endnoteReference w:id="98"/>
      </w:r>
    </w:p>
    <w:p w14:paraId="6583CE78" w14:textId="77777777" w:rsidR="001E206E" w:rsidRPr="004B636F" w:rsidRDefault="001E206E" w:rsidP="00043696">
      <w:pPr>
        <w:pStyle w:val="Default"/>
        <w:spacing w:line="360" w:lineRule="auto"/>
        <w:jc w:val="both"/>
        <w:rPr>
          <w:color w:val="auto"/>
        </w:rPr>
      </w:pPr>
    </w:p>
    <w:p w14:paraId="3885EC1F" w14:textId="5B513D3C" w:rsidR="001E206E" w:rsidRPr="004B636F" w:rsidRDefault="001E206E" w:rsidP="00043696">
      <w:pPr>
        <w:pStyle w:val="Default"/>
        <w:spacing w:line="360" w:lineRule="auto"/>
        <w:jc w:val="both"/>
        <w:rPr>
          <w:color w:val="auto"/>
        </w:rPr>
      </w:pPr>
      <w:r w:rsidRPr="004B636F">
        <w:rPr>
          <w:color w:val="auto"/>
        </w:rPr>
        <w:t xml:space="preserve">Whilst the current law of England and Wales does not permit an absolute right to silence, the accused is permitted to stay silent and the risk of inferences. However, if brain based lie detection were to become standard procedure, it is clear that the privilege against self-incrimination and the right to silence will effectively cease to exist. The defendant will not be providing answers to the questions orally, but his brain will be “answering” them; these answers potentially breach the privilege against self-incrimination. Interwoven with these concerns is the dilution of another fair trial right; access to a defence lawyer. In England and Wales, a suspect has the right to consult privately with a defence lawyer during the pre-trial </w:t>
      </w:r>
      <w:r w:rsidRPr="004B636F">
        <w:rPr>
          <w:color w:val="auto"/>
        </w:rPr>
        <w:lastRenderedPageBreak/>
        <w:t>investigation.</w:t>
      </w:r>
      <w:r w:rsidRPr="004B636F">
        <w:rPr>
          <w:rStyle w:val="EndnoteReference"/>
          <w:color w:val="auto"/>
        </w:rPr>
        <w:endnoteReference w:id="99"/>
      </w:r>
      <w:r w:rsidRPr="004B636F">
        <w:rPr>
          <w:color w:val="auto"/>
        </w:rPr>
        <w:t xml:space="preserve"> The lawyer might advise the client to adopt a particular approach to question, one of which may be remaining silent. Arguably, the fMRI testing will dilute the effectiveness of the legal advice and potentially erode another fair trial right of the accused, scan would effectively be </w:t>
      </w:r>
      <w:r w:rsidR="00D56358">
        <w:rPr>
          <w:color w:val="auto"/>
        </w:rPr>
        <w:t xml:space="preserve">characterised as </w:t>
      </w:r>
      <w:r w:rsidRPr="004B636F">
        <w:rPr>
          <w:color w:val="auto"/>
        </w:rPr>
        <w:t>redundant</w:t>
      </w:r>
      <w:r w:rsidR="00D56358">
        <w:rPr>
          <w:color w:val="auto"/>
        </w:rPr>
        <w:t xml:space="preserve"> evidence. T</w:t>
      </w:r>
      <w:r w:rsidRPr="004B636F">
        <w:rPr>
          <w:color w:val="auto"/>
        </w:rPr>
        <w:t xml:space="preserve">his </w:t>
      </w:r>
      <w:r w:rsidR="00D56358">
        <w:rPr>
          <w:color w:val="auto"/>
        </w:rPr>
        <w:t xml:space="preserve">would be </w:t>
      </w:r>
      <w:r w:rsidRPr="004B636F">
        <w:rPr>
          <w:color w:val="auto"/>
        </w:rPr>
        <w:t>especially true if advice</w:t>
      </w:r>
      <w:r w:rsidR="008D134D">
        <w:rPr>
          <w:color w:val="auto"/>
        </w:rPr>
        <w:t xml:space="preserve"> given</w:t>
      </w:r>
      <w:r w:rsidRPr="004B636F">
        <w:rPr>
          <w:color w:val="auto"/>
        </w:rPr>
        <w:t xml:space="preserve"> in a conventional interview </w:t>
      </w:r>
      <w:r w:rsidR="008D134D">
        <w:rPr>
          <w:color w:val="auto"/>
        </w:rPr>
        <w:t xml:space="preserve">sought to keep the defendant silent throughout. </w:t>
      </w:r>
    </w:p>
    <w:p w14:paraId="5CA8136F" w14:textId="77777777" w:rsidR="001E206E" w:rsidRPr="004B636F" w:rsidRDefault="001E206E" w:rsidP="00043696">
      <w:pPr>
        <w:pStyle w:val="Default"/>
        <w:spacing w:line="360" w:lineRule="auto"/>
        <w:jc w:val="both"/>
        <w:rPr>
          <w:color w:val="auto"/>
        </w:rPr>
      </w:pPr>
    </w:p>
    <w:p w14:paraId="1E0FBCE5" w14:textId="721AC02D" w:rsidR="009F4FD3" w:rsidRPr="004B636F" w:rsidRDefault="001E206E" w:rsidP="004B636F">
      <w:pPr>
        <w:pStyle w:val="Heading3"/>
        <w:numPr>
          <w:ilvl w:val="0"/>
          <w:numId w:val="11"/>
        </w:numPr>
        <w:spacing w:line="360" w:lineRule="auto"/>
        <w:rPr>
          <w:rFonts w:ascii="Times New Roman" w:hAnsi="Times New Roman" w:cs="Times New Roman"/>
          <w:color w:val="auto"/>
          <w:sz w:val="24"/>
          <w:szCs w:val="24"/>
        </w:rPr>
      </w:pPr>
      <w:r w:rsidRPr="004B636F">
        <w:rPr>
          <w:rFonts w:ascii="Times New Roman" w:hAnsi="Times New Roman" w:cs="Times New Roman"/>
          <w:color w:val="auto"/>
          <w:sz w:val="24"/>
          <w:szCs w:val="24"/>
        </w:rPr>
        <w:t>The Rise of Efficiency: The attraction of technology</w:t>
      </w:r>
    </w:p>
    <w:p w14:paraId="05DD8E24" w14:textId="12F1E448" w:rsidR="001E206E" w:rsidRPr="004B636F" w:rsidRDefault="0030054B" w:rsidP="00D75C02">
      <w:pPr>
        <w:spacing w:line="360" w:lineRule="auto"/>
        <w:jc w:val="both"/>
        <w:rPr>
          <w:rFonts w:ascii="Times New Roman" w:hAnsi="Times New Roman" w:cs="Times New Roman"/>
          <w:i/>
        </w:rPr>
      </w:pPr>
      <w:r>
        <w:rPr>
          <w:rFonts w:ascii="Times New Roman" w:hAnsi="Times New Roman" w:cs="Times New Roman"/>
          <w:sz w:val="24"/>
          <w:szCs w:val="24"/>
        </w:rPr>
        <w:t>Up t</w:t>
      </w:r>
      <w:r w:rsidR="001E206E" w:rsidRPr="009F4FD3">
        <w:rPr>
          <w:rFonts w:ascii="Times New Roman" w:hAnsi="Times New Roman" w:cs="Times New Roman"/>
          <w:sz w:val="24"/>
          <w:szCs w:val="24"/>
        </w:rPr>
        <w:t xml:space="preserve">o this point, this </w:t>
      </w:r>
      <w:r>
        <w:rPr>
          <w:rFonts w:ascii="Times New Roman" w:hAnsi="Times New Roman" w:cs="Times New Roman"/>
          <w:sz w:val="24"/>
          <w:szCs w:val="24"/>
        </w:rPr>
        <w:t xml:space="preserve">article </w:t>
      </w:r>
      <w:r w:rsidR="001E206E" w:rsidRPr="009F4FD3">
        <w:rPr>
          <w:rFonts w:ascii="Times New Roman" w:hAnsi="Times New Roman" w:cs="Times New Roman"/>
          <w:sz w:val="24"/>
          <w:szCs w:val="24"/>
        </w:rPr>
        <w:t xml:space="preserve">has explored a number of technological advances in lie detection. The </w:t>
      </w:r>
      <w:r>
        <w:rPr>
          <w:rFonts w:ascii="Times New Roman" w:hAnsi="Times New Roman" w:cs="Times New Roman"/>
          <w:sz w:val="24"/>
          <w:szCs w:val="24"/>
        </w:rPr>
        <w:t>article</w:t>
      </w:r>
      <w:r w:rsidRPr="009F4FD3">
        <w:rPr>
          <w:rFonts w:ascii="Times New Roman" w:hAnsi="Times New Roman" w:cs="Times New Roman"/>
          <w:sz w:val="24"/>
          <w:szCs w:val="24"/>
        </w:rPr>
        <w:t xml:space="preserve"> </w:t>
      </w:r>
      <w:r w:rsidR="001E206E" w:rsidRPr="009F4FD3">
        <w:rPr>
          <w:rFonts w:ascii="Times New Roman" w:hAnsi="Times New Roman" w:cs="Times New Roman"/>
          <w:sz w:val="24"/>
          <w:szCs w:val="24"/>
        </w:rPr>
        <w:t>has also</w:t>
      </w:r>
      <w:r>
        <w:rPr>
          <w:rFonts w:ascii="Times New Roman" w:hAnsi="Times New Roman" w:cs="Times New Roman"/>
          <w:sz w:val="24"/>
          <w:szCs w:val="24"/>
        </w:rPr>
        <w:t xml:space="preserve"> examined</w:t>
      </w:r>
      <w:r w:rsidR="001E206E" w:rsidRPr="009F4FD3">
        <w:rPr>
          <w:rFonts w:ascii="Times New Roman" w:hAnsi="Times New Roman" w:cs="Times New Roman"/>
          <w:sz w:val="24"/>
          <w:szCs w:val="24"/>
        </w:rPr>
        <w:t xml:space="preserve"> the potential ramifications </w:t>
      </w:r>
      <w:r>
        <w:rPr>
          <w:rFonts w:ascii="Times New Roman" w:hAnsi="Times New Roman" w:cs="Times New Roman"/>
          <w:sz w:val="24"/>
          <w:szCs w:val="24"/>
        </w:rPr>
        <w:t xml:space="preserve">of </w:t>
      </w:r>
      <w:r w:rsidR="001E206E" w:rsidRPr="009F4FD3">
        <w:rPr>
          <w:rFonts w:ascii="Times New Roman" w:hAnsi="Times New Roman" w:cs="Times New Roman"/>
          <w:sz w:val="24"/>
          <w:szCs w:val="24"/>
        </w:rPr>
        <w:t xml:space="preserve">such methods </w:t>
      </w:r>
      <w:r>
        <w:rPr>
          <w:rFonts w:ascii="Times New Roman" w:hAnsi="Times New Roman" w:cs="Times New Roman"/>
          <w:sz w:val="24"/>
          <w:szCs w:val="24"/>
        </w:rPr>
        <w:t>if the</w:t>
      </w:r>
      <w:r w:rsidR="001E206E" w:rsidRPr="009F4FD3">
        <w:rPr>
          <w:rFonts w:ascii="Times New Roman" w:hAnsi="Times New Roman" w:cs="Times New Roman"/>
          <w:sz w:val="24"/>
          <w:szCs w:val="24"/>
        </w:rPr>
        <w:t xml:space="preserve"> fundamental fair trial rights</w:t>
      </w:r>
      <w:r>
        <w:rPr>
          <w:rFonts w:ascii="Times New Roman" w:hAnsi="Times New Roman" w:cs="Times New Roman"/>
          <w:sz w:val="24"/>
          <w:szCs w:val="24"/>
        </w:rPr>
        <w:t xml:space="preserve"> of the defendant were to be breached</w:t>
      </w:r>
      <w:r w:rsidR="001E206E" w:rsidRPr="009F4FD3">
        <w:rPr>
          <w:rFonts w:ascii="Times New Roman" w:hAnsi="Times New Roman" w:cs="Times New Roman"/>
          <w:sz w:val="24"/>
          <w:szCs w:val="24"/>
        </w:rPr>
        <w:t xml:space="preserve"> such as</w:t>
      </w:r>
      <w:r>
        <w:rPr>
          <w:rFonts w:ascii="Times New Roman" w:hAnsi="Times New Roman" w:cs="Times New Roman"/>
          <w:sz w:val="24"/>
          <w:szCs w:val="24"/>
        </w:rPr>
        <w:t>,</w:t>
      </w:r>
      <w:r w:rsidR="001E206E" w:rsidRPr="009F4FD3">
        <w:rPr>
          <w:rFonts w:ascii="Times New Roman" w:hAnsi="Times New Roman" w:cs="Times New Roman"/>
          <w:sz w:val="24"/>
          <w:szCs w:val="24"/>
        </w:rPr>
        <w:t xml:space="preserve"> the privilege against self-incrimination and the right to silence. As </w:t>
      </w:r>
      <w:r>
        <w:rPr>
          <w:rFonts w:ascii="Times New Roman" w:hAnsi="Times New Roman" w:cs="Times New Roman"/>
          <w:sz w:val="24"/>
          <w:szCs w:val="24"/>
        </w:rPr>
        <w:t xml:space="preserve">of </w:t>
      </w:r>
      <w:r w:rsidR="001E206E" w:rsidRPr="009F4FD3">
        <w:rPr>
          <w:rFonts w:ascii="Times New Roman" w:hAnsi="Times New Roman" w:cs="Times New Roman"/>
          <w:sz w:val="24"/>
          <w:szCs w:val="24"/>
        </w:rPr>
        <w:t>yet</w:t>
      </w:r>
      <w:r>
        <w:rPr>
          <w:rFonts w:ascii="Times New Roman" w:hAnsi="Times New Roman" w:cs="Times New Roman"/>
          <w:sz w:val="24"/>
          <w:szCs w:val="24"/>
        </w:rPr>
        <w:t xml:space="preserve"> it seems that</w:t>
      </w:r>
      <w:r w:rsidR="001E206E" w:rsidRPr="009F4FD3">
        <w:rPr>
          <w:rFonts w:ascii="Times New Roman" w:hAnsi="Times New Roman" w:cs="Times New Roman"/>
          <w:sz w:val="24"/>
          <w:szCs w:val="24"/>
        </w:rPr>
        <w:t xml:space="preserve"> the</w:t>
      </w:r>
      <w:r>
        <w:rPr>
          <w:rFonts w:ascii="Times New Roman" w:hAnsi="Times New Roman" w:cs="Times New Roman"/>
          <w:sz w:val="24"/>
          <w:szCs w:val="24"/>
        </w:rPr>
        <w:t>se</w:t>
      </w:r>
      <w:r w:rsidR="001E206E" w:rsidRPr="009F4FD3">
        <w:rPr>
          <w:rFonts w:ascii="Times New Roman" w:hAnsi="Times New Roman" w:cs="Times New Roman"/>
          <w:sz w:val="24"/>
          <w:szCs w:val="24"/>
        </w:rPr>
        <w:t xml:space="preserve"> methods </w:t>
      </w:r>
      <w:r>
        <w:rPr>
          <w:rFonts w:ascii="Times New Roman" w:hAnsi="Times New Roman" w:cs="Times New Roman"/>
          <w:sz w:val="24"/>
          <w:szCs w:val="24"/>
        </w:rPr>
        <w:t xml:space="preserve">are unlikely to </w:t>
      </w:r>
      <w:r w:rsidR="001E206E" w:rsidRPr="009F4FD3">
        <w:rPr>
          <w:rFonts w:ascii="Times New Roman" w:hAnsi="Times New Roman" w:cs="Times New Roman"/>
          <w:sz w:val="24"/>
          <w:szCs w:val="24"/>
        </w:rPr>
        <w:t>enter the criminal justice process of England and Wales</w:t>
      </w:r>
      <w:r>
        <w:rPr>
          <w:rFonts w:ascii="Times New Roman" w:hAnsi="Times New Roman" w:cs="Times New Roman"/>
          <w:sz w:val="24"/>
          <w:szCs w:val="24"/>
        </w:rPr>
        <w:t xml:space="preserve"> because of technical issues. This</w:t>
      </w:r>
      <w:r w:rsidR="001E206E" w:rsidRPr="009F4FD3">
        <w:rPr>
          <w:rFonts w:ascii="Times New Roman" w:hAnsi="Times New Roman" w:cs="Times New Roman"/>
          <w:sz w:val="24"/>
          <w:szCs w:val="24"/>
        </w:rPr>
        <w:t xml:space="preserve"> is not to say th</w:t>
      </w:r>
      <w:r>
        <w:rPr>
          <w:rFonts w:ascii="Times New Roman" w:hAnsi="Times New Roman" w:cs="Times New Roman"/>
          <w:sz w:val="24"/>
          <w:szCs w:val="24"/>
        </w:rPr>
        <w:t>at this will remain the case for long</w:t>
      </w:r>
      <w:r w:rsidR="001E206E" w:rsidRPr="009F4FD3">
        <w:rPr>
          <w:rFonts w:ascii="Times New Roman" w:hAnsi="Times New Roman" w:cs="Times New Roman"/>
          <w:sz w:val="24"/>
          <w:szCs w:val="24"/>
        </w:rPr>
        <w:t xml:space="preserve">. Over the last fifteen years there has been a fundamental departure from the classic notion of adversarialism in England and Wales. This departure has given rise to a new form of process, namely managerialism. Underpinning the managerial approach to criminal justice is a goal to deal with cases as efficiently as possible. Lord Justice Auld’s </w:t>
      </w:r>
      <w:r w:rsidR="001E206E" w:rsidRPr="009F4FD3">
        <w:rPr>
          <w:rFonts w:ascii="Times New Roman" w:hAnsi="Times New Roman" w:cs="Times New Roman"/>
          <w:i/>
          <w:sz w:val="24"/>
          <w:szCs w:val="24"/>
        </w:rPr>
        <w:t>Review of the Criminal Courts of England and Wales</w:t>
      </w:r>
      <w:r w:rsidR="001E206E" w:rsidRPr="009F4FD3">
        <w:rPr>
          <w:rStyle w:val="EndnoteReference"/>
          <w:rFonts w:ascii="Times New Roman" w:hAnsi="Times New Roman" w:cs="Times New Roman"/>
          <w:sz w:val="24"/>
          <w:szCs w:val="24"/>
        </w:rPr>
        <w:endnoteReference w:id="100"/>
      </w:r>
      <w:r w:rsidR="001E206E" w:rsidRPr="009F4FD3">
        <w:rPr>
          <w:rFonts w:ascii="Times New Roman" w:hAnsi="Times New Roman" w:cs="Times New Roman"/>
          <w:sz w:val="24"/>
          <w:szCs w:val="24"/>
        </w:rPr>
        <w:t xml:space="preserve"> (hereafter, the Auld Review) provided the catalyst for a change in judicial culture in England and Wales. Auld LJ suggested that the ‘criminal trial is not a game under which a guilty defendant should be provided with a sporting chance. It is a search for the truth …’</w:t>
      </w:r>
      <w:r w:rsidR="001E206E" w:rsidRPr="009F4FD3">
        <w:rPr>
          <w:rStyle w:val="EndnoteReference"/>
          <w:rFonts w:ascii="Times New Roman" w:hAnsi="Times New Roman" w:cs="Times New Roman"/>
          <w:sz w:val="24"/>
          <w:szCs w:val="24"/>
        </w:rPr>
        <w:endnoteReference w:id="101"/>
      </w:r>
      <w:r w:rsidR="001E206E" w:rsidRPr="009F4FD3">
        <w:rPr>
          <w:rFonts w:ascii="Times New Roman" w:hAnsi="Times New Roman" w:cs="Times New Roman"/>
          <w:sz w:val="24"/>
          <w:szCs w:val="24"/>
        </w:rPr>
        <w:t xml:space="preserve">  and an implicit driver was to search for the truth as efficiently as possible. However, there are many possible purposes of the criminal trial.</w:t>
      </w:r>
      <w:r w:rsidR="001E206E" w:rsidRPr="009F4FD3">
        <w:rPr>
          <w:rStyle w:val="EndnoteReference"/>
          <w:rFonts w:ascii="Times New Roman" w:hAnsi="Times New Roman" w:cs="Times New Roman"/>
          <w:sz w:val="24"/>
          <w:szCs w:val="24"/>
        </w:rPr>
        <w:endnoteReference w:id="102"/>
      </w:r>
      <w:r w:rsidR="001E206E" w:rsidRPr="009F4FD3">
        <w:rPr>
          <w:rFonts w:ascii="Times New Roman" w:hAnsi="Times New Roman" w:cs="Times New Roman"/>
          <w:sz w:val="24"/>
          <w:szCs w:val="24"/>
        </w:rPr>
        <w:t xml:space="preserve"> </w:t>
      </w:r>
    </w:p>
    <w:p w14:paraId="1FA2B320" w14:textId="7AFA16D4" w:rsidR="001E206E" w:rsidRPr="009F4FD3" w:rsidRDefault="001E206E" w:rsidP="00810DDE">
      <w:pPr>
        <w:spacing w:line="360" w:lineRule="auto"/>
        <w:jc w:val="both"/>
        <w:rPr>
          <w:rFonts w:ascii="Times New Roman" w:hAnsi="Times New Roman" w:cs="Times New Roman"/>
          <w:sz w:val="24"/>
          <w:szCs w:val="24"/>
        </w:rPr>
      </w:pPr>
      <w:r w:rsidRPr="009F4FD3">
        <w:rPr>
          <w:rFonts w:ascii="Times New Roman" w:hAnsi="Times New Roman" w:cs="Times New Roman"/>
          <w:sz w:val="24"/>
          <w:szCs w:val="24"/>
        </w:rPr>
        <w:t>Is the adversarial criminal trial a search for the truth? The adversarial trial pits two opposing accounts of a situation in a battle against each other. The prosecution and defence are charged with the responsibility to examine the facets of each other’s account and expose any weaknesses discovered during the public forum of the trial</w:t>
      </w:r>
      <w:r w:rsidR="002936F2">
        <w:rPr>
          <w:rFonts w:ascii="Times New Roman" w:hAnsi="Times New Roman" w:cs="Times New Roman"/>
          <w:sz w:val="24"/>
          <w:szCs w:val="24"/>
        </w:rPr>
        <w:t>.</w:t>
      </w:r>
      <w:r w:rsidRPr="009F4FD3">
        <w:rPr>
          <w:rFonts w:ascii="Times New Roman" w:hAnsi="Times New Roman" w:cs="Times New Roman"/>
          <w:sz w:val="24"/>
          <w:szCs w:val="24"/>
        </w:rPr>
        <w:t xml:space="preserve"> </w:t>
      </w:r>
      <w:r w:rsidR="002936F2">
        <w:rPr>
          <w:rFonts w:ascii="Times New Roman" w:hAnsi="Times New Roman" w:cs="Times New Roman"/>
          <w:sz w:val="24"/>
          <w:szCs w:val="24"/>
        </w:rPr>
        <w:t>I</w:t>
      </w:r>
      <w:r w:rsidRPr="009F4FD3">
        <w:rPr>
          <w:rFonts w:ascii="Times New Roman" w:hAnsi="Times New Roman" w:cs="Times New Roman"/>
          <w:sz w:val="24"/>
          <w:szCs w:val="24"/>
        </w:rPr>
        <w:t>t is during the trial where the advocates endeavour to ‘reveal to the tribunal which witnesses can be relied upon and which can be cast aside.’</w:t>
      </w:r>
      <w:r w:rsidRPr="009F4FD3">
        <w:rPr>
          <w:rStyle w:val="EndnoteReference"/>
          <w:rFonts w:ascii="Times New Roman" w:hAnsi="Times New Roman" w:cs="Times New Roman"/>
          <w:sz w:val="24"/>
          <w:szCs w:val="24"/>
        </w:rPr>
        <w:endnoteReference w:id="103"/>
      </w:r>
      <w:r w:rsidRPr="009F4FD3">
        <w:rPr>
          <w:rFonts w:ascii="Times New Roman" w:hAnsi="Times New Roman" w:cs="Times New Roman"/>
          <w:sz w:val="24"/>
          <w:szCs w:val="24"/>
        </w:rPr>
        <w:t xml:space="preserve"> In contrast, the inquisitorial trial process is </w:t>
      </w:r>
      <w:r w:rsidR="00B47BC9">
        <w:rPr>
          <w:rFonts w:ascii="Times New Roman" w:hAnsi="Times New Roman" w:cs="Times New Roman"/>
          <w:sz w:val="24"/>
          <w:szCs w:val="24"/>
        </w:rPr>
        <w:t xml:space="preserve">believed to be </w:t>
      </w:r>
      <w:r w:rsidRPr="009F4FD3">
        <w:rPr>
          <w:rFonts w:ascii="Times New Roman" w:hAnsi="Times New Roman" w:cs="Times New Roman"/>
          <w:sz w:val="24"/>
          <w:szCs w:val="24"/>
        </w:rPr>
        <w:t xml:space="preserve"> to be more determined to discover the truth,</w:t>
      </w:r>
      <w:r w:rsidR="00B47BC9">
        <w:rPr>
          <w:rFonts w:ascii="Times New Roman" w:hAnsi="Times New Roman" w:cs="Times New Roman"/>
          <w:sz w:val="24"/>
          <w:szCs w:val="24"/>
        </w:rPr>
        <w:t xml:space="preserve"> opposed to the proof of the matter, </w:t>
      </w:r>
      <w:r w:rsidRPr="009F4FD3">
        <w:rPr>
          <w:rFonts w:ascii="Times New Roman" w:hAnsi="Times New Roman" w:cs="Times New Roman"/>
          <w:sz w:val="24"/>
          <w:szCs w:val="24"/>
        </w:rPr>
        <w:t xml:space="preserve"> as all parties involved in the process are obliged to discover all evidence </w:t>
      </w:r>
      <w:r w:rsidR="002936F2">
        <w:rPr>
          <w:rFonts w:ascii="Times New Roman" w:hAnsi="Times New Roman" w:cs="Times New Roman"/>
          <w:sz w:val="24"/>
          <w:szCs w:val="24"/>
        </w:rPr>
        <w:t>(</w:t>
      </w:r>
      <w:r w:rsidRPr="009F4FD3">
        <w:rPr>
          <w:rFonts w:ascii="Times New Roman" w:hAnsi="Times New Roman" w:cs="Times New Roman"/>
          <w:sz w:val="24"/>
          <w:szCs w:val="24"/>
        </w:rPr>
        <w:t>both inculpatory and exculpatory evidence</w:t>
      </w:r>
      <w:r w:rsidR="002936F2">
        <w:rPr>
          <w:rFonts w:ascii="Times New Roman" w:hAnsi="Times New Roman" w:cs="Times New Roman"/>
          <w:sz w:val="24"/>
          <w:szCs w:val="24"/>
        </w:rPr>
        <w:t>)</w:t>
      </w:r>
      <w:r w:rsidRPr="009F4FD3">
        <w:rPr>
          <w:rFonts w:ascii="Times New Roman" w:hAnsi="Times New Roman" w:cs="Times New Roman"/>
          <w:sz w:val="24"/>
          <w:szCs w:val="24"/>
        </w:rPr>
        <w:t>. However, advocates in the English adversarial approach do have an overriding duty to the court; this ensures that they do not mislead the court.</w:t>
      </w:r>
      <w:r w:rsidRPr="009F4FD3">
        <w:rPr>
          <w:rStyle w:val="EndnoteReference"/>
          <w:rFonts w:ascii="Times New Roman" w:hAnsi="Times New Roman" w:cs="Times New Roman"/>
          <w:sz w:val="24"/>
          <w:szCs w:val="24"/>
        </w:rPr>
        <w:endnoteReference w:id="104"/>
      </w:r>
    </w:p>
    <w:p w14:paraId="3FBEA75F" w14:textId="79461024" w:rsidR="001E206E" w:rsidRPr="009F4FD3" w:rsidDel="006D3212" w:rsidRDefault="001E206E" w:rsidP="00E47567">
      <w:pPr>
        <w:spacing w:line="360" w:lineRule="auto"/>
        <w:jc w:val="both"/>
        <w:rPr>
          <w:rFonts w:ascii="Times New Roman" w:hAnsi="Times New Roman" w:cs="Times New Roman"/>
          <w:sz w:val="24"/>
          <w:szCs w:val="24"/>
        </w:rPr>
      </w:pPr>
      <w:r w:rsidRPr="009F4FD3">
        <w:rPr>
          <w:rFonts w:ascii="Times New Roman" w:hAnsi="Times New Roman" w:cs="Times New Roman"/>
          <w:sz w:val="24"/>
          <w:szCs w:val="24"/>
        </w:rPr>
        <w:lastRenderedPageBreak/>
        <w:t>Despite the search for the truth being central to the adversarial process, this search is balanced against various other considerations. These considerations include, maintaining the integrity of the system. The prosecution’s case will only succeed should they be able to present enough evidence to convince, the jury in Crown Court cases or the Magistrates, that the defendant is guilty of the alleged offence beyond reasonable doubt. Procedural safeguards that not only protect the defendant but also help maintain the integrity of the system may also inhibit the search for the truth. These safeguards include the exclusion of evidence that was obtained inappropriately; this protects the defendant from any abuse of state power.</w:t>
      </w:r>
      <w:r w:rsidRPr="009F4FD3">
        <w:rPr>
          <w:rStyle w:val="EndnoteReference"/>
          <w:rFonts w:ascii="Times New Roman" w:hAnsi="Times New Roman" w:cs="Times New Roman"/>
          <w:sz w:val="24"/>
          <w:szCs w:val="24"/>
        </w:rPr>
        <w:endnoteReference w:id="105"/>
      </w:r>
      <w:r w:rsidRPr="009F4FD3">
        <w:rPr>
          <w:rFonts w:ascii="Times New Roman" w:hAnsi="Times New Roman" w:cs="Times New Roman"/>
          <w:sz w:val="24"/>
          <w:szCs w:val="24"/>
        </w:rPr>
        <w:t xml:space="preserve"> The skill, knowledge and experience of the advocate may also inhibit the search for the truth. The prosecution and defence lawyers may present polar opposite versions of an alleged incident. In trying to convince the jury or the magistrate that their version is the ‘truth’ </w:t>
      </w:r>
      <w:r w:rsidR="002936F2">
        <w:rPr>
          <w:rFonts w:ascii="Times New Roman" w:hAnsi="Times New Roman" w:cs="Times New Roman"/>
          <w:sz w:val="24"/>
          <w:szCs w:val="24"/>
        </w:rPr>
        <w:t xml:space="preserve">this </w:t>
      </w:r>
      <w:r w:rsidRPr="009F4FD3">
        <w:rPr>
          <w:rFonts w:ascii="Times New Roman" w:hAnsi="Times New Roman" w:cs="Times New Roman"/>
          <w:sz w:val="24"/>
          <w:szCs w:val="24"/>
        </w:rPr>
        <w:t>is dependent on the skill and experience of the advocate presenting the case</w:t>
      </w:r>
      <w:r w:rsidR="002936F2">
        <w:rPr>
          <w:rFonts w:ascii="Times New Roman" w:hAnsi="Times New Roman" w:cs="Times New Roman"/>
          <w:sz w:val="24"/>
          <w:szCs w:val="24"/>
        </w:rPr>
        <w:t>,</w:t>
      </w:r>
      <w:r w:rsidRPr="009F4FD3">
        <w:rPr>
          <w:rFonts w:ascii="Times New Roman" w:hAnsi="Times New Roman" w:cs="Times New Roman"/>
          <w:sz w:val="24"/>
          <w:szCs w:val="24"/>
        </w:rPr>
        <w:t xml:space="preserve"> as well as the quality and temperament of the witnesses. The art and skill of advocacy is ‘a highly refined one whose very best practitioners may manage to persuade in the face of facts…’</w:t>
      </w:r>
      <w:r w:rsidRPr="009F4FD3">
        <w:rPr>
          <w:rStyle w:val="EndnoteReference"/>
          <w:rFonts w:ascii="Times New Roman" w:hAnsi="Times New Roman" w:cs="Times New Roman"/>
          <w:sz w:val="24"/>
          <w:szCs w:val="24"/>
        </w:rPr>
        <w:endnoteReference w:id="106"/>
      </w:r>
      <w:r w:rsidRPr="009F4FD3">
        <w:rPr>
          <w:rFonts w:ascii="Times New Roman" w:hAnsi="Times New Roman" w:cs="Times New Roman"/>
          <w:i/>
          <w:sz w:val="24"/>
          <w:szCs w:val="24"/>
        </w:rPr>
        <w:t xml:space="preserve"> </w:t>
      </w:r>
      <w:r w:rsidR="002936F2">
        <w:rPr>
          <w:rFonts w:ascii="Times New Roman" w:hAnsi="Times New Roman" w:cs="Times New Roman"/>
          <w:sz w:val="24"/>
          <w:szCs w:val="24"/>
        </w:rPr>
        <w:t>w</w:t>
      </w:r>
      <w:r w:rsidRPr="009F4FD3">
        <w:rPr>
          <w:rFonts w:ascii="Times New Roman" w:hAnsi="Times New Roman" w:cs="Times New Roman"/>
          <w:sz w:val="24"/>
          <w:szCs w:val="24"/>
        </w:rPr>
        <w:t>hereas a</w:t>
      </w:r>
      <w:r w:rsidR="002936F2">
        <w:rPr>
          <w:rFonts w:ascii="Times New Roman" w:hAnsi="Times New Roman" w:cs="Times New Roman"/>
          <w:sz w:val="24"/>
          <w:szCs w:val="24"/>
        </w:rPr>
        <w:t>n</w:t>
      </w:r>
      <w:r w:rsidRPr="009F4FD3">
        <w:rPr>
          <w:rFonts w:ascii="Times New Roman" w:hAnsi="Times New Roman" w:cs="Times New Roman"/>
          <w:sz w:val="24"/>
          <w:szCs w:val="24"/>
        </w:rPr>
        <w:t xml:space="preserve"> inexperienced </w:t>
      </w:r>
      <w:r w:rsidR="002936F2">
        <w:rPr>
          <w:rFonts w:ascii="Times New Roman" w:hAnsi="Times New Roman" w:cs="Times New Roman"/>
          <w:sz w:val="24"/>
          <w:szCs w:val="24"/>
        </w:rPr>
        <w:t>in</w:t>
      </w:r>
      <w:r w:rsidRPr="009F4FD3">
        <w:rPr>
          <w:rFonts w:ascii="Times New Roman" w:hAnsi="Times New Roman" w:cs="Times New Roman"/>
          <w:sz w:val="24"/>
          <w:szCs w:val="24"/>
        </w:rPr>
        <w:t>eloquent practitioner may not be able to convince the jury or magistrate. Could neuroscience assist in th</w:t>
      </w:r>
      <w:r w:rsidR="002936F2">
        <w:rPr>
          <w:rFonts w:ascii="Times New Roman" w:hAnsi="Times New Roman" w:cs="Times New Roman"/>
          <w:sz w:val="24"/>
          <w:szCs w:val="24"/>
        </w:rPr>
        <w:t>is</w:t>
      </w:r>
      <w:r w:rsidRPr="009F4FD3">
        <w:rPr>
          <w:rFonts w:ascii="Times New Roman" w:hAnsi="Times New Roman" w:cs="Times New Roman"/>
          <w:sz w:val="24"/>
          <w:szCs w:val="24"/>
        </w:rPr>
        <w:t xml:space="preserve"> quest for the truth? </w:t>
      </w:r>
    </w:p>
    <w:p w14:paraId="025E9618" w14:textId="330409F8" w:rsidR="001E206E" w:rsidRPr="009F4FD3" w:rsidRDefault="001E206E" w:rsidP="00043696">
      <w:pPr>
        <w:spacing w:line="360" w:lineRule="auto"/>
        <w:jc w:val="both"/>
        <w:rPr>
          <w:rFonts w:ascii="Times New Roman" w:hAnsi="Times New Roman" w:cs="Times New Roman"/>
          <w:sz w:val="24"/>
          <w:szCs w:val="24"/>
        </w:rPr>
      </w:pPr>
      <w:r w:rsidRPr="009F4FD3">
        <w:rPr>
          <w:rFonts w:ascii="Times New Roman" w:hAnsi="Times New Roman" w:cs="Times New Roman"/>
          <w:sz w:val="24"/>
          <w:szCs w:val="24"/>
        </w:rPr>
        <w:t xml:space="preserve">Although this </w:t>
      </w:r>
      <w:r w:rsidR="002936F2">
        <w:rPr>
          <w:rFonts w:ascii="Times New Roman" w:hAnsi="Times New Roman" w:cs="Times New Roman"/>
          <w:sz w:val="24"/>
          <w:szCs w:val="24"/>
        </w:rPr>
        <w:t>article</w:t>
      </w:r>
      <w:r w:rsidR="002936F2" w:rsidRPr="009F4FD3">
        <w:rPr>
          <w:rFonts w:ascii="Times New Roman" w:hAnsi="Times New Roman" w:cs="Times New Roman"/>
          <w:sz w:val="24"/>
          <w:szCs w:val="24"/>
        </w:rPr>
        <w:t xml:space="preserve"> </w:t>
      </w:r>
      <w:r w:rsidRPr="009F4FD3">
        <w:rPr>
          <w:rFonts w:ascii="Times New Roman" w:hAnsi="Times New Roman" w:cs="Times New Roman"/>
          <w:sz w:val="24"/>
          <w:szCs w:val="24"/>
        </w:rPr>
        <w:t>accepts that the ‘purpose’ of the trial is a quest for the truth. There is no set definition, in either adversarial or inquisitorial jurisdictions, as to what the purpose should be</w:t>
      </w:r>
      <w:r w:rsidR="002936F2">
        <w:rPr>
          <w:rFonts w:ascii="Times New Roman" w:hAnsi="Times New Roman" w:cs="Times New Roman"/>
          <w:sz w:val="24"/>
          <w:szCs w:val="24"/>
        </w:rPr>
        <w:t xml:space="preserve"> even though the </w:t>
      </w:r>
      <w:r w:rsidRPr="009F4FD3">
        <w:rPr>
          <w:rFonts w:ascii="Times New Roman" w:hAnsi="Times New Roman" w:cs="Times New Roman"/>
          <w:sz w:val="24"/>
          <w:szCs w:val="24"/>
        </w:rPr>
        <w:t xml:space="preserve">modern purpose is </w:t>
      </w:r>
      <w:r w:rsidR="002936F2">
        <w:rPr>
          <w:rFonts w:ascii="Times New Roman" w:hAnsi="Times New Roman" w:cs="Times New Roman"/>
          <w:sz w:val="24"/>
          <w:szCs w:val="24"/>
        </w:rPr>
        <w:t xml:space="preserve">clear, </w:t>
      </w:r>
      <w:r w:rsidRPr="009F4FD3">
        <w:rPr>
          <w:rFonts w:ascii="Times New Roman" w:hAnsi="Times New Roman" w:cs="Times New Roman"/>
          <w:sz w:val="24"/>
          <w:szCs w:val="24"/>
        </w:rPr>
        <w:t>to “deal with cases justly.”</w:t>
      </w:r>
      <w:r w:rsidRPr="009F4FD3">
        <w:rPr>
          <w:rStyle w:val="EndnoteReference"/>
          <w:rFonts w:ascii="Times New Roman" w:hAnsi="Times New Roman" w:cs="Times New Roman"/>
          <w:sz w:val="24"/>
          <w:szCs w:val="24"/>
        </w:rPr>
        <w:endnoteReference w:id="107"/>
      </w:r>
      <w:r w:rsidRPr="009F4FD3">
        <w:rPr>
          <w:rFonts w:ascii="Times New Roman" w:hAnsi="Times New Roman" w:cs="Times New Roman"/>
          <w:sz w:val="24"/>
          <w:szCs w:val="24"/>
        </w:rPr>
        <w:t xml:space="preserve"> The courts </w:t>
      </w:r>
      <w:r w:rsidR="002936F2">
        <w:rPr>
          <w:rFonts w:ascii="Times New Roman" w:hAnsi="Times New Roman" w:cs="Times New Roman"/>
          <w:sz w:val="24"/>
          <w:szCs w:val="24"/>
        </w:rPr>
        <w:t xml:space="preserve">have inevitably </w:t>
      </w:r>
      <w:r w:rsidRPr="009F4FD3">
        <w:rPr>
          <w:rFonts w:ascii="Times New Roman" w:hAnsi="Times New Roman" w:cs="Times New Roman"/>
          <w:sz w:val="24"/>
          <w:szCs w:val="24"/>
        </w:rPr>
        <w:t xml:space="preserve">moved </w:t>
      </w:r>
      <w:r w:rsidR="002936F2" w:rsidRPr="009F4FD3">
        <w:rPr>
          <w:rFonts w:ascii="Times New Roman" w:hAnsi="Times New Roman" w:cs="Times New Roman"/>
          <w:sz w:val="24"/>
          <w:szCs w:val="24"/>
        </w:rPr>
        <w:t>quickly</w:t>
      </w:r>
      <w:r w:rsidR="002936F2">
        <w:rPr>
          <w:rFonts w:ascii="Times New Roman" w:hAnsi="Times New Roman" w:cs="Times New Roman"/>
          <w:sz w:val="24"/>
          <w:szCs w:val="24"/>
        </w:rPr>
        <w:t xml:space="preserve"> in</w:t>
      </w:r>
      <w:r w:rsidRPr="009F4FD3">
        <w:rPr>
          <w:rFonts w:ascii="Times New Roman" w:hAnsi="Times New Roman" w:cs="Times New Roman"/>
          <w:sz w:val="24"/>
          <w:szCs w:val="24"/>
        </w:rPr>
        <w:t xml:space="preserve"> adopt</w:t>
      </w:r>
      <w:r w:rsidR="002936F2">
        <w:rPr>
          <w:rFonts w:ascii="Times New Roman" w:hAnsi="Times New Roman" w:cs="Times New Roman"/>
          <w:sz w:val="24"/>
          <w:szCs w:val="24"/>
        </w:rPr>
        <w:t>ing</w:t>
      </w:r>
      <w:r w:rsidRPr="009F4FD3">
        <w:rPr>
          <w:rFonts w:ascii="Times New Roman" w:hAnsi="Times New Roman" w:cs="Times New Roman"/>
          <w:sz w:val="24"/>
          <w:szCs w:val="24"/>
        </w:rPr>
        <w:t xml:space="preserve"> this notion of efficiency espoused in </w:t>
      </w:r>
      <w:r w:rsidRPr="009F4FD3">
        <w:rPr>
          <w:rFonts w:ascii="Times New Roman" w:hAnsi="Times New Roman" w:cs="Times New Roman"/>
          <w:i/>
          <w:sz w:val="24"/>
          <w:szCs w:val="24"/>
        </w:rPr>
        <w:t>The Auld Review</w:t>
      </w:r>
      <w:r w:rsidRPr="009F4FD3">
        <w:rPr>
          <w:rFonts w:ascii="Times New Roman" w:hAnsi="Times New Roman" w:cs="Times New Roman"/>
          <w:sz w:val="24"/>
          <w:szCs w:val="24"/>
        </w:rPr>
        <w:t>.</w:t>
      </w:r>
      <w:r w:rsidRPr="009F4FD3">
        <w:rPr>
          <w:rStyle w:val="EndnoteReference"/>
          <w:rFonts w:ascii="Times New Roman" w:hAnsi="Times New Roman" w:cs="Times New Roman"/>
          <w:sz w:val="24"/>
          <w:szCs w:val="24"/>
        </w:rPr>
        <w:endnoteReference w:id="108"/>
      </w:r>
      <w:r w:rsidRPr="009F4FD3">
        <w:rPr>
          <w:rFonts w:ascii="Times New Roman" w:hAnsi="Times New Roman" w:cs="Times New Roman"/>
          <w:sz w:val="24"/>
          <w:szCs w:val="24"/>
        </w:rPr>
        <w:t xml:space="preserve"> In </w:t>
      </w:r>
      <w:r w:rsidRPr="009F4FD3">
        <w:rPr>
          <w:rFonts w:ascii="Times New Roman" w:hAnsi="Times New Roman" w:cs="Times New Roman"/>
          <w:i/>
          <w:sz w:val="24"/>
          <w:szCs w:val="24"/>
        </w:rPr>
        <w:t>Chabaan</w:t>
      </w:r>
      <w:r w:rsidRPr="009F4FD3">
        <w:rPr>
          <w:rStyle w:val="EndnoteReference"/>
          <w:rFonts w:ascii="Times New Roman" w:hAnsi="Times New Roman" w:cs="Times New Roman"/>
          <w:sz w:val="24"/>
          <w:szCs w:val="24"/>
        </w:rPr>
        <w:endnoteReference w:id="109"/>
      </w:r>
      <w:r w:rsidRPr="009F4FD3">
        <w:rPr>
          <w:rFonts w:ascii="Times New Roman" w:hAnsi="Times New Roman" w:cs="Times New Roman"/>
          <w:i/>
          <w:sz w:val="24"/>
          <w:szCs w:val="24"/>
        </w:rPr>
        <w:t xml:space="preserve"> </w:t>
      </w:r>
      <w:r w:rsidRPr="009F4FD3">
        <w:rPr>
          <w:rFonts w:ascii="Times New Roman" w:hAnsi="Times New Roman" w:cs="Times New Roman"/>
          <w:sz w:val="24"/>
          <w:szCs w:val="24"/>
        </w:rPr>
        <w:t xml:space="preserve">the judge refused the application on the basis that he expected the case to be dealt with expeditiously and it should not conclude beyond a pre-defined date. The defendant was convicted and he appealed </w:t>
      </w:r>
      <w:r w:rsidRPr="009F4FD3">
        <w:rPr>
          <w:rFonts w:ascii="Times New Roman" w:hAnsi="Times New Roman" w:cs="Times New Roman"/>
          <w:i/>
          <w:sz w:val="24"/>
          <w:szCs w:val="24"/>
        </w:rPr>
        <w:t>inter alia</w:t>
      </w:r>
      <w:r w:rsidRPr="009F4FD3">
        <w:rPr>
          <w:rFonts w:ascii="Times New Roman" w:hAnsi="Times New Roman" w:cs="Times New Roman"/>
          <w:sz w:val="24"/>
          <w:szCs w:val="24"/>
        </w:rPr>
        <w:t xml:space="preserve"> that the judge should not have refused </w:t>
      </w:r>
      <w:r w:rsidR="00647B7E">
        <w:rPr>
          <w:rFonts w:ascii="Times New Roman" w:hAnsi="Times New Roman" w:cs="Times New Roman"/>
          <w:sz w:val="24"/>
          <w:szCs w:val="24"/>
        </w:rPr>
        <w:t xml:space="preserve">his </w:t>
      </w:r>
      <w:r w:rsidRPr="009F4FD3">
        <w:rPr>
          <w:rFonts w:ascii="Times New Roman" w:hAnsi="Times New Roman" w:cs="Times New Roman"/>
          <w:sz w:val="24"/>
          <w:szCs w:val="24"/>
        </w:rPr>
        <w:t xml:space="preserve">expert application. The appeal was </w:t>
      </w:r>
      <w:r w:rsidR="00647B7E" w:rsidRPr="009F4FD3">
        <w:rPr>
          <w:rFonts w:ascii="Times New Roman" w:hAnsi="Times New Roman" w:cs="Times New Roman"/>
          <w:sz w:val="24"/>
          <w:szCs w:val="24"/>
        </w:rPr>
        <w:t>dismissed</w:t>
      </w:r>
      <w:r w:rsidR="00647B7E">
        <w:rPr>
          <w:rFonts w:ascii="Times New Roman" w:hAnsi="Times New Roman" w:cs="Times New Roman"/>
          <w:sz w:val="24"/>
          <w:szCs w:val="24"/>
        </w:rPr>
        <w:t xml:space="preserve">; </w:t>
      </w:r>
      <w:r w:rsidRPr="009F4FD3">
        <w:rPr>
          <w:rFonts w:ascii="Times New Roman" w:hAnsi="Times New Roman" w:cs="Times New Roman"/>
          <w:sz w:val="24"/>
          <w:szCs w:val="24"/>
        </w:rPr>
        <w:t>Judge LJ stated that ‘a judge has always been responsible for managing the trial … that is one of his most important functions’.</w:t>
      </w:r>
      <w:r w:rsidRPr="009F4FD3">
        <w:rPr>
          <w:rStyle w:val="EndnoteReference"/>
          <w:rFonts w:ascii="Times New Roman" w:hAnsi="Times New Roman" w:cs="Times New Roman"/>
          <w:sz w:val="24"/>
          <w:szCs w:val="24"/>
        </w:rPr>
        <w:endnoteReference w:id="110"/>
      </w:r>
      <w:r w:rsidRPr="009F4FD3">
        <w:rPr>
          <w:rFonts w:ascii="Times New Roman" w:hAnsi="Times New Roman" w:cs="Times New Roman"/>
          <w:sz w:val="24"/>
          <w:szCs w:val="24"/>
        </w:rPr>
        <w:t xml:space="preserve"> Judge LJ highlighted the importance of dealing with cases expeditiously. He said that ‘time is not unlimited … the entitlement of a fair trial is not inconsistent with proper judicial control over the use of time … every trial that takes longer than necessary is wasteful of limited resources.’</w:t>
      </w:r>
      <w:r w:rsidRPr="009F4FD3">
        <w:rPr>
          <w:rStyle w:val="EndnoteReference"/>
          <w:rFonts w:ascii="Times New Roman" w:hAnsi="Times New Roman" w:cs="Times New Roman"/>
          <w:sz w:val="24"/>
          <w:szCs w:val="24"/>
        </w:rPr>
        <w:endnoteReference w:id="111"/>
      </w:r>
      <w:r w:rsidRPr="009F4FD3">
        <w:rPr>
          <w:rFonts w:ascii="Times New Roman" w:hAnsi="Times New Roman" w:cs="Times New Roman"/>
          <w:sz w:val="24"/>
          <w:szCs w:val="24"/>
        </w:rPr>
        <w:t xml:space="preserve"> The importance of dealing with cases efficiently and effectively is clear. Furthermore </w:t>
      </w:r>
      <w:r w:rsidR="00647B7E">
        <w:rPr>
          <w:rFonts w:ascii="Times New Roman" w:hAnsi="Times New Roman" w:cs="Times New Roman"/>
          <w:sz w:val="24"/>
          <w:szCs w:val="24"/>
        </w:rPr>
        <w:t xml:space="preserve">that </w:t>
      </w:r>
      <w:r w:rsidRPr="009F4FD3">
        <w:rPr>
          <w:rFonts w:ascii="Times New Roman" w:hAnsi="Times New Roman" w:cs="Times New Roman"/>
          <w:sz w:val="24"/>
          <w:szCs w:val="24"/>
        </w:rPr>
        <w:t xml:space="preserve">adjournment to instruct experts </w:t>
      </w:r>
      <w:r w:rsidR="00647B7E">
        <w:rPr>
          <w:rFonts w:ascii="Times New Roman" w:hAnsi="Times New Roman" w:cs="Times New Roman"/>
          <w:sz w:val="24"/>
          <w:szCs w:val="24"/>
        </w:rPr>
        <w:t>in the</w:t>
      </w:r>
      <w:r w:rsidRPr="009F4FD3">
        <w:rPr>
          <w:rFonts w:ascii="Times New Roman" w:hAnsi="Times New Roman" w:cs="Times New Roman"/>
          <w:sz w:val="24"/>
          <w:szCs w:val="24"/>
        </w:rPr>
        <w:t xml:space="preserve"> mak</w:t>
      </w:r>
      <w:r w:rsidR="00647B7E">
        <w:rPr>
          <w:rFonts w:ascii="Times New Roman" w:hAnsi="Times New Roman" w:cs="Times New Roman"/>
          <w:sz w:val="24"/>
          <w:szCs w:val="24"/>
        </w:rPr>
        <w:t>ing of</w:t>
      </w:r>
      <w:r w:rsidRPr="009F4FD3">
        <w:rPr>
          <w:rFonts w:ascii="Times New Roman" w:hAnsi="Times New Roman" w:cs="Times New Roman"/>
          <w:sz w:val="24"/>
          <w:szCs w:val="24"/>
        </w:rPr>
        <w:t xml:space="preserve"> speculative investigations </w:t>
      </w:r>
      <w:r w:rsidR="00647B7E">
        <w:rPr>
          <w:rFonts w:ascii="Times New Roman" w:hAnsi="Times New Roman" w:cs="Times New Roman"/>
          <w:sz w:val="24"/>
          <w:szCs w:val="24"/>
        </w:rPr>
        <w:t>is</w:t>
      </w:r>
      <w:r w:rsidR="00647B7E" w:rsidRPr="009F4FD3">
        <w:rPr>
          <w:rFonts w:ascii="Times New Roman" w:hAnsi="Times New Roman" w:cs="Times New Roman"/>
          <w:sz w:val="24"/>
          <w:szCs w:val="24"/>
        </w:rPr>
        <w:t xml:space="preserve"> </w:t>
      </w:r>
      <w:r w:rsidRPr="009F4FD3">
        <w:rPr>
          <w:rFonts w:ascii="Times New Roman" w:hAnsi="Times New Roman" w:cs="Times New Roman"/>
          <w:sz w:val="24"/>
          <w:szCs w:val="24"/>
        </w:rPr>
        <w:t xml:space="preserve">no longer tolerated. </w:t>
      </w:r>
      <w:r w:rsidR="00647B7E">
        <w:rPr>
          <w:rFonts w:ascii="Times New Roman" w:hAnsi="Times New Roman" w:cs="Times New Roman"/>
          <w:sz w:val="24"/>
          <w:szCs w:val="24"/>
        </w:rPr>
        <w:t xml:space="preserve">In fact, </w:t>
      </w:r>
      <w:r w:rsidRPr="009F4FD3">
        <w:rPr>
          <w:rFonts w:ascii="Times New Roman" w:hAnsi="Times New Roman" w:cs="Times New Roman"/>
          <w:sz w:val="24"/>
          <w:szCs w:val="24"/>
        </w:rPr>
        <w:t>Judge LJ took the opportunity to reinforce th</w:t>
      </w:r>
      <w:r w:rsidR="00647B7E">
        <w:rPr>
          <w:rFonts w:ascii="Times New Roman" w:hAnsi="Times New Roman" w:cs="Times New Roman"/>
          <w:sz w:val="24"/>
          <w:szCs w:val="24"/>
        </w:rPr>
        <w:t>is</w:t>
      </w:r>
      <w:r w:rsidRPr="009F4FD3">
        <w:rPr>
          <w:rFonts w:ascii="Times New Roman" w:hAnsi="Times New Roman" w:cs="Times New Roman"/>
          <w:sz w:val="24"/>
          <w:szCs w:val="24"/>
        </w:rPr>
        <w:t xml:space="preserve"> notion</w:t>
      </w:r>
      <w:r w:rsidR="00647B7E">
        <w:rPr>
          <w:rFonts w:ascii="Times New Roman" w:hAnsi="Times New Roman" w:cs="Times New Roman"/>
          <w:sz w:val="24"/>
          <w:szCs w:val="24"/>
        </w:rPr>
        <w:t xml:space="preserve"> by explaining</w:t>
      </w:r>
      <w:r w:rsidRPr="009F4FD3">
        <w:rPr>
          <w:rFonts w:ascii="Times New Roman" w:hAnsi="Times New Roman" w:cs="Times New Roman"/>
          <w:sz w:val="24"/>
          <w:szCs w:val="24"/>
        </w:rPr>
        <w:t xml:space="preserve"> that the era of active case management had dawned. In </w:t>
      </w:r>
      <w:r w:rsidRPr="009F4FD3">
        <w:rPr>
          <w:rFonts w:ascii="Times New Roman" w:hAnsi="Times New Roman" w:cs="Times New Roman"/>
          <w:i/>
          <w:sz w:val="24"/>
          <w:szCs w:val="24"/>
        </w:rPr>
        <w:t>Jisl</w:t>
      </w:r>
      <w:r w:rsidRPr="009F4FD3">
        <w:rPr>
          <w:rStyle w:val="EndnoteReference"/>
          <w:rFonts w:ascii="Times New Roman" w:hAnsi="Times New Roman" w:cs="Times New Roman"/>
          <w:sz w:val="24"/>
          <w:szCs w:val="24"/>
        </w:rPr>
        <w:endnoteReference w:id="112"/>
      </w:r>
      <w:r w:rsidRPr="009F4FD3">
        <w:rPr>
          <w:rFonts w:ascii="Times New Roman" w:hAnsi="Times New Roman" w:cs="Times New Roman"/>
          <w:sz w:val="24"/>
          <w:szCs w:val="24"/>
        </w:rPr>
        <w:t xml:space="preserve"> Judge LJ reiterated this point </w:t>
      </w:r>
      <w:r w:rsidR="00647B7E">
        <w:rPr>
          <w:rFonts w:ascii="Times New Roman" w:hAnsi="Times New Roman" w:cs="Times New Roman"/>
          <w:sz w:val="24"/>
          <w:szCs w:val="24"/>
        </w:rPr>
        <w:t xml:space="preserve">in addition to </w:t>
      </w:r>
      <w:r w:rsidRPr="009F4FD3">
        <w:rPr>
          <w:rFonts w:ascii="Times New Roman" w:hAnsi="Times New Roman" w:cs="Times New Roman"/>
          <w:sz w:val="24"/>
          <w:szCs w:val="24"/>
        </w:rPr>
        <w:t>outlin</w:t>
      </w:r>
      <w:r w:rsidR="00647B7E">
        <w:rPr>
          <w:rFonts w:ascii="Times New Roman" w:hAnsi="Times New Roman" w:cs="Times New Roman"/>
          <w:sz w:val="24"/>
          <w:szCs w:val="24"/>
        </w:rPr>
        <w:t>ing</w:t>
      </w:r>
      <w:r w:rsidRPr="009F4FD3">
        <w:rPr>
          <w:rFonts w:ascii="Times New Roman" w:hAnsi="Times New Roman" w:cs="Times New Roman"/>
          <w:sz w:val="24"/>
          <w:szCs w:val="24"/>
        </w:rPr>
        <w:t xml:space="preserve"> the </w:t>
      </w:r>
      <w:r w:rsidR="00647B7E">
        <w:rPr>
          <w:rFonts w:ascii="Times New Roman" w:eastAsia="Times New Roman" w:hAnsi="Times New Roman" w:cs="Times New Roman"/>
          <w:sz w:val="24"/>
          <w:szCs w:val="24"/>
          <w:lang w:eastAsia="en-GB"/>
        </w:rPr>
        <w:t xml:space="preserve">purpose </w:t>
      </w:r>
      <w:r w:rsidRPr="009F4FD3">
        <w:rPr>
          <w:rFonts w:ascii="Times New Roman" w:eastAsia="Times New Roman" w:hAnsi="Times New Roman" w:cs="Times New Roman"/>
          <w:sz w:val="24"/>
          <w:szCs w:val="24"/>
          <w:lang w:eastAsia="en-GB"/>
        </w:rPr>
        <w:t>of a criminal case is:</w:t>
      </w:r>
    </w:p>
    <w:p w14:paraId="74A8E496" w14:textId="725CF381" w:rsidR="001E206E" w:rsidRPr="009F4FD3" w:rsidRDefault="001E206E" w:rsidP="00043696">
      <w:pPr>
        <w:spacing w:line="360" w:lineRule="auto"/>
        <w:ind w:left="720" w:firstLine="60"/>
        <w:jc w:val="both"/>
        <w:rPr>
          <w:rFonts w:ascii="Times New Roman" w:hAnsi="Times New Roman" w:cs="Times New Roman"/>
          <w:sz w:val="24"/>
          <w:szCs w:val="24"/>
        </w:rPr>
      </w:pPr>
      <w:r w:rsidRPr="009F4FD3">
        <w:rPr>
          <w:rFonts w:ascii="Times New Roman" w:eastAsia="Times New Roman" w:hAnsi="Times New Roman" w:cs="Times New Roman"/>
          <w:sz w:val="24"/>
          <w:szCs w:val="24"/>
          <w:lang w:eastAsia="en-GB"/>
        </w:rPr>
        <w:lastRenderedPageBreak/>
        <w:t>“Justice must be done. The defendant is entitled to a fair trial: and, which is sometimes overlooked, the prosecution is equally entitled to a reasonable opportunity to present the evidence against the defendant. It is not however a concomitant of the entitlement to a fair trial that either or both sides are further entitled to take as much time as they like, or for that matter, as long as counsel and solicitors or the defendants themselves think appropriate. Resources are limited ... [I]t follows that the sensible use of time requires judicial management and control.”</w:t>
      </w:r>
      <w:r w:rsidRPr="009F4FD3">
        <w:rPr>
          <w:rStyle w:val="EndnoteReference"/>
          <w:rFonts w:ascii="Times New Roman" w:eastAsia="Times New Roman" w:hAnsi="Times New Roman" w:cs="Times New Roman"/>
          <w:sz w:val="24"/>
          <w:szCs w:val="24"/>
          <w:lang w:eastAsia="en-GB"/>
        </w:rPr>
        <w:endnoteReference w:id="113"/>
      </w:r>
    </w:p>
    <w:p w14:paraId="5219A3B4" w14:textId="2ACE4C2A" w:rsidR="001E206E" w:rsidRPr="009F4FD3" w:rsidRDefault="001E206E" w:rsidP="00E47567">
      <w:pPr>
        <w:spacing w:line="360" w:lineRule="auto"/>
        <w:jc w:val="both"/>
        <w:rPr>
          <w:rFonts w:ascii="Times New Roman" w:eastAsiaTheme="minorEastAsia" w:hAnsi="Times New Roman" w:cs="Times New Roman"/>
          <w:sz w:val="24"/>
          <w:szCs w:val="24"/>
          <w:lang w:eastAsia="ja-JP"/>
        </w:rPr>
      </w:pPr>
      <w:r w:rsidRPr="009F4FD3">
        <w:rPr>
          <w:rFonts w:ascii="Times New Roman" w:hAnsi="Times New Roman" w:cs="Times New Roman"/>
          <w:sz w:val="24"/>
          <w:szCs w:val="24"/>
        </w:rPr>
        <w:t xml:space="preserve">With the goal to </w:t>
      </w:r>
      <w:r w:rsidR="00D41EFA" w:rsidRPr="009F4FD3">
        <w:rPr>
          <w:rFonts w:ascii="Times New Roman" w:hAnsi="Times New Roman" w:cs="Times New Roman"/>
          <w:sz w:val="24"/>
          <w:szCs w:val="24"/>
        </w:rPr>
        <w:t>erod</w:t>
      </w:r>
      <w:r w:rsidR="00D41EFA">
        <w:rPr>
          <w:rFonts w:ascii="Times New Roman" w:hAnsi="Times New Roman" w:cs="Times New Roman"/>
          <w:sz w:val="24"/>
          <w:szCs w:val="24"/>
        </w:rPr>
        <w:t>e</w:t>
      </w:r>
      <w:r w:rsidR="00D41EFA" w:rsidRPr="009F4FD3">
        <w:rPr>
          <w:rFonts w:ascii="Times New Roman" w:hAnsi="Times New Roman" w:cs="Times New Roman"/>
          <w:sz w:val="24"/>
          <w:szCs w:val="24"/>
        </w:rPr>
        <w:t xml:space="preserve"> </w:t>
      </w:r>
      <w:r w:rsidRPr="009F4FD3">
        <w:rPr>
          <w:rFonts w:ascii="Times New Roman" w:hAnsi="Times New Roman" w:cs="Times New Roman"/>
          <w:sz w:val="24"/>
          <w:szCs w:val="24"/>
        </w:rPr>
        <w:t>the ‘sporting chance’</w:t>
      </w:r>
      <w:r w:rsidR="00D41EFA">
        <w:rPr>
          <w:rFonts w:ascii="Times New Roman" w:hAnsi="Times New Roman" w:cs="Times New Roman"/>
          <w:sz w:val="24"/>
          <w:szCs w:val="24"/>
        </w:rPr>
        <w:t>,</w:t>
      </w:r>
      <w:r w:rsidRPr="009F4FD3">
        <w:rPr>
          <w:rFonts w:ascii="Times New Roman" w:hAnsi="Times New Roman" w:cs="Times New Roman"/>
          <w:sz w:val="24"/>
          <w:szCs w:val="24"/>
        </w:rPr>
        <w:t xml:space="preserve"> Auld LJ </w:t>
      </w:r>
      <w:r w:rsidR="00D41EFA" w:rsidRPr="009F4FD3">
        <w:rPr>
          <w:rFonts w:ascii="Times New Roman" w:hAnsi="Times New Roman" w:cs="Times New Roman"/>
          <w:sz w:val="24"/>
          <w:szCs w:val="24"/>
        </w:rPr>
        <w:t>suggest</w:t>
      </w:r>
      <w:r w:rsidR="00D41EFA">
        <w:rPr>
          <w:rFonts w:ascii="Times New Roman" w:hAnsi="Times New Roman" w:cs="Times New Roman"/>
          <w:sz w:val="24"/>
          <w:szCs w:val="24"/>
        </w:rPr>
        <w:t>s, by</w:t>
      </w:r>
      <w:r w:rsidR="00D41EFA" w:rsidRPr="009F4FD3">
        <w:rPr>
          <w:rFonts w:ascii="Times New Roman" w:hAnsi="Times New Roman" w:cs="Times New Roman"/>
          <w:sz w:val="24"/>
          <w:szCs w:val="24"/>
        </w:rPr>
        <w:t xml:space="preserve"> </w:t>
      </w:r>
      <w:r w:rsidRPr="009F4FD3">
        <w:rPr>
          <w:rFonts w:ascii="Times New Roman" w:hAnsi="Times New Roman" w:cs="Times New Roman"/>
          <w:sz w:val="24"/>
          <w:szCs w:val="24"/>
        </w:rPr>
        <w:t>creating a single corpus of rules for a unified criminal court.</w:t>
      </w:r>
      <w:r w:rsidRPr="009F4FD3">
        <w:rPr>
          <w:rStyle w:val="EndnoteReference"/>
          <w:rFonts w:ascii="Times New Roman" w:hAnsi="Times New Roman" w:cs="Times New Roman"/>
          <w:sz w:val="24"/>
          <w:szCs w:val="24"/>
        </w:rPr>
        <w:endnoteReference w:id="114"/>
      </w:r>
      <w:r w:rsidRPr="009F4FD3">
        <w:rPr>
          <w:rFonts w:ascii="Times New Roman" w:hAnsi="Times New Roman" w:cs="Times New Roman"/>
          <w:sz w:val="24"/>
          <w:szCs w:val="24"/>
        </w:rPr>
        <w:t xml:space="preserve"> </w:t>
      </w:r>
      <w:r w:rsidR="00D41EFA">
        <w:rPr>
          <w:rFonts w:ascii="Times New Roman" w:hAnsi="Times New Roman" w:cs="Times New Roman"/>
          <w:sz w:val="24"/>
          <w:szCs w:val="24"/>
        </w:rPr>
        <w:t xml:space="preserve">As a matter of fact it has led to several </w:t>
      </w:r>
      <w:r w:rsidR="00D41EFA" w:rsidRPr="009F4FD3">
        <w:rPr>
          <w:rFonts w:ascii="Times New Roman" w:hAnsi="Times New Roman" w:cs="Times New Roman"/>
          <w:sz w:val="24"/>
          <w:szCs w:val="24"/>
        </w:rPr>
        <w:t xml:space="preserve">recommendations </w:t>
      </w:r>
      <w:r w:rsidR="00D41EFA">
        <w:rPr>
          <w:rFonts w:ascii="Times New Roman" w:hAnsi="Times New Roman" w:cs="Times New Roman"/>
          <w:sz w:val="24"/>
          <w:szCs w:val="24"/>
        </w:rPr>
        <w:t xml:space="preserve">that inspired the construction of </w:t>
      </w:r>
      <w:r w:rsidRPr="009F4FD3">
        <w:rPr>
          <w:rFonts w:ascii="Times New Roman" w:hAnsi="Times New Roman" w:cs="Times New Roman"/>
          <w:sz w:val="24"/>
          <w:szCs w:val="24"/>
        </w:rPr>
        <w:t>the Criminal Procedure Rules 2005</w:t>
      </w:r>
      <w:r w:rsidRPr="009F4FD3">
        <w:rPr>
          <w:rStyle w:val="EndnoteReference"/>
          <w:rFonts w:ascii="Times New Roman" w:hAnsi="Times New Roman" w:cs="Times New Roman"/>
          <w:sz w:val="24"/>
          <w:szCs w:val="24"/>
        </w:rPr>
        <w:endnoteReference w:id="115"/>
      </w:r>
      <w:r w:rsidRPr="009F4FD3">
        <w:rPr>
          <w:rFonts w:ascii="Times New Roman" w:hAnsi="Times New Roman" w:cs="Times New Roman"/>
          <w:sz w:val="24"/>
          <w:szCs w:val="24"/>
        </w:rPr>
        <w:t xml:space="preserve"> and with it, an implicit driver of efficiency. The quest for efficiency and desire to fulfil th</w:t>
      </w:r>
      <w:r w:rsidR="00D41EFA">
        <w:rPr>
          <w:rFonts w:ascii="Times New Roman" w:hAnsi="Times New Roman" w:cs="Times New Roman"/>
          <w:sz w:val="24"/>
          <w:szCs w:val="24"/>
        </w:rPr>
        <w:t>is</w:t>
      </w:r>
      <w:r w:rsidRPr="009F4FD3">
        <w:rPr>
          <w:rFonts w:ascii="Times New Roman" w:hAnsi="Times New Roman" w:cs="Times New Roman"/>
          <w:sz w:val="24"/>
          <w:szCs w:val="24"/>
        </w:rPr>
        <w:t xml:space="preserve"> Overriding Objective can</w:t>
      </w:r>
      <w:r w:rsidR="00D41EFA">
        <w:rPr>
          <w:rFonts w:ascii="Times New Roman" w:hAnsi="Times New Roman" w:cs="Times New Roman"/>
          <w:sz w:val="24"/>
          <w:szCs w:val="24"/>
        </w:rPr>
        <w:t>, however,</w:t>
      </w:r>
      <w:r w:rsidRPr="009F4FD3">
        <w:rPr>
          <w:rFonts w:ascii="Times New Roman" w:hAnsi="Times New Roman" w:cs="Times New Roman"/>
          <w:sz w:val="24"/>
          <w:szCs w:val="24"/>
        </w:rPr>
        <w:t xml:space="preserve"> be seen to come at the expense of the privilege against self-incrimination. </w:t>
      </w:r>
      <w:r w:rsidRPr="009F4FD3">
        <w:rPr>
          <w:rFonts w:ascii="Times New Roman" w:hAnsi="Times New Roman" w:cs="Times New Roman"/>
          <w:i/>
          <w:sz w:val="24"/>
          <w:szCs w:val="24"/>
        </w:rPr>
        <w:t>Firth v Epping Magistrates’ Court</w:t>
      </w:r>
      <w:r w:rsidRPr="009F4FD3">
        <w:rPr>
          <w:rStyle w:val="EndnoteReference"/>
          <w:rFonts w:ascii="Times New Roman" w:hAnsi="Times New Roman" w:cs="Times New Roman"/>
          <w:sz w:val="24"/>
          <w:szCs w:val="24"/>
        </w:rPr>
        <w:endnoteReference w:id="116"/>
      </w:r>
      <w:r w:rsidRPr="009F4FD3">
        <w:rPr>
          <w:rFonts w:ascii="Times New Roman" w:hAnsi="Times New Roman" w:cs="Times New Roman"/>
          <w:i/>
          <w:sz w:val="24"/>
          <w:szCs w:val="24"/>
        </w:rPr>
        <w:t xml:space="preserve"> </w:t>
      </w:r>
      <w:r w:rsidRPr="009F4FD3">
        <w:rPr>
          <w:rFonts w:ascii="Times New Roman" w:hAnsi="Times New Roman" w:cs="Times New Roman"/>
          <w:sz w:val="24"/>
          <w:szCs w:val="24"/>
        </w:rPr>
        <w:t>concerned an assault; at trial the prosecution was unable to establish the defendant’s presence at the scene. In the pre-trial case management form, the accused identified the real issues at hand was the matter was self-defence. At trial, the prosecution successfully relied on this as an admission that the accused was the assailant</w:t>
      </w:r>
      <w:r w:rsidR="00D41EFA">
        <w:rPr>
          <w:rFonts w:ascii="Times New Roman" w:hAnsi="Times New Roman" w:cs="Times New Roman"/>
          <w:sz w:val="24"/>
          <w:szCs w:val="24"/>
        </w:rPr>
        <w:t>.</w:t>
      </w:r>
      <w:r w:rsidRPr="009F4FD3">
        <w:rPr>
          <w:rFonts w:ascii="Times New Roman" w:hAnsi="Times New Roman" w:cs="Times New Roman"/>
          <w:sz w:val="24"/>
          <w:szCs w:val="24"/>
        </w:rPr>
        <w:t xml:space="preserve"> </w:t>
      </w:r>
      <w:r w:rsidR="00D41EFA">
        <w:rPr>
          <w:rFonts w:ascii="Times New Roman" w:hAnsi="Times New Roman" w:cs="Times New Roman"/>
          <w:sz w:val="24"/>
          <w:szCs w:val="24"/>
        </w:rPr>
        <w:t xml:space="preserve">However </w:t>
      </w:r>
      <w:r w:rsidRPr="009F4FD3">
        <w:rPr>
          <w:rFonts w:ascii="Times New Roman" w:hAnsi="Times New Roman" w:cs="Times New Roman"/>
          <w:sz w:val="24"/>
          <w:szCs w:val="24"/>
        </w:rPr>
        <w:t>the defence argued the prosecution should not be allowed to rely on the case management form</w:t>
      </w:r>
      <w:r w:rsidR="004B636F">
        <w:rPr>
          <w:rFonts w:ascii="Times New Roman" w:hAnsi="Times New Roman" w:cs="Times New Roman"/>
          <w:sz w:val="24"/>
          <w:szCs w:val="24"/>
        </w:rPr>
        <w:t>, as doing so will breach the privilege of self-incrimination</w:t>
      </w:r>
      <w:r w:rsidRPr="009F4FD3">
        <w:rPr>
          <w:rFonts w:ascii="Times New Roman" w:hAnsi="Times New Roman" w:cs="Times New Roman"/>
          <w:sz w:val="24"/>
          <w:szCs w:val="24"/>
        </w:rPr>
        <w:t xml:space="preserve">. The court disagreed and the defendant was convicted. Without the admission on the case management form, the prosecution </w:t>
      </w:r>
      <w:r w:rsidR="00D41EFA">
        <w:rPr>
          <w:rFonts w:ascii="Times New Roman" w:hAnsi="Times New Roman" w:cs="Times New Roman"/>
          <w:sz w:val="24"/>
          <w:szCs w:val="24"/>
        </w:rPr>
        <w:t>w</w:t>
      </w:r>
      <w:r w:rsidRPr="009F4FD3">
        <w:rPr>
          <w:rFonts w:ascii="Times New Roman" w:hAnsi="Times New Roman" w:cs="Times New Roman"/>
          <w:sz w:val="24"/>
          <w:szCs w:val="24"/>
        </w:rPr>
        <w:t>ould not</w:t>
      </w:r>
      <w:r w:rsidR="00D41EFA">
        <w:rPr>
          <w:rFonts w:ascii="Times New Roman" w:hAnsi="Times New Roman" w:cs="Times New Roman"/>
          <w:sz w:val="24"/>
          <w:szCs w:val="24"/>
        </w:rPr>
        <w:t xml:space="preserve"> have been able to</w:t>
      </w:r>
      <w:r w:rsidR="0097328C">
        <w:rPr>
          <w:rFonts w:ascii="Times New Roman" w:hAnsi="Times New Roman" w:cs="Times New Roman"/>
          <w:sz w:val="24"/>
          <w:szCs w:val="24"/>
        </w:rPr>
        <w:t xml:space="preserve"> establish presence </w:t>
      </w:r>
      <w:r w:rsidRPr="009F4FD3">
        <w:rPr>
          <w:rFonts w:ascii="Times New Roman" w:hAnsi="Times New Roman" w:cs="Times New Roman"/>
          <w:sz w:val="24"/>
          <w:szCs w:val="24"/>
        </w:rPr>
        <w:t xml:space="preserve">at the scene and therefore could not prove a cornerstone of their case. However, by admitting the case management form, the defendant is effectively incriminating themselves by admitting they were present at the scene by disclosing their defence of self-defence. On appeal, the court insisted this did not breach the privilege against self-incrimination. </w:t>
      </w:r>
    </w:p>
    <w:p w14:paraId="481B406D" w14:textId="38168533" w:rsidR="001E206E" w:rsidRPr="009F4FD3" w:rsidRDefault="001E206E" w:rsidP="00043696">
      <w:pPr>
        <w:pStyle w:val="Default"/>
        <w:tabs>
          <w:tab w:val="left" w:pos="3155"/>
          <w:tab w:val="left" w:pos="7785"/>
        </w:tabs>
        <w:spacing w:line="360" w:lineRule="auto"/>
        <w:jc w:val="both"/>
        <w:rPr>
          <w:color w:val="auto"/>
        </w:rPr>
      </w:pPr>
      <w:r w:rsidRPr="009F4FD3">
        <w:rPr>
          <w:color w:val="auto"/>
        </w:rPr>
        <w:t xml:space="preserve">This decision was reversed in </w:t>
      </w:r>
      <w:r w:rsidRPr="009F4FD3">
        <w:rPr>
          <w:rFonts w:eastAsiaTheme="minorEastAsia"/>
          <w:i/>
          <w:color w:val="auto"/>
          <w:lang w:eastAsia="ja-JP"/>
        </w:rPr>
        <w:t>Newell</w:t>
      </w:r>
      <w:r w:rsidRPr="009F4FD3">
        <w:rPr>
          <w:rStyle w:val="EndnoteReference"/>
          <w:rFonts w:eastAsiaTheme="minorEastAsia"/>
          <w:color w:val="auto"/>
          <w:lang w:eastAsia="ja-JP"/>
        </w:rPr>
        <w:endnoteReference w:id="117"/>
      </w:r>
      <w:r w:rsidRPr="009F4FD3">
        <w:rPr>
          <w:rFonts w:eastAsiaTheme="minorEastAsia"/>
          <w:color w:val="auto"/>
          <w:lang w:eastAsia="ja-JP"/>
        </w:rPr>
        <w:t xml:space="preserve"> the appellant appealed against a conviction for possession of cocaine with intent to supply. At the Plea and Case Management Hearing (PCMH), the appellant did not serve a defence statement </w:t>
      </w:r>
      <w:r w:rsidR="00D41EFA">
        <w:rPr>
          <w:rFonts w:eastAsiaTheme="minorEastAsia"/>
          <w:color w:val="auto"/>
          <w:lang w:eastAsia="ja-JP"/>
        </w:rPr>
        <w:t>then</w:t>
      </w:r>
      <w:r w:rsidRPr="009F4FD3">
        <w:rPr>
          <w:rFonts w:eastAsiaTheme="minorEastAsia"/>
          <w:color w:val="auto"/>
          <w:lang w:eastAsia="ja-JP"/>
        </w:rPr>
        <w:t xml:space="preserve"> when completing the case management form, the lawyer, who did not represent the defendant at trial, stated ‘no possession.’ On the morning of the trial and under the instruction of new solicitors, a defence statement was served in which he accepted possession of cocaine</w:t>
      </w:r>
      <w:r w:rsidR="00D41EFA">
        <w:rPr>
          <w:rFonts w:eastAsiaTheme="minorEastAsia"/>
          <w:color w:val="auto"/>
          <w:lang w:eastAsia="ja-JP"/>
        </w:rPr>
        <w:t>,</w:t>
      </w:r>
      <w:r w:rsidRPr="009F4FD3">
        <w:rPr>
          <w:rFonts w:eastAsiaTheme="minorEastAsia"/>
          <w:color w:val="auto"/>
          <w:lang w:eastAsia="ja-JP"/>
        </w:rPr>
        <w:t xml:space="preserve"> but denied the intent to supply. The CPS sought to cross-examine him because there were inconsistencies with his case progression form and the defence statement admission. The judge allowed the cross-examination. The Court of Appeal allowed the appeal, as the judge should have excluded the </w:t>
      </w:r>
      <w:r w:rsidRPr="009F4FD3">
        <w:rPr>
          <w:rFonts w:eastAsiaTheme="minorEastAsia"/>
          <w:color w:val="auto"/>
          <w:lang w:eastAsia="ja-JP"/>
        </w:rPr>
        <w:lastRenderedPageBreak/>
        <w:t>case progression form under s.78 Police and Criminal Evidence Act 1984, as the sanction of adverse inferences for the failure to serve the defence statement was sufficient.</w:t>
      </w:r>
      <w:r w:rsidRPr="009F4FD3">
        <w:rPr>
          <w:rStyle w:val="EndnoteReference"/>
          <w:rFonts w:eastAsiaTheme="minorEastAsia"/>
          <w:color w:val="auto"/>
          <w:lang w:eastAsia="ja-JP"/>
        </w:rPr>
        <w:endnoteReference w:id="118"/>
      </w:r>
      <w:r w:rsidRPr="009F4FD3">
        <w:rPr>
          <w:rFonts w:eastAsiaTheme="minorEastAsia"/>
          <w:color w:val="auto"/>
          <w:lang w:eastAsia="ja-JP"/>
        </w:rPr>
        <w:t xml:space="preserve"> T</w:t>
      </w:r>
      <w:r w:rsidRPr="009F4FD3">
        <w:rPr>
          <w:color w:val="auto"/>
          <w:lang w:val="en"/>
        </w:rPr>
        <w:t>he position should be, provided the case is conducted in accordance with the letter and spirit of the Criminal Procedure Rules, that information or a statement written on a PCMH Form should in the exercise of the court's discretion under s.78 not be admitted in evidence as a statement that can be used against the defendant.</w:t>
      </w:r>
      <w:r w:rsidRPr="009F4FD3">
        <w:rPr>
          <w:rStyle w:val="EndnoteReference"/>
          <w:color w:val="auto"/>
          <w:lang w:val="en"/>
        </w:rPr>
        <w:endnoteReference w:id="119"/>
      </w:r>
      <w:r w:rsidRPr="009F4FD3">
        <w:rPr>
          <w:color w:val="auto"/>
          <w:lang w:val="en"/>
        </w:rPr>
        <w:t xml:space="preserve"> The Court is making it clear that in certain circumstances there might be exceptions to this general rule where the spirit of the Criminal Procedure Rules has not been followed. This appears to re-establish the importance of the privilege and highlights the resulting unfairness should this be breached. </w:t>
      </w:r>
    </w:p>
    <w:p w14:paraId="450C30B9" w14:textId="77777777" w:rsidR="001E206E" w:rsidRPr="009F4FD3" w:rsidRDefault="001E206E" w:rsidP="00043696">
      <w:pPr>
        <w:pStyle w:val="Default"/>
        <w:tabs>
          <w:tab w:val="left" w:pos="3155"/>
          <w:tab w:val="left" w:pos="7785"/>
        </w:tabs>
        <w:spacing w:line="360" w:lineRule="auto"/>
        <w:jc w:val="both"/>
        <w:rPr>
          <w:color w:val="auto"/>
        </w:rPr>
      </w:pPr>
    </w:p>
    <w:p w14:paraId="76460935" w14:textId="3048A9C7" w:rsidR="001E206E" w:rsidRPr="009F4FD3" w:rsidRDefault="001E206E" w:rsidP="00043696">
      <w:pPr>
        <w:pStyle w:val="Default"/>
        <w:tabs>
          <w:tab w:val="left" w:pos="3155"/>
          <w:tab w:val="left" w:pos="7785"/>
        </w:tabs>
        <w:spacing w:line="360" w:lineRule="auto"/>
        <w:jc w:val="both"/>
        <w:rPr>
          <w:color w:val="auto"/>
        </w:rPr>
      </w:pPr>
      <w:r w:rsidRPr="009F4FD3">
        <w:rPr>
          <w:color w:val="auto"/>
        </w:rPr>
        <w:t xml:space="preserve">The paper has highlighted the implication of </w:t>
      </w:r>
      <w:r w:rsidR="00D41EFA">
        <w:rPr>
          <w:color w:val="auto"/>
        </w:rPr>
        <w:t xml:space="preserve">lie detection </w:t>
      </w:r>
      <w:r w:rsidRPr="009F4FD3">
        <w:rPr>
          <w:color w:val="auto"/>
        </w:rPr>
        <w:t>technology may breach the Article 6 rights of a defendant. Further to this breach, there is an argument that the use of the technology may also breach the Article 8 rights. This would mean that England and Wales would require re-drafted legislation to deal with authorities using the technology. Article 8 states that everyone has the right to respect for his private and family life, his home and correspondence.</w:t>
      </w:r>
      <w:r w:rsidRPr="009F4FD3">
        <w:rPr>
          <w:rStyle w:val="EndnoteReference"/>
          <w:color w:val="auto"/>
        </w:rPr>
        <w:endnoteReference w:id="120"/>
      </w:r>
      <w:r w:rsidRPr="009F4FD3">
        <w:rPr>
          <w:color w:val="auto"/>
        </w:rPr>
        <w:t xml:space="preserve"> Furthermore, the Article allows that no interference by a public authority with the exercise of this right; except such as is in accordance with the law and is necessary in the interest of national security, public safety or the economic well-being of the country, for the prevention of disorder or crime.</w:t>
      </w:r>
      <w:r w:rsidRPr="009F4FD3">
        <w:rPr>
          <w:rStyle w:val="EndnoteReference"/>
          <w:color w:val="auto"/>
        </w:rPr>
        <w:endnoteReference w:id="121"/>
      </w:r>
      <w:r w:rsidRPr="009F4FD3">
        <w:rPr>
          <w:color w:val="auto"/>
        </w:rPr>
        <w:t xml:space="preserve"> In </w:t>
      </w:r>
      <w:r w:rsidRPr="009F4FD3">
        <w:rPr>
          <w:i/>
          <w:color w:val="auto"/>
        </w:rPr>
        <w:t>Gillan and Quinton v United Kingdom</w:t>
      </w:r>
      <w:r w:rsidRPr="009F4FD3">
        <w:rPr>
          <w:rStyle w:val="EndnoteReference"/>
          <w:color w:val="auto"/>
        </w:rPr>
        <w:endnoteReference w:id="122"/>
      </w:r>
      <w:r w:rsidRPr="009F4FD3">
        <w:rPr>
          <w:i/>
          <w:color w:val="auto"/>
        </w:rPr>
        <w:t xml:space="preserve"> </w:t>
      </w:r>
      <w:r w:rsidRPr="009F4FD3">
        <w:rPr>
          <w:color w:val="auto"/>
        </w:rPr>
        <w:t xml:space="preserve">it was held that the current Stop and Search provisions under the Terrorism Act 2000 were neither sufficiently circumscribed nor subject to adequate legal safeguards against abuse; therefore there were not in accordance with the law. It is important to note, that the European Court focused on the notion of proportionality; in the case, there was no assessment of whether the measure was proportionate. This provides an interesting theoretical dilemma. To what extent would it be proportionate to invade the private space of a person, a person’s brain, in order to elicit facts concerning possibly criminal activity? According to Article 8, any breach would have to ‘necessary’ and a threat to National Security. However, is the encourchment into Article 8, justified? Perhaps an encourgament could be permitted in “serious” or “grave” offences. This effectively renders the use of the technique redundant in the vast majority of ordinary criminal offences. However, in the case of terrorist offences, the technique may prove to be a valuable weapon in the investigation of such offences. This would be especially true, if the technique provides valuable evidence that stops an anticipated terrorist threat. </w:t>
      </w:r>
    </w:p>
    <w:p w14:paraId="58F97998" w14:textId="77777777" w:rsidR="001E206E" w:rsidRPr="009F4FD3" w:rsidRDefault="001E206E" w:rsidP="00043696">
      <w:pPr>
        <w:pStyle w:val="Default"/>
        <w:tabs>
          <w:tab w:val="left" w:pos="3155"/>
          <w:tab w:val="left" w:pos="7785"/>
        </w:tabs>
        <w:spacing w:line="360" w:lineRule="auto"/>
        <w:jc w:val="both"/>
        <w:rPr>
          <w:color w:val="auto"/>
        </w:rPr>
      </w:pPr>
    </w:p>
    <w:p w14:paraId="75BA9C80" w14:textId="72876EC4" w:rsidR="001E206E" w:rsidRPr="009F4FD3" w:rsidRDefault="00B22485" w:rsidP="00043696">
      <w:pPr>
        <w:pStyle w:val="Default"/>
        <w:tabs>
          <w:tab w:val="left" w:pos="3155"/>
          <w:tab w:val="left" w:pos="7785"/>
        </w:tabs>
        <w:spacing w:line="360" w:lineRule="auto"/>
        <w:jc w:val="both"/>
        <w:rPr>
          <w:color w:val="auto"/>
        </w:rPr>
      </w:pPr>
      <w:r>
        <w:rPr>
          <w:color w:val="auto"/>
        </w:rPr>
        <w:lastRenderedPageBreak/>
        <w:t>I</w:t>
      </w:r>
      <w:r w:rsidR="001E206E" w:rsidRPr="009F4FD3">
        <w:rPr>
          <w:color w:val="auto"/>
        </w:rPr>
        <w:t xml:space="preserve">f the purpose of the criminal trial is a search for the truth, in the most efficient manner possible, then employing neuroscientific evidence may prove very attractive to our domestic criminal justice process. </w:t>
      </w:r>
      <w:r w:rsidR="00B47BC9" w:rsidRPr="009F4FD3">
        <w:rPr>
          <w:color w:val="auto"/>
          <w:lang w:val="en"/>
        </w:rPr>
        <w:t xml:space="preserve">However, </w:t>
      </w:r>
      <w:r>
        <w:rPr>
          <w:color w:val="auto"/>
        </w:rPr>
        <w:t>the</w:t>
      </w:r>
      <w:r w:rsidR="00B47BC9" w:rsidRPr="009F4FD3">
        <w:rPr>
          <w:color w:val="auto"/>
        </w:rPr>
        <w:t xml:space="preserve"> lie detection technology </w:t>
      </w:r>
      <w:r>
        <w:rPr>
          <w:color w:val="auto"/>
        </w:rPr>
        <w:t>would need to</w:t>
      </w:r>
      <w:r w:rsidR="00B47BC9" w:rsidRPr="009F4FD3">
        <w:rPr>
          <w:color w:val="auto"/>
        </w:rPr>
        <w:t xml:space="preserve"> gain the acceptance of</w:t>
      </w:r>
      <w:r>
        <w:rPr>
          <w:color w:val="auto"/>
        </w:rPr>
        <w:t xml:space="preserve"> the relevant scientific fields but </w:t>
      </w:r>
      <w:r w:rsidR="00B47BC9" w:rsidRPr="009F4FD3">
        <w:rPr>
          <w:color w:val="auto"/>
        </w:rPr>
        <w:t xml:space="preserve">the </w:t>
      </w:r>
      <w:r>
        <w:rPr>
          <w:color w:val="auto"/>
        </w:rPr>
        <w:t xml:space="preserve">ultimate </w:t>
      </w:r>
      <w:r w:rsidR="00B47BC9" w:rsidRPr="009F4FD3">
        <w:rPr>
          <w:color w:val="auto"/>
        </w:rPr>
        <w:t xml:space="preserve">quest for efficiency may mean the allure of neuroscience is too great to ignore. </w:t>
      </w:r>
      <w:r>
        <w:rPr>
          <w:color w:val="auto"/>
        </w:rPr>
        <w:t xml:space="preserve">In the end, </w:t>
      </w:r>
      <w:r w:rsidR="001E206E" w:rsidRPr="009F4FD3">
        <w:rPr>
          <w:color w:val="auto"/>
        </w:rPr>
        <w:t xml:space="preserve"> despite how desirable the use of evidence maybe, Article 8 effectively makes this use redundant, unless of the offence is one that affects national security. However, there may still be other uses for neuroscientific evidence in the criminal justice process. </w:t>
      </w:r>
    </w:p>
    <w:p w14:paraId="7E290C91" w14:textId="77777777" w:rsidR="001E206E" w:rsidRPr="009F4FD3" w:rsidRDefault="001E206E" w:rsidP="00043696">
      <w:pPr>
        <w:pStyle w:val="Default"/>
        <w:tabs>
          <w:tab w:val="left" w:pos="3155"/>
          <w:tab w:val="left" w:pos="7785"/>
        </w:tabs>
        <w:spacing w:line="360" w:lineRule="auto"/>
        <w:jc w:val="both"/>
        <w:rPr>
          <w:color w:val="auto"/>
        </w:rPr>
      </w:pPr>
    </w:p>
    <w:p w14:paraId="7187F5CE" w14:textId="77EDD25D" w:rsidR="009F4FD3" w:rsidRPr="004B636F" w:rsidRDefault="001E206E" w:rsidP="004B636F">
      <w:pPr>
        <w:pStyle w:val="Heading3"/>
        <w:numPr>
          <w:ilvl w:val="0"/>
          <w:numId w:val="11"/>
        </w:numPr>
        <w:rPr>
          <w:color w:val="auto"/>
        </w:rPr>
      </w:pPr>
      <w:r w:rsidRPr="009F4FD3">
        <w:rPr>
          <w:color w:val="auto"/>
        </w:rPr>
        <w:t xml:space="preserve">The Implications of the use: The Jury </w:t>
      </w:r>
    </w:p>
    <w:p w14:paraId="69086AD2" w14:textId="36E64FBF" w:rsidR="001A4243" w:rsidRDefault="00793173" w:rsidP="004C224A">
      <w:pPr>
        <w:widowControl w:val="0"/>
        <w:tabs>
          <w:tab w:val="left" w:pos="1440"/>
        </w:tabs>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E206E" w:rsidRPr="009F4FD3">
        <w:rPr>
          <w:rFonts w:ascii="Times New Roman" w:hAnsi="Times New Roman" w:cs="Times New Roman"/>
          <w:sz w:val="24"/>
          <w:szCs w:val="24"/>
        </w:rPr>
        <w:t xml:space="preserve">function of </w:t>
      </w:r>
      <w:r>
        <w:rPr>
          <w:rFonts w:ascii="Times New Roman" w:hAnsi="Times New Roman" w:cs="Times New Roman"/>
          <w:sz w:val="24"/>
          <w:szCs w:val="24"/>
        </w:rPr>
        <w:t xml:space="preserve">a </w:t>
      </w:r>
      <w:r w:rsidR="001E206E" w:rsidRPr="009F4FD3">
        <w:rPr>
          <w:rFonts w:ascii="Times New Roman" w:hAnsi="Times New Roman" w:cs="Times New Roman"/>
          <w:sz w:val="24"/>
          <w:szCs w:val="24"/>
        </w:rPr>
        <w:t xml:space="preserve">jury is to </w:t>
      </w:r>
      <w:r w:rsidR="004B636F">
        <w:rPr>
          <w:rFonts w:ascii="Times New Roman" w:hAnsi="Times New Roman" w:cs="Times New Roman"/>
          <w:sz w:val="24"/>
          <w:szCs w:val="24"/>
        </w:rPr>
        <w:t>decide on the</w:t>
      </w:r>
      <w:r w:rsidR="001E206E" w:rsidRPr="009F4FD3">
        <w:rPr>
          <w:rFonts w:ascii="Times New Roman" w:hAnsi="Times New Roman" w:cs="Times New Roman"/>
          <w:sz w:val="24"/>
          <w:szCs w:val="24"/>
        </w:rPr>
        <w:t xml:space="preserve"> facts</w:t>
      </w:r>
      <w:r w:rsidR="004B636F">
        <w:rPr>
          <w:rFonts w:ascii="Times New Roman" w:hAnsi="Times New Roman" w:cs="Times New Roman"/>
          <w:sz w:val="24"/>
          <w:szCs w:val="24"/>
        </w:rPr>
        <w:t xml:space="preserve"> </w:t>
      </w:r>
      <w:r w:rsidR="001E206E" w:rsidRPr="009F4FD3">
        <w:rPr>
          <w:rFonts w:ascii="Times New Roman" w:hAnsi="Times New Roman" w:cs="Times New Roman"/>
          <w:sz w:val="24"/>
          <w:szCs w:val="24"/>
        </w:rPr>
        <w:t xml:space="preserve">of what happened in a particular event. </w:t>
      </w:r>
      <w:r>
        <w:rPr>
          <w:rFonts w:ascii="Times New Roman" w:hAnsi="Times New Roman" w:cs="Times New Roman"/>
          <w:sz w:val="24"/>
          <w:szCs w:val="24"/>
        </w:rPr>
        <w:t>The c</w:t>
      </w:r>
      <w:r w:rsidR="001E206E" w:rsidRPr="009F4FD3">
        <w:rPr>
          <w:rFonts w:ascii="Times New Roman" w:hAnsi="Times New Roman" w:cs="Times New Roman"/>
          <w:sz w:val="24"/>
          <w:szCs w:val="24"/>
        </w:rPr>
        <w:t xml:space="preserve">onventional wisdom holds that </w:t>
      </w:r>
      <w:r>
        <w:rPr>
          <w:rFonts w:ascii="Times New Roman" w:hAnsi="Times New Roman" w:cs="Times New Roman"/>
          <w:sz w:val="24"/>
          <w:szCs w:val="24"/>
        </w:rPr>
        <w:t>a</w:t>
      </w:r>
      <w:r w:rsidR="001E206E" w:rsidRPr="009F4FD3">
        <w:rPr>
          <w:rFonts w:ascii="Times New Roman" w:hAnsi="Times New Roman" w:cs="Times New Roman"/>
          <w:sz w:val="24"/>
          <w:szCs w:val="24"/>
        </w:rPr>
        <w:t xml:space="preserve"> jury </w:t>
      </w:r>
      <w:r>
        <w:rPr>
          <w:rFonts w:ascii="Times New Roman" w:hAnsi="Times New Roman" w:cs="Times New Roman"/>
          <w:sz w:val="24"/>
          <w:szCs w:val="24"/>
        </w:rPr>
        <w:t xml:space="preserve">in </w:t>
      </w:r>
      <w:r w:rsidR="001E206E" w:rsidRPr="009F4FD3">
        <w:rPr>
          <w:rFonts w:ascii="Times New Roman" w:hAnsi="Times New Roman" w:cs="Times New Roman"/>
          <w:sz w:val="24"/>
          <w:szCs w:val="24"/>
        </w:rPr>
        <w:t>appl</w:t>
      </w:r>
      <w:r>
        <w:rPr>
          <w:rFonts w:ascii="Times New Roman" w:hAnsi="Times New Roman" w:cs="Times New Roman"/>
          <w:sz w:val="24"/>
          <w:szCs w:val="24"/>
        </w:rPr>
        <w:t>ying</w:t>
      </w:r>
      <w:r w:rsidR="001E206E" w:rsidRPr="009F4FD3">
        <w:rPr>
          <w:rFonts w:ascii="Times New Roman" w:hAnsi="Times New Roman" w:cs="Times New Roman"/>
          <w:sz w:val="24"/>
          <w:szCs w:val="24"/>
        </w:rPr>
        <w:t xml:space="preserve"> the law, </w:t>
      </w:r>
      <w:r>
        <w:rPr>
          <w:rFonts w:ascii="Times New Roman" w:hAnsi="Times New Roman" w:cs="Times New Roman"/>
          <w:sz w:val="24"/>
          <w:szCs w:val="24"/>
        </w:rPr>
        <w:t xml:space="preserve">upon </w:t>
      </w:r>
      <w:r w:rsidR="001E206E" w:rsidRPr="009F4FD3">
        <w:rPr>
          <w:rFonts w:ascii="Times New Roman" w:hAnsi="Times New Roman" w:cs="Times New Roman"/>
          <w:sz w:val="24"/>
          <w:szCs w:val="24"/>
        </w:rPr>
        <w:t>instruct</w:t>
      </w:r>
      <w:r>
        <w:rPr>
          <w:rFonts w:ascii="Times New Roman" w:hAnsi="Times New Roman" w:cs="Times New Roman"/>
          <w:sz w:val="24"/>
          <w:szCs w:val="24"/>
        </w:rPr>
        <w:t>ion</w:t>
      </w:r>
      <w:r w:rsidR="001E206E" w:rsidRPr="009F4FD3">
        <w:rPr>
          <w:rFonts w:ascii="Times New Roman" w:hAnsi="Times New Roman" w:cs="Times New Roman"/>
          <w:sz w:val="24"/>
          <w:szCs w:val="24"/>
        </w:rPr>
        <w:t xml:space="preserve"> by the court, </w:t>
      </w:r>
      <w:r>
        <w:rPr>
          <w:rFonts w:ascii="Times New Roman" w:hAnsi="Times New Roman" w:cs="Times New Roman"/>
          <w:sz w:val="24"/>
          <w:szCs w:val="24"/>
        </w:rPr>
        <w:t xml:space="preserve">can render </w:t>
      </w:r>
      <w:r w:rsidR="001E206E" w:rsidRPr="009F4FD3">
        <w:rPr>
          <w:rFonts w:ascii="Times New Roman" w:hAnsi="Times New Roman" w:cs="Times New Roman"/>
          <w:sz w:val="24"/>
          <w:szCs w:val="24"/>
        </w:rPr>
        <w:t>their verdict accordingly.</w:t>
      </w:r>
      <w:r w:rsidR="001E206E" w:rsidRPr="009F4FD3">
        <w:rPr>
          <w:rStyle w:val="EndnoteReference"/>
          <w:rFonts w:ascii="Times New Roman" w:hAnsi="Times New Roman" w:cs="Times New Roman"/>
          <w:sz w:val="24"/>
          <w:szCs w:val="24"/>
        </w:rPr>
        <w:endnoteReference w:id="123"/>
      </w:r>
      <w:r w:rsidR="001E206E" w:rsidRPr="009F4FD3">
        <w:rPr>
          <w:rFonts w:ascii="Times New Roman" w:hAnsi="Times New Roman" w:cs="Times New Roman"/>
          <w:sz w:val="24"/>
          <w:szCs w:val="24"/>
        </w:rPr>
        <w:t xml:space="preserve"> If the role of jury is carefully considered, they are in fact human lie detectors; they attempt to detect lies and deception that may challenge the credibility of any given witness. These challenges will allow them to provide the court with a carefully considered verdict. If the role of the jury as a lie </w:t>
      </w:r>
      <w:r w:rsidR="004B636F">
        <w:rPr>
          <w:rFonts w:ascii="Times New Roman" w:hAnsi="Times New Roman" w:cs="Times New Roman"/>
          <w:sz w:val="24"/>
          <w:szCs w:val="24"/>
        </w:rPr>
        <w:t xml:space="preserve">or deception </w:t>
      </w:r>
      <w:r w:rsidR="001E206E" w:rsidRPr="009F4FD3">
        <w:rPr>
          <w:rFonts w:ascii="Times New Roman" w:hAnsi="Times New Roman" w:cs="Times New Roman"/>
          <w:sz w:val="24"/>
          <w:szCs w:val="24"/>
        </w:rPr>
        <w:t>detector is of paramount importance, could they, or should they, be replaced by a superior lie detector. Humans are fallible and make mistakes when trying to detect when another person is lying. A 2006 study examined the ability of more than two hundred people to detect deception. The study found that the average detection rate was around 54%.</w:t>
      </w:r>
      <w:r w:rsidR="001E206E" w:rsidRPr="009F4FD3">
        <w:rPr>
          <w:rStyle w:val="EndnoteReference"/>
          <w:rFonts w:ascii="Times New Roman" w:hAnsi="Times New Roman" w:cs="Times New Roman"/>
          <w:sz w:val="24"/>
          <w:szCs w:val="24"/>
        </w:rPr>
        <w:endnoteReference w:id="124"/>
      </w:r>
      <w:r w:rsidR="001E206E" w:rsidRPr="009F4FD3">
        <w:rPr>
          <w:rFonts w:ascii="Times New Roman" w:hAnsi="Times New Roman" w:cs="Times New Roman"/>
          <w:sz w:val="24"/>
          <w:szCs w:val="24"/>
        </w:rPr>
        <w:t xml:space="preserve"> </w:t>
      </w:r>
    </w:p>
    <w:p w14:paraId="1687C84E" w14:textId="1E452D31" w:rsidR="001E206E" w:rsidRPr="009F4FD3" w:rsidRDefault="001A4243" w:rsidP="004C224A">
      <w:pPr>
        <w:widowControl w:val="0"/>
        <w:tabs>
          <w:tab w:val="left" w:pos="1440"/>
        </w:tabs>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C</w:t>
      </w:r>
      <w:r w:rsidRPr="009F4FD3">
        <w:rPr>
          <w:rFonts w:ascii="Times New Roman" w:hAnsi="Times New Roman" w:cs="Times New Roman"/>
          <w:sz w:val="24"/>
          <w:szCs w:val="24"/>
        </w:rPr>
        <w:t xml:space="preserve">urrently </w:t>
      </w:r>
      <w:r w:rsidR="001E206E" w:rsidRPr="009F4FD3">
        <w:rPr>
          <w:rFonts w:ascii="Times New Roman" w:hAnsi="Times New Roman" w:cs="Times New Roman"/>
          <w:sz w:val="24"/>
          <w:szCs w:val="24"/>
        </w:rPr>
        <w:t>fMRI technology is in its infancy in regards to entering the criminal court. Furthermore, the technique does not command the respect of the relevant scientific community. However, the success rates do look attractive; 90% success in detecting deception or 77% success when a counter-measure is employed.</w:t>
      </w:r>
      <w:r w:rsidR="001E206E" w:rsidRPr="009F4FD3">
        <w:rPr>
          <w:rStyle w:val="EndnoteReference"/>
          <w:rFonts w:ascii="Times New Roman" w:hAnsi="Times New Roman" w:cs="Times New Roman"/>
          <w:sz w:val="24"/>
          <w:szCs w:val="24"/>
        </w:rPr>
        <w:endnoteReference w:id="125"/>
      </w:r>
      <w:r w:rsidR="001E206E" w:rsidRPr="009F4FD3">
        <w:rPr>
          <w:rFonts w:ascii="Times New Roman" w:hAnsi="Times New Roman" w:cs="Times New Roman"/>
          <w:sz w:val="24"/>
          <w:szCs w:val="24"/>
        </w:rPr>
        <w:t xml:space="preserve"> If the technique did command the respect of the relevant scientific community, Rosen believes the admission into the arena of the criminal trial is inevitable.</w:t>
      </w:r>
      <w:r w:rsidR="001E206E" w:rsidRPr="009F4FD3">
        <w:rPr>
          <w:rStyle w:val="EndnoteReference"/>
          <w:rFonts w:ascii="Times New Roman" w:hAnsi="Times New Roman" w:cs="Times New Roman"/>
          <w:sz w:val="24"/>
          <w:szCs w:val="24"/>
        </w:rPr>
        <w:endnoteReference w:id="126"/>
      </w:r>
      <w:r w:rsidR="001E206E" w:rsidRPr="009F4FD3">
        <w:rPr>
          <w:rFonts w:ascii="Times New Roman" w:hAnsi="Times New Roman" w:cs="Times New Roman"/>
          <w:sz w:val="24"/>
          <w:szCs w:val="24"/>
        </w:rPr>
        <w:t xml:space="preserve"> However, if humans offer odds of success that are little better than one-in-two at identifying deception an argument emerges that it may be better to leave the deception detection to the technology. But this approach </w:t>
      </w:r>
      <w:r>
        <w:rPr>
          <w:rFonts w:ascii="Times New Roman" w:hAnsi="Times New Roman" w:cs="Times New Roman"/>
          <w:sz w:val="24"/>
          <w:szCs w:val="24"/>
        </w:rPr>
        <w:t xml:space="preserve">seems to </w:t>
      </w:r>
      <w:r w:rsidR="001E206E" w:rsidRPr="009F4FD3">
        <w:rPr>
          <w:rFonts w:ascii="Times New Roman" w:hAnsi="Times New Roman" w:cs="Times New Roman"/>
          <w:sz w:val="24"/>
          <w:szCs w:val="24"/>
        </w:rPr>
        <w:t>present</w:t>
      </w:r>
      <w:r>
        <w:rPr>
          <w:rFonts w:ascii="Times New Roman" w:hAnsi="Times New Roman" w:cs="Times New Roman"/>
          <w:sz w:val="24"/>
          <w:szCs w:val="24"/>
        </w:rPr>
        <w:t xml:space="preserve"> some</w:t>
      </w:r>
      <w:r w:rsidR="001E206E" w:rsidRPr="009F4FD3">
        <w:rPr>
          <w:rFonts w:ascii="Times New Roman" w:hAnsi="Times New Roman" w:cs="Times New Roman"/>
          <w:sz w:val="24"/>
          <w:szCs w:val="24"/>
        </w:rPr>
        <w:t xml:space="preserve"> danger </w:t>
      </w:r>
      <w:r>
        <w:rPr>
          <w:rFonts w:ascii="Times New Roman" w:hAnsi="Times New Roman" w:cs="Times New Roman"/>
          <w:sz w:val="24"/>
          <w:szCs w:val="24"/>
        </w:rPr>
        <w:t xml:space="preserve">to a jury </w:t>
      </w:r>
      <w:r w:rsidR="009C48ED">
        <w:rPr>
          <w:rFonts w:ascii="Times New Roman" w:hAnsi="Times New Roman" w:cs="Times New Roman"/>
          <w:sz w:val="24"/>
          <w:szCs w:val="24"/>
        </w:rPr>
        <w:t>since</w:t>
      </w:r>
      <w:r>
        <w:rPr>
          <w:rFonts w:ascii="Times New Roman" w:hAnsi="Times New Roman" w:cs="Times New Roman"/>
          <w:sz w:val="24"/>
          <w:szCs w:val="24"/>
        </w:rPr>
        <w:t xml:space="preserve"> it is unclear how it</w:t>
      </w:r>
      <w:r w:rsidR="009C48ED">
        <w:rPr>
          <w:rFonts w:ascii="Times New Roman" w:hAnsi="Times New Roman" w:cs="Times New Roman"/>
          <w:sz w:val="24"/>
          <w:szCs w:val="24"/>
        </w:rPr>
        <w:t xml:space="preserve"> will </w:t>
      </w:r>
      <w:r>
        <w:rPr>
          <w:rFonts w:ascii="Times New Roman" w:hAnsi="Times New Roman" w:cs="Times New Roman"/>
          <w:sz w:val="24"/>
          <w:szCs w:val="24"/>
        </w:rPr>
        <w:t>impact their decision</w:t>
      </w:r>
      <w:r w:rsidR="001E206E" w:rsidRPr="009F4FD3">
        <w:rPr>
          <w:rFonts w:ascii="Times New Roman" w:hAnsi="Times New Roman" w:cs="Times New Roman"/>
          <w:sz w:val="24"/>
          <w:szCs w:val="24"/>
        </w:rPr>
        <w:t xml:space="preserve">. </w:t>
      </w:r>
      <w:r w:rsidR="009C48ED">
        <w:rPr>
          <w:rFonts w:ascii="Times New Roman" w:hAnsi="Times New Roman" w:cs="Times New Roman"/>
          <w:sz w:val="24"/>
          <w:szCs w:val="24"/>
        </w:rPr>
        <w:t xml:space="preserve">In particular, </w:t>
      </w:r>
      <w:r w:rsidR="001E206E" w:rsidRPr="009F4FD3">
        <w:rPr>
          <w:rFonts w:ascii="Times New Roman" w:hAnsi="Times New Roman" w:cs="Times New Roman"/>
          <w:sz w:val="24"/>
          <w:szCs w:val="24"/>
        </w:rPr>
        <w:t xml:space="preserve">Pardo and Patterson believe there </w:t>
      </w:r>
      <w:r w:rsidR="009C48ED">
        <w:rPr>
          <w:rFonts w:ascii="Times New Roman" w:hAnsi="Times New Roman" w:cs="Times New Roman"/>
          <w:sz w:val="24"/>
          <w:szCs w:val="24"/>
        </w:rPr>
        <w:t>could be</w:t>
      </w:r>
      <w:r w:rsidR="001E206E" w:rsidRPr="009F4FD3">
        <w:rPr>
          <w:rFonts w:ascii="Times New Roman" w:hAnsi="Times New Roman" w:cs="Times New Roman"/>
          <w:sz w:val="24"/>
          <w:szCs w:val="24"/>
        </w:rPr>
        <w:t xml:space="preserve"> two</w:t>
      </w:r>
      <w:r w:rsidR="009C48ED">
        <w:rPr>
          <w:rFonts w:ascii="Times New Roman" w:hAnsi="Times New Roman" w:cs="Times New Roman"/>
          <w:sz w:val="24"/>
          <w:szCs w:val="24"/>
        </w:rPr>
        <w:t xml:space="preserve"> potential</w:t>
      </w:r>
      <w:r w:rsidR="001E206E" w:rsidRPr="009F4FD3">
        <w:rPr>
          <w:rFonts w:ascii="Times New Roman" w:hAnsi="Times New Roman" w:cs="Times New Roman"/>
          <w:sz w:val="24"/>
          <w:szCs w:val="24"/>
        </w:rPr>
        <w:t xml:space="preserve"> ramifications</w:t>
      </w:r>
      <w:r w:rsidR="009C48ED">
        <w:rPr>
          <w:rFonts w:ascii="Times New Roman" w:hAnsi="Times New Roman" w:cs="Times New Roman"/>
          <w:sz w:val="24"/>
          <w:szCs w:val="24"/>
        </w:rPr>
        <w:t>.</w:t>
      </w:r>
      <w:r w:rsidR="001E206E" w:rsidRPr="009F4FD3">
        <w:rPr>
          <w:rFonts w:ascii="Times New Roman" w:hAnsi="Times New Roman" w:cs="Times New Roman"/>
          <w:sz w:val="24"/>
          <w:szCs w:val="24"/>
        </w:rPr>
        <w:t xml:space="preserve"> </w:t>
      </w:r>
      <w:r w:rsidR="009C48ED">
        <w:rPr>
          <w:rFonts w:ascii="Times New Roman" w:hAnsi="Times New Roman" w:cs="Times New Roman"/>
          <w:sz w:val="24"/>
          <w:szCs w:val="24"/>
        </w:rPr>
        <w:t>The f</w:t>
      </w:r>
      <w:r w:rsidR="001E206E" w:rsidRPr="009F4FD3">
        <w:rPr>
          <w:rFonts w:ascii="Times New Roman" w:hAnsi="Times New Roman" w:cs="Times New Roman"/>
          <w:sz w:val="24"/>
          <w:szCs w:val="24"/>
        </w:rPr>
        <w:t xml:space="preserve">irst, they might misunderstand what they are seeing and </w:t>
      </w:r>
      <w:r w:rsidR="009C48ED">
        <w:rPr>
          <w:rFonts w:ascii="Times New Roman" w:hAnsi="Times New Roman" w:cs="Times New Roman"/>
          <w:sz w:val="24"/>
          <w:szCs w:val="24"/>
        </w:rPr>
        <w:t xml:space="preserve">the </w:t>
      </w:r>
      <w:r w:rsidR="001E206E" w:rsidRPr="009F4FD3">
        <w:rPr>
          <w:rFonts w:ascii="Times New Roman" w:hAnsi="Times New Roman" w:cs="Times New Roman"/>
          <w:sz w:val="24"/>
          <w:szCs w:val="24"/>
        </w:rPr>
        <w:t>second, the evidence may “usurp the jury’s function of determining witness credibility.”</w:t>
      </w:r>
      <w:r w:rsidR="001E206E" w:rsidRPr="009F4FD3">
        <w:rPr>
          <w:rStyle w:val="EndnoteReference"/>
          <w:rFonts w:ascii="Times New Roman" w:hAnsi="Times New Roman" w:cs="Times New Roman"/>
          <w:sz w:val="24"/>
          <w:szCs w:val="24"/>
        </w:rPr>
        <w:endnoteReference w:id="127"/>
      </w:r>
      <w:r w:rsidR="001E206E" w:rsidRPr="009F4FD3">
        <w:rPr>
          <w:rFonts w:ascii="Times New Roman" w:hAnsi="Times New Roman" w:cs="Times New Roman"/>
          <w:sz w:val="24"/>
          <w:szCs w:val="24"/>
        </w:rPr>
        <w:t xml:space="preserve"> A result of this usurping</w:t>
      </w:r>
      <w:r w:rsidR="009C48ED">
        <w:rPr>
          <w:rFonts w:ascii="Times New Roman" w:hAnsi="Times New Roman" w:cs="Times New Roman"/>
          <w:sz w:val="24"/>
          <w:szCs w:val="24"/>
        </w:rPr>
        <w:t xml:space="preserve"> it</w:t>
      </w:r>
      <w:r w:rsidR="001E206E" w:rsidRPr="009F4FD3">
        <w:rPr>
          <w:rFonts w:ascii="Times New Roman" w:hAnsi="Times New Roman" w:cs="Times New Roman"/>
          <w:sz w:val="24"/>
          <w:szCs w:val="24"/>
        </w:rPr>
        <w:t xml:space="preserve"> means that jurors may blindly defer to </w:t>
      </w:r>
      <w:r w:rsidR="009C48ED">
        <w:rPr>
          <w:rFonts w:ascii="Times New Roman" w:hAnsi="Times New Roman" w:cs="Times New Roman"/>
          <w:sz w:val="24"/>
          <w:szCs w:val="24"/>
        </w:rPr>
        <w:t>an</w:t>
      </w:r>
      <w:r w:rsidR="009C48ED" w:rsidRPr="009F4FD3">
        <w:rPr>
          <w:rFonts w:ascii="Times New Roman" w:hAnsi="Times New Roman" w:cs="Times New Roman"/>
          <w:sz w:val="24"/>
          <w:szCs w:val="24"/>
        </w:rPr>
        <w:t xml:space="preserve"> </w:t>
      </w:r>
      <w:r w:rsidR="001E206E" w:rsidRPr="009F4FD3">
        <w:rPr>
          <w:rFonts w:ascii="Times New Roman" w:hAnsi="Times New Roman" w:cs="Times New Roman"/>
          <w:sz w:val="24"/>
          <w:szCs w:val="24"/>
        </w:rPr>
        <w:t>expert witness forgo</w:t>
      </w:r>
      <w:r w:rsidR="009C48ED">
        <w:rPr>
          <w:rFonts w:ascii="Times New Roman" w:hAnsi="Times New Roman" w:cs="Times New Roman"/>
          <w:sz w:val="24"/>
          <w:szCs w:val="24"/>
        </w:rPr>
        <w:t>ing</w:t>
      </w:r>
      <w:r w:rsidR="001E206E" w:rsidRPr="009F4FD3">
        <w:rPr>
          <w:rFonts w:ascii="Times New Roman" w:hAnsi="Times New Roman" w:cs="Times New Roman"/>
          <w:sz w:val="24"/>
          <w:szCs w:val="24"/>
        </w:rPr>
        <w:t xml:space="preserve"> their obligation</w:t>
      </w:r>
      <w:r w:rsidR="009C48ED">
        <w:rPr>
          <w:rFonts w:ascii="Times New Roman" w:hAnsi="Times New Roman" w:cs="Times New Roman"/>
          <w:sz w:val="24"/>
          <w:szCs w:val="24"/>
        </w:rPr>
        <w:t xml:space="preserve"> to the court</w:t>
      </w:r>
      <w:r w:rsidR="001E206E" w:rsidRPr="009F4FD3">
        <w:rPr>
          <w:rFonts w:ascii="Times New Roman" w:hAnsi="Times New Roman" w:cs="Times New Roman"/>
          <w:sz w:val="24"/>
          <w:szCs w:val="24"/>
        </w:rPr>
        <w:t xml:space="preserve"> </w:t>
      </w:r>
      <w:r w:rsidR="009C48ED">
        <w:rPr>
          <w:rFonts w:ascii="Times New Roman" w:hAnsi="Times New Roman" w:cs="Times New Roman"/>
          <w:sz w:val="24"/>
          <w:szCs w:val="24"/>
        </w:rPr>
        <w:t xml:space="preserve">in </w:t>
      </w:r>
      <w:r w:rsidR="00CD778F" w:rsidRPr="009F4FD3">
        <w:rPr>
          <w:rFonts w:ascii="Times New Roman" w:hAnsi="Times New Roman" w:cs="Times New Roman"/>
          <w:sz w:val="24"/>
          <w:szCs w:val="24"/>
        </w:rPr>
        <w:t>assess</w:t>
      </w:r>
      <w:r w:rsidR="00CD778F">
        <w:rPr>
          <w:rFonts w:ascii="Times New Roman" w:hAnsi="Times New Roman" w:cs="Times New Roman"/>
          <w:sz w:val="24"/>
          <w:szCs w:val="24"/>
        </w:rPr>
        <w:t>ing</w:t>
      </w:r>
      <w:r w:rsidR="001E206E" w:rsidRPr="009F4FD3">
        <w:rPr>
          <w:rFonts w:ascii="Times New Roman" w:hAnsi="Times New Roman" w:cs="Times New Roman"/>
          <w:sz w:val="24"/>
          <w:szCs w:val="24"/>
        </w:rPr>
        <w:t xml:space="preserve"> the </w:t>
      </w:r>
      <w:r w:rsidR="001E206E" w:rsidRPr="009F4FD3">
        <w:rPr>
          <w:rFonts w:ascii="Times New Roman" w:hAnsi="Times New Roman" w:cs="Times New Roman"/>
          <w:sz w:val="24"/>
          <w:szCs w:val="24"/>
        </w:rPr>
        <w:lastRenderedPageBreak/>
        <w:t xml:space="preserve">credibility of </w:t>
      </w:r>
      <w:r w:rsidR="009C48ED">
        <w:rPr>
          <w:rFonts w:ascii="Times New Roman" w:hAnsi="Times New Roman" w:cs="Times New Roman"/>
          <w:sz w:val="24"/>
          <w:szCs w:val="24"/>
        </w:rPr>
        <w:t>a</w:t>
      </w:r>
      <w:r w:rsidR="009C48ED" w:rsidRPr="009F4FD3">
        <w:rPr>
          <w:rFonts w:ascii="Times New Roman" w:hAnsi="Times New Roman" w:cs="Times New Roman"/>
          <w:sz w:val="24"/>
          <w:szCs w:val="24"/>
        </w:rPr>
        <w:t xml:space="preserve"> </w:t>
      </w:r>
      <w:r w:rsidR="001E206E" w:rsidRPr="009F4FD3">
        <w:rPr>
          <w:rFonts w:ascii="Times New Roman" w:hAnsi="Times New Roman" w:cs="Times New Roman"/>
          <w:sz w:val="24"/>
          <w:szCs w:val="24"/>
        </w:rPr>
        <w:t xml:space="preserve">witness. </w:t>
      </w:r>
      <w:r w:rsidR="00CD778F">
        <w:rPr>
          <w:rFonts w:ascii="Times New Roman" w:hAnsi="Times New Roman" w:cs="Times New Roman"/>
          <w:sz w:val="24"/>
          <w:szCs w:val="24"/>
        </w:rPr>
        <w:t>According to a</w:t>
      </w:r>
      <w:r w:rsidR="001E206E" w:rsidRPr="009F4FD3">
        <w:rPr>
          <w:rFonts w:ascii="Times New Roman" w:hAnsi="Times New Roman" w:cs="Times New Roman"/>
          <w:sz w:val="24"/>
          <w:szCs w:val="24"/>
        </w:rPr>
        <w:t xml:space="preserve"> 2011 study</w:t>
      </w:r>
      <w:r w:rsidR="00CD778F">
        <w:rPr>
          <w:rFonts w:ascii="Times New Roman" w:hAnsi="Times New Roman" w:cs="Times New Roman"/>
          <w:sz w:val="24"/>
          <w:szCs w:val="24"/>
        </w:rPr>
        <w:t>, it has been established that this may</w:t>
      </w:r>
      <w:r w:rsidR="00922FBC">
        <w:rPr>
          <w:rFonts w:ascii="Times New Roman" w:hAnsi="Times New Roman" w:cs="Times New Roman"/>
          <w:sz w:val="24"/>
          <w:szCs w:val="24"/>
        </w:rPr>
        <w:t xml:space="preserve"> </w:t>
      </w:r>
      <w:r w:rsidR="00CD778F">
        <w:rPr>
          <w:rFonts w:ascii="Times New Roman" w:hAnsi="Times New Roman" w:cs="Times New Roman"/>
          <w:sz w:val="24"/>
          <w:szCs w:val="24"/>
        </w:rPr>
        <w:t>not be the case</w:t>
      </w:r>
      <w:r w:rsidR="00922FBC">
        <w:rPr>
          <w:rFonts w:ascii="Times New Roman" w:hAnsi="Times New Roman" w:cs="Times New Roman"/>
          <w:sz w:val="24"/>
          <w:szCs w:val="24"/>
        </w:rPr>
        <w:t>,</w:t>
      </w:r>
      <w:r w:rsidR="00CD778F">
        <w:rPr>
          <w:rFonts w:ascii="Times New Roman" w:hAnsi="Times New Roman" w:cs="Times New Roman"/>
          <w:sz w:val="24"/>
          <w:szCs w:val="24"/>
        </w:rPr>
        <w:t xml:space="preserve"> because</w:t>
      </w:r>
      <w:r w:rsidR="001E206E" w:rsidRPr="009F4FD3">
        <w:rPr>
          <w:rFonts w:ascii="Times New Roman" w:hAnsi="Times New Roman" w:cs="Times New Roman"/>
          <w:sz w:val="24"/>
          <w:szCs w:val="24"/>
        </w:rPr>
        <w:t xml:space="preserve"> </w:t>
      </w:r>
      <w:r w:rsidR="00922FBC">
        <w:rPr>
          <w:rFonts w:ascii="Times New Roman" w:hAnsi="Times New Roman" w:cs="Times New Roman"/>
          <w:sz w:val="24"/>
          <w:szCs w:val="24"/>
        </w:rPr>
        <w:t xml:space="preserve">the </w:t>
      </w:r>
      <w:r w:rsidR="001E206E" w:rsidRPr="009F4FD3">
        <w:rPr>
          <w:rFonts w:ascii="Times New Roman" w:hAnsi="Times New Roman" w:cs="Times New Roman"/>
          <w:sz w:val="24"/>
          <w:szCs w:val="24"/>
        </w:rPr>
        <w:t xml:space="preserve">role of jury </w:t>
      </w:r>
      <w:r w:rsidR="00CD778F">
        <w:rPr>
          <w:rFonts w:ascii="Times New Roman" w:hAnsi="Times New Roman" w:cs="Times New Roman"/>
          <w:sz w:val="24"/>
          <w:szCs w:val="24"/>
        </w:rPr>
        <w:t xml:space="preserve">can never </w:t>
      </w:r>
      <w:r w:rsidR="001E206E" w:rsidRPr="009F4FD3">
        <w:rPr>
          <w:rFonts w:ascii="Times New Roman" w:hAnsi="Times New Roman" w:cs="Times New Roman"/>
          <w:sz w:val="24"/>
          <w:szCs w:val="24"/>
        </w:rPr>
        <w:t>be shadowed by</w:t>
      </w:r>
      <w:r w:rsidR="00CD778F">
        <w:rPr>
          <w:rFonts w:ascii="Times New Roman" w:hAnsi="Times New Roman" w:cs="Times New Roman"/>
          <w:sz w:val="24"/>
          <w:szCs w:val="24"/>
        </w:rPr>
        <w:t xml:space="preserve"> </w:t>
      </w:r>
      <w:r w:rsidR="001E206E" w:rsidRPr="009F4FD3">
        <w:rPr>
          <w:rFonts w:ascii="Times New Roman" w:hAnsi="Times New Roman" w:cs="Times New Roman"/>
          <w:sz w:val="24"/>
          <w:szCs w:val="24"/>
        </w:rPr>
        <w:t>neuroscientific evidence. The study found that jurors place a great deal of weight on expert opinion</w:t>
      </w:r>
      <w:r w:rsidR="00922FBC">
        <w:rPr>
          <w:rFonts w:ascii="Times New Roman" w:hAnsi="Times New Roman" w:cs="Times New Roman"/>
          <w:sz w:val="24"/>
          <w:szCs w:val="24"/>
        </w:rPr>
        <w:t>, specifically for</w:t>
      </w:r>
      <w:r w:rsidR="001E206E" w:rsidRPr="009F4FD3">
        <w:rPr>
          <w:rFonts w:ascii="Times New Roman" w:hAnsi="Times New Roman" w:cs="Times New Roman"/>
          <w:sz w:val="24"/>
          <w:szCs w:val="24"/>
        </w:rPr>
        <w:t xml:space="preserve"> </w:t>
      </w:r>
      <w:r w:rsidR="00922FBC">
        <w:rPr>
          <w:rFonts w:ascii="Times New Roman" w:hAnsi="Times New Roman" w:cs="Times New Roman"/>
          <w:sz w:val="24"/>
          <w:szCs w:val="24"/>
        </w:rPr>
        <w:t xml:space="preserve">interpreting </w:t>
      </w:r>
      <w:r w:rsidR="001E206E" w:rsidRPr="009F4FD3">
        <w:rPr>
          <w:rFonts w:ascii="Times New Roman" w:hAnsi="Times New Roman" w:cs="Times New Roman"/>
          <w:sz w:val="24"/>
          <w:szCs w:val="24"/>
        </w:rPr>
        <w:t>fMRI evidence. The test results were presented to a mock jury</w:t>
      </w:r>
      <w:r w:rsidR="001E206E" w:rsidRPr="009F4FD3">
        <w:rPr>
          <w:rStyle w:val="EndnoteReference"/>
          <w:rFonts w:ascii="Times New Roman" w:hAnsi="Times New Roman" w:cs="Times New Roman"/>
          <w:sz w:val="24"/>
          <w:szCs w:val="24"/>
        </w:rPr>
        <w:endnoteReference w:id="128"/>
      </w:r>
      <w:r w:rsidR="001E206E" w:rsidRPr="009F4FD3">
        <w:rPr>
          <w:rFonts w:ascii="Times New Roman" w:hAnsi="Times New Roman" w:cs="Times New Roman"/>
          <w:sz w:val="24"/>
          <w:szCs w:val="24"/>
        </w:rPr>
        <w:t xml:space="preserve"> and the study found that potential jurors might consider evidence of a witness lying more compelling if it is accompanied by information ‘measured’ directly from the brain.</w:t>
      </w:r>
      <w:r w:rsidR="001E206E" w:rsidRPr="009F4FD3">
        <w:rPr>
          <w:rStyle w:val="EndnoteReference"/>
          <w:rFonts w:ascii="Times New Roman" w:hAnsi="Times New Roman" w:cs="Times New Roman"/>
          <w:sz w:val="24"/>
          <w:szCs w:val="24"/>
        </w:rPr>
        <w:endnoteReference w:id="129"/>
      </w:r>
      <w:r w:rsidR="001E206E" w:rsidRPr="009F4FD3">
        <w:rPr>
          <w:rFonts w:ascii="Times New Roman" w:hAnsi="Times New Roman" w:cs="Times New Roman"/>
          <w:sz w:val="24"/>
          <w:szCs w:val="24"/>
        </w:rPr>
        <w:t xml:space="preserve"> However, when the validity of fMRI testing was called into question under cross-examination, the results fell in line with the control condition that contained no detection. </w:t>
      </w:r>
    </w:p>
    <w:p w14:paraId="0676DE9E" w14:textId="5EB60D10" w:rsidR="009F4FD3" w:rsidRPr="009F4FD3" w:rsidRDefault="001E206E" w:rsidP="00FC36CB">
      <w:pPr>
        <w:widowControl w:val="0"/>
        <w:autoSpaceDE w:val="0"/>
        <w:autoSpaceDN w:val="0"/>
        <w:adjustRightInd w:val="0"/>
        <w:spacing w:after="240" w:line="360" w:lineRule="auto"/>
        <w:jc w:val="both"/>
        <w:rPr>
          <w:rFonts w:ascii="Times New Roman" w:hAnsi="Times New Roman" w:cs="Times New Roman"/>
          <w:sz w:val="24"/>
          <w:szCs w:val="24"/>
        </w:rPr>
      </w:pPr>
      <w:r w:rsidRPr="009F4FD3">
        <w:rPr>
          <w:rFonts w:ascii="Times New Roman" w:hAnsi="Times New Roman" w:cs="Times New Roman"/>
          <w:sz w:val="24"/>
          <w:szCs w:val="24"/>
        </w:rPr>
        <w:t>Neuroscience could provide a valuable asset for the criminal trial. Neuroscientific testing could inform us if a juror or a witness holds a particular prejudice against a suspect owing to his race, religion, sexuality or something as frivolous as occupation or hobbies. Professor Hank Greely suggests that one could test for bias as people hold a variety of prejudices.</w:t>
      </w:r>
      <w:r w:rsidRPr="009F4FD3">
        <w:rPr>
          <w:rStyle w:val="EndnoteReference"/>
          <w:rFonts w:ascii="Times New Roman" w:hAnsi="Times New Roman" w:cs="Times New Roman"/>
          <w:sz w:val="24"/>
          <w:szCs w:val="24"/>
        </w:rPr>
        <w:endnoteReference w:id="130"/>
      </w:r>
      <w:r w:rsidRPr="009F4FD3">
        <w:rPr>
          <w:rFonts w:ascii="Times New Roman" w:hAnsi="Times New Roman" w:cs="Times New Roman"/>
          <w:position w:val="13"/>
          <w:sz w:val="24"/>
          <w:szCs w:val="24"/>
        </w:rPr>
        <w:t xml:space="preserve"> </w:t>
      </w:r>
      <w:r w:rsidRPr="009F4FD3">
        <w:rPr>
          <w:rFonts w:ascii="Times New Roman" w:hAnsi="Times New Roman" w:cs="Times New Roman"/>
          <w:sz w:val="24"/>
          <w:szCs w:val="24"/>
        </w:rPr>
        <w:t xml:space="preserve">A potential juror could be asked to be undergo a brain scan and asked a series of questions. Their answers could be examined to ascertain whether or not they were telling the truth. This could potentially re-affirm a central core component to the adversarial criminal justice trial; the notion that you will be tried by an unbiased jury of your peers. Damaska states that judgment by one’s peers is not an essential characteristic but </w:t>
      </w:r>
      <w:r w:rsidR="00922FBC">
        <w:rPr>
          <w:rFonts w:ascii="Times New Roman" w:hAnsi="Times New Roman" w:cs="Times New Roman"/>
          <w:sz w:val="24"/>
          <w:szCs w:val="24"/>
        </w:rPr>
        <w:t xml:space="preserve">it </w:t>
      </w:r>
      <w:r w:rsidRPr="009F4FD3">
        <w:rPr>
          <w:rFonts w:ascii="Times New Roman" w:hAnsi="Times New Roman" w:cs="Times New Roman"/>
          <w:sz w:val="24"/>
          <w:szCs w:val="24"/>
        </w:rPr>
        <w:t>emerges naturally as a workable system.</w:t>
      </w:r>
      <w:r w:rsidRPr="009F4FD3">
        <w:rPr>
          <w:rStyle w:val="EndnoteReference"/>
          <w:rFonts w:ascii="Times New Roman" w:hAnsi="Times New Roman" w:cs="Times New Roman"/>
          <w:sz w:val="24"/>
          <w:szCs w:val="24"/>
        </w:rPr>
        <w:endnoteReference w:id="131"/>
      </w:r>
      <w:r w:rsidRPr="009F4FD3">
        <w:rPr>
          <w:rFonts w:ascii="Times New Roman" w:hAnsi="Times New Roman" w:cs="Times New Roman"/>
          <w:sz w:val="24"/>
          <w:szCs w:val="24"/>
        </w:rPr>
        <w:t xml:space="preserve"> In the high profile George Zimmerman case, a juror claimed that racial bias played a part in the acquittal of Zimmerman.</w:t>
      </w:r>
      <w:r w:rsidRPr="009F4FD3">
        <w:rPr>
          <w:rStyle w:val="EndnoteReference"/>
          <w:rFonts w:ascii="Times New Roman" w:hAnsi="Times New Roman" w:cs="Times New Roman"/>
          <w:sz w:val="24"/>
          <w:szCs w:val="24"/>
        </w:rPr>
        <w:endnoteReference w:id="132"/>
      </w:r>
      <w:r w:rsidRPr="009F4FD3">
        <w:rPr>
          <w:rFonts w:ascii="Times New Roman" w:hAnsi="Times New Roman" w:cs="Times New Roman"/>
          <w:sz w:val="24"/>
          <w:szCs w:val="24"/>
        </w:rPr>
        <w:t xml:space="preserve"> However, claims of racial bias by jurors are nothing new. Research indicates that the application of justice is highly uneven, as even small changes in the composition of the jury pool have a large impact on average conviction rates for black versus white defendants. They also show that defendants of </w:t>
      </w:r>
      <w:r w:rsidR="004B636F">
        <w:rPr>
          <w:rFonts w:ascii="Times New Roman" w:hAnsi="Times New Roman" w:cs="Times New Roman"/>
          <w:sz w:val="24"/>
          <w:szCs w:val="24"/>
        </w:rPr>
        <w:t xml:space="preserve">defendants of a particular </w:t>
      </w:r>
      <w:r w:rsidRPr="009F4FD3">
        <w:rPr>
          <w:rFonts w:ascii="Times New Roman" w:hAnsi="Times New Roman" w:cs="Times New Roman"/>
          <w:sz w:val="24"/>
          <w:szCs w:val="24"/>
        </w:rPr>
        <w:t xml:space="preserve"> race </w:t>
      </w:r>
      <w:r w:rsidR="004B636F">
        <w:rPr>
          <w:rFonts w:ascii="Times New Roman" w:hAnsi="Times New Roman" w:cs="Times New Roman"/>
          <w:sz w:val="24"/>
          <w:szCs w:val="24"/>
        </w:rPr>
        <w:t xml:space="preserve">is treated more favourably </w:t>
      </w:r>
      <w:r w:rsidRPr="009F4FD3">
        <w:rPr>
          <w:rFonts w:ascii="Times New Roman" w:hAnsi="Times New Roman" w:cs="Times New Roman"/>
          <w:sz w:val="24"/>
          <w:szCs w:val="24"/>
        </w:rPr>
        <w:t>when the jury pool contains more members of their own race.</w:t>
      </w:r>
      <w:r w:rsidRPr="009F4FD3">
        <w:rPr>
          <w:rStyle w:val="EndnoteReference"/>
          <w:rFonts w:ascii="Times New Roman" w:hAnsi="Times New Roman" w:cs="Times New Roman"/>
          <w:sz w:val="24"/>
          <w:szCs w:val="24"/>
        </w:rPr>
        <w:endnoteReference w:id="133"/>
      </w:r>
      <w:r w:rsidRPr="009F4FD3">
        <w:rPr>
          <w:rFonts w:ascii="Times New Roman" w:hAnsi="Times New Roman" w:cs="Times New Roman"/>
          <w:sz w:val="24"/>
          <w:szCs w:val="24"/>
        </w:rPr>
        <w:t xml:space="preserve"> If one could conduct neuroscientific screening tests on juries to ascertain if they hold any prejudices be it racial or otherwise, what would that mean for the defendant’s right to a fair trial. It would surely only enhance, that core, fundamental right. </w:t>
      </w:r>
    </w:p>
    <w:p w14:paraId="194715F0" w14:textId="62E3A0A5" w:rsidR="009F4FD3" w:rsidRPr="004B636F" w:rsidRDefault="001E206E" w:rsidP="004B636F">
      <w:pPr>
        <w:pStyle w:val="Heading3"/>
        <w:numPr>
          <w:ilvl w:val="0"/>
          <w:numId w:val="11"/>
        </w:numPr>
        <w:spacing w:line="360" w:lineRule="auto"/>
        <w:jc w:val="both"/>
        <w:rPr>
          <w:color w:val="auto"/>
        </w:rPr>
      </w:pPr>
      <w:r w:rsidRPr="009F4FD3">
        <w:rPr>
          <w:color w:val="auto"/>
        </w:rPr>
        <w:t xml:space="preserve">Conclusion </w:t>
      </w:r>
    </w:p>
    <w:p w14:paraId="77E0EB82" w14:textId="4F350F98" w:rsidR="001E206E" w:rsidRPr="009F4FD3" w:rsidRDefault="001E206E" w:rsidP="006D3C49">
      <w:pPr>
        <w:spacing w:line="360" w:lineRule="auto"/>
        <w:jc w:val="both"/>
        <w:rPr>
          <w:rFonts w:ascii="Times New Roman" w:hAnsi="Times New Roman" w:cs="Times New Roman"/>
          <w:sz w:val="24"/>
          <w:szCs w:val="24"/>
        </w:rPr>
      </w:pPr>
      <w:r w:rsidRPr="009F4FD3">
        <w:rPr>
          <w:rFonts w:ascii="Times New Roman" w:hAnsi="Times New Roman" w:cs="Times New Roman"/>
          <w:sz w:val="24"/>
          <w:szCs w:val="24"/>
        </w:rPr>
        <w:t xml:space="preserve">This </w:t>
      </w:r>
      <w:r w:rsidR="00922FBC">
        <w:rPr>
          <w:rFonts w:ascii="Times New Roman" w:hAnsi="Times New Roman" w:cs="Times New Roman"/>
          <w:sz w:val="24"/>
          <w:szCs w:val="24"/>
        </w:rPr>
        <w:t>article</w:t>
      </w:r>
      <w:r w:rsidR="00922FBC" w:rsidRPr="009F4FD3">
        <w:rPr>
          <w:rFonts w:ascii="Times New Roman" w:hAnsi="Times New Roman" w:cs="Times New Roman"/>
          <w:sz w:val="24"/>
          <w:szCs w:val="24"/>
        </w:rPr>
        <w:t xml:space="preserve"> </w:t>
      </w:r>
      <w:r w:rsidRPr="009F4FD3">
        <w:rPr>
          <w:rFonts w:ascii="Times New Roman" w:hAnsi="Times New Roman" w:cs="Times New Roman"/>
          <w:sz w:val="24"/>
          <w:szCs w:val="24"/>
        </w:rPr>
        <w:t xml:space="preserve">has explored the theoretical ramifications and dangers </w:t>
      </w:r>
      <w:r w:rsidR="00AD61CE">
        <w:rPr>
          <w:rFonts w:ascii="Times New Roman" w:hAnsi="Times New Roman" w:cs="Times New Roman"/>
          <w:sz w:val="24"/>
          <w:szCs w:val="24"/>
        </w:rPr>
        <w:t>of</w:t>
      </w:r>
      <w:r w:rsidR="00AD61CE" w:rsidRPr="009F4FD3">
        <w:rPr>
          <w:rFonts w:ascii="Times New Roman" w:hAnsi="Times New Roman" w:cs="Times New Roman"/>
          <w:sz w:val="24"/>
          <w:szCs w:val="24"/>
        </w:rPr>
        <w:t xml:space="preserve"> </w:t>
      </w:r>
      <w:r w:rsidRPr="009F4FD3">
        <w:rPr>
          <w:rFonts w:ascii="Times New Roman" w:hAnsi="Times New Roman" w:cs="Times New Roman"/>
          <w:sz w:val="24"/>
          <w:szCs w:val="24"/>
        </w:rPr>
        <w:t xml:space="preserve">the fair trial rights of the defendant should neuroscientific techniques </w:t>
      </w:r>
      <w:r w:rsidR="00AD61CE">
        <w:rPr>
          <w:rFonts w:ascii="Times New Roman" w:hAnsi="Times New Roman" w:cs="Times New Roman"/>
          <w:sz w:val="24"/>
          <w:szCs w:val="24"/>
        </w:rPr>
        <w:t>used to</w:t>
      </w:r>
      <w:r w:rsidR="00AD61CE" w:rsidRPr="009F4FD3">
        <w:rPr>
          <w:rFonts w:ascii="Times New Roman" w:hAnsi="Times New Roman" w:cs="Times New Roman"/>
          <w:sz w:val="24"/>
          <w:szCs w:val="24"/>
        </w:rPr>
        <w:t xml:space="preserve"> </w:t>
      </w:r>
      <w:r w:rsidRPr="009F4FD3">
        <w:rPr>
          <w:rFonts w:ascii="Times New Roman" w:hAnsi="Times New Roman" w:cs="Times New Roman"/>
          <w:sz w:val="24"/>
          <w:szCs w:val="24"/>
        </w:rPr>
        <w:t xml:space="preserve">detect lies </w:t>
      </w:r>
      <w:r w:rsidR="00AD61CE">
        <w:rPr>
          <w:rFonts w:ascii="Times New Roman" w:hAnsi="Times New Roman" w:cs="Times New Roman"/>
          <w:sz w:val="24"/>
          <w:szCs w:val="24"/>
        </w:rPr>
        <w:t xml:space="preserve">are to become </w:t>
      </w:r>
      <w:r w:rsidRPr="009F4FD3">
        <w:rPr>
          <w:rFonts w:ascii="Times New Roman" w:hAnsi="Times New Roman" w:cs="Times New Roman"/>
          <w:sz w:val="24"/>
          <w:szCs w:val="24"/>
        </w:rPr>
        <w:t>admissible at trial. At face value, the dangers are stark.</w:t>
      </w:r>
      <w:r w:rsidR="00AD61CE">
        <w:rPr>
          <w:rFonts w:ascii="Times New Roman" w:hAnsi="Times New Roman" w:cs="Times New Roman"/>
          <w:sz w:val="24"/>
          <w:szCs w:val="24"/>
        </w:rPr>
        <w:t xml:space="preserve"> For</w:t>
      </w:r>
      <w:r w:rsidRPr="009F4FD3">
        <w:rPr>
          <w:rFonts w:ascii="Times New Roman" w:hAnsi="Times New Roman" w:cs="Times New Roman"/>
          <w:sz w:val="24"/>
          <w:szCs w:val="24"/>
        </w:rPr>
        <w:t xml:space="preserve"> </w:t>
      </w:r>
      <w:r w:rsidR="00AD61CE">
        <w:rPr>
          <w:rFonts w:ascii="Times New Roman" w:hAnsi="Times New Roman" w:cs="Times New Roman"/>
          <w:sz w:val="24"/>
          <w:szCs w:val="24"/>
        </w:rPr>
        <w:t>i</w:t>
      </w:r>
      <w:r w:rsidRPr="009F4FD3">
        <w:rPr>
          <w:rFonts w:ascii="Times New Roman" w:hAnsi="Times New Roman" w:cs="Times New Roman"/>
          <w:sz w:val="24"/>
          <w:szCs w:val="24"/>
        </w:rPr>
        <w:t>t would be almost impossible for the accused to rely on his right to silence</w:t>
      </w:r>
      <w:r w:rsidR="00AD61CE">
        <w:rPr>
          <w:rFonts w:ascii="Times New Roman" w:hAnsi="Times New Roman" w:cs="Times New Roman"/>
          <w:sz w:val="24"/>
          <w:szCs w:val="24"/>
        </w:rPr>
        <w:t xml:space="preserve"> when</w:t>
      </w:r>
      <w:r w:rsidRPr="009F4FD3">
        <w:rPr>
          <w:rFonts w:ascii="Times New Roman" w:hAnsi="Times New Roman" w:cs="Times New Roman"/>
          <w:sz w:val="24"/>
          <w:szCs w:val="24"/>
        </w:rPr>
        <w:t xml:space="preserve"> his brain </w:t>
      </w:r>
      <w:r w:rsidR="00AD61CE">
        <w:rPr>
          <w:rFonts w:ascii="Times New Roman" w:hAnsi="Times New Roman" w:cs="Times New Roman"/>
          <w:sz w:val="24"/>
          <w:szCs w:val="24"/>
        </w:rPr>
        <w:t xml:space="preserve">inadvertently </w:t>
      </w:r>
      <w:r w:rsidRPr="009F4FD3">
        <w:rPr>
          <w:rFonts w:ascii="Times New Roman" w:hAnsi="Times New Roman" w:cs="Times New Roman"/>
          <w:sz w:val="24"/>
          <w:szCs w:val="24"/>
        </w:rPr>
        <w:t>provide</w:t>
      </w:r>
      <w:r w:rsidR="00AD61CE">
        <w:rPr>
          <w:rFonts w:ascii="Times New Roman" w:hAnsi="Times New Roman" w:cs="Times New Roman"/>
          <w:sz w:val="24"/>
          <w:szCs w:val="24"/>
        </w:rPr>
        <w:t>s</w:t>
      </w:r>
      <w:r w:rsidRPr="009F4FD3">
        <w:rPr>
          <w:rFonts w:ascii="Times New Roman" w:hAnsi="Times New Roman" w:cs="Times New Roman"/>
          <w:sz w:val="24"/>
          <w:szCs w:val="24"/>
        </w:rPr>
        <w:t xml:space="preserve"> non-verbal answers to questions </w:t>
      </w:r>
      <w:r w:rsidR="00AD61CE">
        <w:rPr>
          <w:rFonts w:ascii="Times New Roman" w:hAnsi="Times New Roman" w:cs="Times New Roman"/>
          <w:sz w:val="24"/>
          <w:szCs w:val="24"/>
        </w:rPr>
        <w:t xml:space="preserve">asked by </w:t>
      </w:r>
      <w:r w:rsidRPr="009F4FD3">
        <w:rPr>
          <w:rFonts w:ascii="Times New Roman" w:hAnsi="Times New Roman" w:cs="Times New Roman"/>
          <w:sz w:val="24"/>
          <w:szCs w:val="24"/>
        </w:rPr>
        <w:t>the investigating authorities</w:t>
      </w:r>
      <w:r w:rsidR="00AD61CE">
        <w:rPr>
          <w:rFonts w:ascii="Times New Roman" w:hAnsi="Times New Roman" w:cs="Times New Roman"/>
          <w:sz w:val="24"/>
          <w:szCs w:val="24"/>
        </w:rPr>
        <w:t>. Thus</w:t>
      </w:r>
      <w:r w:rsidRPr="009F4FD3">
        <w:rPr>
          <w:rFonts w:ascii="Times New Roman" w:hAnsi="Times New Roman" w:cs="Times New Roman"/>
          <w:sz w:val="24"/>
          <w:szCs w:val="24"/>
        </w:rPr>
        <w:t xml:space="preserve"> provid</w:t>
      </w:r>
      <w:r w:rsidR="00922FBC">
        <w:rPr>
          <w:rFonts w:ascii="Times New Roman" w:hAnsi="Times New Roman" w:cs="Times New Roman"/>
          <w:sz w:val="24"/>
          <w:szCs w:val="24"/>
        </w:rPr>
        <w:t>ing</w:t>
      </w:r>
      <w:r w:rsidRPr="009F4FD3">
        <w:rPr>
          <w:rFonts w:ascii="Times New Roman" w:hAnsi="Times New Roman" w:cs="Times New Roman"/>
          <w:sz w:val="24"/>
          <w:szCs w:val="24"/>
        </w:rPr>
        <w:t xml:space="preserve"> the prosecution with </w:t>
      </w:r>
      <w:r w:rsidRPr="009F4FD3">
        <w:rPr>
          <w:rFonts w:ascii="Times New Roman" w:hAnsi="Times New Roman" w:cs="Times New Roman"/>
          <w:sz w:val="24"/>
          <w:szCs w:val="24"/>
        </w:rPr>
        <w:lastRenderedPageBreak/>
        <w:t>potential incriminating evidence</w:t>
      </w:r>
      <w:r w:rsidR="00AD61CE">
        <w:rPr>
          <w:rFonts w:ascii="Times New Roman" w:hAnsi="Times New Roman" w:cs="Times New Roman"/>
          <w:sz w:val="24"/>
          <w:szCs w:val="24"/>
        </w:rPr>
        <w:t xml:space="preserve"> against a defendant</w:t>
      </w:r>
      <w:r w:rsidRPr="009F4FD3">
        <w:rPr>
          <w:rFonts w:ascii="Times New Roman" w:hAnsi="Times New Roman" w:cs="Times New Roman"/>
          <w:sz w:val="24"/>
          <w:szCs w:val="24"/>
        </w:rPr>
        <w:t xml:space="preserve">. It is </w:t>
      </w:r>
      <w:r w:rsidR="00922FBC">
        <w:rPr>
          <w:rFonts w:ascii="Times New Roman" w:hAnsi="Times New Roman" w:cs="Times New Roman"/>
          <w:sz w:val="24"/>
          <w:szCs w:val="24"/>
        </w:rPr>
        <w:t xml:space="preserve">therefore </w:t>
      </w:r>
      <w:r w:rsidRPr="009F4FD3">
        <w:rPr>
          <w:rFonts w:ascii="Times New Roman" w:hAnsi="Times New Roman" w:cs="Times New Roman"/>
          <w:sz w:val="24"/>
          <w:szCs w:val="24"/>
        </w:rPr>
        <w:t>difficult to envisage that the extraction of such answers do</w:t>
      </w:r>
      <w:r w:rsidR="00922FBC">
        <w:rPr>
          <w:rFonts w:ascii="Times New Roman" w:hAnsi="Times New Roman" w:cs="Times New Roman"/>
          <w:sz w:val="24"/>
          <w:szCs w:val="24"/>
        </w:rPr>
        <w:t xml:space="preserve"> </w:t>
      </w:r>
      <w:r w:rsidRPr="009F4FD3">
        <w:rPr>
          <w:rFonts w:ascii="Times New Roman" w:hAnsi="Times New Roman" w:cs="Times New Roman"/>
          <w:sz w:val="24"/>
          <w:szCs w:val="24"/>
        </w:rPr>
        <w:t xml:space="preserve">not erode the privilege against self-incrimination; </w:t>
      </w:r>
      <w:r w:rsidR="00922FBC">
        <w:rPr>
          <w:rFonts w:ascii="Times New Roman" w:hAnsi="Times New Roman" w:cs="Times New Roman"/>
          <w:sz w:val="24"/>
          <w:szCs w:val="24"/>
        </w:rPr>
        <w:t xml:space="preserve">as </w:t>
      </w:r>
      <w:r w:rsidRPr="009F4FD3">
        <w:rPr>
          <w:rFonts w:ascii="Times New Roman" w:hAnsi="Times New Roman" w:cs="Times New Roman"/>
          <w:sz w:val="24"/>
          <w:szCs w:val="24"/>
        </w:rPr>
        <w:t xml:space="preserve">aforementioned </w:t>
      </w:r>
      <w:r w:rsidR="00922FBC">
        <w:rPr>
          <w:rFonts w:ascii="Times New Roman" w:hAnsi="Times New Roman" w:cs="Times New Roman"/>
          <w:sz w:val="24"/>
          <w:szCs w:val="24"/>
        </w:rPr>
        <w:t xml:space="preserve">in the </w:t>
      </w:r>
      <w:r w:rsidRPr="009F4FD3">
        <w:rPr>
          <w:rFonts w:ascii="Times New Roman" w:hAnsi="Times New Roman" w:cs="Times New Roman"/>
          <w:sz w:val="24"/>
          <w:szCs w:val="24"/>
        </w:rPr>
        <w:t xml:space="preserve">Indian case of </w:t>
      </w:r>
      <w:r w:rsidRPr="009F4FD3">
        <w:rPr>
          <w:rFonts w:ascii="Times New Roman" w:hAnsi="Times New Roman" w:cs="Times New Roman"/>
          <w:i/>
          <w:sz w:val="24"/>
          <w:szCs w:val="24"/>
        </w:rPr>
        <w:t>Sharma</w:t>
      </w:r>
      <w:r w:rsidR="00922FBC">
        <w:rPr>
          <w:rFonts w:ascii="Times New Roman" w:hAnsi="Times New Roman" w:cs="Times New Roman"/>
          <w:i/>
          <w:sz w:val="24"/>
          <w:szCs w:val="24"/>
        </w:rPr>
        <w:t>.</w:t>
      </w:r>
      <w:r w:rsidRPr="009F4FD3">
        <w:rPr>
          <w:rStyle w:val="EndnoteReference"/>
          <w:rFonts w:ascii="Times New Roman" w:hAnsi="Times New Roman" w:cs="Times New Roman"/>
          <w:sz w:val="24"/>
          <w:szCs w:val="24"/>
        </w:rPr>
        <w:endnoteReference w:id="134"/>
      </w:r>
      <w:r w:rsidR="004B636F">
        <w:rPr>
          <w:rFonts w:ascii="Times New Roman" w:hAnsi="Times New Roman" w:cs="Times New Roman"/>
          <w:sz w:val="24"/>
          <w:szCs w:val="24"/>
        </w:rPr>
        <w:t xml:space="preserve"> I</w:t>
      </w:r>
      <w:r w:rsidR="00922FBC">
        <w:rPr>
          <w:rFonts w:ascii="Times New Roman" w:hAnsi="Times New Roman" w:cs="Times New Roman"/>
          <w:sz w:val="24"/>
          <w:szCs w:val="24"/>
        </w:rPr>
        <w:t>t has been defended that</w:t>
      </w:r>
      <w:r w:rsidRPr="009F4FD3">
        <w:rPr>
          <w:rFonts w:ascii="Times New Roman" w:hAnsi="Times New Roman" w:cs="Times New Roman"/>
          <w:sz w:val="24"/>
          <w:szCs w:val="24"/>
        </w:rPr>
        <w:t xml:space="preserve"> the fundamental right of legal advice </w:t>
      </w:r>
      <w:r w:rsidR="00922FBC">
        <w:rPr>
          <w:rFonts w:ascii="Times New Roman" w:hAnsi="Times New Roman" w:cs="Times New Roman"/>
          <w:sz w:val="24"/>
          <w:szCs w:val="24"/>
        </w:rPr>
        <w:t>c</w:t>
      </w:r>
      <w:r w:rsidRPr="009F4FD3">
        <w:rPr>
          <w:rFonts w:ascii="Times New Roman" w:hAnsi="Times New Roman" w:cs="Times New Roman"/>
          <w:sz w:val="24"/>
          <w:szCs w:val="24"/>
        </w:rPr>
        <w:t>ould also be fundamentally diluted if such techniques became mandatory</w:t>
      </w:r>
      <w:r w:rsidR="00922FBC">
        <w:rPr>
          <w:rFonts w:ascii="Times New Roman" w:hAnsi="Times New Roman" w:cs="Times New Roman"/>
          <w:sz w:val="24"/>
          <w:szCs w:val="24"/>
        </w:rPr>
        <w:t xml:space="preserve"> since</w:t>
      </w:r>
      <w:r w:rsidRPr="009F4FD3">
        <w:rPr>
          <w:rFonts w:ascii="Times New Roman" w:hAnsi="Times New Roman" w:cs="Times New Roman"/>
          <w:sz w:val="24"/>
          <w:szCs w:val="24"/>
        </w:rPr>
        <w:t xml:space="preserve"> </w:t>
      </w:r>
      <w:r w:rsidR="00922FBC">
        <w:rPr>
          <w:rFonts w:ascii="Times New Roman" w:hAnsi="Times New Roman" w:cs="Times New Roman"/>
          <w:sz w:val="24"/>
          <w:szCs w:val="24"/>
        </w:rPr>
        <w:t>i</w:t>
      </w:r>
      <w:r w:rsidRPr="009F4FD3">
        <w:rPr>
          <w:rFonts w:ascii="Times New Roman" w:hAnsi="Times New Roman" w:cs="Times New Roman"/>
          <w:sz w:val="24"/>
          <w:szCs w:val="24"/>
        </w:rPr>
        <w:t>t</w:t>
      </w:r>
      <w:r w:rsidR="00922FBC">
        <w:rPr>
          <w:rFonts w:ascii="Times New Roman" w:hAnsi="Times New Roman" w:cs="Times New Roman"/>
          <w:sz w:val="24"/>
          <w:szCs w:val="24"/>
        </w:rPr>
        <w:t xml:space="preserve"> is</w:t>
      </w:r>
      <w:r w:rsidRPr="009F4FD3">
        <w:rPr>
          <w:rFonts w:ascii="Times New Roman" w:hAnsi="Times New Roman" w:cs="Times New Roman"/>
          <w:sz w:val="24"/>
          <w:szCs w:val="24"/>
        </w:rPr>
        <w:t xml:space="preserve"> not </w:t>
      </w:r>
      <w:r w:rsidR="00922FBC">
        <w:rPr>
          <w:rFonts w:ascii="Times New Roman" w:hAnsi="Times New Roman" w:cs="Times New Roman"/>
          <w:sz w:val="24"/>
          <w:szCs w:val="24"/>
        </w:rPr>
        <w:t>im</w:t>
      </w:r>
      <w:r w:rsidR="00922FBC" w:rsidRPr="009F4FD3">
        <w:rPr>
          <w:rFonts w:ascii="Times New Roman" w:hAnsi="Times New Roman" w:cs="Times New Roman"/>
          <w:sz w:val="24"/>
          <w:szCs w:val="24"/>
        </w:rPr>
        <w:t>possible</w:t>
      </w:r>
      <w:r w:rsidRPr="009F4FD3">
        <w:rPr>
          <w:rFonts w:ascii="Times New Roman" w:hAnsi="Times New Roman" w:cs="Times New Roman"/>
          <w:sz w:val="24"/>
          <w:szCs w:val="24"/>
        </w:rPr>
        <w:t xml:space="preserve"> for </w:t>
      </w:r>
      <w:r w:rsidR="00922FBC">
        <w:rPr>
          <w:rFonts w:ascii="Times New Roman" w:hAnsi="Times New Roman" w:cs="Times New Roman"/>
          <w:sz w:val="24"/>
          <w:szCs w:val="24"/>
        </w:rPr>
        <w:t>a</w:t>
      </w:r>
      <w:r w:rsidR="00922FBC" w:rsidRPr="009F4FD3">
        <w:rPr>
          <w:rFonts w:ascii="Times New Roman" w:hAnsi="Times New Roman" w:cs="Times New Roman"/>
          <w:sz w:val="24"/>
          <w:szCs w:val="24"/>
        </w:rPr>
        <w:t xml:space="preserve"> </w:t>
      </w:r>
      <w:r w:rsidRPr="009F4FD3">
        <w:rPr>
          <w:rFonts w:ascii="Times New Roman" w:hAnsi="Times New Roman" w:cs="Times New Roman"/>
          <w:sz w:val="24"/>
          <w:szCs w:val="24"/>
        </w:rPr>
        <w:t>suspect to follow the legal advice to remain silent</w:t>
      </w:r>
      <w:r w:rsidR="00922FBC">
        <w:rPr>
          <w:rFonts w:ascii="Times New Roman" w:hAnsi="Times New Roman" w:cs="Times New Roman"/>
          <w:sz w:val="24"/>
          <w:szCs w:val="24"/>
        </w:rPr>
        <w:t xml:space="preserve"> when </w:t>
      </w:r>
      <w:r w:rsidRPr="009F4FD3">
        <w:rPr>
          <w:rFonts w:ascii="Times New Roman" w:hAnsi="Times New Roman" w:cs="Times New Roman"/>
          <w:sz w:val="24"/>
          <w:szCs w:val="24"/>
        </w:rPr>
        <w:t>his brain</w:t>
      </w:r>
      <w:r w:rsidR="00922FBC">
        <w:rPr>
          <w:rFonts w:ascii="Times New Roman" w:hAnsi="Times New Roman" w:cs="Times New Roman"/>
          <w:sz w:val="24"/>
          <w:szCs w:val="24"/>
        </w:rPr>
        <w:t xml:space="preserve"> at the same time</w:t>
      </w:r>
      <w:r w:rsidRPr="009F4FD3">
        <w:rPr>
          <w:rFonts w:ascii="Times New Roman" w:hAnsi="Times New Roman" w:cs="Times New Roman"/>
          <w:sz w:val="24"/>
          <w:szCs w:val="24"/>
        </w:rPr>
        <w:t xml:space="preserve"> w</w:t>
      </w:r>
      <w:r w:rsidR="00922FBC">
        <w:rPr>
          <w:rFonts w:ascii="Times New Roman" w:hAnsi="Times New Roman" w:cs="Times New Roman"/>
          <w:sz w:val="24"/>
          <w:szCs w:val="24"/>
        </w:rPr>
        <w:t>as</w:t>
      </w:r>
      <w:r w:rsidRPr="009F4FD3">
        <w:rPr>
          <w:rFonts w:ascii="Times New Roman" w:hAnsi="Times New Roman" w:cs="Times New Roman"/>
          <w:sz w:val="24"/>
          <w:szCs w:val="24"/>
        </w:rPr>
        <w:t xml:space="preserve"> involuntary providing the answers sought by </w:t>
      </w:r>
      <w:r w:rsidR="00481D89" w:rsidRPr="009F4FD3">
        <w:rPr>
          <w:rFonts w:ascii="Times New Roman" w:hAnsi="Times New Roman" w:cs="Times New Roman"/>
          <w:sz w:val="24"/>
          <w:szCs w:val="24"/>
        </w:rPr>
        <w:t>investigat</w:t>
      </w:r>
      <w:r w:rsidR="00481D89">
        <w:rPr>
          <w:rFonts w:ascii="Times New Roman" w:hAnsi="Times New Roman" w:cs="Times New Roman"/>
          <w:sz w:val="24"/>
          <w:szCs w:val="24"/>
        </w:rPr>
        <w:t>ors</w:t>
      </w:r>
      <w:r w:rsidRPr="009F4FD3">
        <w:rPr>
          <w:rFonts w:ascii="Times New Roman" w:hAnsi="Times New Roman" w:cs="Times New Roman"/>
          <w:sz w:val="24"/>
          <w:szCs w:val="24"/>
        </w:rPr>
        <w:t xml:space="preserve">. </w:t>
      </w:r>
      <w:r w:rsidR="004B636F" w:rsidRPr="009F4FD3">
        <w:rPr>
          <w:rFonts w:ascii="Times New Roman" w:hAnsi="Times New Roman" w:cs="Times New Roman"/>
          <w:sz w:val="24"/>
          <w:szCs w:val="24"/>
        </w:rPr>
        <w:t>Additionally</w:t>
      </w:r>
      <w:r w:rsidRPr="009F4FD3">
        <w:rPr>
          <w:rFonts w:ascii="Times New Roman" w:hAnsi="Times New Roman" w:cs="Times New Roman"/>
          <w:sz w:val="24"/>
          <w:szCs w:val="24"/>
        </w:rPr>
        <w:t>, there are also further fair trial concerns when the impact on the jury is examined. The evidence has the propensity to usurp the jury from its traditional domain of fact judging and tester to credibility. Research evidence suggests that juries place an inordinate amount of weight on the fMRI lie detection and may actually deprive the juror of their primary role of judging facts.</w:t>
      </w:r>
      <w:r w:rsidRPr="009F4FD3">
        <w:rPr>
          <w:rStyle w:val="EndnoteReference"/>
          <w:rFonts w:ascii="Times New Roman" w:hAnsi="Times New Roman" w:cs="Times New Roman"/>
          <w:sz w:val="24"/>
          <w:szCs w:val="24"/>
        </w:rPr>
        <w:endnoteReference w:id="135"/>
      </w:r>
      <w:r w:rsidRPr="009F4FD3">
        <w:rPr>
          <w:rFonts w:ascii="Times New Roman" w:hAnsi="Times New Roman" w:cs="Times New Roman"/>
          <w:sz w:val="24"/>
          <w:szCs w:val="24"/>
        </w:rPr>
        <w:t xml:space="preserve"> </w:t>
      </w:r>
    </w:p>
    <w:p w14:paraId="1963C741" w14:textId="3B4438E4" w:rsidR="001E206E" w:rsidRPr="009F4FD3" w:rsidRDefault="001E206E" w:rsidP="006D3C49">
      <w:pPr>
        <w:spacing w:line="360" w:lineRule="auto"/>
        <w:jc w:val="both"/>
        <w:rPr>
          <w:rFonts w:ascii="Times New Roman" w:hAnsi="Times New Roman" w:cs="Times New Roman"/>
          <w:sz w:val="24"/>
          <w:szCs w:val="24"/>
        </w:rPr>
      </w:pPr>
      <w:r w:rsidRPr="009F4FD3">
        <w:rPr>
          <w:rFonts w:ascii="Times New Roman" w:hAnsi="Times New Roman" w:cs="Times New Roman"/>
          <w:sz w:val="24"/>
          <w:szCs w:val="24"/>
        </w:rPr>
        <w:t>In a classic adversarial process, these concerns may remain theoretical for a great deal of time. However, England and Wales have arguably departed from classic adversarialism and transformed the criminal justice process to one that desires, and arguably prioritises, efficiency and effectiveness. The CrimPR permit judges to manage cases in order to fulfil the overriding objective of dealing with cases justly.</w:t>
      </w:r>
      <w:r w:rsidRPr="009F4FD3">
        <w:rPr>
          <w:rStyle w:val="EndnoteReference"/>
          <w:rFonts w:ascii="Times New Roman" w:hAnsi="Times New Roman" w:cs="Times New Roman"/>
          <w:sz w:val="24"/>
          <w:szCs w:val="24"/>
        </w:rPr>
        <w:endnoteReference w:id="136"/>
      </w:r>
      <w:r w:rsidRPr="009F4FD3">
        <w:rPr>
          <w:rFonts w:ascii="Times New Roman" w:hAnsi="Times New Roman" w:cs="Times New Roman"/>
          <w:sz w:val="24"/>
          <w:szCs w:val="24"/>
        </w:rPr>
        <w:t xml:space="preserve"> </w:t>
      </w:r>
      <w:r w:rsidR="00481D89">
        <w:rPr>
          <w:rFonts w:ascii="Times New Roman" w:hAnsi="Times New Roman" w:cs="Times New Roman"/>
          <w:sz w:val="24"/>
          <w:szCs w:val="24"/>
        </w:rPr>
        <w:t xml:space="preserve">On a side note, </w:t>
      </w:r>
      <w:r w:rsidRPr="009F4FD3">
        <w:rPr>
          <w:rFonts w:ascii="Times New Roman" w:hAnsi="Times New Roman" w:cs="Times New Roman"/>
          <w:sz w:val="24"/>
          <w:szCs w:val="24"/>
        </w:rPr>
        <w:t>to meet th</w:t>
      </w:r>
      <w:r w:rsidR="00481D89">
        <w:rPr>
          <w:rFonts w:ascii="Times New Roman" w:hAnsi="Times New Roman" w:cs="Times New Roman"/>
          <w:sz w:val="24"/>
          <w:szCs w:val="24"/>
        </w:rPr>
        <w:t>is</w:t>
      </w:r>
      <w:r w:rsidRPr="009F4FD3">
        <w:rPr>
          <w:rFonts w:ascii="Times New Roman" w:hAnsi="Times New Roman" w:cs="Times New Roman"/>
          <w:sz w:val="24"/>
          <w:szCs w:val="24"/>
        </w:rPr>
        <w:t xml:space="preserve"> overriding objective the court </w:t>
      </w:r>
      <w:r w:rsidR="00481D89">
        <w:rPr>
          <w:rFonts w:ascii="Times New Roman" w:hAnsi="Times New Roman" w:cs="Times New Roman"/>
          <w:sz w:val="24"/>
          <w:szCs w:val="24"/>
        </w:rPr>
        <w:t>has</w:t>
      </w:r>
      <w:r w:rsidRPr="009F4FD3">
        <w:rPr>
          <w:rFonts w:ascii="Times New Roman" w:hAnsi="Times New Roman" w:cs="Times New Roman"/>
          <w:sz w:val="24"/>
          <w:szCs w:val="24"/>
        </w:rPr>
        <w:t xml:space="preserve"> equipped </w:t>
      </w:r>
      <w:r w:rsidR="00481D89">
        <w:rPr>
          <w:rFonts w:ascii="Times New Roman" w:hAnsi="Times New Roman" w:cs="Times New Roman"/>
          <w:sz w:val="24"/>
          <w:szCs w:val="24"/>
        </w:rPr>
        <w:t xml:space="preserve">itself </w:t>
      </w:r>
      <w:r w:rsidRPr="009F4FD3">
        <w:rPr>
          <w:rFonts w:ascii="Times New Roman" w:hAnsi="Times New Roman" w:cs="Times New Roman"/>
          <w:sz w:val="24"/>
          <w:szCs w:val="24"/>
        </w:rPr>
        <w:t>with various case management powers. One such power is ‘making use of technology’</w:t>
      </w:r>
      <w:r w:rsidRPr="009F4FD3">
        <w:rPr>
          <w:rStyle w:val="EndnoteReference"/>
          <w:rFonts w:ascii="Times New Roman" w:hAnsi="Times New Roman" w:cs="Times New Roman"/>
          <w:sz w:val="24"/>
          <w:szCs w:val="24"/>
        </w:rPr>
        <w:endnoteReference w:id="137"/>
      </w:r>
      <w:r w:rsidRPr="009F4FD3">
        <w:rPr>
          <w:rFonts w:ascii="Times New Roman" w:hAnsi="Times New Roman" w:cs="Times New Roman"/>
          <w:sz w:val="24"/>
          <w:szCs w:val="24"/>
        </w:rPr>
        <w:t xml:space="preserve"> Sir Brian Leveson, President of the Queen’s Bench Division has called on courts to make a better use of technology.</w:t>
      </w:r>
      <w:r w:rsidRPr="009F4FD3">
        <w:rPr>
          <w:rStyle w:val="EndnoteReference"/>
          <w:rFonts w:ascii="Times New Roman" w:hAnsi="Times New Roman" w:cs="Times New Roman"/>
          <w:sz w:val="24"/>
          <w:szCs w:val="24"/>
        </w:rPr>
        <w:endnoteReference w:id="138"/>
      </w:r>
      <w:r w:rsidRPr="009F4FD3">
        <w:rPr>
          <w:rFonts w:ascii="Times New Roman" w:hAnsi="Times New Roman" w:cs="Times New Roman"/>
          <w:sz w:val="24"/>
          <w:szCs w:val="24"/>
        </w:rPr>
        <w:t xml:space="preserve"> The question</w:t>
      </w:r>
      <w:r w:rsidR="00481D89">
        <w:rPr>
          <w:rFonts w:ascii="Times New Roman" w:hAnsi="Times New Roman" w:cs="Times New Roman"/>
          <w:sz w:val="24"/>
          <w:szCs w:val="24"/>
        </w:rPr>
        <w:t>,</w:t>
      </w:r>
      <w:r w:rsidRPr="009F4FD3">
        <w:rPr>
          <w:rFonts w:ascii="Times New Roman" w:hAnsi="Times New Roman" w:cs="Times New Roman"/>
          <w:sz w:val="24"/>
          <w:szCs w:val="24"/>
        </w:rPr>
        <w:t xml:space="preserve"> whether or not neuroscience should play apart in criminal proceedings in England and Wales is difficult to answer. In its current guise, the answer is quite evidentially no, it should not. The techniques have not been subjected to enough rigorous peer reviewing and therefore the techniques do not have the respect of the scientific community. However, if the techniques are able to satisfy the admissibility rules of England and Wales, the question is still difficult to answer.</w:t>
      </w:r>
    </w:p>
    <w:p w14:paraId="3CCFC9DA" w14:textId="41A4297D" w:rsidR="00875D75" w:rsidRPr="00370390" w:rsidRDefault="001E206E" w:rsidP="00370390">
      <w:pPr>
        <w:spacing w:line="360" w:lineRule="auto"/>
        <w:jc w:val="both"/>
        <w:rPr>
          <w:rFonts w:ascii="Times New Roman" w:hAnsi="Times New Roman" w:cs="Times New Roman"/>
          <w:sz w:val="24"/>
          <w:szCs w:val="24"/>
        </w:rPr>
      </w:pPr>
      <w:r w:rsidRPr="009F4FD3">
        <w:rPr>
          <w:rFonts w:ascii="Times New Roman" w:hAnsi="Times New Roman" w:cs="Times New Roman"/>
          <w:sz w:val="24"/>
          <w:szCs w:val="24"/>
        </w:rPr>
        <w:t xml:space="preserve"> Theoretically, the quest for efficiency may fundamentally weaken core fair trial rights of the defendant, as the essential role of legal advice is somewhat usurped. However, if the purpose of the criminal trial is to ascertain the truth and the technology enables the truth to be revealed more efficiently, is there an argument that such technology should be embraced</w:t>
      </w:r>
      <w:r w:rsidR="00E67EE9">
        <w:rPr>
          <w:rFonts w:ascii="Times New Roman" w:hAnsi="Times New Roman" w:cs="Times New Roman"/>
          <w:sz w:val="24"/>
          <w:szCs w:val="24"/>
        </w:rPr>
        <w:t>?</w:t>
      </w:r>
      <w:r w:rsidRPr="009F4FD3">
        <w:rPr>
          <w:rFonts w:ascii="Times New Roman" w:hAnsi="Times New Roman" w:cs="Times New Roman"/>
          <w:sz w:val="24"/>
          <w:szCs w:val="24"/>
        </w:rPr>
        <w:t xml:space="preserve"> After all, the overriding objective of the CrimPR is to deal with cases justly.</w:t>
      </w:r>
      <w:r w:rsidRPr="009F4FD3">
        <w:rPr>
          <w:rStyle w:val="EndnoteReference"/>
          <w:rFonts w:ascii="Times New Roman" w:hAnsi="Times New Roman" w:cs="Times New Roman"/>
          <w:sz w:val="24"/>
          <w:szCs w:val="24"/>
        </w:rPr>
        <w:endnoteReference w:id="139"/>
      </w:r>
      <w:r w:rsidRPr="009F4FD3">
        <w:rPr>
          <w:rFonts w:ascii="Times New Roman" w:hAnsi="Times New Roman" w:cs="Times New Roman"/>
          <w:sz w:val="24"/>
          <w:szCs w:val="24"/>
        </w:rPr>
        <w:t xml:space="preserve"> The definition of justly involves ‘acquitting the innocent and convicting the guilty,’</w:t>
      </w:r>
      <w:r w:rsidRPr="009F4FD3">
        <w:rPr>
          <w:rStyle w:val="EndnoteReference"/>
          <w:rFonts w:ascii="Times New Roman" w:hAnsi="Times New Roman" w:cs="Times New Roman"/>
          <w:sz w:val="24"/>
          <w:szCs w:val="24"/>
        </w:rPr>
        <w:endnoteReference w:id="140"/>
      </w:r>
      <w:r w:rsidRPr="009F4FD3">
        <w:rPr>
          <w:rFonts w:ascii="Times New Roman" w:hAnsi="Times New Roman" w:cs="Times New Roman"/>
          <w:sz w:val="24"/>
          <w:szCs w:val="24"/>
        </w:rPr>
        <w:t xml:space="preserve"> </w:t>
      </w:r>
      <w:r w:rsidR="002534CF" w:rsidRPr="009F4FD3">
        <w:rPr>
          <w:rFonts w:ascii="Times New Roman" w:hAnsi="Times New Roman" w:cs="Times New Roman"/>
          <w:sz w:val="24"/>
          <w:szCs w:val="24"/>
        </w:rPr>
        <w:t xml:space="preserve">if neuroscientific techniques can assist in </w:t>
      </w:r>
      <w:r w:rsidR="00573110" w:rsidRPr="009F4FD3">
        <w:rPr>
          <w:rFonts w:ascii="Times New Roman" w:hAnsi="Times New Roman" w:cs="Times New Roman"/>
          <w:sz w:val="24"/>
          <w:szCs w:val="24"/>
        </w:rPr>
        <w:t>reaching this</w:t>
      </w:r>
      <w:r w:rsidR="002534CF" w:rsidRPr="009F4FD3">
        <w:rPr>
          <w:rFonts w:ascii="Times New Roman" w:hAnsi="Times New Roman" w:cs="Times New Roman"/>
          <w:sz w:val="24"/>
          <w:szCs w:val="24"/>
        </w:rPr>
        <w:t xml:space="preserve"> objective, perhaps the use of the techniques require</w:t>
      </w:r>
      <w:r w:rsidR="00573110" w:rsidRPr="009F4FD3">
        <w:rPr>
          <w:rFonts w:ascii="Times New Roman" w:hAnsi="Times New Roman" w:cs="Times New Roman"/>
          <w:sz w:val="24"/>
          <w:szCs w:val="24"/>
        </w:rPr>
        <w:t>s</w:t>
      </w:r>
      <w:r w:rsidR="002534CF" w:rsidRPr="009F4FD3">
        <w:rPr>
          <w:rFonts w:ascii="Times New Roman" w:hAnsi="Times New Roman" w:cs="Times New Roman"/>
          <w:sz w:val="24"/>
          <w:szCs w:val="24"/>
        </w:rPr>
        <w:t xml:space="preserve"> serious consideration</w:t>
      </w:r>
      <w:r w:rsidR="00573110" w:rsidRPr="009F4FD3">
        <w:rPr>
          <w:rFonts w:ascii="Times New Roman" w:hAnsi="Times New Roman" w:cs="Times New Roman"/>
          <w:sz w:val="24"/>
          <w:szCs w:val="24"/>
        </w:rPr>
        <w:t xml:space="preserve">; especially when considering how to use the technology and offending </w:t>
      </w:r>
      <w:r w:rsidR="00573110" w:rsidRPr="009F4FD3">
        <w:rPr>
          <w:rFonts w:ascii="Times New Roman" w:hAnsi="Times New Roman" w:cs="Times New Roman"/>
          <w:sz w:val="24"/>
          <w:szCs w:val="24"/>
        </w:rPr>
        <w:lastRenderedPageBreak/>
        <w:t>the rights of the accused. For the sake of ‘dealing with cases justly’, it is important for the law to keep p</w:t>
      </w:r>
      <w:r w:rsidR="00573110" w:rsidRPr="009557D4">
        <w:rPr>
          <w:rFonts w:ascii="Times New Roman" w:hAnsi="Times New Roman" w:cs="Times New Roman"/>
          <w:sz w:val="24"/>
          <w:szCs w:val="24"/>
        </w:rPr>
        <w:t xml:space="preserve">ace with science.  </w:t>
      </w:r>
    </w:p>
    <w:sectPr w:rsidR="00875D75" w:rsidRPr="00370390">
      <w:footerReference w:type="even" r:id="rId9"/>
      <w:footerReference w:type="default" r:id="rId10"/>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7E8034" w15:done="0"/>
  <w15:commentEx w15:paraId="00312D6E" w15:done="0"/>
  <w15:commentEx w15:paraId="6E7F8827" w15:done="0"/>
  <w15:commentEx w15:paraId="406C1D84" w15:done="0"/>
  <w15:commentEx w15:paraId="4C9C0A29" w15:done="0"/>
  <w15:commentEx w15:paraId="5F359505" w15:done="0"/>
  <w15:commentEx w15:paraId="51AC27D6" w15:done="0"/>
  <w15:commentEx w15:paraId="3CF094CB" w15:done="0"/>
  <w15:commentEx w15:paraId="2337328B" w15:done="0"/>
  <w15:commentEx w15:paraId="456E8185" w15:done="0"/>
  <w15:commentEx w15:paraId="3028A597" w15:done="0"/>
  <w15:commentEx w15:paraId="47C9A6ED" w15:done="0"/>
  <w15:commentEx w15:paraId="3019E9F1" w15:done="0"/>
  <w15:commentEx w15:paraId="6E4990E7" w15:done="0"/>
  <w15:commentEx w15:paraId="2AF37F24" w15:done="0"/>
  <w15:commentEx w15:paraId="2FEFD84D" w15:done="0"/>
  <w15:commentEx w15:paraId="44EDA066" w15:done="0"/>
  <w15:commentEx w15:paraId="0388D727" w15:done="0"/>
  <w15:commentEx w15:paraId="24DFD9E4" w15:done="0"/>
  <w15:commentEx w15:paraId="2C953727" w15:done="0"/>
  <w15:commentEx w15:paraId="03AF8B0E" w15:done="0"/>
  <w15:commentEx w15:paraId="2F45DF0A" w15:done="0"/>
  <w15:commentEx w15:paraId="40D92DD9" w15:done="0"/>
  <w15:commentEx w15:paraId="3D5CD4E4" w15:done="0"/>
  <w15:commentEx w15:paraId="1580279A" w15:done="0"/>
  <w15:commentEx w15:paraId="4FA5A64E" w15:done="0"/>
  <w15:commentEx w15:paraId="36612F79" w15:done="0"/>
  <w15:commentEx w15:paraId="42B02471" w15:done="0"/>
  <w15:commentEx w15:paraId="00E65C36" w15:done="0"/>
  <w15:commentEx w15:paraId="6332D11D" w15:done="0"/>
  <w15:commentEx w15:paraId="7D0CE9CA" w15:done="0"/>
  <w15:commentEx w15:paraId="0F9B2000" w15:done="0"/>
  <w15:commentEx w15:paraId="04167A1D" w15:done="0"/>
  <w15:commentEx w15:paraId="31C34C85" w15:done="0"/>
  <w15:commentEx w15:paraId="62E5BA1F" w15:done="0"/>
  <w15:commentEx w15:paraId="52DA31E1" w15:done="0"/>
  <w15:commentEx w15:paraId="2A5C0D87" w15:done="0"/>
  <w15:commentEx w15:paraId="6D84FB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8041F" w14:textId="77777777" w:rsidR="000642A1" w:rsidRDefault="000642A1" w:rsidP="00DC438C">
      <w:pPr>
        <w:spacing w:after="0" w:line="240" w:lineRule="auto"/>
      </w:pPr>
      <w:r>
        <w:separator/>
      </w:r>
    </w:p>
  </w:endnote>
  <w:endnote w:type="continuationSeparator" w:id="0">
    <w:p w14:paraId="56A430DE" w14:textId="77777777" w:rsidR="000642A1" w:rsidRDefault="000642A1" w:rsidP="00DC438C">
      <w:pPr>
        <w:spacing w:after="0" w:line="240" w:lineRule="auto"/>
      </w:pPr>
      <w:r>
        <w:continuationSeparator/>
      </w:r>
    </w:p>
  </w:endnote>
  <w:endnote w:id="1">
    <w:p w14:paraId="57698AE7" w14:textId="086A311C" w:rsidR="004B636F" w:rsidRPr="008F004D"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sym w:font="Symbol" w:char="F02A"/>
      </w:r>
      <w:r w:rsidRPr="00C95377">
        <w:rPr>
          <w:rFonts w:ascii="Times New Roman" w:hAnsi="Times New Roman" w:cs="Times New Roman"/>
        </w:rPr>
        <w:t xml:space="preserve"> </w:t>
      </w:r>
      <w:r w:rsidRPr="008F004D">
        <w:rPr>
          <w:rFonts w:ascii="Times New Roman" w:hAnsi="Times New Roman" w:cs="Times New Roman"/>
        </w:rPr>
        <w:t xml:space="preserve">Bristol Law School, University of the West of England, </w:t>
      </w:r>
      <w:hyperlink r:id="rId1" w:history="1">
        <w:r w:rsidRPr="008F004D">
          <w:rPr>
            <w:rStyle w:val="Hyperlink"/>
            <w:rFonts w:ascii="Times New Roman" w:hAnsi="Times New Roman" w:cs="Times New Roman"/>
          </w:rPr>
          <w:t>edward2.johnston@uwe.ac.uk</w:t>
        </w:r>
      </w:hyperlink>
      <w:r>
        <w:rPr>
          <w:rFonts w:ascii="Times New Roman" w:hAnsi="Times New Roman" w:cs="Times New Roman"/>
        </w:rPr>
        <w:t xml:space="preserve">. The author wishes to thank the anonymous reviewer and Helen Dorrington for their perceptive comments and feedback on an earlier draft of this paper.  </w:t>
      </w:r>
    </w:p>
  </w:endnote>
  <w:endnote w:id="2">
    <w:p w14:paraId="0702A8D2" w14:textId="37EE307D"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However, a pilot was conducted to examine the use of polygraph tests in the pre-trial stage; see, D. Grubin, A. Joyce and E.J. Holden, ‘Polygraph Testing of “Low Risk” Offenders Arrested for Downloading Indecent Images of Children’, Sexual Offender Treatment, (2014), Volume 9(1), available here: </w:t>
      </w:r>
      <w:hyperlink r:id="rId2" w:history="1">
        <w:r w:rsidRPr="008F004D">
          <w:rPr>
            <w:rStyle w:val="Hyperlink"/>
            <w:rFonts w:ascii="Times New Roman" w:hAnsi="Times New Roman" w:cs="Times New Roman"/>
          </w:rPr>
          <w:t>http://www.sexual-offender-treatment.org/131.html</w:t>
        </w:r>
      </w:hyperlink>
      <w:r w:rsidRPr="008F004D">
        <w:rPr>
          <w:rFonts w:ascii="Times New Roman" w:hAnsi="Times New Roman" w:cs="Times New Roman"/>
        </w:rPr>
        <w:t xml:space="preserve"> [last accessed 1/3/2016].</w:t>
      </w:r>
    </w:p>
  </w:endnote>
  <w:endnote w:id="3">
    <w:p w14:paraId="0C133F28" w14:textId="47C70AF2"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S.28-30 The Offender Management Act 2007. </w:t>
      </w:r>
    </w:p>
  </w:endnote>
  <w:endnote w:id="4">
    <w:p w14:paraId="50F1B0A8" w14:textId="7B546DDF" w:rsidR="004B636F" w:rsidRPr="008F004D" w:rsidRDefault="004B636F" w:rsidP="004B636F">
      <w:pPr>
        <w:pStyle w:val="EndnoteText"/>
        <w:spacing w:line="360" w:lineRule="auto"/>
        <w:rPr>
          <w:rFonts w:ascii="Times New Roman" w:hAnsi="Times New Roman" w:cs="Times New Roman"/>
          <w:color w:val="000000" w:themeColor="text1"/>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color w:val="000000"/>
        </w:rPr>
        <w:t>Although polygraph testing might not fall under traditional neuroscience, it is a technique used to detect deception. Other techniques may strictly speaking be more ‘neuroscientific’; the traditional polygraph test involves measuring a person’s nervous system</w:t>
      </w:r>
      <w:r w:rsidRPr="008F004D">
        <w:rPr>
          <w:rFonts w:ascii="Times New Roman" w:hAnsi="Times New Roman" w:cs="Times New Roman"/>
          <w:color w:val="FF0000"/>
        </w:rPr>
        <w:t xml:space="preserve"> </w:t>
      </w:r>
      <w:r w:rsidRPr="008F004D">
        <w:rPr>
          <w:rFonts w:ascii="Times New Roman" w:hAnsi="Times New Roman" w:cs="Times New Roman"/>
        </w:rPr>
        <w:t xml:space="preserve">so it is neuro if not cognitive neuro. </w:t>
      </w:r>
      <w:r w:rsidRPr="008F004D">
        <w:rPr>
          <w:rFonts w:ascii="Times New Roman" w:hAnsi="Times New Roman" w:cs="Times New Roman"/>
          <w:color w:val="000000"/>
        </w:rPr>
        <w:t xml:space="preserve">Polygraph tests are often mentioned under the same umbrella as brain imaging and scanning; see Fox, D. (2011) ‘The right to silence protects mental control’, in Freeman, M. (Ed.): </w:t>
      </w:r>
      <w:r w:rsidRPr="008F004D">
        <w:rPr>
          <w:rFonts w:ascii="Times New Roman" w:hAnsi="Times New Roman" w:cs="Times New Roman"/>
          <w:i/>
          <w:iCs/>
          <w:color w:val="000000"/>
        </w:rPr>
        <w:t>Law and Neuroscience Current Legal Issues</w:t>
      </w:r>
      <w:r w:rsidRPr="008F004D">
        <w:rPr>
          <w:rFonts w:ascii="Times New Roman" w:hAnsi="Times New Roman" w:cs="Times New Roman"/>
          <w:color w:val="000000"/>
        </w:rPr>
        <w:t>, Vol. 13, p.347, Oxford University Press, Oxford. For the purposes of this paper, the author takes an umbrella approach to neuroscience to include polygraph testing.</w:t>
      </w:r>
    </w:p>
  </w:endnote>
  <w:endnote w:id="5">
    <w:p w14:paraId="596AA437" w14:textId="39FBB018" w:rsidR="004B636F" w:rsidRPr="008F004D" w:rsidRDefault="004B636F" w:rsidP="004B636F">
      <w:pPr>
        <w:autoSpaceDE w:val="0"/>
        <w:autoSpaceDN w:val="0"/>
        <w:adjustRightInd w:val="0"/>
        <w:spacing w:after="0" w:line="360" w:lineRule="auto"/>
        <w:rPr>
          <w:rFonts w:ascii="Times New Roman" w:hAnsi="Times New Roman" w:cs="Times New Roman"/>
          <w:sz w:val="20"/>
          <w:szCs w:val="20"/>
        </w:rPr>
      </w:pPr>
      <w:r w:rsidRPr="008F004D">
        <w:rPr>
          <w:rStyle w:val="EndnoteReference"/>
          <w:rFonts w:ascii="Times New Roman" w:hAnsi="Times New Roman" w:cs="Times New Roman"/>
          <w:sz w:val="20"/>
          <w:szCs w:val="20"/>
        </w:rPr>
        <w:endnoteRef/>
      </w:r>
      <w:r w:rsidRPr="008F004D">
        <w:rPr>
          <w:rFonts w:ascii="Times New Roman" w:hAnsi="Times New Roman" w:cs="Times New Roman"/>
          <w:sz w:val="20"/>
          <w:szCs w:val="20"/>
        </w:rPr>
        <w:t xml:space="preserve"> Section 28(1) Offender Management Act 2007 provides that ‘The Secretary of State may include a polygraph condition in the licence of a person to whom this section applies.’</w:t>
      </w:r>
    </w:p>
  </w:endnote>
  <w:endnote w:id="6">
    <w:p w14:paraId="6B2AC525" w14:textId="079F5BD1"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S.30(2)(a) Offender Management Act 2007.</w:t>
      </w:r>
    </w:p>
  </w:endnote>
  <w:endnote w:id="7">
    <w:p w14:paraId="62D9FD3F" w14:textId="07922544" w:rsidR="004B636F" w:rsidRPr="008F004D" w:rsidRDefault="004B636F" w:rsidP="004B636F">
      <w:pPr>
        <w:pStyle w:val="EndnoteText"/>
        <w:spacing w:line="360" w:lineRule="auto"/>
        <w:rPr>
          <w:rFonts w:ascii="Times New Roman" w:hAnsi="Times New Roman" w:cs="Times New Roman"/>
          <w:color w:val="000000" w:themeColor="text1"/>
        </w:rPr>
      </w:pPr>
      <w:r w:rsidRPr="008F004D">
        <w:rPr>
          <w:rStyle w:val="EndnoteReference"/>
          <w:rFonts w:ascii="Times New Roman" w:hAnsi="Times New Roman" w:cs="Times New Roman"/>
          <w:color w:val="000000" w:themeColor="text1"/>
        </w:rPr>
        <w:endnoteRef/>
      </w:r>
      <w:r w:rsidRPr="008F004D">
        <w:rPr>
          <w:rFonts w:ascii="Times New Roman" w:hAnsi="Times New Roman" w:cs="Times New Roman"/>
          <w:color w:val="000000" w:themeColor="text1"/>
        </w:rPr>
        <w:t xml:space="preserve"> D. Grubin, A. Joyce and E. J. Holden ‘Polygraph Testing of ‘Low Risk’ Offenders Arrested for Downloading Indecent Images of Children’, Sexual Offender Treatment, Volume 9 (2014), Issue 1. Available here: </w:t>
      </w:r>
      <w:hyperlink r:id="rId3" w:history="1">
        <w:r w:rsidRPr="008F004D">
          <w:rPr>
            <w:rStyle w:val="Hyperlink"/>
            <w:rFonts w:ascii="Times New Roman" w:hAnsi="Times New Roman" w:cs="Times New Roman"/>
            <w:color w:val="000000" w:themeColor="text1"/>
          </w:rPr>
          <w:t>http://www.sexual-offender-treatment.org/131.html</w:t>
        </w:r>
      </w:hyperlink>
      <w:r w:rsidRPr="008F004D">
        <w:rPr>
          <w:rFonts w:ascii="Times New Roman" w:hAnsi="Times New Roman" w:cs="Times New Roman"/>
          <w:color w:val="000000" w:themeColor="text1"/>
        </w:rPr>
        <w:t xml:space="preserve"> [Last Accessed 20/11/2015]. </w:t>
      </w:r>
    </w:p>
  </w:endnote>
  <w:endnote w:id="8">
    <w:p w14:paraId="5FD54DCD" w14:textId="2D0723CE"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color w:val="000000" w:themeColor="text1"/>
        </w:rPr>
        <w:endnoteRef/>
      </w:r>
      <w:r w:rsidRPr="008F004D">
        <w:rPr>
          <w:rFonts w:ascii="Times New Roman" w:hAnsi="Times New Roman" w:cs="Times New Roman"/>
          <w:color w:val="000000" w:themeColor="text1"/>
        </w:rPr>
        <w:t xml:space="preserve"> </w:t>
      </w:r>
      <w:hyperlink r:id="rId4" w:history="1">
        <w:r w:rsidRPr="008F004D">
          <w:rPr>
            <w:rStyle w:val="Hyperlink"/>
            <w:rFonts w:ascii="Times New Roman" w:hAnsi="Times New Roman" w:cs="Times New Roman"/>
            <w:color w:val="000000" w:themeColor="text1"/>
          </w:rPr>
          <w:t>http://www.bbc.co.uk/news/uk-16371043</w:t>
        </w:r>
      </w:hyperlink>
      <w:r w:rsidRPr="008F004D">
        <w:rPr>
          <w:rFonts w:ascii="Times New Roman" w:hAnsi="Times New Roman" w:cs="Times New Roman"/>
          <w:color w:val="000000" w:themeColor="text1"/>
        </w:rPr>
        <w:t xml:space="preserve"> (acc</w:t>
      </w:r>
      <w:r w:rsidR="00E90574">
        <w:rPr>
          <w:rFonts w:ascii="Times New Roman" w:hAnsi="Times New Roman" w:cs="Times New Roman"/>
          <w:color w:val="000000" w:themeColor="text1"/>
        </w:rPr>
        <w:t>essed 20/11/2015) at para 5.</w:t>
      </w:r>
    </w:p>
  </w:endnote>
  <w:endnote w:id="9">
    <w:p w14:paraId="15168B3D" w14:textId="4852AE25"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lang w:val="en-US"/>
        </w:rPr>
        <w:t xml:space="preserve">CPS, Crown Prosecution Service, ‘Guidance on Expert Evidence, (2014), First Edition at p.6 </w:t>
      </w:r>
    </w:p>
  </w:endnote>
  <w:endnote w:id="10">
    <w:p w14:paraId="1CE86DDE" w14:textId="26EF973C"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lang w:val="en-US"/>
        </w:rPr>
        <w:t xml:space="preserve">The opinion must provide the court of jury with information that is likely to be outside their knowledge or experience. In </w:t>
      </w:r>
      <w:r w:rsidRPr="008F004D">
        <w:rPr>
          <w:rFonts w:ascii="Times New Roman" w:hAnsi="Times New Roman" w:cs="Times New Roman"/>
          <w:i/>
          <w:lang w:val="en-US"/>
        </w:rPr>
        <w:t xml:space="preserve">R v Turner </w:t>
      </w:r>
      <w:r w:rsidRPr="008F004D">
        <w:rPr>
          <w:rFonts w:ascii="Times New Roman" w:hAnsi="Times New Roman" w:cs="Times New Roman"/>
          <w:lang w:val="en-US"/>
        </w:rPr>
        <w:t xml:space="preserve">(1970) 60 Cr. App 80 the credibility of the witness was a matter for the jury. Psychiatric evidence concerning how an ordinary person, not suffering with a mental disorder would react, was held to be inadmissible.  </w:t>
      </w:r>
    </w:p>
  </w:endnote>
  <w:endnote w:id="11">
    <w:p w14:paraId="1BCB94CC" w14:textId="5089B1D0"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lang w:val="en-US"/>
        </w:rPr>
        <w:t xml:space="preserve">Evidence should not be given by unqualified or amateurs. In </w:t>
      </w:r>
      <w:r w:rsidRPr="008F004D">
        <w:rPr>
          <w:rFonts w:ascii="Times New Roman" w:hAnsi="Times New Roman" w:cs="Times New Roman"/>
          <w:i/>
          <w:lang w:val="en-US"/>
        </w:rPr>
        <w:t xml:space="preserve">R v Clarke &amp; Morabir </w:t>
      </w:r>
      <w:r w:rsidRPr="008F004D">
        <w:rPr>
          <w:rFonts w:ascii="Times New Roman" w:hAnsi="Times New Roman" w:cs="Times New Roman"/>
          <w:lang w:val="en-US"/>
        </w:rPr>
        <w:t xml:space="preserve">[2013] EWCA Crim 162 an expert in bone fractures could not ascertain cause of death. Lord Justice Atkins [at para 77] held he did at not have the expertise to give an opinion on the cause of death; he had never conducted a post-mortem and was distinguished in the field of osteoarticular pathology. </w:t>
      </w:r>
    </w:p>
  </w:endnote>
  <w:endnote w:id="12">
    <w:p w14:paraId="6C1823F5" w14:textId="4D774A4F"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lang w:val="en-US"/>
        </w:rPr>
        <w:t xml:space="preserve">See </w:t>
      </w:r>
      <w:r w:rsidRPr="008F004D">
        <w:rPr>
          <w:rFonts w:ascii="Times New Roman" w:hAnsi="Times New Roman" w:cs="Times New Roman"/>
          <w:i/>
          <w:lang w:val="en-US"/>
        </w:rPr>
        <w:t>R v Cleobury</w:t>
      </w:r>
      <w:r w:rsidRPr="008F004D">
        <w:rPr>
          <w:rFonts w:ascii="Times New Roman" w:hAnsi="Times New Roman" w:cs="Times New Roman"/>
          <w:lang w:val="en-US"/>
        </w:rPr>
        <w:t xml:space="preserve"> [2012] EWCA Crim 17.A report of a DNA expert for an Appeal criticized the summing-up of the original trial judge and over emphasized the importance of forensic evidence to the case. </w:t>
      </w:r>
    </w:p>
  </w:endnote>
  <w:endnote w:id="13">
    <w:p w14:paraId="752863A3" w14:textId="746A990E"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lang w:val="en-US"/>
        </w:rPr>
        <w:t>CPS, Crown Prosecution Service, ‘Guidance on Expert Evidence, (2014), First Edition at p.6.</w:t>
      </w:r>
    </w:p>
  </w:endnote>
  <w:endnote w:id="14">
    <w:p w14:paraId="644DFCEF" w14:textId="6C9579C9"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lang w:val="en-US"/>
        </w:rPr>
        <w:t>The factors the court take into account can be found in Criminal Practice Directions Amendment, No.1 [2014] EWCA Crim 1569 at paragraphs V33A.5-6.</w:t>
      </w:r>
    </w:p>
  </w:endnote>
  <w:endnote w:id="15">
    <w:p w14:paraId="3216063D" w14:textId="3D6E09CF"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i/>
        </w:rPr>
        <w:t xml:space="preserve">Frye v United States, </w:t>
      </w:r>
      <w:r w:rsidRPr="008F004D">
        <w:rPr>
          <w:rFonts w:ascii="Times New Roman" w:hAnsi="Times New Roman" w:cs="Times New Roman"/>
        </w:rPr>
        <w:t xml:space="preserve">54 App. D.C. (1923). </w:t>
      </w:r>
    </w:p>
  </w:endnote>
  <w:endnote w:id="16">
    <w:p w14:paraId="11FA0D35" w14:textId="15AB9C88"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Pr>
          <w:rFonts w:ascii="Times New Roman" w:hAnsi="Times New Roman" w:cs="Times New Roman"/>
          <w:i/>
        </w:rPr>
        <w:t>Ibid</w:t>
      </w:r>
      <w:r w:rsidRPr="008F004D">
        <w:rPr>
          <w:rFonts w:ascii="Times New Roman" w:hAnsi="Times New Roman" w:cs="Times New Roman"/>
        </w:rPr>
        <w:t xml:space="preserve"> at 1014</w:t>
      </w:r>
    </w:p>
  </w:endnote>
  <w:endnote w:id="17">
    <w:p w14:paraId="40D962D3" w14:textId="3559FC6B"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Pr>
          <w:rFonts w:ascii="Times New Roman" w:hAnsi="Times New Roman" w:cs="Times New Roman"/>
          <w:i/>
        </w:rPr>
        <w:t>Ibid</w:t>
      </w:r>
      <w:r w:rsidRPr="008F004D">
        <w:rPr>
          <w:rFonts w:ascii="Times New Roman" w:hAnsi="Times New Roman" w:cs="Times New Roman"/>
        </w:rPr>
        <w:t xml:space="preserve"> at 1014</w:t>
      </w:r>
    </w:p>
  </w:endnote>
  <w:endnote w:id="18">
    <w:p w14:paraId="6EB117CF" w14:textId="583568B7"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Although a number of states still use the guidance outlined in </w:t>
      </w:r>
      <w:r w:rsidRPr="008F004D">
        <w:rPr>
          <w:rFonts w:ascii="Times New Roman" w:hAnsi="Times New Roman" w:cs="Times New Roman"/>
          <w:i/>
        </w:rPr>
        <w:t>Frye</w:t>
      </w:r>
      <w:r w:rsidRPr="008F004D">
        <w:rPr>
          <w:rFonts w:ascii="Times New Roman" w:hAnsi="Times New Roman" w:cs="Times New Roman"/>
        </w:rPr>
        <w:t xml:space="preserve">. These States include, California, Illinois, Maryland, New York and New Jersey. However, in July 2013 Florida adopted the </w:t>
      </w:r>
      <w:r w:rsidRPr="008F004D">
        <w:rPr>
          <w:rFonts w:ascii="Times New Roman" w:hAnsi="Times New Roman" w:cs="Times New Roman"/>
          <w:i/>
        </w:rPr>
        <w:t>Daubert</w:t>
      </w:r>
      <w:r w:rsidRPr="008F004D">
        <w:rPr>
          <w:rFonts w:ascii="Times New Roman" w:hAnsi="Times New Roman" w:cs="Times New Roman"/>
        </w:rPr>
        <w:t xml:space="preserve"> standard and Kansas adopted it in 2014. </w:t>
      </w:r>
    </w:p>
  </w:endnote>
  <w:endnote w:id="19">
    <w:p w14:paraId="1AEB5444" w14:textId="13FF1823"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i/>
        </w:rPr>
        <w:t xml:space="preserve">Daubert v Merrel Dow Pharmaceuticals, Inc, </w:t>
      </w:r>
      <w:r w:rsidRPr="008F004D">
        <w:rPr>
          <w:rFonts w:ascii="Times New Roman" w:hAnsi="Times New Roman" w:cs="Times New Roman"/>
        </w:rPr>
        <w:t>[509 U.S. 579], 1993.</w:t>
      </w:r>
    </w:p>
  </w:endnote>
  <w:endnote w:id="20">
    <w:p w14:paraId="510C761D" w14:textId="52FB9DC3"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4B636F">
        <w:rPr>
          <w:rFonts w:ascii="Times New Roman" w:hAnsi="Times New Roman" w:cs="Times New Roman"/>
          <w:i/>
        </w:rPr>
        <w:t>Ibid.</w:t>
      </w:r>
    </w:p>
  </w:endnote>
  <w:endnote w:id="21">
    <w:p w14:paraId="661C2653" w14:textId="1F96627D"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Pr>
          <w:rFonts w:ascii="Times New Roman" w:hAnsi="Times New Roman" w:cs="Times New Roman"/>
          <w:i/>
        </w:rPr>
        <w:t>Ibid</w:t>
      </w:r>
      <w:r w:rsidRPr="008F004D">
        <w:rPr>
          <w:rFonts w:ascii="Times New Roman" w:hAnsi="Times New Roman" w:cs="Times New Roman"/>
        </w:rPr>
        <w:t xml:space="preserve"> at 593-94</w:t>
      </w:r>
    </w:p>
  </w:endnote>
  <w:endnote w:id="22">
    <w:p w14:paraId="60F73EA7" w14:textId="58A8A4FE"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Pr>
          <w:rFonts w:ascii="Times New Roman" w:hAnsi="Times New Roman" w:cs="Times New Roman"/>
          <w:i/>
        </w:rPr>
        <w:t>Ibid</w:t>
      </w:r>
      <w:r w:rsidRPr="008F004D">
        <w:rPr>
          <w:rFonts w:ascii="Times New Roman" w:hAnsi="Times New Roman" w:cs="Times New Roman"/>
        </w:rPr>
        <w:t xml:space="preserve"> at 5.92.</w:t>
      </w:r>
    </w:p>
  </w:endnote>
  <w:endnote w:id="23">
    <w:p w14:paraId="082B7A38" w14:textId="58CE8C46"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L. M. Gaudet, Note, ‘Brain Fingerprinting, Scientific Evidence and </w:t>
      </w:r>
      <w:r w:rsidRPr="008F004D">
        <w:rPr>
          <w:rFonts w:ascii="Times New Roman" w:hAnsi="Times New Roman" w:cs="Times New Roman"/>
          <w:i/>
        </w:rPr>
        <w:t>Daubert</w:t>
      </w:r>
      <w:r w:rsidRPr="008F004D">
        <w:rPr>
          <w:rFonts w:ascii="Times New Roman" w:hAnsi="Times New Roman" w:cs="Times New Roman"/>
        </w:rPr>
        <w:t>: A Cautionary Lesson from India, 51 Jurimetrics J. 293-318 (2011) 293-318 at 298.</w:t>
      </w:r>
    </w:p>
  </w:endnote>
  <w:endnote w:id="24">
    <w:p w14:paraId="06FC58E4" w14:textId="06E837C5"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L. Dixon and B.Gill, ‘</w:t>
      </w:r>
      <w:r w:rsidRPr="008F004D">
        <w:rPr>
          <w:rFonts w:ascii="Times New Roman" w:hAnsi="Times New Roman" w:cs="Times New Roman"/>
          <w:i/>
        </w:rPr>
        <w:t>Changes in the Standards for Admitting Expert Evidence in Federal Civil Cases since the Daubert decision</w:t>
      </w:r>
      <w:r w:rsidRPr="008F004D">
        <w:rPr>
          <w:rFonts w:ascii="Times New Roman" w:hAnsi="Times New Roman" w:cs="Times New Roman"/>
        </w:rPr>
        <w:t xml:space="preserve">’ </w:t>
      </w:r>
      <w:r w:rsidRPr="008F004D">
        <w:rPr>
          <w:rFonts w:ascii="Times New Roman" w:hAnsi="Times New Roman" w:cs="Times New Roman"/>
          <w:color w:val="222222"/>
        </w:rPr>
        <w:t>Psychol. Pub. Pol'y &amp; L.(2001) 251 at 299.</w:t>
      </w:r>
    </w:p>
  </w:endnote>
  <w:endnote w:id="25">
    <w:p w14:paraId="04EA0D53" w14:textId="625784FE"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i/>
          <w:lang w:val="en-US"/>
        </w:rPr>
        <w:t xml:space="preserve">Kansas v Lumley </w:t>
      </w:r>
      <w:r w:rsidRPr="008F004D">
        <w:rPr>
          <w:rFonts w:ascii="Times New Roman" w:hAnsi="Times New Roman" w:cs="Times New Roman"/>
          <w:lang w:val="en-US"/>
        </w:rPr>
        <w:t>(WL 218704) 1999.</w:t>
      </w:r>
    </w:p>
  </w:endnote>
  <w:endnote w:id="26">
    <w:p w14:paraId="746894AF" w14:textId="0BEF7E8E"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i/>
          <w:lang w:val="en-US"/>
        </w:rPr>
        <w:t xml:space="preserve">United States v Semrau </w:t>
      </w:r>
      <w:r w:rsidRPr="008F004D">
        <w:rPr>
          <w:rFonts w:ascii="Times New Roman" w:hAnsi="Times New Roman" w:cs="Times New Roman"/>
          <w:lang w:val="en-US"/>
        </w:rPr>
        <w:t>United States Court of Appeals for the Sixth Circuit, 693 F.3d 510 (6</w:t>
      </w:r>
      <w:r w:rsidRPr="008F004D">
        <w:rPr>
          <w:rFonts w:ascii="Times New Roman" w:hAnsi="Times New Roman" w:cs="Times New Roman"/>
          <w:vertAlign w:val="superscript"/>
          <w:lang w:val="en-US"/>
        </w:rPr>
        <w:t>th</w:t>
      </w:r>
      <w:r w:rsidRPr="008F004D">
        <w:rPr>
          <w:rFonts w:ascii="Times New Roman" w:hAnsi="Times New Roman" w:cs="Times New Roman"/>
          <w:lang w:val="en-US"/>
        </w:rPr>
        <w:t xml:space="preserve"> Cir 2012)</w:t>
      </w:r>
    </w:p>
  </w:endnote>
  <w:endnote w:id="27">
    <w:p w14:paraId="19EACC31" w14:textId="15B027FB"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i/>
        </w:rPr>
        <w:t xml:space="preserve">United States v Semrau, </w:t>
      </w:r>
      <w:r w:rsidRPr="008F004D">
        <w:rPr>
          <w:rFonts w:ascii="Times New Roman" w:hAnsi="Times New Roman" w:cs="Times New Roman"/>
        </w:rPr>
        <w:t>No. 07-10074 M1/P, Report and Recommendation (W.D Tenn. May 31, 2010), aff’d, 693 F.3d 510 (CA 6, 2012) at p.31.</w:t>
      </w:r>
    </w:p>
  </w:endnote>
  <w:endnote w:id="28">
    <w:p w14:paraId="5FA83177" w14:textId="21FA907E"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lang w:val="en-US"/>
        </w:rPr>
        <w:t>[1995] 2. CR. App. R 425.</w:t>
      </w:r>
    </w:p>
  </w:endnote>
  <w:endnote w:id="29">
    <w:p w14:paraId="527E8EE0" w14:textId="2485F01E"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i/>
        </w:rPr>
        <w:t>R v Clarke (Robert Lee)</w:t>
      </w:r>
      <w:r w:rsidRPr="008F004D">
        <w:rPr>
          <w:rFonts w:ascii="Times New Roman" w:hAnsi="Times New Roman" w:cs="Times New Roman"/>
        </w:rPr>
        <w:t xml:space="preserve"> 2 Cr. App. R 425 per Steyn LJ at 430.</w:t>
      </w:r>
    </w:p>
  </w:endnote>
  <w:endnote w:id="30">
    <w:p w14:paraId="5C3C0FC0" w14:textId="4159672B"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i/>
          <w:lang w:val="en-US"/>
        </w:rPr>
        <w:t xml:space="preserve">Lundy v R </w:t>
      </w:r>
      <w:r w:rsidRPr="008F004D">
        <w:rPr>
          <w:rFonts w:ascii="Times New Roman" w:hAnsi="Times New Roman" w:cs="Times New Roman"/>
          <w:lang w:val="en-US"/>
        </w:rPr>
        <w:t>[2013] UKPC 28.</w:t>
      </w:r>
    </w:p>
  </w:endnote>
  <w:endnote w:id="31">
    <w:p w14:paraId="07351391" w14:textId="2F468583"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lang w:val="en-US"/>
        </w:rPr>
        <w:t xml:space="preserve">It is important to highlight that the </w:t>
      </w:r>
      <w:r w:rsidRPr="008F004D">
        <w:rPr>
          <w:rFonts w:ascii="Times New Roman" w:hAnsi="Times New Roman" w:cs="Times New Roman"/>
          <w:i/>
          <w:lang w:val="en-US"/>
        </w:rPr>
        <w:t>Lundy</w:t>
      </w:r>
      <w:r w:rsidRPr="008F004D">
        <w:rPr>
          <w:rFonts w:ascii="Times New Roman" w:hAnsi="Times New Roman" w:cs="Times New Roman"/>
          <w:lang w:val="en-US"/>
        </w:rPr>
        <w:t xml:space="preserve"> case was heard by the Privy Council. The decisions of the Privy Council are not binding on English courts, as the court is not part of the court hierarchy of England and Wales. Its decisions are very persuasive. However, the Council’s decisions are considered by the English courts to be important and very worthy of consideration, particularly because many of the judges sitting in the Privy Council al</w:t>
      </w:r>
      <w:r w:rsidR="00E90574">
        <w:rPr>
          <w:rFonts w:ascii="Times New Roman" w:hAnsi="Times New Roman" w:cs="Times New Roman"/>
          <w:lang w:val="en-US"/>
        </w:rPr>
        <w:t>so sit in the UK Supreme Court.</w:t>
      </w:r>
      <w:r w:rsidRPr="008F004D">
        <w:rPr>
          <w:rFonts w:ascii="Times New Roman" w:hAnsi="Times New Roman" w:cs="Times New Roman"/>
          <w:lang w:val="en-US"/>
        </w:rPr>
        <w:t xml:space="preserve"> See further S. Voigt, ‘Improving Credibility by Delegating Judicial Competence – the case of the Judicial Committee of the Privy Council’, Journal of Development Economics, Vol 82(2), 2007, p348-373.</w:t>
      </w:r>
    </w:p>
  </w:endnote>
  <w:endnote w:id="32">
    <w:p w14:paraId="1A3C5AD9" w14:textId="79DE2340"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See Part 19, Criminal Practice Directions 2015, Division V, Evidence, available here: </w:t>
      </w:r>
      <w:hyperlink r:id="rId5" w:history="1">
        <w:r w:rsidRPr="008F004D">
          <w:rPr>
            <w:rStyle w:val="Hyperlink"/>
            <w:rFonts w:ascii="Times New Roman" w:hAnsi="Times New Roman" w:cs="Times New Roman"/>
          </w:rPr>
          <w:t>http://www.justice.gov.uk/courts/procedure-rules/criminal/practice-direction/2015/crim-practice-directions-V-evidence-2015.pdf</w:t>
        </w:r>
      </w:hyperlink>
      <w:r w:rsidRPr="008F004D">
        <w:rPr>
          <w:rFonts w:ascii="Times New Roman" w:hAnsi="Times New Roman" w:cs="Times New Roman"/>
        </w:rPr>
        <w:t xml:space="preserve"> [Last accessed 7th March 2016]. </w:t>
      </w:r>
    </w:p>
  </w:endnote>
  <w:endnote w:id="33">
    <w:p w14:paraId="18760104" w14:textId="59FB3473"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i/>
        </w:rPr>
        <w:t xml:space="preserve">Daubert v Merrel Dow Pharmaceuticals, Inc, </w:t>
      </w:r>
      <w:r w:rsidRPr="008F004D">
        <w:rPr>
          <w:rFonts w:ascii="Times New Roman" w:hAnsi="Times New Roman" w:cs="Times New Roman"/>
        </w:rPr>
        <w:t>[509 U.S. 579], 1993.</w:t>
      </w:r>
    </w:p>
  </w:endnote>
  <w:endnote w:id="34">
    <w:p w14:paraId="0211A330" w14:textId="151816B1"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lang w:val="en-US"/>
        </w:rPr>
        <w:t xml:space="preserve">See K. Alder, ‘The Lie Detectors: The History of an American Obsession (2009), (Nebraska: Bison Books). See also, National Research Council (2003), </w:t>
      </w:r>
      <w:r w:rsidRPr="008F004D">
        <w:rPr>
          <w:rFonts w:ascii="Times New Roman" w:hAnsi="Times New Roman" w:cs="Times New Roman"/>
          <w:i/>
          <w:lang w:val="en-US"/>
        </w:rPr>
        <w:t xml:space="preserve">The Polygraph and Lie Detection, </w:t>
      </w:r>
      <w:r w:rsidRPr="008F004D">
        <w:rPr>
          <w:rFonts w:ascii="Times New Roman" w:hAnsi="Times New Roman" w:cs="Times New Roman"/>
          <w:lang w:val="en-US"/>
        </w:rPr>
        <w:t xml:space="preserve">Committee to Review the Scientific Evidence on the Polygraph, Division of Behavioral and Social Sciences and Education, Washington D.C., The National Academies Press. </w:t>
      </w:r>
    </w:p>
  </w:endnote>
  <w:endnote w:id="35">
    <w:p w14:paraId="79AE2CC5" w14:textId="582B41E4" w:rsidR="004B636F" w:rsidRPr="008F004D" w:rsidRDefault="004B636F" w:rsidP="004B636F">
      <w:pPr>
        <w:pStyle w:val="Default"/>
        <w:spacing w:line="360" w:lineRule="auto"/>
        <w:rPr>
          <w:sz w:val="20"/>
          <w:szCs w:val="20"/>
        </w:rPr>
      </w:pPr>
      <w:r w:rsidRPr="008F004D">
        <w:rPr>
          <w:rStyle w:val="EndnoteReference"/>
          <w:sz w:val="20"/>
          <w:szCs w:val="20"/>
        </w:rPr>
        <w:endnoteRef/>
      </w:r>
      <w:r w:rsidRPr="008F004D">
        <w:rPr>
          <w:sz w:val="20"/>
          <w:szCs w:val="20"/>
        </w:rPr>
        <w:t xml:space="preserve"> </w:t>
      </w:r>
      <w:r w:rsidRPr="008F004D">
        <w:rPr>
          <w:sz w:val="20"/>
          <w:szCs w:val="20"/>
          <w:lang w:val="en-US"/>
        </w:rPr>
        <w:t xml:space="preserve">See Kleinmuntz, B., and J.J. Szucko, (1984) Lie detection in ancient and modern times: A call for contemporary scientific study. </w:t>
      </w:r>
      <w:r w:rsidRPr="008F004D">
        <w:rPr>
          <w:i/>
          <w:iCs/>
          <w:sz w:val="20"/>
          <w:szCs w:val="20"/>
          <w:lang w:val="en-US"/>
        </w:rPr>
        <w:t>American Psychologist</w:t>
      </w:r>
      <w:r w:rsidRPr="008F004D">
        <w:rPr>
          <w:sz w:val="20"/>
          <w:szCs w:val="20"/>
          <w:lang w:val="en-US"/>
        </w:rPr>
        <w:t xml:space="preserve"> 39(7)766-776.</w:t>
      </w:r>
    </w:p>
  </w:endnote>
  <w:endnote w:id="36">
    <w:p w14:paraId="29F87496" w14:textId="0E8BAD82"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M. Stockdale and D. Grubin, ‘The Admissibility of Polygraph Evidence in English Criminal Proceedings’, J. Crim. L. 2012, 76(3) 232-253 at 233.</w:t>
      </w:r>
    </w:p>
  </w:endnote>
  <w:endnote w:id="37">
    <w:p w14:paraId="3B9D6201" w14:textId="1F8C1A5D"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lang w:val="en-US"/>
        </w:rPr>
        <w:t xml:space="preserve">National Research Council (2003), </w:t>
      </w:r>
      <w:r w:rsidRPr="008F004D">
        <w:rPr>
          <w:rFonts w:ascii="Times New Roman" w:hAnsi="Times New Roman" w:cs="Times New Roman"/>
          <w:i/>
          <w:lang w:val="en-US"/>
        </w:rPr>
        <w:t xml:space="preserve">The Polygraph and Lie Detection, </w:t>
      </w:r>
      <w:r w:rsidRPr="008F004D">
        <w:rPr>
          <w:rFonts w:ascii="Times New Roman" w:hAnsi="Times New Roman" w:cs="Times New Roman"/>
          <w:lang w:val="en-US"/>
        </w:rPr>
        <w:t>Committee to Review the Scientific Evidence on the Polygraph, Division of Behavioral and Social Sciences and Education, Washington D.C., The National Academies Press at p.4.</w:t>
      </w:r>
    </w:p>
  </w:endnote>
  <w:endnote w:id="38">
    <w:p w14:paraId="1FC58D18" w14:textId="5CDC15DC" w:rsidR="004B636F" w:rsidRPr="008F004D" w:rsidRDefault="004B636F" w:rsidP="004B636F">
      <w:pPr>
        <w:pStyle w:val="EndnoteText"/>
        <w:spacing w:line="360" w:lineRule="auto"/>
        <w:rPr>
          <w:rFonts w:ascii="Times New Roman" w:hAnsi="Times New Roman" w:cs="Times New Roman"/>
          <w:lang w:val="en-US"/>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bCs/>
          <w:i/>
          <w:lang w:val="en-US"/>
        </w:rPr>
        <w:t xml:space="preserve">Fennell v Jerome Property Maintenance Ltd, The Times, </w:t>
      </w:r>
      <w:r w:rsidRPr="008F004D">
        <w:rPr>
          <w:rFonts w:ascii="Times New Roman" w:hAnsi="Times New Roman" w:cs="Times New Roman"/>
          <w:bCs/>
          <w:lang w:val="en-US"/>
        </w:rPr>
        <w:t>(26</w:t>
      </w:r>
      <w:r w:rsidRPr="008F004D">
        <w:rPr>
          <w:rFonts w:ascii="Times New Roman" w:hAnsi="Times New Roman" w:cs="Times New Roman"/>
          <w:bCs/>
          <w:vertAlign w:val="superscript"/>
          <w:lang w:val="en-US"/>
        </w:rPr>
        <w:t>th</w:t>
      </w:r>
      <w:r w:rsidRPr="008F004D">
        <w:rPr>
          <w:rFonts w:ascii="Times New Roman" w:hAnsi="Times New Roman" w:cs="Times New Roman"/>
          <w:bCs/>
          <w:lang w:val="en-US"/>
        </w:rPr>
        <w:t xml:space="preserve"> November 1986) QBD. </w:t>
      </w:r>
    </w:p>
  </w:endnote>
  <w:endnote w:id="39">
    <w:p w14:paraId="78C28531" w14:textId="023F7BFB"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Royal Commission on Criminal Procedure (1981) </w:t>
      </w:r>
      <w:r w:rsidRPr="008F004D">
        <w:rPr>
          <w:rFonts w:ascii="Times New Roman" w:hAnsi="Times New Roman" w:cs="Times New Roman"/>
          <w:i/>
        </w:rPr>
        <w:t>Report</w:t>
      </w:r>
      <w:r w:rsidRPr="008F004D">
        <w:rPr>
          <w:rFonts w:ascii="Times New Roman" w:hAnsi="Times New Roman" w:cs="Times New Roman"/>
        </w:rPr>
        <w:t>, Cm. 8092 (London: HMSO) at Para 4.76</w:t>
      </w:r>
    </w:p>
  </w:endnote>
  <w:endnote w:id="40">
    <w:p w14:paraId="597CA0D6" w14:textId="5884049A"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T. P Cross and L. Saxe, ‘Polygraph Testing and Sexual Abuse: The Lure of the Magic Lasso’ (2001) Child Maltreatment Vol.6 (3), 195-206 at 198.</w:t>
      </w:r>
    </w:p>
  </w:endnote>
  <w:endnote w:id="41">
    <w:p w14:paraId="1D330B49" w14:textId="5BB17F88"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S. Frederiksen, ‘Brain Fingerprinting or Lie Detector: Does Canada’s Polygraph Jurisprudence apply to emerging forensic neuroscience technologies?’ Information, Communication and Technology Law, Vol 20(2) June 2011, 115-132 at 119.</w:t>
      </w:r>
    </w:p>
  </w:endnote>
  <w:endnote w:id="42">
    <w:p w14:paraId="4A44A551" w14:textId="4376715A" w:rsidR="004B636F" w:rsidRPr="000A41E4"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S. Frederiksen, ‘Brain Fingerprinting or Lie Detector: Does Canada’s Polygraph Jurisprudence apply to emerging forensic neuroscience technologies?’, Information, Communication and Technology Law, Vol 20(2) </w:t>
      </w:r>
      <w:r w:rsidRPr="000A41E4">
        <w:rPr>
          <w:rFonts w:ascii="Times New Roman" w:hAnsi="Times New Roman" w:cs="Times New Roman"/>
        </w:rPr>
        <w:t>June 2011, 115-132 at 126.</w:t>
      </w:r>
    </w:p>
  </w:endnote>
  <w:endnote w:id="43">
    <w:p w14:paraId="4686FE4D" w14:textId="31E76795" w:rsidR="004B636F" w:rsidRPr="000A41E4" w:rsidRDefault="004B636F" w:rsidP="004B636F">
      <w:pPr>
        <w:pStyle w:val="EndnoteText"/>
        <w:spacing w:line="360" w:lineRule="auto"/>
        <w:rPr>
          <w:rFonts w:ascii="Times New Roman" w:hAnsi="Times New Roman" w:cs="Times New Roman"/>
          <w:lang w:val="en-US"/>
        </w:rPr>
      </w:pPr>
      <w:r w:rsidRPr="000A41E4">
        <w:rPr>
          <w:rStyle w:val="EndnoteReference"/>
          <w:rFonts w:ascii="Times New Roman" w:hAnsi="Times New Roman" w:cs="Times New Roman"/>
        </w:rPr>
        <w:endnoteRef/>
      </w:r>
      <w:r w:rsidRPr="000A41E4">
        <w:rPr>
          <w:rFonts w:ascii="Times New Roman" w:hAnsi="Times New Roman" w:cs="Times New Roman"/>
        </w:rPr>
        <w:t xml:space="preserve"> [2001] 1 LRC 472.</w:t>
      </w:r>
    </w:p>
  </w:endnote>
  <w:endnote w:id="44">
    <w:p w14:paraId="34471F80" w14:textId="5356B605" w:rsidR="004B636F" w:rsidRPr="000A41E4" w:rsidRDefault="004B636F" w:rsidP="004B636F">
      <w:pPr>
        <w:pStyle w:val="EndnoteText"/>
        <w:spacing w:line="360" w:lineRule="auto"/>
        <w:rPr>
          <w:rFonts w:ascii="Times New Roman" w:hAnsi="Times New Roman" w:cs="Times New Roman"/>
          <w:lang w:val="en-US"/>
        </w:rPr>
      </w:pPr>
      <w:r w:rsidRPr="000A41E4">
        <w:rPr>
          <w:rStyle w:val="EndnoteReference"/>
          <w:rFonts w:ascii="Times New Roman" w:hAnsi="Times New Roman" w:cs="Times New Roman"/>
        </w:rPr>
        <w:endnoteRef/>
      </w:r>
      <w:r w:rsidRPr="000A41E4">
        <w:rPr>
          <w:rFonts w:ascii="Times New Roman" w:hAnsi="Times New Roman" w:cs="Times New Roman"/>
        </w:rPr>
        <w:t xml:space="preserve"> </w:t>
      </w:r>
      <w:r w:rsidR="000A41E4" w:rsidRPr="000A41E4">
        <w:rPr>
          <w:rFonts w:ascii="Times New Roman" w:hAnsi="Times New Roman" w:cs="Times New Roman"/>
          <w:i/>
        </w:rPr>
        <w:t xml:space="preserve">Ibid </w:t>
      </w:r>
      <w:r w:rsidRPr="000A41E4">
        <w:rPr>
          <w:rFonts w:ascii="Times New Roman" w:hAnsi="Times New Roman" w:cs="Times New Roman"/>
        </w:rPr>
        <w:t>per Iacobucci J at paras 48-57.</w:t>
      </w:r>
    </w:p>
  </w:endnote>
  <w:endnote w:id="45">
    <w:p w14:paraId="43D69CB3" w14:textId="300A789C" w:rsidR="004B636F" w:rsidRPr="000A41E4" w:rsidRDefault="004B636F" w:rsidP="004B636F">
      <w:pPr>
        <w:pStyle w:val="EndnoteText"/>
        <w:spacing w:line="360" w:lineRule="auto"/>
        <w:rPr>
          <w:rFonts w:ascii="Times New Roman" w:hAnsi="Times New Roman" w:cs="Times New Roman"/>
          <w:lang w:val="en-US"/>
        </w:rPr>
      </w:pPr>
      <w:r w:rsidRPr="000A41E4">
        <w:rPr>
          <w:rStyle w:val="EndnoteReference"/>
          <w:rFonts w:ascii="Times New Roman" w:hAnsi="Times New Roman" w:cs="Times New Roman"/>
        </w:rPr>
        <w:endnoteRef/>
      </w:r>
      <w:r w:rsidRPr="000A41E4">
        <w:rPr>
          <w:rFonts w:ascii="Times New Roman" w:hAnsi="Times New Roman" w:cs="Times New Roman"/>
        </w:rPr>
        <w:t xml:space="preserve"> </w:t>
      </w:r>
      <w:r w:rsidR="000A41E4" w:rsidRPr="000A41E4">
        <w:rPr>
          <w:rFonts w:ascii="Times New Roman" w:hAnsi="Times New Roman" w:cs="Times New Roman"/>
          <w:i/>
        </w:rPr>
        <w:t xml:space="preserve">Ibid </w:t>
      </w:r>
      <w:r w:rsidRPr="000A41E4">
        <w:rPr>
          <w:rFonts w:ascii="Times New Roman" w:hAnsi="Times New Roman" w:cs="Times New Roman"/>
        </w:rPr>
        <w:t>per Iacobucci J at paras 58-62.</w:t>
      </w:r>
    </w:p>
  </w:endnote>
  <w:endnote w:id="46">
    <w:p w14:paraId="1B4658DE" w14:textId="6F8FC6D9" w:rsidR="004B636F" w:rsidRPr="000A41E4" w:rsidRDefault="004B636F" w:rsidP="004B636F">
      <w:pPr>
        <w:pStyle w:val="EndnoteText"/>
        <w:spacing w:line="360" w:lineRule="auto"/>
        <w:rPr>
          <w:rFonts w:ascii="Times New Roman" w:hAnsi="Times New Roman" w:cs="Times New Roman"/>
          <w:lang w:val="en-US"/>
        </w:rPr>
      </w:pPr>
      <w:r w:rsidRPr="000A41E4">
        <w:rPr>
          <w:rStyle w:val="EndnoteReference"/>
          <w:rFonts w:ascii="Times New Roman" w:hAnsi="Times New Roman" w:cs="Times New Roman"/>
        </w:rPr>
        <w:endnoteRef/>
      </w:r>
      <w:r w:rsidRPr="000A41E4">
        <w:rPr>
          <w:rFonts w:ascii="Times New Roman" w:hAnsi="Times New Roman" w:cs="Times New Roman"/>
        </w:rPr>
        <w:t xml:space="preserve"> </w:t>
      </w:r>
      <w:r w:rsidR="000A41E4" w:rsidRPr="000A41E4">
        <w:rPr>
          <w:rFonts w:ascii="Times New Roman" w:hAnsi="Times New Roman" w:cs="Times New Roman"/>
          <w:i/>
        </w:rPr>
        <w:t xml:space="preserve">Ibid </w:t>
      </w:r>
      <w:r w:rsidRPr="000A41E4">
        <w:rPr>
          <w:rFonts w:ascii="Times New Roman" w:hAnsi="Times New Roman" w:cs="Times New Roman"/>
        </w:rPr>
        <w:t>at per Iacobucci J at paras 63-64.</w:t>
      </w:r>
    </w:p>
  </w:endnote>
  <w:endnote w:id="47">
    <w:p w14:paraId="74CC0E51" w14:textId="44554CA8" w:rsidR="004B636F" w:rsidRPr="000A41E4" w:rsidRDefault="004B636F" w:rsidP="004B636F">
      <w:pPr>
        <w:pStyle w:val="EndnoteText"/>
        <w:spacing w:line="360" w:lineRule="auto"/>
        <w:rPr>
          <w:rFonts w:ascii="Times New Roman" w:hAnsi="Times New Roman" w:cs="Times New Roman"/>
          <w:lang w:val="en-US"/>
        </w:rPr>
      </w:pPr>
      <w:r w:rsidRPr="000A41E4">
        <w:rPr>
          <w:rStyle w:val="EndnoteReference"/>
          <w:rFonts w:ascii="Times New Roman" w:hAnsi="Times New Roman" w:cs="Times New Roman"/>
        </w:rPr>
        <w:endnoteRef/>
      </w:r>
      <w:r w:rsidRPr="000A41E4">
        <w:rPr>
          <w:rFonts w:ascii="Times New Roman" w:hAnsi="Times New Roman" w:cs="Times New Roman"/>
        </w:rPr>
        <w:t xml:space="preserve"> </w:t>
      </w:r>
      <w:r w:rsidR="000A41E4" w:rsidRPr="000A41E4">
        <w:rPr>
          <w:rFonts w:ascii="Times New Roman" w:hAnsi="Times New Roman" w:cs="Times New Roman"/>
          <w:i/>
        </w:rPr>
        <w:t xml:space="preserve">Ibid </w:t>
      </w:r>
      <w:r w:rsidRPr="000A41E4">
        <w:rPr>
          <w:rFonts w:ascii="Times New Roman" w:hAnsi="Times New Roman" w:cs="Times New Roman"/>
        </w:rPr>
        <w:t>at 474.</w:t>
      </w:r>
    </w:p>
  </w:endnote>
  <w:endnote w:id="48">
    <w:p w14:paraId="534E392D" w14:textId="39A19963" w:rsidR="004B636F" w:rsidRPr="000A41E4" w:rsidRDefault="004B636F" w:rsidP="004B636F">
      <w:pPr>
        <w:pStyle w:val="EndnoteText"/>
        <w:spacing w:line="360" w:lineRule="auto"/>
        <w:rPr>
          <w:rFonts w:ascii="Times New Roman" w:hAnsi="Times New Roman" w:cs="Times New Roman"/>
          <w:lang w:val="en-US"/>
        </w:rPr>
      </w:pPr>
      <w:r w:rsidRPr="000A41E4">
        <w:rPr>
          <w:rStyle w:val="EndnoteReference"/>
          <w:rFonts w:ascii="Times New Roman" w:hAnsi="Times New Roman" w:cs="Times New Roman"/>
        </w:rPr>
        <w:endnoteRef/>
      </w:r>
      <w:r w:rsidRPr="000A41E4">
        <w:rPr>
          <w:rFonts w:ascii="Times New Roman" w:hAnsi="Times New Roman" w:cs="Times New Roman"/>
        </w:rPr>
        <w:t xml:space="preserve"> </w:t>
      </w:r>
      <w:r w:rsidR="000A41E4" w:rsidRPr="000A41E4">
        <w:rPr>
          <w:rFonts w:ascii="Times New Roman" w:hAnsi="Times New Roman" w:cs="Times New Roman"/>
          <w:i/>
        </w:rPr>
        <w:t xml:space="preserve">Ibid </w:t>
      </w:r>
      <w:r w:rsidRPr="000A41E4">
        <w:rPr>
          <w:rFonts w:ascii="Times New Roman" w:hAnsi="Times New Roman" w:cs="Times New Roman"/>
        </w:rPr>
        <w:t>at para 150-151.</w:t>
      </w:r>
    </w:p>
  </w:endnote>
  <w:endnote w:id="49">
    <w:p w14:paraId="19BAE627" w14:textId="11BAC609" w:rsidR="000A41E4" w:rsidRPr="000A41E4" w:rsidRDefault="000A41E4">
      <w:pPr>
        <w:pStyle w:val="EndnoteText"/>
        <w:rPr>
          <w:i/>
        </w:rPr>
      </w:pPr>
      <w:r w:rsidRPr="000A41E4">
        <w:rPr>
          <w:rStyle w:val="EndnoteReference"/>
          <w:rFonts w:ascii="Times New Roman" w:hAnsi="Times New Roman" w:cs="Times New Roman"/>
        </w:rPr>
        <w:endnoteRef/>
      </w:r>
      <w:r w:rsidRPr="000A41E4">
        <w:rPr>
          <w:rFonts w:ascii="Times New Roman" w:hAnsi="Times New Roman" w:cs="Times New Roman"/>
        </w:rPr>
        <w:t xml:space="preserve"> </w:t>
      </w:r>
      <w:r w:rsidRPr="000A41E4">
        <w:rPr>
          <w:rFonts w:ascii="Times New Roman" w:hAnsi="Times New Roman" w:cs="Times New Roman"/>
          <w:i/>
        </w:rPr>
        <w:t xml:space="preserve">Ibid </w:t>
      </w:r>
      <w:r w:rsidRPr="000A41E4">
        <w:rPr>
          <w:rFonts w:ascii="Times New Roman" w:hAnsi="Times New Roman" w:cs="Times New Roman"/>
        </w:rPr>
        <w:t>at para 150</w:t>
      </w:r>
    </w:p>
  </w:endnote>
  <w:endnote w:id="50">
    <w:p w14:paraId="7AF46802" w14:textId="335BD3C9"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R. McGrath, G.F. Cumming, S. Hoke and M. Bonn-Miller, ‘Outcomes in a community offender treatment program: A comparison between polygraphed and matched non-polygraphed offenders’, Sexual Abuse: A Journal or Research and Treatment (2007) Vol. 19(4) 381-393.</w:t>
      </w:r>
    </w:p>
  </w:endnote>
  <w:endnote w:id="51">
    <w:p w14:paraId="0D470DD0" w14:textId="64D898F7"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lang w:val="en-US"/>
        </w:rPr>
        <w:t xml:space="preserve">National Research Council (2003), </w:t>
      </w:r>
      <w:r w:rsidRPr="008F004D">
        <w:rPr>
          <w:rFonts w:ascii="Times New Roman" w:hAnsi="Times New Roman" w:cs="Times New Roman"/>
          <w:i/>
          <w:lang w:val="en-US"/>
        </w:rPr>
        <w:t xml:space="preserve">The Polygraph and Lie Detection, </w:t>
      </w:r>
      <w:r w:rsidRPr="008F004D">
        <w:rPr>
          <w:rFonts w:ascii="Times New Roman" w:hAnsi="Times New Roman" w:cs="Times New Roman"/>
          <w:lang w:val="en-US"/>
        </w:rPr>
        <w:t>Committee to Review the Scientific Evidence on the Polygraph, Division of Behavioral and Social Sciences and Education, Washington D.C., The National Academies Press.</w:t>
      </w:r>
    </w:p>
  </w:endnote>
  <w:endnote w:id="52">
    <w:p w14:paraId="79E9AC6A" w14:textId="6471187D"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D. Grubin, (2006), ‘Polygraph Pilot Report: Final Report’, London: Home Office.</w:t>
      </w:r>
    </w:p>
  </w:endnote>
  <w:endnote w:id="53">
    <w:p w14:paraId="14886622" w14:textId="61C56EAA"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Over the age of 18 and sentenced to one or more years imprisonment for a sexual offence. </w:t>
      </w:r>
    </w:p>
  </w:endnote>
  <w:endnote w:id="54">
    <w:p w14:paraId="4FC2D123" w14:textId="6E33683D"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T.A. Gannon, J.L. Wood, A. Pina, N. Tyler, M.F.L. Barnoux, E. A. Vasquez ‘An Evaluation of Mandatory Polygraph Testing for Sexual Offenders in the United Kingdom’, (2014) Sexual Abuse: A Journal of Research and Treatment, 178-203 at p.182.</w:t>
      </w:r>
    </w:p>
  </w:endnote>
  <w:endnote w:id="55">
    <w:p w14:paraId="1BAA9467" w14:textId="0D87F9A3"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T.A. Gannon, J.L. Wood, A. Pina, N. Tyler, M.F.L. Barnoux, E. A. Vasquez ‘An Evaluation of Mandatory Polygraph Testing for Sexual Offenders in the United Kingdom’, (2014) Sexual Abuse: A Journal of Research and Treatment, 178-203 at p.196. </w:t>
      </w:r>
      <w:r w:rsidRPr="008F004D">
        <w:rPr>
          <w:rFonts w:ascii="Times New Roman" w:hAnsi="Times New Roman" w:cs="Times New Roman"/>
          <w:bCs/>
          <w:lang w:val="en-US"/>
        </w:rPr>
        <w:t>However, owing to the small sample size of the study, the authors indicated more research should be undertaken before we can be certain of the benefits and risks of the technique.</w:t>
      </w:r>
    </w:p>
  </w:endnote>
  <w:endnote w:id="56">
    <w:p w14:paraId="7FDDFAB0" w14:textId="4532EF5C"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D. Grubin, A. Joyce and E.J. Holden, ‘Polygraph Testing of ‘Low Risk’ Offenders Arrested for Downloading Indecent Images of Children’, Sexual Offender Treatment, Vol 9(1)  (2014)  available here: </w:t>
      </w:r>
      <w:hyperlink r:id="rId6" w:history="1">
        <w:r w:rsidRPr="008F004D">
          <w:rPr>
            <w:rStyle w:val="Hyperlink"/>
            <w:rFonts w:ascii="Times New Roman" w:hAnsi="Times New Roman" w:cs="Times New Roman"/>
          </w:rPr>
          <w:t>http://www.sexual-offender-treatment.org/131.html</w:t>
        </w:r>
      </w:hyperlink>
      <w:r w:rsidRPr="008F004D">
        <w:rPr>
          <w:rFonts w:ascii="Times New Roman" w:hAnsi="Times New Roman" w:cs="Times New Roman"/>
        </w:rPr>
        <w:t xml:space="preserve"> [Last Accessed 25/11/15].</w:t>
      </w:r>
    </w:p>
  </w:endnote>
  <w:endnote w:id="57">
    <w:p w14:paraId="01E71D04" w14:textId="4E15785C"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D. Grubin, A. Joyce and E.J. Holden, ‘Polygraph Testing of ‘Low Risk’ Offenders Arrested for Downloading Indecent Images of Children’, Sexual Offender Treatment, Vol 9(1)  (2014)  available here: </w:t>
      </w:r>
      <w:hyperlink r:id="rId7" w:history="1">
        <w:r w:rsidRPr="008F004D">
          <w:rPr>
            <w:rStyle w:val="Hyperlink"/>
            <w:rFonts w:ascii="Times New Roman" w:hAnsi="Times New Roman" w:cs="Times New Roman"/>
          </w:rPr>
          <w:t>http://www.sexual-offender-treatment.org/131.html</w:t>
        </w:r>
      </w:hyperlink>
      <w:r w:rsidRPr="008F004D">
        <w:rPr>
          <w:rFonts w:ascii="Times New Roman" w:hAnsi="Times New Roman" w:cs="Times New Roman"/>
        </w:rPr>
        <w:t xml:space="preserve"> [Last Accessed 25/11/15].  Although as with Gannon’s aforementioned study, the sample was small and therefore by no means definitive. </w:t>
      </w:r>
    </w:p>
  </w:endnote>
  <w:endnote w:id="58">
    <w:p w14:paraId="1A50C54C" w14:textId="28B73664"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i/>
        </w:rPr>
        <w:t>State of Maharashtra v Sharma</w:t>
      </w:r>
      <w:r w:rsidRPr="008F004D">
        <w:rPr>
          <w:rFonts w:ascii="Times New Roman" w:hAnsi="Times New Roman" w:cs="Times New Roman"/>
        </w:rPr>
        <w:t xml:space="preserve">  C.C No 508/07 Pune, June 12, 2008 (India). </w:t>
      </w:r>
    </w:p>
  </w:endnote>
  <w:endnote w:id="59">
    <w:p w14:paraId="2EA96F6E" w14:textId="03C5E229" w:rsidR="00C02C95" w:rsidRPr="00C02C95" w:rsidRDefault="00C02C95" w:rsidP="00C02C95">
      <w:pPr>
        <w:pStyle w:val="EndnoteText"/>
        <w:spacing w:line="360" w:lineRule="auto"/>
        <w:rPr>
          <w:rFonts w:ascii="Times New Roman" w:hAnsi="Times New Roman" w:cs="Times New Roman"/>
        </w:rPr>
      </w:pPr>
      <w:r w:rsidRPr="00C02C95">
        <w:rPr>
          <w:rStyle w:val="EndnoteReference"/>
          <w:rFonts w:ascii="Times New Roman" w:hAnsi="Times New Roman" w:cs="Times New Roman"/>
        </w:rPr>
        <w:endnoteRef/>
      </w:r>
      <w:r w:rsidRPr="00C02C95">
        <w:rPr>
          <w:rFonts w:ascii="Times New Roman" w:hAnsi="Times New Roman" w:cs="Times New Roman"/>
        </w:rPr>
        <w:t xml:space="preserve"> For a wider discussion on the BEOS test see A. Yadav and M.S. Dahiya ‘ Brain Electrical Oscillation Signature Profiling (BEOS) – Effective as an aid to Investigation’, (2012) Journal of Froensic Research and Technology, (3)8-65.</w:t>
      </w:r>
    </w:p>
  </w:endnote>
  <w:endnote w:id="60">
    <w:p w14:paraId="27ADB9D9" w14:textId="17AE736C"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L. M. Gaudet, Note, ‘Brain Fingerprinting, Scientific Evidence and </w:t>
      </w:r>
      <w:r w:rsidRPr="008F004D">
        <w:rPr>
          <w:rFonts w:ascii="Times New Roman" w:hAnsi="Times New Roman" w:cs="Times New Roman"/>
          <w:i/>
        </w:rPr>
        <w:t>Daubert</w:t>
      </w:r>
      <w:r w:rsidRPr="008F004D">
        <w:rPr>
          <w:rFonts w:ascii="Times New Roman" w:hAnsi="Times New Roman" w:cs="Times New Roman"/>
        </w:rPr>
        <w:t xml:space="preserve">: A Cautionary Lesson from India, 51 Jurimetrics J. 293-318 (2011) 293-318 at 294. </w:t>
      </w:r>
    </w:p>
  </w:endnote>
  <w:endnote w:id="61">
    <w:p w14:paraId="4EBF7E04" w14:textId="1A8EA897"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8F004D">
        <w:rPr>
          <w:rFonts w:ascii="Times New Roman" w:hAnsi="Times New Roman" w:cs="Times New Roman"/>
          <w:i/>
        </w:rPr>
        <w:t>State of Maharashtra v Sharma</w:t>
      </w:r>
      <w:r w:rsidRPr="008F004D">
        <w:rPr>
          <w:rFonts w:ascii="Times New Roman" w:hAnsi="Times New Roman" w:cs="Times New Roman"/>
        </w:rPr>
        <w:t xml:space="preserve">  C.C No 508/07 Pune, June 12, 2008 (India) para 101 at 59.</w:t>
      </w:r>
    </w:p>
  </w:endnote>
  <w:endnote w:id="62">
    <w:p w14:paraId="23524489" w14:textId="439853C7"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00E90574">
        <w:rPr>
          <w:rFonts w:ascii="Times New Roman" w:hAnsi="Times New Roman" w:cs="Times New Roman"/>
          <w:i/>
        </w:rPr>
        <w:t xml:space="preserve">Ibid </w:t>
      </w:r>
      <w:r w:rsidRPr="008F004D">
        <w:rPr>
          <w:rFonts w:ascii="Times New Roman" w:hAnsi="Times New Roman" w:cs="Times New Roman"/>
        </w:rPr>
        <w:t xml:space="preserve"> at 59-60.</w:t>
      </w:r>
    </w:p>
  </w:endnote>
  <w:endnote w:id="63">
    <w:p w14:paraId="261BF085" w14:textId="77777777"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See T.R. Brown and J.B. McCormick, ‘New Directions in Neuroscience Policy’ in J. Illes and B.J. Sahakian, </w:t>
      </w:r>
    </w:p>
    <w:p w14:paraId="6F12F07A" w14:textId="39CCF66A" w:rsidR="004B636F" w:rsidRPr="008F004D" w:rsidRDefault="004B636F" w:rsidP="004B636F">
      <w:pPr>
        <w:pStyle w:val="EndnoteText"/>
        <w:spacing w:line="360" w:lineRule="auto"/>
        <w:rPr>
          <w:rFonts w:ascii="Times New Roman" w:hAnsi="Times New Roman" w:cs="Times New Roman"/>
        </w:rPr>
      </w:pPr>
      <w:r w:rsidRPr="008F004D">
        <w:rPr>
          <w:rFonts w:ascii="Times New Roman" w:hAnsi="Times New Roman" w:cs="Times New Roman"/>
          <w:i/>
        </w:rPr>
        <w:t>Oxford Handbook of Neuroethics</w:t>
      </w:r>
      <w:r w:rsidRPr="008F004D">
        <w:rPr>
          <w:rFonts w:ascii="Times New Roman" w:hAnsi="Times New Roman" w:cs="Times New Roman"/>
        </w:rPr>
        <w:t>, (2011(, OUP: Oxford, at p.682-683.</w:t>
      </w:r>
    </w:p>
  </w:endnote>
  <w:endnote w:id="64">
    <w:p w14:paraId="44A07347" w14:textId="07160944"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However, the defendant was subsequently released on bail. See </w:t>
      </w:r>
      <w:r w:rsidRPr="008F004D">
        <w:rPr>
          <w:rFonts w:ascii="Times New Roman" w:hAnsi="Times New Roman" w:cs="Times New Roman"/>
          <w:i/>
        </w:rPr>
        <w:t xml:space="preserve">Sharma v State of Maharashtra </w:t>
      </w:r>
      <w:r w:rsidRPr="008F004D">
        <w:rPr>
          <w:rFonts w:ascii="Times New Roman" w:hAnsi="Times New Roman" w:cs="Times New Roman"/>
        </w:rPr>
        <w:t>(2008) Criminal Application No. 1294 of 2008 Criminal Appeal No 802 of 2008, 1, 4 (India).</w:t>
      </w:r>
    </w:p>
  </w:endnote>
  <w:endnote w:id="65">
    <w:p w14:paraId="5A73477A" w14:textId="77777777"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M.S Pardo and D. Patterson, </w:t>
      </w:r>
      <w:r w:rsidRPr="008F004D">
        <w:rPr>
          <w:rFonts w:ascii="Times New Roman" w:hAnsi="Times New Roman" w:cs="Times New Roman"/>
          <w:i/>
        </w:rPr>
        <w:t>Minds, Brains and Law: The Conceptual Foundations of Law and Neuroscience</w:t>
      </w:r>
      <w:r w:rsidRPr="008F004D">
        <w:rPr>
          <w:rFonts w:ascii="Times New Roman" w:hAnsi="Times New Roman" w:cs="Times New Roman"/>
        </w:rPr>
        <w:t xml:space="preserve">, </w:t>
      </w:r>
    </w:p>
    <w:p w14:paraId="3152C1EA" w14:textId="736E377D" w:rsidR="004B636F" w:rsidRPr="008F004D" w:rsidRDefault="004B636F" w:rsidP="004B636F">
      <w:pPr>
        <w:pStyle w:val="EndnoteText"/>
        <w:spacing w:line="360" w:lineRule="auto"/>
        <w:rPr>
          <w:rFonts w:ascii="Times New Roman" w:hAnsi="Times New Roman" w:cs="Times New Roman"/>
        </w:rPr>
      </w:pPr>
      <w:r w:rsidRPr="008F004D">
        <w:rPr>
          <w:rFonts w:ascii="Times New Roman" w:hAnsi="Times New Roman" w:cs="Times New Roman"/>
        </w:rPr>
        <w:t>2013, (Oxford: Oxford University Press) p.81.</w:t>
      </w:r>
    </w:p>
  </w:endnote>
  <w:endnote w:id="66">
    <w:p w14:paraId="4EE60A78" w14:textId="6653A2AE"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G. Ganis, J.P. Rosenfield, J. Meixer, R.A. Kievit and H.E. Schendan, ‘Lying in the Scanner: Covert Countermeasures Disrupt Deception Detection by functional Magnetic Resonance Imaging, 2011, Neuroimage, 312-9. </w:t>
      </w:r>
    </w:p>
  </w:endnote>
  <w:endnote w:id="67">
    <w:p w14:paraId="6A2C7CFA" w14:textId="3194D92F"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M.S Pardo and D. Patterson, </w:t>
      </w:r>
      <w:r w:rsidRPr="008F004D">
        <w:rPr>
          <w:rFonts w:ascii="Times New Roman" w:hAnsi="Times New Roman" w:cs="Times New Roman"/>
          <w:i/>
        </w:rPr>
        <w:t>Minds, Brains and Law: The Conceptual Foundations of Law and Neuroscience</w:t>
      </w:r>
      <w:r w:rsidRPr="008F004D">
        <w:rPr>
          <w:rFonts w:ascii="Times New Roman" w:hAnsi="Times New Roman" w:cs="Times New Roman"/>
        </w:rPr>
        <w:t>, 2013, (Oxford: Oxford University Press) p.83.</w:t>
      </w:r>
    </w:p>
  </w:endnote>
  <w:endnote w:id="68">
    <w:p w14:paraId="47C3656D" w14:textId="365CB019"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A countermeasure is an attempt by the subject to defeat the test; this could include a simple movement of a finger. </w:t>
      </w:r>
    </w:p>
  </w:endnote>
  <w:endnote w:id="69">
    <w:p w14:paraId="2A8DBAA0" w14:textId="1CDC88A0" w:rsidR="004B636F" w:rsidRPr="008F004D" w:rsidRDefault="004B636F" w:rsidP="004B636F">
      <w:pPr>
        <w:pStyle w:val="EndnoteText"/>
        <w:spacing w:line="360" w:lineRule="auto"/>
        <w:rPr>
          <w:rFonts w:ascii="Times New Roman" w:hAnsi="Times New Roman" w:cs="Times New Roman"/>
          <w:i/>
        </w:rPr>
      </w:pPr>
      <w:r w:rsidRPr="008F004D">
        <w:rPr>
          <w:rStyle w:val="EndnoteReference"/>
          <w:rFonts w:ascii="Times New Roman" w:hAnsi="Times New Roman" w:cs="Times New Roman"/>
        </w:rPr>
        <w:endnoteRef/>
      </w:r>
      <w:r w:rsidRPr="008F004D">
        <w:rPr>
          <w:rFonts w:ascii="Times New Roman" w:hAnsi="Times New Roman" w:cs="Times New Roman"/>
        </w:rPr>
        <w:t xml:space="preserve"> See F.A. Kozel, K.A. Johnson, E.L. Grenesko, S.J. Laken, S. Kose, X. Lu, D. Pollina, A. Ryan and M.S. George</w:t>
      </w:r>
      <w:r w:rsidRPr="008F004D">
        <w:rPr>
          <w:rFonts w:ascii="Times New Roman" w:hAnsi="Times New Roman" w:cs="Times New Roman"/>
          <w:i/>
        </w:rPr>
        <w:t>, Functional MRI Detection of Deception After Committing a Mock Sabotage Crime</w:t>
      </w:r>
      <w:r w:rsidRPr="008F004D">
        <w:rPr>
          <w:rFonts w:ascii="Times New Roman" w:hAnsi="Times New Roman" w:cs="Times New Roman"/>
        </w:rPr>
        <w:t xml:space="preserve">, 2009, J. Forensic Sci 54(1) 220-331. </w:t>
      </w:r>
      <w:r w:rsidRPr="008F004D">
        <w:rPr>
          <w:rFonts w:ascii="Times New Roman" w:hAnsi="Times New Roman" w:cs="Times New Roman"/>
          <w:i/>
        </w:rPr>
        <w:t xml:space="preserve"> </w:t>
      </w:r>
    </w:p>
  </w:endnote>
  <w:endnote w:id="70">
    <w:p w14:paraId="1A3D61D8" w14:textId="416B2E83" w:rsidR="004B636F" w:rsidRPr="008F004D" w:rsidRDefault="004B636F" w:rsidP="00E90574">
      <w:pPr>
        <w:pStyle w:val="CommentText"/>
        <w:spacing w:after="0"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Although, it must be noted that the claims for accuracy tend to be lab based tests with participants instructed to ‘lie’ in response to certain questions. This is, arguably, a very different scenario from the very tense situation where a person is being investigated in relation to a potentially very serious criminal offence</w:t>
      </w:r>
      <w:r w:rsidR="00E90574">
        <w:rPr>
          <w:rFonts w:ascii="Times New Roman" w:hAnsi="Times New Roman" w:cs="Times New Roman"/>
        </w:rPr>
        <w:t>.</w:t>
      </w:r>
    </w:p>
  </w:endnote>
  <w:endnote w:id="71">
    <w:p w14:paraId="3FDF6D84" w14:textId="760EB0CE"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G. Ganis, P.J. Rosenfeld, J.Meixner, R.A. Kievit, H.E. Schendan ‘Lying in the Scanner: Covert Countermeasures disrupt deception detection by functional magnetic resonance imaging’ NeureoImage, (2011) Vol55(1) 312 where it was suggested that t</w:t>
      </w:r>
      <w:r w:rsidRPr="008F004D">
        <w:rPr>
          <w:rFonts w:ascii="Times New Roman" w:hAnsi="Times New Roman" w:cs="Times New Roman"/>
          <w:lang w:val="en"/>
        </w:rPr>
        <w:t>rained participants can alter test results by engaging in some taxing activity like mental calculations during control sequences which will enormously reduce the power of the contrast between truthful statements and li</w:t>
      </w:r>
      <w:r w:rsidR="00E90574">
        <w:rPr>
          <w:rFonts w:ascii="Times New Roman" w:hAnsi="Times New Roman" w:cs="Times New Roman"/>
          <w:lang w:val="en"/>
        </w:rPr>
        <w:t>es</w:t>
      </w:r>
      <w:r w:rsidRPr="008F004D">
        <w:rPr>
          <w:rFonts w:ascii="Times New Roman" w:hAnsi="Times New Roman" w:cs="Times New Roman"/>
          <w:lang w:val="en"/>
        </w:rPr>
        <w:t>.</w:t>
      </w:r>
    </w:p>
  </w:endnote>
  <w:endnote w:id="72">
    <w:p w14:paraId="797936D1" w14:textId="0EC70767"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900 N.Y.S 2d 639 (May 14</w:t>
      </w:r>
      <w:r w:rsidRPr="008F004D">
        <w:rPr>
          <w:rFonts w:ascii="Times New Roman" w:hAnsi="Times New Roman" w:cs="Times New Roman"/>
          <w:vertAlign w:val="superscript"/>
        </w:rPr>
        <w:t>th</w:t>
      </w:r>
      <w:r w:rsidRPr="008F004D">
        <w:rPr>
          <w:rFonts w:ascii="Times New Roman" w:hAnsi="Times New Roman" w:cs="Times New Roman"/>
        </w:rPr>
        <w:t xml:space="preserve"> 2010).</w:t>
      </w:r>
    </w:p>
  </w:endnote>
  <w:endnote w:id="73">
    <w:p w14:paraId="3A38F646" w14:textId="5C098912"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E90574">
        <w:rPr>
          <w:rFonts w:ascii="Times New Roman" w:hAnsi="Times New Roman" w:cs="Times New Roman"/>
          <w:i/>
        </w:rPr>
        <w:t>Ibid</w:t>
      </w:r>
      <w:r>
        <w:rPr>
          <w:rFonts w:ascii="Times New Roman" w:hAnsi="Times New Roman" w:cs="Times New Roman"/>
        </w:rPr>
        <w:t xml:space="preserve"> </w:t>
      </w:r>
      <w:r w:rsidRPr="008F004D">
        <w:rPr>
          <w:rFonts w:ascii="Times New Roman" w:hAnsi="Times New Roman" w:cs="Times New Roman"/>
        </w:rPr>
        <w:t>at 640.</w:t>
      </w:r>
    </w:p>
  </w:endnote>
  <w:endnote w:id="74">
    <w:p w14:paraId="364CA922" w14:textId="099CDBF0"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E90574">
        <w:rPr>
          <w:rFonts w:ascii="Times New Roman" w:hAnsi="Times New Roman" w:cs="Times New Roman"/>
          <w:i/>
        </w:rPr>
        <w:t>Ibid</w:t>
      </w:r>
      <w:r>
        <w:rPr>
          <w:rFonts w:ascii="Times New Roman" w:hAnsi="Times New Roman" w:cs="Times New Roman"/>
        </w:rPr>
        <w:t xml:space="preserve"> </w:t>
      </w:r>
      <w:r w:rsidRPr="008F004D">
        <w:rPr>
          <w:rFonts w:ascii="Times New Roman" w:hAnsi="Times New Roman" w:cs="Times New Roman"/>
        </w:rPr>
        <w:t>at 642.</w:t>
      </w:r>
    </w:p>
  </w:endnote>
  <w:endnote w:id="75">
    <w:p w14:paraId="36013EB1" w14:textId="33FDAFD8"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w:t>
      </w:r>
      <w:r w:rsidRPr="00E90574">
        <w:rPr>
          <w:rFonts w:ascii="Times New Roman" w:hAnsi="Times New Roman" w:cs="Times New Roman"/>
          <w:i/>
        </w:rPr>
        <w:t>Ibid</w:t>
      </w:r>
      <w:r w:rsidRPr="008F004D">
        <w:rPr>
          <w:rFonts w:ascii="Times New Roman" w:hAnsi="Times New Roman" w:cs="Times New Roman"/>
        </w:rPr>
        <w:t xml:space="preserve"> at 643. The court did also highlight at the ability of fMRI to determine truth or deception is not readily accepted by the scientific community. </w:t>
      </w:r>
    </w:p>
  </w:endnote>
  <w:endnote w:id="76">
    <w:p w14:paraId="68CECEC3" w14:textId="264FBCA0"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United States v Semrau (2010) WL 6845092 (W.D. Tenn, 1</w:t>
      </w:r>
      <w:r w:rsidRPr="008F004D">
        <w:rPr>
          <w:rFonts w:ascii="Times New Roman" w:hAnsi="Times New Roman" w:cs="Times New Roman"/>
          <w:vertAlign w:val="superscript"/>
        </w:rPr>
        <w:t>st</w:t>
      </w:r>
      <w:r w:rsidRPr="008F004D">
        <w:rPr>
          <w:rFonts w:ascii="Times New Roman" w:hAnsi="Times New Roman" w:cs="Times New Roman"/>
        </w:rPr>
        <w:t xml:space="preserve"> June, 2010). </w:t>
      </w:r>
    </w:p>
  </w:endnote>
  <w:endnote w:id="77">
    <w:p w14:paraId="60DEED19" w14:textId="5C0400B8"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Dr. Laken was also the expert witness Wilson intended to call in </w:t>
      </w:r>
      <w:r w:rsidRPr="008F004D">
        <w:rPr>
          <w:rFonts w:ascii="Times New Roman" w:hAnsi="Times New Roman" w:cs="Times New Roman"/>
          <w:i/>
        </w:rPr>
        <w:t xml:space="preserve">Wilson v Corestaff </w:t>
      </w:r>
      <w:r w:rsidRPr="008F004D">
        <w:rPr>
          <w:rFonts w:ascii="Times New Roman" w:hAnsi="Times New Roman" w:cs="Times New Roman"/>
        </w:rPr>
        <w:t>900 N.Y.S 2d 639 (May 14</w:t>
      </w:r>
      <w:r w:rsidRPr="008F004D">
        <w:rPr>
          <w:rFonts w:ascii="Times New Roman" w:hAnsi="Times New Roman" w:cs="Times New Roman"/>
          <w:vertAlign w:val="superscript"/>
        </w:rPr>
        <w:t>th</w:t>
      </w:r>
      <w:r w:rsidRPr="008F004D">
        <w:rPr>
          <w:rFonts w:ascii="Times New Roman" w:hAnsi="Times New Roman" w:cs="Times New Roman"/>
        </w:rPr>
        <w:t xml:space="preserve"> 2010)</w:t>
      </w:r>
    </w:p>
  </w:endnote>
  <w:endnote w:id="78">
    <w:p w14:paraId="633AC540" w14:textId="209C6E55" w:rsidR="004B636F" w:rsidRPr="008F004D" w:rsidRDefault="004B636F" w:rsidP="004B636F">
      <w:pPr>
        <w:pStyle w:val="EndnoteText"/>
        <w:spacing w:line="360" w:lineRule="auto"/>
        <w:rPr>
          <w:rFonts w:ascii="Times New Roman" w:hAnsi="Times New Roman" w:cs="Times New Roman"/>
        </w:rPr>
      </w:pPr>
      <w:r w:rsidRPr="008F004D">
        <w:rPr>
          <w:rStyle w:val="EndnoteReference"/>
          <w:rFonts w:ascii="Times New Roman" w:hAnsi="Times New Roman" w:cs="Times New Roman"/>
        </w:rPr>
        <w:endnoteRef/>
      </w:r>
      <w:r w:rsidRPr="008F004D">
        <w:rPr>
          <w:rFonts w:ascii="Times New Roman" w:hAnsi="Times New Roman" w:cs="Times New Roman"/>
        </w:rPr>
        <w:t xml:space="preserve"> Per Circuit Judge Stranch </w:t>
      </w:r>
      <w:r w:rsidRPr="008F004D">
        <w:rPr>
          <w:rFonts w:ascii="Times New Roman" w:hAnsi="Times New Roman" w:cs="Times New Roman"/>
          <w:i/>
        </w:rPr>
        <w:t>United States v Semrau</w:t>
      </w:r>
      <w:r w:rsidRPr="008F004D">
        <w:rPr>
          <w:rFonts w:ascii="Times New Roman" w:hAnsi="Times New Roman" w:cs="Times New Roman"/>
        </w:rPr>
        <w:t>, 693 F.3d 510 (6</w:t>
      </w:r>
      <w:r w:rsidRPr="008F004D">
        <w:rPr>
          <w:rFonts w:ascii="Times New Roman" w:hAnsi="Times New Roman" w:cs="Times New Roman"/>
          <w:vertAlign w:val="superscript"/>
        </w:rPr>
        <w:t>th</w:t>
      </w:r>
      <w:r w:rsidRPr="008F004D">
        <w:rPr>
          <w:rFonts w:ascii="Times New Roman" w:hAnsi="Times New Roman" w:cs="Times New Roman"/>
        </w:rPr>
        <w:t xml:space="preserve"> Cir. 2012), No 11-5396 at p.16. accessible here: </w:t>
      </w:r>
      <w:hyperlink r:id="rId8" w:history="1">
        <w:r w:rsidRPr="008F004D">
          <w:rPr>
            <w:rStyle w:val="Hyperlink"/>
            <w:rFonts w:ascii="Times New Roman" w:hAnsi="Times New Roman" w:cs="Times New Roman"/>
          </w:rPr>
          <w:t>http://www.ca6.uscourts.gov/opinions.pdf/12a0312p-06.pdf</w:t>
        </w:r>
      </w:hyperlink>
      <w:r w:rsidRPr="008F004D">
        <w:rPr>
          <w:rFonts w:ascii="Times New Roman" w:hAnsi="Times New Roman" w:cs="Times New Roman"/>
        </w:rPr>
        <w:t xml:space="preserve"> [last accessed 26th January 2016].</w:t>
      </w:r>
    </w:p>
  </w:endnote>
  <w:endnote w:id="79">
    <w:p w14:paraId="60AE1B0A" w14:textId="2C418467" w:rsidR="004B636F" w:rsidRPr="008F004D" w:rsidRDefault="004B636F" w:rsidP="004B636F">
      <w:pPr>
        <w:autoSpaceDE w:val="0"/>
        <w:autoSpaceDN w:val="0"/>
        <w:adjustRightInd w:val="0"/>
        <w:spacing w:after="0" w:line="360" w:lineRule="auto"/>
        <w:rPr>
          <w:rFonts w:ascii="Times New Roman" w:hAnsi="Times New Roman" w:cs="Times New Roman"/>
          <w:sz w:val="20"/>
          <w:szCs w:val="20"/>
        </w:rPr>
      </w:pPr>
      <w:r w:rsidRPr="008F004D">
        <w:rPr>
          <w:rStyle w:val="EndnoteReference"/>
          <w:rFonts w:ascii="Times New Roman" w:hAnsi="Times New Roman" w:cs="Times New Roman"/>
          <w:sz w:val="20"/>
          <w:szCs w:val="20"/>
        </w:rPr>
        <w:endnoteRef/>
      </w:r>
      <w:r w:rsidRPr="008F004D">
        <w:rPr>
          <w:rFonts w:ascii="Times New Roman" w:hAnsi="Times New Roman" w:cs="Times New Roman"/>
          <w:sz w:val="20"/>
          <w:szCs w:val="20"/>
        </w:rPr>
        <w:t xml:space="preserve"> Memorandum Opinion and Order, Maryland v. Smith, No. 106589C (Montgomery Cty., Cir. Ct., M.D. Oct. 3, 2012).</w:t>
      </w:r>
    </w:p>
  </w:endnote>
  <w:endnote w:id="80">
    <w:p w14:paraId="125032F7" w14:textId="68812EDE"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V. Hughes, Science in Court: Head Case, 2010, </w:t>
      </w:r>
      <w:r w:rsidRPr="00C95377">
        <w:rPr>
          <w:rFonts w:ascii="Times New Roman" w:hAnsi="Times New Roman" w:cs="Times New Roman"/>
          <w:i/>
        </w:rPr>
        <w:t>Nature</w:t>
      </w:r>
      <w:r w:rsidRPr="00C95377">
        <w:rPr>
          <w:rFonts w:ascii="Times New Roman" w:hAnsi="Times New Roman" w:cs="Times New Roman"/>
        </w:rPr>
        <w:t xml:space="preserve">, 464, 340-342 available here: </w:t>
      </w:r>
      <w:hyperlink r:id="rId9" w:history="1">
        <w:r w:rsidRPr="00C95377">
          <w:rPr>
            <w:rStyle w:val="Hyperlink"/>
            <w:rFonts w:ascii="Times New Roman" w:hAnsi="Times New Roman" w:cs="Times New Roman"/>
          </w:rPr>
          <w:t>http://www.nature.com/news/2010/100317/full/464340a.html</w:t>
        </w:r>
      </w:hyperlink>
      <w:r w:rsidRPr="00C95377">
        <w:rPr>
          <w:rFonts w:ascii="Times New Roman" w:hAnsi="Times New Roman" w:cs="Times New Roman"/>
        </w:rPr>
        <w:t xml:space="preserve"> [last accessed 26th January 2016].</w:t>
      </w:r>
    </w:p>
  </w:endnote>
  <w:endnote w:id="81">
    <w:p w14:paraId="29BFE986" w14:textId="3EEFF77B"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A. Barnum and S. St. Clair, Dugan Juror who Switched at last minute stands by death sentence, </w:t>
      </w:r>
      <w:r w:rsidRPr="00C95377">
        <w:rPr>
          <w:rFonts w:ascii="Times New Roman" w:hAnsi="Times New Roman" w:cs="Times New Roman"/>
          <w:i/>
        </w:rPr>
        <w:t>Chicago Tribune</w:t>
      </w:r>
      <w:r w:rsidRPr="00C95377">
        <w:rPr>
          <w:rFonts w:ascii="Times New Roman" w:hAnsi="Times New Roman" w:cs="Times New Roman"/>
        </w:rPr>
        <w:t>, 3</w:t>
      </w:r>
      <w:r w:rsidRPr="00C95377">
        <w:rPr>
          <w:rFonts w:ascii="Times New Roman" w:hAnsi="Times New Roman" w:cs="Times New Roman"/>
          <w:vertAlign w:val="superscript"/>
        </w:rPr>
        <w:t>rd</w:t>
      </w:r>
      <w:r w:rsidRPr="00C95377">
        <w:rPr>
          <w:rFonts w:ascii="Times New Roman" w:hAnsi="Times New Roman" w:cs="Times New Roman"/>
        </w:rPr>
        <w:t xml:space="preserve"> December 2009, available here: </w:t>
      </w:r>
      <w:hyperlink r:id="rId10" w:history="1">
        <w:r w:rsidRPr="00C95377">
          <w:rPr>
            <w:rStyle w:val="Hyperlink"/>
            <w:rFonts w:ascii="Times New Roman" w:hAnsi="Times New Roman" w:cs="Times New Roman"/>
          </w:rPr>
          <w:t>http://articles.chicagotribune.com/2009-12-03/news/0912021217_1_death-sentence-two-jurors-death-penalty</w:t>
        </w:r>
      </w:hyperlink>
      <w:r w:rsidRPr="00C95377">
        <w:rPr>
          <w:rFonts w:ascii="Times New Roman" w:hAnsi="Times New Roman" w:cs="Times New Roman"/>
        </w:rPr>
        <w:t xml:space="preserve"> [Last Accessed 26th January 2016]. </w:t>
      </w:r>
    </w:p>
  </w:endnote>
  <w:endnote w:id="82">
    <w:p w14:paraId="00DE3782" w14:textId="77777777" w:rsidR="00B47BC9" w:rsidRPr="00C95377" w:rsidRDefault="00B47BC9" w:rsidP="00B47BC9">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Part 19, Criminal Practice Directions 2015, Division V, Evidence, available here: </w:t>
      </w:r>
    </w:p>
    <w:p w14:paraId="680416E5" w14:textId="77777777" w:rsidR="00B47BC9" w:rsidRPr="00C95377" w:rsidRDefault="000642A1" w:rsidP="00B47BC9">
      <w:pPr>
        <w:pStyle w:val="EndnoteText"/>
        <w:spacing w:line="360" w:lineRule="auto"/>
        <w:rPr>
          <w:rFonts w:ascii="Times New Roman" w:hAnsi="Times New Roman" w:cs="Times New Roman"/>
        </w:rPr>
      </w:pPr>
      <w:hyperlink r:id="rId11" w:history="1">
        <w:r w:rsidR="00B47BC9" w:rsidRPr="00C95377">
          <w:rPr>
            <w:rStyle w:val="Hyperlink"/>
            <w:rFonts w:ascii="Times New Roman" w:hAnsi="Times New Roman" w:cs="Times New Roman"/>
          </w:rPr>
          <w:t>http://www.justice.gov.uk/courts/procedure-rules/criminal/practice-direction/2015/crim-practice-directions-V-evidence-2015.pdf</w:t>
        </w:r>
      </w:hyperlink>
      <w:r w:rsidR="00B47BC9" w:rsidRPr="00C95377">
        <w:rPr>
          <w:rFonts w:ascii="Times New Roman" w:hAnsi="Times New Roman" w:cs="Times New Roman"/>
        </w:rPr>
        <w:t xml:space="preserve"> [Last accessed 7th March 2016].</w:t>
      </w:r>
    </w:p>
  </w:endnote>
  <w:endnote w:id="83">
    <w:p w14:paraId="26D36A5A" w14:textId="74B8D6F5"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[1942] 2 KB 253 </w:t>
      </w:r>
    </w:p>
  </w:endnote>
  <w:endnote w:id="84">
    <w:p w14:paraId="17A3D025" w14:textId="721B58BB"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[1942] 2 KB 253 at 257. </w:t>
      </w:r>
    </w:p>
  </w:endnote>
  <w:endnote w:id="85">
    <w:p w14:paraId="58BF61AF" w14:textId="1E27F526"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See E. Cape, Z. Namoradze, R. Smith and T. Spronken, </w:t>
      </w:r>
      <w:r w:rsidRPr="00C95377">
        <w:rPr>
          <w:rFonts w:ascii="Times New Roman" w:hAnsi="Times New Roman" w:cs="Times New Roman"/>
          <w:i/>
        </w:rPr>
        <w:t>Effective Criminal Defence in Europe</w:t>
      </w:r>
      <w:r w:rsidRPr="00C95377">
        <w:rPr>
          <w:rFonts w:ascii="Times New Roman" w:hAnsi="Times New Roman" w:cs="Times New Roman"/>
        </w:rPr>
        <w:t>, 2010, (Antwerp: Intersemtia</w:t>
      </w:r>
      <w:r>
        <w:rPr>
          <w:rFonts w:ascii="Times New Roman" w:hAnsi="Times New Roman" w:cs="Times New Roman"/>
        </w:rPr>
        <w:t>)</w:t>
      </w:r>
      <w:r w:rsidRPr="00C95377">
        <w:rPr>
          <w:rFonts w:ascii="Times New Roman" w:hAnsi="Times New Roman" w:cs="Times New Roman"/>
        </w:rPr>
        <w:t xml:space="preserve"> at p.28 for a further discussion. </w:t>
      </w:r>
    </w:p>
  </w:endnote>
  <w:endnote w:id="86">
    <w:p w14:paraId="59CE0800" w14:textId="7DF465FA"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i/>
          <w:color w:val="000000"/>
        </w:rPr>
        <w:t>John Murray v United Kingdom</w:t>
      </w:r>
      <w:r w:rsidRPr="00C95377">
        <w:rPr>
          <w:rFonts w:ascii="Times New Roman" w:hAnsi="Times New Roman" w:cs="Times New Roman"/>
          <w:color w:val="000000"/>
        </w:rPr>
        <w:t xml:space="preserve">  A/593 (1996) 22 EHRR 29. </w:t>
      </w:r>
    </w:p>
  </w:endnote>
  <w:endnote w:id="87">
    <w:p w14:paraId="5015C85B" w14:textId="23F92A59"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i/>
          <w:color w:val="000000"/>
        </w:rPr>
        <w:t>Saunders v United Kingdom</w:t>
      </w:r>
      <w:r w:rsidRPr="00C95377">
        <w:rPr>
          <w:rFonts w:ascii="Times New Roman" w:hAnsi="Times New Roman" w:cs="Times New Roman"/>
          <w:color w:val="000000"/>
        </w:rPr>
        <w:t>, A/702 (1997) 23 EHRR 313</w:t>
      </w:r>
    </w:p>
  </w:endnote>
  <w:endnote w:id="88">
    <w:p w14:paraId="135C762C" w14:textId="28DA5BFE"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Pr>
          <w:rFonts w:ascii="Times New Roman" w:hAnsi="Times New Roman" w:cs="Times New Roman"/>
        </w:rPr>
        <w:t xml:space="preserve"> </w:t>
      </w:r>
      <w:r w:rsidRPr="00C95377">
        <w:rPr>
          <w:rFonts w:ascii="Times New Roman" w:hAnsi="Times New Roman" w:cs="Times New Roman"/>
        </w:rPr>
        <w:t xml:space="preserve">See also </w:t>
      </w:r>
      <w:r w:rsidRPr="00C95377">
        <w:rPr>
          <w:rFonts w:ascii="Times New Roman" w:hAnsi="Times New Roman" w:cs="Times New Roman"/>
          <w:i/>
          <w:iCs/>
        </w:rPr>
        <w:t xml:space="preserve">Funke </w:t>
      </w:r>
      <w:r w:rsidRPr="00C95377">
        <w:rPr>
          <w:rFonts w:ascii="Times New Roman" w:hAnsi="Times New Roman" w:cs="Times New Roman"/>
        </w:rPr>
        <w:t xml:space="preserve">v </w:t>
      </w:r>
      <w:r w:rsidRPr="00C95377">
        <w:rPr>
          <w:rFonts w:ascii="Times New Roman" w:hAnsi="Times New Roman" w:cs="Times New Roman"/>
          <w:i/>
          <w:iCs/>
        </w:rPr>
        <w:t xml:space="preserve">Funke </w:t>
      </w:r>
      <w:r w:rsidRPr="00C95377">
        <w:rPr>
          <w:rFonts w:ascii="Times New Roman" w:hAnsi="Times New Roman" w:cs="Times New Roman"/>
        </w:rPr>
        <w:t xml:space="preserve">(1993) </w:t>
      </w:r>
      <w:r w:rsidRPr="00C95377">
        <w:rPr>
          <w:rFonts w:ascii="Times New Roman" w:hAnsi="Times New Roman" w:cs="Times New Roman"/>
          <w:color w:val="000000"/>
        </w:rPr>
        <w:t>A/256-A(1993)16 EHRR 297</w:t>
      </w:r>
      <w:r w:rsidRPr="00C95377">
        <w:rPr>
          <w:rFonts w:ascii="Times New Roman" w:hAnsi="Times New Roman" w:cs="Times New Roman"/>
        </w:rPr>
        <w:t>. Here, the court recognised the privilege [and the right to silence] as part of the concept of the right to a fair trial as prescribed by article 6(1).</w:t>
      </w:r>
    </w:p>
  </w:endnote>
  <w:endnote w:id="89">
    <w:p w14:paraId="5D2E3E70" w14:textId="5C07F9EF"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i/>
        </w:rPr>
        <w:t xml:space="preserve">Sharma v State of Maharashtra </w:t>
      </w:r>
      <w:r w:rsidRPr="00C95377">
        <w:rPr>
          <w:rFonts w:ascii="Times New Roman" w:hAnsi="Times New Roman" w:cs="Times New Roman"/>
        </w:rPr>
        <w:t>(2008) Criminal Application No. 1294 of 2008 Criminal Appeal No 802 of 2008, 1, 4 (India).</w:t>
      </w:r>
    </w:p>
  </w:endnote>
  <w:endnote w:id="90">
    <w:p w14:paraId="521E4154" w14:textId="390C3DC9"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bCs/>
          <w:color w:val="000000"/>
        </w:rPr>
        <w:t>[2010] 5 LRC 137.</w:t>
      </w:r>
    </w:p>
  </w:endnote>
  <w:endnote w:id="91">
    <w:p w14:paraId="26E83699" w14:textId="4DFE86D5"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(2010) 7SCC. The Court held the right is a fundamental fair trial right and Article 20(3) of The Constitution of India provides “No person accused of an offence shall be compelled to be a witness against himself.”</w:t>
      </w:r>
    </w:p>
  </w:endnote>
  <w:endnote w:id="92">
    <w:p w14:paraId="6A8BA78E" w14:textId="25AB1A71"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(2010) 7SCC at para 158-161.</w:t>
      </w:r>
    </w:p>
  </w:endnote>
  <w:endnote w:id="93">
    <w:p w14:paraId="0AA7E05C" w14:textId="30223366"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Whilst this is generally the case, there are exceptions to this rule. For example, the Director of Serious Fraud Office, under s.2(2) Criminal Justice Act 1987, can require questions to be answered during the investigation in cases involving serious and complex fraud. Furthermore, s.2(13) Criminal Justice Act 1987 creates an offence of failing to answer such questions. </w:t>
      </w:r>
    </w:p>
  </w:endnote>
  <w:endnote w:id="94">
    <w:p w14:paraId="6556E0DE" w14:textId="2B1A9B6F"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European Court of Human Rights: ‘</w:t>
      </w:r>
      <w:r w:rsidRPr="00C95377">
        <w:rPr>
          <w:rFonts w:ascii="Times New Roman" w:hAnsi="Times New Roman" w:cs="Times New Roman"/>
          <w:i/>
        </w:rPr>
        <w:t>Guide on Article 6, Right to a Fair Trial (Criminal Limb)</w:t>
      </w:r>
      <w:r w:rsidRPr="00C95377">
        <w:rPr>
          <w:rFonts w:ascii="Times New Roman" w:hAnsi="Times New Roman" w:cs="Times New Roman"/>
        </w:rPr>
        <w:t xml:space="preserve">’ (2014), Council of Europe, available here: </w:t>
      </w:r>
      <w:hyperlink r:id="rId12" w:history="1">
        <w:r w:rsidRPr="00C95377">
          <w:rPr>
            <w:rStyle w:val="Hyperlink"/>
            <w:rFonts w:ascii="Times New Roman" w:hAnsi="Times New Roman" w:cs="Times New Roman"/>
          </w:rPr>
          <w:t>http://www.echr.coe.int/Documents/Guide_Art_6_criminal_ENG.pdf</w:t>
        </w:r>
      </w:hyperlink>
      <w:r w:rsidRPr="00C95377">
        <w:rPr>
          <w:rFonts w:ascii="Times New Roman" w:hAnsi="Times New Roman" w:cs="Times New Roman"/>
        </w:rPr>
        <w:t xml:space="preserve"> [Last Accessed 29th January 2016] at p.22.</w:t>
      </w:r>
    </w:p>
  </w:endnote>
  <w:endnote w:id="95">
    <w:p w14:paraId="50FD8E5F" w14:textId="36C9C0D3"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i/>
          <w:color w:val="000000"/>
        </w:rPr>
        <w:t>John Murray v United Kingdom</w:t>
      </w:r>
      <w:r w:rsidRPr="00C95377">
        <w:rPr>
          <w:rFonts w:ascii="Times New Roman" w:hAnsi="Times New Roman" w:cs="Times New Roman"/>
          <w:color w:val="000000"/>
        </w:rPr>
        <w:t xml:space="preserve">  A/593 (1996) 22 EHRR 29.</w:t>
      </w:r>
    </w:p>
  </w:endnote>
  <w:endnote w:id="96">
    <w:p w14:paraId="2A4BB7AB" w14:textId="74F72DC6"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European Court of Human Rights: ‘</w:t>
      </w:r>
      <w:r w:rsidRPr="00C95377">
        <w:rPr>
          <w:rFonts w:ascii="Times New Roman" w:hAnsi="Times New Roman" w:cs="Times New Roman"/>
          <w:i/>
        </w:rPr>
        <w:t>Guide on Article 6, Right to a Fair Trial (Criminal Limb)</w:t>
      </w:r>
      <w:r w:rsidRPr="00C95377">
        <w:rPr>
          <w:rFonts w:ascii="Times New Roman" w:hAnsi="Times New Roman" w:cs="Times New Roman"/>
        </w:rPr>
        <w:t xml:space="preserve">’ (2014), Council of Europe, available here: </w:t>
      </w:r>
      <w:hyperlink r:id="rId13" w:history="1">
        <w:r w:rsidRPr="00C95377">
          <w:rPr>
            <w:rStyle w:val="Hyperlink"/>
            <w:rFonts w:ascii="Times New Roman" w:hAnsi="Times New Roman" w:cs="Times New Roman"/>
          </w:rPr>
          <w:t>http://www.echr.coe.int/Documents/Guide_Art_6_criminal_ENG.pdf</w:t>
        </w:r>
      </w:hyperlink>
      <w:r w:rsidRPr="00C95377">
        <w:rPr>
          <w:rFonts w:ascii="Times New Roman" w:hAnsi="Times New Roman" w:cs="Times New Roman"/>
        </w:rPr>
        <w:t xml:space="preserve"> [Last Accessed 29th January 2016] at p.23</w:t>
      </w:r>
    </w:p>
  </w:endnote>
  <w:endnote w:id="97">
    <w:p w14:paraId="35D1D6D7" w14:textId="49A3FDF0"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Style w:val="Emphasis"/>
          <w:rFonts w:ascii="Times New Roman" w:hAnsi="Times New Roman" w:cs="Times New Roman"/>
        </w:rPr>
        <w:t>R v Argent</w:t>
      </w:r>
      <w:r w:rsidRPr="00C95377">
        <w:rPr>
          <w:rFonts w:ascii="Times New Roman" w:hAnsi="Times New Roman" w:cs="Times New Roman"/>
        </w:rPr>
        <w:t xml:space="preserve"> [1997] 2 Cr.App.R. 27</w:t>
      </w:r>
    </w:p>
  </w:endnote>
  <w:endnote w:id="98">
    <w:p w14:paraId="4E2BC707" w14:textId="3351C784"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i/>
        </w:rPr>
        <w:t xml:space="preserve">R v Cowen </w:t>
      </w:r>
      <w:r w:rsidRPr="00C95377">
        <w:rPr>
          <w:rFonts w:ascii="Times New Roman" w:hAnsi="Times New Roman" w:cs="Times New Roman"/>
        </w:rPr>
        <w:t>(1996) Q.B. 373.</w:t>
      </w:r>
    </w:p>
  </w:endnote>
  <w:endnote w:id="99">
    <w:p w14:paraId="007F37FB" w14:textId="635FD8EF"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S.58(1) Police and Criminal Evidence Act 1984. </w:t>
      </w:r>
    </w:p>
  </w:endnote>
  <w:endnote w:id="100">
    <w:p w14:paraId="2B9342E5" w14:textId="6F123BB0"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Auld LJ, </w:t>
      </w:r>
      <w:r w:rsidRPr="00C95377">
        <w:rPr>
          <w:rFonts w:ascii="Times New Roman" w:hAnsi="Times New Roman" w:cs="Times New Roman"/>
          <w:i/>
        </w:rPr>
        <w:t>Review of the Criminal Courts of England and Wales</w:t>
      </w:r>
      <w:r w:rsidRPr="00C95377">
        <w:rPr>
          <w:rFonts w:ascii="Times New Roman" w:hAnsi="Times New Roman" w:cs="Times New Roman"/>
        </w:rPr>
        <w:t xml:space="preserve"> (HMSO: 2001). </w:t>
      </w:r>
    </w:p>
  </w:endnote>
  <w:endnote w:id="101">
    <w:p w14:paraId="4B7A1333" w14:textId="5A2DFEE1"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Pr>
          <w:rFonts w:ascii="Times New Roman" w:hAnsi="Times New Roman" w:cs="Times New Roman"/>
        </w:rPr>
        <w:t>Ibid.</w:t>
      </w:r>
      <w:r w:rsidRPr="00C95377">
        <w:rPr>
          <w:rFonts w:ascii="Times New Roman" w:hAnsi="Times New Roman" w:cs="Times New Roman"/>
        </w:rPr>
        <w:t xml:space="preserve"> at 154.</w:t>
      </w:r>
    </w:p>
  </w:endnote>
  <w:endnote w:id="102">
    <w:p w14:paraId="253F5FDC" w14:textId="54A5117F" w:rsidR="004B636F" w:rsidRPr="00C95377" w:rsidRDefault="004B636F" w:rsidP="004B636F">
      <w:pPr>
        <w:pStyle w:val="EndnoteText"/>
        <w:spacing w:line="360" w:lineRule="auto"/>
        <w:rPr>
          <w:rFonts w:ascii="Times New Roman" w:hAnsi="Times New Roman" w:cs="Times New Roman"/>
          <w:lang w:val="en-US"/>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lang w:val="en-US"/>
        </w:rPr>
        <w:t xml:space="preserve">Professor Jenny McEwan argues that the purpose of the trial is multifaceted </w:t>
      </w:r>
      <w:r w:rsidR="00E90574">
        <w:rPr>
          <w:rFonts w:ascii="Times New Roman" w:hAnsi="Times New Roman" w:cs="Times New Roman"/>
          <w:lang w:val="en-US"/>
        </w:rPr>
        <w:t xml:space="preserve">- </w:t>
      </w:r>
      <w:r w:rsidRPr="00C95377">
        <w:rPr>
          <w:rFonts w:ascii="Times New Roman" w:hAnsi="Times New Roman" w:cs="Times New Roman"/>
          <w:lang w:val="en-US"/>
        </w:rPr>
        <w:t xml:space="preserve">See J. McEwan, </w:t>
      </w:r>
      <w:r w:rsidRPr="00C95377">
        <w:rPr>
          <w:rFonts w:ascii="Times New Roman" w:hAnsi="Times New Roman" w:cs="Times New Roman"/>
          <w:i/>
          <w:lang w:val="en-US"/>
        </w:rPr>
        <w:t>Evidence and the Adversarial Process – The Modern Law</w:t>
      </w:r>
      <w:r w:rsidRPr="00C95377">
        <w:rPr>
          <w:rFonts w:ascii="Times New Roman" w:hAnsi="Times New Roman" w:cs="Times New Roman"/>
          <w:lang w:val="en-US"/>
        </w:rPr>
        <w:t xml:space="preserve">, (Hart: Oxford, 1998) generally Chapter I. </w:t>
      </w:r>
    </w:p>
  </w:endnote>
  <w:endnote w:id="103">
    <w:p w14:paraId="0B4D524B" w14:textId="2CB41238"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S. Solley, The Role of the Advocate in M. McConville and Wilson (eds), </w:t>
      </w:r>
      <w:r w:rsidRPr="00C95377">
        <w:rPr>
          <w:rFonts w:ascii="Times New Roman" w:hAnsi="Times New Roman" w:cs="Times New Roman"/>
          <w:i/>
        </w:rPr>
        <w:t>The Handbook of the Criminal Justice Process</w:t>
      </w:r>
      <w:r w:rsidRPr="00C95377">
        <w:rPr>
          <w:rFonts w:ascii="Times New Roman" w:hAnsi="Times New Roman" w:cs="Times New Roman"/>
        </w:rPr>
        <w:t>, (Oxford: Oxford University Press, 2002) at 312.</w:t>
      </w:r>
    </w:p>
  </w:endnote>
  <w:endnote w:id="104">
    <w:p w14:paraId="305AB2C8" w14:textId="132BB814" w:rsidR="004B636F" w:rsidRPr="00C95377" w:rsidRDefault="004B636F" w:rsidP="004B636F">
      <w:pPr>
        <w:pStyle w:val="EndnoteText"/>
        <w:spacing w:line="360" w:lineRule="auto"/>
        <w:rPr>
          <w:rFonts w:ascii="Times New Roman" w:hAnsi="Times New Roman" w:cs="Times New Roman"/>
          <w:lang w:val="en-US"/>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lang w:val="en-US"/>
        </w:rPr>
        <w:t xml:space="preserve">Rule 1.1(1) Criminal Procedure Rules 2015 ensures that cases are dealt with justly. </w:t>
      </w:r>
    </w:p>
  </w:endnote>
  <w:endnote w:id="105">
    <w:p w14:paraId="22896A97" w14:textId="0F41808E"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See generally s.78 Police and Criminal Evidence Act 1984.</w:t>
      </w:r>
    </w:p>
  </w:endnote>
  <w:endnote w:id="106">
    <w:p w14:paraId="42F0C6AB" w14:textId="77777777"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L. Zedner </w:t>
      </w:r>
      <w:r w:rsidRPr="00C95377">
        <w:rPr>
          <w:rFonts w:ascii="Times New Roman" w:hAnsi="Times New Roman" w:cs="Times New Roman"/>
          <w:i/>
        </w:rPr>
        <w:t xml:space="preserve">Criminal Justice </w:t>
      </w:r>
      <w:r w:rsidRPr="00C95377">
        <w:rPr>
          <w:rFonts w:ascii="Times New Roman" w:hAnsi="Times New Roman" w:cs="Times New Roman"/>
        </w:rPr>
        <w:t>(Oxford: Oxford University Press, 2004) at p. 169</w:t>
      </w:r>
    </w:p>
  </w:endnote>
  <w:endnote w:id="107">
    <w:p w14:paraId="0CCAE4B9" w14:textId="5EED7E48"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Rule 1.1(1) Criminal Proceudre Rules 2015, dealing with cases justly is the overriding objective of the Criminal Procedure Rules 2015.</w:t>
      </w:r>
    </w:p>
  </w:endnote>
  <w:endnote w:id="108">
    <w:p w14:paraId="5EB533B8" w14:textId="581280EC"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Auld LJ, </w:t>
      </w:r>
      <w:r w:rsidRPr="00C95377">
        <w:rPr>
          <w:rFonts w:ascii="Times New Roman" w:hAnsi="Times New Roman" w:cs="Times New Roman"/>
          <w:i/>
        </w:rPr>
        <w:t>Review of the Criminal Courts of England and Wales</w:t>
      </w:r>
      <w:r w:rsidRPr="00C95377">
        <w:rPr>
          <w:rFonts w:ascii="Times New Roman" w:hAnsi="Times New Roman" w:cs="Times New Roman"/>
        </w:rPr>
        <w:t xml:space="preserve"> (HMSO: 2001).</w:t>
      </w:r>
    </w:p>
  </w:endnote>
  <w:endnote w:id="109">
    <w:p w14:paraId="688E019E" w14:textId="58E8C5BC"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[2003] EWCA 1012. </w:t>
      </w:r>
    </w:p>
  </w:endnote>
  <w:endnote w:id="110">
    <w:p w14:paraId="2AE0FA31" w14:textId="74F69BA1"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i/>
        </w:rPr>
        <w:t>ibid</w:t>
      </w:r>
      <w:r w:rsidRPr="00C95377">
        <w:rPr>
          <w:rFonts w:ascii="Times New Roman" w:hAnsi="Times New Roman" w:cs="Times New Roman"/>
        </w:rPr>
        <w:t xml:space="preserve"> per Judge LJ at para 35.</w:t>
      </w:r>
    </w:p>
  </w:endnote>
  <w:endnote w:id="111">
    <w:p w14:paraId="13EB03F1" w14:textId="03A3DFF3"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i/>
        </w:rPr>
        <w:t>ibid</w:t>
      </w:r>
      <w:r w:rsidRPr="00C95377">
        <w:rPr>
          <w:rFonts w:ascii="Times New Roman" w:hAnsi="Times New Roman" w:cs="Times New Roman"/>
        </w:rPr>
        <w:t xml:space="preserve"> at para 36. </w:t>
      </w:r>
    </w:p>
  </w:endnote>
  <w:endnote w:id="112">
    <w:p w14:paraId="3A02FBBC" w14:textId="40D31331"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[2004] EWCA Crim 696.</w:t>
      </w:r>
    </w:p>
  </w:endnote>
  <w:endnote w:id="113">
    <w:p w14:paraId="1F802434" w14:textId="7C941531"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i/>
        </w:rPr>
        <w:t>ibid</w:t>
      </w:r>
      <w:r w:rsidRPr="00C95377">
        <w:rPr>
          <w:rFonts w:ascii="Times New Roman" w:hAnsi="Times New Roman" w:cs="Times New Roman"/>
        </w:rPr>
        <w:t xml:space="preserve"> per Auld LJ at para 114.</w:t>
      </w:r>
    </w:p>
  </w:endnote>
  <w:endnote w:id="114">
    <w:p w14:paraId="11F9AE9E" w14:textId="57FDE333"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i/>
        </w:rPr>
        <w:t xml:space="preserve">ibid </w:t>
      </w:r>
      <w:r w:rsidRPr="00C95377">
        <w:rPr>
          <w:rFonts w:ascii="Times New Roman" w:hAnsi="Times New Roman" w:cs="Times New Roman"/>
        </w:rPr>
        <w:t xml:space="preserve">at para 277. </w:t>
      </w:r>
    </w:p>
  </w:endnote>
  <w:endnote w:id="115">
    <w:p w14:paraId="416205C2" w14:textId="4201F2AB"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The rules were created by Part 7 of the Courts Act 2003 s.69-73. </w:t>
      </w:r>
    </w:p>
  </w:endnote>
  <w:endnote w:id="116">
    <w:p w14:paraId="4495C98D" w14:textId="5FC76D79"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[2011] EWHC 388 (Admin).</w:t>
      </w:r>
    </w:p>
  </w:endnote>
  <w:endnote w:id="117">
    <w:p w14:paraId="6883ADA7" w14:textId="00BFB59E"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i/>
        </w:rPr>
        <w:t xml:space="preserve">R v Newell </w:t>
      </w:r>
      <w:r w:rsidRPr="00C95377">
        <w:rPr>
          <w:rFonts w:ascii="Times New Roman" w:hAnsi="Times New Roman" w:cs="Times New Roman"/>
        </w:rPr>
        <w:t xml:space="preserve">[2012] EWCA Crim 650. </w:t>
      </w:r>
    </w:p>
  </w:endnote>
  <w:endnote w:id="118">
    <w:p w14:paraId="1EA9D921" w14:textId="55A72F23"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[2012] EWCA Crim 650 at per Dobbs J at para 36.</w:t>
      </w:r>
    </w:p>
  </w:endnote>
  <w:endnote w:id="119">
    <w:p w14:paraId="74FB8B52" w14:textId="09C82929"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i/>
        </w:rPr>
        <w:t xml:space="preserve">R v Newell </w:t>
      </w:r>
      <w:r w:rsidRPr="00C95377">
        <w:rPr>
          <w:rFonts w:ascii="Times New Roman" w:hAnsi="Times New Roman" w:cs="Times New Roman"/>
        </w:rPr>
        <w:t>[2012] EWCA Crim 650 Per Ross J.</w:t>
      </w:r>
    </w:p>
  </w:endnote>
  <w:endnote w:id="120">
    <w:p w14:paraId="711CBBCD" w14:textId="5EDFC7DC" w:rsidR="004B636F" w:rsidRPr="00873138" w:rsidRDefault="004B636F" w:rsidP="004B636F">
      <w:pPr>
        <w:pStyle w:val="EndnoteText"/>
        <w:spacing w:line="360" w:lineRule="auto"/>
        <w:rPr>
          <w:rFonts w:ascii="Times New Roman" w:hAnsi="Times New Roman" w:cs="Times New Roman"/>
        </w:rPr>
      </w:pPr>
      <w:r w:rsidRPr="00873138">
        <w:rPr>
          <w:rStyle w:val="EndnoteReference"/>
          <w:rFonts w:ascii="Times New Roman" w:hAnsi="Times New Roman" w:cs="Times New Roman"/>
        </w:rPr>
        <w:endnoteRef/>
      </w:r>
      <w:r w:rsidRPr="00873138">
        <w:rPr>
          <w:rFonts w:ascii="Times New Roman" w:hAnsi="Times New Roman" w:cs="Times New Roman"/>
        </w:rPr>
        <w:t xml:space="preserve"> Article 8(1) European Convention of Human Rights 1953.</w:t>
      </w:r>
    </w:p>
  </w:endnote>
  <w:endnote w:id="121">
    <w:p w14:paraId="765DA0C7" w14:textId="4A032514" w:rsidR="004B636F" w:rsidRPr="00004882" w:rsidRDefault="004B636F" w:rsidP="004B636F">
      <w:pPr>
        <w:pStyle w:val="EndnoteText"/>
        <w:spacing w:line="360" w:lineRule="auto"/>
        <w:rPr>
          <w:rFonts w:ascii="Times New Roman" w:hAnsi="Times New Roman" w:cs="Times New Roman"/>
        </w:rPr>
      </w:pPr>
      <w:r w:rsidRPr="00873138">
        <w:rPr>
          <w:rStyle w:val="EndnoteReference"/>
          <w:rFonts w:ascii="Times New Roman" w:hAnsi="Times New Roman" w:cs="Times New Roman"/>
        </w:rPr>
        <w:endnoteRef/>
      </w:r>
      <w:r w:rsidRPr="00873138">
        <w:rPr>
          <w:rFonts w:ascii="Times New Roman" w:hAnsi="Times New Roman" w:cs="Times New Roman"/>
        </w:rPr>
        <w:t xml:space="preserve"> Article 8(2) </w:t>
      </w:r>
      <w:r w:rsidRPr="00873138">
        <w:rPr>
          <w:rFonts w:ascii="Times New Roman" w:hAnsi="Times New Roman" w:cs="Times New Roman"/>
          <w:i/>
        </w:rPr>
        <w:t>ibid</w:t>
      </w:r>
      <w:r w:rsidRPr="00873138">
        <w:rPr>
          <w:rFonts w:ascii="Times New Roman" w:hAnsi="Times New Roman" w:cs="Times New Roman"/>
        </w:rPr>
        <w:t>.</w:t>
      </w:r>
    </w:p>
  </w:endnote>
  <w:endnote w:id="122">
    <w:p w14:paraId="5F742116" w14:textId="75B24827"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(2010) Application No. 4158/05</w:t>
      </w:r>
    </w:p>
  </w:endnote>
  <w:endnote w:id="123">
    <w:p w14:paraId="05262D8D" w14:textId="538702D8"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J. Seaman, ‘Black Boxes: fMRI Lie Detection and the Role of the Jury’, (2015), Akron Law Review, volume 42(9), 931-939 at 934. </w:t>
      </w:r>
    </w:p>
  </w:endnote>
  <w:endnote w:id="124">
    <w:p w14:paraId="24AE248F" w14:textId="7D84E9EA"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T.R. Levine, R. K. Kim, H. S. Park and M, Hughes, ‘Deception Detection Accuracy is a Predictable Function of Message Veracity Base-Rate: A Formal Test of Park and Levine’s Probability Model, (2006), Communications Monographs, vol.73(3) 243-260 at 244-45.</w:t>
      </w:r>
    </w:p>
  </w:endnote>
  <w:endnote w:id="125">
    <w:p w14:paraId="47BD4D7A" w14:textId="6F0EA0DA"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F.A. Kozel, K.A. Johnson, E.L. Grenesko, S.J. Laken, S. Kose, X. Lu, D. Pollina, A. Ryan and M.S. George</w:t>
      </w:r>
      <w:r w:rsidRPr="00C95377">
        <w:rPr>
          <w:rFonts w:ascii="Times New Roman" w:hAnsi="Times New Roman" w:cs="Times New Roman"/>
          <w:i/>
        </w:rPr>
        <w:t>, Functional MRI Detection of Deception After Committing a Mock Sabotage Crime</w:t>
      </w:r>
      <w:r w:rsidRPr="00C95377">
        <w:rPr>
          <w:rFonts w:ascii="Times New Roman" w:hAnsi="Times New Roman" w:cs="Times New Roman"/>
        </w:rPr>
        <w:t>, 2009, J. Forensic Sci 54(1) 220-331</w:t>
      </w:r>
    </w:p>
  </w:endnote>
  <w:endnote w:id="126">
    <w:p w14:paraId="44521EC2" w14:textId="1F3DCC4D"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J. Rosen, ‘The Brain on the Stand: How Neuroscience is transforming the legal system, (2007), </w:t>
      </w:r>
      <w:r w:rsidRPr="00C95377">
        <w:rPr>
          <w:rFonts w:ascii="Times New Roman" w:hAnsi="Times New Roman" w:cs="Times New Roman"/>
          <w:i/>
        </w:rPr>
        <w:t>The New York Times Magazine</w:t>
      </w:r>
      <w:r w:rsidRPr="00C95377">
        <w:rPr>
          <w:rFonts w:ascii="Times New Roman" w:hAnsi="Times New Roman" w:cs="Times New Roman"/>
        </w:rPr>
        <w:t>, 53, March 2011.</w:t>
      </w:r>
    </w:p>
  </w:endnote>
  <w:endnote w:id="127">
    <w:p w14:paraId="1D72BF5C" w14:textId="20D35840"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M. Pardo and D. Patterson, </w:t>
      </w:r>
      <w:r w:rsidRPr="00C95377">
        <w:rPr>
          <w:rFonts w:ascii="Times New Roman" w:hAnsi="Times New Roman" w:cs="Times New Roman"/>
          <w:i/>
        </w:rPr>
        <w:t>Minds, Brains and Law: The Conceptual Foundations of Law and Neuroscience</w:t>
      </w:r>
      <w:r w:rsidRPr="00C95377">
        <w:rPr>
          <w:rFonts w:ascii="Times New Roman" w:hAnsi="Times New Roman" w:cs="Times New Roman"/>
        </w:rPr>
        <w:t>, (2013) Oxford: OUP at 116.</w:t>
      </w:r>
    </w:p>
  </w:endnote>
  <w:endnote w:id="128">
    <w:p w14:paraId="3045B685" w14:textId="32B8257D"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There are numerous pitfalls to relying on mock jurors, most notably that very little is at stake in the mock trial, where as in the ‘real world’, the liberty of the defendant is at stake. See, D. Wolchover and A. Heaton-Armstrong, ‘Debunking Rape Myths’ 25</w:t>
      </w:r>
      <w:r w:rsidRPr="00C95377">
        <w:rPr>
          <w:rFonts w:ascii="Times New Roman" w:hAnsi="Times New Roman" w:cs="Times New Roman"/>
          <w:vertAlign w:val="superscript"/>
        </w:rPr>
        <w:t>th</w:t>
      </w:r>
      <w:r w:rsidRPr="00C95377">
        <w:rPr>
          <w:rFonts w:ascii="Times New Roman" w:hAnsi="Times New Roman" w:cs="Times New Roman"/>
        </w:rPr>
        <w:t xml:space="preserve"> January 2008, New Law Journal, available here: </w:t>
      </w:r>
      <w:hyperlink r:id="rId14" w:history="1">
        <w:r w:rsidRPr="00C95377">
          <w:rPr>
            <w:rStyle w:val="Hyperlink"/>
            <w:rFonts w:ascii="Times New Roman" w:hAnsi="Times New Roman" w:cs="Times New Roman"/>
          </w:rPr>
          <w:t>http://www.newlawjournal.co.uk/nlj/content/debunking-rape-myths</w:t>
        </w:r>
      </w:hyperlink>
      <w:r w:rsidRPr="00C95377">
        <w:rPr>
          <w:rFonts w:ascii="Times New Roman" w:hAnsi="Times New Roman" w:cs="Times New Roman"/>
        </w:rPr>
        <w:t xml:space="preserve"> [Last Accessed] 30</w:t>
      </w:r>
      <w:r w:rsidRPr="00C95377">
        <w:rPr>
          <w:rFonts w:ascii="Times New Roman" w:hAnsi="Times New Roman" w:cs="Times New Roman"/>
          <w:vertAlign w:val="superscript"/>
        </w:rPr>
        <w:t>th</w:t>
      </w:r>
      <w:r w:rsidRPr="00C95377">
        <w:rPr>
          <w:rFonts w:ascii="Times New Roman" w:hAnsi="Times New Roman" w:cs="Times New Roman"/>
        </w:rPr>
        <w:t xml:space="preserve"> January 2015.</w:t>
      </w:r>
    </w:p>
  </w:endnote>
  <w:endnote w:id="129">
    <w:p w14:paraId="5623FFD1" w14:textId="66ED6484" w:rsidR="004B636F" w:rsidRPr="00C95377" w:rsidRDefault="004B636F" w:rsidP="004B636F">
      <w:pPr>
        <w:pStyle w:val="EndnoteText"/>
        <w:tabs>
          <w:tab w:val="left" w:pos="971"/>
        </w:tabs>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D. P. McCabe, A. D. Castel and M. G. Rhodes, ‘The Influence of fMRI Lie Detection Evidence on Juror Decision-Making’, (2011), Behav. Sci. Law, 29, 566-577 at 574. </w:t>
      </w:r>
    </w:p>
  </w:endnote>
  <w:endnote w:id="130">
    <w:p w14:paraId="5B5BC178" w14:textId="04973D79" w:rsidR="004B636F" w:rsidRPr="00C95377" w:rsidRDefault="004B636F" w:rsidP="004B636F">
      <w:pPr>
        <w:pStyle w:val="Default"/>
        <w:spacing w:line="360" w:lineRule="auto"/>
        <w:rPr>
          <w:sz w:val="20"/>
          <w:szCs w:val="20"/>
        </w:rPr>
      </w:pPr>
      <w:r w:rsidRPr="00C95377">
        <w:rPr>
          <w:rStyle w:val="EndnoteReference"/>
          <w:sz w:val="20"/>
          <w:szCs w:val="20"/>
        </w:rPr>
        <w:endnoteRef/>
      </w:r>
      <w:r w:rsidRPr="00C95377">
        <w:rPr>
          <w:sz w:val="20"/>
          <w:szCs w:val="20"/>
        </w:rPr>
        <w:t xml:space="preserve"> H.T. Greely, ‘Prediction, Litigation, Privacy and Property’ in B. Garland (Ed) </w:t>
      </w:r>
      <w:r w:rsidRPr="00C95377">
        <w:rPr>
          <w:i/>
          <w:sz w:val="20"/>
          <w:szCs w:val="20"/>
        </w:rPr>
        <w:t>Neuroscience and the Law: Brain Mind and the Scales of Justice</w:t>
      </w:r>
      <w:r>
        <w:rPr>
          <w:i/>
          <w:sz w:val="20"/>
          <w:szCs w:val="20"/>
        </w:rPr>
        <w:t xml:space="preserve"> </w:t>
      </w:r>
      <w:r>
        <w:rPr>
          <w:sz w:val="20"/>
          <w:szCs w:val="20"/>
        </w:rPr>
        <w:t>(Dana Press: Washington, 2005) at 114-157.</w:t>
      </w:r>
    </w:p>
  </w:endnote>
  <w:endnote w:id="131">
    <w:p w14:paraId="6A1A06AA" w14:textId="391DFE6F" w:rsidR="004B636F" w:rsidRPr="00C95377" w:rsidRDefault="004B636F" w:rsidP="004B636F">
      <w:pPr>
        <w:pStyle w:val="Default"/>
        <w:spacing w:line="360" w:lineRule="auto"/>
        <w:rPr>
          <w:b/>
          <w:sz w:val="20"/>
          <w:szCs w:val="20"/>
        </w:rPr>
      </w:pPr>
      <w:r w:rsidRPr="00C95377">
        <w:rPr>
          <w:rStyle w:val="EndnoteReference"/>
          <w:sz w:val="20"/>
          <w:szCs w:val="20"/>
        </w:rPr>
        <w:endnoteRef/>
      </w:r>
      <w:r w:rsidRPr="00C95377">
        <w:rPr>
          <w:sz w:val="20"/>
          <w:szCs w:val="20"/>
        </w:rPr>
        <w:t xml:space="preserve"> M.R., Damaska ‘Evidentary boundaries to conviction and two models of criminal procedure: a comparative study’, (1973) 121 </w:t>
      </w:r>
      <w:r w:rsidRPr="00C95377">
        <w:rPr>
          <w:i/>
          <w:iCs/>
          <w:sz w:val="20"/>
          <w:szCs w:val="20"/>
        </w:rPr>
        <w:t>U Penn. LR.</w:t>
      </w:r>
      <w:r w:rsidRPr="00C95377">
        <w:rPr>
          <w:sz w:val="20"/>
          <w:szCs w:val="20"/>
        </w:rPr>
        <w:t>, p.564.</w:t>
      </w:r>
    </w:p>
  </w:endnote>
  <w:endnote w:id="132">
    <w:p w14:paraId="037E88B8" w14:textId="4EB6B9FF" w:rsidR="004B636F" w:rsidRPr="00C95377" w:rsidRDefault="004B636F" w:rsidP="004B636F">
      <w:pPr>
        <w:widowControl w:val="0"/>
        <w:tabs>
          <w:tab w:val="left" w:pos="220"/>
          <w:tab w:val="left" w:pos="720"/>
        </w:tabs>
        <w:autoSpaceDE w:val="0"/>
        <w:autoSpaceDN w:val="0"/>
        <w:adjustRightInd w:val="0"/>
        <w:spacing w:after="0" w:line="360" w:lineRule="auto"/>
        <w:rPr>
          <w:rFonts w:ascii="Times New Roman" w:hAnsi="Times New Roman" w:cs="Times New Roman"/>
          <w:sz w:val="20"/>
          <w:szCs w:val="20"/>
        </w:rPr>
      </w:pPr>
      <w:r w:rsidRPr="00C95377">
        <w:rPr>
          <w:rStyle w:val="EndnoteReference"/>
          <w:rFonts w:ascii="Times New Roman" w:hAnsi="Times New Roman" w:cs="Times New Roman"/>
          <w:sz w:val="20"/>
          <w:szCs w:val="20"/>
        </w:rPr>
        <w:endnoteRef/>
      </w:r>
      <w:r w:rsidRPr="00C95377">
        <w:rPr>
          <w:rFonts w:ascii="Times New Roman" w:hAnsi="Times New Roman" w:cs="Times New Roman"/>
          <w:sz w:val="20"/>
          <w:szCs w:val="20"/>
        </w:rPr>
        <w:t xml:space="preserve"> </w:t>
      </w:r>
      <w:r w:rsidRPr="00C95377">
        <w:rPr>
          <w:rFonts w:ascii="Times New Roman" w:hAnsi="Times New Roman" w:cs="Times New Roman"/>
          <w:i/>
          <w:sz w:val="20"/>
          <w:szCs w:val="20"/>
        </w:rPr>
        <w:t>State of Florida v George Zimmerman 2013</w:t>
      </w:r>
      <w:r w:rsidRPr="00C95377">
        <w:rPr>
          <w:rFonts w:ascii="Times New Roman" w:hAnsi="Times New Roman" w:cs="Times New Roman"/>
          <w:sz w:val="20"/>
          <w:szCs w:val="20"/>
        </w:rPr>
        <w:t xml:space="preserve"> (Case No 592012CF001083A) See further: Gabriel, R. ‘Race, bias and the Zimmerman Jury’ [online] http://edition.cnn.com/2013/07/16/opinion/gabriel-bias-zimmerman (accessed 20 </w:t>
      </w:r>
      <w:r>
        <w:rPr>
          <w:rFonts w:ascii="Times New Roman" w:hAnsi="Times New Roman" w:cs="Times New Roman"/>
          <w:sz w:val="20"/>
          <w:szCs w:val="20"/>
        </w:rPr>
        <w:t>January 2016</w:t>
      </w:r>
      <w:r w:rsidRPr="00C95377">
        <w:rPr>
          <w:rFonts w:ascii="Times New Roman" w:hAnsi="Times New Roman" w:cs="Times New Roman"/>
          <w:sz w:val="20"/>
          <w:szCs w:val="20"/>
        </w:rPr>
        <w:t>).</w:t>
      </w:r>
    </w:p>
  </w:endnote>
  <w:endnote w:id="133">
    <w:p w14:paraId="73520ED9" w14:textId="530A4506"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See, S. Anwar, P. Bayer and R. Hjalmarsson, ‘The Impact of Race in Criminal Trials, The Quarter Journal of Economics, (2012) 127(2) 1017-1055. It is important to note that this study only consider racial prejudice in a US context.</w:t>
      </w:r>
    </w:p>
  </w:endnote>
  <w:endnote w:id="134">
    <w:p w14:paraId="2E1097AA" w14:textId="4C06EBC5"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w:t>
      </w:r>
      <w:r w:rsidRPr="00C95377">
        <w:rPr>
          <w:rFonts w:ascii="Times New Roman" w:hAnsi="Times New Roman" w:cs="Times New Roman"/>
          <w:i/>
        </w:rPr>
        <w:t>State of Maharashtra v Sharma</w:t>
      </w:r>
      <w:r w:rsidRPr="00C95377">
        <w:rPr>
          <w:rFonts w:ascii="Times New Roman" w:hAnsi="Times New Roman" w:cs="Times New Roman"/>
        </w:rPr>
        <w:t xml:space="preserve">  C.C No 508/07 Pune, June 12, 2008 (India). </w:t>
      </w:r>
    </w:p>
  </w:endnote>
  <w:endnote w:id="135">
    <w:p w14:paraId="4D971FE9" w14:textId="408FB052"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L. Capraro, The Juridical Role of Emotions in the Decisional Process of Popular Juries, in </w:t>
      </w:r>
      <w:r w:rsidRPr="00C95377">
        <w:rPr>
          <w:rFonts w:ascii="Times New Roman" w:hAnsi="Times New Roman" w:cs="Times New Roman"/>
          <w:i/>
        </w:rPr>
        <w:t xml:space="preserve">Law and Neuroscience: Current Legal Issues Volume 13, </w:t>
      </w:r>
      <w:r w:rsidRPr="00C95377">
        <w:rPr>
          <w:rFonts w:ascii="Times New Roman" w:hAnsi="Times New Roman" w:cs="Times New Roman"/>
        </w:rPr>
        <w:t>M. Freeman (Ed), 2011, Oxford: OUP at p.416.</w:t>
      </w:r>
    </w:p>
  </w:endnote>
  <w:endnote w:id="136">
    <w:p w14:paraId="39B00E9A" w14:textId="636C05C4"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Rule 1.1(1) Criminal Procedure Rules 201</w:t>
      </w:r>
      <w:r>
        <w:rPr>
          <w:rFonts w:ascii="Times New Roman" w:hAnsi="Times New Roman" w:cs="Times New Roman"/>
        </w:rPr>
        <w:t>5</w:t>
      </w:r>
      <w:r w:rsidRPr="00C95377">
        <w:rPr>
          <w:rFonts w:ascii="Times New Roman" w:hAnsi="Times New Roman" w:cs="Times New Roman"/>
        </w:rPr>
        <w:t xml:space="preserve">. </w:t>
      </w:r>
    </w:p>
  </w:endnote>
  <w:endnote w:id="137">
    <w:p w14:paraId="7B0CC6E9" w14:textId="42261116"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Rule 3.2(2) (h) Criminal Procedure Rules 201</w:t>
      </w:r>
      <w:r>
        <w:rPr>
          <w:rFonts w:ascii="Times New Roman" w:hAnsi="Times New Roman" w:cs="Times New Roman"/>
        </w:rPr>
        <w:t>5</w:t>
      </w:r>
      <w:r w:rsidRPr="00C95377">
        <w:rPr>
          <w:rFonts w:ascii="Times New Roman" w:hAnsi="Times New Roman" w:cs="Times New Roman"/>
        </w:rPr>
        <w:t>.</w:t>
      </w:r>
    </w:p>
  </w:endnote>
  <w:endnote w:id="138">
    <w:p w14:paraId="3437D208" w14:textId="496A4D83"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Judiciary of England and Wales, </w:t>
      </w:r>
      <w:r w:rsidRPr="00C95377">
        <w:rPr>
          <w:rFonts w:ascii="Times New Roman" w:hAnsi="Times New Roman" w:cs="Times New Roman"/>
          <w:i/>
        </w:rPr>
        <w:t>Review of Efficiency in Criminal Proceedings</w:t>
      </w:r>
      <w:r w:rsidRPr="00C95377">
        <w:rPr>
          <w:rFonts w:ascii="Times New Roman" w:hAnsi="Times New Roman" w:cs="Times New Roman"/>
        </w:rPr>
        <w:t xml:space="preserve">, (2015) available here: </w:t>
      </w:r>
      <w:hyperlink r:id="rId15" w:history="1">
        <w:r w:rsidRPr="00C95377">
          <w:rPr>
            <w:rStyle w:val="Hyperlink"/>
            <w:rFonts w:ascii="Times New Roman" w:hAnsi="Times New Roman" w:cs="Times New Roman"/>
          </w:rPr>
          <w:t>https://www.judiciary.gov.uk/wp-content/uploads/2015/01/review-of-efficiency-in-criminal-proceedings-20151.pdf</w:t>
        </w:r>
      </w:hyperlink>
      <w:r w:rsidRPr="00C95377">
        <w:rPr>
          <w:rFonts w:ascii="Times New Roman" w:hAnsi="Times New Roman" w:cs="Times New Roman"/>
        </w:rPr>
        <w:t xml:space="preserve"> </w:t>
      </w:r>
    </w:p>
  </w:endnote>
  <w:endnote w:id="139">
    <w:p w14:paraId="5C813A45" w14:textId="0E2C703C" w:rsidR="004B636F" w:rsidRPr="00C95377"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Rule 1.1(1) Criminal Procedure Rules 2015.</w:t>
      </w:r>
    </w:p>
  </w:endnote>
  <w:endnote w:id="140">
    <w:p w14:paraId="7B1729F7" w14:textId="10456637" w:rsidR="004B636F" w:rsidRDefault="004B636F" w:rsidP="004B636F">
      <w:pPr>
        <w:pStyle w:val="EndnoteText"/>
        <w:spacing w:line="360" w:lineRule="auto"/>
        <w:rPr>
          <w:rFonts w:ascii="Times New Roman" w:hAnsi="Times New Roman" w:cs="Times New Roman"/>
        </w:rPr>
      </w:pPr>
      <w:r w:rsidRPr="00C95377">
        <w:rPr>
          <w:rStyle w:val="EndnoteReference"/>
          <w:rFonts w:ascii="Times New Roman" w:hAnsi="Times New Roman" w:cs="Times New Roman"/>
        </w:rPr>
        <w:endnoteRef/>
      </w:r>
      <w:r w:rsidRPr="00C95377">
        <w:rPr>
          <w:rFonts w:ascii="Times New Roman" w:hAnsi="Times New Roman" w:cs="Times New Roman"/>
        </w:rPr>
        <w:t xml:space="preserve"> Rule 1.1(2)(a) Criminal Procedure Rules 2015.</w:t>
      </w:r>
    </w:p>
    <w:p w14:paraId="64A56033" w14:textId="77777777" w:rsidR="004B636F" w:rsidRPr="00C95377" w:rsidRDefault="004B636F" w:rsidP="004B636F">
      <w:pPr>
        <w:pStyle w:val="EndnoteText"/>
        <w:spacing w:line="360" w:lineRule="auto"/>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Minion Pro">
    <w:altName w:val="Minion Pr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C8E15" w14:textId="77777777" w:rsidR="004B636F" w:rsidRDefault="004B636F" w:rsidP="009457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B85BF6" w14:textId="77777777" w:rsidR="004B636F" w:rsidRDefault="004B6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EDAC4" w14:textId="677450D0" w:rsidR="004B636F" w:rsidRPr="0091115A" w:rsidRDefault="004B636F" w:rsidP="009457BA">
    <w:pPr>
      <w:pStyle w:val="Footer"/>
      <w:framePr w:wrap="around" w:vAnchor="text" w:hAnchor="margin" w:xAlign="center" w:y="1"/>
      <w:rPr>
        <w:rStyle w:val="PageNumber"/>
        <w:rFonts w:ascii="Times New Roman" w:hAnsi="Times New Roman" w:cs="Times New Roman"/>
        <w:sz w:val="20"/>
        <w:szCs w:val="20"/>
      </w:rPr>
    </w:pPr>
    <w:r w:rsidRPr="0091115A">
      <w:rPr>
        <w:rStyle w:val="PageNumber"/>
        <w:rFonts w:ascii="Times New Roman" w:hAnsi="Times New Roman" w:cs="Times New Roman"/>
        <w:sz w:val="20"/>
        <w:szCs w:val="20"/>
      </w:rPr>
      <w:fldChar w:fldCharType="begin"/>
    </w:r>
    <w:r w:rsidRPr="0091115A">
      <w:rPr>
        <w:rStyle w:val="PageNumber"/>
        <w:rFonts w:ascii="Times New Roman" w:hAnsi="Times New Roman" w:cs="Times New Roman"/>
        <w:sz w:val="20"/>
        <w:szCs w:val="20"/>
      </w:rPr>
      <w:instrText xml:space="preserve">PAGE  </w:instrText>
    </w:r>
    <w:r w:rsidRPr="0091115A">
      <w:rPr>
        <w:rStyle w:val="PageNumber"/>
        <w:rFonts w:ascii="Times New Roman" w:hAnsi="Times New Roman" w:cs="Times New Roman"/>
        <w:sz w:val="20"/>
        <w:szCs w:val="20"/>
      </w:rPr>
      <w:fldChar w:fldCharType="separate"/>
    </w:r>
    <w:r w:rsidR="00007C28">
      <w:rPr>
        <w:rStyle w:val="PageNumber"/>
        <w:rFonts w:ascii="Times New Roman" w:hAnsi="Times New Roman" w:cs="Times New Roman"/>
        <w:noProof/>
        <w:sz w:val="20"/>
        <w:szCs w:val="20"/>
      </w:rPr>
      <w:t>2</w:t>
    </w:r>
    <w:r w:rsidRPr="0091115A">
      <w:rPr>
        <w:rStyle w:val="PageNumber"/>
        <w:rFonts w:ascii="Times New Roman" w:hAnsi="Times New Roman" w:cs="Times New Roman"/>
        <w:sz w:val="20"/>
        <w:szCs w:val="20"/>
      </w:rPr>
      <w:fldChar w:fldCharType="end"/>
    </w:r>
  </w:p>
  <w:p w14:paraId="23587D62" w14:textId="77777777" w:rsidR="004B636F" w:rsidRDefault="004B636F" w:rsidP="0091115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52803" w14:textId="77777777" w:rsidR="000642A1" w:rsidRDefault="000642A1" w:rsidP="00DC438C">
      <w:pPr>
        <w:spacing w:after="0" w:line="240" w:lineRule="auto"/>
      </w:pPr>
      <w:r>
        <w:separator/>
      </w:r>
    </w:p>
  </w:footnote>
  <w:footnote w:type="continuationSeparator" w:id="0">
    <w:p w14:paraId="634AF765" w14:textId="77777777" w:rsidR="000642A1" w:rsidRDefault="000642A1" w:rsidP="00DC4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1659"/>
    <w:multiLevelType w:val="hybridMultilevel"/>
    <w:tmpl w:val="0FDA979E"/>
    <w:lvl w:ilvl="0" w:tplc="0B421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0D2FE3"/>
    <w:multiLevelType w:val="hybridMultilevel"/>
    <w:tmpl w:val="9B583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F41831"/>
    <w:multiLevelType w:val="hybridMultilevel"/>
    <w:tmpl w:val="932CAC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5C5965"/>
    <w:multiLevelType w:val="hybridMultilevel"/>
    <w:tmpl w:val="6B202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5542F"/>
    <w:multiLevelType w:val="hybridMultilevel"/>
    <w:tmpl w:val="1DBAB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E2CEC"/>
    <w:multiLevelType w:val="hybridMultilevel"/>
    <w:tmpl w:val="6B202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340617"/>
    <w:multiLevelType w:val="hybridMultilevel"/>
    <w:tmpl w:val="B7F0E0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811E80"/>
    <w:multiLevelType w:val="hybridMultilevel"/>
    <w:tmpl w:val="9274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C3819"/>
    <w:multiLevelType w:val="hybridMultilevel"/>
    <w:tmpl w:val="87506C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AFA428C"/>
    <w:multiLevelType w:val="hybridMultilevel"/>
    <w:tmpl w:val="0E8C5F0C"/>
    <w:lvl w:ilvl="0" w:tplc="D7B4A0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42157B0"/>
    <w:multiLevelType w:val="hybridMultilevel"/>
    <w:tmpl w:val="A774A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
  </w:num>
  <w:num w:numId="3">
    <w:abstractNumId w:val="5"/>
  </w:num>
  <w:num w:numId="4">
    <w:abstractNumId w:val="4"/>
  </w:num>
  <w:num w:numId="5">
    <w:abstractNumId w:val="1"/>
  </w:num>
  <w:num w:numId="6">
    <w:abstractNumId w:val="6"/>
  </w:num>
  <w:num w:numId="7">
    <w:abstractNumId w:val="2"/>
  </w:num>
  <w:num w:numId="8">
    <w:abstractNumId w:val="8"/>
  </w:num>
  <w:num w:numId="9">
    <w:abstractNumId w:val="0"/>
  </w:num>
  <w:num w:numId="10">
    <w:abstractNumId w:val="10"/>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Catley">
    <w15:presenceInfo w15:providerId="AD" w15:userId="S-1-5-21-2118997552-836320393-1615622311-157394"/>
  </w15:person>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46"/>
    <w:rsid w:val="00004882"/>
    <w:rsid w:val="00005A69"/>
    <w:rsid w:val="00007C28"/>
    <w:rsid w:val="00014C73"/>
    <w:rsid w:val="00026B56"/>
    <w:rsid w:val="000342A8"/>
    <w:rsid w:val="00043696"/>
    <w:rsid w:val="000629B9"/>
    <w:rsid w:val="0006399C"/>
    <w:rsid w:val="000642A1"/>
    <w:rsid w:val="0008294F"/>
    <w:rsid w:val="00093272"/>
    <w:rsid w:val="000A41E4"/>
    <w:rsid w:val="000B08E9"/>
    <w:rsid w:val="000B3224"/>
    <w:rsid w:val="000B3ECA"/>
    <w:rsid w:val="000C1CCA"/>
    <w:rsid w:val="000D30FE"/>
    <w:rsid w:val="000E4BC3"/>
    <w:rsid w:val="000F5C88"/>
    <w:rsid w:val="00105597"/>
    <w:rsid w:val="00123EA0"/>
    <w:rsid w:val="00125F65"/>
    <w:rsid w:val="001434F3"/>
    <w:rsid w:val="00155BC8"/>
    <w:rsid w:val="00156A98"/>
    <w:rsid w:val="00196966"/>
    <w:rsid w:val="001A2ADF"/>
    <w:rsid w:val="001A3B81"/>
    <w:rsid w:val="001A4243"/>
    <w:rsid w:val="001A7D6A"/>
    <w:rsid w:val="001B3F4C"/>
    <w:rsid w:val="001B751B"/>
    <w:rsid w:val="001C0F73"/>
    <w:rsid w:val="001C5F79"/>
    <w:rsid w:val="001D3A1D"/>
    <w:rsid w:val="001E11A4"/>
    <w:rsid w:val="001E206E"/>
    <w:rsid w:val="001F01AA"/>
    <w:rsid w:val="001F4718"/>
    <w:rsid w:val="002026F1"/>
    <w:rsid w:val="00214C3C"/>
    <w:rsid w:val="00215FDE"/>
    <w:rsid w:val="0021785F"/>
    <w:rsid w:val="00224DF6"/>
    <w:rsid w:val="00236B5A"/>
    <w:rsid w:val="00245D96"/>
    <w:rsid w:val="00250C46"/>
    <w:rsid w:val="002534CF"/>
    <w:rsid w:val="002537D8"/>
    <w:rsid w:val="00274CB1"/>
    <w:rsid w:val="0027794C"/>
    <w:rsid w:val="002801B9"/>
    <w:rsid w:val="0028369E"/>
    <w:rsid w:val="0028768F"/>
    <w:rsid w:val="002936F2"/>
    <w:rsid w:val="002950F2"/>
    <w:rsid w:val="002B63E9"/>
    <w:rsid w:val="002C1AEC"/>
    <w:rsid w:val="002D3EE9"/>
    <w:rsid w:val="002E197D"/>
    <w:rsid w:val="002E3F3F"/>
    <w:rsid w:val="0030054B"/>
    <w:rsid w:val="0030648D"/>
    <w:rsid w:val="00334662"/>
    <w:rsid w:val="00336422"/>
    <w:rsid w:val="0034043B"/>
    <w:rsid w:val="00344BC3"/>
    <w:rsid w:val="003478B1"/>
    <w:rsid w:val="00350298"/>
    <w:rsid w:val="00356DB7"/>
    <w:rsid w:val="00366BED"/>
    <w:rsid w:val="00370390"/>
    <w:rsid w:val="003819CF"/>
    <w:rsid w:val="00387F5B"/>
    <w:rsid w:val="003A1A51"/>
    <w:rsid w:val="003B2A9C"/>
    <w:rsid w:val="003B3EEB"/>
    <w:rsid w:val="003B6EB2"/>
    <w:rsid w:val="00413FA9"/>
    <w:rsid w:val="0041608A"/>
    <w:rsid w:val="00456597"/>
    <w:rsid w:val="00461C4A"/>
    <w:rsid w:val="004736FB"/>
    <w:rsid w:val="00481D89"/>
    <w:rsid w:val="00486DBC"/>
    <w:rsid w:val="004A0382"/>
    <w:rsid w:val="004A0B50"/>
    <w:rsid w:val="004A2AF8"/>
    <w:rsid w:val="004B636F"/>
    <w:rsid w:val="004C224A"/>
    <w:rsid w:val="004C3BAD"/>
    <w:rsid w:val="004C3C45"/>
    <w:rsid w:val="004C5795"/>
    <w:rsid w:val="004C5856"/>
    <w:rsid w:val="004D6C33"/>
    <w:rsid w:val="004D7F13"/>
    <w:rsid w:val="004F0366"/>
    <w:rsid w:val="004F5F32"/>
    <w:rsid w:val="004F78F8"/>
    <w:rsid w:val="00501B30"/>
    <w:rsid w:val="00503679"/>
    <w:rsid w:val="00507AF6"/>
    <w:rsid w:val="00510549"/>
    <w:rsid w:val="00517465"/>
    <w:rsid w:val="005342B5"/>
    <w:rsid w:val="00535870"/>
    <w:rsid w:val="00545E38"/>
    <w:rsid w:val="005567F2"/>
    <w:rsid w:val="00573110"/>
    <w:rsid w:val="00575749"/>
    <w:rsid w:val="00586846"/>
    <w:rsid w:val="005A0928"/>
    <w:rsid w:val="005B1F85"/>
    <w:rsid w:val="005C529B"/>
    <w:rsid w:val="005D1961"/>
    <w:rsid w:val="005E148E"/>
    <w:rsid w:val="005F7E7B"/>
    <w:rsid w:val="00615CB3"/>
    <w:rsid w:val="006211A0"/>
    <w:rsid w:val="0062755C"/>
    <w:rsid w:val="00630CBF"/>
    <w:rsid w:val="006311E1"/>
    <w:rsid w:val="006373C6"/>
    <w:rsid w:val="0064214A"/>
    <w:rsid w:val="00644F99"/>
    <w:rsid w:val="00647B7E"/>
    <w:rsid w:val="006542D8"/>
    <w:rsid w:val="00657436"/>
    <w:rsid w:val="0066360F"/>
    <w:rsid w:val="00671BBC"/>
    <w:rsid w:val="006773C5"/>
    <w:rsid w:val="00684BE0"/>
    <w:rsid w:val="006A7457"/>
    <w:rsid w:val="006B0E13"/>
    <w:rsid w:val="006D3212"/>
    <w:rsid w:val="006D3C49"/>
    <w:rsid w:val="006D5501"/>
    <w:rsid w:val="006D7C1C"/>
    <w:rsid w:val="006E0DB0"/>
    <w:rsid w:val="00726D61"/>
    <w:rsid w:val="00731EB1"/>
    <w:rsid w:val="0074096C"/>
    <w:rsid w:val="00744273"/>
    <w:rsid w:val="00745C77"/>
    <w:rsid w:val="007522A3"/>
    <w:rsid w:val="007530B6"/>
    <w:rsid w:val="00772D69"/>
    <w:rsid w:val="00793173"/>
    <w:rsid w:val="00796D71"/>
    <w:rsid w:val="00797299"/>
    <w:rsid w:val="007A0FAA"/>
    <w:rsid w:val="007A2052"/>
    <w:rsid w:val="007B76F6"/>
    <w:rsid w:val="007C5594"/>
    <w:rsid w:val="007D0C41"/>
    <w:rsid w:val="007D627B"/>
    <w:rsid w:val="007E10B1"/>
    <w:rsid w:val="007E1930"/>
    <w:rsid w:val="008053E7"/>
    <w:rsid w:val="00810DDE"/>
    <w:rsid w:val="008158CC"/>
    <w:rsid w:val="008158F0"/>
    <w:rsid w:val="00830723"/>
    <w:rsid w:val="00831984"/>
    <w:rsid w:val="0083438E"/>
    <w:rsid w:val="00836EC6"/>
    <w:rsid w:val="00850A5D"/>
    <w:rsid w:val="00864F2D"/>
    <w:rsid w:val="008670C7"/>
    <w:rsid w:val="00871EFE"/>
    <w:rsid w:val="008721AF"/>
    <w:rsid w:val="00873138"/>
    <w:rsid w:val="00875D75"/>
    <w:rsid w:val="008810C5"/>
    <w:rsid w:val="008A1166"/>
    <w:rsid w:val="008B15EB"/>
    <w:rsid w:val="008B46DC"/>
    <w:rsid w:val="008C2081"/>
    <w:rsid w:val="008C23EA"/>
    <w:rsid w:val="008D134D"/>
    <w:rsid w:val="008E1CE3"/>
    <w:rsid w:val="008E62BA"/>
    <w:rsid w:val="008F004D"/>
    <w:rsid w:val="008F7274"/>
    <w:rsid w:val="00900B0D"/>
    <w:rsid w:val="00902F9D"/>
    <w:rsid w:val="00903C6D"/>
    <w:rsid w:val="00905E38"/>
    <w:rsid w:val="0091115A"/>
    <w:rsid w:val="0091282C"/>
    <w:rsid w:val="00922FBC"/>
    <w:rsid w:val="00933D2B"/>
    <w:rsid w:val="00942628"/>
    <w:rsid w:val="009457BA"/>
    <w:rsid w:val="00950278"/>
    <w:rsid w:val="009557D4"/>
    <w:rsid w:val="00957DF6"/>
    <w:rsid w:val="0097328C"/>
    <w:rsid w:val="0098107E"/>
    <w:rsid w:val="009939F0"/>
    <w:rsid w:val="00996CAF"/>
    <w:rsid w:val="009A2065"/>
    <w:rsid w:val="009B0B5C"/>
    <w:rsid w:val="009B4DD3"/>
    <w:rsid w:val="009B57DA"/>
    <w:rsid w:val="009C44C2"/>
    <w:rsid w:val="009C48ED"/>
    <w:rsid w:val="009C7DD9"/>
    <w:rsid w:val="009F11E4"/>
    <w:rsid w:val="009F4FD3"/>
    <w:rsid w:val="00A004F1"/>
    <w:rsid w:val="00A079C4"/>
    <w:rsid w:val="00A11504"/>
    <w:rsid w:val="00A26BE2"/>
    <w:rsid w:val="00A27596"/>
    <w:rsid w:val="00A32FBD"/>
    <w:rsid w:val="00A41DB5"/>
    <w:rsid w:val="00A45229"/>
    <w:rsid w:val="00A47AE0"/>
    <w:rsid w:val="00A50D98"/>
    <w:rsid w:val="00A6301B"/>
    <w:rsid w:val="00A74BBE"/>
    <w:rsid w:val="00A77256"/>
    <w:rsid w:val="00AA0A28"/>
    <w:rsid w:val="00AC7B4E"/>
    <w:rsid w:val="00AD192D"/>
    <w:rsid w:val="00AD5321"/>
    <w:rsid w:val="00AD61CE"/>
    <w:rsid w:val="00AD67D0"/>
    <w:rsid w:val="00AD799E"/>
    <w:rsid w:val="00AE5745"/>
    <w:rsid w:val="00AF2577"/>
    <w:rsid w:val="00B0526F"/>
    <w:rsid w:val="00B22485"/>
    <w:rsid w:val="00B31542"/>
    <w:rsid w:val="00B43AE8"/>
    <w:rsid w:val="00B47BC9"/>
    <w:rsid w:val="00B70279"/>
    <w:rsid w:val="00B80DB1"/>
    <w:rsid w:val="00BA0481"/>
    <w:rsid w:val="00BA1DC1"/>
    <w:rsid w:val="00BB32E0"/>
    <w:rsid w:val="00BB3CB6"/>
    <w:rsid w:val="00BC03C1"/>
    <w:rsid w:val="00BC5795"/>
    <w:rsid w:val="00BD7D8E"/>
    <w:rsid w:val="00BE07C1"/>
    <w:rsid w:val="00BF3A92"/>
    <w:rsid w:val="00C02C95"/>
    <w:rsid w:val="00C25E74"/>
    <w:rsid w:val="00C37D87"/>
    <w:rsid w:val="00C45DBC"/>
    <w:rsid w:val="00C7070C"/>
    <w:rsid w:val="00C71CDF"/>
    <w:rsid w:val="00C84A21"/>
    <w:rsid w:val="00C95377"/>
    <w:rsid w:val="00CA3D75"/>
    <w:rsid w:val="00CB4A4C"/>
    <w:rsid w:val="00CC7AB1"/>
    <w:rsid w:val="00CD778F"/>
    <w:rsid w:val="00CF5D95"/>
    <w:rsid w:val="00CF62F5"/>
    <w:rsid w:val="00D006A5"/>
    <w:rsid w:val="00D02F72"/>
    <w:rsid w:val="00D04CDD"/>
    <w:rsid w:val="00D304CD"/>
    <w:rsid w:val="00D41E22"/>
    <w:rsid w:val="00D41EFA"/>
    <w:rsid w:val="00D44111"/>
    <w:rsid w:val="00D546F0"/>
    <w:rsid w:val="00D56358"/>
    <w:rsid w:val="00D73474"/>
    <w:rsid w:val="00D75C02"/>
    <w:rsid w:val="00D7611E"/>
    <w:rsid w:val="00D771CD"/>
    <w:rsid w:val="00D8711D"/>
    <w:rsid w:val="00D87D55"/>
    <w:rsid w:val="00D90856"/>
    <w:rsid w:val="00D9201F"/>
    <w:rsid w:val="00D9304C"/>
    <w:rsid w:val="00DB39C6"/>
    <w:rsid w:val="00DC438C"/>
    <w:rsid w:val="00DC6444"/>
    <w:rsid w:val="00DC6EAB"/>
    <w:rsid w:val="00DD0852"/>
    <w:rsid w:val="00DD5F55"/>
    <w:rsid w:val="00DD5FA1"/>
    <w:rsid w:val="00DE123F"/>
    <w:rsid w:val="00DE77EA"/>
    <w:rsid w:val="00DE7C76"/>
    <w:rsid w:val="00DF3022"/>
    <w:rsid w:val="00E151EB"/>
    <w:rsid w:val="00E3291C"/>
    <w:rsid w:val="00E33D8A"/>
    <w:rsid w:val="00E43021"/>
    <w:rsid w:val="00E443D2"/>
    <w:rsid w:val="00E449FC"/>
    <w:rsid w:val="00E47567"/>
    <w:rsid w:val="00E501BD"/>
    <w:rsid w:val="00E67EE9"/>
    <w:rsid w:val="00E730C4"/>
    <w:rsid w:val="00E802D6"/>
    <w:rsid w:val="00E90574"/>
    <w:rsid w:val="00EA0A26"/>
    <w:rsid w:val="00EA1CC4"/>
    <w:rsid w:val="00EB1378"/>
    <w:rsid w:val="00ED1259"/>
    <w:rsid w:val="00F00184"/>
    <w:rsid w:val="00F01EEB"/>
    <w:rsid w:val="00F16AA4"/>
    <w:rsid w:val="00F17746"/>
    <w:rsid w:val="00F21388"/>
    <w:rsid w:val="00F37EA8"/>
    <w:rsid w:val="00F4553D"/>
    <w:rsid w:val="00F46B44"/>
    <w:rsid w:val="00F70D2B"/>
    <w:rsid w:val="00F80727"/>
    <w:rsid w:val="00FA7268"/>
    <w:rsid w:val="00FB2171"/>
    <w:rsid w:val="00FB72E2"/>
    <w:rsid w:val="00FC36CB"/>
    <w:rsid w:val="00FC409E"/>
    <w:rsid w:val="00FC6634"/>
    <w:rsid w:val="00FD23BB"/>
    <w:rsid w:val="00FE07BD"/>
    <w:rsid w:val="00FF70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8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0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5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4F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438C"/>
    <w:pPr>
      <w:spacing w:after="0" w:line="240" w:lineRule="auto"/>
    </w:pPr>
    <w:rPr>
      <w:sz w:val="20"/>
      <w:szCs w:val="20"/>
    </w:rPr>
  </w:style>
  <w:style w:type="character" w:customStyle="1" w:styleId="FootnoteTextChar">
    <w:name w:val="Footnote Text Char"/>
    <w:basedOn w:val="DefaultParagraphFont"/>
    <w:link w:val="FootnoteText"/>
    <w:uiPriority w:val="99"/>
    <w:rsid w:val="00DC438C"/>
    <w:rPr>
      <w:sz w:val="20"/>
      <w:szCs w:val="20"/>
    </w:rPr>
  </w:style>
  <w:style w:type="character" w:styleId="FootnoteReference">
    <w:name w:val="footnote reference"/>
    <w:basedOn w:val="DefaultParagraphFont"/>
    <w:uiPriority w:val="99"/>
    <w:unhideWhenUsed/>
    <w:rsid w:val="00DC438C"/>
    <w:rPr>
      <w:vertAlign w:val="superscript"/>
    </w:rPr>
  </w:style>
  <w:style w:type="paragraph" w:customStyle="1" w:styleId="Default">
    <w:name w:val="Default"/>
    <w:rsid w:val="00DC43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rstPara">
    <w:name w:val="FirstPara"/>
    <w:aliases w:val="FP"/>
    <w:basedOn w:val="Default"/>
    <w:next w:val="Default"/>
    <w:uiPriority w:val="99"/>
    <w:rsid w:val="00DC438C"/>
    <w:rPr>
      <w:color w:val="auto"/>
    </w:rPr>
  </w:style>
  <w:style w:type="character" w:styleId="Hyperlink">
    <w:name w:val="Hyperlink"/>
    <w:basedOn w:val="DefaultParagraphFont"/>
    <w:uiPriority w:val="99"/>
    <w:unhideWhenUsed/>
    <w:rsid w:val="00DC438C"/>
    <w:rPr>
      <w:color w:val="0000FF" w:themeColor="hyperlink"/>
      <w:u w:val="single"/>
    </w:rPr>
  </w:style>
  <w:style w:type="character" w:styleId="FollowedHyperlink">
    <w:name w:val="FollowedHyperlink"/>
    <w:basedOn w:val="DefaultParagraphFont"/>
    <w:uiPriority w:val="99"/>
    <w:semiHidden/>
    <w:unhideWhenUsed/>
    <w:rsid w:val="00DC438C"/>
    <w:rPr>
      <w:color w:val="800080" w:themeColor="followedHyperlink"/>
      <w:u w:val="single"/>
    </w:rPr>
  </w:style>
  <w:style w:type="paragraph" w:styleId="Header">
    <w:name w:val="header"/>
    <w:basedOn w:val="Normal"/>
    <w:link w:val="HeaderChar"/>
    <w:uiPriority w:val="99"/>
    <w:unhideWhenUsed/>
    <w:rsid w:val="00D04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CDD"/>
  </w:style>
  <w:style w:type="paragraph" w:styleId="Footer">
    <w:name w:val="footer"/>
    <w:basedOn w:val="Normal"/>
    <w:link w:val="FooterChar"/>
    <w:uiPriority w:val="99"/>
    <w:unhideWhenUsed/>
    <w:rsid w:val="00D04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CDD"/>
  </w:style>
  <w:style w:type="character" w:styleId="PageNumber">
    <w:name w:val="page number"/>
    <w:basedOn w:val="DefaultParagraphFont"/>
    <w:uiPriority w:val="99"/>
    <w:semiHidden/>
    <w:unhideWhenUsed/>
    <w:rsid w:val="009457BA"/>
  </w:style>
  <w:style w:type="paragraph" w:styleId="Title">
    <w:name w:val="Title"/>
    <w:basedOn w:val="Normal"/>
    <w:next w:val="Normal"/>
    <w:link w:val="TitleChar"/>
    <w:uiPriority w:val="10"/>
    <w:qFormat/>
    <w:rsid w:val="005105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054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105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05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4F9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35870"/>
    <w:rPr>
      <w:i/>
      <w:iCs/>
    </w:rPr>
  </w:style>
  <w:style w:type="character" w:styleId="CommentReference">
    <w:name w:val="annotation reference"/>
    <w:basedOn w:val="DefaultParagraphFont"/>
    <w:uiPriority w:val="99"/>
    <w:semiHidden/>
    <w:unhideWhenUsed/>
    <w:rsid w:val="007C5594"/>
    <w:rPr>
      <w:sz w:val="16"/>
      <w:szCs w:val="16"/>
    </w:rPr>
  </w:style>
  <w:style w:type="paragraph" w:styleId="CommentText">
    <w:name w:val="annotation text"/>
    <w:basedOn w:val="Normal"/>
    <w:link w:val="CommentTextChar"/>
    <w:uiPriority w:val="99"/>
    <w:unhideWhenUsed/>
    <w:rsid w:val="007C5594"/>
    <w:pPr>
      <w:spacing w:line="240" w:lineRule="auto"/>
    </w:pPr>
    <w:rPr>
      <w:sz w:val="20"/>
      <w:szCs w:val="20"/>
    </w:rPr>
  </w:style>
  <w:style w:type="character" w:customStyle="1" w:styleId="CommentTextChar">
    <w:name w:val="Comment Text Char"/>
    <w:basedOn w:val="DefaultParagraphFont"/>
    <w:link w:val="CommentText"/>
    <w:uiPriority w:val="99"/>
    <w:rsid w:val="007C5594"/>
    <w:rPr>
      <w:sz w:val="20"/>
      <w:szCs w:val="20"/>
    </w:rPr>
  </w:style>
  <w:style w:type="paragraph" w:styleId="CommentSubject">
    <w:name w:val="annotation subject"/>
    <w:basedOn w:val="CommentText"/>
    <w:next w:val="CommentText"/>
    <w:link w:val="CommentSubjectChar"/>
    <w:uiPriority w:val="99"/>
    <w:semiHidden/>
    <w:unhideWhenUsed/>
    <w:rsid w:val="007C5594"/>
    <w:rPr>
      <w:b/>
      <w:bCs/>
    </w:rPr>
  </w:style>
  <w:style w:type="character" w:customStyle="1" w:styleId="CommentSubjectChar">
    <w:name w:val="Comment Subject Char"/>
    <w:basedOn w:val="CommentTextChar"/>
    <w:link w:val="CommentSubject"/>
    <w:uiPriority w:val="99"/>
    <w:semiHidden/>
    <w:rsid w:val="007C5594"/>
    <w:rPr>
      <w:b/>
      <w:bCs/>
      <w:sz w:val="20"/>
      <w:szCs w:val="20"/>
    </w:rPr>
  </w:style>
  <w:style w:type="paragraph" w:styleId="BalloonText">
    <w:name w:val="Balloon Text"/>
    <w:basedOn w:val="Normal"/>
    <w:link w:val="BalloonTextChar"/>
    <w:uiPriority w:val="99"/>
    <w:semiHidden/>
    <w:unhideWhenUsed/>
    <w:rsid w:val="007C5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594"/>
    <w:rPr>
      <w:rFonts w:ascii="Segoe UI" w:hAnsi="Segoe UI" w:cs="Segoe UI"/>
      <w:sz w:val="18"/>
      <w:szCs w:val="18"/>
    </w:rPr>
  </w:style>
  <w:style w:type="paragraph" w:styleId="EndnoteText">
    <w:name w:val="endnote text"/>
    <w:basedOn w:val="Normal"/>
    <w:link w:val="EndnoteTextChar"/>
    <w:uiPriority w:val="99"/>
    <w:semiHidden/>
    <w:unhideWhenUsed/>
    <w:rsid w:val="001E20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206E"/>
    <w:rPr>
      <w:sz w:val="20"/>
      <w:szCs w:val="20"/>
    </w:rPr>
  </w:style>
  <w:style w:type="character" w:styleId="EndnoteReference">
    <w:name w:val="endnote reference"/>
    <w:basedOn w:val="DefaultParagraphFont"/>
    <w:uiPriority w:val="99"/>
    <w:semiHidden/>
    <w:unhideWhenUsed/>
    <w:rsid w:val="001E206E"/>
    <w:rPr>
      <w:vertAlign w:val="superscript"/>
    </w:rPr>
  </w:style>
  <w:style w:type="paragraph" w:styleId="ListParagraph">
    <w:name w:val="List Paragraph"/>
    <w:basedOn w:val="Normal"/>
    <w:uiPriority w:val="34"/>
    <w:qFormat/>
    <w:rsid w:val="009F4FD3"/>
    <w:pPr>
      <w:ind w:left="720"/>
      <w:contextualSpacing/>
    </w:pPr>
  </w:style>
  <w:style w:type="paragraph" w:styleId="Revision">
    <w:name w:val="Revision"/>
    <w:hidden/>
    <w:uiPriority w:val="99"/>
    <w:semiHidden/>
    <w:rsid w:val="001E11A4"/>
    <w:pPr>
      <w:spacing w:after="0" w:line="240" w:lineRule="auto"/>
    </w:pPr>
  </w:style>
  <w:style w:type="character" w:customStyle="1" w:styleId="A8">
    <w:name w:val="A8"/>
    <w:uiPriority w:val="99"/>
    <w:rsid w:val="000A41E4"/>
    <w:rPr>
      <w:rFonts w:cs="Minion Pro"/>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0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5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4F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438C"/>
    <w:pPr>
      <w:spacing w:after="0" w:line="240" w:lineRule="auto"/>
    </w:pPr>
    <w:rPr>
      <w:sz w:val="20"/>
      <w:szCs w:val="20"/>
    </w:rPr>
  </w:style>
  <w:style w:type="character" w:customStyle="1" w:styleId="FootnoteTextChar">
    <w:name w:val="Footnote Text Char"/>
    <w:basedOn w:val="DefaultParagraphFont"/>
    <w:link w:val="FootnoteText"/>
    <w:uiPriority w:val="99"/>
    <w:rsid w:val="00DC438C"/>
    <w:rPr>
      <w:sz w:val="20"/>
      <w:szCs w:val="20"/>
    </w:rPr>
  </w:style>
  <w:style w:type="character" w:styleId="FootnoteReference">
    <w:name w:val="footnote reference"/>
    <w:basedOn w:val="DefaultParagraphFont"/>
    <w:uiPriority w:val="99"/>
    <w:unhideWhenUsed/>
    <w:rsid w:val="00DC438C"/>
    <w:rPr>
      <w:vertAlign w:val="superscript"/>
    </w:rPr>
  </w:style>
  <w:style w:type="paragraph" w:customStyle="1" w:styleId="Default">
    <w:name w:val="Default"/>
    <w:rsid w:val="00DC43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rstPara">
    <w:name w:val="FirstPara"/>
    <w:aliases w:val="FP"/>
    <w:basedOn w:val="Default"/>
    <w:next w:val="Default"/>
    <w:uiPriority w:val="99"/>
    <w:rsid w:val="00DC438C"/>
    <w:rPr>
      <w:color w:val="auto"/>
    </w:rPr>
  </w:style>
  <w:style w:type="character" w:styleId="Hyperlink">
    <w:name w:val="Hyperlink"/>
    <w:basedOn w:val="DefaultParagraphFont"/>
    <w:uiPriority w:val="99"/>
    <w:unhideWhenUsed/>
    <w:rsid w:val="00DC438C"/>
    <w:rPr>
      <w:color w:val="0000FF" w:themeColor="hyperlink"/>
      <w:u w:val="single"/>
    </w:rPr>
  </w:style>
  <w:style w:type="character" w:styleId="FollowedHyperlink">
    <w:name w:val="FollowedHyperlink"/>
    <w:basedOn w:val="DefaultParagraphFont"/>
    <w:uiPriority w:val="99"/>
    <w:semiHidden/>
    <w:unhideWhenUsed/>
    <w:rsid w:val="00DC438C"/>
    <w:rPr>
      <w:color w:val="800080" w:themeColor="followedHyperlink"/>
      <w:u w:val="single"/>
    </w:rPr>
  </w:style>
  <w:style w:type="paragraph" w:styleId="Header">
    <w:name w:val="header"/>
    <w:basedOn w:val="Normal"/>
    <w:link w:val="HeaderChar"/>
    <w:uiPriority w:val="99"/>
    <w:unhideWhenUsed/>
    <w:rsid w:val="00D04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CDD"/>
  </w:style>
  <w:style w:type="paragraph" w:styleId="Footer">
    <w:name w:val="footer"/>
    <w:basedOn w:val="Normal"/>
    <w:link w:val="FooterChar"/>
    <w:uiPriority w:val="99"/>
    <w:unhideWhenUsed/>
    <w:rsid w:val="00D04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CDD"/>
  </w:style>
  <w:style w:type="character" w:styleId="PageNumber">
    <w:name w:val="page number"/>
    <w:basedOn w:val="DefaultParagraphFont"/>
    <w:uiPriority w:val="99"/>
    <w:semiHidden/>
    <w:unhideWhenUsed/>
    <w:rsid w:val="009457BA"/>
  </w:style>
  <w:style w:type="paragraph" w:styleId="Title">
    <w:name w:val="Title"/>
    <w:basedOn w:val="Normal"/>
    <w:next w:val="Normal"/>
    <w:link w:val="TitleChar"/>
    <w:uiPriority w:val="10"/>
    <w:qFormat/>
    <w:rsid w:val="005105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054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105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05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4F9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35870"/>
    <w:rPr>
      <w:i/>
      <w:iCs/>
    </w:rPr>
  </w:style>
  <w:style w:type="character" w:styleId="CommentReference">
    <w:name w:val="annotation reference"/>
    <w:basedOn w:val="DefaultParagraphFont"/>
    <w:uiPriority w:val="99"/>
    <w:semiHidden/>
    <w:unhideWhenUsed/>
    <w:rsid w:val="007C5594"/>
    <w:rPr>
      <w:sz w:val="16"/>
      <w:szCs w:val="16"/>
    </w:rPr>
  </w:style>
  <w:style w:type="paragraph" w:styleId="CommentText">
    <w:name w:val="annotation text"/>
    <w:basedOn w:val="Normal"/>
    <w:link w:val="CommentTextChar"/>
    <w:uiPriority w:val="99"/>
    <w:unhideWhenUsed/>
    <w:rsid w:val="007C5594"/>
    <w:pPr>
      <w:spacing w:line="240" w:lineRule="auto"/>
    </w:pPr>
    <w:rPr>
      <w:sz w:val="20"/>
      <w:szCs w:val="20"/>
    </w:rPr>
  </w:style>
  <w:style w:type="character" w:customStyle="1" w:styleId="CommentTextChar">
    <w:name w:val="Comment Text Char"/>
    <w:basedOn w:val="DefaultParagraphFont"/>
    <w:link w:val="CommentText"/>
    <w:uiPriority w:val="99"/>
    <w:rsid w:val="007C5594"/>
    <w:rPr>
      <w:sz w:val="20"/>
      <w:szCs w:val="20"/>
    </w:rPr>
  </w:style>
  <w:style w:type="paragraph" w:styleId="CommentSubject">
    <w:name w:val="annotation subject"/>
    <w:basedOn w:val="CommentText"/>
    <w:next w:val="CommentText"/>
    <w:link w:val="CommentSubjectChar"/>
    <w:uiPriority w:val="99"/>
    <w:semiHidden/>
    <w:unhideWhenUsed/>
    <w:rsid w:val="007C5594"/>
    <w:rPr>
      <w:b/>
      <w:bCs/>
    </w:rPr>
  </w:style>
  <w:style w:type="character" w:customStyle="1" w:styleId="CommentSubjectChar">
    <w:name w:val="Comment Subject Char"/>
    <w:basedOn w:val="CommentTextChar"/>
    <w:link w:val="CommentSubject"/>
    <w:uiPriority w:val="99"/>
    <w:semiHidden/>
    <w:rsid w:val="007C5594"/>
    <w:rPr>
      <w:b/>
      <w:bCs/>
      <w:sz w:val="20"/>
      <w:szCs w:val="20"/>
    </w:rPr>
  </w:style>
  <w:style w:type="paragraph" w:styleId="BalloonText">
    <w:name w:val="Balloon Text"/>
    <w:basedOn w:val="Normal"/>
    <w:link w:val="BalloonTextChar"/>
    <w:uiPriority w:val="99"/>
    <w:semiHidden/>
    <w:unhideWhenUsed/>
    <w:rsid w:val="007C5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594"/>
    <w:rPr>
      <w:rFonts w:ascii="Segoe UI" w:hAnsi="Segoe UI" w:cs="Segoe UI"/>
      <w:sz w:val="18"/>
      <w:szCs w:val="18"/>
    </w:rPr>
  </w:style>
  <w:style w:type="paragraph" w:styleId="EndnoteText">
    <w:name w:val="endnote text"/>
    <w:basedOn w:val="Normal"/>
    <w:link w:val="EndnoteTextChar"/>
    <w:uiPriority w:val="99"/>
    <w:semiHidden/>
    <w:unhideWhenUsed/>
    <w:rsid w:val="001E20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206E"/>
    <w:rPr>
      <w:sz w:val="20"/>
      <w:szCs w:val="20"/>
    </w:rPr>
  </w:style>
  <w:style w:type="character" w:styleId="EndnoteReference">
    <w:name w:val="endnote reference"/>
    <w:basedOn w:val="DefaultParagraphFont"/>
    <w:uiPriority w:val="99"/>
    <w:semiHidden/>
    <w:unhideWhenUsed/>
    <w:rsid w:val="001E206E"/>
    <w:rPr>
      <w:vertAlign w:val="superscript"/>
    </w:rPr>
  </w:style>
  <w:style w:type="paragraph" w:styleId="ListParagraph">
    <w:name w:val="List Paragraph"/>
    <w:basedOn w:val="Normal"/>
    <w:uiPriority w:val="34"/>
    <w:qFormat/>
    <w:rsid w:val="009F4FD3"/>
    <w:pPr>
      <w:ind w:left="720"/>
      <w:contextualSpacing/>
    </w:pPr>
  </w:style>
  <w:style w:type="paragraph" w:styleId="Revision">
    <w:name w:val="Revision"/>
    <w:hidden/>
    <w:uiPriority w:val="99"/>
    <w:semiHidden/>
    <w:rsid w:val="001E11A4"/>
    <w:pPr>
      <w:spacing w:after="0" w:line="240" w:lineRule="auto"/>
    </w:pPr>
  </w:style>
  <w:style w:type="character" w:customStyle="1" w:styleId="A8">
    <w:name w:val="A8"/>
    <w:uiPriority w:val="99"/>
    <w:rsid w:val="000A41E4"/>
    <w:rPr>
      <w:rFonts w:cs="Minion Pr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07854">
      <w:bodyDiv w:val="1"/>
      <w:marLeft w:val="0"/>
      <w:marRight w:val="0"/>
      <w:marTop w:val="0"/>
      <w:marBottom w:val="0"/>
      <w:divBdr>
        <w:top w:val="none" w:sz="0" w:space="0" w:color="auto"/>
        <w:left w:val="none" w:sz="0" w:space="0" w:color="auto"/>
        <w:bottom w:val="none" w:sz="0" w:space="0" w:color="auto"/>
        <w:right w:val="none" w:sz="0" w:space="0" w:color="auto"/>
      </w:divBdr>
      <w:divsChild>
        <w:div w:id="12536685">
          <w:marLeft w:val="0"/>
          <w:marRight w:val="0"/>
          <w:marTop w:val="0"/>
          <w:marBottom w:val="0"/>
          <w:divBdr>
            <w:top w:val="none" w:sz="0" w:space="0" w:color="auto"/>
            <w:left w:val="none" w:sz="0" w:space="0" w:color="auto"/>
            <w:bottom w:val="none" w:sz="0" w:space="0" w:color="auto"/>
            <w:right w:val="none" w:sz="0" w:space="0" w:color="auto"/>
          </w:divBdr>
          <w:divsChild>
            <w:div w:id="1634170091">
              <w:marLeft w:val="0"/>
              <w:marRight w:val="0"/>
              <w:marTop w:val="0"/>
              <w:marBottom w:val="0"/>
              <w:divBdr>
                <w:top w:val="none" w:sz="0" w:space="0" w:color="auto"/>
                <w:left w:val="none" w:sz="0" w:space="0" w:color="auto"/>
                <w:bottom w:val="none" w:sz="0" w:space="0" w:color="auto"/>
                <w:right w:val="none" w:sz="0" w:space="0" w:color="auto"/>
              </w:divBdr>
              <w:divsChild>
                <w:div w:id="5010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5538">
      <w:bodyDiv w:val="1"/>
      <w:marLeft w:val="0"/>
      <w:marRight w:val="0"/>
      <w:marTop w:val="0"/>
      <w:marBottom w:val="0"/>
      <w:divBdr>
        <w:top w:val="none" w:sz="0" w:space="0" w:color="auto"/>
        <w:left w:val="none" w:sz="0" w:space="0" w:color="auto"/>
        <w:bottom w:val="none" w:sz="0" w:space="0" w:color="auto"/>
        <w:right w:val="none" w:sz="0" w:space="0" w:color="auto"/>
      </w:divBdr>
      <w:divsChild>
        <w:div w:id="188035091">
          <w:marLeft w:val="0"/>
          <w:marRight w:val="0"/>
          <w:marTop w:val="0"/>
          <w:marBottom w:val="0"/>
          <w:divBdr>
            <w:top w:val="none" w:sz="0" w:space="0" w:color="auto"/>
            <w:left w:val="none" w:sz="0" w:space="0" w:color="auto"/>
            <w:bottom w:val="none" w:sz="0" w:space="0" w:color="auto"/>
            <w:right w:val="none" w:sz="0" w:space="0" w:color="auto"/>
          </w:divBdr>
          <w:divsChild>
            <w:div w:id="735280387">
              <w:marLeft w:val="0"/>
              <w:marRight w:val="0"/>
              <w:marTop w:val="0"/>
              <w:marBottom w:val="0"/>
              <w:divBdr>
                <w:top w:val="none" w:sz="0" w:space="0" w:color="auto"/>
                <w:left w:val="none" w:sz="0" w:space="0" w:color="auto"/>
                <w:bottom w:val="none" w:sz="0" w:space="0" w:color="auto"/>
                <w:right w:val="none" w:sz="0" w:space="0" w:color="auto"/>
              </w:divBdr>
              <w:divsChild>
                <w:div w:id="1054083824">
                  <w:marLeft w:val="0"/>
                  <w:marRight w:val="0"/>
                  <w:marTop w:val="0"/>
                  <w:marBottom w:val="0"/>
                  <w:divBdr>
                    <w:top w:val="none" w:sz="0" w:space="0" w:color="auto"/>
                    <w:left w:val="none" w:sz="0" w:space="0" w:color="auto"/>
                    <w:bottom w:val="none" w:sz="0" w:space="0" w:color="auto"/>
                    <w:right w:val="none" w:sz="0" w:space="0" w:color="auto"/>
                  </w:divBdr>
                  <w:divsChild>
                    <w:div w:id="2010668650">
                      <w:marLeft w:val="0"/>
                      <w:marRight w:val="0"/>
                      <w:marTop w:val="0"/>
                      <w:marBottom w:val="1320"/>
                      <w:divBdr>
                        <w:top w:val="none" w:sz="0" w:space="0" w:color="auto"/>
                        <w:left w:val="none" w:sz="0" w:space="0" w:color="auto"/>
                        <w:bottom w:val="none" w:sz="0" w:space="0" w:color="auto"/>
                        <w:right w:val="none" w:sz="0" w:space="0" w:color="auto"/>
                      </w:divBdr>
                      <w:divsChild>
                        <w:div w:id="1882785045">
                          <w:marLeft w:val="0"/>
                          <w:marRight w:val="0"/>
                          <w:marTop w:val="0"/>
                          <w:marBottom w:val="0"/>
                          <w:divBdr>
                            <w:top w:val="none" w:sz="0" w:space="0" w:color="auto"/>
                            <w:left w:val="none" w:sz="0" w:space="0" w:color="auto"/>
                            <w:bottom w:val="none" w:sz="0" w:space="0" w:color="auto"/>
                            <w:right w:val="none" w:sz="0" w:space="0" w:color="auto"/>
                          </w:divBdr>
                          <w:divsChild>
                            <w:div w:id="919871566">
                              <w:marLeft w:val="0"/>
                              <w:marRight w:val="0"/>
                              <w:marTop w:val="0"/>
                              <w:marBottom w:val="0"/>
                              <w:divBdr>
                                <w:top w:val="none" w:sz="0" w:space="0" w:color="auto"/>
                                <w:left w:val="none" w:sz="0" w:space="0" w:color="auto"/>
                                <w:bottom w:val="none" w:sz="0" w:space="0" w:color="auto"/>
                                <w:right w:val="none" w:sz="0" w:space="0" w:color="auto"/>
                              </w:divBdr>
                              <w:divsChild>
                                <w:div w:id="993532533">
                                  <w:marLeft w:val="0"/>
                                  <w:marRight w:val="0"/>
                                  <w:marTop w:val="0"/>
                                  <w:marBottom w:val="0"/>
                                  <w:divBdr>
                                    <w:top w:val="none" w:sz="0" w:space="0" w:color="auto"/>
                                    <w:left w:val="none" w:sz="0" w:space="0" w:color="auto"/>
                                    <w:bottom w:val="none" w:sz="0" w:space="0" w:color="auto"/>
                                    <w:right w:val="none" w:sz="0" w:space="0" w:color="auto"/>
                                  </w:divBdr>
                                </w:div>
                                <w:div w:id="141191544">
                                  <w:marLeft w:val="0"/>
                                  <w:marRight w:val="0"/>
                                  <w:marTop w:val="0"/>
                                  <w:marBottom w:val="0"/>
                                  <w:divBdr>
                                    <w:top w:val="none" w:sz="0" w:space="0" w:color="auto"/>
                                    <w:left w:val="none" w:sz="0" w:space="0" w:color="auto"/>
                                    <w:bottom w:val="none" w:sz="0" w:space="0" w:color="auto"/>
                                    <w:right w:val="none" w:sz="0" w:space="0" w:color="auto"/>
                                  </w:divBdr>
                                </w:div>
                                <w:div w:id="958951495">
                                  <w:marLeft w:val="0"/>
                                  <w:marRight w:val="0"/>
                                  <w:marTop w:val="0"/>
                                  <w:marBottom w:val="0"/>
                                  <w:divBdr>
                                    <w:top w:val="none" w:sz="0" w:space="0" w:color="auto"/>
                                    <w:left w:val="none" w:sz="0" w:space="0" w:color="auto"/>
                                    <w:bottom w:val="none" w:sz="0" w:space="0" w:color="auto"/>
                                    <w:right w:val="none" w:sz="0" w:space="0" w:color="auto"/>
                                  </w:divBdr>
                                </w:div>
                                <w:div w:id="69892773">
                                  <w:marLeft w:val="0"/>
                                  <w:marRight w:val="0"/>
                                  <w:marTop w:val="0"/>
                                  <w:marBottom w:val="0"/>
                                  <w:divBdr>
                                    <w:top w:val="none" w:sz="0" w:space="0" w:color="auto"/>
                                    <w:left w:val="none" w:sz="0" w:space="0" w:color="auto"/>
                                    <w:bottom w:val="none" w:sz="0" w:space="0" w:color="auto"/>
                                    <w:right w:val="none" w:sz="0" w:space="0" w:color="auto"/>
                                  </w:divBdr>
                                </w:div>
                                <w:div w:id="928201103">
                                  <w:marLeft w:val="0"/>
                                  <w:marRight w:val="0"/>
                                  <w:marTop w:val="0"/>
                                  <w:marBottom w:val="0"/>
                                  <w:divBdr>
                                    <w:top w:val="none" w:sz="0" w:space="0" w:color="auto"/>
                                    <w:left w:val="none" w:sz="0" w:space="0" w:color="auto"/>
                                    <w:bottom w:val="none" w:sz="0" w:space="0" w:color="auto"/>
                                    <w:right w:val="none" w:sz="0" w:space="0" w:color="auto"/>
                                  </w:divBdr>
                                </w:div>
                                <w:div w:id="905577793">
                                  <w:marLeft w:val="0"/>
                                  <w:marRight w:val="0"/>
                                  <w:marTop w:val="0"/>
                                  <w:marBottom w:val="0"/>
                                  <w:divBdr>
                                    <w:top w:val="none" w:sz="0" w:space="0" w:color="auto"/>
                                    <w:left w:val="none" w:sz="0" w:space="0" w:color="auto"/>
                                    <w:bottom w:val="none" w:sz="0" w:space="0" w:color="auto"/>
                                    <w:right w:val="none" w:sz="0" w:space="0" w:color="auto"/>
                                  </w:divBdr>
                                </w:div>
                                <w:div w:id="161941974">
                                  <w:marLeft w:val="0"/>
                                  <w:marRight w:val="0"/>
                                  <w:marTop w:val="0"/>
                                  <w:marBottom w:val="0"/>
                                  <w:divBdr>
                                    <w:top w:val="none" w:sz="0" w:space="0" w:color="auto"/>
                                    <w:left w:val="none" w:sz="0" w:space="0" w:color="auto"/>
                                    <w:bottom w:val="none" w:sz="0" w:space="0" w:color="auto"/>
                                    <w:right w:val="none" w:sz="0" w:space="0" w:color="auto"/>
                                  </w:divBdr>
                                </w:div>
                                <w:div w:id="1870144494">
                                  <w:marLeft w:val="0"/>
                                  <w:marRight w:val="0"/>
                                  <w:marTop w:val="0"/>
                                  <w:marBottom w:val="0"/>
                                  <w:divBdr>
                                    <w:top w:val="none" w:sz="0" w:space="0" w:color="auto"/>
                                    <w:left w:val="none" w:sz="0" w:space="0" w:color="auto"/>
                                    <w:bottom w:val="none" w:sz="0" w:space="0" w:color="auto"/>
                                    <w:right w:val="none" w:sz="0" w:space="0" w:color="auto"/>
                                  </w:divBdr>
                                </w:div>
                                <w:div w:id="2142184325">
                                  <w:marLeft w:val="0"/>
                                  <w:marRight w:val="0"/>
                                  <w:marTop w:val="0"/>
                                  <w:marBottom w:val="0"/>
                                  <w:divBdr>
                                    <w:top w:val="none" w:sz="0" w:space="0" w:color="auto"/>
                                    <w:left w:val="none" w:sz="0" w:space="0" w:color="auto"/>
                                    <w:bottom w:val="none" w:sz="0" w:space="0" w:color="auto"/>
                                    <w:right w:val="none" w:sz="0" w:space="0" w:color="auto"/>
                                  </w:divBdr>
                                </w:div>
                                <w:div w:id="1002513321">
                                  <w:marLeft w:val="0"/>
                                  <w:marRight w:val="0"/>
                                  <w:marTop w:val="0"/>
                                  <w:marBottom w:val="0"/>
                                  <w:divBdr>
                                    <w:top w:val="none" w:sz="0" w:space="0" w:color="auto"/>
                                    <w:left w:val="none" w:sz="0" w:space="0" w:color="auto"/>
                                    <w:bottom w:val="none" w:sz="0" w:space="0" w:color="auto"/>
                                    <w:right w:val="none" w:sz="0" w:space="0" w:color="auto"/>
                                  </w:divBdr>
                                </w:div>
                                <w:div w:id="284821478">
                                  <w:marLeft w:val="0"/>
                                  <w:marRight w:val="0"/>
                                  <w:marTop w:val="0"/>
                                  <w:marBottom w:val="0"/>
                                  <w:divBdr>
                                    <w:top w:val="none" w:sz="0" w:space="0" w:color="auto"/>
                                    <w:left w:val="none" w:sz="0" w:space="0" w:color="auto"/>
                                    <w:bottom w:val="none" w:sz="0" w:space="0" w:color="auto"/>
                                    <w:right w:val="none" w:sz="0" w:space="0" w:color="auto"/>
                                  </w:divBdr>
                                </w:div>
                                <w:div w:id="89595033">
                                  <w:marLeft w:val="0"/>
                                  <w:marRight w:val="0"/>
                                  <w:marTop w:val="0"/>
                                  <w:marBottom w:val="0"/>
                                  <w:divBdr>
                                    <w:top w:val="none" w:sz="0" w:space="0" w:color="auto"/>
                                    <w:left w:val="none" w:sz="0" w:space="0" w:color="auto"/>
                                    <w:bottom w:val="none" w:sz="0" w:space="0" w:color="auto"/>
                                    <w:right w:val="none" w:sz="0" w:space="0" w:color="auto"/>
                                  </w:divBdr>
                                </w:div>
                                <w:div w:id="718095569">
                                  <w:marLeft w:val="0"/>
                                  <w:marRight w:val="0"/>
                                  <w:marTop w:val="0"/>
                                  <w:marBottom w:val="0"/>
                                  <w:divBdr>
                                    <w:top w:val="none" w:sz="0" w:space="0" w:color="auto"/>
                                    <w:left w:val="none" w:sz="0" w:space="0" w:color="auto"/>
                                    <w:bottom w:val="none" w:sz="0" w:space="0" w:color="auto"/>
                                    <w:right w:val="none" w:sz="0" w:space="0" w:color="auto"/>
                                  </w:divBdr>
                                </w:div>
                                <w:div w:id="273489846">
                                  <w:marLeft w:val="0"/>
                                  <w:marRight w:val="0"/>
                                  <w:marTop w:val="0"/>
                                  <w:marBottom w:val="0"/>
                                  <w:divBdr>
                                    <w:top w:val="none" w:sz="0" w:space="0" w:color="auto"/>
                                    <w:left w:val="none" w:sz="0" w:space="0" w:color="auto"/>
                                    <w:bottom w:val="none" w:sz="0" w:space="0" w:color="auto"/>
                                    <w:right w:val="none" w:sz="0" w:space="0" w:color="auto"/>
                                  </w:divBdr>
                                </w:div>
                                <w:div w:id="263348323">
                                  <w:marLeft w:val="0"/>
                                  <w:marRight w:val="0"/>
                                  <w:marTop w:val="0"/>
                                  <w:marBottom w:val="0"/>
                                  <w:divBdr>
                                    <w:top w:val="none" w:sz="0" w:space="0" w:color="auto"/>
                                    <w:left w:val="none" w:sz="0" w:space="0" w:color="auto"/>
                                    <w:bottom w:val="none" w:sz="0" w:space="0" w:color="auto"/>
                                    <w:right w:val="none" w:sz="0" w:space="0" w:color="auto"/>
                                  </w:divBdr>
                                </w:div>
                                <w:div w:id="1429615198">
                                  <w:marLeft w:val="0"/>
                                  <w:marRight w:val="0"/>
                                  <w:marTop w:val="0"/>
                                  <w:marBottom w:val="0"/>
                                  <w:divBdr>
                                    <w:top w:val="none" w:sz="0" w:space="0" w:color="auto"/>
                                    <w:left w:val="none" w:sz="0" w:space="0" w:color="auto"/>
                                    <w:bottom w:val="none" w:sz="0" w:space="0" w:color="auto"/>
                                    <w:right w:val="none" w:sz="0" w:space="0" w:color="auto"/>
                                  </w:divBdr>
                                </w:div>
                                <w:div w:id="1216434368">
                                  <w:marLeft w:val="0"/>
                                  <w:marRight w:val="0"/>
                                  <w:marTop w:val="0"/>
                                  <w:marBottom w:val="0"/>
                                  <w:divBdr>
                                    <w:top w:val="none" w:sz="0" w:space="0" w:color="auto"/>
                                    <w:left w:val="none" w:sz="0" w:space="0" w:color="auto"/>
                                    <w:bottom w:val="none" w:sz="0" w:space="0" w:color="auto"/>
                                    <w:right w:val="none" w:sz="0" w:space="0" w:color="auto"/>
                                  </w:divBdr>
                                </w:div>
                                <w:div w:id="148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endnotes.xml.rels><?xml version="1.0" encoding="UTF-8" standalone="yes"?>
<Relationships xmlns="http://schemas.openxmlformats.org/package/2006/relationships"><Relationship Id="rId8" Type="http://schemas.openxmlformats.org/officeDocument/2006/relationships/hyperlink" Target="http://www.ca6.uscourts.gov/opinions.pdf/12a0312p-06.pdf" TargetMode="External"/><Relationship Id="rId13" Type="http://schemas.openxmlformats.org/officeDocument/2006/relationships/hyperlink" Target="http://www.echr.coe.int/Documents/Guide_Art_6_criminal_ENG.pdf" TargetMode="External"/><Relationship Id="rId3" Type="http://schemas.openxmlformats.org/officeDocument/2006/relationships/hyperlink" Target="http://www.sexual-offender-treatment.org/131.html" TargetMode="External"/><Relationship Id="rId7" Type="http://schemas.openxmlformats.org/officeDocument/2006/relationships/hyperlink" Target="http://www.sexual-offender-treatment.org/131.html" TargetMode="External"/><Relationship Id="rId12" Type="http://schemas.openxmlformats.org/officeDocument/2006/relationships/hyperlink" Target="http://www.echr.coe.int/Documents/Guide_Art_6_criminal_ENG.pdf" TargetMode="External"/><Relationship Id="rId2" Type="http://schemas.openxmlformats.org/officeDocument/2006/relationships/hyperlink" Target="http://www.sexual-offender-treatment.org/131.html" TargetMode="External"/><Relationship Id="rId1" Type="http://schemas.openxmlformats.org/officeDocument/2006/relationships/hyperlink" Target="mailto:edward2.johnston@uwe.ac.uk" TargetMode="External"/><Relationship Id="rId6" Type="http://schemas.openxmlformats.org/officeDocument/2006/relationships/hyperlink" Target="http://www.sexual-offender-treatment.org/131.html" TargetMode="External"/><Relationship Id="rId11" Type="http://schemas.openxmlformats.org/officeDocument/2006/relationships/hyperlink" Target="http://www.justice.gov.uk/courts/procedure-rules/criminal/practice-direction/2015/crim-practice-directions-V-evidence-2015.pdf" TargetMode="External"/><Relationship Id="rId5" Type="http://schemas.openxmlformats.org/officeDocument/2006/relationships/hyperlink" Target="http://www.justice.gov.uk/courts/procedure-rules/criminal/practice-direction/2015/crim-practice-directions-V-evidence-2015.pdf" TargetMode="External"/><Relationship Id="rId15" Type="http://schemas.openxmlformats.org/officeDocument/2006/relationships/hyperlink" Target="https://www.judiciary.gov.uk/wp-content/uploads/2015/01/review-of-efficiency-in-criminal-proceedings-20151.pdf" TargetMode="External"/><Relationship Id="rId10" Type="http://schemas.openxmlformats.org/officeDocument/2006/relationships/hyperlink" Target="http://articles.chicagotribune.com/2009-12-03/news/0912021217_1_death-sentence-two-jurors-death-penalty" TargetMode="External"/><Relationship Id="rId4" Type="http://schemas.openxmlformats.org/officeDocument/2006/relationships/hyperlink" Target="http://www.bbc.co.uk/news/uk-16371043" TargetMode="External"/><Relationship Id="rId9" Type="http://schemas.openxmlformats.org/officeDocument/2006/relationships/hyperlink" Target="http://www.nature.com/news/2010/100317/full/464340a.html" TargetMode="External"/><Relationship Id="rId14" Type="http://schemas.openxmlformats.org/officeDocument/2006/relationships/hyperlink" Target="http://www.newlawjournal.co.uk/nlj/content/debunking-rape-my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E9CA-8C69-4ECC-BAD8-1C0754B2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7231</Words>
  <Characters>41221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Johnston</dc:creator>
  <cp:lastModifiedBy>Charlotte Vaughton</cp:lastModifiedBy>
  <cp:revision>2</cp:revision>
  <dcterms:created xsi:type="dcterms:W3CDTF">2016-04-07T11:14:00Z</dcterms:created>
  <dcterms:modified xsi:type="dcterms:W3CDTF">2016-04-07T11:14:00Z</dcterms:modified>
</cp:coreProperties>
</file>