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2AEB0" w14:textId="77777777" w:rsidR="00DE4F83" w:rsidRDefault="00E33CCA" w:rsidP="00916253">
      <w:pPr>
        <w:jc w:val="center"/>
        <w:rPr>
          <w:rFonts w:ascii="Times New Roman" w:hAnsi="Times New Roman" w:cs="Times New Roman"/>
          <w:b/>
          <w:sz w:val="40"/>
          <w:szCs w:val="40"/>
        </w:rPr>
      </w:pPr>
      <w:r w:rsidRPr="00321C98">
        <w:rPr>
          <w:rFonts w:ascii="Times New Roman" w:hAnsi="Times New Roman" w:cs="Times New Roman"/>
          <w:b/>
          <w:sz w:val="40"/>
          <w:szCs w:val="40"/>
        </w:rPr>
        <w:t>All Rise for the Interventionist: The Judiciary in the 21</w:t>
      </w:r>
      <w:r w:rsidRPr="00321C98">
        <w:rPr>
          <w:rFonts w:ascii="Times New Roman" w:hAnsi="Times New Roman" w:cs="Times New Roman"/>
          <w:b/>
          <w:sz w:val="40"/>
          <w:szCs w:val="40"/>
          <w:vertAlign w:val="superscript"/>
        </w:rPr>
        <w:t>st</w:t>
      </w:r>
      <w:r w:rsidRPr="00321C98">
        <w:rPr>
          <w:rFonts w:ascii="Times New Roman" w:hAnsi="Times New Roman" w:cs="Times New Roman"/>
          <w:b/>
          <w:sz w:val="40"/>
          <w:szCs w:val="40"/>
        </w:rPr>
        <w:t xml:space="preserve"> Century</w:t>
      </w:r>
    </w:p>
    <w:p w14:paraId="6A870564" w14:textId="77777777" w:rsidR="0029093A" w:rsidRDefault="0029093A" w:rsidP="00916253">
      <w:pPr>
        <w:jc w:val="center"/>
        <w:rPr>
          <w:rFonts w:ascii="Times New Roman" w:hAnsi="Times New Roman" w:cs="Times New Roman"/>
          <w:b/>
          <w:sz w:val="40"/>
          <w:szCs w:val="40"/>
        </w:rPr>
      </w:pPr>
    </w:p>
    <w:p w14:paraId="58E6CA4F" w14:textId="091009B7" w:rsidR="0029093A" w:rsidRPr="0029093A" w:rsidRDefault="0029093A" w:rsidP="00916253">
      <w:pPr>
        <w:jc w:val="center"/>
        <w:rPr>
          <w:rFonts w:ascii="Times New Roman" w:hAnsi="Times New Roman" w:cs="Times New Roman"/>
          <w:b/>
          <w:sz w:val="20"/>
          <w:szCs w:val="20"/>
        </w:rPr>
      </w:pPr>
      <w:r>
        <w:rPr>
          <w:rFonts w:ascii="Times New Roman" w:hAnsi="Times New Roman" w:cs="Times New Roman"/>
          <w:b/>
          <w:sz w:val="20"/>
          <w:szCs w:val="20"/>
        </w:rPr>
        <w:t>Ed Johnston</w:t>
      </w:r>
      <w:r w:rsidRPr="0029093A">
        <w:rPr>
          <w:rStyle w:val="FootnoteReference"/>
          <w:rFonts w:ascii="Times New Roman" w:hAnsi="Times New Roman" w:cs="Times New Roman"/>
          <w:b/>
          <w:sz w:val="20"/>
          <w:szCs w:val="20"/>
        </w:rPr>
        <w:footnoteReference w:customMarkFollows="1" w:id="1"/>
        <w:sym w:font="Symbol" w:char="F02A"/>
      </w:r>
    </w:p>
    <w:p w14:paraId="7B3482E1" w14:textId="77777777" w:rsidR="00E33CCA" w:rsidRPr="00AF29BF" w:rsidRDefault="00E33CCA" w:rsidP="00916253">
      <w:pPr>
        <w:jc w:val="center"/>
        <w:rPr>
          <w:rFonts w:ascii="Times New Roman" w:hAnsi="Times New Roman" w:cs="Times New Roman"/>
          <w:b/>
          <w:u w:val="single"/>
        </w:rPr>
      </w:pPr>
    </w:p>
    <w:p w14:paraId="097DE46E" w14:textId="77777777" w:rsidR="00FE0B2D" w:rsidRPr="00AF29BF" w:rsidRDefault="00FE0B2D" w:rsidP="00916253">
      <w:pPr>
        <w:jc w:val="center"/>
        <w:rPr>
          <w:rFonts w:ascii="Times New Roman" w:hAnsi="Times New Roman" w:cs="Times New Roman"/>
          <w:b/>
          <w:sz w:val="20"/>
          <w:szCs w:val="20"/>
        </w:rPr>
      </w:pPr>
    </w:p>
    <w:p w14:paraId="5BF99225" w14:textId="4094D933" w:rsidR="00E33CCA" w:rsidRPr="00AF29BF" w:rsidRDefault="00A92E4A" w:rsidP="00916253">
      <w:pPr>
        <w:jc w:val="both"/>
        <w:rPr>
          <w:rFonts w:ascii="Times New Roman" w:hAnsi="Times New Roman" w:cs="Times New Roman"/>
        </w:rPr>
      </w:pPr>
      <w:r w:rsidRPr="00AF29BF">
        <w:rPr>
          <w:rFonts w:ascii="Times New Roman" w:hAnsi="Times New Roman" w:cs="Times New Roman"/>
        </w:rPr>
        <w:t>This paper will examine</w:t>
      </w:r>
      <w:r w:rsidR="00E33CCA" w:rsidRPr="00AF29BF">
        <w:rPr>
          <w:rFonts w:ascii="Times New Roman" w:hAnsi="Times New Roman" w:cs="Times New Roman"/>
        </w:rPr>
        <w:t xml:space="preserve"> the </w:t>
      </w:r>
      <w:r w:rsidRPr="00AF29BF">
        <w:rPr>
          <w:rFonts w:ascii="Times New Roman" w:hAnsi="Times New Roman" w:cs="Times New Roman"/>
        </w:rPr>
        <w:t>evolving</w:t>
      </w:r>
      <w:r w:rsidR="00E33CCA" w:rsidRPr="00AF29BF">
        <w:rPr>
          <w:rFonts w:ascii="Times New Roman" w:hAnsi="Times New Roman" w:cs="Times New Roman"/>
        </w:rPr>
        <w:t xml:space="preserve"> role of the judiciary</w:t>
      </w:r>
      <w:r w:rsidR="00BA2623" w:rsidRPr="00AF29BF">
        <w:rPr>
          <w:rFonts w:ascii="Times New Roman" w:hAnsi="Times New Roman" w:cs="Times New Roman"/>
        </w:rPr>
        <w:t xml:space="preserve"> </w:t>
      </w:r>
      <w:r w:rsidR="00BD0FC9" w:rsidRPr="00AF29BF">
        <w:rPr>
          <w:rFonts w:ascii="Times New Roman" w:hAnsi="Times New Roman" w:cs="Times New Roman"/>
        </w:rPr>
        <w:t>from the</w:t>
      </w:r>
      <w:r w:rsidR="0012722A" w:rsidRPr="00AF29BF">
        <w:rPr>
          <w:rFonts w:ascii="Times New Roman" w:hAnsi="Times New Roman" w:cs="Times New Roman"/>
        </w:rPr>
        <w:t xml:space="preserve"> early adversarial trial </w:t>
      </w:r>
      <w:r w:rsidR="00E7039F" w:rsidRPr="00AF29BF">
        <w:rPr>
          <w:rFonts w:ascii="Times New Roman" w:hAnsi="Times New Roman" w:cs="Times New Roman"/>
        </w:rPr>
        <w:t>up until the advent</w:t>
      </w:r>
      <w:r w:rsidR="00BA2623" w:rsidRPr="00AF29BF">
        <w:rPr>
          <w:rFonts w:ascii="Times New Roman" w:hAnsi="Times New Roman" w:cs="Times New Roman"/>
        </w:rPr>
        <w:t xml:space="preserve"> of the Criminal Procedure Rules 2013</w:t>
      </w:r>
      <w:r w:rsidR="002D3FBE" w:rsidRPr="00AF29BF">
        <w:rPr>
          <w:rFonts w:ascii="Times New Roman" w:hAnsi="Times New Roman" w:cs="Times New Roman"/>
        </w:rPr>
        <w:t xml:space="preserve"> [hereafter, CPR]</w:t>
      </w:r>
      <w:r w:rsidR="00E33CCA" w:rsidRPr="00AF29BF">
        <w:rPr>
          <w:rFonts w:ascii="Times New Roman" w:hAnsi="Times New Roman" w:cs="Times New Roman"/>
        </w:rPr>
        <w:t>. The paper will chart the role played in early criminal proceedings, starting with the lawyer-free ‘altercation’ trial</w:t>
      </w:r>
      <w:r w:rsidRPr="00AF29BF">
        <w:rPr>
          <w:rFonts w:ascii="Times New Roman" w:hAnsi="Times New Roman" w:cs="Times New Roman"/>
        </w:rPr>
        <w:t xml:space="preserve"> of the sixteenth century</w:t>
      </w:r>
      <w:r w:rsidR="00E33CCA" w:rsidRPr="00AF29BF">
        <w:rPr>
          <w:rFonts w:ascii="Times New Roman" w:hAnsi="Times New Roman" w:cs="Times New Roman"/>
        </w:rPr>
        <w:t>. Here</w:t>
      </w:r>
      <w:r w:rsidR="004622BE" w:rsidRPr="00AF29BF">
        <w:rPr>
          <w:rFonts w:ascii="Times New Roman" w:hAnsi="Times New Roman" w:cs="Times New Roman"/>
        </w:rPr>
        <w:t>,</w:t>
      </w:r>
      <w:r w:rsidR="00E33CCA" w:rsidRPr="00AF29BF">
        <w:rPr>
          <w:rFonts w:ascii="Times New Roman" w:hAnsi="Times New Roman" w:cs="Times New Roman"/>
        </w:rPr>
        <w:t xml:space="preserve"> the judiciary </w:t>
      </w:r>
      <w:r w:rsidR="0012722A" w:rsidRPr="00AF29BF">
        <w:rPr>
          <w:rFonts w:ascii="Times New Roman" w:hAnsi="Times New Roman" w:cs="Times New Roman"/>
        </w:rPr>
        <w:t>assumed</w:t>
      </w:r>
      <w:r w:rsidR="00E33CCA" w:rsidRPr="00AF29BF">
        <w:rPr>
          <w:rFonts w:ascii="Times New Roman" w:hAnsi="Times New Roman" w:cs="Times New Roman"/>
        </w:rPr>
        <w:t xml:space="preserve"> </w:t>
      </w:r>
      <w:r w:rsidRPr="00AF29BF">
        <w:rPr>
          <w:rFonts w:ascii="Times New Roman" w:hAnsi="Times New Roman" w:cs="Times New Roman"/>
        </w:rPr>
        <w:t>an</w:t>
      </w:r>
      <w:r w:rsidR="00E33CCA" w:rsidRPr="00AF29BF">
        <w:rPr>
          <w:rFonts w:ascii="Times New Roman" w:hAnsi="Times New Roman" w:cs="Times New Roman"/>
        </w:rPr>
        <w:t xml:space="preserve"> early</w:t>
      </w:r>
      <w:r w:rsidRPr="00AF29BF">
        <w:rPr>
          <w:rFonts w:ascii="Times New Roman" w:hAnsi="Times New Roman" w:cs="Times New Roman"/>
        </w:rPr>
        <w:t xml:space="preserve"> form of</w:t>
      </w:r>
      <w:r w:rsidR="00E33CCA" w:rsidRPr="00AF29BF">
        <w:rPr>
          <w:rFonts w:ascii="Times New Roman" w:hAnsi="Times New Roman" w:cs="Times New Roman"/>
        </w:rPr>
        <w:t xml:space="preserve"> case management powers</w:t>
      </w:r>
      <w:r w:rsidRPr="00AF29BF">
        <w:rPr>
          <w:rFonts w:ascii="Times New Roman" w:hAnsi="Times New Roman" w:cs="Times New Roman"/>
        </w:rPr>
        <w:t>;</w:t>
      </w:r>
      <w:r w:rsidR="00E33CCA" w:rsidRPr="00AF29BF">
        <w:rPr>
          <w:rFonts w:ascii="Times New Roman" w:hAnsi="Times New Roman" w:cs="Times New Roman"/>
        </w:rPr>
        <w:t xml:space="preserve"> they</w:t>
      </w:r>
      <w:r w:rsidRPr="00AF29BF">
        <w:rPr>
          <w:rFonts w:ascii="Times New Roman" w:hAnsi="Times New Roman" w:cs="Times New Roman"/>
        </w:rPr>
        <w:t xml:space="preserve"> </w:t>
      </w:r>
      <w:r w:rsidR="00E33CCA" w:rsidRPr="00AF29BF">
        <w:rPr>
          <w:rFonts w:ascii="Times New Roman" w:hAnsi="Times New Roman" w:cs="Times New Roman"/>
        </w:rPr>
        <w:t xml:space="preserve">actively manage cases </w:t>
      </w:r>
      <w:r w:rsidR="004622BE" w:rsidRPr="00AF29BF">
        <w:rPr>
          <w:rFonts w:ascii="Times New Roman" w:hAnsi="Times New Roman" w:cs="Times New Roman"/>
        </w:rPr>
        <w:t>and acted</w:t>
      </w:r>
      <w:r w:rsidR="00E33CCA" w:rsidRPr="00AF29BF">
        <w:rPr>
          <w:rFonts w:ascii="Times New Roman" w:hAnsi="Times New Roman" w:cs="Times New Roman"/>
        </w:rPr>
        <w:t xml:space="preserve"> as counsel for the defendant. The prohibition on defence counsel was lifted in the eighteenth </w:t>
      </w:r>
      <w:proofErr w:type="gramStart"/>
      <w:r w:rsidR="00E33CCA" w:rsidRPr="00AF29BF">
        <w:rPr>
          <w:rFonts w:ascii="Times New Roman" w:hAnsi="Times New Roman" w:cs="Times New Roman"/>
        </w:rPr>
        <w:t>century</w:t>
      </w:r>
      <w:r w:rsidR="00BD0FC9" w:rsidRPr="00AF29BF">
        <w:rPr>
          <w:rFonts w:ascii="Times New Roman" w:hAnsi="Times New Roman" w:cs="Times New Roman"/>
        </w:rPr>
        <w:t>,</w:t>
      </w:r>
      <w:proofErr w:type="gramEnd"/>
      <w:r w:rsidR="00BD0FC9" w:rsidRPr="00AF29BF">
        <w:rPr>
          <w:rFonts w:ascii="Times New Roman" w:hAnsi="Times New Roman" w:cs="Times New Roman"/>
        </w:rPr>
        <w:t xml:space="preserve"> </w:t>
      </w:r>
      <w:r w:rsidR="00E33CCA" w:rsidRPr="00AF29BF">
        <w:rPr>
          <w:rFonts w:ascii="Times New Roman" w:hAnsi="Times New Roman" w:cs="Times New Roman"/>
        </w:rPr>
        <w:t xml:space="preserve">this was the genesis </w:t>
      </w:r>
      <w:r w:rsidR="00BD0FC9" w:rsidRPr="00AF29BF">
        <w:rPr>
          <w:rFonts w:ascii="Times New Roman" w:hAnsi="Times New Roman" w:cs="Times New Roman"/>
        </w:rPr>
        <w:t>of</w:t>
      </w:r>
      <w:r w:rsidR="00E33CCA" w:rsidRPr="00AF29BF">
        <w:rPr>
          <w:rFonts w:ascii="Times New Roman" w:hAnsi="Times New Roman" w:cs="Times New Roman"/>
        </w:rPr>
        <w:t xml:space="preserve"> adversarial trial. </w:t>
      </w:r>
      <w:r w:rsidR="004622BE" w:rsidRPr="00AF29BF">
        <w:rPr>
          <w:rFonts w:ascii="Times New Roman" w:hAnsi="Times New Roman" w:cs="Times New Roman"/>
        </w:rPr>
        <w:t>The</w:t>
      </w:r>
      <w:r w:rsidR="00E33CCA" w:rsidRPr="00AF29BF">
        <w:rPr>
          <w:rFonts w:ascii="Times New Roman" w:hAnsi="Times New Roman" w:cs="Times New Roman"/>
        </w:rPr>
        <w:t xml:space="preserve"> role of active</w:t>
      </w:r>
      <w:r w:rsidR="0012722A" w:rsidRPr="00AF29BF">
        <w:rPr>
          <w:rFonts w:ascii="Times New Roman" w:hAnsi="Times New Roman" w:cs="Times New Roman"/>
        </w:rPr>
        <w:t xml:space="preserve"> judicial </w:t>
      </w:r>
      <w:r w:rsidR="00E33CCA" w:rsidRPr="00AF29BF">
        <w:rPr>
          <w:rFonts w:ascii="Times New Roman" w:hAnsi="Times New Roman" w:cs="Times New Roman"/>
        </w:rPr>
        <w:t xml:space="preserve">participation </w:t>
      </w:r>
      <w:r w:rsidRPr="00AF29BF">
        <w:rPr>
          <w:rFonts w:ascii="Times New Roman" w:hAnsi="Times New Roman" w:cs="Times New Roman"/>
        </w:rPr>
        <w:t xml:space="preserve">rapidly </w:t>
      </w:r>
      <w:r w:rsidR="00E33CCA" w:rsidRPr="00AF29BF">
        <w:rPr>
          <w:rFonts w:ascii="Times New Roman" w:hAnsi="Times New Roman" w:cs="Times New Roman"/>
        </w:rPr>
        <w:t xml:space="preserve">diminished and an era of judicial passivity commenced. </w:t>
      </w:r>
      <w:r w:rsidRPr="00AF29BF">
        <w:rPr>
          <w:rFonts w:ascii="Times New Roman" w:hAnsi="Times New Roman" w:cs="Times New Roman"/>
        </w:rPr>
        <w:t>The</w:t>
      </w:r>
      <w:r w:rsidR="00990842" w:rsidRPr="00AF29BF">
        <w:rPr>
          <w:rFonts w:ascii="Times New Roman" w:hAnsi="Times New Roman" w:cs="Times New Roman"/>
        </w:rPr>
        <w:t xml:space="preserve"> paper will investigate </w:t>
      </w:r>
      <w:r w:rsidR="00E7039F" w:rsidRPr="00AF29BF">
        <w:rPr>
          <w:rFonts w:ascii="Times New Roman" w:hAnsi="Times New Roman" w:cs="Times New Roman"/>
        </w:rPr>
        <w:t xml:space="preserve">whether </w:t>
      </w:r>
      <w:r w:rsidR="00990842" w:rsidRPr="00AF29BF">
        <w:rPr>
          <w:rFonts w:ascii="Times New Roman" w:hAnsi="Times New Roman" w:cs="Times New Roman"/>
        </w:rPr>
        <w:t xml:space="preserve">a </w:t>
      </w:r>
      <w:r w:rsidR="004622BE" w:rsidRPr="00AF29BF">
        <w:rPr>
          <w:rFonts w:ascii="Times New Roman" w:hAnsi="Times New Roman" w:cs="Times New Roman"/>
        </w:rPr>
        <w:t>cultural</w:t>
      </w:r>
      <w:r w:rsidR="00990842" w:rsidRPr="00AF29BF">
        <w:rPr>
          <w:rFonts w:ascii="Times New Roman" w:hAnsi="Times New Roman" w:cs="Times New Roman"/>
        </w:rPr>
        <w:t xml:space="preserve"> shift </w:t>
      </w:r>
      <w:r w:rsidRPr="00AF29BF">
        <w:rPr>
          <w:rFonts w:ascii="Times New Roman" w:hAnsi="Times New Roman" w:cs="Times New Roman"/>
        </w:rPr>
        <w:t>has occurred in the contemporary criminal trial</w:t>
      </w:r>
      <w:r w:rsidR="004622BE" w:rsidRPr="00AF29BF">
        <w:rPr>
          <w:rFonts w:ascii="Times New Roman" w:hAnsi="Times New Roman" w:cs="Times New Roman"/>
        </w:rPr>
        <w:t xml:space="preserve">. </w:t>
      </w:r>
      <w:r w:rsidRPr="00AF29BF">
        <w:rPr>
          <w:rFonts w:ascii="Times New Roman" w:hAnsi="Times New Roman" w:cs="Times New Roman"/>
        </w:rPr>
        <w:t>At the</w:t>
      </w:r>
      <w:r w:rsidR="004622BE" w:rsidRPr="00AF29BF">
        <w:rPr>
          <w:rFonts w:ascii="Times New Roman" w:hAnsi="Times New Roman" w:cs="Times New Roman"/>
        </w:rPr>
        <w:t xml:space="preserve"> heart of this</w:t>
      </w:r>
      <w:r w:rsidRPr="00AF29BF">
        <w:rPr>
          <w:rFonts w:ascii="Times New Roman" w:hAnsi="Times New Roman" w:cs="Times New Roman"/>
        </w:rPr>
        <w:t xml:space="preserve"> pendulum swing</w:t>
      </w:r>
      <w:r w:rsidR="009A7EC5" w:rsidRPr="00AF29BF">
        <w:rPr>
          <w:rFonts w:ascii="Times New Roman" w:hAnsi="Times New Roman" w:cs="Times New Roman"/>
        </w:rPr>
        <w:t xml:space="preserve"> is a question: </w:t>
      </w:r>
      <w:r w:rsidR="00BD0FC9" w:rsidRPr="00AF29BF">
        <w:rPr>
          <w:rFonts w:ascii="Times New Roman" w:hAnsi="Times New Roman" w:cs="Times New Roman"/>
        </w:rPr>
        <w:t>is</w:t>
      </w:r>
      <w:r w:rsidR="00793EB3" w:rsidRPr="00AF29BF">
        <w:rPr>
          <w:rFonts w:ascii="Times New Roman" w:hAnsi="Times New Roman" w:cs="Times New Roman"/>
        </w:rPr>
        <w:t xml:space="preserve"> the </w:t>
      </w:r>
      <w:r w:rsidR="004A0445" w:rsidRPr="00AF29BF">
        <w:rPr>
          <w:rFonts w:ascii="Times New Roman" w:hAnsi="Times New Roman" w:cs="Times New Roman"/>
        </w:rPr>
        <w:t xml:space="preserve">judiciary </w:t>
      </w:r>
      <w:r w:rsidR="004622BE" w:rsidRPr="00AF29BF">
        <w:rPr>
          <w:rFonts w:ascii="Times New Roman" w:hAnsi="Times New Roman" w:cs="Times New Roman"/>
        </w:rPr>
        <w:t xml:space="preserve">reverting to </w:t>
      </w:r>
      <w:r w:rsidR="00793EB3" w:rsidRPr="00AF29BF">
        <w:rPr>
          <w:rFonts w:ascii="Times New Roman" w:hAnsi="Times New Roman" w:cs="Times New Roman"/>
        </w:rPr>
        <w:t xml:space="preserve">its </w:t>
      </w:r>
      <w:r w:rsidR="004622BE" w:rsidRPr="00AF29BF">
        <w:rPr>
          <w:rFonts w:ascii="Times New Roman" w:hAnsi="Times New Roman" w:cs="Times New Roman"/>
        </w:rPr>
        <w:t xml:space="preserve">pre-adversarial </w:t>
      </w:r>
      <w:r w:rsidRPr="00AF29BF">
        <w:rPr>
          <w:rFonts w:ascii="Times New Roman" w:hAnsi="Times New Roman" w:cs="Times New Roman"/>
        </w:rPr>
        <w:t>approach</w:t>
      </w:r>
      <w:r w:rsidR="004622BE" w:rsidRPr="00AF29BF">
        <w:rPr>
          <w:rFonts w:ascii="Times New Roman" w:hAnsi="Times New Roman" w:cs="Times New Roman"/>
        </w:rPr>
        <w:t xml:space="preserve"> </w:t>
      </w:r>
      <w:r w:rsidR="009A7EC5" w:rsidRPr="00AF29BF">
        <w:rPr>
          <w:rFonts w:ascii="Times New Roman" w:hAnsi="Times New Roman" w:cs="Times New Roman"/>
        </w:rPr>
        <w:t>by</w:t>
      </w:r>
      <w:r w:rsidR="004622BE" w:rsidRPr="00AF29BF">
        <w:rPr>
          <w:rFonts w:ascii="Times New Roman" w:hAnsi="Times New Roman" w:cs="Times New Roman"/>
        </w:rPr>
        <w:t xml:space="preserve"> </w:t>
      </w:r>
      <w:r w:rsidRPr="00AF29BF">
        <w:rPr>
          <w:rFonts w:ascii="Times New Roman" w:hAnsi="Times New Roman" w:cs="Times New Roman"/>
        </w:rPr>
        <w:t>departing</w:t>
      </w:r>
      <w:r w:rsidR="004622BE" w:rsidRPr="00AF29BF">
        <w:rPr>
          <w:rFonts w:ascii="Times New Roman" w:hAnsi="Times New Roman" w:cs="Times New Roman"/>
        </w:rPr>
        <w:t xml:space="preserve"> from its position of passivity to become a more active p</w:t>
      </w:r>
      <w:r w:rsidR="00793EB3" w:rsidRPr="00AF29BF">
        <w:rPr>
          <w:rFonts w:ascii="Times New Roman" w:hAnsi="Times New Roman" w:cs="Times New Roman"/>
        </w:rPr>
        <w:t xml:space="preserve">articipant in the </w:t>
      </w:r>
      <w:r w:rsidR="009A7EC5" w:rsidRPr="00AF29BF">
        <w:rPr>
          <w:rFonts w:ascii="Times New Roman" w:hAnsi="Times New Roman" w:cs="Times New Roman"/>
        </w:rPr>
        <w:t xml:space="preserve">arena of the criminal </w:t>
      </w:r>
      <w:r w:rsidR="00793EB3" w:rsidRPr="00AF29BF">
        <w:rPr>
          <w:rFonts w:ascii="Times New Roman" w:hAnsi="Times New Roman" w:cs="Times New Roman"/>
        </w:rPr>
        <w:t>trial</w:t>
      </w:r>
      <w:r w:rsidR="00E7039F" w:rsidRPr="00AF29BF">
        <w:rPr>
          <w:rFonts w:ascii="Times New Roman" w:hAnsi="Times New Roman" w:cs="Times New Roman"/>
        </w:rPr>
        <w:t>?</w:t>
      </w:r>
      <w:r w:rsidR="0050234B" w:rsidRPr="00AF29BF">
        <w:rPr>
          <w:rFonts w:ascii="Times New Roman" w:hAnsi="Times New Roman" w:cs="Times New Roman"/>
        </w:rPr>
        <w:t xml:space="preserve"> </w:t>
      </w:r>
      <w:r w:rsidR="009A7EC5" w:rsidRPr="00AF29BF">
        <w:rPr>
          <w:rFonts w:ascii="Times New Roman" w:hAnsi="Times New Roman" w:cs="Times New Roman"/>
        </w:rPr>
        <w:t>The</w:t>
      </w:r>
      <w:r w:rsidR="0050234B" w:rsidRPr="00AF29BF">
        <w:rPr>
          <w:rFonts w:ascii="Times New Roman" w:hAnsi="Times New Roman" w:cs="Times New Roman"/>
        </w:rPr>
        <w:t xml:space="preserve"> paper will discuss the potential ramifications </w:t>
      </w:r>
      <w:r w:rsidR="009A7EC5" w:rsidRPr="00AF29BF">
        <w:rPr>
          <w:rFonts w:ascii="Times New Roman" w:hAnsi="Times New Roman" w:cs="Times New Roman"/>
        </w:rPr>
        <w:t xml:space="preserve">this culture shift has </w:t>
      </w:r>
      <w:r w:rsidR="0050234B" w:rsidRPr="00AF29BF">
        <w:rPr>
          <w:rFonts w:ascii="Times New Roman" w:hAnsi="Times New Roman" w:cs="Times New Roman"/>
        </w:rPr>
        <w:t>for the future of the advers</w:t>
      </w:r>
      <w:r w:rsidR="0012722A" w:rsidRPr="00AF29BF">
        <w:rPr>
          <w:rFonts w:ascii="Times New Roman" w:hAnsi="Times New Roman" w:cs="Times New Roman"/>
        </w:rPr>
        <w:t>arial criminal justice process of England and Wales.</w:t>
      </w:r>
    </w:p>
    <w:p w14:paraId="106889A9" w14:textId="77777777" w:rsidR="00DA4BBB" w:rsidRPr="00AF29BF" w:rsidRDefault="00DA4BBB" w:rsidP="00916253">
      <w:pPr>
        <w:jc w:val="both"/>
        <w:rPr>
          <w:rFonts w:ascii="Times New Roman" w:hAnsi="Times New Roman" w:cs="Times New Roman"/>
        </w:rPr>
      </w:pPr>
    </w:p>
    <w:p w14:paraId="1575C14F" w14:textId="7F678564" w:rsidR="00DA4BBB" w:rsidRPr="00AF29BF" w:rsidRDefault="00EE4E18" w:rsidP="00916253">
      <w:pPr>
        <w:pStyle w:val="ListParagraph"/>
        <w:numPr>
          <w:ilvl w:val="0"/>
          <w:numId w:val="1"/>
        </w:numPr>
        <w:jc w:val="both"/>
        <w:rPr>
          <w:rFonts w:ascii="Times New Roman" w:hAnsi="Times New Roman" w:cs="Times New Roman"/>
          <w:b/>
          <w:sz w:val="28"/>
          <w:szCs w:val="28"/>
        </w:rPr>
      </w:pPr>
      <w:r w:rsidRPr="00AF29BF">
        <w:rPr>
          <w:rFonts w:ascii="Times New Roman" w:hAnsi="Times New Roman" w:cs="Times New Roman"/>
          <w:b/>
          <w:sz w:val="28"/>
          <w:szCs w:val="28"/>
        </w:rPr>
        <w:t>The Lawyer Free</w:t>
      </w:r>
      <w:r w:rsidR="0012722A" w:rsidRPr="00AF29BF">
        <w:rPr>
          <w:rFonts w:ascii="Times New Roman" w:hAnsi="Times New Roman" w:cs="Times New Roman"/>
          <w:b/>
          <w:sz w:val="28"/>
          <w:szCs w:val="28"/>
        </w:rPr>
        <w:t xml:space="preserve"> ‘Accused Speak’</w:t>
      </w:r>
      <w:r w:rsidRPr="00AF29BF">
        <w:rPr>
          <w:rFonts w:ascii="Times New Roman" w:hAnsi="Times New Roman" w:cs="Times New Roman"/>
          <w:b/>
          <w:sz w:val="28"/>
          <w:szCs w:val="28"/>
        </w:rPr>
        <w:t xml:space="preserve"> Trial to the Adversarial Trial </w:t>
      </w:r>
    </w:p>
    <w:p w14:paraId="6185ADEB" w14:textId="77777777" w:rsidR="00753841" w:rsidRPr="00AF29BF" w:rsidRDefault="00753841" w:rsidP="00916253">
      <w:pPr>
        <w:jc w:val="both"/>
        <w:rPr>
          <w:rFonts w:ascii="Times New Roman" w:hAnsi="Times New Roman" w:cs="Times New Roman"/>
        </w:rPr>
      </w:pPr>
    </w:p>
    <w:p w14:paraId="33C710AC" w14:textId="7ADB7FC2" w:rsidR="00C06F7B" w:rsidRPr="00AF29BF" w:rsidRDefault="00EE4E18" w:rsidP="00916253">
      <w:pPr>
        <w:jc w:val="both"/>
        <w:rPr>
          <w:rFonts w:ascii="Times New Roman" w:hAnsi="Times New Roman" w:cs="Times New Roman"/>
          <w:i/>
        </w:rPr>
      </w:pPr>
      <w:r w:rsidRPr="00AF29BF">
        <w:rPr>
          <w:rFonts w:ascii="Times New Roman" w:hAnsi="Times New Roman" w:cs="Times New Roman"/>
        </w:rPr>
        <w:t xml:space="preserve">The lawyer-free trial was an altercation between citizen accusers and </w:t>
      </w:r>
      <w:r w:rsidR="00A33525" w:rsidRPr="00AF29BF">
        <w:rPr>
          <w:rFonts w:ascii="Times New Roman" w:hAnsi="Times New Roman" w:cs="Times New Roman"/>
        </w:rPr>
        <w:t xml:space="preserve">the </w:t>
      </w:r>
      <w:r w:rsidRPr="00AF29BF">
        <w:rPr>
          <w:rFonts w:ascii="Times New Roman" w:hAnsi="Times New Roman" w:cs="Times New Roman"/>
        </w:rPr>
        <w:t>accused</w:t>
      </w:r>
      <w:r w:rsidR="00320445" w:rsidRPr="00AF29BF">
        <w:rPr>
          <w:rFonts w:ascii="Times New Roman" w:hAnsi="Times New Roman" w:cs="Times New Roman"/>
        </w:rPr>
        <w:t xml:space="preserve">. </w:t>
      </w:r>
      <w:r w:rsidR="00A33525" w:rsidRPr="00AF29BF">
        <w:rPr>
          <w:rFonts w:ascii="Times New Roman" w:hAnsi="Times New Roman" w:cs="Times New Roman"/>
        </w:rPr>
        <w:t>Throughout the trial process</w:t>
      </w:r>
      <w:r w:rsidRPr="00AF29BF">
        <w:rPr>
          <w:rFonts w:ascii="Times New Roman" w:hAnsi="Times New Roman" w:cs="Times New Roman"/>
        </w:rPr>
        <w:t xml:space="preserve"> the </w:t>
      </w:r>
      <w:r w:rsidR="00A33525" w:rsidRPr="00AF29BF">
        <w:rPr>
          <w:rFonts w:ascii="Times New Roman" w:hAnsi="Times New Roman" w:cs="Times New Roman"/>
        </w:rPr>
        <w:t xml:space="preserve">roles of the </w:t>
      </w:r>
      <w:r w:rsidR="0012722A" w:rsidRPr="00AF29BF">
        <w:rPr>
          <w:rFonts w:ascii="Times New Roman" w:hAnsi="Times New Roman" w:cs="Times New Roman"/>
        </w:rPr>
        <w:t>accused</w:t>
      </w:r>
      <w:r w:rsidRPr="00AF29BF">
        <w:rPr>
          <w:rFonts w:ascii="Times New Roman" w:hAnsi="Times New Roman" w:cs="Times New Roman"/>
        </w:rPr>
        <w:t xml:space="preserve"> as </w:t>
      </w:r>
      <w:r w:rsidR="00A33525" w:rsidRPr="00AF29BF">
        <w:rPr>
          <w:rFonts w:ascii="Times New Roman" w:hAnsi="Times New Roman" w:cs="Times New Roman"/>
        </w:rPr>
        <w:t>both defendant</w:t>
      </w:r>
      <w:r w:rsidRPr="00AF29BF">
        <w:rPr>
          <w:rFonts w:ascii="Times New Roman" w:hAnsi="Times New Roman" w:cs="Times New Roman"/>
        </w:rPr>
        <w:t xml:space="preserve"> and witness were inextricably linked.</w:t>
      </w:r>
      <w:r w:rsidRPr="00AF29BF">
        <w:rPr>
          <w:rStyle w:val="FootnoteReference"/>
          <w:rFonts w:ascii="Times New Roman" w:hAnsi="Times New Roman" w:cs="Times New Roman"/>
        </w:rPr>
        <w:footnoteReference w:id="2"/>
      </w:r>
      <w:r w:rsidRPr="00AF29BF">
        <w:rPr>
          <w:rFonts w:ascii="Times New Roman" w:hAnsi="Times New Roman" w:cs="Times New Roman"/>
        </w:rPr>
        <w:t xml:space="preserve"> </w:t>
      </w:r>
      <w:r w:rsidR="00E7039F" w:rsidRPr="00AF29BF">
        <w:rPr>
          <w:rFonts w:ascii="Times New Roman" w:hAnsi="Times New Roman" w:cs="Times New Roman"/>
        </w:rPr>
        <w:t>Following the conclusion</w:t>
      </w:r>
      <w:r w:rsidRPr="00AF29BF">
        <w:rPr>
          <w:rFonts w:ascii="Times New Roman" w:hAnsi="Times New Roman" w:cs="Times New Roman"/>
        </w:rPr>
        <w:t xml:space="preserve"> of the altercation the judge left the jury to decide upon the guilt or innocence of the accused</w:t>
      </w:r>
      <w:r w:rsidR="00BD3EDC" w:rsidRPr="00AF29BF">
        <w:rPr>
          <w:rFonts w:ascii="Times New Roman" w:hAnsi="Times New Roman" w:cs="Times New Roman"/>
        </w:rPr>
        <w:t>;</w:t>
      </w:r>
      <w:r w:rsidRPr="00AF29BF">
        <w:rPr>
          <w:rFonts w:ascii="Times New Roman" w:hAnsi="Times New Roman" w:cs="Times New Roman"/>
        </w:rPr>
        <w:t xml:space="preserve"> often with little </w:t>
      </w:r>
      <w:r w:rsidR="00907B3D" w:rsidRPr="00AF29BF">
        <w:rPr>
          <w:rFonts w:ascii="Times New Roman" w:hAnsi="Times New Roman" w:cs="Times New Roman"/>
        </w:rPr>
        <w:t xml:space="preserve">judicial </w:t>
      </w:r>
      <w:r w:rsidR="00BD0FC9" w:rsidRPr="00AF29BF">
        <w:rPr>
          <w:rFonts w:ascii="Times New Roman" w:hAnsi="Times New Roman" w:cs="Times New Roman"/>
        </w:rPr>
        <w:t>intervention</w:t>
      </w:r>
      <w:r w:rsidR="00907B3D" w:rsidRPr="00AF29BF">
        <w:rPr>
          <w:rFonts w:ascii="Times New Roman" w:hAnsi="Times New Roman" w:cs="Times New Roman"/>
        </w:rPr>
        <w:t xml:space="preserve">. </w:t>
      </w:r>
      <w:proofErr w:type="spellStart"/>
      <w:r w:rsidR="00907B3D" w:rsidRPr="00AF29BF">
        <w:rPr>
          <w:rFonts w:ascii="Times New Roman" w:hAnsi="Times New Roman" w:cs="Times New Roman"/>
        </w:rPr>
        <w:t>Langbein</w:t>
      </w:r>
      <w:proofErr w:type="spellEnd"/>
      <w:r w:rsidR="00907B3D" w:rsidRPr="00AF29BF">
        <w:rPr>
          <w:rFonts w:ascii="Times New Roman" w:hAnsi="Times New Roman" w:cs="Times New Roman"/>
        </w:rPr>
        <w:t xml:space="preserve"> suggests that there is very little written ab</w:t>
      </w:r>
      <w:r w:rsidR="00A33525" w:rsidRPr="00AF29BF">
        <w:rPr>
          <w:rFonts w:ascii="Times New Roman" w:hAnsi="Times New Roman" w:cs="Times New Roman"/>
        </w:rPr>
        <w:t>out the early altercation trial and</w:t>
      </w:r>
      <w:r w:rsidR="00907B3D" w:rsidRPr="00AF29BF">
        <w:rPr>
          <w:rFonts w:ascii="Times New Roman" w:hAnsi="Times New Roman" w:cs="Times New Roman"/>
        </w:rPr>
        <w:t xml:space="preserve"> Sir Thomas Smith’s </w:t>
      </w:r>
      <w:r w:rsidR="00907B3D" w:rsidRPr="00AF29BF">
        <w:rPr>
          <w:rFonts w:ascii="Times New Roman" w:hAnsi="Times New Roman" w:cs="Times New Roman"/>
          <w:i/>
        </w:rPr>
        <w:t xml:space="preserve">De </w:t>
      </w:r>
      <w:proofErr w:type="spellStart"/>
      <w:r w:rsidR="00907B3D" w:rsidRPr="00AF29BF">
        <w:rPr>
          <w:rFonts w:ascii="Times New Roman" w:hAnsi="Times New Roman" w:cs="Times New Roman"/>
          <w:i/>
        </w:rPr>
        <w:t>Republica</w:t>
      </w:r>
      <w:proofErr w:type="spellEnd"/>
      <w:r w:rsidR="00907B3D" w:rsidRPr="00AF29BF">
        <w:rPr>
          <w:rFonts w:ascii="Times New Roman" w:hAnsi="Times New Roman" w:cs="Times New Roman"/>
          <w:i/>
        </w:rPr>
        <w:t xml:space="preserve"> </w:t>
      </w:r>
      <w:proofErr w:type="spellStart"/>
      <w:r w:rsidR="00907B3D" w:rsidRPr="00AF29BF">
        <w:rPr>
          <w:rFonts w:ascii="Times New Roman" w:hAnsi="Times New Roman" w:cs="Times New Roman"/>
          <w:i/>
        </w:rPr>
        <w:t>Anglorum</w:t>
      </w:r>
      <w:proofErr w:type="spellEnd"/>
      <w:r w:rsidR="00907B3D" w:rsidRPr="00AF29BF">
        <w:rPr>
          <w:rFonts w:ascii="Times New Roman" w:hAnsi="Times New Roman" w:cs="Times New Roman"/>
          <w:i/>
        </w:rPr>
        <w:t xml:space="preserve"> </w:t>
      </w:r>
      <w:r w:rsidR="00907B3D" w:rsidRPr="00AF29BF">
        <w:rPr>
          <w:rFonts w:ascii="Times New Roman" w:hAnsi="Times New Roman" w:cs="Times New Roman"/>
        </w:rPr>
        <w:t xml:space="preserve">is the earliest account of the trials of the time. </w:t>
      </w:r>
      <w:r w:rsidRPr="00AF29BF">
        <w:rPr>
          <w:rFonts w:ascii="Times New Roman" w:hAnsi="Times New Roman" w:cs="Times New Roman"/>
        </w:rPr>
        <w:t>According to Smith, a</w:t>
      </w:r>
      <w:r w:rsidR="00907B3D" w:rsidRPr="00AF29BF">
        <w:rPr>
          <w:rFonts w:ascii="Times New Roman" w:hAnsi="Times New Roman" w:cs="Times New Roman"/>
        </w:rPr>
        <w:t xml:space="preserve">t the </w:t>
      </w:r>
      <w:r w:rsidR="002D7915" w:rsidRPr="00AF29BF">
        <w:rPr>
          <w:rFonts w:ascii="Times New Roman" w:hAnsi="Times New Roman" w:cs="Times New Roman"/>
        </w:rPr>
        <w:t>conclusion</w:t>
      </w:r>
      <w:r w:rsidR="00907B3D" w:rsidRPr="00AF29BF">
        <w:rPr>
          <w:rFonts w:ascii="Times New Roman" w:hAnsi="Times New Roman" w:cs="Times New Roman"/>
        </w:rPr>
        <w:t xml:space="preserve"> of the altercation, the</w:t>
      </w:r>
      <w:r w:rsidRPr="00AF29BF">
        <w:rPr>
          <w:rFonts w:ascii="Times New Roman" w:hAnsi="Times New Roman" w:cs="Times New Roman"/>
        </w:rPr>
        <w:t xml:space="preserve"> judge merely told the jury ‘ye have heard what these men say against the prisoner, you have also heard what the prisoner can say for </w:t>
      </w:r>
      <w:r w:rsidR="000E0444" w:rsidRPr="00AF29BF">
        <w:rPr>
          <w:rFonts w:ascii="Times New Roman" w:hAnsi="Times New Roman" w:cs="Times New Roman"/>
        </w:rPr>
        <w:t>himself.</w:t>
      </w:r>
      <w:r w:rsidRPr="00AF29BF">
        <w:rPr>
          <w:rFonts w:ascii="Times New Roman" w:hAnsi="Times New Roman" w:cs="Times New Roman"/>
        </w:rPr>
        <w:t>’</w:t>
      </w:r>
      <w:r w:rsidRPr="00AF29BF">
        <w:rPr>
          <w:rStyle w:val="FootnoteReference"/>
          <w:rFonts w:ascii="Times New Roman" w:hAnsi="Times New Roman" w:cs="Times New Roman"/>
        </w:rPr>
        <w:footnoteReference w:id="3"/>
      </w:r>
      <w:r w:rsidR="00907B3D" w:rsidRPr="00AF29BF">
        <w:rPr>
          <w:rFonts w:ascii="Times New Roman" w:hAnsi="Times New Roman" w:cs="Times New Roman"/>
        </w:rPr>
        <w:t xml:space="preserve"> </w:t>
      </w:r>
      <w:r w:rsidR="00A33525" w:rsidRPr="00AF29BF">
        <w:rPr>
          <w:rFonts w:ascii="Times New Roman" w:hAnsi="Times New Roman" w:cs="Times New Roman"/>
        </w:rPr>
        <w:t xml:space="preserve">In the altercation trial the </w:t>
      </w:r>
      <w:r w:rsidR="002B1D8B" w:rsidRPr="00AF29BF">
        <w:rPr>
          <w:rFonts w:ascii="Times New Roman" w:hAnsi="Times New Roman" w:cs="Times New Roman"/>
        </w:rPr>
        <w:t>judge</w:t>
      </w:r>
      <w:r w:rsidR="00C649F2" w:rsidRPr="00AF29BF">
        <w:rPr>
          <w:rFonts w:ascii="Times New Roman" w:hAnsi="Times New Roman" w:cs="Times New Roman"/>
        </w:rPr>
        <w:t xml:space="preserve"> acted as </w:t>
      </w:r>
      <w:r w:rsidR="00A33525" w:rsidRPr="00AF29BF">
        <w:rPr>
          <w:rFonts w:ascii="Times New Roman" w:hAnsi="Times New Roman" w:cs="Times New Roman"/>
        </w:rPr>
        <w:t xml:space="preserve">both </w:t>
      </w:r>
      <w:r w:rsidR="00924659" w:rsidRPr="00AF29BF">
        <w:rPr>
          <w:rFonts w:ascii="Times New Roman" w:hAnsi="Times New Roman" w:cs="Times New Roman"/>
        </w:rPr>
        <w:t xml:space="preserve">the examiner and </w:t>
      </w:r>
      <w:r w:rsidR="00964722" w:rsidRPr="00AF29BF">
        <w:rPr>
          <w:rFonts w:ascii="Times New Roman" w:hAnsi="Times New Roman" w:cs="Times New Roman"/>
        </w:rPr>
        <w:t>cross-examiner</w:t>
      </w:r>
      <w:r w:rsidR="00924659" w:rsidRPr="00AF29BF">
        <w:rPr>
          <w:rFonts w:ascii="Times New Roman" w:hAnsi="Times New Roman" w:cs="Times New Roman"/>
        </w:rPr>
        <w:t xml:space="preserve">; the </w:t>
      </w:r>
      <w:r w:rsidR="00C649F2" w:rsidRPr="00AF29BF">
        <w:rPr>
          <w:rFonts w:ascii="Times New Roman" w:hAnsi="Times New Roman" w:cs="Times New Roman"/>
        </w:rPr>
        <w:t>duty</w:t>
      </w:r>
      <w:r w:rsidR="00A33525" w:rsidRPr="00AF29BF">
        <w:rPr>
          <w:rFonts w:ascii="Times New Roman" w:hAnsi="Times New Roman" w:cs="Times New Roman"/>
        </w:rPr>
        <w:t xml:space="preserve"> </w:t>
      </w:r>
      <w:r w:rsidR="00924659" w:rsidRPr="00AF29BF">
        <w:rPr>
          <w:rFonts w:ascii="Times New Roman" w:hAnsi="Times New Roman" w:cs="Times New Roman"/>
        </w:rPr>
        <w:t xml:space="preserve">of the </w:t>
      </w:r>
      <w:r w:rsidR="002B1D8B" w:rsidRPr="00AF29BF">
        <w:rPr>
          <w:rFonts w:ascii="Times New Roman" w:hAnsi="Times New Roman" w:cs="Times New Roman"/>
        </w:rPr>
        <w:t>judge</w:t>
      </w:r>
      <w:r w:rsidR="00924659" w:rsidRPr="00AF29BF">
        <w:rPr>
          <w:rFonts w:ascii="Times New Roman" w:hAnsi="Times New Roman" w:cs="Times New Roman"/>
        </w:rPr>
        <w:t xml:space="preserve"> was to present the evidence to the defendant and he would have the opportunity to counter to maintain his innocence. </w:t>
      </w:r>
      <w:r w:rsidR="00924659" w:rsidRPr="00AF29BF">
        <w:rPr>
          <w:rStyle w:val="FootnoteReference"/>
          <w:rFonts w:ascii="Times New Roman" w:hAnsi="Times New Roman" w:cs="Times New Roman"/>
        </w:rPr>
        <w:footnoteReference w:id="4"/>
      </w:r>
      <w:r w:rsidR="00964722" w:rsidRPr="00AF29BF">
        <w:rPr>
          <w:rFonts w:ascii="Times New Roman" w:hAnsi="Times New Roman" w:cs="Times New Roman"/>
        </w:rPr>
        <w:t xml:space="preserve"> No form of pre-trial disclosure existed and the accused would hear the evidence against him for the first time at trial</w:t>
      </w:r>
      <w:r w:rsidR="002B1D8B" w:rsidRPr="00AF29BF">
        <w:rPr>
          <w:rFonts w:ascii="Times New Roman" w:hAnsi="Times New Roman" w:cs="Times New Roman"/>
        </w:rPr>
        <w:t>. T</w:t>
      </w:r>
      <w:r w:rsidR="00A33525" w:rsidRPr="00AF29BF">
        <w:rPr>
          <w:rFonts w:ascii="Times New Roman" w:hAnsi="Times New Roman" w:cs="Times New Roman"/>
        </w:rPr>
        <w:t>his was a pivotal part of the proceedings</w:t>
      </w:r>
      <w:r w:rsidR="002B1D8B" w:rsidRPr="00AF29BF">
        <w:rPr>
          <w:rFonts w:ascii="Times New Roman" w:hAnsi="Times New Roman" w:cs="Times New Roman"/>
        </w:rPr>
        <w:t xml:space="preserve"> as it w</w:t>
      </w:r>
      <w:r w:rsidR="00964722" w:rsidRPr="00AF29BF">
        <w:rPr>
          <w:rFonts w:ascii="Times New Roman" w:hAnsi="Times New Roman" w:cs="Times New Roman"/>
        </w:rPr>
        <w:t>as thought the unrehearsed responses would give the best indication of the guilt or innocence of the accused.</w:t>
      </w:r>
      <w:r w:rsidR="00964722" w:rsidRPr="00AF29BF">
        <w:rPr>
          <w:rStyle w:val="FootnoteReference"/>
          <w:rFonts w:ascii="Times New Roman" w:hAnsi="Times New Roman" w:cs="Times New Roman"/>
        </w:rPr>
        <w:footnoteReference w:id="5"/>
      </w:r>
      <w:r w:rsidR="00964722" w:rsidRPr="00AF29BF">
        <w:rPr>
          <w:rFonts w:ascii="Times New Roman" w:hAnsi="Times New Roman" w:cs="Times New Roman"/>
        </w:rPr>
        <w:t xml:space="preserve"> </w:t>
      </w:r>
      <w:r w:rsidR="000E0444" w:rsidRPr="00AF29BF">
        <w:rPr>
          <w:rFonts w:ascii="Times New Roman" w:hAnsi="Times New Roman" w:cs="Times New Roman"/>
        </w:rPr>
        <w:t xml:space="preserve">Occasionally, </w:t>
      </w:r>
      <w:r w:rsidR="000E0444" w:rsidRPr="00AF29BF">
        <w:rPr>
          <w:rFonts w:ascii="Times New Roman" w:hAnsi="Times New Roman" w:cs="Times New Roman"/>
        </w:rPr>
        <w:lastRenderedPageBreak/>
        <w:t xml:space="preserve">the </w:t>
      </w:r>
      <w:r w:rsidR="00E7039F" w:rsidRPr="00AF29BF">
        <w:rPr>
          <w:rFonts w:ascii="Times New Roman" w:hAnsi="Times New Roman" w:cs="Times New Roman"/>
        </w:rPr>
        <w:t xml:space="preserve">judge </w:t>
      </w:r>
      <w:r w:rsidR="000E0444" w:rsidRPr="00AF29BF">
        <w:rPr>
          <w:rFonts w:ascii="Times New Roman" w:hAnsi="Times New Roman" w:cs="Times New Roman"/>
        </w:rPr>
        <w:t xml:space="preserve">would intervene to ensure what was being said remained </w:t>
      </w:r>
      <w:r w:rsidR="0031160D" w:rsidRPr="00AF29BF">
        <w:rPr>
          <w:rFonts w:ascii="Times New Roman" w:hAnsi="Times New Roman" w:cs="Times New Roman"/>
        </w:rPr>
        <w:t>relevant to</w:t>
      </w:r>
      <w:r w:rsidR="000E0444" w:rsidRPr="00AF29BF">
        <w:rPr>
          <w:rFonts w:ascii="Times New Roman" w:hAnsi="Times New Roman" w:cs="Times New Roman"/>
        </w:rPr>
        <w:t xml:space="preserve"> proceedings. </w:t>
      </w:r>
      <w:r w:rsidR="0031160D" w:rsidRPr="00AF29BF">
        <w:rPr>
          <w:rFonts w:ascii="Times New Roman" w:hAnsi="Times New Roman" w:cs="Times New Roman"/>
        </w:rPr>
        <w:t xml:space="preserve">During </w:t>
      </w:r>
      <w:r w:rsidR="00A33525" w:rsidRPr="00AF29BF">
        <w:rPr>
          <w:rFonts w:ascii="Times New Roman" w:hAnsi="Times New Roman" w:cs="Times New Roman"/>
        </w:rPr>
        <w:t>the trial</w:t>
      </w:r>
      <w:r w:rsidR="0031160D" w:rsidRPr="00AF29BF">
        <w:rPr>
          <w:rFonts w:ascii="Times New Roman" w:hAnsi="Times New Roman" w:cs="Times New Roman"/>
        </w:rPr>
        <w:t xml:space="preserve">, the accused was seen to be an ‘informational resource’ to the court. </w:t>
      </w:r>
      <w:r w:rsidR="00E7039F" w:rsidRPr="00AF29BF">
        <w:rPr>
          <w:rFonts w:ascii="Times New Roman" w:hAnsi="Times New Roman" w:cs="Times New Roman"/>
        </w:rPr>
        <w:t>The oral discussion by the accused of</w:t>
      </w:r>
      <w:r w:rsidR="0031160D" w:rsidRPr="00AF29BF">
        <w:rPr>
          <w:rFonts w:ascii="Times New Roman" w:hAnsi="Times New Roman" w:cs="Times New Roman"/>
        </w:rPr>
        <w:t xml:space="preserve"> </w:t>
      </w:r>
      <w:r w:rsidR="00C649F2" w:rsidRPr="00AF29BF">
        <w:rPr>
          <w:rFonts w:ascii="Times New Roman" w:hAnsi="Times New Roman" w:cs="Times New Roman"/>
        </w:rPr>
        <w:t>the</w:t>
      </w:r>
      <w:r w:rsidR="0031160D" w:rsidRPr="00AF29BF">
        <w:rPr>
          <w:rFonts w:ascii="Times New Roman" w:hAnsi="Times New Roman" w:cs="Times New Roman"/>
        </w:rPr>
        <w:t xml:space="preserve"> events was </w:t>
      </w:r>
      <w:r w:rsidR="00A33525" w:rsidRPr="00AF29BF">
        <w:rPr>
          <w:rFonts w:ascii="Times New Roman" w:hAnsi="Times New Roman" w:cs="Times New Roman"/>
        </w:rPr>
        <w:t xml:space="preserve">the </w:t>
      </w:r>
      <w:r w:rsidR="0031160D" w:rsidRPr="00AF29BF">
        <w:rPr>
          <w:rFonts w:ascii="Times New Roman" w:hAnsi="Times New Roman" w:cs="Times New Roman"/>
        </w:rPr>
        <w:t xml:space="preserve">key </w:t>
      </w:r>
      <w:r w:rsidR="00A33525" w:rsidRPr="00AF29BF">
        <w:rPr>
          <w:rFonts w:ascii="Times New Roman" w:hAnsi="Times New Roman" w:cs="Times New Roman"/>
        </w:rPr>
        <w:t xml:space="preserve">component to the trials rapid speed; </w:t>
      </w:r>
      <w:r w:rsidR="00C649F2" w:rsidRPr="00AF29BF">
        <w:rPr>
          <w:rFonts w:ascii="Times New Roman" w:hAnsi="Times New Roman" w:cs="Times New Roman"/>
        </w:rPr>
        <w:t xml:space="preserve">it was believed that </w:t>
      </w:r>
      <w:r w:rsidR="00A33525" w:rsidRPr="00AF29BF">
        <w:rPr>
          <w:rFonts w:ascii="Times New Roman" w:hAnsi="Times New Roman" w:cs="Times New Roman"/>
        </w:rPr>
        <w:t>the most efficient way to adduce evidence is to have the accused speak about the alleged offence(s)</w:t>
      </w:r>
      <w:r w:rsidR="0031160D" w:rsidRPr="00AF29BF">
        <w:rPr>
          <w:rFonts w:ascii="Times New Roman" w:hAnsi="Times New Roman" w:cs="Times New Roman"/>
        </w:rPr>
        <w:t>.</w:t>
      </w:r>
      <w:r w:rsidR="0031160D" w:rsidRPr="00AF29BF">
        <w:rPr>
          <w:rStyle w:val="FootnoteReference"/>
          <w:rFonts w:ascii="Times New Roman" w:hAnsi="Times New Roman" w:cs="Times New Roman"/>
        </w:rPr>
        <w:footnoteReference w:id="6"/>
      </w:r>
      <w:r w:rsidR="0031160D" w:rsidRPr="00AF29BF">
        <w:rPr>
          <w:rFonts w:ascii="Times New Roman" w:hAnsi="Times New Roman" w:cs="Times New Roman"/>
        </w:rPr>
        <w:t xml:space="preserve"> The length of altercation trials, including jury deliberations, was bet</w:t>
      </w:r>
      <w:r w:rsidR="00A33525" w:rsidRPr="00AF29BF">
        <w:rPr>
          <w:rFonts w:ascii="Times New Roman" w:hAnsi="Times New Roman" w:cs="Times New Roman"/>
        </w:rPr>
        <w:t>ween fifteen and twenty minutes,</w:t>
      </w:r>
      <w:r w:rsidR="0031160D" w:rsidRPr="00AF29BF">
        <w:rPr>
          <w:rStyle w:val="FootnoteReference"/>
          <w:rFonts w:ascii="Times New Roman" w:hAnsi="Times New Roman" w:cs="Times New Roman"/>
        </w:rPr>
        <w:footnoteReference w:id="7"/>
      </w:r>
      <w:r w:rsidR="00A33525" w:rsidRPr="00AF29BF">
        <w:rPr>
          <w:rFonts w:ascii="Times New Roman" w:hAnsi="Times New Roman" w:cs="Times New Roman"/>
        </w:rPr>
        <w:t xml:space="preserve"> so justice was both rapid and swift.</w:t>
      </w:r>
      <w:r w:rsidR="0031160D" w:rsidRPr="00AF29BF">
        <w:rPr>
          <w:rFonts w:ascii="Times New Roman" w:hAnsi="Times New Roman" w:cs="Times New Roman"/>
        </w:rPr>
        <w:t xml:space="preserve"> </w:t>
      </w:r>
    </w:p>
    <w:p w14:paraId="728E1790" w14:textId="77777777" w:rsidR="00924659" w:rsidRPr="00AF29BF" w:rsidRDefault="00924659" w:rsidP="00916253">
      <w:pPr>
        <w:jc w:val="both"/>
        <w:rPr>
          <w:rFonts w:ascii="Times New Roman" w:hAnsi="Times New Roman" w:cs="Times New Roman"/>
        </w:rPr>
      </w:pPr>
    </w:p>
    <w:p w14:paraId="6AAD80B6" w14:textId="4D9AF8E1" w:rsidR="000B14E7" w:rsidRDefault="00C06F7B" w:rsidP="00916253">
      <w:pPr>
        <w:jc w:val="both"/>
        <w:rPr>
          <w:rFonts w:ascii="Times New Roman" w:hAnsi="Times New Roman" w:cs="Times New Roman"/>
          <w:i/>
        </w:rPr>
      </w:pPr>
      <w:r w:rsidRPr="00AF29BF">
        <w:rPr>
          <w:rFonts w:ascii="Times New Roman" w:hAnsi="Times New Roman" w:cs="Times New Roman"/>
        </w:rPr>
        <w:t xml:space="preserve">Very little is known about </w:t>
      </w:r>
      <w:r w:rsidR="00720C37" w:rsidRPr="00AF29BF">
        <w:rPr>
          <w:rFonts w:ascii="Times New Roman" w:hAnsi="Times New Roman" w:cs="Times New Roman"/>
        </w:rPr>
        <w:t>the trial process</w:t>
      </w:r>
      <w:r w:rsidRPr="00AF29BF">
        <w:rPr>
          <w:rFonts w:ascii="Times New Roman" w:hAnsi="Times New Roman" w:cs="Times New Roman"/>
        </w:rPr>
        <w:t xml:space="preserve"> during this period outside of the Smith’s account. However, a great deal more is written about treason trials. </w:t>
      </w:r>
      <w:proofErr w:type="spellStart"/>
      <w:r w:rsidRPr="00AF29BF">
        <w:rPr>
          <w:rFonts w:ascii="Times New Roman" w:hAnsi="Times New Roman" w:cs="Times New Roman"/>
        </w:rPr>
        <w:t>Langbein</w:t>
      </w:r>
      <w:proofErr w:type="spellEnd"/>
      <w:r w:rsidRPr="00AF29BF">
        <w:rPr>
          <w:rFonts w:ascii="Times New Roman" w:hAnsi="Times New Roman" w:cs="Times New Roman"/>
        </w:rPr>
        <w:t xml:space="preserve"> suggests these accounts were collected retrospectively and the collection was known as the </w:t>
      </w:r>
      <w:r w:rsidRPr="00AF29BF">
        <w:rPr>
          <w:rFonts w:ascii="Times New Roman" w:hAnsi="Times New Roman" w:cs="Times New Roman"/>
          <w:i/>
        </w:rPr>
        <w:t>State Trials.</w:t>
      </w:r>
      <w:r w:rsidRPr="00AF29BF">
        <w:rPr>
          <w:rStyle w:val="FootnoteReference"/>
          <w:rFonts w:ascii="Times New Roman" w:hAnsi="Times New Roman" w:cs="Times New Roman"/>
        </w:rPr>
        <w:footnoteReference w:id="8"/>
      </w:r>
      <w:r w:rsidRPr="00AF29BF">
        <w:rPr>
          <w:rFonts w:ascii="Times New Roman" w:hAnsi="Times New Roman" w:cs="Times New Roman"/>
          <w:i/>
        </w:rPr>
        <w:t xml:space="preserve"> </w:t>
      </w:r>
      <w:r w:rsidRPr="00AF29BF">
        <w:rPr>
          <w:rFonts w:ascii="Times New Roman" w:hAnsi="Times New Roman" w:cs="Times New Roman"/>
        </w:rPr>
        <w:t xml:space="preserve">These trials differed from the altercation </w:t>
      </w:r>
      <w:r w:rsidR="00720C37" w:rsidRPr="00AF29BF">
        <w:rPr>
          <w:rFonts w:ascii="Times New Roman" w:hAnsi="Times New Roman" w:cs="Times New Roman"/>
        </w:rPr>
        <w:t>trial,</w:t>
      </w:r>
      <w:r w:rsidRPr="00AF29BF">
        <w:rPr>
          <w:rFonts w:ascii="Times New Roman" w:hAnsi="Times New Roman" w:cs="Times New Roman"/>
        </w:rPr>
        <w:t xml:space="preserve"> as prosecution counsel </w:t>
      </w:r>
      <w:r w:rsidR="00D13776" w:rsidRPr="00AF29BF">
        <w:rPr>
          <w:rFonts w:ascii="Times New Roman" w:hAnsi="Times New Roman" w:cs="Times New Roman"/>
        </w:rPr>
        <w:t>were permitted</w:t>
      </w:r>
      <w:r w:rsidRPr="00AF29BF">
        <w:rPr>
          <w:rFonts w:ascii="Times New Roman" w:hAnsi="Times New Roman" w:cs="Times New Roman"/>
        </w:rPr>
        <w:t xml:space="preserve"> in the courtroom. In the treason trial of Sir Nicholas Throckmorton, </w:t>
      </w:r>
      <w:r w:rsidRPr="00AF29BF">
        <w:rPr>
          <w:rStyle w:val="FootnoteReference"/>
          <w:rFonts w:ascii="Times New Roman" w:hAnsi="Times New Roman" w:cs="Times New Roman"/>
        </w:rPr>
        <w:footnoteReference w:id="9"/>
      </w:r>
      <w:r w:rsidRPr="00AF29BF">
        <w:rPr>
          <w:rFonts w:ascii="Times New Roman" w:hAnsi="Times New Roman" w:cs="Times New Roman"/>
        </w:rPr>
        <w:t xml:space="preserve"> the defendant respond</w:t>
      </w:r>
      <w:r w:rsidR="0012722A" w:rsidRPr="00AF29BF">
        <w:rPr>
          <w:rFonts w:ascii="Times New Roman" w:hAnsi="Times New Roman" w:cs="Times New Roman"/>
        </w:rPr>
        <w:t>ed</w:t>
      </w:r>
      <w:r w:rsidRPr="00AF29BF">
        <w:rPr>
          <w:rFonts w:ascii="Times New Roman" w:hAnsi="Times New Roman" w:cs="Times New Roman"/>
        </w:rPr>
        <w:t xml:space="preserve"> to questions from both the prosecution and the bench. Furthermore, the trials gave rise to a very early form of</w:t>
      </w:r>
      <w:r w:rsidR="0012722A" w:rsidRPr="00AF29BF">
        <w:rPr>
          <w:rFonts w:ascii="Times New Roman" w:hAnsi="Times New Roman" w:cs="Times New Roman"/>
        </w:rPr>
        <w:t xml:space="preserve"> judicial </w:t>
      </w:r>
      <w:r w:rsidRPr="00AF29BF">
        <w:rPr>
          <w:rFonts w:ascii="Times New Roman" w:hAnsi="Times New Roman" w:cs="Times New Roman"/>
        </w:rPr>
        <w:t>ca</w:t>
      </w:r>
      <w:r w:rsidR="00D13776" w:rsidRPr="00AF29BF">
        <w:rPr>
          <w:rFonts w:ascii="Times New Roman" w:hAnsi="Times New Roman" w:cs="Times New Roman"/>
        </w:rPr>
        <w:t xml:space="preserve">se management. </w:t>
      </w:r>
      <w:r w:rsidR="0012722A" w:rsidRPr="00AF29BF">
        <w:rPr>
          <w:rFonts w:ascii="Times New Roman" w:hAnsi="Times New Roman" w:cs="Times New Roman"/>
        </w:rPr>
        <w:t>I</w:t>
      </w:r>
      <w:r w:rsidRPr="00AF29BF">
        <w:rPr>
          <w:rFonts w:ascii="Times New Roman" w:hAnsi="Times New Roman" w:cs="Times New Roman"/>
        </w:rPr>
        <w:t xml:space="preserve">t would be the responsibility of the judge to direct </w:t>
      </w:r>
      <w:r w:rsidR="00D13776" w:rsidRPr="00AF29BF">
        <w:rPr>
          <w:rFonts w:ascii="Times New Roman" w:hAnsi="Times New Roman" w:cs="Times New Roman"/>
        </w:rPr>
        <w:t>proceedings; including</w:t>
      </w:r>
      <w:r w:rsidR="00346232" w:rsidRPr="00AF29BF">
        <w:rPr>
          <w:rFonts w:ascii="Times New Roman" w:hAnsi="Times New Roman" w:cs="Times New Roman"/>
        </w:rPr>
        <w:t xml:space="preserve"> </w:t>
      </w:r>
      <w:r w:rsidR="00924659" w:rsidRPr="00AF29BF">
        <w:rPr>
          <w:rFonts w:ascii="Times New Roman" w:hAnsi="Times New Roman" w:cs="Times New Roman"/>
        </w:rPr>
        <w:t>the admissi</w:t>
      </w:r>
      <w:r w:rsidR="00D13776" w:rsidRPr="00AF29BF">
        <w:rPr>
          <w:rFonts w:ascii="Times New Roman" w:hAnsi="Times New Roman" w:cs="Times New Roman"/>
        </w:rPr>
        <w:t>on and presentation of evidence and the</w:t>
      </w:r>
      <w:r w:rsidR="00924659" w:rsidRPr="00AF29BF">
        <w:rPr>
          <w:rFonts w:ascii="Times New Roman" w:hAnsi="Times New Roman" w:cs="Times New Roman"/>
        </w:rPr>
        <w:t xml:space="preserve"> judge would comment on </w:t>
      </w:r>
      <w:r w:rsidR="00D13776" w:rsidRPr="00AF29BF">
        <w:rPr>
          <w:rFonts w:ascii="Times New Roman" w:hAnsi="Times New Roman" w:cs="Times New Roman"/>
        </w:rPr>
        <w:t>witness</w:t>
      </w:r>
      <w:r w:rsidR="00924659" w:rsidRPr="00AF29BF">
        <w:rPr>
          <w:rFonts w:ascii="Times New Roman" w:hAnsi="Times New Roman" w:cs="Times New Roman"/>
        </w:rPr>
        <w:t xml:space="preserve"> testimony as it was being </w:t>
      </w:r>
      <w:r w:rsidR="00D13776" w:rsidRPr="00AF29BF">
        <w:rPr>
          <w:rFonts w:ascii="Times New Roman" w:hAnsi="Times New Roman" w:cs="Times New Roman"/>
        </w:rPr>
        <w:t>heard in court</w:t>
      </w:r>
      <w:r w:rsidR="00924659" w:rsidRPr="00AF29BF">
        <w:rPr>
          <w:rFonts w:ascii="Times New Roman" w:hAnsi="Times New Roman" w:cs="Times New Roman"/>
        </w:rPr>
        <w:t>.</w:t>
      </w:r>
      <w:r w:rsidR="00924659" w:rsidRPr="00AF29BF">
        <w:rPr>
          <w:rStyle w:val="FootnoteReference"/>
          <w:rFonts w:ascii="Times New Roman" w:hAnsi="Times New Roman" w:cs="Times New Roman"/>
        </w:rPr>
        <w:footnoteReference w:id="10"/>
      </w:r>
      <w:r w:rsidR="00924659" w:rsidRPr="00AF29BF">
        <w:rPr>
          <w:rFonts w:ascii="Times New Roman" w:hAnsi="Times New Roman" w:cs="Times New Roman"/>
        </w:rPr>
        <w:t xml:space="preserve"> </w:t>
      </w:r>
      <w:r w:rsidR="006D3BDF" w:rsidRPr="00AF29BF">
        <w:rPr>
          <w:rFonts w:ascii="Times New Roman" w:hAnsi="Times New Roman" w:cs="Times New Roman"/>
        </w:rPr>
        <w:t>The</w:t>
      </w:r>
      <w:r w:rsidR="00A60DFF" w:rsidRPr="00AF29BF">
        <w:rPr>
          <w:rFonts w:ascii="Times New Roman" w:hAnsi="Times New Roman" w:cs="Times New Roman"/>
        </w:rPr>
        <w:t xml:space="preserve"> prohibition on defence counsel applied to matters of fact </w:t>
      </w:r>
      <w:r w:rsidR="0012722A" w:rsidRPr="00AF29BF">
        <w:rPr>
          <w:rFonts w:ascii="Times New Roman" w:hAnsi="Times New Roman" w:cs="Times New Roman"/>
        </w:rPr>
        <w:t xml:space="preserve">rather </w:t>
      </w:r>
      <w:r w:rsidR="00A60DFF" w:rsidRPr="00AF29BF">
        <w:rPr>
          <w:rFonts w:ascii="Times New Roman" w:hAnsi="Times New Roman" w:cs="Times New Roman"/>
        </w:rPr>
        <w:t>than law. The accused was permitted to engage counsel to make submissions of law.</w:t>
      </w:r>
      <w:r w:rsidR="00A60DFF" w:rsidRPr="00AF29BF">
        <w:rPr>
          <w:rStyle w:val="FootnoteReference"/>
          <w:rFonts w:ascii="Times New Roman" w:hAnsi="Times New Roman" w:cs="Times New Roman"/>
        </w:rPr>
        <w:footnoteReference w:id="11"/>
      </w:r>
      <w:r w:rsidR="00A60DFF" w:rsidRPr="00AF29BF">
        <w:rPr>
          <w:rFonts w:ascii="Times New Roman" w:hAnsi="Times New Roman" w:cs="Times New Roman"/>
        </w:rPr>
        <w:t xml:space="preserve"> However, the vast majority of defendants raised no issues of law, save for entering a plea of not guilty. Beattie</w:t>
      </w:r>
      <w:r w:rsidR="002B1D8B" w:rsidRPr="00AF29BF">
        <w:rPr>
          <w:rStyle w:val="FootnoteReference"/>
          <w:rFonts w:ascii="Times New Roman" w:hAnsi="Times New Roman" w:cs="Times New Roman"/>
        </w:rPr>
        <w:footnoteReference w:id="12"/>
      </w:r>
      <w:r w:rsidR="00A60DFF" w:rsidRPr="00AF29BF">
        <w:rPr>
          <w:rFonts w:ascii="Times New Roman" w:hAnsi="Times New Roman" w:cs="Times New Roman"/>
        </w:rPr>
        <w:t xml:space="preserve"> illustrates that from 1740 until 1780 cases with prosecution counsel did not exceed eight per cent per annum. Whereas defence representation was seen in even fewer instances and did not exceed six per cent.</w:t>
      </w:r>
      <w:r w:rsidR="00E503B5" w:rsidRPr="00AF29BF">
        <w:rPr>
          <w:rStyle w:val="FootnoteReference"/>
          <w:rFonts w:ascii="Times New Roman" w:hAnsi="Times New Roman" w:cs="Times New Roman"/>
        </w:rPr>
        <w:footnoteReference w:id="13"/>
      </w:r>
      <w:r w:rsidR="007A0B36" w:rsidRPr="00AF29BF">
        <w:rPr>
          <w:rFonts w:ascii="Times New Roman" w:hAnsi="Times New Roman" w:cs="Times New Roman"/>
        </w:rPr>
        <w:t xml:space="preserve"> </w:t>
      </w:r>
      <w:r w:rsidR="00A60DFF" w:rsidRPr="00AF29BF">
        <w:rPr>
          <w:rFonts w:ascii="Times New Roman" w:hAnsi="Times New Roman" w:cs="Times New Roman"/>
        </w:rPr>
        <w:t>As so few defendants engaged counsel, this l</w:t>
      </w:r>
      <w:r w:rsidR="00C72455" w:rsidRPr="00AF29BF">
        <w:rPr>
          <w:rFonts w:ascii="Times New Roman" w:hAnsi="Times New Roman" w:cs="Times New Roman"/>
        </w:rPr>
        <w:t xml:space="preserve">eft the </w:t>
      </w:r>
      <w:r w:rsidR="00E503B5" w:rsidRPr="00AF29BF">
        <w:rPr>
          <w:rFonts w:ascii="Times New Roman" w:hAnsi="Times New Roman" w:cs="Times New Roman"/>
        </w:rPr>
        <w:t>judiciary</w:t>
      </w:r>
      <w:r w:rsidR="00C72455" w:rsidRPr="00AF29BF">
        <w:rPr>
          <w:rFonts w:ascii="Times New Roman" w:hAnsi="Times New Roman" w:cs="Times New Roman"/>
        </w:rPr>
        <w:t xml:space="preserve"> to </w:t>
      </w:r>
      <w:r w:rsidR="0012722A" w:rsidRPr="00AF29BF">
        <w:rPr>
          <w:rFonts w:ascii="Times New Roman" w:hAnsi="Times New Roman" w:cs="Times New Roman"/>
        </w:rPr>
        <w:t>assume the mantle of</w:t>
      </w:r>
      <w:r w:rsidR="00C72455" w:rsidRPr="00AF29BF">
        <w:rPr>
          <w:rFonts w:ascii="Times New Roman" w:hAnsi="Times New Roman" w:cs="Times New Roman"/>
        </w:rPr>
        <w:t xml:space="preserve"> counsel</w:t>
      </w:r>
      <w:r w:rsidR="00E503B5" w:rsidRPr="00AF29BF">
        <w:rPr>
          <w:rFonts w:ascii="Times New Roman" w:hAnsi="Times New Roman" w:cs="Times New Roman"/>
        </w:rPr>
        <w:t xml:space="preserve"> and </w:t>
      </w:r>
      <w:r w:rsidR="0012722A" w:rsidRPr="00AF29BF">
        <w:rPr>
          <w:rFonts w:ascii="Times New Roman" w:hAnsi="Times New Roman" w:cs="Times New Roman"/>
        </w:rPr>
        <w:t>the task was discharged</w:t>
      </w:r>
      <w:r w:rsidR="00051473" w:rsidRPr="00AF29BF">
        <w:rPr>
          <w:rFonts w:ascii="Times New Roman" w:hAnsi="Times New Roman" w:cs="Times New Roman"/>
        </w:rPr>
        <w:t xml:space="preserve"> in the most basic of fashion. T</w:t>
      </w:r>
      <w:r w:rsidR="00C72455" w:rsidRPr="00AF29BF">
        <w:rPr>
          <w:rFonts w:ascii="Times New Roman" w:hAnsi="Times New Roman" w:cs="Times New Roman"/>
        </w:rPr>
        <w:t xml:space="preserve">his did not mean the court assisted in the formulation of a defence or act as </w:t>
      </w:r>
      <w:r w:rsidR="000B14E7" w:rsidRPr="00AF29BF">
        <w:rPr>
          <w:rFonts w:ascii="Times New Roman" w:hAnsi="Times New Roman" w:cs="Times New Roman"/>
        </w:rPr>
        <w:t>advocates;</w:t>
      </w:r>
      <w:r w:rsidR="00C72455" w:rsidRPr="00AF29BF">
        <w:rPr>
          <w:rFonts w:ascii="Times New Roman" w:hAnsi="Times New Roman" w:cs="Times New Roman"/>
        </w:rPr>
        <w:t xml:space="preserve"> the</w:t>
      </w:r>
      <w:r w:rsidR="00E503B5" w:rsidRPr="00AF29BF">
        <w:rPr>
          <w:rFonts w:ascii="Times New Roman" w:hAnsi="Times New Roman" w:cs="Times New Roman"/>
        </w:rPr>
        <w:t>y</w:t>
      </w:r>
      <w:r w:rsidR="00C72455" w:rsidRPr="00AF29BF">
        <w:rPr>
          <w:rFonts w:ascii="Times New Roman" w:hAnsi="Times New Roman" w:cs="Times New Roman"/>
        </w:rPr>
        <w:t xml:space="preserve"> merely ob</w:t>
      </w:r>
      <w:r w:rsidR="006632CB" w:rsidRPr="00AF29BF">
        <w:rPr>
          <w:rFonts w:ascii="Times New Roman" w:hAnsi="Times New Roman" w:cs="Times New Roman"/>
        </w:rPr>
        <w:t>served their responsibility to e</w:t>
      </w:r>
      <w:r w:rsidR="00C72455" w:rsidRPr="00AF29BF">
        <w:rPr>
          <w:rFonts w:ascii="Times New Roman" w:hAnsi="Times New Roman" w:cs="Times New Roman"/>
        </w:rPr>
        <w:t>nsure the defendant was protect</w:t>
      </w:r>
      <w:r w:rsidR="006632CB" w:rsidRPr="00AF29BF">
        <w:rPr>
          <w:rFonts w:ascii="Times New Roman" w:hAnsi="Times New Roman" w:cs="Times New Roman"/>
        </w:rPr>
        <w:t>ed</w:t>
      </w:r>
      <w:r w:rsidR="00C72455" w:rsidRPr="00AF29BF">
        <w:rPr>
          <w:rFonts w:ascii="Times New Roman" w:hAnsi="Times New Roman" w:cs="Times New Roman"/>
        </w:rPr>
        <w:t xml:space="preserve"> from illegal procedure or faulty indictments.</w:t>
      </w:r>
      <w:r w:rsidR="00C72455" w:rsidRPr="00AF29BF">
        <w:rPr>
          <w:rStyle w:val="FootnoteReference"/>
          <w:rFonts w:ascii="Times New Roman" w:hAnsi="Times New Roman" w:cs="Times New Roman"/>
        </w:rPr>
        <w:footnoteReference w:id="14"/>
      </w:r>
    </w:p>
    <w:p w14:paraId="4848FDF8" w14:textId="77777777" w:rsidR="000B14E7" w:rsidRDefault="000B14E7" w:rsidP="00916253">
      <w:pPr>
        <w:jc w:val="both"/>
        <w:rPr>
          <w:rFonts w:ascii="Times New Roman" w:hAnsi="Times New Roman" w:cs="Times New Roman"/>
          <w:i/>
        </w:rPr>
      </w:pPr>
    </w:p>
    <w:p w14:paraId="2AFCA5F5" w14:textId="1D2FA7E7" w:rsidR="00CF4F77" w:rsidRPr="000B14E7" w:rsidRDefault="00E503B5" w:rsidP="00916253">
      <w:pPr>
        <w:jc w:val="both"/>
        <w:rPr>
          <w:rFonts w:ascii="Times New Roman" w:hAnsi="Times New Roman" w:cs="Times New Roman"/>
          <w:i/>
        </w:rPr>
      </w:pPr>
      <w:r w:rsidRPr="00AF29BF">
        <w:rPr>
          <w:rFonts w:ascii="Times New Roman" w:hAnsi="Times New Roman" w:cs="Times New Roman"/>
        </w:rPr>
        <w:t>It was the</w:t>
      </w:r>
      <w:r w:rsidR="00F82D8A" w:rsidRPr="00AF29BF">
        <w:rPr>
          <w:rFonts w:ascii="Times New Roman" w:hAnsi="Times New Roman" w:cs="Times New Roman"/>
        </w:rPr>
        <w:t xml:space="preserve"> Treason Act 1696</w:t>
      </w:r>
      <w:r w:rsidR="0019569F" w:rsidRPr="00AF29BF">
        <w:rPr>
          <w:rFonts w:ascii="Times New Roman" w:hAnsi="Times New Roman" w:cs="Times New Roman"/>
        </w:rPr>
        <w:t xml:space="preserve"> </w:t>
      </w:r>
      <w:r w:rsidRPr="00AF29BF">
        <w:rPr>
          <w:rFonts w:ascii="Times New Roman" w:hAnsi="Times New Roman" w:cs="Times New Roman"/>
        </w:rPr>
        <w:t xml:space="preserve">that first permitted </w:t>
      </w:r>
      <w:r w:rsidR="0019569F" w:rsidRPr="00AF29BF">
        <w:rPr>
          <w:rFonts w:ascii="Times New Roman" w:hAnsi="Times New Roman" w:cs="Times New Roman"/>
        </w:rPr>
        <w:t>d</w:t>
      </w:r>
      <w:r w:rsidR="00F82D8A" w:rsidRPr="00AF29BF">
        <w:rPr>
          <w:rFonts w:ascii="Times New Roman" w:hAnsi="Times New Roman" w:cs="Times New Roman"/>
        </w:rPr>
        <w:t xml:space="preserve">efendants </w:t>
      </w:r>
      <w:r w:rsidR="006632CB" w:rsidRPr="00AF29BF">
        <w:rPr>
          <w:rFonts w:ascii="Times New Roman" w:hAnsi="Times New Roman" w:cs="Times New Roman"/>
        </w:rPr>
        <w:t>to be represented at trial. However, the lifting of the prohibition only applied</w:t>
      </w:r>
      <w:r w:rsidRPr="00AF29BF">
        <w:rPr>
          <w:rFonts w:ascii="Times New Roman" w:hAnsi="Times New Roman" w:cs="Times New Roman"/>
        </w:rPr>
        <w:t xml:space="preserve"> in </w:t>
      </w:r>
      <w:r w:rsidR="00F82D8A" w:rsidRPr="00AF29BF">
        <w:rPr>
          <w:rFonts w:ascii="Times New Roman" w:hAnsi="Times New Roman" w:cs="Times New Roman"/>
        </w:rPr>
        <w:t>treason trials</w:t>
      </w:r>
      <w:r w:rsidRPr="00AF29BF">
        <w:rPr>
          <w:rFonts w:ascii="Times New Roman" w:hAnsi="Times New Roman" w:cs="Times New Roman"/>
        </w:rPr>
        <w:t xml:space="preserve"> </w:t>
      </w:r>
      <w:r w:rsidR="00CF4F77" w:rsidRPr="00AF29BF">
        <w:rPr>
          <w:rFonts w:ascii="Times New Roman" w:hAnsi="Times New Roman"/>
          <w:lang w:val="en-GB"/>
        </w:rPr>
        <w:t xml:space="preserve">and </w:t>
      </w:r>
      <w:r w:rsidR="006632CB" w:rsidRPr="00AF29BF">
        <w:rPr>
          <w:rFonts w:ascii="Times New Roman" w:hAnsi="Times New Roman"/>
          <w:lang w:val="en-GB"/>
        </w:rPr>
        <w:t>defence counsel were still</w:t>
      </w:r>
      <w:r w:rsidRPr="00AF29BF">
        <w:rPr>
          <w:rFonts w:ascii="Times New Roman" w:hAnsi="Times New Roman"/>
          <w:lang w:val="en-GB"/>
        </w:rPr>
        <w:t xml:space="preserve"> not permitted to represent defendants in</w:t>
      </w:r>
      <w:r w:rsidR="00CF4F77" w:rsidRPr="00AF29BF">
        <w:rPr>
          <w:rFonts w:ascii="Times New Roman" w:hAnsi="Times New Roman"/>
          <w:lang w:val="en-GB"/>
        </w:rPr>
        <w:t xml:space="preserve"> ordinary cases of felony.</w:t>
      </w:r>
      <w:r w:rsidR="00C82107" w:rsidRPr="00AF29BF">
        <w:rPr>
          <w:rStyle w:val="FootnoteReference"/>
          <w:rFonts w:ascii="Times New Roman" w:hAnsi="Times New Roman"/>
          <w:lang w:val="en-GB"/>
        </w:rPr>
        <w:footnoteReference w:id="15"/>
      </w:r>
      <w:r w:rsidR="00CF4F77" w:rsidRPr="00AF29BF">
        <w:rPr>
          <w:rFonts w:ascii="Times New Roman" w:hAnsi="Times New Roman"/>
          <w:lang w:val="en-GB"/>
        </w:rPr>
        <w:t xml:space="preserve"> There were </w:t>
      </w:r>
      <w:r w:rsidR="00084569" w:rsidRPr="00AF29BF">
        <w:rPr>
          <w:rFonts w:ascii="Times New Roman" w:hAnsi="Times New Roman"/>
          <w:lang w:val="en-GB"/>
        </w:rPr>
        <w:t>four</w:t>
      </w:r>
      <w:r w:rsidR="00CF4F77" w:rsidRPr="00AF29BF">
        <w:rPr>
          <w:rFonts w:ascii="Times New Roman" w:hAnsi="Times New Roman"/>
          <w:lang w:val="en-GB"/>
        </w:rPr>
        <w:t xml:space="preserve"> </w:t>
      </w:r>
      <w:r w:rsidRPr="00AF29BF">
        <w:rPr>
          <w:rFonts w:ascii="Times New Roman" w:hAnsi="Times New Roman"/>
          <w:lang w:val="en-GB"/>
        </w:rPr>
        <w:t>overarching reasons</w:t>
      </w:r>
      <w:r w:rsidR="00CF4F77" w:rsidRPr="00AF29BF">
        <w:rPr>
          <w:rFonts w:ascii="Times New Roman" w:hAnsi="Times New Roman"/>
          <w:lang w:val="en-GB"/>
        </w:rPr>
        <w:t xml:space="preserve"> that ensured treason trials were demarcated as a procedural world of their own</w:t>
      </w:r>
      <w:r w:rsidR="00C82107" w:rsidRPr="00AF29BF">
        <w:rPr>
          <w:rFonts w:ascii="Times New Roman" w:hAnsi="Times New Roman"/>
          <w:lang w:val="en-GB"/>
        </w:rPr>
        <w:t xml:space="preserve"> and permitted defence counsel</w:t>
      </w:r>
      <w:r w:rsidR="00CF4F77" w:rsidRPr="00AF29BF">
        <w:rPr>
          <w:rFonts w:ascii="Times New Roman" w:hAnsi="Times New Roman"/>
          <w:lang w:val="en-GB"/>
        </w:rPr>
        <w:t>:</w:t>
      </w:r>
      <w:r w:rsidR="00CF4F77" w:rsidRPr="00AF29BF">
        <w:rPr>
          <w:rStyle w:val="FootnoteReference"/>
          <w:rFonts w:ascii="Times New Roman" w:hAnsi="Times New Roman"/>
          <w:lang w:val="en-GB"/>
        </w:rPr>
        <w:footnoteReference w:id="16"/>
      </w:r>
    </w:p>
    <w:p w14:paraId="0A6E1E56" w14:textId="77777777" w:rsidR="006632CB" w:rsidRPr="00AF29BF" w:rsidRDefault="006632CB" w:rsidP="00916253">
      <w:pPr>
        <w:jc w:val="both"/>
        <w:rPr>
          <w:rFonts w:ascii="Times New Roman" w:hAnsi="Times New Roman"/>
          <w:lang w:val="en-GB"/>
        </w:rPr>
      </w:pPr>
    </w:p>
    <w:p w14:paraId="410660BD" w14:textId="43C8AAE7" w:rsidR="00CF4F77" w:rsidRPr="00AF29BF" w:rsidRDefault="00CF4F77" w:rsidP="00994157">
      <w:pPr>
        <w:pStyle w:val="ListParagraph"/>
        <w:numPr>
          <w:ilvl w:val="0"/>
          <w:numId w:val="7"/>
        </w:numPr>
        <w:jc w:val="both"/>
        <w:rPr>
          <w:rFonts w:ascii="Times New Roman" w:hAnsi="Times New Roman"/>
          <w:lang w:val="en-GB"/>
        </w:rPr>
      </w:pPr>
      <w:r w:rsidRPr="00AF29BF">
        <w:rPr>
          <w:rFonts w:ascii="Times New Roman" w:hAnsi="Times New Roman"/>
          <w:lang w:val="en-GB"/>
        </w:rPr>
        <w:t xml:space="preserve">Prosecutorial Imbalance: </w:t>
      </w:r>
      <w:r w:rsidR="00E503B5" w:rsidRPr="00AF29BF">
        <w:rPr>
          <w:rFonts w:ascii="Times New Roman" w:hAnsi="Times New Roman"/>
          <w:lang w:val="en-GB"/>
        </w:rPr>
        <w:t>T</w:t>
      </w:r>
      <w:r w:rsidR="00651454" w:rsidRPr="00AF29BF">
        <w:rPr>
          <w:rFonts w:ascii="Times New Roman" w:hAnsi="Times New Roman"/>
          <w:lang w:val="en-GB"/>
        </w:rPr>
        <w:t xml:space="preserve">here was an </w:t>
      </w:r>
      <w:r w:rsidRPr="00AF29BF">
        <w:rPr>
          <w:rFonts w:ascii="Times New Roman" w:hAnsi="Times New Roman"/>
          <w:lang w:val="en-GB"/>
        </w:rPr>
        <w:t xml:space="preserve">imbalance between the prosecuting lawyer and the unrepresented accused. This notion of imbalance stemmed from </w:t>
      </w:r>
      <w:r w:rsidR="00651454" w:rsidRPr="00AF29BF">
        <w:rPr>
          <w:rFonts w:ascii="Times New Roman" w:hAnsi="Times New Roman"/>
          <w:lang w:val="en-GB"/>
        </w:rPr>
        <w:t xml:space="preserve">potential </w:t>
      </w:r>
      <w:r w:rsidR="00CA1F19" w:rsidRPr="00AF29BF">
        <w:rPr>
          <w:rFonts w:ascii="Times New Roman" w:hAnsi="Times New Roman"/>
          <w:lang w:val="en-GB"/>
        </w:rPr>
        <w:t xml:space="preserve">prosecutorial misconduct, examples of this misconduct includes </w:t>
      </w:r>
      <w:r w:rsidRPr="00AF29BF">
        <w:rPr>
          <w:rFonts w:ascii="Times New Roman" w:hAnsi="Times New Roman"/>
          <w:lang w:val="en-GB"/>
        </w:rPr>
        <w:t xml:space="preserve">reliance on perjured testimony and the inequality of the procedure to convict the defendant. The prosecution were permitted to hire as </w:t>
      </w:r>
      <w:r w:rsidR="000B14E7">
        <w:rPr>
          <w:rFonts w:ascii="Times New Roman" w:hAnsi="Times New Roman"/>
          <w:lang w:val="en-GB"/>
        </w:rPr>
        <w:lastRenderedPageBreak/>
        <w:t xml:space="preserve">lawyers </w:t>
      </w:r>
      <w:r w:rsidRPr="00AF29BF">
        <w:rPr>
          <w:rFonts w:ascii="Times New Roman" w:hAnsi="Times New Roman"/>
          <w:lang w:val="en-GB"/>
        </w:rPr>
        <w:t>as required</w:t>
      </w:r>
      <w:r w:rsidR="00CA1F19" w:rsidRPr="00AF29BF">
        <w:rPr>
          <w:rFonts w:ascii="Times New Roman" w:hAnsi="Times New Roman"/>
          <w:lang w:val="en-GB"/>
        </w:rPr>
        <w:t>;</w:t>
      </w:r>
      <w:r w:rsidRPr="00AF29BF">
        <w:rPr>
          <w:rFonts w:ascii="Times New Roman" w:hAnsi="Times New Roman"/>
          <w:lang w:val="en-GB"/>
        </w:rPr>
        <w:t xml:space="preserve"> whereas the defendant was left unrepresented. In an ordinary felony</w:t>
      </w:r>
      <w:r w:rsidRPr="00AF29BF">
        <w:rPr>
          <w:rFonts w:ascii="Times New Roman" w:hAnsi="Times New Roman"/>
          <w:i/>
          <w:lang w:val="en-GB"/>
        </w:rPr>
        <w:t xml:space="preserve"> </w:t>
      </w:r>
      <w:r w:rsidRPr="00AF29BF">
        <w:rPr>
          <w:rFonts w:ascii="Times New Roman" w:hAnsi="Times New Roman"/>
          <w:lang w:val="en-GB"/>
        </w:rPr>
        <w:t>case, the victim or kin of the victim acted as the prosecutor and he was not the beneficiary of vast state resources funding the search for witnesses who supports the prosecution’s story.</w:t>
      </w:r>
    </w:p>
    <w:p w14:paraId="44813789" w14:textId="77777777" w:rsidR="006632CB" w:rsidRPr="00AF29BF" w:rsidRDefault="006632CB" w:rsidP="00916253">
      <w:pPr>
        <w:ind w:left="360"/>
        <w:jc w:val="both"/>
        <w:rPr>
          <w:rFonts w:ascii="Times New Roman" w:hAnsi="Times New Roman"/>
          <w:lang w:val="en-GB"/>
        </w:rPr>
      </w:pPr>
    </w:p>
    <w:p w14:paraId="2CBA1A83" w14:textId="36567C86" w:rsidR="00CF4F77" w:rsidRPr="00AF29BF" w:rsidRDefault="00CF4F77" w:rsidP="00994157">
      <w:pPr>
        <w:pStyle w:val="ListParagraph"/>
        <w:numPr>
          <w:ilvl w:val="0"/>
          <w:numId w:val="7"/>
        </w:numPr>
        <w:jc w:val="both"/>
        <w:rPr>
          <w:rFonts w:ascii="Times New Roman" w:hAnsi="Times New Roman"/>
          <w:lang w:val="en-GB"/>
        </w:rPr>
      </w:pPr>
      <w:r w:rsidRPr="00AF29BF">
        <w:rPr>
          <w:rFonts w:ascii="Times New Roman" w:hAnsi="Times New Roman"/>
          <w:lang w:val="en-GB"/>
        </w:rPr>
        <w:t xml:space="preserve">Judicial Bias: </w:t>
      </w:r>
      <w:r w:rsidR="00E503B5" w:rsidRPr="00AF29BF">
        <w:rPr>
          <w:rFonts w:ascii="Times New Roman" w:hAnsi="Times New Roman"/>
          <w:lang w:val="en-GB"/>
        </w:rPr>
        <w:t>As</w:t>
      </w:r>
      <w:r w:rsidRPr="00AF29BF">
        <w:rPr>
          <w:rFonts w:ascii="Times New Roman" w:hAnsi="Times New Roman"/>
          <w:lang w:val="en-GB"/>
        </w:rPr>
        <w:t xml:space="preserve"> indicated by the Stuart treason trials, the subservience of the court to the King was a problem perceived to be specific to treason trials. Most of the</w:t>
      </w:r>
      <w:r w:rsidR="00084569" w:rsidRPr="00AF29BF">
        <w:rPr>
          <w:rFonts w:ascii="Times New Roman" w:hAnsi="Times New Roman"/>
          <w:lang w:val="en-GB"/>
        </w:rPr>
        <w:t>se</w:t>
      </w:r>
      <w:r w:rsidRPr="00AF29BF">
        <w:rPr>
          <w:rFonts w:ascii="Times New Roman" w:hAnsi="Times New Roman"/>
          <w:lang w:val="en-GB"/>
        </w:rPr>
        <w:t xml:space="preserve"> trials took place in London under the watchful gaze of the </w:t>
      </w:r>
      <w:r w:rsidR="00084569" w:rsidRPr="00AF29BF">
        <w:rPr>
          <w:rFonts w:ascii="Times New Roman" w:hAnsi="Times New Roman"/>
          <w:lang w:val="en-GB"/>
        </w:rPr>
        <w:t>C</w:t>
      </w:r>
      <w:r w:rsidRPr="00AF29BF">
        <w:rPr>
          <w:rFonts w:ascii="Times New Roman" w:hAnsi="Times New Roman"/>
          <w:lang w:val="en-GB"/>
        </w:rPr>
        <w:t xml:space="preserve">rown and the judges were hand picked for the trials. </w:t>
      </w:r>
      <w:r w:rsidR="00994157" w:rsidRPr="00AF29BF">
        <w:rPr>
          <w:rFonts w:ascii="Times New Roman" w:hAnsi="Times New Roman"/>
          <w:lang w:val="en-GB"/>
        </w:rPr>
        <w:t xml:space="preserve">The </w:t>
      </w:r>
      <w:r w:rsidR="00084569" w:rsidRPr="00AF29BF">
        <w:rPr>
          <w:rFonts w:ascii="Times New Roman" w:hAnsi="Times New Roman"/>
          <w:lang w:val="en-GB"/>
        </w:rPr>
        <w:t>King</w:t>
      </w:r>
      <w:r w:rsidRPr="00AF29BF">
        <w:rPr>
          <w:rFonts w:ascii="Times New Roman" w:hAnsi="Times New Roman"/>
          <w:lang w:val="en-GB"/>
        </w:rPr>
        <w:t xml:space="preserve"> had an acute interest in the outcome of a treason </w:t>
      </w:r>
      <w:r w:rsidR="00084569" w:rsidRPr="00AF29BF">
        <w:rPr>
          <w:rFonts w:ascii="Times New Roman" w:hAnsi="Times New Roman"/>
          <w:lang w:val="en-GB"/>
        </w:rPr>
        <w:t>trial;</w:t>
      </w:r>
      <w:r w:rsidRPr="00AF29BF">
        <w:rPr>
          <w:rFonts w:ascii="Times New Roman" w:hAnsi="Times New Roman"/>
          <w:lang w:val="en-GB"/>
        </w:rPr>
        <w:t xml:space="preserve"> </w:t>
      </w:r>
      <w:r w:rsidR="004E05F1" w:rsidRPr="00AF29BF">
        <w:rPr>
          <w:rFonts w:ascii="Times New Roman" w:hAnsi="Times New Roman"/>
          <w:lang w:val="en-GB"/>
        </w:rPr>
        <w:t>he</w:t>
      </w:r>
      <w:r w:rsidRPr="00AF29BF">
        <w:rPr>
          <w:rFonts w:ascii="Times New Roman" w:hAnsi="Times New Roman"/>
          <w:lang w:val="en-GB"/>
        </w:rPr>
        <w:t xml:space="preserve"> had no direct interest in whether a defendant was</w:t>
      </w:r>
      <w:r w:rsidR="00084569" w:rsidRPr="00AF29BF">
        <w:rPr>
          <w:rFonts w:ascii="Times New Roman" w:hAnsi="Times New Roman"/>
          <w:lang w:val="en-GB"/>
        </w:rPr>
        <w:t xml:space="preserve"> found guilty of stealing sheep and therefore these lesser offences did not require assistance from defence counsel.</w:t>
      </w:r>
      <w:r w:rsidRPr="00AF29BF">
        <w:rPr>
          <w:rStyle w:val="FootnoteReference"/>
          <w:rFonts w:ascii="Times New Roman" w:hAnsi="Times New Roman"/>
          <w:lang w:val="en-GB"/>
        </w:rPr>
        <w:footnoteReference w:id="17"/>
      </w:r>
    </w:p>
    <w:p w14:paraId="1B5D4C8D" w14:textId="77777777" w:rsidR="00CF4F77" w:rsidRPr="00AF29BF" w:rsidRDefault="00CF4F77" w:rsidP="00916253">
      <w:pPr>
        <w:jc w:val="both"/>
        <w:rPr>
          <w:rFonts w:ascii="Times New Roman" w:hAnsi="Times New Roman"/>
          <w:lang w:val="en-GB"/>
        </w:rPr>
      </w:pPr>
    </w:p>
    <w:p w14:paraId="7A97E3FC" w14:textId="306CFE41" w:rsidR="00CF4F77" w:rsidRPr="00AF29BF" w:rsidRDefault="00CF4F77" w:rsidP="00994157">
      <w:pPr>
        <w:pStyle w:val="ListParagraph"/>
        <w:numPr>
          <w:ilvl w:val="0"/>
          <w:numId w:val="7"/>
        </w:numPr>
        <w:jc w:val="both"/>
        <w:rPr>
          <w:rFonts w:ascii="Times New Roman" w:hAnsi="Times New Roman"/>
          <w:lang w:val="en-GB"/>
        </w:rPr>
      </w:pPr>
      <w:r w:rsidRPr="00AF29BF">
        <w:rPr>
          <w:rFonts w:ascii="Times New Roman" w:hAnsi="Times New Roman"/>
          <w:lang w:val="en-GB"/>
        </w:rPr>
        <w:t xml:space="preserve">The Complexity: Ordinary crimes were thought to involve more reliable proofs; Burglary, stealing sheep or murder </w:t>
      </w:r>
      <w:r w:rsidR="00AE2A3B" w:rsidRPr="00AF29BF">
        <w:rPr>
          <w:rFonts w:ascii="Times New Roman" w:hAnsi="Times New Roman"/>
          <w:lang w:val="en-GB"/>
        </w:rPr>
        <w:t xml:space="preserve">are </w:t>
      </w:r>
      <w:r w:rsidRPr="00AF29BF">
        <w:rPr>
          <w:rFonts w:ascii="Times New Roman" w:hAnsi="Times New Roman"/>
          <w:lang w:val="en-GB"/>
        </w:rPr>
        <w:t xml:space="preserve"> examples of crime</w:t>
      </w:r>
      <w:r w:rsidR="00AE2A3B" w:rsidRPr="00AF29BF">
        <w:rPr>
          <w:rFonts w:ascii="Times New Roman" w:hAnsi="Times New Roman"/>
          <w:lang w:val="en-GB"/>
        </w:rPr>
        <w:t>s</w:t>
      </w:r>
      <w:r w:rsidRPr="00AF29BF">
        <w:rPr>
          <w:rFonts w:ascii="Times New Roman" w:hAnsi="Times New Roman"/>
          <w:lang w:val="en-GB"/>
        </w:rPr>
        <w:t xml:space="preserve"> that would </w:t>
      </w:r>
      <w:r w:rsidR="00314CC2" w:rsidRPr="00AF29BF">
        <w:rPr>
          <w:rFonts w:ascii="Times New Roman" w:hAnsi="Times New Roman"/>
          <w:lang w:val="en-GB"/>
        </w:rPr>
        <w:t xml:space="preserve">potentially </w:t>
      </w:r>
      <w:r w:rsidRPr="00AF29BF">
        <w:rPr>
          <w:rFonts w:ascii="Times New Roman" w:hAnsi="Times New Roman"/>
          <w:lang w:val="en-GB"/>
        </w:rPr>
        <w:t>leave witnesses or other evidence</w:t>
      </w:r>
      <w:r w:rsidR="00AE2B30" w:rsidRPr="00AF29BF">
        <w:rPr>
          <w:rFonts w:ascii="Times New Roman" w:hAnsi="Times New Roman"/>
          <w:lang w:val="en-GB"/>
        </w:rPr>
        <w:t xml:space="preserve"> whereas t</w:t>
      </w:r>
      <w:r w:rsidRPr="00AF29BF">
        <w:rPr>
          <w:rFonts w:ascii="Times New Roman" w:hAnsi="Times New Roman"/>
          <w:lang w:val="en-GB"/>
        </w:rPr>
        <w:t>he evidence in treason trials may be evidence of a person overhearing a plot to kill the King. The case of Popish Plot</w:t>
      </w:r>
      <w:r w:rsidR="00084569" w:rsidRPr="00AF29BF">
        <w:rPr>
          <w:rStyle w:val="FootnoteReference"/>
          <w:rFonts w:ascii="Times New Roman" w:hAnsi="Times New Roman"/>
          <w:lang w:val="en-GB"/>
        </w:rPr>
        <w:footnoteReference w:id="18"/>
      </w:r>
      <w:r w:rsidRPr="00AF29BF">
        <w:rPr>
          <w:rFonts w:ascii="Times New Roman" w:hAnsi="Times New Roman"/>
          <w:lang w:val="en-GB"/>
        </w:rPr>
        <w:t xml:space="preserve"> underlined the </w:t>
      </w:r>
      <w:r w:rsidR="00314CC2" w:rsidRPr="00AF29BF">
        <w:rPr>
          <w:rFonts w:ascii="Times New Roman" w:hAnsi="Times New Roman"/>
          <w:lang w:val="en-GB"/>
        </w:rPr>
        <w:t xml:space="preserve">inherent </w:t>
      </w:r>
      <w:r w:rsidRPr="00AF29BF">
        <w:rPr>
          <w:rFonts w:ascii="Times New Roman" w:hAnsi="Times New Roman"/>
          <w:lang w:val="en-GB"/>
        </w:rPr>
        <w:t xml:space="preserve">dangers of false testimony being admitted and therefore a greater propensity of evidential probing by counsel was required. It would be impossible to think an unrepresented defendant, who has no knowledge of the charge would be able to comprehend and probe the evidence the prosecution have advanced. </w:t>
      </w:r>
    </w:p>
    <w:p w14:paraId="7779E59C" w14:textId="77777777" w:rsidR="00CF4F77" w:rsidRPr="00AF29BF" w:rsidRDefault="00CF4F77" w:rsidP="00916253">
      <w:pPr>
        <w:jc w:val="both"/>
        <w:rPr>
          <w:rFonts w:ascii="Times New Roman" w:hAnsi="Times New Roman"/>
          <w:lang w:val="en-GB"/>
        </w:rPr>
      </w:pPr>
    </w:p>
    <w:p w14:paraId="45D21004" w14:textId="7C8E4205" w:rsidR="00CF4F77" w:rsidRPr="00AF29BF" w:rsidRDefault="00CF4F77" w:rsidP="00994157">
      <w:pPr>
        <w:pStyle w:val="ListParagraph"/>
        <w:numPr>
          <w:ilvl w:val="0"/>
          <w:numId w:val="7"/>
        </w:numPr>
        <w:jc w:val="both"/>
        <w:rPr>
          <w:rFonts w:ascii="Times New Roman" w:hAnsi="Times New Roman"/>
          <w:lang w:val="en-GB"/>
        </w:rPr>
      </w:pPr>
      <w:r w:rsidRPr="00AF29BF">
        <w:rPr>
          <w:rFonts w:ascii="Times New Roman" w:hAnsi="Times New Roman"/>
          <w:lang w:val="en-GB"/>
        </w:rPr>
        <w:t xml:space="preserve">Evening Up: By permitting the defendant to be represented by defence counsel the Treason Act was </w:t>
      </w:r>
      <w:r w:rsidR="00BD0FC9" w:rsidRPr="00AF29BF">
        <w:rPr>
          <w:rFonts w:ascii="Times New Roman" w:hAnsi="Times New Roman"/>
          <w:lang w:val="en-GB"/>
        </w:rPr>
        <w:t>evened</w:t>
      </w:r>
      <w:r w:rsidRPr="00AF29BF">
        <w:rPr>
          <w:rFonts w:ascii="Times New Roman" w:hAnsi="Times New Roman"/>
          <w:lang w:val="en-GB"/>
        </w:rPr>
        <w:t xml:space="preserve"> </w:t>
      </w:r>
      <w:r w:rsidR="006632CB" w:rsidRPr="00AF29BF">
        <w:rPr>
          <w:rFonts w:ascii="Times New Roman" w:hAnsi="Times New Roman"/>
          <w:lang w:val="en-GB"/>
        </w:rPr>
        <w:t>the playing field because the C</w:t>
      </w:r>
      <w:r w:rsidRPr="00AF29BF">
        <w:rPr>
          <w:rFonts w:ascii="Times New Roman" w:hAnsi="Times New Roman"/>
          <w:lang w:val="en-GB"/>
        </w:rPr>
        <w:t xml:space="preserve">rown was represented by the prosecution. </w:t>
      </w:r>
    </w:p>
    <w:p w14:paraId="1A6A9A32" w14:textId="77777777" w:rsidR="00CF4F77" w:rsidRPr="00AF29BF" w:rsidRDefault="00CF4F77" w:rsidP="00916253">
      <w:pPr>
        <w:jc w:val="both"/>
        <w:rPr>
          <w:rFonts w:ascii="Times New Roman" w:hAnsi="Times New Roman"/>
          <w:lang w:val="en-GB"/>
        </w:rPr>
      </w:pPr>
    </w:p>
    <w:p w14:paraId="268AD435" w14:textId="3B92267E" w:rsidR="001A5E19" w:rsidRPr="00AF29BF" w:rsidRDefault="00994157" w:rsidP="00916253">
      <w:pPr>
        <w:jc w:val="both"/>
        <w:rPr>
          <w:rFonts w:ascii="Times New Roman" w:hAnsi="Times New Roman"/>
          <w:lang w:val="en-GB"/>
        </w:rPr>
      </w:pPr>
      <w:r w:rsidRPr="00AF29BF">
        <w:rPr>
          <w:rFonts w:ascii="Times New Roman" w:hAnsi="Times New Roman"/>
          <w:lang w:val="en-GB"/>
        </w:rPr>
        <w:t>However, there was a</w:t>
      </w:r>
      <w:r w:rsidR="00CF4F77" w:rsidRPr="00AF29BF">
        <w:rPr>
          <w:rFonts w:ascii="Times New Roman" w:hAnsi="Times New Roman"/>
          <w:lang w:val="en-GB"/>
        </w:rPr>
        <w:t xml:space="preserve"> fundamental reason </w:t>
      </w:r>
      <w:r w:rsidRPr="00AF29BF">
        <w:rPr>
          <w:rFonts w:ascii="Times New Roman" w:hAnsi="Times New Roman"/>
          <w:lang w:val="en-GB"/>
        </w:rPr>
        <w:t>for</w:t>
      </w:r>
      <w:r w:rsidR="00CF4F77" w:rsidRPr="00AF29BF">
        <w:rPr>
          <w:rFonts w:ascii="Times New Roman" w:hAnsi="Times New Roman"/>
          <w:lang w:val="en-GB"/>
        </w:rPr>
        <w:t xml:space="preserve"> lifting of the prohibition </w:t>
      </w:r>
      <w:r w:rsidRPr="00AF29BF">
        <w:rPr>
          <w:rFonts w:ascii="Times New Roman" w:hAnsi="Times New Roman"/>
          <w:lang w:val="en-GB"/>
        </w:rPr>
        <w:t xml:space="preserve">but limiting its </w:t>
      </w:r>
      <w:r w:rsidR="00BD0FC9" w:rsidRPr="00AF29BF">
        <w:rPr>
          <w:rFonts w:ascii="Times New Roman" w:hAnsi="Times New Roman"/>
          <w:lang w:val="en-GB"/>
        </w:rPr>
        <w:t>application</w:t>
      </w:r>
      <w:r w:rsidRPr="00AF29BF">
        <w:rPr>
          <w:rFonts w:ascii="Times New Roman" w:hAnsi="Times New Roman"/>
          <w:lang w:val="en-GB"/>
        </w:rPr>
        <w:t xml:space="preserve"> to purely t</w:t>
      </w:r>
      <w:r w:rsidR="00CF4F77" w:rsidRPr="00AF29BF">
        <w:rPr>
          <w:rFonts w:ascii="Times New Roman" w:hAnsi="Times New Roman"/>
          <w:lang w:val="en-GB"/>
        </w:rPr>
        <w:t>reason trials</w:t>
      </w:r>
      <w:r w:rsidRPr="00AF29BF">
        <w:rPr>
          <w:rFonts w:ascii="Times New Roman" w:hAnsi="Times New Roman"/>
          <w:lang w:val="en-GB"/>
        </w:rPr>
        <w:t>. This</w:t>
      </w:r>
      <w:r w:rsidR="00CF4F77" w:rsidRPr="00AF29BF">
        <w:rPr>
          <w:rFonts w:ascii="Times New Roman" w:hAnsi="Times New Roman"/>
          <w:lang w:val="en-GB"/>
        </w:rPr>
        <w:t xml:space="preserve"> was an attempt</w:t>
      </w:r>
      <w:r w:rsidRPr="00AF29BF">
        <w:rPr>
          <w:rFonts w:ascii="Times New Roman" w:hAnsi="Times New Roman"/>
          <w:lang w:val="en-GB"/>
        </w:rPr>
        <w:t xml:space="preserve"> by the judiciary</w:t>
      </w:r>
      <w:r w:rsidR="00CF4F77" w:rsidRPr="00AF29BF">
        <w:rPr>
          <w:rFonts w:ascii="Times New Roman" w:hAnsi="Times New Roman"/>
          <w:lang w:val="en-GB"/>
        </w:rPr>
        <w:t xml:space="preserve"> to preserve the ‘Accused Speaks’ trial. Trials for treason were relatively rare there was no threat the permitting the defence lawyer into the court would diminish the traditional ‘accused speaks’ trial.</w:t>
      </w:r>
      <w:r w:rsidR="00084569" w:rsidRPr="00AF29BF">
        <w:rPr>
          <w:rStyle w:val="FootnoteReference"/>
          <w:rFonts w:ascii="Times New Roman" w:hAnsi="Times New Roman"/>
          <w:lang w:val="en-GB"/>
        </w:rPr>
        <w:footnoteReference w:id="19"/>
      </w:r>
      <w:r w:rsidR="00CF4F77" w:rsidRPr="00AF29BF">
        <w:rPr>
          <w:rFonts w:ascii="Times New Roman" w:hAnsi="Times New Roman"/>
          <w:lang w:val="en-GB"/>
        </w:rPr>
        <w:t xml:space="preserve"> As such the defendant would not </w:t>
      </w:r>
      <w:r w:rsidR="00314CC2" w:rsidRPr="00AF29BF">
        <w:rPr>
          <w:rFonts w:ascii="Times New Roman" w:hAnsi="Times New Roman"/>
          <w:lang w:val="en-GB"/>
        </w:rPr>
        <w:t>lose his voice in the courtroom and his status as an informational resource of the court would be preserved.</w:t>
      </w:r>
      <w:r w:rsidR="00D8693D" w:rsidRPr="00AF29BF">
        <w:rPr>
          <w:rFonts w:ascii="Times New Roman" w:hAnsi="Times New Roman"/>
          <w:lang w:val="en-GB"/>
        </w:rPr>
        <w:t xml:space="preserve"> </w:t>
      </w:r>
      <w:r w:rsidR="00BD0FC9" w:rsidRPr="00AF29BF">
        <w:rPr>
          <w:rFonts w:ascii="Times New Roman" w:hAnsi="Times New Roman"/>
          <w:lang w:val="en-GB"/>
        </w:rPr>
        <w:t>However, the</w:t>
      </w:r>
      <w:r w:rsidR="00D8693D" w:rsidRPr="00AF29BF">
        <w:rPr>
          <w:rFonts w:ascii="Times New Roman" w:hAnsi="Times New Roman"/>
          <w:lang w:val="en-GB"/>
        </w:rPr>
        <w:t xml:space="preserve"> impact of permitting defence counsel in the court room had an impact on the role of the trial judge.  </w:t>
      </w:r>
      <w:r w:rsidR="00D8693D" w:rsidRPr="00AF29BF">
        <w:rPr>
          <w:rFonts w:ascii="Times New Roman" w:hAnsi="Times New Roman" w:cs="Times New Roman"/>
        </w:rPr>
        <w:t>Ultimately, the</w:t>
      </w:r>
      <w:r w:rsidR="00084569" w:rsidRPr="00AF29BF">
        <w:rPr>
          <w:rFonts w:ascii="Times New Roman" w:hAnsi="Times New Roman" w:cs="Times New Roman"/>
        </w:rPr>
        <w:t xml:space="preserve"> evolving prom</w:t>
      </w:r>
      <w:r w:rsidR="00D8693D" w:rsidRPr="00AF29BF">
        <w:rPr>
          <w:rFonts w:ascii="Times New Roman" w:hAnsi="Times New Roman" w:cs="Times New Roman"/>
        </w:rPr>
        <w:t xml:space="preserve">inence of the defence lawyer </w:t>
      </w:r>
      <w:r w:rsidR="00314CC2" w:rsidRPr="00AF29BF">
        <w:rPr>
          <w:rFonts w:ascii="Times New Roman" w:hAnsi="Times New Roman" w:cs="Times New Roman"/>
        </w:rPr>
        <w:t xml:space="preserve">diluted the role of </w:t>
      </w:r>
      <w:r w:rsidR="00084569" w:rsidRPr="00AF29BF">
        <w:rPr>
          <w:rFonts w:ascii="Times New Roman" w:hAnsi="Times New Roman" w:cs="Times New Roman"/>
        </w:rPr>
        <w:t xml:space="preserve">the judiciary; it diminished the role </w:t>
      </w:r>
      <w:r w:rsidR="00AE2A3B" w:rsidRPr="00AF29BF">
        <w:rPr>
          <w:rFonts w:ascii="Times New Roman" w:hAnsi="Times New Roman" w:cs="Times New Roman"/>
        </w:rPr>
        <w:t xml:space="preserve">that judges </w:t>
      </w:r>
      <w:r w:rsidR="00084569" w:rsidRPr="00AF29BF">
        <w:rPr>
          <w:rFonts w:ascii="Times New Roman" w:hAnsi="Times New Roman" w:cs="Times New Roman"/>
        </w:rPr>
        <w:t>played in</w:t>
      </w:r>
      <w:r w:rsidR="00990842" w:rsidRPr="00AF29BF">
        <w:rPr>
          <w:rFonts w:ascii="Times New Roman" w:hAnsi="Times New Roman" w:cs="Times New Roman"/>
        </w:rPr>
        <w:t xml:space="preserve"> </w:t>
      </w:r>
      <w:r w:rsidR="007A0B36" w:rsidRPr="00AF29BF">
        <w:rPr>
          <w:rFonts w:ascii="Times New Roman" w:hAnsi="Times New Roman" w:cs="Times New Roman"/>
        </w:rPr>
        <w:t>proceedings</w:t>
      </w:r>
      <w:r w:rsidR="00A66970" w:rsidRPr="00AF29BF">
        <w:rPr>
          <w:rFonts w:ascii="Times New Roman" w:hAnsi="Times New Roman" w:cs="Times New Roman"/>
        </w:rPr>
        <w:t xml:space="preserve">. </w:t>
      </w:r>
      <w:r w:rsidR="00314CC2" w:rsidRPr="00AF29BF">
        <w:rPr>
          <w:rFonts w:ascii="Times New Roman" w:hAnsi="Times New Roman" w:cs="Times New Roman"/>
        </w:rPr>
        <w:t>The</w:t>
      </w:r>
      <w:r w:rsidR="00084569" w:rsidRPr="00AF29BF">
        <w:rPr>
          <w:rFonts w:ascii="Times New Roman" w:hAnsi="Times New Roman" w:cs="Times New Roman"/>
        </w:rPr>
        <w:t xml:space="preserve"> </w:t>
      </w:r>
      <w:r w:rsidR="0034210C" w:rsidRPr="00AF29BF">
        <w:rPr>
          <w:rFonts w:ascii="Times New Roman" w:hAnsi="Times New Roman" w:cs="Times New Roman"/>
        </w:rPr>
        <w:t>changing trial process prompted</w:t>
      </w:r>
      <w:r w:rsidR="00A66970" w:rsidRPr="00AF29BF">
        <w:rPr>
          <w:rFonts w:ascii="Times New Roman" w:hAnsi="Times New Roman" w:cs="Times New Roman"/>
        </w:rPr>
        <w:t xml:space="preserve"> criticism from James </w:t>
      </w:r>
      <w:proofErr w:type="spellStart"/>
      <w:r w:rsidR="00A66970" w:rsidRPr="00AF29BF">
        <w:rPr>
          <w:rFonts w:ascii="Times New Roman" w:hAnsi="Times New Roman" w:cs="Times New Roman"/>
        </w:rPr>
        <w:t>Fitzjames</w:t>
      </w:r>
      <w:proofErr w:type="spellEnd"/>
      <w:r w:rsidR="00A66970" w:rsidRPr="00AF29BF">
        <w:rPr>
          <w:rFonts w:ascii="Times New Roman" w:hAnsi="Times New Roman" w:cs="Times New Roman"/>
        </w:rPr>
        <w:t xml:space="preserve"> Stephen who thought </w:t>
      </w:r>
      <w:r w:rsidR="0034210C" w:rsidRPr="00AF29BF">
        <w:rPr>
          <w:rFonts w:ascii="Times New Roman" w:hAnsi="Times New Roman" w:cs="Times New Roman"/>
        </w:rPr>
        <w:t xml:space="preserve">the law manifestly unfair as certain </w:t>
      </w:r>
      <w:r w:rsidR="00BD0FC9" w:rsidRPr="00AF29BF">
        <w:rPr>
          <w:rFonts w:ascii="Times New Roman" w:hAnsi="Times New Roman" w:cs="Times New Roman"/>
        </w:rPr>
        <w:t>offences</w:t>
      </w:r>
      <w:r w:rsidR="0034210C" w:rsidRPr="00AF29BF">
        <w:rPr>
          <w:rFonts w:ascii="Times New Roman" w:hAnsi="Times New Roman" w:cs="Times New Roman"/>
        </w:rPr>
        <w:t xml:space="preserve"> were allowed defence representation but other</w:t>
      </w:r>
      <w:r w:rsidR="00BD0FC9" w:rsidRPr="00AF29BF">
        <w:rPr>
          <w:rFonts w:ascii="Times New Roman" w:hAnsi="Times New Roman" w:cs="Times New Roman"/>
        </w:rPr>
        <w:t>s</w:t>
      </w:r>
      <w:r w:rsidR="0034210C" w:rsidRPr="00AF29BF">
        <w:rPr>
          <w:rFonts w:ascii="Times New Roman" w:hAnsi="Times New Roman" w:cs="Times New Roman"/>
        </w:rPr>
        <w:t xml:space="preserve"> were not afforded such a right</w:t>
      </w:r>
      <w:r w:rsidR="00BD0FC9" w:rsidRPr="00AF29BF">
        <w:rPr>
          <w:rFonts w:ascii="Times New Roman" w:hAnsi="Times New Roman" w:cs="Times New Roman"/>
        </w:rPr>
        <w:t>, solely due to the crime the accused committed</w:t>
      </w:r>
      <w:r w:rsidR="0034210C" w:rsidRPr="00AF29BF">
        <w:rPr>
          <w:rFonts w:ascii="Times New Roman" w:hAnsi="Times New Roman" w:cs="Times New Roman"/>
        </w:rPr>
        <w:t xml:space="preserve">. He said </w:t>
      </w:r>
      <w:r w:rsidR="00047039" w:rsidRPr="00AF29BF">
        <w:rPr>
          <w:rFonts w:ascii="Times New Roman" w:hAnsi="Times New Roman" w:cs="Times New Roman"/>
        </w:rPr>
        <w:t>‘[I]</w:t>
      </w:r>
      <w:r w:rsidR="00A66970" w:rsidRPr="00AF29BF">
        <w:rPr>
          <w:rFonts w:ascii="Times New Roman" w:hAnsi="Times New Roman" w:cs="Times New Roman"/>
        </w:rPr>
        <w:t xml:space="preserve">t was a matter of direct personal </w:t>
      </w:r>
      <w:r w:rsidR="00047039" w:rsidRPr="00AF29BF">
        <w:rPr>
          <w:rFonts w:ascii="Times New Roman" w:hAnsi="Times New Roman" w:cs="Times New Roman"/>
        </w:rPr>
        <w:t>interest to</w:t>
      </w:r>
      <w:r w:rsidR="00A66970" w:rsidRPr="00AF29BF">
        <w:rPr>
          <w:rFonts w:ascii="Times New Roman" w:hAnsi="Times New Roman" w:cs="Times New Roman"/>
        </w:rPr>
        <w:t xml:space="preserve"> many members of parliament that trials for political offences </w:t>
      </w:r>
      <w:r w:rsidR="00047039" w:rsidRPr="00AF29BF">
        <w:rPr>
          <w:rFonts w:ascii="Times New Roman" w:hAnsi="Times New Roman" w:cs="Times New Roman"/>
        </w:rPr>
        <w:t>should</w:t>
      </w:r>
      <w:r w:rsidR="00A66970" w:rsidRPr="00AF29BF">
        <w:rPr>
          <w:rFonts w:ascii="Times New Roman" w:hAnsi="Times New Roman" w:cs="Times New Roman"/>
        </w:rPr>
        <w:t xml:space="preserve"> not be grossly unfair </w:t>
      </w:r>
      <w:r w:rsidR="00047039" w:rsidRPr="00AF29BF">
        <w:rPr>
          <w:rFonts w:ascii="Times New Roman" w:hAnsi="Times New Roman" w:cs="Times New Roman"/>
        </w:rPr>
        <w:t xml:space="preserve">but they were indifferent as to the fate [of those] accused of sheep-stealing, </w:t>
      </w:r>
      <w:r w:rsidR="00047039" w:rsidRPr="00AF29BF">
        <w:rPr>
          <w:rFonts w:ascii="Times New Roman" w:hAnsi="Times New Roman" w:cs="Times New Roman"/>
        </w:rPr>
        <w:lastRenderedPageBreak/>
        <w:t>burglary and murder.’</w:t>
      </w:r>
      <w:r w:rsidR="00047039" w:rsidRPr="00AF29BF">
        <w:rPr>
          <w:rStyle w:val="FootnoteReference"/>
          <w:rFonts w:ascii="Times New Roman" w:hAnsi="Times New Roman" w:cs="Times New Roman"/>
        </w:rPr>
        <w:footnoteReference w:id="20"/>
      </w:r>
      <w:r w:rsidR="00047039" w:rsidRPr="00AF29BF">
        <w:rPr>
          <w:rFonts w:ascii="Times New Roman" w:hAnsi="Times New Roman" w:cs="Times New Roman"/>
        </w:rPr>
        <w:t xml:space="preserve"> By 1730 Stephen’s</w:t>
      </w:r>
      <w:r w:rsidR="00A465D9" w:rsidRPr="00AF29BF">
        <w:rPr>
          <w:rFonts w:ascii="Times New Roman" w:hAnsi="Times New Roman" w:cs="Times New Roman"/>
        </w:rPr>
        <w:t xml:space="preserve"> criticism had been alleviated </w:t>
      </w:r>
      <w:r w:rsidR="00CE79DD" w:rsidRPr="00AF29BF">
        <w:rPr>
          <w:rFonts w:ascii="Times New Roman" w:hAnsi="Times New Roman" w:cs="Times New Roman"/>
        </w:rPr>
        <w:t>and defence representation was now permitted in ordinary felony trials. Prosecution lawyers had become increasingly involved in such cases and the judges of 1730s allowed defendants the assistance of counsel to probe evidence advance by prosecution lawyers.</w:t>
      </w:r>
      <w:r w:rsidR="00CE79DD" w:rsidRPr="00AF29BF">
        <w:rPr>
          <w:rStyle w:val="FootnoteReference"/>
          <w:rFonts w:ascii="Times New Roman" w:hAnsi="Times New Roman" w:cs="Times New Roman"/>
        </w:rPr>
        <w:footnoteReference w:id="21"/>
      </w:r>
      <w:r w:rsidR="00395B5A" w:rsidRPr="00AF29BF">
        <w:rPr>
          <w:rFonts w:ascii="Times New Roman" w:hAnsi="Times New Roman" w:cs="Times New Roman"/>
        </w:rPr>
        <w:t xml:space="preserve"> With the 1730s ushering in the era of the </w:t>
      </w:r>
      <w:r w:rsidR="0034210C" w:rsidRPr="00AF29BF">
        <w:rPr>
          <w:rFonts w:ascii="Times New Roman" w:hAnsi="Times New Roman" w:cs="Times New Roman"/>
        </w:rPr>
        <w:t xml:space="preserve">early </w:t>
      </w:r>
      <w:r w:rsidR="00395B5A" w:rsidRPr="00AF29BF">
        <w:rPr>
          <w:rFonts w:ascii="Times New Roman" w:hAnsi="Times New Roman" w:cs="Times New Roman"/>
        </w:rPr>
        <w:t>adversarial trial, the role of the judiciary had</w:t>
      </w:r>
      <w:r w:rsidR="00314CC2" w:rsidRPr="00AF29BF">
        <w:rPr>
          <w:rFonts w:ascii="Times New Roman" w:hAnsi="Times New Roman" w:cs="Times New Roman"/>
        </w:rPr>
        <w:t xml:space="preserve"> been</w:t>
      </w:r>
      <w:r w:rsidR="00395B5A" w:rsidRPr="00AF29BF">
        <w:rPr>
          <w:rFonts w:ascii="Times New Roman" w:hAnsi="Times New Roman" w:cs="Times New Roman"/>
        </w:rPr>
        <w:t xml:space="preserve"> </w:t>
      </w:r>
      <w:r w:rsidR="00314CC2" w:rsidRPr="00AF29BF">
        <w:rPr>
          <w:rFonts w:ascii="Times New Roman" w:hAnsi="Times New Roman" w:cs="Times New Roman"/>
        </w:rPr>
        <w:t>drastically</w:t>
      </w:r>
      <w:r w:rsidR="00395B5A" w:rsidRPr="00AF29BF">
        <w:rPr>
          <w:rFonts w:ascii="Times New Roman" w:hAnsi="Times New Roman" w:cs="Times New Roman"/>
        </w:rPr>
        <w:t xml:space="preserve"> altered.</w:t>
      </w:r>
      <w:r w:rsidR="006E2BEA" w:rsidRPr="00AF29BF">
        <w:rPr>
          <w:rFonts w:ascii="Times New Roman" w:hAnsi="Times New Roman" w:cs="Times New Roman"/>
        </w:rPr>
        <w:t xml:space="preserve"> In the sixteenth and </w:t>
      </w:r>
      <w:r w:rsidR="006632CB" w:rsidRPr="00AF29BF">
        <w:rPr>
          <w:rFonts w:ascii="Times New Roman" w:hAnsi="Times New Roman" w:cs="Times New Roman"/>
        </w:rPr>
        <w:t xml:space="preserve">early </w:t>
      </w:r>
      <w:r w:rsidR="006E2BEA" w:rsidRPr="00AF29BF">
        <w:rPr>
          <w:rFonts w:ascii="Times New Roman" w:hAnsi="Times New Roman" w:cs="Times New Roman"/>
        </w:rPr>
        <w:t>seventeenth centuries, both the admission and presentation of the evidence was the responsibility of the judge.</w:t>
      </w:r>
      <w:r w:rsidR="00395B5A" w:rsidRPr="00AF29BF">
        <w:rPr>
          <w:rStyle w:val="FootnoteReference"/>
          <w:rFonts w:ascii="Times New Roman" w:hAnsi="Times New Roman" w:cs="Times New Roman"/>
        </w:rPr>
        <w:footnoteReference w:id="22"/>
      </w:r>
      <w:r w:rsidR="00395B5A" w:rsidRPr="00AF29BF">
        <w:rPr>
          <w:rFonts w:ascii="Times New Roman" w:hAnsi="Times New Roman" w:cs="Times New Roman"/>
        </w:rPr>
        <w:t xml:space="preserve"> </w:t>
      </w:r>
      <w:r w:rsidR="002E3D0B" w:rsidRPr="00AF29BF">
        <w:rPr>
          <w:rFonts w:ascii="Times New Roman" w:hAnsi="Times New Roman" w:cs="Times New Roman"/>
        </w:rPr>
        <w:t xml:space="preserve">Prior to the </w:t>
      </w:r>
      <w:r w:rsidR="00BD0FC9" w:rsidRPr="00AF29BF">
        <w:rPr>
          <w:rFonts w:ascii="Times New Roman" w:hAnsi="Times New Roman" w:cs="Times New Roman"/>
        </w:rPr>
        <w:t>introduction</w:t>
      </w:r>
      <w:r w:rsidR="002E3D0B" w:rsidRPr="00AF29BF">
        <w:rPr>
          <w:rFonts w:ascii="Times New Roman" w:hAnsi="Times New Roman" w:cs="Times New Roman"/>
        </w:rPr>
        <w:t xml:space="preserve"> of the adversarial trial the judiciary were highly proactive and </w:t>
      </w:r>
      <w:r w:rsidR="006632CB" w:rsidRPr="00AF29BF">
        <w:rPr>
          <w:rFonts w:ascii="Times New Roman" w:hAnsi="Times New Roman" w:cs="Times New Roman"/>
        </w:rPr>
        <w:t>would take</w:t>
      </w:r>
      <w:r w:rsidR="002E3D0B" w:rsidRPr="00AF29BF">
        <w:rPr>
          <w:rFonts w:ascii="Times New Roman" w:hAnsi="Times New Roman" w:cs="Times New Roman"/>
        </w:rPr>
        <w:t xml:space="preserve"> witness</w:t>
      </w:r>
      <w:r w:rsidR="006E2BEA" w:rsidRPr="00AF29BF">
        <w:rPr>
          <w:rFonts w:ascii="Times New Roman" w:hAnsi="Times New Roman" w:cs="Times New Roman"/>
        </w:rPr>
        <w:t>es</w:t>
      </w:r>
      <w:r w:rsidR="002E3D0B" w:rsidRPr="00AF29BF">
        <w:rPr>
          <w:rFonts w:ascii="Times New Roman" w:hAnsi="Times New Roman" w:cs="Times New Roman"/>
        </w:rPr>
        <w:t xml:space="preserve"> through their testimony, often line-by-line, acting as both the prosecutor and cross-examiner.</w:t>
      </w:r>
      <w:r w:rsidR="002E3D0B" w:rsidRPr="00AF29BF">
        <w:rPr>
          <w:rStyle w:val="FootnoteReference"/>
          <w:rFonts w:ascii="Times New Roman" w:hAnsi="Times New Roman" w:cs="Times New Roman"/>
        </w:rPr>
        <w:footnoteReference w:id="23"/>
      </w:r>
      <w:r w:rsidR="0090184C" w:rsidRPr="00AF29BF">
        <w:rPr>
          <w:rFonts w:ascii="Times New Roman" w:hAnsi="Times New Roman" w:cs="Times New Roman"/>
        </w:rPr>
        <w:t xml:space="preserve"> </w:t>
      </w:r>
      <w:r w:rsidR="002E3D0B" w:rsidRPr="00AF29BF">
        <w:rPr>
          <w:rFonts w:ascii="Times New Roman" w:hAnsi="Times New Roman" w:cs="Times New Roman"/>
        </w:rPr>
        <w:t>However, with the proficiency of the lawyers at adducing evidence, the judiciary began to</w:t>
      </w:r>
      <w:r w:rsidR="00DA1953" w:rsidRPr="00AF29BF">
        <w:rPr>
          <w:rFonts w:ascii="Times New Roman" w:hAnsi="Times New Roman" w:cs="Times New Roman"/>
          <w:lang w:val="en-GB"/>
        </w:rPr>
        <w:t xml:space="preserve"> </w:t>
      </w:r>
      <w:r w:rsidR="006E2BEA" w:rsidRPr="00AF29BF">
        <w:rPr>
          <w:rFonts w:ascii="Times New Roman" w:hAnsi="Times New Roman" w:cs="Times New Roman"/>
          <w:lang w:val="en-GB"/>
        </w:rPr>
        <w:t xml:space="preserve">adopt </w:t>
      </w:r>
      <w:r w:rsidR="006E2BEA" w:rsidRPr="00AF29BF">
        <w:rPr>
          <w:rFonts w:ascii="Times New Roman" w:hAnsi="Times New Roman" w:cs="Times New Roman"/>
        </w:rPr>
        <w:t>a</w:t>
      </w:r>
      <w:r w:rsidR="00BD0FC9" w:rsidRPr="00AF29BF">
        <w:rPr>
          <w:rFonts w:ascii="Times New Roman" w:hAnsi="Times New Roman" w:cs="Times New Roman"/>
        </w:rPr>
        <w:t xml:space="preserve">n increasingly </w:t>
      </w:r>
      <w:r w:rsidR="002E3D0B" w:rsidRPr="00AF29BF">
        <w:rPr>
          <w:rFonts w:ascii="Times New Roman" w:hAnsi="Times New Roman" w:cs="Times New Roman"/>
        </w:rPr>
        <w:t xml:space="preserve">passive </w:t>
      </w:r>
      <w:r w:rsidR="0034210C" w:rsidRPr="00AF29BF">
        <w:rPr>
          <w:rFonts w:ascii="Times New Roman" w:hAnsi="Times New Roman" w:cs="Times New Roman"/>
        </w:rPr>
        <w:t xml:space="preserve">role in </w:t>
      </w:r>
      <w:r w:rsidR="002E3D0B" w:rsidRPr="00AF29BF">
        <w:rPr>
          <w:rFonts w:ascii="Times New Roman" w:hAnsi="Times New Roman" w:cs="Times New Roman"/>
        </w:rPr>
        <w:t xml:space="preserve">proceedings. Charles </w:t>
      </w:r>
      <w:proofErr w:type="spellStart"/>
      <w:r w:rsidR="002E3D0B" w:rsidRPr="00AF29BF">
        <w:rPr>
          <w:rFonts w:ascii="Times New Roman" w:hAnsi="Times New Roman" w:cs="Times New Roman"/>
        </w:rPr>
        <w:t>Cottu</w:t>
      </w:r>
      <w:proofErr w:type="spellEnd"/>
      <w:r w:rsidR="002E3D0B" w:rsidRPr="00AF29BF">
        <w:rPr>
          <w:rFonts w:ascii="Times New Roman" w:hAnsi="Times New Roman" w:cs="Times New Roman"/>
        </w:rPr>
        <w:t xml:space="preserve"> remark</w:t>
      </w:r>
      <w:r w:rsidR="0034210C" w:rsidRPr="00AF29BF">
        <w:rPr>
          <w:rFonts w:ascii="Times New Roman" w:hAnsi="Times New Roman" w:cs="Times New Roman"/>
        </w:rPr>
        <w:t>ed</w:t>
      </w:r>
      <w:r w:rsidR="002E3D0B" w:rsidRPr="00AF29BF">
        <w:rPr>
          <w:rFonts w:ascii="Times New Roman" w:hAnsi="Times New Roman" w:cs="Times New Roman"/>
        </w:rPr>
        <w:t xml:space="preserve"> that the</w:t>
      </w:r>
      <w:r w:rsidR="006632CB" w:rsidRPr="00AF29BF">
        <w:rPr>
          <w:rFonts w:ascii="Times New Roman" w:hAnsi="Times New Roman" w:cs="Times New Roman"/>
        </w:rPr>
        <w:t xml:space="preserve"> early adversarial</w:t>
      </w:r>
      <w:r w:rsidR="002E3D0B" w:rsidRPr="00AF29BF">
        <w:rPr>
          <w:rFonts w:ascii="Times New Roman" w:hAnsi="Times New Roman" w:cs="Times New Roman"/>
        </w:rPr>
        <w:t xml:space="preserve"> English trial judge ‘remains almost </w:t>
      </w:r>
      <w:r w:rsidR="006632CB" w:rsidRPr="00AF29BF">
        <w:rPr>
          <w:rFonts w:ascii="Times New Roman" w:hAnsi="Times New Roman" w:cs="Times New Roman"/>
        </w:rPr>
        <w:t>a stranger to what is going on’</w:t>
      </w:r>
      <w:r w:rsidR="002E3D0B" w:rsidRPr="00AF29BF">
        <w:rPr>
          <w:rStyle w:val="FootnoteReference"/>
          <w:rFonts w:ascii="Times New Roman" w:hAnsi="Times New Roman" w:cs="Times New Roman"/>
        </w:rPr>
        <w:footnoteReference w:id="24"/>
      </w:r>
      <w:r w:rsidR="006632CB" w:rsidRPr="00AF29BF">
        <w:rPr>
          <w:rFonts w:ascii="Times New Roman" w:hAnsi="Times New Roman" w:cs="Times New Roman"/>
        </w:rPr>
        <w:t xml:space="preserve"> during the process of cross-examination.</w:t>
      </w:r>
      <w:r w:rsidR="0090184C" w:rsidRPr="00AF29BF">
        <w:rPr>
          <w:rFonts w:ascii="Times New Roman" w:hAnsi="Times New Roman" w:cs="Times New Roman"/>
        </w:rPr>
        <w:t xml:space="preserve"> Throughout the period of altercation trials, the judiciary led fact-finding because nobody else could.</w:t>
      </w:r>
      <w:r w:rsidR="0090184C" w:rsidRPr="00AF29BF">
        <w:rPr>
          <w:rStyle w:val="FootnoteReference"/>
          <w:rFonts w:ascii="Times New Roman" w:hAnsi="Times New Roman" w:cs="Times New Roman"/>
        </w:rPr>
        <w:footnoteReference w:id="25"/>
      </w:r>
      <w:r w:rsidR="0090184C" w:rsidRPr="00AF29BF">
        <w:rPr>
          <w:rFonts w:ascii="Times New Roman" w:hAnsi="Times New Roman" w:cs="Times New Roman"/>
        </w:rPr>
        <w:t xml:space="preserve"> </w:t>
      </w:r>
      <w:r w:rsidR="006632CB" w:rsidRPr="00AF29BF">
        <w:rPr>
          <w:rFonts w:ascii="Times New Roman" w:hAnsi="Times New Roman" w:cs="Times New Roman"/>
        </w:rPr>
        <w:t>In</w:t>
      </w:r>
      <w:r w:rsidR="0090184C" w:rsidRPr="00AF29BF">
        <w:rPr>
          <w:rFonts w:ascii="Times New Roman" w:hAnsi="Times New Roman" w:cs="Times New Roman"/>
        </w:rPr>
        <w:t xml:space="preserve"> the more lawyer-dominated proceedings the judiciary compared </w:t>
      </w:r>
      <w:r w:rsidR="0034210C" w:rsidRPr="00AF29BF">
        <w:rPr>
          <w:rFonts w:ascii="Times New Roman" w:hAnsi="Times New Roman" w:cs="Times New Roman"/>
        </w:rPr>
        <w:t>poorly</w:t>
      </w:r>
      <w:r w:rsidR="00AE2B30" w:rsidRPr="00AF29BF">
        <w:rPr>
          <w:rFonts w:ascii="Times New Roman" w:hAnsi="Times New Roman" w:cs="Times New Roman"/>
        </w:rPr>
        <w:t xml:space="preserve"> when compared to the skills of the lawyers</w:t>
      </w:r>
      <w:r w:rsidR="0034210C" w:rsidRPr="00AF29BF">
        <w:rPr>
          <w:rFonts w:ascii="Times New Roman" w:hAnsi="Times New Roman" w:cs="Times New Roman"/>
        </w:rPr>
        <w:t xml:space="preserve">. The adversarial setting allowed counsel to be better </w:t>
      </w:r>
      <w:r w:rsidR="0090184C" w:rsidRPr="00AF29BF">
        <w:rPr>
          <w:rFonts w:ascii="Times New Roman" w:hAnsi="Times New Roman" w:cs="Times New Roman"/>
        </w:rPr>
        <w:t xml:space="preserve">prepared to adduce evidence as they had the </w:t>
      </w:r>
      <w:r w:rsidR="0034210C" w:rsidRPr="00AF29BF">
        <w:rPr>
          <w:rFonts w:ascii="Times New Roman" w:hAnsi="Times New Roman" w:cs="Times New Roman"/>
        </w:rPr>
        <w:t xml:space="preserve">vast </w:t>
      </w:r>
      <w:r w:rsidR="0090184C" w:rsidRPr="00AF29BF">
        <w:rPr>
          <w:rFonts w:ascii="Times New Roman" w:hAnsi="Times New Roman" w:cs="Times New Roman"/>
        </w:rPr>
        <w:t xml:space="preserve">benefit of pre-trial preparation. As such, this left the </w:t>
      </w:r>
      <w:r w:rsidR="006E2BEA" w:rsidRPr="00AF29BF">
        <w:rPr>
          <w:rFonts w:ascii="Times New Roman" w:hAnsi="Times New Roman" w:cs="Times New Roman"/>
        </w:rPr>
        <w:t>judge</w:t>
      </w:r>
      <w:r w:rsidR="0090184C" w:rsidRPr="00AF29BF">
        <w:rPr>
          <w:rFonts w:ascii="Times New Roman" w:hAnsi="Times New Roman" w:cs="Times New Roman"/>
        </w:rPr>
        <w:t xml:space="preserve"> at a stark disadvantage and he slipped quietly into the background. The once prominent </w:t>
      </w:r>
      <w:r w:rsidR="003313D2" w:rsidRPr="00AF29BF">
        <w:rPr>
          <w:rFonts w:ascii="Times New Roman" w:hAnsi="Times New Roman" w:cs="Times New Roman"/>
        </w:rPr>
        <w:t>participant</w:t>
      </w:r>
      <w:r w:rsidR="0090184C" w:rsidRPr="00AF29BF">
        <w:rPr>
          <w:rFonts w:ascii="Times New Roman" w:hAnsi="Times New Roman" w:cs="Times New Roman"/>
        </w:rPr>
        <w:t xml:space="preserve"> had been relegated to the role of passive observer in the new era of the adversarial criminal trial.  </w:t>
      </w:r>
    </w:p>
    <w:p w14:paraId="2E55CE80" w14:textId="77777777" w:rsidR="0034210C" w:rsidRPr="00AF29BF" w:rsidRDefault="0034210C" w:rsidP="00916253">
      <w:pPr>
        <w:jc w:val="both"/>
        <w:rPr>
          <w:rFonts w:ascii="Times New Roman" w:hAnsi="Times New Roman" w:cs="Times New Roman"/>
        </w:rPr>
      </w:pPr>
    </w:p>
    <w:p w14:paraId="36FBB23F" w14:textId="1EDF303C" w:rsidR="001A5E19" w:rsidRPr="00AF29BF" w:rsidRDefault="00627CE3" w:rsidP="00916253">
      <w:pPr>
        <w:pStyle w:val="ListParagraph"/>
        <w:numPr>
          <w:ilvl w:val="0"/>
          <w:numId w:val="1"/>
        </w:numPr>
        <w:jc w:val="both"/>
        <w:rPr>
          <w:rFonts w:ascii="Times New Roman" w:hAnsi="Times New Roman" w:cs="Times New Roman"/>
          <w:b/>
          <w:sz w:val="28"/>
          <w:szCs w:val="28"/>
        </w:rPr>
      </w:pPr>
      <w:r w:rsidRPr="00AF29BF">
        <w:rPr>
          <w:rFonts w:ascii="Times New Roman" w:hAnsi="Times New Roman" w:cs="Times New Roman"/>
          <w:b/>
          <w:sz w:val="28"/>
          <w:szCs w:val="28"/>
        </w:rPr>
        <w:t>The Lawyer Dominated Trial</w:t>
      </w:r>
    </w:p>
    <w:p w14:paraId="6286B782" w14:textId="31A482EB" w:rsidR="00627CE3" w:rsidRPr="00AF29BF" w:rsidRDefault="00627CE3" w:rsidP="00916253">
      <w:pPr>
        <w:jc w:val="both"/>
        <w:rPr>
          <w:rFonts w:ascii="Times New Roman" w:hAnsi="Times New Roman" w:cs="Times New Roman"/>
          <w:b/>
        </w:rPr>
      </w:pPr>
    </w:p>
    <w:p w14:paraId="28059E1A" w14:textId="0451478C" w:rsidR="00767399" w:rsidRPr="008963FC" w:rsidRDefault="009C61E4" w:rsidP="00916253">
      <w:pPr>
        <w:jc w:val="both"/>
        <w:rPr>
          <w:rFonts w:ascii="Times New Roman" w:hAnsi="Times New Roman" w:cs="Times New Roman"/>
        </w:rPr>
      </w:pPr>
      <w:r w:rsidRPr="00AF29BF">
        <w:rPr>
          <w:rFonts w:ascii="Times New Roman" w:hAnsi="Times New Roman" w:cs="Times New Roman"/>
        </w:rPr>
        <w:t xml:space="preserve">With the advent of the adversarial criminal trial, the defence lawyer </w:t>
      </w:r>
      <w:r w:rsidR="00D15D28" w:rsidRPr="00AF29BF">
        <w:rPr>
          <w:rFonts w:ascii="Times New Roman" w:hAnsi="Times New Roman" w:cs="Times New Roman"/>
        </w:rPr>
        <w:t xml:space="preserve">assumed a more dominant role in </w:t>
      </w:r>
      <w:r w:rsidRPr="00AF29BF">
        <w:rPr>
          <w:rFonts w:ascii="Times New Roman" w:hAnsi="Times New Roman" w:cs="Times New Roman"/>
        </w:rPr>
        <w:t>proceedings. Initially</w:t>
      </w:r>
      <w:r w:rsidR="00F96628" w:rsidRPr="00AF29BF">
        <w:rPr>
          <w:rFonts w:ascii="Times New Roman" w:hAnsi="Times New Roman" w:cs="Times New Roman"/>
        </w:rPr>
        <w:t>, defendants were only permitted to instruct counsel</w:t>
      </w:r>
      <w:r w:rsidR="00BD0FC9" w:rsidRPr="00AF29BF">
        <w:rPr>
          <w:rFonts w:ascii="Times New Roman" w:hAnsi="Times New Roman" w:cs="Times New Roman"/>
        </w:rPr>
        <w:t xml:space="preserve"> </w:t>
      </w:r>
      <w:r w:rsidRPr="00AF29BF">
        <w:rPr>
          <w:rFonts w:ascii="Times New Roman" w:hAnsi="Times New Roman" w:cs="Times New Roman"/>
        </w:rPr>
        <w:t>in trials of treason</w:t>
      </w:r>
      <w:r w:rsidR="00F96628" w:rsidRPr="00AF29BF">
        <w:rPr>
          <w:rFonts w:ascii="Times New Roman" w:hAnsi="Times New Roman" w:cs="Times New Roman"/>
        </w:rPr>
        <w:t>,</w:t>
      </w:r>
      <w:r w:rsidRPr="00AF29BF">
        <w:rPr>
          <w:rFonts w:ascii="Times New Roman" w:hAnsi="Times New Roman" w:cs="Times New Roman"/>
        </w:rPr>
        <w:t xml:space="preserve"> and the defendant w</w:t>
      </w:r>
      <w:r w:rsidR="00BD0FC9" w:rsidRPr="00AF29BF">
        <w:rPr>
          <w:rFonts w:ascii="Times New Roman" w:hAnsi="Times New Roman" w:cs="Times New Roman"/>
        </w:rPr>
        <w:t>as n</w:t>
      </w:r>
      <w:r w:rsidR="008963FC">
        <w:rPr>
          <w:rFonts w:ascii="Times New Roman" w:hAnsi="Times New Roman" w:cs="Times New Roman"/>
        </w:rPr>
        <w:t xml:space="preserve">ot afforded a full defence; lawyers were </w:t>
      </w:r>
      <w:r w:rsidRPr="00AF29BF">
        <w:rPr>
          <w:rFonts w:ascii="Times New Roman" w:hAnsi="Times New Roman" w:cs="Times New Roman"/>
        </w:rPr>
        <w:t xml:space="preserve">merely permitted to examine and </w:t>
      </w:r>
      <w:r w:rsidR="005F2932" w:rsidRPr="00AF29BF">
        <w:rPr>
          <w:rFonts w:ascii="Times New Roman" w:hAnsi="Times New Roman" w:cs="Times New Roman"/>
        </w:rPr>
        <w:t>cross-examine</w:t>
      </w:r>
      <w:r w:rsidRPr="00AF29BF">
        <w:rPr>
          <w:rFonts w:ascii="Times New Roman" w:hAnsi="Times New Roman" w:cs="Times New Roman"/>
        </w:rPr>
        <w:t xml:space="preserve"> witnesses</w:t>
      </w:r>
      <w:r w:rsidR="006E2BEA" w:rsidRPr="00AF29BF">
        <w:rPr>
          <w:rFonts w:ascii="Times New Roman" w:hAnsi="Times New Roman" w:cs="Times New Roman"/>
        </w:rPr>
        <w:t xml:space="preserve"> </w:t>
      </w:r>
      <w:r w:rsidR="00BD0FC9" w:rsidRPr="00AF29BF">
        <w:rPr>
          <w:rFonts w:ascii="Times New Roman" w:hAnsi="Times New Roman" w:cs="Times New Roman"/>
        </w:rPr>
        <w:t>but</w:t>
      </w:r>
      <w:r w:rsidRPr="00AF29BF">
        <w:rPr>
          <w:rFonts w:ascii="Times New Roman" w:hAnsi="Times New Roman" w:cs="Times New Roman"/>
        </w:rPr>
        <w:t xml:space="preserve"> </w:t>
      </w:r>
      <w:r w:rsidR="00BD0FC9" w:rsidRPr="00AF29BF">
        <w:rPr>
          <w:rFonts w:ascii="Times New Roman" w:hAnsi="Times New Roman" w:cs="Times New Roman"/>
        </w:rPr>
        <w:t>were</w:t>
      </w:r>
      <w:r w:rsidR="003B5A94" w:rsidRPr="00AF29BF">
        <w:rPr>
          <w:rFonts w:ascii="Times New Roman" w:hAnsi="Times New Roman" w:cs="Times New Roman"/>
        </w:rPr>
        <w:t xml:space="preserve"> unable </w:t>
      </w:r>
      <w:r w:rsidRPr="00AF29BF">
        <w:rPr>
          <w:rFonts w:ascii="Times New Roman" w:hAnsi="Times New Roman" w:cs="Times New Roman"/>
        </w:rPr>
        <w:t xml:space="preserve">to address the jury. Over the course of the </w:t>
      </w:r>
      <w:r w:rsidR="005F2932" w:rsidRPr="00AF29BF">
        <w:rPr>
          <w:rFonts w:ascii="Times New Roman" w:hAnsi="Times New Roman" w:cs="Times New Roman"/>
        </w:rPr>
        <w:t xml:space="preserve">mid eighteenth century and the early nineteenth century, this stance would change. </w:t>
      </w:r>
      <w:r w:rsidR="00767399" w:rsidRPr="00AF29BF">
        <w:rPr>
          <w:rFonts w:ascii="Times New Roman" w:hAnsi="Times New Roman"/>
          <w:lang w:val="en-GB"/>
        </w:rPr>
        <w:t xml:space="preserve">In 1836, the </w:t>
      </w:r>
      <w:r w:rsidR="00767399" w:rsidRPr="008963FC">
        <w:rPr>
          <w:rFonts w:ascii="Times New Roman" w:hAnsi="Times New Roman"/>
          <w:i/>
          <w:lang w:val="en-GB"/>
        </w:rPr>
        <w:t>Second Report of the Criminal Law Commissioners</w:t>
      </w:r>
      <w:r w:rsidR="00767399" w:rsidRPr="00AF29BF">
        <w:rPr>
          <w:rStyle w:val="FootnoteReference"/>
          <w:rFonts w:ascii="Times New Roman" w:hAnsi="Times New Roman"/>
          <w:lang w:val="en-GB"/>
        </w:rPr>
        <w:footnoteReference w:id="26"/>
      </w:r>
      <w:r w:rsidR="00767399" w:rsidRPr="00AF29BF">
        <w:rPr>
          <w:rFonts w:ascii="Times New Roman" w:hAnsi="Times New Roman"/>
          <w:lang w:val="en-GB"/>
        </w:rPr>
        <w:t xml:space="preserve"> was published. This report fully </w:t>
      </w:r>
      <w:r w:rsidR="00F96628" w:rsidRPr="00AF29BF">
        <w:rPr>
          <w:rFonts w:ascii="Times New Roman" w:hAnsi="Times New Roman"/>
          <w:lang w:val="en-GB"/>
        </w:rPr>
        <w:t xml:space="preserve">supported </w:t>
      </w:r>
      <w:r w:rsidR="00767399" w:rsidRPr="00AF29BF">
        <w:rPr>
          <w:rFonts w:ascii="Times New Roman" w:hAnsi="Times New Roman"/>
          <w:lang w:val="en-GB"/>
        </w:rPr>
        <w:t>a full right to defence counsel. The commissioners ridiculed the traditional stance that the truth of the offence would manifest from the prisoner’s unprepared testimony as both ‘strange and unreasonable.’</w:t>
      </w:r>
      <w:r w:rsidR="00767399" w:rsidRPr="00AF29BF">
        <w:rPr>
          <w:rStyle w:val="FootnoteReference"/>
          <w:rFonts w:ascii="Times New Roman" w:hAnsi="Times New Roman"/>
          <w:lang w:val="en-GB"/>
        </w:rPr>
        <w:footnoteReference w:id="27"/>
      </w:r>
      <w:r w:rsidR="00767399" w:rsidRPr="00AF29BF">
        <w:rPr>
          <w:rFonts w:ascii="Times New Roman" w:hAnsi="Times New Roman"/>
          <w:lang w:val="en-GB"/>
        </w:rPr>
        <w:t xml:space="preserve"> The Prisoner’s Counsel Act</w:t>
      </w:r>
      <w:r w:rsidR="00E16FA9" w:rsidRPr="00AF29BF">
        <w:rPr>
          <w:rStyle w:val="FootnoteReference"/>
          <w:rFonts w:ascii="Times New Roman" w:hAnsi="Times New Roman"/>
          <w:lang w:val="en-GB"/>
        </w:rPr>
        <w:footnoteReference w:id="28"/>
      </w:r>
      <w:r w:rsidR="00E16FA9" w:rsidRPr="00AF29BF">
        <w:rPr>
          <w:rFonts w:ascii="Times New Roman" w:hAnsi="Times New Roman"/>
          <w:lang w:val="en-GB"/>
        </w:rPr>
        <w:t xml:space="preserve"> </w:t>
      </w:r>
      <w:r w:rsidR="00767399" w:rsidRPr="00AF29BF">
        <w:rPr>
          <w:rFonts w:ascii="Times New Roman" w:hAnsi="Times New Roman"/>
          <w:lang w:val="en-GB"/>
        </w:rPr>
        <w:t xml:space="preserve">brought about an immediate and far-reaching transformation of criminal procedure. The Act replaced ‘the rough and ready procedure of the eighteenth and early nineteenth centuries into the scrupulous </w:t>
      </w:r>
      <w:r w:rsidR="00767399" w:rsidRPr="00AF29BF">
        <w:rPr>
          <w:rFonts w:ascii="Times New Roman" w:hAnsi="Times New Roman"/>
          <w:lang w:val="en-GB"/>
        </w:rPr>
        <w:lastRenderedPageBreak/>
        <w:t>adversarial trial of today.’</w:t>
      </w:r>
      <w:r w:rsidR="00767399" w:rsidRPr="00AF29BF">
        <w:rPr>
          <w:rStyle w:val="FootnoteReference"/>
          <w:rFonts w:ascii="Times New Roman" w:hAnsi="Times New Roman"/>
          <w:lang w:val="en-GB"/>
        </w:rPr>
        <w:footnoteReference w:id="29"/>
      </w:r>
      <w:r w:rsidR="00767399" w:rsidRPr="00AF29BF">
        <w:rPr>
          <w:rFonts w:ascii="Times New Roman" w:hAnsi="Times New Roman"/>
          <w:lang w:val="en-GB"/>
        </w:rPr>
        <w:t xml:space="preserve"> The Act permitted all persons who were tried for </w:t>
      </w:r>
      <w:r w:rsidR="00BD0FC9" w:rsidRPr="00AF29BF">
        <w:rPr>
          <w:rFonts w:ascii="Times New Roman" w:hAnsi="Times New Roman"/>
          <w:lang w:val="en-GB"/>
        </w:rPr>
        <w:t>a felony</w:t>
      </w:r>
      <w:r w:rsidR="00767399" w:rsidRPr="00AF29BF">
        <w:rPr>
          <w:rFonts w:ascii="Times New Roman" w:hAnsi="Times New Roman"/>
          <w:lang w:val="en-GB"/>
        </w:rPr>
        <w:t xml:space="preserve"> to be granted permission to a full defence by counsel learned in the law or by an Attorney in courts where an Attorney practices as counsel.</w:t>
      </w:r>
      <w:r w:rsidR="00767399" w:rsidRPr="00AF29BF">
        <w:rPr>
          <w:rStyle w:val="FootnoteReference"/>
          <w:rFonts w:ascii="Times New Roman" w:hAnsi="Times New Roman"/>
          <w:lang w:val="en-GB"/>
        </w:rPr>
        <w:footnoteReference w:id="30"/>
      </w:r>
      <w:r w:rsidR="00767399" w:rsidRPr="00AF29BF">
        <w:rPr>
          <w:rFonts w:ascii="Times New Roman" w:hAnsi="Times New Roman"/>
          <w:lang w:val="en-GB"/>
        </w:rPr>
        <w:t xml:space="preserve"> The Act also permitted a person bailed or committed to prison to be entitled, on demand, to copies of the examination of witnesses on </w:t>
      </w:r>
      <w:r w:rsidR="00C36D8D" w:rsidRPr="00AF29BF">
        <w:rPr>
          <w:rFonts w:ascii="Times New Roman" w:hAnsi="Times New Roman"/>
          <w:lang w:val="en-GB"/>
        </w:rPr>
        <w:t xml:space="preserve">who’s </w:t>
      </w:r>
      <w:r w:rsidR="00767399" w:rsidRPr="00AF29BF">
        <w:rPr>
          <w:rFonts w:ascii="Times New Roman" w:hAnsi="Times New Roman"/>
          <w:lang w:val="en-GB"/>
        </w:rPr>
        <w:t>deposition they have been held</w:t>
      </w:r>
      <w:r w:rsidR="00C36D8D" w:rsidRPr="00AF29BF">
        <w:rPr>
          <w:rFonts w:ascii="Times New Roman" w:hAnsi="Times New Roman"/>
          <w:lang w:val="en-GB"/>
        </w:rPr>
        <w:t>,</w:t>
      </w:r>
      <w:r w:rsidR="00767399" w:rsidRPr="00AF29BF">
        <w:rPr>
          <w:rFonts w:ascii="Times New Roman" w:hAnsi="Times New Roman"/>
          <w:lang w:val="en-GB"/>
        </w:rPr>
        <w:t xml:space="preserve"> for the sum of three and a half pence for each folio of ninety words.</w:t>
      </w:r>
      <w:r w:rsidR="00767399" w:rsidRPr="00AF29BF">
        <w:rPr>
          <w:rStyle w:val="FootnoteReference"/>
          <w:rFonts w:ascii="Times New Roman" w:hAnsi="Times New Roman"/>
          <w:lang w:val="en-GB"/>
        </w:rPr>
        <w:footnoteReference w:id="31"/>
      </w:r>
      <w:r w:rsidR="00767399" w:rsidRPr="00AF29BF">
        <w:rPr>
          <w:rFonts w:ascii="Times New Roman" w:hAnsi="Times New Roman"/>
          <w:lang w:val="en-GB"/>
        </w:rPr>
        <w:t xml:space="preserve"> </w:t>
      </w:r>
    </w:p>
    <w:p w14:paraId="705E6C08" w14:textId="77777777" w:rsidR="00767399" w:rsidRPr="00AF29BF" w:rsidRDefault="00767399" w:rsidP="00916253">
      <w:pPr>
        <w:jc w:val="both"/>
        <w:rPr>
          <w:rFonts w:ascii="Times New Roman" w:hAnsi="Times New Roman"/>
          <w:lang w:val="en-GB"/>
        </w:rPr>
      </w:pPr>
    </w:p>
    <w:p w14:paraId="28A39E88" w14:textId="10BA49BA" w:rsidR="00767399" w:rsidRPr="00AF29BF" w:rsidRDefault="00767399" w:rsidP="00916253">
      <w:pPr>
        <w:jc w:val="both"/>
        <w:rPr>
          <w:rFonts w:ascii="Times New Roman" w:hAnsi="Times New Roman"/>
          <w:lang w:val="en-GB"/>
        </w:rPr>
      </w:pPr>
      <w:r w:rsidRPr="00AF29BF">
        <w:rPr>
          <w:rFonts w:ascii="Times New Roman" w:hAnsi="Times New Roman"/>
          <w:lang w:val="en-GB"/>
        </w:rPr>
        <w:t>The introduction of defence counsel to the criminal trial disentangled two activities that were previously the sole responsibility of the unrepresented defendant; it was the duty of the defence lawyer to probe whether the prosecution had a tenable case</w:t>
      </w:r>
      <w:r w:rsidR="00F96628" w:rsidRPr="00AF29BF">
        <w:rPr>
          <w:rFonts w:ascii="Times New Roman" w:hAnsi="Times New Roman"/>
          <w:lang w:val="en-GB"/>
        </w:rPr>
        <w:t xml:space="preserve"> against the defendant.</w:t>
      </w:r>
      <w:r w:rsidRPr="00AF29BF">
        <w:rPr>
          <w:rFonts w:ascii="Times New Roman" w:hAnsi="Times New Roman"/>
          <w:lang w:val="en-GB"/>
        </w:rPr>
        <w:t xml:space="preserve"> </w:t>
      </w:r>
      <w:r w:rsidR="00F96628" w:rsidRPr="00AF29BF">
        <w:rPr>
          <w:rFonts w:ascii="Times New Roman" w:hAnsi="Times New Roman"/>
          <w:lang w:val="en-GB"/>
        </w:rPr>
        <w:t xml:space="preserve"> If so,</w:t>
      </w:r>
      <w:r w:rsidRPr="00AF29BF">
        <w:rPr>
          <w:rFonts w:ascii="Times New Roman" w:hAnsi="Times New Roman"/>
          <w:lang w:val="en-GB"/>
        </w:rPr>
        <w:t xml:space="preserve"> the lawyer would offer evidence of a defensive nature to rebut the prosecution’s allegations. The defence lawyer was able to insist on asking on the judge if the prosecution have discharged their burden of adducing sufficient evidence to support a verdict in their favour. The defence lawyer would typically move for a verdict of an acquittal at the conclusion of the prosecution’s evidence. If a judge overruled this, the defence would then present its evidence.</w:t>
      </w:r>
      <w:r w:rsidRPr="00AF29BF">
        <w:rPr>
          <w:rStyle w:val="FootnoteReference"/>
          <w:rFonts w:ascii="Times New Roman" w:hAnsi="Times New Roman"/>
          <w:lang w:val="en-GB"/>
        </w:rPr>
        <w:footnoteReference w:id="32"/>
      </w:r>
      <w:r w:rsidRPr="00AF29BF">
        <w:rPr>
          <w:rFonts w:ascii="Times New Roman" w:hAnsi="Times New Roman"/>
          <w:lang w:val="en-GB"/>
        </w:rPr>
        <w:t xml:space="preserve"> The inclusion of the defence lawyer </w:t>
      </w:r>
      <w:r w:rsidR="006B741D" w:rsidRPr="00AF29BF">
        <w:rPr>
          <w:rFonts w:ascii="Times New Roman" w:hAnsi="Times New Roman"/>
          <w:lang w:val="en-GB"/>
        </w:rPr>
        <w:t xml:space="preserve">altered the very fabric of </w:t>
      </w:r>
      <w:r w:rsidRPr="00AF29BF">
        <w:rPr>
          <w:rFonts w:ascii="Times New Roman" w:hAnsi="Times New Roman"/>
          <w:lang w:val="en-GB"/>
        </w:rPr>
        <w:t>the trial; he broke up the dual roles of speaking and defending that had previously been the responsibility of the accused. He assumed the role of defender; he insisted on prosecutorial burdens of proof and largely shut down the role of the accused.</w:t>
      </w:r>
      <w:r w:rsidRPr="00AF29BF">
        <w:rPr>
          <w:rStyle w:val="FootnoteReference"/>
          <w:rFonts w:ascii="Times New Roman" w:hAnsi="Times New Roman"/>
          <w:lang w:val="en-GB"/>
        </w:rPr>
        <w:footnoteReference w:id="33"/>
      </w:r>
      <w:r w:rsidRPr="00AF29BF">
        <w:rPr>
          <w:rFonts w:ascii="Times New Roman" w:hAnsi="Times New Roman"/>
          <w:lang w:val="en-GB"/>
        </w:rPr>
        <w:t xml:space="preserve"> Prior to the involvement of the defence lawyer, the trial was the forum in which the accused could reply to the charge and evidence against him. The evolution of the adversarial trial changed this concept; the new ‘lawyer-dominated’ trials were no longer the place the accused merely aired his response to the charge, but became the forum in which the accused’s defence counsel tested the prosecution’s case.</w:t>
      </w:r>
      <w:r w:rsidRPr="00AF29BF">
        <w:rPr>
          <w:rStyle w:val="FootnoteReference"/>
          <w:rFonts w:ascii="Times New Roman" w:hAnsi="Times New Roman"/>
          <w:lang w:val="en-GB"/>
        </w:rPr>
        <w:footnoteReference w:id="34"/>
      </w:r>
      <w:r w:rsidRPr="00AF29BF">
        <w:rPr>
          <w:rFonts w:ascii="Times New Roman" w:hAnsi="Times New Roman"/>
          <w:lang w:val="en-GB"/>
        </w:rPr>
        <w:t xml:space="preserve"> With the lawyer now a fully-fledged participant in proceedings the previous functions of the judiciary were stripped from him. Gone were his responsibilities of organising and presenting the evidence as well as examining and cross-examining witnesses. Effectively, the judiciary was relegated to the role of a passive observer </w:t>
      </w:r>
      <w:r w:rsidR="00FD7FB5" w:rsidRPr="00AF29BF">
        <w:rPr>
          <w:rFonts w:ascii="Times New Roman" w:hAnsi="Times New Roman"/>
          <w:lang w:val="en-GB"/>
        </w:rPr>
        <w:t>and it is easy to</w:t>
      </w:r>
      <w:r w:rsidR="00557E36" w:rsidRPr="00AF29BF">
        <w:rPr>
          <w:rFonts w:ascii="Times New Roman" w:hAnsi="Times New Roman"/>
          <w:lang w:val="en-GB"/>
        </w:rPr>
        <w:t xml:space="preserve"> see</w:t>
      </w:r>
      <w:r w:rsidR="00FD7FB5" w:rsidRPr="00AF29BF">
        <w:rPr>
          <w:rFonts w:ascii="Times New Roman" w:hAnsi="Times New Roman"/>
          <w:lang w:val="en-GB"/>
        </w:rPr>
        <w:t xml:space="preserve"> how </w:t>
      </w:r>
      <w:proofErr w:type="spellStart"/>
      <w:r w:rsidR="00FD7FB5" w:rsidRPr="00AF29BF">
        <w:rPr>
          <w:rFonts w:ascii="Times New Roman" w:hAnsi="Times New Roman"/>
          <w:lang w:val="en-GB"/>
        </w:rPr>
        <w:t>Cottu</w:t>
      </w:r>
      <w:proofErr w:type="spellEnd"/>
      <w:r w:rsidR="00FD7FB5" w:rsidRPr="00AF29BF">
        <w:rPr>
          <w:rFonts w:ascii="Times New Roman" w:hAnsi="Times New Roman"/>
          <w:lang w:val="en-GB"/>
        </w:rPr>
        <w:t xml:space="preserve"> made two central observations to the English criminal trial. Firstly, the judge is ‘almost a stranger to what is going on’ and secondly, ‘[the accused] does so little in his own defence that his hat stuck on a pole might, without inconvenience, be his substitute at trial.’</w:t>
      </w:r>
      <w:r w:rsidR="00FD7FB5" w:rsidRPr="00AF29BF">
        <w:rPr>
          <w:rStyle w:val="FootnoteReference"/>
          <w:rFonts w:ascii="Times New Roman" w:hAnsi="Times New Roman"/>
          <w:lang w:val="en-GB"/>
        </w:rPr>
        <w:footnoteReference w:id="35"/>
      </w:r>
      <w:r w:rsidR="00FD7FB5" w:rsidRPr="00AF29BF">
        <w:rPr>
          <w:rFonts w:ascii="Times New Roman" w:hAnsi="Times New Roman"/>
          <w:lang w:val="en-GB"/>
        </w:rPr>
        <w:t xml:space="preserve"> It </w:t>
      </w:r>
      <w:r w:rsidR="004F6E41" w:rsidRPr="00AF29BF">
        <w:rPr>
          <w:rFonts w:ascii="Times New Roman" w:hAnsi="Times New Roman"/>
          <w:lang w:val="en-GB"/>
        </w:rPr>
        <w:t>was</w:t>
      </w:r>
      <w:r w:rsidR="00FD7FB5" w:rsidRPr="00AF29BF">
        <w:rPr>
          <w:rFonts w:ascii="Times New Roman" w:hAnsi="Times New Roman"/>
          <w:lang w:val="en-GB"/>
        </w:rPr>
        <w:t xml:space="preserve"> </w:t>
      </w:r>
      <w:r w:rsidR="004F6E41" w:rsidRPr="00AF29BF">
        <w:rPr>
          <w:rFonts w:ascii="Times New Roman" w:hAnsi="Times New Roman"/>
          <w:lang w:val="en-GB"/>
        </w:rPr>
        <w:t>clear</w:t>
      </w:r>
      <w:r w:rsidR="00FD7FB5" w:rsidRPr="00AF29BF">
        <w:rPr>
          <w:rFonts w:ascii="Times New Roman" w:hAnsi="Times New Roman"/>
          <w:lang w:val="en-GB"/>
        </w:rPr>
        <w:t xml:space="preserve"> that the lawyers are now dominating proceedings.</w:t>
      </w:r>
      <w:r w:rsidRPr="00AF29BF">
        <w:rPr>
          <w:rStyle w:val="FootnoteReference"/>
          <w:rFonts w:ascii="Times New Roman" w:hAnsi="Times New Roman"/>
          <w:lang w:val="en-GB"/>
        </w:rPr>
        <w:footnoteReference w:id="36"/>
      </w:r>
      <w:r w:rsidR="00FD7FB5" w:rsidRPr="00AF29BF">
        <w:rPr>
          <w:rFonts w:ascii="Times New Roman" w:hAnsi="Times New Roman"/>
          <w:lang w:val="en-GB"/>
        </w:rPr>
        <w:t xml:space="preserve"> </w:t>
      </w:r>
      <w:r w:rsidR="006B741D" w:rsidRPr="00AF29BF">
        <w:rPr>
          <w:rFonts w:ascii="Times New Roman" w:hAnsi="Times New Roman"/>
          <w:lang w:val="en-GB"/>
        </w:rPr>
        <w:t xml:space="preserve">The era of the judicial led accused speaks trial was ended and an era of judicial passivity was commenced. </w:t>
      </w:r>
    </w:p>
    <w:p w14:paraId="551519B7" w14:textId="77777777" w:rsidR="00CE564F" w:rsidRDefault="00CE564F" w:rsidP="00916253">
      <w:pPr>
        <w:jc w:val="both"/>
        <w:rPr>
          <w:rFonts w:ascii="Times New Roman" w:hAnsi="Times New Roman"/>
          <w:lang w:val="en-GB"/>
        </w:rPr>
      </w:pPr>
    </w:p>
    <w:p w14:paraId="305A2263" w14:textId="77777777" w:rsidR="0029093A" w:rsidRDefault="0029093A" w:rsidP="00916253">
      <w:pPr>
        <w:jc w:val="both"/>
        <w:rPr>
          <w:rFonts w:ascii="Times New Roman" w:hAnsi="Times New Roman"/>
          <w:lang w:val="en-GB"/>
        </w:rPr>
      </w:pPr>
    </w:p>
    <w:p w14:paraId="0CE60C6E" w14:textId="77777777" w:rsidR="0029093A" w:rsidRDefault="0029093A" w:rsidP="00916253">
      <w:pPr>
        <w:jc w:val="both"/>
        <w:rPr>
          <w:rFonts w:ascii="Times New Roman" w:hAnsi="Times New Roman"/>
          <w:lang w:val="en-GB"/>
        </w:rPr>
      </w:pPr>
    </w:p>
    <w:p w14:paraId="17542968" w14:textId="3865A3E8" w:rsidR="00461CEA" w:rsidRPr="00AF29BF" w:rsidRDefault="002506A7" w:rsidP="00916253">
      <w:pPr>
        <w:pStyle w:val="ListParagraph"/>
        <w:numPr>
          <w:ilvl w:val="1"/>
          <w:numId w:val="1"/>
        </w:numPr>
        <w:jc w:val="both"/>
        <w:rPr>
          <w:rFonts w:ascii="Times New Roman" w:hAnsi="Times New Roman" w:cs="Times New Roman"/>
          <w:b/>
          <w:sz w:val="28"/>
          <w:szCs w:val="28"/>
        </w:rPr>
      </w:pPr>
      <w:r w:rsidRPr="00AF29BF">
        <w:rPr>
          <w:rFonts w:ascii="Times New Roman" w:hAnsi="Times New Roman" w:cs="Times New Roman"/>
          <w:b/>
          <w:sz w:val="28"/>
          <w:szCs w:val="28"/>
        </w:rPr>
        <w:lastRenderedPageBreak/>
        <w:t>The</w:t>
      </w:r>
      <w:r w:rsidR="00CF69B2" w:rsidRPr="00AF29BF">
        <w:rPr>
          <w:rFonts w:ascii="Times New Roman" w:hAnsi="Times New Roman" w:cs="Times New Roman"/>
          <w:b/>
          <w:sz w:val="28"/>
          <w:szCs w:val="28"/>
        </w:rPr>
        <w:t xml:space="preserve"> M</w:t>
      </w:r>
      <w:r w:rsidR="00461CEA" w:rsidRPr="00AF29BF">
        <w:rPr>
          <w:rFonts w:ascii="Times New Roman" w:hAnsi="Times New Roman" w:cs="Times New Roman"/>
          <w:b/>
          <w:sz w:val="28"/>
          <w:szCs w:val="28"/>
        </w:rPr>
        <w:t>id Twentieth Century</w:t>
      </w:r>
    </w:p>
    <w:p w14:paraId="06B6DA82" w14:textId="77777777" w:rsidR="002A7AC6" w:rsidRPr="00AF29BF" w:rsidRDefault="002A7AC6" w:rsidP="00916253">
      <w:pPr>
        <w:jc w:val="both"/>
        <w:rPr>
          <w:rFonts w:ascii="Times New Roman" w:hAnsi="Times New Roman" w:cs="Times New Roman"/>
          <w:b/>
        </w:rPr>
      </w:pPr>
    </w:p>
    <w:p w14:paraId="58666EA9" w14:textId="55AB0E14" w:rsidR="002A7AC6" w:rsidRPr="00AF29BF" w:rsidRDefault="006B741D" w:rsidP="00916253">
      <w:pPr>
        <w:tabs>
          <w:tab w:val="left" w:pos="1620"/>
        </w:tabs>
        <w:jc w:val="both"/>
        <w:rPr>
          <w:rFonts w:ascii="Times New Roman" w:hAnsi="Times New Roman" w:cs="Times New Roman"/>
        </w:rPr>
      </w:pPr>
      <w:r w:rsidRPr="00AF29BF">
        <w:rPr>
          <w:rFonts w:ascii="Times New Roman" w:hAnsi="Times New Roman" w:cs="Times New Roman"/>
        </w:rPr>
        <w:t xml:space="preserve">The notion of judicial passivity continued into the middle of the twentieth century. In </w:t>
      </w:r>
      <w:r w:rsidR="0070200B" w:rsidRPr="00AF29BF">
        <w:rPr>
          <w:rFonts w:ascii="Times New Roman" w:hAnsi="Times New Roman" w:cs="Times New Roman"/>
        </w:rPr>
        <w:t xml:space="preserve">1944, Lord Greene MR stated </w:t>
      </w:r>
      <w:r w:rsidRPr="00AF29BF">
        <w:rPr>
          <w:rFonts w:ascii="Times New Roman" w:hAnsi="Times New Roman" w:cs="Times New Roman"/>
        </w:rPr>
        <w:t xml:space="preserve">if </w:t>
      </w:r>
      <w:r w:rsidR="0070200B" w:rsidRPr="00AF29BF">
        <w:rPr>
          <w:rFonts w:ascii="Times New Roman" w:hAnsi="Times New Roman" w:cs="Times New Roman"/>
        </w:rPr>
        <w:t>a judge conduct</w:t>
      </w:r>
      <w:r w:rsidRPr="00AF29BF">
        <w:rPr>
          <w:rFonts w:ascii="Times New Roman" w:hAnsi="Times New Roman" w:cs="Times New Roman"/>
        </w:rPr>
        <w:t>ed</w:t>
      </w:r>
      <w:r w:rsidR="0070200B" w:rsidRPr="00AF29BF">
        <w:rPr>
          <w:rFonts w:ascii="Times New Roman" w:hAnsi="Times New Roman" w:cs="Times New Roman"/>
        </w:rPr>
        <w:t xml:space="preserve"> cross-examination, he ‘descends into the arena and is liable to have his vision clouded by the dust of conflict’.</w:t>
      </w:r>
      <w:r w:rsidR="00461CEA" w:rsidRPr="00AF29BF">
        <w:rPr>
          <w:rStyle w:val="FootnoteReference"/>
          <w:rFonts w:ascii="Times New Roman" w:hAnsi="Times New Roman" w:cs="Times New Roman"/>
        </w:rPr>
        <w:footnoteReference w:id="37"/>
      </w:r>
      <w:r w:rsidR="0070200B" w:rsidRPr="00AF29BF">
        <w:rPr>
          <w:rFonts w:ascii="Times New Roman" w:hAnsi="Times New Roman" w:cs="Times New Roman"/>
        </w:rPr>
        <w:t xml:space="preserve"> </w:t>
      </w:r>
      <w:r w:rsidR="00461CEA" w:rsidRPr="00AF29BF">
        <w:rPr>
          <w:rFonts w:ascii="Times New Roman" w:hAnsi="Times New Roman" w:cs="Times New Roman"/>
        </w:rPr>
        <w:t>By reverting to his former role as an engaged participant, it was thought that the judge would lose his position as an observer as a result of his clouded vision ‘he unconsciously deprives himself of the advantage of calm and dispassionate observation’.</w:t>
      </w:r>
      <w:r w:rsidR="00461CEA" w:rsidRPr="00AF29BF">
        <w:rPr>
          <w:rStyle w:val="FootnoteReference"/>
          <w:rFonts w:ascii="Times New Roman" w:hAnsi="Times New Roman" w:cs="Times New Roman"/>
        </w:rPr>
        <w:footnoteReference w:id="38"/>
      </w:r>
      <w:r w:rsidR="00461CEA" w:rsidRPr="00AF29BF">
        <w:rPr>
          <w:rFonts w:ascii="Times New Roman" w:hAnsi="Times New Roman" w:cs="Times New Roman"/>
        </w:rPr>
        <w:t xml:space="preserve"> </w:t>
      </w:r>
      <w:r w:rsidR="00891A7E" w:rsidRPr="00AF29BF">
        <w:rPr>
          <w:rFonts w:ascii="Times New Roman" w:hAnsi="Times New Roman" w:cs="Times New Roman"/>
        </w:rPr>
        <w:t xml:space="preserve">The trial judge should refrain from entering the arena of the adversarial battle, save for clearing up a point. </w:t>
      </w:r>
      <w:r w:rsidR="00461CEA" w:rsidRPr="00AF29BF">
        <w:rPr>
          <w:rFonts w:ascii="Times New Roman" w:hAnsi="Times New Roman" w:cs="Times New Roman"/>
        </w:rPr>
        <w:t>Lord Greene was not alone in stressing the importance of the judiciary to remain</w:t>
      </w:r>
      <w:r w:rsidRPr="00AF29BF">
        <w:rPr>
          <w:rFonts w:ascii="Times New Roman" w:hAnsi="Times New Roman" w:cs="Times New Roman"/>
        </w:rPr>
        <w:t>ing</w:t>
      </w:r>
      <w:r w:rsidR="00461CEA" w:rsidRPr="00AF29BF">
        <w:rPr>
          <w:rFonts w:ascii="Times New Roman" w:hAnsi="Times New Roman" w:cs="Times New Roman"/>
        </w:rPr>
        <w:t xml:space="preserve"> passive and unengaged </w:t>
      </w:r>
      <w:r w:rsidRPr="00AF29BF">
        <w:rPr>
          <w:rFonts w:ascii="Times New Roman" w:hAnsi="Times New Roman" w:cs="Times New Roman"/>
        </w:rPr>
        <w:t>throughout the</w:t>
      </w:r>
      <w:r w:rsidR="00461CEA" w:rsidRPr="00AF29BF">
        <w:rPr>
          <w:rFonts w:ascii="Times New Roman" w:hAnsi="Times New Roman" w:cs="Times New Roman"/>
        </w:rPr>
        <w:t xml:space="preserve"> trial proceedings. </w:t>
      </w:r>
      <w:r w:rsidR="002A7AC6" w:rsidRPr="00AF29BF">
        <w:rPr>
          <w:rFonts w:ascii="Times New Roman" w:hAnsi="Times New Roman" w:cs="Times New Roman"/>
        </w:rPr>
        <w:t>In 1957</w:t>
      </w:r>
      <w:r w:rsidRPr="00AF29BF">
        <w:rPr>
          <w:rFonts w:ascii="Times New Roman" w:hAnsi="Times New Roman" w:cs="Times New Roman"/>
        </w:rPr>
        <w:t>,</w:t>
      </w:r>
      <w:r w:rsidR="002A7AC6" w:rsidRPr="00AF29BF">
        <w:rPr>
          <w:rFonts w:ascii="Times New Roman" w:hAnsi="Times New Roman" w:cs="Times New Roman"/>
        </w:rPr>
        <w:t xml:space="preserve"> Lord Justice Denning gave the quintessential description of the modern day adversarial judge.</w:t>
      </w:r>
      <w:r w:rsidR="00AD3B77" w:rsidRPr="00AF29BF">
        <w:rPr>
          <w:rFonts w:ascii="Times New Roman" w:hAnsi="Times New Roman" w:cs="Times New Roman"/>
          <w:lang w:val="en-GB"/>
        </w:rPr>
        <w:t xml:space="preserve"> The Court of Appeal case </w:t>
      </w:r>
      <w:r w:rsidRPr="00AF29BF">
        <w:rPr>
          <w:rFonts w:ascii="Times New Roman" w:hAnsi="Times New Roman" w:cs="Times New Roman"/>
          <w:i/>
        </w:rPr>
        <w:t>Jones v National Coal Board</w:t>
      </w:r>
      <w:r w:rsidRPr="00AF29BF">
        <w:rPr>
          <w:rStyle w:val="FootnoteReference"/>
          <w:rFonts w:ascii="Times New Roman" w:hAnsi="Times New Roman" w:cs="Times New Roman"/>
        </w:rPr>
        <w:footnoteReference w:id="39"/>
      </w:r>
      <w:r w:rsidR="00CE564F" w:rsidRPr="00AF29BF">
        <w:rPr>
          <w:rFonts w:ascii="Times New Roman" w:hAnsi="Times New Roman" w:cs="Times New Roman"/>
        </w:rPr>
        <w:t xml:space="preserve"> centered</w:t>
      </w:r>
      <w:r w:rsidR="00116324" w:rsidRPr="00AF29BF">
        <w:rPr>
          <w:rFonts w:ascii="Times New Roman" w:hAnsi="Times New Roman" w:cs="Times New Roman"/>
        </w:rPr>
        <w:t xml:space="preserve"> on the fact the judge intervened too frequently during cross-examination</w:t>
      </w:r>
      <w:r w:rsidR="00FE3155" w:rsidRPr="00AF29BF">
        <w:rPr>
          <w:rFonts w:ascii="Times New Roman" w:hAnsi="Times New Roman" w:cs="Times New Roman"/>
          <w:lang w:val="en-GB"/>
        </w:rPr>
        <w:t>. It was held</w:t>
      </w:r>
      <w:r w:rsidR="00CE564F" w:rsidRPr="00AF29BF">
        <w:rPr>
          <w:rFonts w:ascii="Times New Roman" w:hAnsi="Times New Roman" w:cs="Times New Roman"/>
          <w:lang w:val="en-GB"/>
        </w:rPr>
        <w:t xml:space="preserve"> that</w:t>
      </w:r>
      <w:r w:rsidR="00116324" w:rsidRPr="00AF29BF">
        <w:rPr>
          <w:rFonts w:ascii="Times New Roman" w:hAnsi="Times New Roman" w:cs="Times New Roman"/>
        </w:rPr>
        <w:t xml:space="preserve"> the judge should intervene as infrequently as possible as the heart of cross-examination lies in the unbroken sequence of question and answer.</w:t>
      </w:r>
      <w:r w:rsidR="00CE564F" w:rsidRPr="00AF29BF">
        <w:rPr>
          <w:rStyle w:val="FootnoteReference"/>
          <w:rFonts w:ascii="Times New Roman" w:hAnsi="Times New Roman" w:cs="Times New Roman"/>
        </w:rPr>
        <w:footnoteReference w:id="40"/>
      </w:r>
      <w:r w:rsidR="00116324" w:rsidRPr="00AF29BF">
        <w:rPr>
          <w:rFonts w:ascii="Times New Roman" w:hAnsi="Times New Roman" w:cs="Times New Roman"/>
        </w:rPr>
        <w:t xml:space="preserve"> Excessive judicial interruption weakens the effectiveness of cross-examination and in this instance the defence were unduly hampered by the interventions. The judge frequently initiated discussions with counsel and often interrupted witnesses during their answers to a </w:t>
      </w:r>
      <w:r w:rsidR="004F6E41" w:rsidRPr="00AF29BF">
        <w:rPr>
          <w:rFonts w:ascii="Times New Roman" w:hAnsi="Times New Roman" w:cs="Times New Roman"/>
        </w:rPr>
        <w:t>question;</w:t>
      </w:r>
      <w:r w:rsidR="00142010" w:rsidRPr="00AF29BF">
        <w:rPr>
          <w:rFonts w:ascii="Times New Roman" w:hAnsi="Times New Roman" w:cs="Times New Roman"/>
        </w:rPr>
        <w:t xml:space="preserve"> he effectively had taken the task of examination out of the hands of the advocate</w:t>
      </w:r>
      <w:r w:rsidR="00116324" w:rsidRPr="00AF29BF">
        <w:rPr>
          <w:rFonts w:ascii="Times New Roman" w:hAnsi="Times New Roman" w:cs="Times New Roman"/>
        </w:rPr>
        <w:t xml:space="preserve">. This behavior was deemed to fall outside the realm of their role. Denning LJ said </w:t>
      </w:r>
      <w:r w:rsidR="002A7AC6" w:rsidRPr="00AF29BF">
        <w:rPr>
          <w:rFonts w:ascii="Times New Roman" w:hAnsi="Times New Roman" w:cs="Times New Roman"/>
        </w:rPr>
        <w:t xml:space="preserve">the </w:t>
      </w:r>
      <w:r w:rsidR="00116324" w:rsidRPr="00AF29BF">
        <w:rPr>
          <w:rFonts w:ascii="Times New Roman" w:hAnsi="Times New Roman" w:cs="Times New Roman"/>
        </w:rPr>
        <w:t xml:space="preserve">role of the judge </w:t>
      </w:r>
      <w:r w:rsidR="002A7AC6" w:rsidRPr="00AF29BF">
        <w:rPr>
          <w:rFonts w:ascii="Times New Roman" w:hAnsi="Times New Roman" w:cs="Times New Roman"/>
        </w:rPr>
        <w:t>is to ‘hearken’ to the evidence, he can ask questions to clear up a point and keep the advocates in good order and ensure they follow procedure and avoid repetition. If he goes beyond these tasks he ‘drops the mantle of a judge and assumes the role of an advocate; the change does not become him well.</w:t>
      </w:r>
      <w:r w:rsidR="002A7AC6" w:rsidRPr="00AF29BF">
        <w:rPr>
          <w:rStyle w:val="FootnoteReference"/>
          <w:rFonts w:ascii="Times New Roman" w:hAnsi="Times New Roman" w:cs="Times New Roman"/>
        </w:rPr>
        <w:footnoteReference w:id="41"/>
      </w:r>
      <w:r w:rsidR="002A7AC6" w:rsidRPr="00AF29BF">
        <w:rPr>
          <w:rFonts w:ascii="Times New Roman" w:hAnsi="Times New Roman" w:cs="Times New Roman"/>
        </w:rPr>
        <w:t xml:space="preserve"> Furthermore, Denning reiterated the position of the Lord Chancellor </w:t>
      </w:r>
      <w:r w:rsidR="009C1B8E" w:rsidRPr="00AF29BF">
        <w:rPr>
          <w:rFonts w:ascii="Times New Roman" w:hAnsi="Times New Roman" w:cs="Times New Roman"/>
        </w:rPr>
        <w:t>stat</w:t>
      </w:r>
      <w:r w:rsidR="00F3019A" w:rsidRPr="00AF29BF">
        <w:rPr>
          <w:rFonts w:ascii="Times New Roman" w:hAnsi="Times New Roman" w:cs="Times New Roman"/>
        </w:rPr>
        <w:t>ing</w:t>
      </w:r>
      <w:r w:rsidR="009C1B8E" w:rsidRPr="00AF29BF">
        <w:rPr>
          <w:rFonts w:ascii="Times New Roman" w:hAnsi="Times New Roman" w:cs="Times New Roman"/>
        </w:rPr>
        <w:t xml:space="preserve"> </w:t>
      </w:r>
      <w:r w:rsidR="002A7AC6" w:rsidRPr="00AF29BF">
        <w:rPr>
          <w:rFonts w:ascii="Times New Roman" w:hAnsi="Times New Roman" w:cs="Times New Roman"/>
        </w:rPr>
        <w:t xml:space="preserve">that ‘patience and </w:t>
      </w:r>
      <w:r w:rsidR="00EA7034" w:rsidRPr="00AF29BF">
        <w:rPr>
          <w:rFonts w:ascii="Times New Roman" w:hAnsi="Times New Roman" w:cs="Times New Roman"/>
        </w:rPr>
        <w:t>gravity of hearing is an essential part of justice; and an over speaking judge is no well-tuned cymbal’.</w:t>
      </w:r>
      <w:r w:rsidR="00EA7034" w:rsidRPr="00AF29BF">
        <w:rPr>
          <w:rStyle w:val="FootnoteReference"/>
          <w:rFonts w:ascii="Times New Roman" w:hAnsi="Times New Roman" w:cs="Times New Roman"/>
        </w:rPr>
        <w:footnoteReference w:id="42"/>
      </w:r>
      <w:r w:rsidR="006E6B3F" w:rsidRPr="00AF29BF">
        <w:rPr>
          <w:rFonts w:ascii="Times New Roman" w:hAnsi="Times New Roman" w:cs="Times New Roman"/>
        </w:rPr>
        <w:t xml:space="preserve"> </w:t>
      </w:r>
    </w:p>
    <w:p w14:paraId="055FB3CC" w14:textId="77777777" w:rsidR="00F57F8C" w:rsidRPr="00AF29BF" w:rsidRDefault="00F57F8C" w:rsidP="00916253">
      <w:pPr>
        <w:tabs>
          <w:tab w:val="left" w:pos="1620"/>
        </w:tabs>
        <w:jc w:val="both"/>
        <w:rPr>
          <w:rFonts w:ascii="Times New Roman" w:hAnsi="Times New Roman" w:cs="Times New Roman"/>
        </w:rPr>
      </w:pPr>
    </w:p>
    <w:p w14:paraId="5ADC9875" w14:textId="6839BD66" w:rsidR="00A07710" w:rsidRPr="00AF29BF" w:rsidRDefault="00F57F8C" w:rsidP="005D348D">
      <w:pPr>
        <w:tabs>
          <w:tab w:val="left" w:pos="1620"/>
        </w:tabs>
        <w:jc w:val="both"/>
        <w:rPr>
          <w:rFonts w:ascii="Times New Roman" w:hAnsi="Times New Roman" w:cs="Times New Roman"/>
        </w:rPr>
      </w:pPr>
      <w:r w:rsidRPr="00AF29BF">
        <w:rPr>
          <w:rFonts w:ascii="Times New Roman" w:hAnsi="Times New Roman" w:cs="Times New Roman"/>
        </w:rPr>
        <w:t xml:space="preserve">In </w:t>
      </w:r>
      <w:proofErr w:type="spellStart"/>
      <w:r w:rsidRPr="00AF29BF">
        <w:rPr>
          <w:rFonts w:ascii="Times New Roman" w:hAnsi="Times New Roman" w:cs="Times New Roman"/>
          <w:i/>
        </w:rPr>
        <w:t>Clewer</w:t>
      </w:r>
      <w:proofErr w:type="spellEnd"/>
      <w:r w:rsidRPr="00AF29BF">
        <w:rPr>
          <w:rStyle w:val="FootnoteReference"/>
          <w:rFonts w:ascii="Times New Roman" w:hAnsi="Times New Roman" w:cs="Times New Roman"/>
        </w:rPr>
        <w:footnoteReference w:id="43"/>
      </w:r>
      <w:r w:rsidRPr="00AF29BF">
        <w:rPr>
          <w:rFonts w:ascii="Times New Roman" w:hAnsi="Times New Roman" w:cs="Times New Roman"/>
        </w:rPr>
        <w:t xml:space="preserve"> the defendant appealed on the basis of undue interruption by the judge. The judge was of the opinion that the defence advanced was improbable. </w:t>
      </w:r>
      <w:proofErr w:type="spellStart"/>
      <w:r w:rsidRPr="00AF29BF">
        <w:rPr>
          <w:rFonts w:ascii="Times New Roman" w:hAnsi="Times New Roman" w:cs="Times New Roman"/>
        </w:rPr>
        <w:t>Goodard</w:t>
      </w:r>
      <w:proofErr w:type="spellEnd"/>
      <w:r w:rsidRPr="00AF29BF">
        <w:rPr>
          <w:rFonts w:ascii="Times New Roman" w:hAnsi="Times New Roman" w:cs="Times New Roman"/>
        </w:rPr>
        <w:t xml:space="preserve"> LJC stated that if ‘counsel was interrupted … his task becomes impossible’.</w:t>
      </w:r>
      <w:r w:rsidRPr="00AF29BF">
        <w:rPr>
          <w:rStyle w:val="FootnoteReference"/>
          <w:rFonts w:ascii="Times New Roman" w:hAnsi="Times New Roman" w:cs="Times New Roman"/>
        </w:rPr>
        <w:footnoteReference w:id="44"/>
      </w:r>
      <w:r w:rsidRPr="00AF29BF">
        <w:rPr>
          <w:rFonts w:ascii="Times New Roman" w:hAnsi="Times New Roman" w:cs="Times New Roman"/>
        </w:rPr>
        <w:t xml:space="preserve"> The judge went as far as suggesting to the jury that the defence is raising ‘false issues.’</w:t>
      </w:r>
      <w:r w:rsidRPr="00AF29BF">
        <w:rPr>
          <w:rStyle w:val="FootnoteReference"/>
          <w:rFonts w:ascii="Times New Roman" w:hAnsi="Times New Roman" w:cs="Times New Roman"/>
        </w:rPr>
        <w:footnoteReference w:id="45"/>
      </w:r>
      <w:r w:rsidRPr="00AF29BF">
        <w:rPr>
          <w:rFonts w:ascii="Times New Roman" w:hAnsi="Times New Roman" w:cs="Times New Roman"/>
        </w:rPr>
        <w:t xml:space="preserve"> The court </w:t>
      </w:r>
      <w:r w:rsidR="00A07710" w:rsidRPr="00AF29BF">
        <w:rPr>
          <w:rFonts w:ascii="Times New Roman" w:hAnsi="Times New Roman" w:cs="Times New Roman"/>
        </w:rPr>
        <w:t>quashed the conviction.</w:t>
      </w:r>
      <w:r w:rsidRPr="00AF29BF">
        <w:rPr>
          <w:rFonts w:ascii="Times New Roman" w:hAnsi="Times New Roman" w:cs="Times New Roman"/>
        </w:rPr>
        <w:t xml:space="preserve"> The Court of Appeal took a very dim view of the </w:t>
      </w:r>
      <w:r w:rsidR="00A07710" w:rsidRPr="00AF29BF">
        <w:rPr>
          <w:rFonts w:ascii="Times New Roman" w:hAnsi="Times New Roman" w:cs="Times New Roman"/>
        </w:rPr>
        <w:t>illegitimate conduct from the judiciary</w:t>
      </w:r>
      <w:r w:rsidRPr="00AF29BF">
        <w:rPr>
          <w:rFonts w:ascii="Times New Roman" w:hAnsi="Times New Roman" w:cs="Times New Roman"/>
        </w:rPr>
        <w:t xml:space="preserve"> of the judge</w:t>
      </w:r>
      <w:r w:rsidR="00A07710" w:rsidRPr="00AF29BF">
        <w:rPr>
          <w:rFonts w:ascii="Times New Roman" w:hAnsi="Times New Roman" w:cs="Times New Roman"/>
        </w:rPr>
        <w:t xml:space="preserve">. In </w:t>
      </w:r>
      <w:r w:rsidR="00A07710" w:rsidRPr="00AF29BF">
        <w:rPr>
          <w:rFonts w:ascii="Times New Roman" w:hAnsi="Times New Roman" w:cs="Times New Roman"/>
          <w:i/>
        </w:rPr>
        <w:t>Barnes</w:t>
      </w:r>
      <w:r w:rsidR="00A07710" w:rsidRPr="00AF29BF">
        <w:rPr>
          <w:rStyle w:val="FootnoteReference"/>
          <w:rFonts w:ascii="Times New Roman" w:hAnsi="Times New Roman" w:cs="Times New Roman"/>
        </w:rPr>
        <w:footnoteReference w:id="46"/>
      </w:r>
      <w:r w:rsidR="00A07710" w:rsidRPr="00AF29BF">
        <w:rPr>
          <w:rFonts w:ascii="Times New Roman" w:hAnsi="Times New Roman" w:cs="Times New Roman"/>
        </w:rPr>
        <w:t xml:space="preserve"> the judge informed the defence that he takes ‘a serious view of hopeless cases …</w:t>
      </w:r>
      <w:r w:rsidR="003E0E97" w:rsidRPr="00AF29BF">
        <w:rPr>
          <w:rFonts w:ascii="Times New Roman" w:hAnsi="Times New Roman" w:cs="Times New Roman"/>
        </w:rPr>
        <w:t xml:space="preserve"> contested at public expense’</w:t>
      </w:r>
      <w:r w:rsidR="00A07710" w:rsidRPr="00AF29BF">
        <w:rPr>
          <w:rFonts w:ascii="Times New Roman" w:hAnsi="Times New Roman" w:cs="Times New Roman"/>
        </w:rPr>
        <w:t>. The Court of Appeal quashed the conviction because of the ‘wholly improper’ conduct of the judge in exerting pressure to enter a guilty plea.</w:t>
      </w:r>
      <w:r w:rsidR="00A07710" w:rsidRPr="00AF29BF">
        <w:rPr>
          <w:rStyle w:val="FootnoteReference"/>
          <w:rFonts w:ascii="Times New Roman" w:hAnsi="Times New Roman" w:cs="Times New Roman"/>
        </w:rPr>
        <w:footnoteReference w:id="47"/>
      </w:r>
      <w:r w:rsidR="00A07710" w:rsidRPr="00AF29BF">
        <w:rPr>
          <w:rFonts w:ascii="Times New Roman" w:hAnsi="Times New Roman" w:cs="Times New Roman"/>
        </w:rPr>
        <w:t xml:space="preserve"> </w:t>
      </w:r>
    </w:p>
    <w:p w14:paraId="0BFB6BEB" w14:textId="77777777" w:rsidR="001D3CFA" w:rsidRPr="00AF29BF" w:rsidRDefault="001D3CFA" w:rsidP="00916253">
      <w:pPr>
        <w:tabs>
          <w:tab w:val="left" w:pos="1620"/>
        </w:tabs>
        <w:jc w:val="both"/>
        <w:rPr>
          <w:rFonts w:ascii="Times New Roman" w:hAnsi="Times New Roman" w:cs="Times New Roman"/>
        </w:rPr>
      </w:pPr>
    </w:p>
    <w:p w14:paraId="4767BC96" w14:textId="29AE985D" w:rsidR="001D3CFA" w:rsidRPr="00AF29BF" w:rsidRDefault="001D3CFA" w:rsidP="00916253">
      <w:pPr>
        <w:tabs>
          <w:tab w:val="left" w:pos="1620"/>
        </w:tabs>
        <w:jc w:val="both"/>
        <w:rPr>
          <w:rFonts w:ascii="Times New Roman" w:hAnsi="Times New Roman" w:cs="Times New Roman"/>
        </w:rPr>
      </w:pPr>
      <w:r w:rsidRPr="00AF29BF">
        <w:rPr>
          <w:rFonts w:ascii="Times New Roman" w:hAnsi="Times New Roman" w:cs="Times New Roman"/>
        </w:rPr>
        <w:lastRenderedPageBreak/>
        <w:t xml:space="preserve">If the judiciary </w:t>
      </w:r>
      <w:r w:rsidR="00F45B6A" w:rsidRPr="00AF29BF">
        <w:rPr>
          <w:rFonts w:ascii="Times New Roman" w:hAnsi="Times New Roman" w:cs="Times New Roman"/>
        </w:rPr>
        <w:t>re</w:t>
      </w:r>
      <w:r w:rsidRPr="00AF29BF">
        <w:rPr>
          <w:rFonts w:ascii="Times New Roman" w:hAnsi="Times New Roman" w:cs="Times New Roman"/>
        </w:rPr>
        <w:t xml:space="preserve">sumes the role of an active participant in proceedings he </w:t>
      </w:r>
      <w:r w:rsidR="00FE3A0D" w:rsidRPr="00AF29BF">
        <w:rPr>
          <w:rFonts w:ascii="Times New Roman" w:hAnsi="Times New Roman" w:cs="Times New Roman"/>
        </w:rPr>
        <w:t xml:space="preserve">clearly </w:t>
      </w:r>
      <w:r w:rsidRPr="00AF29BF">
        <w:rPr>
          <w:rFonts w:ascii="Times New Roman" w:hAnsi="Times New Roman" w:cs="Times New Roman"/>
        </w:rPr>
        <w:t xml:space="preserve">runs the risk of </w:t>
      </w:r>
      <w:proofErr w:type="spellStart"/>
      <w:r w:rsidRPr="00AF29BF">
        <w:rPr>
          <w:rFonts w:ascii="Times New Roman" w:hAnsi="Times New Roman" w:cs="Times New Roman"/>
        </w:rPr>
        <w:t>jeopordising</w:t>
      </w:r>
      <w:proofErr w:type="spellEnd"/>
      <w:r w:rsidRPr="00AF29BF">
        <w:rPr>
          <w:rFonts w:ascii="Times New Roman" w:hAnsi="Times New Roman" w:cs="Times New Roman"/>
        </w:rPr>
        <w:t xml:space="preserve"> the right to a fair trial of the accused. </w:t>
      </w:r>
      <w:r w:rsidR="0058726C" w:rsidRPr="00AF29BF">
        <w:rPr>
          <w:rFonts w:ascii="Times New Roman" w:hAnsi="Times New Roman" w:cs="Times New Roman"/>
        </w:rPr>
        <w:t>In the</w:t>
      </w:r>
      <w:r w:rsidR="00B0504F" w:rsidRPr="00AF29BF">
        <w:rPr>
          <w:rFonts w:ascii="Times New Roman" w:hAnsi="Times New Roman" w:cs="Times New Roman"/>
        </w:rPr>
        <w:t xml:space="preserve"> </w:t>
      </w:r>
      <w:r w:rsidRPr="00AF29BF">
        <w:rPr>
          <w:rFonts w:ascii="Times New Roman" w:hAnsi="Times New Roman" w:cs="Times New Roman"/>
        </w:rPr>
        <w:t xml:space="preserve">Irish case of </w:t>
      </w:r>
      <w:proofErr w:type="spellStart"/>
      <w:r w:rsidRPr="00AF29BF">
        <w:rPr>
          <w:rFonts w:ascii="Times New Roman" w:hAnsi="Times New Roman" w:cs="Times New Roman"/>
          <w:i/>
        </w:rPr>
        <w:t>Phelim</w:t>
      </w:r>
      <w:proofErr w:type="spellEnd"/>
      <w:r w:rsidRPr="00AF29BF">
        <w:rPr>
          <w:rFonts w:ascii="Times New Roman" w:hAnsi="Times New Roman" w:cs="Times New Roman"/>
          <w:i/>
        </w:rPr>
        <w:t xml:space="preserve"> McGuinness</w:t>
      </w:r>
      <w:r w:rsidRPr="00AF29BF">
        <w:rPr>
          <w:rStyle w:val="FootnoteReference"/>
          <w:rFonts w:ascii="Times New Roman" w:hAnsi="Times New Roman" w:cs="Times New Roman"/>
        </w:rPr>
        <w:footnoteReference w:id="48"/>
      </w:r>
      <w:r w:rsidRPr="00AF29BF">
        <w:rPr>
          <w:rFonts w:ascii="Times New Roman" w:hAnsi="Times New Roman" w:cs="Times New Roman"/>
        </w:rPr>
        <w:t xml:space="preserve"> the accused was granted leave to appeal, as the interventions of the trial judge rendered the trial unsatisfactory and the verdict potentially unsafe. The Appeal Court held that the active participation by a judge in examination-in-chief is undesirable as it may purport to the accused that the judiciary are lacking impartiality.</w:t>
      </w:r>
      <w:r w:rsidRPr="00AF29BF">
        <w:rPr>
          <w:rStyle w:val="FootnoteReference"/>
          <w:rFonts w:ascii="Times New Roman" w:hAnsi="Times New Roman" w:cs="Times New Roman"/>
        </w:rPr>
        <w:footnoteReference w:id="49"/>
      </w:r>
      <w:r w:rsidRPr="00AF29BF">
        <w:rPr>
          <w:rFonts w:ascii="Times New Roman" w:hAnsi="Times New Roman" w:cs="Times New Roman"/>
        </w:rPr>
        <w:t xml:space="preserve"> During the examination of a defence witness the judge interjected wi</w:t>
      </w:r>
      <w:r w:rsidR="00A01F57" w:rsidRPr="00AF29BF">
        <w:rPr>
          <w:rFonts w:ascii="Times New Roman" w:hAnsi="Times New Roman" w:cs="Times New Roman"/>
        </w:rPr>
        <w:t>th twenty consecutive questions. As a result</w:t>
      </w:r>
      <w:r w:rsidR="00CE564F" w:rsidRPr="00AF29BF">
        <w:rPr>
          <w:rFonts w:ascii="Times New Roman" w:hAnsi="Times New Roman" w:cs="Times New Roman"/>
          <w:lang w:val="en-GB"/>
        </w:rPr>
        <w:t>,</w:t>
      </w:r>
      <w:r w:rsidR="00CE564F" w:rsidRPr="00AF29BF">
        <w:rPr>
          <w:rFonts w:ascii="Times New Roman" w:hAnsi="Times New Roman" w:cs="Times New Roman"/>
        </w:rPr>
        <w:t xml:space="preserve"> the</w:t>
      </w:r>
      <w:r w:rsidR="00A01F57" w:rsidRPr="00AF29BF">
        <w:rPr>
          <w:rFonts w:ascii="Times New Roman" w:hAnsi="Times New Roman" w:cs="Times New Roman"/>
        </w:rPr>
        <w:t xml:space="preserve"> Appeal Court ordered a retrial. </w:t>
      </w:r>
    </w:p>
    <w:p w14:paraId="0F8C4AA3" w14:textId="77777777" w:rsidR="002506A7" w:rsidRPr="00AF29BF" w:rsidRDefault="002506A7" w:rsidP="00916253">
      <w:pPr>
        <w:jc w:val="both"/>
        <w:rPr>
          <w:rFonts w:ascii="Times New Roman" w:hAnsi="Times New Roman" w:cs="Times New Roman"/>
          <w:b/>
        </w:rPr>
      </w:pPr>
    </w:p>
    <w:p w14:paraId="68A6C72B" w14:textId="19F77C10" w:rsidR="003D40F7" w:rsidRPr="00AF29BF" w:rsidRDefault="00FE3A0D" w:rsidP="00916253">
      <w:pPr>
        <w:jc w:val="both"/>
        <w:rPr>
          <w:rFonts w:ascii="Times New Roman" w:hAnsi="Times New Roman" w:cs="Times New Roman"/>
        </w:rPr>
      </w:pPr>
      <w:r w:rsidRPr="00AF29BF">
        <w:rPr>
          <w:rFonts w:ascii="Times New Roman" w:hAnsi="Times New Roman" w:cs="Times New Roman"/>
        </w:rPr>
        <w:t>The</w:t>
      </w:r>
      <w:r w:rsidR="004F6E41" w:rsidRPr="00AF29BF">
        <w:rPr>
          <w:rFonts w:ascii="Times New Roman" w:hAnsi="Times New Roman" w:cs="Times New Roman"/>
        </w:rPr>
        <w:t xml:space="preserve"> aforementioned</w:t>
      </w:r>
      <w:r w:rsidRPr="00AF29BF">
        <w:rPr>
          <w:rFonts w:ascii="Times New Roman" w:hAnsi="Times New Roman" w:cs="Times New Roman"/>
        </w:rPr>
        <w:t xml:space="preserve"> case examples illustrate the boundaries </w:t>
      </w:r>
      <w:r w:rsidR="00F45B6A" w:rsidRPr="00AF29BF">
        <w:rPr>
          <w:rFonts w:ascii="Times New Roman" w:hAnsi="Times New Roman" w:cs="Times New Roman"/>
        </w:rPr>
        <w:t xml:space="preserve">the </w:t>
      </w:r>
      <w:r w:rsidR="000B14E7" w:rsidRPr="00AF29BF">
        <w:rPr>
          <w:rFonts w:ascii="Times New Roman" w:hAnsi="Times New Roman" w:cs="Times New Roman"/>
        </w:rPr>
        <w:t>judiciary face</w:t>
      </w:r>
      <w:r w:rsidR="000B14E7">
        <w:rPr>
          <w:rFonts w:ascii="Times New Roman" w:hAnsi="Times New Roman" w:cs="Times New Roman"/>
        </w:rPr>
        <w:t>d</w:t>
      </w:r>
      <w:r w:rsidRPr="00AF29BF">
        <w:rPr>
          <w:rFonts w:ascii="Times New Roman" w:hAnsi="Times New Roman" w:cs="Times New Roman"/>
        </w:rPr>
        <w:t xml:space="preserve"> in the twentieth</w:t>
      </w:r>
      <w:r w:rsidR="00E5441A" w:rsidRPr="00AF29BF">
        <w:rPr>
          <w:rFonts w:ascii="Times New Roman" w:hAnsi="Times New Roman" w:cs="Times New Roman"/>
        </w:rPr>
        <w:t xml:space="preserve"> century. No longer is </w:t>
      </w:r>
      <w:r w:rsidR="004F6E41" w:rsidRPr="00AF29BF">
        <w:rPr>
          <w:rFonts w:ascii="Times New Roman" w:hAnsi="Times New Roman" w:cs="Times New Roman"/>
        </w:rPr>
        <w:t>the judge</w:t>
      </w:r>
      <w:r w:rsidR="00E5441A" w:rsidRPr="00AF29BF">
        <w:rPr>
          <w:rFonts w:ascii="Times New Roman" w:hAnsi="Times New Roman" w:cs="Times New Roman"/>
        </w:rPr>
        <w:t xml:space="preserve"> an active participant </w:t>
      </w:r>
      <w:r w:rsidR="00FF6BDB" w:rsidRPr="00AF29BF">
        <w:rPr>
          <w:rFonts w:ascii="Times New Roman" w:hAnsi="Times New Roman" w:cs="Times New Roman"/>
        </w:rPr>
        <w:t>who is requested</w:t>
      </w:r>
      <w:r w:rsidR="00E5441A" w:rsidRPr="00AF29BF">
        <w:rPr>
          <w:rFonts w:ascii="Times New Roman" w:hAnsi="Times New Roman" w:cs="Times New Roman"/>
        </w:rPr>
        <w:t xml:space="preserve"> of actively engaging with the witnesses and evidence. However, it is clear that he should not be viewed as the stranger advanced by </w:t>
      </w:r>
      <w:proofErr w:type="spellStart"/>
      <w:r w:rsidR="00E5441A" w:rsidRPr="00AF29BF">
        <w:rPr>
          <w:rFonts w:ascii="Times New Roman" w:hAnsi="Times New Roman" w:cs="Times New Roman"/>
        </w:rPr>
        <w:t>Cottu</w:t>
      </w:r>
      <w:proofErr w:type="spellEnd"/>
      <w:r w:rsidR="00E5441A" w:rsidRPr="00AF29BF">
        <w:rPr>
          <w:rFonts w:ascii="Times New Roman" w:hAnsi="Times New Roman" w:cs="Times New Roman"/>
        </w:rPr>
        <w:t xml:space="preserve"> in the </w:t>
      </w:r>
      <w:r w:rsidR="00FF6BDB" w:rsidRPr="00AF29BF">
        <w:rPr>
          <w:rFonts w:ascii="Times New Roman" w:hAnsi="Times New Roman" w:cs="Times New Roman"/>
        </w:rPr>
        <w:t>formative years</w:t>
      </w:r>
      <w:r w:rsidR="00E5441A" w:rsidRPr="00AF29BF">
        <w:rPr>
          <w:rFonts w:ascii="Times New Roman" w:hAnsi="Times New Roman" w:cs="Times New Roman"/>
        </w:rPr>
        <w:t xml:space="preserve"> of the adversarial trial. Both Greene MR and Denning LJ state</w:t>
      </w:r>
      <w:r w:rsidR="00FF6BDB" w:rsidRPr="00AF29BF">
        <w:rPr>
          <w:rFonts w:ascii="Times New Roman" w:hAnsi="Times New Roman" w:cs="Times New Roman"/>
        </w:rPr>
        <w:t xml:space="preserve"> </w:t>
      </w:r>
      <w:r w:rsidR="007407F0" w:rsidRPr="00AF29BF">
        <w:rPr>
          <w:rFonts w:ascii="Times New Roman" w:hAnsi="Times New Roman" w:cs="Times New Roman"/>
        </w:rPr>
        <w:t>the role of the judge is more than merely a</w:t>
      </w:r>
      <w:r w:rsidR="00F45B6A" w:rsidRPr="00AF29BF">
        <w:rPr>
          <w:rFonts w:ascii="Times New Roman" w:hAnsi="Times New Roman" w:cs="Times New Roman"/>
        </w:rPr>
        <w:t xml:space="preserve"> cricket</w:t>
      </w:r>
      <w:r w:rsidR="007407F0" w:rsidRPr="00AF29BF">
        <w:rPr>
          <w:rFonts w:ascii="Times New Roman" w:hAnsi="Times New Roman" w:cs="Times New Roman"/>
        </w:rPr>
        <w:t xml:space="preserve"> umpire asking ‘how’s that? His object, above all is to find the truth’.</w:t>
      </w:r>
      <w:r w:rsidR="007407F0" w:rsidRPr="00AF29BF">
        <w:rPr>
          <w:rStyle w:val="FootnoteReference"/>
          <w:rFonts w:ascii="Times New Roman" w:hAnsi="Times New Roman" w:cs="Times New Roman"/>
        </w:rPr>
        <w:footnoteReference w:id="50"/>
      </w:r>
      <w:r w:rsidR="007407F0" w:rsidRPr="00AF29BF">
        <w:rPr>
          <w:rFonts w:ascii="Times New Roman" w:hAnsi="Times New Roman" w:cs="Times New Roman"/>
        </w:rPr>
        <w:t xml:space="preserve"> </w:t>
      </w:r>
      <w:r w:rsidR="00E5441A" w:rsidRPr="00AF29BF">
        <w:rPr>
          <w:rFonts w:ascii="Times New Roman" w:hAnsi="Times New Roman" w:cs="Times New Roman"/>
        </w:rPr>
        <w:t xml:space="preserve"> </w:t>
      </w:r>
      <w:r w:rsidR="005D348D">
        <w:rPr>
          <w:rFonts w:ascii="Times New Roman" w:hAnsi="Times New Roman" w:cs="Times New Roman"/>
        </w:rPr>
        <w:t>I</w:t>
      </w:r>
      <w:r w:rsidR="007407F0" w:rsidRPr="00AF29BF">
        <w:rPr>
          <w:rFonts w:ascii="Times New Roman" w:hAnsi="Times New Roman" w:cs="Times New Roman"/>
        </w:rPr>
        <w:t>t is clear that the judge is more tha</w:t>
      </w:r>
      <w:r w:rsidR="009B239D" w:rsidRPr="00AF29BF">
        <w:rPr>
          <w:rFonts w:ascii="Times New Roman" w:hAnsi="Times New Roman" w:cs="Times New Roman"/>
        </w:rPr>
        <w:t xml:space="preserve">n a mere umpire in proceedings but issues exist </w:t>
      </w:r>
      <w:r w:rsidR="005D348D">
        <w:rPr>
          <w:rFonts w:ascii="Times New Roman" w:hAnsi="Times New Roman" w:cs="Times New Roman"/>
        </w:rPr>
        <w:t>in</w:t>
      </w:r>
      <w:r w:rsidR="009B239D" w:rsidRPr="00AF29BF">
        <w:rPr>
          <w:rFonts w:ascii="Times New Roman" w:hAnsi="Times New Roman" w:cs="Times New Roman"/>
        </w:rPr>
        <w:t xml:space="preserve"> delineating the boundaries. Silverman suggests </w:t>
      </w:r>
      <w:r w:rsidR="00844D41" w:rsidRPr="00AF29BF">
        <w:rPr>
          <w:rFonts w:ascii="Times New Roman" w:hAnsi="Times New Roman" w:cs="Times New Roman"/>
        </w:rPr>
        <w:t xml:space="preserve">the judge can be a pilot who guides the trial along orderly lines but is confined within the rules of evidence and procedure. This </w:t>
      </w:r>
      <w:r w:rsidR="002E4FFC" w:rsidRPr="00AF29BF">
        <w:rPr>
          <w:rFonts w:ascii="Times New Roman" w:hAnsi="Times New Roman" w:cs="Times New Roman"/>
          <w:lang w:val="en-GB"/>
        </w:rPr>
        <w:t>steering role</w:t>
      </w:r>
      <w:r w:rsidR="00844D41" w:rsidRPr="00AF29BF">
        <w:rPr>
          <w:rFonts w:ascii="Times New Roman" w:hAnsi="Times New Roman" w:cs="Times New Roman"/>
        </w:rPr>
        <w:t xml:space="preserve"> means </w:t>
      </w:r>
      <w:r w:rsidR="009170AF" w:rsidRPr="00AF29BF">
        <w:rPr>
          <w:rFonts w:ascii="Times New Roman" w:hAnsi="Times New Roman" w:cs="Times New Roman"/>
        </w:rPr>
        <w:t xml:space="preserve">that he can be considered </w:t>
      </w:r>
      <w:r w:rsidR="00844D41" w:rsidRPr="00AF29BF">
        <w:rPr>
          <w:rFonts w:ascii="Times New Roman" w:hAnsi="Times New Roman" w:cs="Times New Roman"/>
        </w:rPr>
        <w:t>less than a participant</w:t>
      </w:r>
      <w:r w:rsidR="009170AF" w:rsidRPr="00AF29BF">
        <w:rPr>
          <w:rFonts w:ascii="Times New Roman" w:hAnsi="Times New Roman" w:cs="Times New Roman"/>
        </w:rPr>
        <w:t>,</w:t>
      </w:r>
      <w:r w:rsidR="00844D41" w:rsidRPr="00AF29BF">
        <w:rPr>
          <w:rFonts w:ascii="Times New Roman" w:hAnsi="Times New Roman" w:cs="Times New Roman"/>
        </w:rPr>
        <w:t xml:space="preserve"> as he refrains from entering the fray of combat but </w:t>
      </w:r>
      <w:r w:rsidR="002E4FFC" w:rsidRPr="00AF29BF">
        <w:rPr>
          <w:rFonts w:ascii="Times New Roman" w:hAnsi="Times New Roman" w:cs="Times New Roman"/>
          <w:lang w:val="en-GB"/>
        </w:rPr>
        <w:t xml:space="preserve">is </w:t>
      </w:r>
      <w:r w:rsidR="00844D41" w:rsidRPr="00AF29BF">
        <w:rPr>
          <w:rFonts w:ascii="Times New Roman" w:hAnsi="Times New Roman" w:cs="Times New Roman"/>
        </w:rPr>
        <w:t>more than a sporting umpire.</w:t>
      </w:r>
      <w:r w:rsidR="00844D41" w:rsidRPr="00AF29BF">
        <w:rPr>
          <w:rStyle w:val="FootnoteReference"/>
          <w:rFonts w:ascii="Times New Roman" w:hAnsi="Times New Roman" w:cs="Times New Roman"/>
        </w:rPr>
        <w:footnoteReference w:id="51"/>
      </w:r>
    </w:p>
    <w:p w14:paraId="5AC509F8" w14:textId="77777777" w:rsidR="003D40F7" w:rsidRPr="00AF29BF" w:rsidRDefault="003D40F7" w:rsidP="00916253">
      <w:pPr>
        <w:jc w:val="both"/>
        <w:rPr>
          <w:rFonts w:ascii="Times New Roman" w:hAnsi="Times New Roman" w:cs="Times New Roman"/>
        </w:rPr>
      </w:pPr>
    </w:p>
    <w:p w14:paraId="3B7AC4AC" w14:textId="58EBCD22" w:rsidR="003D40F7" w:rsidRDefault="002412F5" w:rsidP="00916253">
      <w:pPr>
        <w:pStyle w:val="ListParagraph"/>
        <w:numPr>
          <w:ilvl w:val="0"/>
          <w:numId w:val="1"/>
        </w:numPr>
        <w:jc w:val="both"/>
        <w:rPr>
          <w:rFonts w:ascii="Times New Roman" w:hAnsi="Times New Roman" w:cs="Times New Roman"/>
          <w:b/>
          <w:sz w:val="28"/>
          <w:szCs w:val="28"/>
        </w:rPr>
      </w:pPr>
      <w:r w:rsidRPr="00AF29BF">
        <w:rPr>
          <w:rFonts w:ascii="Times New Roman" w:hAnsi="Times New Roman" w:cs="Times New Roman"/>
          <w:b/>
          <w:sz w:val="28"/>
          <w:szCs w:val="28"/>
        </w:rPr>
        <w:t>The Twenty-First Century: A ‘Sea Change’</w:t>
      </w:r>
      <w:r w:rsidR="0058726C">
        <w:rPr>
          <w:rFonts w:ascii="Times New Roman" w:hAnsi="Times New Roman" w:cs="Times New Roman"/>
          <w:b/>
          <w:sz w:val="28"/>
          <w:szCs w:val="28"/>
        </w:rPr>
        <w:t xml:space="preserve"> and a Shifting Pendulum</w:t>
      </w:r>
    </w:p>
    <w:p w14:paraId="2FDA259E" w14:textId="77777777" w:rsidR="005D348D" w:rsidRPr="00AF29BF" w:rsidRDefault="005D348D" w:rsidP="005D348D">
      <w:pPr>
        <w:pStyle w:val="ListParagraph"/>
        <w:jc w:val="both"/>
        <w:rPr>
          <w:rFonts w:ascii="Times New Roman" w:hAnsi="Times New Roman" w:cs="Times New Roman"/>
          <w:b/>
          <w:sz w:val="28"/>
          <w:szCs w:val="28"/>
        </w:rPr>
      </w:pPr>
    </w:p>
    <w:p w14:paraId="68DC25BA" w14:textId="10290C18" w:rsidR="00E15F68" w:rsidRPr="00AF29BF" w:rsidRDefault="0035407E" w:rsidP="00916253">
      <w:pPr>
        <w:jc w:val="both"/>
        <w:rPr>
          <w:rFonts w:ascii="Times New Roman" w:hAnsi="Times New Roman" w:cs="Times New Roman"/>
        </w:rPr>
      </w:pPr>
      <w:r w:rsidRPr="00AF29BF">
        <w:rPr>
          <w:rFonts w:ascii="Times New Roman" w:hAnsi="Times New Roman" w:cs="Times New Roman"/>
        </w:rPr>
        <w:t>With the advent of the adversarial criminal trial the role of the</w:t>
      </w:r>
      <w:r w:rsidR="00CE564F" w:rsidRPr="00AF29BF">
        <w:rPr>
          <w:rFonts w:ascii="Times New Roman" w:hAnsi="Times New Roman" w:cs="Times New Roman"/>
          <w:lang w:val="en-GB"/>
        </w:rPr>
        <w:t xml:space="preserve"> j</w:t>
      </w:r>
      <w:r w:rsidR="002E4FFC" w:rsidRPr="00AF29BF">
        <w:rPr>
          <w:rFonts w:ascii="Times New Roman" w:hAnsi="Times New Roman" w:cs="Times New Roman"/>
          <w:lang w:val="en-GB"/>
        </w:rPr>
        <w:t>udge</w:t>
      </w:r>
      <w:r w:rsidRPr="00AF29BF">
        <w:rPr>
          <w:rFonts w:ascii="Times New Roman" w:hAnsi="Times New Roman" w:cs="Times New Roman"/>
        </w:rPr>
        <w:t xml:space="preserve"> was </w:t>
      </w:r>
      <w:r w:rsidR="009170AF" w:rsidRPr="00AF29BF">
        <w:rPr>
          <w:rFonts w:ascii="Times New Roman" w:hAnsi="Times New Roman" w:cs="Times New Roman"/>
        </w:rPr>
        <w:t xml:space="preserve">demoted </w:t>
      </w:r>
      <w:r w:rsidRPr="00AF29BF">
        <w:rPr>
          <w:rFonts w:ascii="Times New Roman" w:hAnsi="Times New Roman" w:cs="Times New Roman"/>
        </w:rPr>
        <w:t>from active participant to that of a pilot who was responsible for guiding the trial to completion. This remained the quintessential approach until the e</w:t>
      </w:r>
      <w:r w:rsidR="00CC768B" w:rsidRPr="00AF29BF">
        <w:rPr>
          <w:rFonts w:ascii="Times New Roman" w:hAnsi="Times New Roman" w:cs="Times New Roman"/>
        </w:rPr>
        <w:t>arly part of the new millennium where</w:t>
      </w:r>
      <w:r w:rsidRPr="00AF29BF">
        <w:rPr>
          <w:rFonts w:ascii="Times New Roman" w:hAnsi="Times New Roman" w:cs="Times New Roman"/>
        </w:rPr>
        <w:t xml:space="preserve"> tension arose between </w:t>
      </w:r>
      <w:r w:rsidR="00B266DE" w:rsidRPr="00AF29BF">
        <w:rPr>
          <w:rFonts w:ascii="Times New Roman" w:hAnsi="Times New Roman" w:cs="Times New Roman"/>
        </w:rPr>
        <w:t>the judiciary’s</w:t>
      </w:r>
      <w:r w:rsidRPr="00AF29BF">
        <w:rPr>
          <w:rFonts w:ascii="Times New Roman" w:hAnsi="Times New Roman" w:cs="Times New Roman"/>
        </w:rPr>
        <w:t xml:space="preserve"> approach to case management</w:t>
      </w:r>
      <w:r w:rsidR="0059503E" w:rsidRPr="00AF29BF">
        <w:rPr>
          <w:rFonts w:ascii="Times New Roman" w:hAnsi="Times New Roman" w:cs="Times New Roman"/>
        </w:rPr>
        <w:t xml:space="preserve"> and judicial demeanor. </w:t>
      </w:r>
      <w:r w:rsidR="00AC21AE" w:rsidRPr="00AF29BF">
        <w:rPr>
          <w:rFonts w:ascii="Times New Roman" w:hAnsi="Times New Roman" w:cs="Times New Roman"/>
        </w:rPr>
        <w:t xml:space="preserve">Lord Justice </w:t>
      </w:r>
      <w:proofErr w:type="spellStart"/>
      <w:r w:rsidR="00AC21AE" w:rsidRPr="00AF29BF">
        <w:rPr>
          <w:rFonts w:ascii="Times New Roman" w:hAnsi="Times New Roman" w:cs="Times New Roman"/>
        </w:rPr>
        <w:t>Auld’s</w:t>
      </w:r>
      <w:proofErr w:type="spellEnd"/>
      <w:r w:rsidR="00AC21AE" w:rsidRPr="00AF29BF">
        <w:rPr>
          <w:rFonts w:ascii="Times New Roman" w:hAnsi="Times New Roman" w:cs="Times New Roman"/>
        </w:rPr>
        <w:t xml:space="preserve"> </w:t>
      </w:r>
      <w:r w:rsidR="00AC21AE" w:rsidRPr="00AF29BF">
        <w:rPr>
          <w:rFonts w:ascii="Times New Roman" w:hAnsi="Times New Roman" w:cs="Times New Roman"/>
          <w:i/>
        </w:rPr>
        <w:t>Review of the Criminal Courts of England and Wales</w:t>
      </w:r>
      <w:r w:rsidR="00AC21AE" w:rsidRPr="005D348D">
        <w:rPr>
          <w:rStyle w:val="FootnoteReference"/>
          <w:rFonts w:ascii="Times New Roman" w:hAnsi="Times New Roman" w:cs="Times New Roman"/>
        </w:rPr>
        <w:footnoteReference w:id="52"/>
      </w:r>
      <w:r w:rsidR="00AC21AE" w:rsidRPr="005D348D">
        <w:rPr>
          <w:rFonts w:ascii="Times New Roman" w:hAnsi="Times New Roman" w:cs="Times New Roman"/>
        </w:rPr>
        <w:t xml:space="preserve"> (</w:t>
      </w:r>
      <w:r w:rsidR="00AC21AE" w:rsidRPr="00AF29BF">
        <w:rPr>
          <w:rFonts w:ascii="Times New Roman" w:hAnsi="Times New Roman" w:cs="Times New Roman"/>
        </w:rPr>
        <w:t xml:space="preserve">hereafter, the Auld Review) provided the catalyst for a change in judicial demeanor. Auld LJ suggested that </w:t>
      </w:r>
      <w:r w:rsidR="00010B61" w:rsidRPr="00AF29BF">
        <w:rPr>
          <w:rFonts w:ascii="Times New Roman" w:hAnsi="Times New Roman" w:cs="Times New Roman"/>
        </w:rPr>
        <w:t xml:space="preserve">the </w:t>
      </w:r>
      <w:r w:rsidR="000F70B7" w:rsidRPr="00AF29BF">
        <w:rPr>
          <w:rFonts w:ascii="Times New Roman" w:hAnsi="Times New Roman" w:cs="Times New Roman"/>
        </w:rPr>
        <w:t>‘criminal trial is not a game under which a guilty to defendant should be provided with a sporting chance. It is a search for the truth …’</w:t>
      </w:r>
      <w:r w:rsidR="000F70B7" w:rsidRPr="00AF29BF">
        <w:rPr>
          <w:rStyle w:val="FootnoteReference"/>
          <w:rFonts w:ascii="Times New Roman" w:hAnsi="Times New Roman" w:cs="Times New Roman"/>
        </w:rPr>
        <w:footnoteReference w:id="53"/>
      </w:r>
      <w:r w:rsidR="000F70B7" w:rsidRPr="00AF29BF">
        <w:rPr>
          <w:rFonts w:ascii="Times New Roman" w:hAnsi="Times New Roman" w:cs="Times New Roman"/>
        </w:rPr>
        <w:t xml:space="preserve"> </w:t>
      </w:r>
      <w:proofErr w:type="gramStart"/>
      <w:r w:rsidR="0082646F" w:rsidRPr="00AF29BF">
        <w:rPr>
          <w:rFonts w:ascii="Times New Roman" w:hAnsi="Times New Roman" w:cs="Times New Roman"/>
        </w:rPr>
        <w:t>In</w:t>
      </w:r>
      <w:proofErr w:type="gramEnd"/>
      <w:r w:rsidR="0082646F" w:rsidRPr="00AF29BF">
        <w:rPr>
          <w:rFonts w:ascii="Times New Roman" w:hAnsi="Times New Roman" w:cs="Times New Roman"/>
        </w:rPr>
        <w:t xml:space="preserve"> the wake of the Auld Review </w:t>
      </w:r>
      <w:r w:rsidR="009170AF" w:rsidRPr="00AF29BF">
        <w:rPr>
          <w:rFonts w:ascii="Times New Roman" w:hAnsi="Times New Roman" w:cs="Times New Roman"/>
        </w:rPr>
        <w:t xml:space="preserve">the </w:t>
      </w:r>
      <w:r w:rsidR="0082646F" w:rsidRPr="00AF29BF">
        <w:rPr>
          <w:rFonts w:ascii="Times New Roman" w:hAnsi="Times New Roman" w:cs="Times New Roman"/>
        </w:rPr>
        <w:t xml:space="preserve">judiciary began to embrace </w:t>
      </w:r>
      <w:r w:rsidR="00E15F68" w:rsidRPr="00AF29BF">
        <w:rPr>
          <w:rFonts w:ascii="Times New Roman" w:hAnsi="Times New Roman" w:cs="Times New Roman"/>
        </w:rPr>
        <w:t>their</w:t>
      </w:r>
      <w:r w:rsidR="0082646F" w:rsidRPr="00AF29BF">
        <w:rPr>
          <w:rFonts w:ascii="Times New Roman" w:hAnsi="Times New Roman" w:cs="Times New Roman"/>
        </w:rPr>
        <w:t xml:space="preserve"> </w:t>
      </w:r>
      <w:r w:rsidR="005D348D">
        <w:rPr>
          <w:rFonts w:ascii="Times New Roman" w:hAnsi="Times New Roman" w:cs="Times New Roman"/>
        </w:rPr>
        <w:t>changing</w:t>
      </w:r>
      <w:r w:rsidR="009170AF" w:rsidRPr="00AF29BF">
        <w:rPr>
          <w:rFonts w:ascii="Times New Roman" w:hAnsi="Times New Roman" w:cs="Times New Roman"/>
        </w:rPr>
        <w:t xml:space="preserve"> </w:t>
      </w:r>
      <w:r w:rsidR="0082646F" w:rsidRPr="00AF29BF">
        <w:rPr>
          <w:rFonts w:ascii="Times New Roman" w:hAnsi="Times New Roman" w:cs="Times New Roman"/>
        </w:rPr>
        <w:t>role.</w:t>
      </w:r>
      <w:r w:rsidR="00C7283B" w:rsidRPr="00AF29BF">
        <w:rPr>
          <w:rFonts w:ascii="Times New Roman" w:hAnsi="Times New Roman" w:cs="Times New Roman"/>
        </w:rPr>
        <w:t xml:space="preserve"> </w:t>
      </w:r>
      <w:r w:rsidR="0082646F" w:rsidRPr="00AF29BF">
        <w:rPr>
          <w:rFonts w:ascii="Times New Roman" w:hAnsi="Times New Roman" w:cs="Times New Roman"/>
        </w:rPr>
        <w:t xml:space="preserve">In </w:t>
      </w:r>
      <w:proofErr w:type="spellStart"/>
      <w:r w:rsidR="0082646F" w:rsidRPr="00AF29BF">
        <w:rPr>
          <w:rFonts w:ascii="Times New Roman" w:hAnsi="Times New Roman" w:cs="Times New Roman"/>
          <w:i/>
        </w:rPr>
        <w:t>Chabaan</w:t>
      </w:r>
      <w:proofErr w:type="spellEnd"/>
      <w:r w:rsidR="009B1FEC" w:rsidRPr="00AF29BF">
        <w:rPr>
          <w:rStyle w:val="FootnoteReference"/>
          <w:rFonts w:ascii="Times New Roman" w:hAnsi="Times New Roman" w:cs="Times New Roman"/>
        </w:rPr>
        <w:footnoteReference w:id="54"/>
      </w:r>
      <w:r w:rsidR="00B9197E" w:rsidRPr="00AF29BF">
        <w:rPr>
          <w:rFonts w:ascii="Times New Roman" w:hAnsi="Times New Roman" w:cs="Times New Roman"/>
          <w:i/>
        </w:rPr>
        <w:t xml:space="preserve"> </w:t>
      </w:r>
      <w:r w:rsidR="0058726C">
        <w:rPr>
          <w:rFonts w:ascii="Times New Roman" w:hAnsi="Times New Roman" w:cs="Times New Roman"/>
        </w:rPr>
        <w:t>t</w:t>
      </w:r>
      <w:r w:rsidR="009B1FEC" w:rsidRPr="00AF29BF">
        <w:rPr>
          <w:rFonts w:ascii="Times New Roman" w:hAnsi="Times New Roman" w:cs="Times New Roman"/>
        </w:rPr>
        <w:t xml:space="preserve">he judge refused the application on the basis </w:t>
      </w:r>
      <w:r w:rsidR="00F23088" w:rsidRPr="00AF29BF">
        <w:rPr>
          <w:rFonts w:ascii="Times New Roman" w:hAnsi="Times New Roman" w:cs="Times New Roman"/>
          <w:lang w:val="en-GB"/>
        </w:rPr>
        <w:t xml:space="preserve">that </w:t>
      </w:r>
      <w:r w:rsidR="009B1FEC" w:rsidRPr="00AF29BF">
        <w:rPr>
          <w:rFonts w:ascii="Times New Roman" w:hAnsi="Times New Roman" w:cs="Times New Roman"/>
        </w:rPr>
        <w:t>he expected the case to be dealt with expeditiously and it should not conclude beyond a pre-defined date. The defendant was convict</w:t>
      </w:r>
      <w:r w:rsidR="00EF773C" w:rsidRPr="00AF29BF">
        <w:rPr>
          <w:rFonts w:ascii="Times New Roman" w:hAnsi="Times New Roman" w:cs="Times New Roman"/>
        </w:rPr>
        <w:t>ed</w:t>
      </w:r>
      <w:r w:rsidR="009B1FEC" w:rsidRPr="00AF29BF">
        <w:rPr>
          <w:rFonts w:ascii="Times New Roman" w:hAnsi="Times New Roman" w:cs="Times New Roman"/>
        </w:rPr>
        <w:t xml:space="preserve"> and he appealed on the basis, </w:t>
      </w:r>
      <w:r w:rsidR="009B1FEC" w:rsidRPr="00AF29BF">
        <w:rPr>
          <w:rFonts w:ascii="Times New Roman" w:hAnsi="Times New Roman" w:cs="Times New Roman"/>
          <w:i/>
        </w:rPr>
        <w:t>inter alia</w:t>
      </w:r>
      <w:r w:rsidR="009B1FEC" w:rsidRPr="00AF29BF">
        <w:rPr>
          <w:rFonts w:ascii="Times New Roman" w:hAnsi="Times New Roman" w:cs="Times New Roman"/>
        </w:rPr>
        <w:t xml:space="preserve">, </w:t>
      </w:r>
      <w:r w:rsidR="009170AF" w:rsidRPr="00AF29BF">
        <w:rPr>
          <w:rFonts w:ascii="Times New Roman" w:hAnsi="Times New Roman" w:cs="Times New Roman"/>
        </w:rPr>
        <w:t xml:space="preserve">that </w:t>
      </w:r>
      <w:r w:rsidR="009B1FEC" w:rsidRPr="00AF29BF">
        <w:rPr>
          <w:rFonts w:ascii="Times New Roman" w:hAnsi="Times New Roman" w:cs="Times New Roman"/>
        </w:rPr>
        <w:t xml:space="preserve">the judge should not have refused the expert application. </w:t>
      </w:r>
      <w:r w:rsidR="002B49BA" w:rsidRPr="00AF29BF">
        <w:rPr>
          <w:rFonts w:ascii="Times New Roman" w:hAnsi="Times New Roman" w:cs="Times New Roman"/>
        </w:rPr>
        <w:t>The appeal was dismissed and Judge LJ stated that ‘a judge has always been responsible for managing the trial … that is one of his most important functions’.</w:t>
      </w:r>
      <w:r w:rsidR="002B49BA" w:rsidRPr="00AF29BF">
        <w:rPr>
          <w:rStyle w:val="FootnoteReference"/>
          <w:rFonts w:ascii="Times New Roman" w:hAnsi="Times New Roman" w:cs="Times New Roman"/>
        </w:rPr>
        <w:footnoteReference w:id="55"/>
      </w:r>
      <w:r w:rsidR="002B49BA" w:rsidRPr="00AF29BF">
        <w:rPr>
          <w:rFonts w:ascii="Times New Roman" w:hAnsi="Times New Roman" w:cs="Times New Roman"/>
        </w:rPr>
        <w:t xml:space="preserve"> Judge LJ highlighted the importance of dealing with cases expeditiously. He said that ‘time is not unlimited … the entitlement of a fair trial is not inconsistent with proper judicial control over the use of time … every trial that takes longer than necessary is wasteful </w:t>
      </w:r>
      <w:r w:rsidR="002B49BA" w:rsidRPr="00AF29BF">
        <w:rPr>
          <w:rFonts w:ascii="Times New Roman" w:hAnsi="Times New Roman" w:cs="Times New Roman"/>
        </w:rPr>
        <w:lastRenderedPageBreak/>
        <w:t>of limited resources.’</w:t>
      </w:r>
      <w:r w:rsidR="002B49BA" w:rsidRPr="00AF29BF">
        <w:rPr>
          <w:rStyle w:val="FootnoteReference"/>
          <w:rFonts w:ascii="Times New Roman" w:hAnsi="Times New Roman" w:cs="Times New Roman"/>
        </w:rPr>
        <w:footnoteReference w:id="56"/>
      </w:r>
      <w:r w:rsidR="002B49BA" w:rsidRPr="00AF29BF">
        <w:rPr>
          <w:rFonts w:ascii="Times New Roman" w:hAnsi="Times New Roman" w:cs="Times New Roman"/>
        </w:rPr>
        <w:t xml:space="preserve"> The importance of dealing with cases efficiently and effectively is </w:t>
      </w:r>
      <w:r w:rsidR="00FE58C3" w:rsidRPr="00AF29BF">
        <w:rPr>
          <w:rFonts w:ascii="Times New Roman" w:hAnsi="Times New Roman" w:cs="Times New Roman"/>
        </w:rPr>
        <w:t>clear</w:t>
      </w:r>
      <w:r w:rsidR="002279D2" w:rsidRPr="00AF29BF">
        <w:rPr>
          <w:rFonts w:ascii="Times New Roman" w:hAnsi="Times New Roman" w:cs="Times New Roman"/>
        </w:rPr>
        <w:t>.</w:t>
      </w:r>
      <w:r w:rsidR="002B49BA" w:rsidRPr="00AF29BF">
        <w:rPr>
          <w:rFonts w:ascii="Times New Roman" w:hAnsi="Times New Roman" w:cs="Times New Roman"/>
        </w:rPr>
        <w:t xml:space="preserve"> </w:t>
      </w:r>
      <w:r w:rsidR="002279D2" w:rsidRPr="00AF29BF">
        <w:rPr>
          <w:rFonts w:ascii="Times New Roman" w:hAnsi="Times New Roman" w:cs="Times New Roman"/>
        </w:rPr>
        <w:t>F</w:t>
      </w:r>
      <w:r w:rsidR="002B49BA" w:rsidRPr="00AF29BF">
        <w:rPr>
          <w:rFonts w:ascii="Times New Roman" w:hAnsi="Times New Roman" w:cs="Times New Roman"/>
        </w:rPr>
        <w:t xml:space="preserve">urthermore adjournments to instruct experts to make speculative investigations will no longer be tolerated. </w:t>
      </w:r>
      <w:r w:rsidR="007604CE" w:rsidRPr="00AF29BF">
        <w:rPr>
          <w:rFonts w:ascii="Times New Roman" w:hAnsi="Times New Roman" w:cs="Times New Roman"/>
        </w:rPr>
        <w:t xml:space="preserve">Judge LJ took the opportunity to reinforce the </w:t>
      </w:r>
      <w:r w:rsidR="00FE58C3" w:rsidRPr="00AF29BF">
        <w:rPr>
          <w:rFonts w:ascii="Times New Roman" w:hAnsi="Times New Roman" w:cs="Times New Roman"/>
        </w:rPr>
        <w:t>n</w:t>
      </w:r>
      <w:r w:rsidR="007604CE" w:rsidRPr="00AF29BF">
        <w:rPr>
          <w:rFonts w:ascii="Times New Roman" w:hAnsi="Times New Roman" w:cs="Times New Roman"/>
        </w:rPr>
        <w:t>otion that the era of active case management had dawned. In</w:t>
      </w:r>
      <w:r w:rsidR="00FE58C3" w:rsidRPr="00AF29BF">
        <w:rPr>
          <w:rFonts w:ascii="Times New Roman" w:hAnsi="Times New Roman" w:cs="Times New Roman"/>
        </w:rPr>
        <w:t xml:space="preserve"> </w:t>
      </w:r>
      <w:proofErr w:type="spellStart"/>
      <w:r w:rsidR="00FE58C3" w:rsidRPr="00AF29BF">
        <w:rPr>
          <w:rFonts w:ascii="Times New Roman" w:hAnsi="Times New Roman" w:cs="Times New Roman"/>
          <w:i/>
        </w:rPr>
        <w:t>Jisl</w:t>
      </w:r>
      <w:proofErr w:type="spellEnd"/>
      <w:r w:rsidR="00FE58C3" w:rsidRPr="00AF29BF">
        <w:rPr>
          <w:rStyle w:val="FootnoteReference"/>
          <w:rFonts w:ascii="Times New Roman" w:hAnsi="Times New Roman" w:cs="Times New Roman"/>
        </w:rPr>
        <w:footnoteReference w:id="57"/>
      </w:r>
      <w:r w:rsidR="007604CE" w:rsidRPr="00AF29BF">
        <w:rPr>
          <w:rFonts w:ascii="Times New Roman" w:hAnsi="Times New Roman" w:cs="Times New Roman"/>
        </w:rPr>
        <w:t xml:space="preserve"> </w:t>
      </w:r>
      <w:r w:rsidR="00CC768B" w:rsidRPr="00AF29BF">
        <w:rPr>
          <w:rFonts w:ascii="Times New Roman" w:hAnsi="Times New Roman" w:cs="Times New Roman"/>
        </w:rPr>
        <w:t>Judge LJ reiterated this point and</w:t>
      </w:r>
      <w:r w:rsidR="00117EFF" w:rsidRPr="00AF29BF">
        <w:rPr>
          <w:rFonts w:ascii="Times New Roman" w:hAnsi="Times New Roman" w:cs="Times New Roman"/>
        </w:rPr>
        <w:t xml:space="preserve"> </w:t>
      </w:r>
      <w:r w:rsidR="00E15F68" w:rsidRPr="00AF29BF">
        <w:rPr>
          <w:rFonts w:ascii="Times New Roman" w:hAnsi="Times New Roman" w:cs="Times New Roman"/>
        </w:rPr>
        <w:t xml:space="preserve">explicitly outlined that the </w:t>
      </w:r>
      <w:r w:rsidR="00117EFF" w:rsidRPr="00AF29BF">
        <w:rPr>
          <w:rFonts w:ascii="Times New Roman" w:eastAsia="Times New Roman" w:hAnsi="Times New Roman" w:cs="Times New Roman"/>
          <w:lang w:val="en-GB" w:eastAsia="en-GB"/>
        </w:rPr>
        <w:t>starting point</w:t>
      </w:r>
      <w:r w:rsidR="00E15F68" w:rsidRPr="00AF29BF">
        <w:rPr>
          <w:rFonts w:ascii="Times New Roman" w:eastAsia="Times New Roman" w:hAnsi="Times New Roman" w:cs="Times New Roman"/>
          <w:lang w:val="en-GB" w:eastAsia="en-GB"/>
        </w:rPr>
        <w:t xml:space="preserve"> of a criminal case is simple:</w:t>
      </w:r>
    </w:p>
    <w:p w14:paraId="20D27D1D" w14:textId="77777777" w:rsidR="00E15F68" w:rsidRPr="00AF29BF" w:rsidRDefault="00E15F68" w:rsidP="00916253">
      <w:pPr>
        <w:jc w:val="both"/>
        <w:rPr>
          <w:rFonts w:ascii="Times New Roman" w:eastAsia="Times New Roman" w:hAnsi="Times New Roman" w:cs="Times New Roman"/>
          <w:lang w:val="en-GB" w:eastAsia="en-GB"/>
        </w:rPr>
      </w:pPr>
    </w:p>
    <w:p w14:paraId="2C0E2E94" w14:textId="13631741" w:rsidR="00117EFF" w:rsidRPr="00AF29BF" w:rsidRDefault="00E15F68" w:rsidP="00916253">
      <w:pPr>
        <w:ind w:left="720" w:firstLine="60"/>
        <w:jc w:val="both"/>
        <w:rPr>
          <w:rFonts w:ascii="Times New Roman" w:hAnsi="Times New Roman" w:cs="Times New Roman"/>
        </w:rPr>
      </w:pPr>
      <w:r w:rsidRPr="00AF29BF">
        <w:rPr>
          <w:rFonts w:ascii="Times New Roman" w:eastAsia="Times New Roman" w:hAnsi="Times New Roman" w:cs="Times New Roman"/>
          <w:lang w:val="en-GB" w:eastAsia="en-GB"/>
        </w:rPr>
        <w:t>‘</w:t>
      </w:r>
      <w:r w:rsidR="00117EFF" w:rsidRPr="00AF29BF">
        <w:rPr>
          <w:rFonts w:ascii="Times New Roman" w:eastAsia="Times New Roman" w:hAnsi="Times New Roman" w:cs="Times New Roman"/>
          <w:lang w:val="en-GB" w:eastAsia="en-GB"/>
        </w:rPr>
        <w:t>Justice must be done. The defendant is entitled to a fair trial: and, which is sometimes overlooked, the prosecution is equally entitled to a reasonable opportunity to present the evidence against the defendant. It is not however a concomitant of the entitlement to a fair trial that either or both sides are further entitled to take as much time as they like, or for that matter, as long as counsel and solicitors or the defendants themselves think appropriate. Resources are limited ...</w:t>
      </w:r>
      <w:r w:rsidR="005D348D">
        <w:rPr>
          <w:rFonts w:ascii="Times New Roman" w:eastAsia="Times New Roman" w:hAnsi="Times New Roman" w:cs="Times New Roman"/>
          <w:lang w:val="en-GB" w:eastAsia="en-GB"/>
        </w:rPr>
        <w:t xml:space="preserve"> [I]</w:t>
      </w:r>
      <w:r w:rsidR="00117EFF" w:rsidRPr="00AF29BF">
        <w:rPr>
          <w:rFonts w:ascii="Times New Roman" w:eastAsia="Times New Roman" w:hAnsi="Times New Roman" w:cs="Times New Roman"/>
          <w:lang w:val="en-GB" w:eastAsia="en-GB"/>
        </w:rPr>
        <w:t>t follows that the sensible use of time requires judicial management and control’.</w:t>
      </w:r>
      <w:r w:rsidR="00117EFF" w:rsidRPr="00AF29BF">
        <w:rPr>
          <w:rStyle w:val="FootnoteReference"/>
          <w:rFonts w:ascii="Times New Roman" w:eastAsia="Times New Roman" w:hAnsi="Times New Roman" w:cs="Times New Roman"/>
          <w:lang w:val="en-GB" w:eastAsia="en-GB"/>
        </w:rPr>
        <w:footnoteReference w:id="58"/>
      </w:r>
    </w:p>
    <w:p w14:paraId="5F563778" w14:textId="68609341" w:rsidR="00FE58C3" w:rsidRPr="00AF29BF" w:rsidRDefault="00FE58C3" w:rsidP="00916253">
      <w:pPr>
        <w:jc w:val="both"/>
        <w:rPr>
          <w:rFonts w:ascii="Times New Roman" w:hAnsi="Times New Roman" w:cs="Times New Roman"/>
        </w:rPr>
      </w:pPr>
    </w:p>
    <w:p w14:paraId="3473296D" w14:textId="5357A269" w:rsidR="004827A3" w:rsidRPr="00AF29BF" w:rsidRDefault="00E15F68" w:rsidP="00916253">
      <w:pPr>
        <w:jc w:val="both"/>
        <w:rPr>
          <w:rFonts w:ascii="Times New Roman" w:hAnsi="Times New Roman" w:cs="Times New Roman"/>
        </w:rPr>
      </w:pPr>
      <w:r w:rsidRPr="00AF29BF">
        <w:rPr>
          <w:rFonts w:ascii="Times New Roman" w:hAnsi="Times New Roman" w:cs="Times New Roman"/>
        </w:rPr>
        <w:t xml:space="preserve">With the goal to </w:t>
      </w:r>
      <w:r w:rsidR="00EF773C" w:rsidRPr="00AF29BF">
        <w:rPr>
          <w:rFonts w:ascii="Times New Roman" w:hAnsi="Times New Roman" w:cs="Times New Roman"/>
        </w:rPr>
        <w:t>eroding</w:t>
      </w:r>
      <w:r w:rsidRPr="00AF29BF">
        <w:rPr>
          <w:rFonts w:ascii="Times New Roman" w:hAnsi="Times New Roman" w:cs="Times New Roman"/>
        </w:rPr>
        <w:t xml:space="preserve"> the ‘sporting chance’ Auld LJ suggested creating a single corpus of rules for a unified criminal court.</w:t>
      </w:r>
      <w:r w:rsidRPr="00AF29BF">
        <w:rPr>
          <w:rStyle w:val="FootnoteReference"/>
          <w:rFonts w:ascii="Times New Roman" w:hAnsi="Times New Roman" w:cs="Times New Roman"/>
        </w:rPr>
        <w:footnoteReference w:id="59"/>
      </w:r>
      <w:r w:rsidRPr="00AF29BF">
        <w:rPr>
          <w:rFonts w:ascii="Times New Roman" w:hAnsi="Times New Roman" w:cs="Times New Roman"/>
        </w:rPr>
        <w:t xml:space="preserve"> </w:t>
      </w:r>
      <w:r w:rsidR="005D348D">
        <w:rPr>
          <w:rFonts w:ascii="Times New Roman" w:hAnsi="Times New Roman" w:cs="Times New Roman"/>
        </w:rPr>
        <w:t>The</w:t>
      </w:r>
      <w:r w:rsidRPr="00AF29BF">
        <w:rPr>
          <w:rFonts w:ascii="Times New Roman" w:hAnsi="Times New Roman" w:cs="Times New Roman"/>
        </w:rPr>
        <w:t xml:space="preserve"> recommendations led to the creation of the Criminal Procedure Rules 2005.</w:t>
      </w:r>
      <w:r w:rsidRPr="00AF29BF">
        <w:rPr>
          <w:rStyle w:val="FootnoteReference"/>
          <w:rFonts w:ascii="Times New Roman" w:hAnsi="Times New Roman" w:cs="Times New Roman"/>
        </w:rPr>
        <w:footnoteReference w:id="60"/>
      </w:r>
      <w:r w:rsidRPr="00AF29BF">
        <w:rPr>
          <w:rFonts w:ascii="Times New Roman" w:hAnsi="Times New Roman" w:cs="Times New Roman"/>
        </w:rPr>
        <w:t xml:space="preserve">  The Rules are underpinned by an Overriding Objective to deal with cases justly,</w:t>
      </w:r>
      <w:r w:rsidRPr="00AF29BF">
        <w:rPr>
          <w:rStyle w:val="FootnoteReference"/>
          <w:rFonts w:ascii="Times New Roman" w:hAnsi="Times New Roman" w:cs="Times New Roman"/>
        </w:rPr>
        <w:footnoteReference w:id="61"/>
      </w:r>
      <w:r w:rsidRPr="00AF29BF">
        <w:rPr>
          <w:rFonts w:ascii="Times New Roman" w:hAnsi="Times New Roman" w:cs="Times New Roman"/>
        </w:rPr>
        <w:t xml:space="preserve"> </w:t>
      </w:r>
      <w:r w:rsidR="002279D2" w:rsidRPr="00AF29BF">
        <w:rPr>
          <w:rFonts w:ascii="Times New Roman" w:hAnsi="Times New Roman" w:cs="Times New Roman"/>
        </w:rPr>
        <w:t xml:space="preserve">dealing with a case justly includes the </w:t>
      </w:r>
      <w:r w:rsidR="00AE2B30" w:rsidRPr="00AF29BF">
        <w:rPr>
          <w:rFonts w:ascii="Times New Roman" w:hAnsi="Times New Roman" w:cs="Times New Roman"/>
        </w:rPr>
        <w:t>A</w:t>
      </w:r>
      <w:r w:rsidRPr="00AF29BF">
        <w:rPr>
          <w:rFonts w:ascii="Times New Roman" w:hAnsi="Times New Roman" w:cs="Times New Roman"/>
        </w:rPr>
        <w:t>cquitting the innocent and convicting the guilty,</w:t>
      </w:r>
      <w:r w:rsidRPr="00AF29BF">
        <w:rPr>
          <w:rStyle w:val="FootnoteReference"/>
          <w:rFonts w:ascii="Times New Roman" w:hAnsi="Times New Roman" w:cs="Times New Roman"/>
        </w:rPr>
        <w:footnoteReference w:id="62"/>
      </w:r>
      <w:r w:rsidRPr="00AF29BF">
        <w:rPr>
          <w:rFonts w:ascii="Times New Roman" w:hAnsi="Times New Roman" w:cs="Times New Roman"/>
        </w:rPr>
        <w:t xml:space="preserve"> </w:t>
      </w:r>
      <w:r w:rsidR="002279D2" w:rsidRPr="00AF29BF">
        <w:rPr>
          <w:rFonts w:ascii="Times New Roman" w:hAnsi="Times New Roman" w:cs="Times New Roman"/>
        </w:rPr>
        <w:t>d</w:t>
      </w:r>
      <w:r w:rsidRPr="00AF29BF">
        <w:rPr>
          <w:rFonts w:ascii="Times New Roman" w:hAnsi="Times New Roman" w:cs="Times New Roman"/>
        </w:rPr>
        <w:t>ealing with both sides fairly,</w:t>
      </w:r>
      <w:r w:rsidRPr="00AF29BF">
        <w:rPr>
          <w:rStyle w:val="FootnoteReference"/>
          <w:rFonts w:ascii="Times New Roman" w:hAnsi="Times New Roman" w:cs="Times New Roman"/>
        </w:rPr>
        <w:footnoteReference w:id="63"/>
      </w:r>
      <w:r w:rsidRPr="00AF29BF">
        <w:rPr>
          <w:rFonts w:ascii="Times New Roman" w:hAnsi="Times New Roman" w:cs="Times New Roman"/>
        </w:rPr>
        <w:t xml:space="preserve"> </w:t>
      </w:r>
      <w:r w:rsidR="002279D2" w:rsidRPr="00AF29BF">
        <w:rPr>
          <w:rFonts w:ascii="Times New Roman" w:hAnsi="Times New Roman" w:cs="Times New Roman"/>
        </w:rPr>
        <w:t>r</w:t>
      </w:r>
      <w:r w:rsidRPr="00AF29BF">
        <w:rPr>
          <w:rFonts w:ascii="Times New Roman" w:hAnsi="Times New Roman" w:cs="Times New Roman"/>
        </w:rPr>
        <w:t>ecognizing the ECHR rights of the defendant,</w:t>
      </w:r>
      <w:r w:rsidRPr="00AF29BF">
        <w:rPr>
          <w:rStyle w:val="FootnoteReference"/>
          <w:rFonts w:ascii="Times New Roman" w:hAnsi="Times New Roman" w:cs="Times New Roman"/>
        </w:rPr>
        <w:footnoteReference w:id="64"/>
      </w:r>
      <w:r w:rsidRPr="00AF29BF">
        <w:rPr>
          <w:rFonts w:ascii="Times New Roman" w:hAnsi="Times New Roman" w:cs="Times New Roman"/>
        </w:rPr>
        <w:t xml:space="preserve"> </w:t>
      </w:r>
      <w:r w:rsidR="002279D2" w:rsidRPr="00AF29BF">
        <w:rPr>
          <w:rFonts w:ascii="Times New Roman" w:hAnsi="Times New Roman" w:cs="Times New Roman"/>
        </w:rPr>
        <w:t>r</w:t>
      </w:r>
      <w:r w:rsidRPr="00AF29BF">
        <w:rPr>
          <w:rFonts w:ascii="Times New Roman" w:hAnsi="Times New Roman" w:cs="Times New Roman"/>
        </w:rPr>
        <w:t>especting the interests of witness, jurors and victims,</w:t>
      </w:r>
      <w:r w:rsidRPr="00AF29BF">
        <w:rPr>
          <w:rStyle w:val="FootnoteReference"/>
          <w:rFonts w:ascii="Times New Roman" w:hAnsi="Times New Roman" w:cs="Times New Roman"/>
        </w:rPr>
        <w:footnoteReference w:id="65"/>
      </w:r>
      <w:r w:rsidRPr="00AF29BF">
        <w:rPr>
          <w:rFonts w:ascii="Times New Roman" w:hAnsi="Times New Roman" w:cs="Times New Roman"/>
        </w:rPr>
        <w:t xml:space="preserve"> </w:t>
      </w:r>
      <w:r w:rsidR="002279D2" w:rsidRPr="00AF29BF">
        <w:rPr>
          <w:rFonts w:ascii="Times New Roman" w:hAnsi="Times New Roman" w:cs="Times New Roman"/>
        </w:rPr>
        <w:t>d</w:t>
      </w:r>
      <w:r w:rsidRPr="00AF29BF">
        <w:rPr>
          <w:rFonts w:ascii="Times New Roman" w:hAnsi="Times New Roman" w:cs="Times New Roman"/>
        </w:rPr>
        <w:t>ealing with cases in an efficient and expeditious manner,</w:t>
      </w:r>
      <w:r w:rsidRPr="00AF29BF">
        <w:rPr>
          <w:rStyle w:val="FootnoteReference"/>
          <w:rFonts w:ascii="Times New Roman" w:hAnsi="Times New Roman" w:cs="Times New Roman"/>
        </w:rPr>
        <w:footnoteReference w:id="66"/>
      </w:r>
      <w:r w:rsidRPr="00AF29BF">
        <w:rPr>
          <w:rFonts w:ascii="Times New Roman" w:hAnsi="Times New Roman" w:cs="Times New Roman"/>
        </w:rPr>
        <w:t xml:space="preserve"> </w:t>
      </w:r>
      <w:r w:rsidR="002279D2" w:rsidRPr="00AF29BF">
        <w:rPr>
          <w:rFonts w:ascii="Times New Roman" w:hAnsi="Times New Roman" w:cs="Times New Roman"/>
        </w:rPr>
        <w:t>e</w:t>
      </w:r>
      <w:r w:rsidRPr="00AF29BF">
        <w:rPr>
          <w:rFonts w:ascii="Times New Roman" w:hAnsi="Times New Roman" w:cs="Times New Roman"/>
        </w:rPr>
        <w:t>nsuring that the court has appropriate information when considering bail and sentencing</w:t>
      </w:r>
      <w:r w:rsidRPr="00AF29BF">
        <w:rPr>
          <w:rStyle w:val="FootnoteReference"/>
          <w:rFonts w:ascii="Times New Roman" w:hAnsi="Times New Roman" w:cs="Times New Roman"/>
        </w:rPr>
        <w:footnoteReference w:id="67"/>
      </w:r>
      <w:r w:rsidRPr="00AF29BF">
        <w:rPr>
          <w:rFonts w:ascii="Times New Roman" w:hAnsi="Times New Roman" w:cs="Times New Roman"/>
        </w:rPr>
        <w:t xml:space="preserve"> and</w:t>
      </w:r>
      <w:r w:rsidR="002279D2" w:rsidRPr="00AF29BF">
        <w:rPr>
          <w:rFonts w:ascii="Times New Roman" w:hAnsi="Times New Roman" w:cs="Times New Roman"/>
        </w:rPr>
        <w:t xml:space="preserve"> d</w:t>
      </w:r>
      <w:r w:rsidRPr="00AF29BF">
        <w:rPr>
          <w:rFonts w:ascii="Times New Roman" w:hAnsi="Times New Roman" w:cs="Times New Roman"/>
        </w:rPr>
        <w:t>ealing with case that takes into account the gravity of the offence, its complexity, the severity of the consequences for the defendant and the needs of other cases.</w:t>
      </w:r>
      <w:r w:rsidRPr="00AF29BF">
        <w:rPr>
          <w:rStyle w:val="FootnoteReference"/>
          <w:rFonts w:ascii="Times New Roman" w:hAnsi="Times New Roman" w:cs="Times New Roman"/>
        </w:rPr>
        <w:footnoteReference w:id="68"/>
      </w:r>
      <w:r w:rsidRPr="00AF29BF">
        <w:rPr>
          <w:rFonts w:ascii="Times New Roman" w:hAnsi="Times New Roman" w:cs="Times New Roman"/>
        </w:rPr>
        <w:t>At face value</w:t>
      </w:r>
      <w:r w:rsidR="0058726C">
        <w:rPr>
          <w:rFonts w:ascii="Times New Roman" w:hAnsi="Times New Roman" w:cs="Times New Roman"/>
        </w:rPr>
        <w:t>,</w:t>
      </w:r>
      <w:r w:rsidRPr="00AF29BF">
        <w:rPr>
          <w:rFonts w:ascii="Times New Roman" w:hAnsi="Times New Roman" w:cs="Times New Roman"/>
        </w:rPr>
        <w:t xml:space="preserve"> the overriding objective appears to employ a common sense approach to criminal </w:t>
      </w:r>
      <w:r w:rsidR="00AC4FA0" w:rsidRPr="00AF29BF">
        <w:rPr>
          <w:rFonts w:ascii="Times New Roman" w:hAnsi="Times New Roman" w:cs="Times New Roman"/>
        </w:rPr>
        <w:t>trials</w:t>
      </w:r>
      <w:r w:rsidRPr="00AF29BF">
        <w:rPr>
          <w:rFonts w:ascii="Times New Roman" w:hAnsi="Times New Roman" w:cs="Times New Roman"/>
        </w:rPr>
        <w:t xml:space="preserve"> </w:t>
      </w:r>
      <w:r w:rsidR="00AC4FA0" w:rsidRPr="00AF29BF">
        <w:rPr>
          <w:rFonts w:ascii="Times New Roman" w:hAnsi="Times New Roman" w:cs="Times New Roman"/>
        </w:rPr>
        <w:t>that previously might be viewed as</w:t>
      </w:r>
      <w:r w:rsidRPr="00AF29BF">
        <w:rPr>
          <w:rFonts w:ascii="Times New Roman" w:hAnsi="Times New Roman" w:cs="Times New Roman"/>
        </w:rPr>
        <w:t xml:space="preserve"> an inefficient and ineffective system benefits nobody. However, by unpicking the individual sections of the objective it is clear a paradigm shift in judicial culture underpins the rules and the emphasis of not wasting resources. It </w:t>
      </w:r>
      <w:r w:rsidR="00126356" w:rsidRPr="00AF29BF">
        <w:rPr>
          <w:rFonts w:ascii="Times New Roman" w:hAnsi="Times New Roman" w:cs="Times New Roman"/>
        </w:rPr>
        <w:t>is</w:t>
      </w:r>
      <w:r w:rsidRPr="00AF29BF">
        <w:rPr>
          <w:rFonts w:ascii="Times New Roman" w:hAnsi="Times New Roman" w:cs="Times New Roman"/>
        </w:rPr>
        <w:t xml:space="preserve"> </w:t>
      </w:r>
      <w:r w:rsidR="00EF773C" w:rsidRPr="00AF29BF">
        <w:rPr>
          <w:rFonts w:ascii="Times New Roman" w:hAnsi="Times New Roman" w:cs="Times New Roman"/>
        </w:rPr>
        <w:t>apparent</w:t>
      </w:r>
      <w:r w:rsidRPr="00AF29BF">
        <w:rPr>
          <w:rFonts w:ascii="Times New Roman" w:hAnsi="Times New Roman" w:cs="Times New Roman"/>
        </w:rPr>
        <w:t xml:space="preserve"> that </w:t>
      </w:r>
      <w:r w:rsidR="00EF773C" w:rsidRPr="00AF29BF">
        <w:rPr>
          <w:rFonts w:ascii="Times New Roman" w:hAnsi="Times New Roman" w:cs="Times New Roman"/>
        </w:rPr>
        <w:t xml:space="preserve">the </w:t>
      </w:r>
      <w:r w:rsidRPr="00AF29BF">
        <w:rPr>
          <w:rFonts w:ascii="Times New Roman" w:hAnsi="Times New Roman" w:cs="Times New Roman"/>
        </w:rPr>
        <w:t>semi-passive, piloting approach to</w:t>
      </w:r>
      <w:r w:rsidR="009170AF" w:rsidRPr="00AF29BF">
        <w:rPr>
          <w:rFonts w:ascii="Times New Roman" w:hAnsi="Times New Roman" w:cs="Times New Roman"/>
        </w:rPr>
        <w:t xml:space="preserve"> the role of a judge in</w:t>
      </w:r>
      <w:r w:rsidRPr="00AF29BF">
        <w:rPr>
          <w:rFonts w:ascii="Times New Roman" w:hAnsi="Times New Roman" w:cs="Times New Roman"/>
        </w:rPr>
        <w:t xml:space="preserve"> criminal cases </w:t>
      </w:r>
      <w:r w:rsidR="009170AF" w:rsidRPr="00AF29BF">
        <w:rPr>
          <w:rFonts w:ascii="Times New Roman" w:hAnsi="Times New Roman" w:cs="Times New Roman"/>
        </w:rPr>
        <w:t xml:space="preserve">is </w:t>
      </w:r>
      <w:r w:rsidRPr="00AF29BF">
        <w:rPr>
          <w:rFonts w:ascii="Times New Roman" w:hAnsi="Times New Roman" w:cs="Times New Roman"/>
        </w:rPr>
        <w:t xml:space="preserve">to be replaced by </w:t>
      </w:r>
      <w:r w:rsidR="009170AF" w:rsidRPr="00AF29BF">
        <w:rPr>
          <w:rFonts w:ascii="Times New Roman" w:hAnsi="Times New Roman" w:cs="Times New Roman"/>
        </w:rPr>
        <w:t xml:space="preserve">that of </w:t>
      </w:r>
      <w:r w:rsidRPr="00AF29BF">
        <w:rPr>
          <w:rFonts w:ascii="Times New Roman" w:hAnsi="Times New Roman" w:cs="Times New Roman"/>
        </w:rPr>
        <w:t xml:space="preserve">a more </w:t>
      </w:r>
      <w:r w:rsidR="007C1001" w:rsidRPr="00AF29BF">
        <w:rPr>
          <w:rFonts w:ascii="Times New Roman" w:hAnsi="Times New Roman" w:cs="Times New Roman"/>
        </w:rPr>
        <w:t>active, hands on, case-manager. Lord Justice Thomas suggested the advent of the CPR effected a ‘sea change’</w:t>
      </w:r>
      <w:r w:rsidR="007C1001" w:rsidRPr="00AF29BF">
        <w:rPr>
          <w:rStyle w:val="FootnoteReference"/>
          <w:rFonts w:ascii="Times New Roman" w:hAnsi="Times New Roman" w:cs="Times New Roman"/>
        </w:rPr>
        <w:footnoteReference w:id="69"/>
      </w:r>
      <w:r w:rsidR="007C1001" w:rsidRPr="00AF29BF">
        <w:rPr>
          <w:rFonts w:ascii="Times New Roman" w:hAnsi="Times New Roman" w:cs="Times New Roman"/>
        </w:rPr>
        <w:t xml:space="preserve"> in how criminal cases should conducted and Part III of the rules outlines explicitly exactly what constitutes good case management. </w:t>
      </w:r>
    </w:p>
    <w:p w14:paraId="34C8157A" w14:textId="77777777" w:rsidR="009F0E85" w:rsidRPr="00AF29BF" w:rsidRDefault="009F0E85" w:rsidP="00916253">
      <w:pPr>
        <w:jc w:val="both"/>
        <w:rPr>
          <w:rFonts w:ascii="Times New Roman" w:hAnsi="Times New Roman" w:cs="Times New Roman"/>
        </w:rPr>
      </w:pPr>
    </w:p>
    <w:p w14:paraId="4F2FECA5" w14:textId="63F845A7" w:rsidR="007C1001" w:rsidRPr="00AF29BF" w:rsidRDefault="005910DF" w:rsidP="00916253">
      <w:pPr>
        <w:pStyle w:val="ListParagraph"/>
        <w:numPr>
          <w:ilvl w:val="1"/>
          <w:numId w:val="1"/>
        </w:numPr>
        <w:jc w:val="both"/>
        <w:rPr>
          <w:rFonts w:ascii="Times New Roman" w:hAnsi="Times New Roman" w:cs="Times New Roman"/>
          <w:b/>
          <w:sz w:val="28"/>
          <w:szCs w:val="28"/>
        </w:rPr>
      </w:pPr>
      <w:r w:rsidRPr="00AF29BF">
        <w:rPr>
          <w:rFonts w:ascii="Times New Roman" w:hAnsi="Times New Roman" w:cs="Times New Roman"/>
          <w:b/>
          <w:sz w:val="28"/>
          <w:szCs w:val="28"/>
        </w:rPr>
        <w:lastRenderedPageBreak/>
        <w:t>Active</w:t>
      </w:r>
      <w:r w:rsidR="007C1001" w:rsidRPr="00AF29BF">
        <w:rPr>
          <w:rFonts w:ascii="Times New Roman" w:hAnsi="Times New Roman" w:cs="Times New Roman"/>
          <w:b/>
          <w:sz w:val="28"/>
          <w:szCs w:val="28"/>
        </w:rPr>
        <w:t xml:space="preserve"> Case Management</w:t>
      </w:r>
    </w:p>
    <w:p w14:paraId="7AECAFD3" w14:textId="77777777" w:rsidR="009F0E85" w:rsidRPr="00AF29BF" w:rsidRDefault="009F0E85" w:rsidP="00916253">
      <w:pPr>
        <w:pStyle w:val="ListParagraph"/>
        <w:jc w:val="both"/>
        <w:rPr>
          <w:rFonts w:ascii="Times New Roman" w:hAnsi="Times New Roman" w:cs="Times New Roman"/>
          <w:b/>
          <w:sz w:val="28"/>
          <w:szCs w:val="28"/>
        </w:rPr>
      </w:pPr>
    </w:p>
    <w:p w14:paraId="14A82DF2" w14:textId="7ED59D6A" w:rsidR="00BC015A" w:rsidRPr="00AF29BF" w:rsidRDefault="000E2356" w:rsidP="00916253">
      <w:pPr>
        <w:jc w:val="both"/>
        <w:rPr>
          <w:rFonts w:ascii="Times New Roman" w:hAnsi="Times New Roman" w:cs="Times New Roman"/>
        </w:rPr>
      </w:pPr>
      <w:r w:rsidRPr="00AF29BF">
        <w:rPr>
          <w:rFonts w:ascii="Times New Roman" w:hAnsi="Times New Roman" w:cs="Times New Roman"/>
        </w:rPr>
        <w:t>In order to satisfy the overriding objective, a duty is placed on the court to actively manage the case and rule 3.2</w:t>
      </w:r>
      <w:r w:rsidR="005B37BB" w:rsidRPr="00AF29BF">
        <w:rPr>
          <w:rFonts w:ascii="Times New Roman" w:hAnsi="Times New Roman" w:cs="Times New Roman"/>
        </w:rPr>
        <w:t>(1) outlines eight component p</w:t>
      </w:r>
      <w:r w:rsidR="0058726C">
        <w:rPr>
          <w:rFonts w:ascii="Times New Roman" w:hAnsi="Times New Roman" w:cs="Times New Roman"/>
        </w:rPr>
        <w:t>arts to active case management.</w:t>
      </w:r>
      <w:r w:rsidR="0058726C">
        <w:rPr>
          <w:rStyle w:val="FootnoteReference"/>
          <w:rFonts w:ascii="Times New Roman" w:hAnsi="Times New Roman" w:cs="Times New Roman"/>
        </w:rPr>
        <w:footnoteReference w:id="70"/>
      </w:r>
      <w:r w:rsidR="005D348D">
        <w:rPr>
          <w:rFonts w:ascii="Times New Roman" w:hAnsi="Times New Roman" w:cs="Times New Roman"/>
        </w:rPr>
        <w:t xml:space="preserve"> </w:t>
      </w:r>
      <w:r w:rsidR="00BC015A" w:rsidRPr="00AF29BF">
        <w:rPr>
          <w:rFonts w:ascii="Times New Roman" w:hAnsi="Times New Roman" w:cs="Times New Roman"/>
        </w:rPr>
        <w:t xml:space="preserve">A key </w:t>
      </w:r>
      <w:r w:rsidR="00AF0135" w:rsidRPr="00AF29BF">
        <w:rPr>
          <w:rFonts w:ascii="Times New Roman" w:hAnsi="Times New Roman" w:cs="Times New Roman"/>
        </w:rPr>
        <w:t>driver</w:t>
      </w:r>
      <w:r w:rsidR="00BC015A" w:rsidRPr="00AF29BF">
        <w:rPr>
          <w:rFonts w:ascii="Times New Roman" w:hAnsi="Times New Roman" w:cs="Times New Roman"/>
        </w:rPr>
        <w:t xml:space="preserve"> behind the active case management provision is saving resources. </w:t>
      </w:r>
      <w:r w:rsidR="0073563A" w:rsidRPr="00AF29BF">
        <w:rPr>
          <w:rFonts w:ascii="Times New Roman" w:hAnsi="Times New Roman" w:cs="Times New Roman"/>
        </w:rPr>
        <w:t xml:space="preserve">Time </w:t>
      </w:r>
      <w:r w:rsidR="00AF0135" w:rsidRPr="00AF29BF">
        <w:rPr>
          <w:rFonts w:ascii="Times New Roman" w:hAnsi="Times New Roman" w:cs="Times New Roman"/>
        </w:rPr>
        <w:t>is</w:t>
      </w:r>
      <w:r w:rsidR="0073563A" w:rsidRPr="00AF29BF">
        <w:rPr>
          <w:rFonts w:ascii="Times New Roman" w:hAnsi="Times New Roman" w:cs="Times New Roman"/>
        </w:rPr>
        <w:t xml:space="preserve"> a resource that should not be wasted</w:t>
      </w:r>
      <w:r w:rsidR="00BC015A" w:rsidRPr="00AF29BF">
        <w:rPr>
          <w:rFonts w:ascii="Times New Roman" w:hAnsi="Times New Roman" w:cs="Times New Roman"/>
        </w:rPr>
        <w:t xml:space="preserve">. In </w:t>
      </w:r>
      <w:r w:rsidR="00BC015A" w:rsidRPr="00AF29BF">
        <w:rPr>
          <w:rFonts w:ascii="Times New Roman" w:hAnsi="Times New Roman" w:cs="Times New Roman"/>
          <w:i/>
        </w:rPr>
        <w:t>D and Others</w:t>
      </w:r>
      <w:r w:rsidR="00BC015A" w:rsidRPr="00AF29BF">
        <w:rPr>
          <w:rStyle w:val="FootnoteReference"/>
          <w:rFonts w:ascii="Times New Roman" w:hAnsi="Times New Roman" w:cs="Times New Roman"/>
        </w:rPr>
        <w:footnoteReference w:id="71"/>
      </w:r>
      <w:r w:rsidR="00BC015A" w:rsidRPr="00AF29BF">
        <w:rPr>
          <w:rFonts w:ascii="Times New Roman" w:hAnsi="Times New Roman" w:cs="Times New Roman"/>
        </w:rPr>
        <w:t xml:space="preserve"> </w:t>
      </w:r>
      <w:r w:rsidR="005D348D">
        <w:rPr>
          <w:rFonts w:ascii="Times New Roman" w:hAnsi="Times New Roman" w:cs="Times New Roman"/>
        </w:rPr>
        <w:t>it was</w:t>
      </w:r>
      <w:r w:rsidR="00BC015A" w:rsidRPr="00AF29BF">
        <w:rPr>
          <w:rFonts w:ascii="Times New Roman" w:hAnsi="Times New Roman" w:cs="Times New Roman"/>
        </w:rPr>
        <w:t xml:space="preserve"> held that to deal with a case </w:t>
      </w:r>
      <w:r w:rsidR="005D348D">
        <w:rPr>
          <w:rFonts w:ascii="Times New Roman" w:hAnsi="Times New Roman" w:cs="Times New Roman"/>
        </w:rPr>
        <w:t>‘</w:t>
      </w:r>
      <w:r w:rsidR="00BC015A" w:rsidRPr="00AF29BF">
        <w:rPr>
          <w:rFonts w:ascii="Times New Roman" w:hAnsi="Times New Roman" w:cs="Times New Roman"/>
        </w:rPr>
        <w:t>justly</w:t>
      </w:r>
      <w:r w:rsidR="005D348D">
        <w:rPr>
          <w:rFonts w:ascii="Times New Roman" w:hAnsi="Times New Roman" w:cs="Times New Roman"/>
        </w:rPr>
        <w:t>’</w:t>
      </w:r>
      <w:r w:rsidR="00BC015A" w:rsidRPr="00AF29BF">
        <w:rPr>
          <w:rFonts w:ascii="Times New Roman" w:hAnsi="Times New Roman" w:cs="Times New Roman"/>
        </w:rPr>
        <w:t xml:space="preserve"> requires efficiency and expedition.</w:t>
      </w:r>
      <w:r w:rsidR="00836B13" w:rsidRPr="00AF29BF">
        <w:rPr>
          <w:rStyle w:val="FootnoteReference"/>
          <w:rFonts w:ascii="Times New Roman" w:hAnsi="Times New Roman" w:cs="Times New Roman"/>
        </w:rPr>
        <w:footnoteReference w:id="72"/>
      </w:r>
      <w:r w:rsidR="00836B13" w:rsidRPr="00AF29BF">
        <w:rPr>
          <w:rFonts w:ascii="Times New Roman" w:hAnsi="Times New Roman" w:cs="Times New Roman"/>
        </w:rPr>
        <w:t xml:space="preserve"> The trial lasted for 235 days but court only sat for 132 of those days. Moses LJ went on to say the main cause of delay lay in the failure of the Judge to ensure that a sufficient number of hours were sat  in order to read and hear the evidence. Despite this failure, counsel did not escape criticism. The court </w:t>
      </w:r>
      <w:r w:rsidR="009170AF" w:rsidRPr="00AF29BF">
        <w:rPr>
          <w:rFonts w:ascii="Times New Roman" w:hAnsi="Times New Roman" w:cs="Times New Roman"/>
        </w:rPr>
        <w:t xml:space="preserve">was </w:t>
      </w:r>
      <w:r w:rsidR="00836B13" w:rsidRPr="00AF29BF">
        <w:rPr>
          <w:rFonts w:ascii="Times New Roman" w:hAnsi="Times New Roman" w:cs="Times New Roman"/>
        </w:rPr>
        <w:t>dismayed by the fact counsel declined to tell the Judge how long cross-examination of certain witnesses would take.</w:t>
      </w:r>
      <w:r w:rsidR="00836B13" w:rsidRPr="00AF29BF">
        <w:rPr>
          <w:rStyle w:val="FootnoteReference"/>
          <w:rFonts w:ascii="Times New Roman" w:hAnsi="Times New Roman" w:cs="Times New Roman"/>
        </w:rPr>
        <w:footnoteReference w:id="73"/>
      </w:r>
      <w:r w:rsidR="00836B13" w:rsidRPr="00AF29BF">
        <w:rPr>
          <w:rFonts w:ascii="Times New Roman" w:hAnsi="Times New Roman" w:cs="Times New Roman"/>
        </w:rPr>
        <w:t xml:space="preserve"> To satisfy the implicit time-saving goals, the </w:t>
      </w:r>
      <w:r w:rsidR="0058726C" w:rsidRPr="00AF29BF">
        <w:rPr>
          <w:rFonts w:ascii="Times New Roman" w:hAnsi="Times New Roman" w:cs="Times New Roman"/>
        </w:rPr>
        <w:t>judiciary is</w:t>
      </w:r>
      <w:r w:rsidR="00836B13" w:rsidRPr="00AF29BF">
        <w:rPr>
          <w:rFonts w:ascii="Times New Roman" w:hAnsi="Times New Roman" w:cs="Times New Roman"/>
        </w:rPr>
        <w:t xml:space="preserve"> permitted to curtail oral argument and have counsel produce their submissions in writing.</w:t>
      </w:r>
      <w:r w:rsidR="00836B13" w:rsidRPr="00AF29BF">
        <w:rPr>
          <w:rStyle w:val="FootnoteReference"/>
          <w:rFonts w:ascii="Times New Roman" w:hAnsi="Times New Roman" w:cs="Times New Roman"/>
        </w:rPr>
        <w:footnoteReference w:id="74"/>
      </w:r>
    </w:p>
    <w:p w14:paraId="372F82D8" w14:textId="77777777" w:rsidR="00BC015A" w:rsidRPr="00AF29BF" w:rsidRDefault="00BC015A" w:rsidP="00916253">
      <w:pPr>
        <w:jc w:val="both"/>
        <w:rPr>
          <w:rFonts w:ascii="Times New Roman" w:hAnsi="Times New Roman" w:cs="Times New Roman"/>
        </w:rPr>
      </w:pPr>
    </w:p>
    <w:p w14:paraId="10391746" w14:textId="77777777" w:rsidR="001F15E2" w:rsidRPr="00AF29BF" w:rsidRDefault="001F15E2" w:rsidP="00916253">
      <w:pPr>
        <w:jc w:val="both"/>
        <w:rPr>
          <w:rFonts w:ascii="Times New Roman" w:hAnsi="Times New Roman" w:cs="Times New Roman"/>
        </w:rPr>
      </w:pPr>
    </w:p>
    <w:p w14:paraId="793E83A9" w14:textId="658A2238" w:rsidR="001F15E2" w:rsidRPr="00AF29BF" w:rsidRDefault="001F15E2" w:rsidP="00916253">
      <w:pPr>
        <w:jc w:val="both"/>
        <w:rPr>
          <w:rFonts w:ascii="Times New Roman" w:hAnsi="Times New Roman" w:cs="Times New Roman"/>
        </w:rPr>
      </w:pPr>
      <w:r w:rsidRPr="00AF29BF">
        <w:rPr>
          <w:rFonts w:ascii="Times New Roman" w:hAnsi="Times New Roman" w:cs="Times New Roman"/>
        </w:rPr>
        <w:t xml:space="preserve">As well as refusal applications, active case management allows the judiciary to curtail any </w:t>
      </w:r>
      <w:r w:rsidR="00C15848" w:rsidRPr="00AF29BF">
        <w:rPr>
          <w:rFonts w:ascii="Times New Roman" w:hAnsi="Times New Roman" w:cs="Times New Roman"/>
        </w:rPr>
        <w:t>cross-examination</w:t>
      </w:r>
      <w:r w:rsidRPr="00AF29BF">
        <w:rPr>
          <w:rFonts w:ascii="Times New Roman" w:hAnsi="Times New Roman" w:cs="Times New Roman"/>
        </w:rPr>
        <w:t xml:space="preserve"> that is deemed unnecessary or repetitious. In </w:t>
      </w:r>
      <w:r w:rsidRPr="00AF29BF">
        <w:rPr>
          <w:rFonts w:ascii="Times New Roman" w:hAnsi="Times New Roman" w:cs="Times New Roman"/>
          <w:i/>
        </w:rPr>
        <w:t>Butt</w:t>
      </w:r>
      <w:r w:rsidRPr="00AF29BF">
        <w:rPr>
          <w:rStyle w:val="FootnoteReference"/>
          <w:rFonts w:ascii="Times New Roman" w:hAnsi="Times New Roman" w:cs="Times New Roman"/>
        </w:rPr>
        <w:footnoteReference w:id="75"/>
      </w:r>
      <w:r w:rsidRPr="00AF29BF">
        <w:rPr>
          <w:rFonts w:ascii="Times New Roman" w:hAnsi="Times New Roman" w:cs="Times New Roman"/>
        </w:rPr>
        <w:t xml:space="preserve"> defence counsel spent a great deal of time asking questions to establish background information. Counsel then went on to conduct a detailed repetitious cross-examination as to the events of the material time and the allegation of rape. The judge said counsel was concentrating on unimportant issues and cross-examination was to be finished in ten minutes. The defendant was convicted and appealed on the basis the judge prevented his counsel from cross-examining the complainant adequately and this resulted in an unfair trial. </w:t>
      </w:r>
      <w:r w:rsidR="00C15848" w:rsidRPr="00AF29BF">
        <w:rPr>
          <w:rFonts w:ascii="Times New Roman" w:hAnsi="Times New Roman" w:cs="Times New Roman"/>
        </w:rPr>
        <w:t xml:space="preserve">The appeal was dismissed and the Court stated that </w:t>
      </w:r>
      <w:r w:rsidR="002A324A" w:rsidRPr="00AF29BF">
        <w:rPr>
          <w:rFonts w:ascii="Times New Roman" w:hAnsi="Times New Roman" w:cs="Times New Roman"/>
        </w:rPr>
        <w:t xml:space="preserve">the </w:t>
      </w:r>
      <w:r w:rsidR="00C15848" w:rsidRPr="00AF29BF">
        <w:rPr>
          <w:rFonts w:ascii="Times New Roman" w:hAnsi="Times New Roman" w:cs="Times New Roman"/>
        </w:rPr>
        <w:t>cross-examination wasted time and was repetitious</w:t>
      </w:r>
      <w:r w:rsidR="00AE2B30" w:rsidRPr="00AF29BF">
        <w:rPr>
          <w:rFonts w:ascii="Times New Roman" w:hAnsi="Times New Roman" w:cs="Times New Roman"/>
        </w:rPr>
        <w:t>. C</w:t>
      </w:r>
      <w:r w:rsidR="00C15848" w:rsidRPr="00AF29BF">
        <w:rPr>
          <w:rFonts w:ascii="Times New Roman" w:hAnsi="Times New Roman" w:cs="Times New Roman"/>
        </w:rPr>
        <w:t xml:space="preserve">ounsel spent too much time reaching the </w:t>
      </w:r>
      <w:r w:rsidR="00AE2B30" w:rsidRPr="00AF29BF">
        <w:rPr>
          <w:rFonts w:ascii="Times New Roman" w:hAnsi="Times New Roman" w:cs="Times New Roman"/>
        </w:rPr>
        <w:t>‘</w:t>
      </w:r>
      <w:r w:rsidR="00C15848" w:rsidRPr="00AF29BF">
        <w:rPr>
          <w:rFonts w:ascii="Times New Roman" w:hAnsi="Times New Roman" w:cs="Times New Roman"/>
        </w:rPr>
        <w:t>real issue</w:t>
      </w:r>
      <w:r w:rsidR="00AE2B30" w:rsidRPr="00AF29BF">
        <w:rPr>
          <w:rFonts w:ascii="Times New Roman" w:hAnsi="Times New Roman" w:cs="Times New Roman"/>
        </w:rPr>
        <w:t>’</w:t>
      </w:r>
      <w:r w:rsidR="00C15848" w:rsidRPr="00AF29BF">
        <w:rPr>
          <w:rFonts w:ascii="Times New Roman" w:hAnsi="Times New Roman" w:cs="Times New Roman"/>
        </w:rPr>
        <w:t xml:space="preserve"> of whether the complainant consented to sexual intercourse. Dyson LJ stated the ‘management of a trial involves the exercise of judgment and discretion and the court will not interfere with a decision made when the judge is exercising this function.</w:t>
      </w:r>
      <w:r w:rsidR="00C15848" w:rsidRPr="00AF29BF">
        <w:rPr>
          <w:rStyle w:val="FootnoteReference"/>
          <w:rFonts w:ascii="Times New Roman" w:hAnsi="Times New Roman" w:cs="Times New Roman"/>
        </w:rPr>
        <w:footnoteReference w:id="76"/>
      </w:r>
      <w:r w:rsidR="007C1001" w:rsidRPr="00AF29BF">
        <w:rPr>
          <w:rFonts w:ascii="Times New Roman" w:hAnsi="Times New Roman" w:cs="Times New Roman"/>
        </w:rPr>
        <w:t xml:space="preserve"> </w:t>
      </w:r>
    </w:p>
    <w:p w14:paraId="267BA41D" w14:textId="77777777" w:rsidR="002412F5" w:rsidRPr="00AF29BF" w:rsidRDefault="002412F5" w:rsidP="00916253">
      <w:pPr>
        <w:jc w:val="both"/>
        <w:rPr>
          <w:rFonts w:ascii="Times New Roman" w:hAnsi="Times New Roman" w:cs="Times New Roman"/>
          <w:b/>
        </w:rPr>
      </w:pPr>
    </w:p>
    <w:p w14:paraId="51A17373" w14:textId="7BC5DAAF" w:rsidR="000E2356" w:rsidRPr="00AF29BF" w:rsidRDefault="009A159F" w:rsidP="00916253">
      <w:pPr>
        <w:ind w:left="426"/>
        <w:jc w:val="both"/>
        <w:rPr>
          <w:rFonts w:ascii="Times New Roman" w:hAnsi="Times New Roman" w:cs="Times New Roman"/>
          <w:b/>
          <w:sz w:val="28"/>
          <w:szCs w:val="28"/>
        </w:rPr>
      </w:pPr>
      <w:r w:rsidRPr="00AF29BF">
        <w:rPr>
          <w:rFonts w:ascii="Times New Roman" w:hAnsi="Times New Roman" w:cs="Times New Roman"/>
          <w:b/>
          <w:sz w:val="28"/>
          <w:szCs w:val="28"/>
        </w:rPr>
        <w:t>3.2 Over Zealous Case Management</w:t>
      </w:r>
      <w:r w:rsidR="00126356" w:rsidRPr="00AF29BF">
        <w:rPr>
          <w:rFonts w:ascii="Times New Roman" w:hAnsi="Times New Roman" w:cs="Times New Roman"/>
          <w:b/>
          <w:sz w:val="28"/>
          <w:szCs w:val="28"/>
        </w:rPr>
        <w:t xml:space="preserve">: The overactive judiciary </w:t>
      </w:r>
    </w:p>
    <w:p w14:paraId="2A5E1218" w14:textId="77777777" w:rsidR="00461CEA" w:rsidRPr="00AF29BF" w:rsidRDefault="00461CEA" w:rsidP="00916253">
      <w:pPr>
        <w:jc w:val="both"/>
        <w:rPr>
          <w:rFonts w:ascii="Times New Roman" w:hAnsi="Times New Roman" w:cs="Times New Roman"/>
        </w:rPr>
      </w:pPr>
    </w:p>
    <w:p w14:paraId="6697EEE6" w14:textId="3387170F" w:rsidR="00E452FA" w:rsidRPr="00AF29BF" w:rsidRDefault="00BD51F0" w:rsidP="00916253">
      <w:pPr>
        <w:jc w:val="both"/>
        <w:rPr>
          <w:rFonts w:ascii="Times New Roman" w:hAnsi="Times New Roman" w:cs="Times New Roman"/>
          <w:bCs/>
        </w:rPr>
      </w:pPr>
      <w:r w:rsidRPr="00AF29BF">
        <w:rPr>
          <w:rFonts w:ascii="Times New Roman" w:hAnsi="Times New Roman" w:cs="Times New Roman"/>
        </w:rPr>
        <w:t xml:space="preserve">There are limits to the case management powers possessed by the judiciary and at times they are guilty of overstepping the boundary of acceptable conduct. </w:t>
      </w:r>
      <w:r w:rsidR="00E452FA" w:rsidRPr="00AF29BF">
        <w:rPr>
          <w:rFonts w:ascii="Times New Roman" w:hAnsi="Times New Roman" w:cs="Times New Roman"/>
        </w:rPr>
        <w:t xml:space="preserve"> </w:t>
      </w:r>
      <w:r w:rsidR="00ED1956" w:rsidRPr="00AF29BF">
        <w:rPr>
          <w:rFonts w:ascii="Times New Roman" w:hAnsi="Times New Roman" w:cs="Times New Roman"/>
          <w:bCs/>
        </w:rPr>
        <w:t xml:space="preserve">In </w:t>
      </w:r>
      <w:proofErr w:type="spellStart"/>
      <w:r w:rsidR="00ED1956" w:rsidRPr="00AF29BF">
        <w:rPr>
          <w:rFonts w:ascii="Times New Roman" w:hAnsi="Times New Roman" w:cs="Times New Roman"/>
          <w:bCs/>
          <w:i/>
        </w:rPr>
        <w:t>Cordingley</w:t>
      </w:r>
      <w:proofErr w:type="spellEnd"/>
      <w:r w:rsidR="00ED1956" w:rsidRPr="00AF29BF">
        <w:rPr>
          <w:rStyle w:val="FootnoteReference"/>
          <w:rFonts w:ascii="Times New Roman" w:hAnsi="Times New Roman" w:cs="Times New Roman"/>
          <w:bCs/>
        </w:rPr>
        <w:footnoteReference w:id="77"/>
      </w:r>
      <w:r w:rsidR="005D348D">
        <w:rPr>
          <w:rFonts w:ascii="Times New Roman" w:hAnsi="Times New Roman" w:cs="Times New Roman"/>
          <w:bCs/>
          <w:i/>
        </w:rPr>
        <w:t xml:space="preserve"> </w:t>
      </w:r>
      <w:r w:rsidR="00ED1956" w:rsidRPr="00AF29BF">
        <w:rPr>
          <w:rFonts w:ascii="Times New Roman" w:hAnsi="Times New Roman" w:cs="Times New Roman"/>
          <w:bCs/>
        </w:rPr>
        <w:t xml:space="preserve">the trial judge was deemed to act in an oppressive manner toward the defendant. In the interests of efficiency the judge in the first instance disagreed with </w:t>
      </w:r>
      <w:r w:rsidR="00C51526" w:rsidRPr="00AF29BF">
        <w:rPr>
          <w:rFonts w:ascii="Times New Roman" w:hAnsi="Times New Roman" w:cs="Times New Roman"/>
          <w:bCs/>
        </w:rPr>
        <w:t>counsel’s</w:t>
      </w:r>
      <w:r w:rsidR="00ED1956" w:rsidRPr="00AF29BF">
        <w:rPr>
          <w:rFonts w:ascii="Times New Roman" w:hAnsi="Times New Roman" w:cs="Times New Roman"/>
          <w:bCs/>
        </w:rPr>
        <w:t xml:space="preserve"> </w:t>
      </w:r>
      <w:r w:rsidR="00C51526" w:rsidRPr="00AF29BF">
        <w:rPr>
          <w:rFonts w:ascii="Times New Roman" w:hAnsi="Times New Roman" w:cs="Times New Roman"/>
          <w:bCs/>
        </w:rPr>
        <w:t xml:space="preserve">assertion that the estimated length of the trial should be three days. The judge intimated this </w:t>
      </w:r>
      <w:r w:rsidR="00D767BA" w:rsidRPr="00AF29BF">
        <w:rPr>
          <w:rFonts w:ascii="Times New Roman" w:hAnsi="Times New Roman" w:cs="Times New Roman"/>
          <w:bCs/>
        </w:rPr>
        <w:t>should</w:t>
      </w:r>
      <w:r w:rsidR="00C51526" w:rsidRPr="00AF29BF">
        <w:rPr>
          <w:rFonts w:ascii="Times New Roman" w:hAnsi="Times New Roman" w:cs="Times New Roman"/>
          <w:bCs/>
        </w:rPr>
        <w:t xml:space="preserve"> be reduced. Bail was also withdrawn, despite the </w:t>
      </w:r>
      <w:r w:rsidR="00C51526" w:rsidRPr="00AF29BF">
        <w:rPr>
          <w:rFonts w:ascii="Times New Roman" w:hAnsi="Times New Roman" w:cs="Times New Roman"/>
          <w:bCs/>
        </w:rPr>
        <w:lastRenderedPageBreak/>
        <w:t xml:space="preserve">defendant being released on bail for the previous eight months. The Court of Appeal endorse robust case management and ensuring the time of the court is used sensibly, however in this instance the conduct of the trial judge betrays an element of rudeness </w:t>
      </w:r>
      <w:r w:rsidR="00AF29BF" w:rsidRPr="00AF29BF">
        <w:rPr>
          <w:rFonts w:ascii="Times New Roman" w:hAnsi="Times New Roman" w:cs="Times New Roman"/>
          <w:bCs/>
        </w:rPr>
        <w:t>on</w:t>
      </w:r>
      <w:r w:rsidR="00C51526" w:rsidRPr="00AF29BF">
        <w:rPr>
          <w:rFonts w:ascii="Times New Roman" w:hAnsi="Times New Roman" w:cs="Times New Roman"/>
          <w:bCs/>
        </w:rPr>
        <w:t xml:space="preserve"> which he should have been ashamed.</w:t>
      </w:r>
      <w:r w:rsidR="00C51526" w:rsidRPr="00AF29BF">
        <w:rPr>
          <w:rStyle w:val="FootnoteReference"/>
          <w:rFonts w:ascii="Times New Roman" w:hAnsi="Times New Roman" w:cs="Times New Roman"/>
          <w:bCs/>
        </w:rPr>
        <w:footnoteReference w:id="78"/>
      </w:r>
      <w:r w:rsidR="00C51526" w:rsidRPr="00AF29BF">
        <w:rPr>
          <w:rFonts w:ascii="Times New Roman" w:hAnsi="Times New Roman" w:cs="Times New Roman"/>
          <w:bCs/>
        </w:rPr>
        <w:t xml:space="preserve"> The safety of a conviction does not merely depend upon the strength of evidence that the jury hears but also the observance of due process. It was clear to the Court of Appeal that the effect of the judge’s conduct was to inhibit the defendant in the course of his defence</w:t>
      </w:r>
      <w:r w:rsidR="00AF29BF" w:rsidRPr="00AF29BF">
        <w:rPr>
          <w:rFonts w:ascii="Times New Roman" w:hAnsi="Times New Roman" w:cs="Times New Roman"/>
          <w:bCs/>
        </w:rPr>
        <w:t>.</w:t>
      </w:r>
      <w:r w:rsidR="00C51526" w:rsidRPr="00AF29BF">
        <w:rPr>
          <w:rFonts w:ascii="Times New Roman" w:hAnsi="Times New Roman" w:cs="Times New Roman"/>
          <w:bCs/>
        </w:rPr>
        <w:t xml:space="preserve"> </w:t>
      </w:r>
      <w:r w:rsidR="00AF29BF" w:rsidRPr="00AF29BF">
        <w:rPr>
          <w:rFonts w:ascii="Times New Roman" w:hAnsi="Times New Roman" w:cs="Times New Roman"/>
          <w:bCs/>
        </w:rPr>
        <w:t>T</w:t>
      </w:r>
      <w:r w:rsidR="00C51526" w:rsidRPr="00AF29BF">
        <w:rPr>
          <w:rFonts w:ascii="Times New Roman" w:hAnsi="Times New Roman" w:cs="Times New Roman"/>
          <w:bCs/>
        </w:rPr>
        <w:t xml:space="preserve">o the court this point was inescapable and would have severe consequences </w:t>
      </w:r>
      <w:r w:rsidR="004827A3" w:rsidRPr="00AF29BF">
        <w:rPr>
          <w:rFonts w:ascii="Times New Roman" w:hAnsi="Times New Roman" w:cs="Times New Roman"/>
          <w:bCs/>
        </w:rPr>
        <w:t>for the credibility of the defendant before a jury.</w:t>
      </w:r>
      <w:r w:rsidR="004827A3" w:rsidRPr="00AF29BF">
        <w:rPr>
          <w:rStyle w:val="FootnoteReference"/>
          <w:rFonts w:ascii="Times New Roman" w:hAnsi="Times New Roman" w:cs="Times New Roman"/>
          <w:bCs/>
        </w:rPr>
        <w:footnoteReference w:id="79"/>
      </w:r>
    </w:p>
    <w:p w14:paraId="1963D390" w14:textId="77777777" w:rsidR="00091E8C" w:rsidRPr="00AF29BF" w:rsidRDefault="00091E8C" w:rsidP="00916253">
      <w:pPr>
        <w:jc w:val="both"/>
        <w:rPr>
          <w:rFonts w:ascii="Times New Roman" w:hAnsi="Times New Roman" w:cs="Times New Roman"/>
          <w:bCs/>
        </w:rPr>
      </w:pPr>
    </w:p>
    <w:p w14:paraId="1B7683A9" w14:textId="20D2F852" w:rsidR="00357244" w:rsidRPr="00AF29BF" w:rsidRDefault="009E1E03" w:rsidP="00916253">
      <w:pPr>
        <w:jc w:val="both"/>
        <w:rPr>
          <w:rFonts w:ascii="Times New Roman" w:hAnsi="Times New Roman" w:cs="Times New Roman"/>
          <w:bCs/>
        </w:rPr>
      </w:pPr>
      <w:r w:rsidRPr="00AF29BF">
        <w:rPr>
          <w:rFonts w:ascii="Times New Roman" w:hAnsi="Times New Roman" w:cs="Times New Roman"/>
          <w:bCs/>
        </w:rPr>
        <w:t>Robust case management is a pivotal part o</w:t>
      </w:r>
      <w:r w:rsidR="00357244" w:rsidRPr="00AF29BF">
        <w:rPr>
          <w:rFonts w:ascii="Times New Roman" w:hAnsi="Times New Roman" w:cs="Times New Roman"/>
          <w:bCs/>
        </w:rPr>
        <w:t>f the modern day criminal trial</w:t>
      </w:r>
      <w:r w:rsidR="00D767BA" w:rsidRPr="00AF29BF">
        <w:rPr>
          <w:rFonts w:ascii="Times New Roman" w:hAnsi="Times New Roman" w:cs="Times New Roman"/>
          <w:bCs/>
        </w:rPr>
        <w:t>. H</w:t>
      </w:r>
      <w:r w:rsidR="00357244" w:rsidRPr="00AF29BF">
        <w:rPr>
          <w:rFonts w:ascii="Times New Roman" w:hAnsi="Times New Roman" w:cs="Times New Roman"/>
          <w:bCs/>
        </w:rPr>
        <w:t>owever</w:t>
      </w:r>
      <w:r w:rsidR="00D767BA" w:rsidRPr="00AF29BF">
        <w:rPr>
          <w:rFonts w:ascii="Times New Roman" w:hAnsi="Times New Roman" w:cs="Times New Roman"/>
          <w:bCs/>
        </w:rPr>
        <w:t>,</w:t>
      </w:r>
      <w:r w:rsidR="00357244" w:rsidRPr="00AF29BF">
        <w:rPr>
          <w:rFonts w:ascii="Times New Roman" w:hAnsi="Times New Roman" w:cs="Times New Roman"/>
          <w:bCs/>
        </w:rPr>
        <w:t xml:space="preserve"> discourteous bad manners will not be tolerated by the courts. Furthermore, excessive judicial intervention </w:t>
      </w:r>
      <w:r w:rsidR="00575D37" w:rsidRPr="00AF29BF">
        <w:rPr>
          <w:rFonts w:ascii="Times New Roman" w:hAnsi="Times New Roman" w:cs="Times New Roman"/>
          <w:bCs/>
        </w:rPr>
        <w:t>is</w:t>
      </w:r>
      <w:r w:rsidR="00357244" w:rsidRPr="00AF29BF">
        <w:rPr>
          <w:rFonts w:ascii="Times New Roman" w:hAnsi="Times New Roman" w:cs="Times New Roman"/>
          <w:bCs/>
        </w:rPr>
        <w:t xml:space="preserve"> also not permitted. In </w:t>
      </w:r>
      <w:proofErr w:type="spellStart"/>
      <w:r w:rsidR="00357244" w:rsidRPr="00AF29BF">
        <w:rPr>
          <w:rFonts w:ascii="Times New Roman" w:hAnsi="Times New Roman" w:cs="Times New Roman"/>
          <w:bCs/>
          <w:i/>
        </w:rPr>
        <w:t>Copsey</w:t>
      </w:r>
      <w:proofErr w:type="spellEnd"/>
      <w:r w:rsidR="00357244" w:rsidRPr="00AF29BF">
        <w:rPr>
          <w:rStyle w:val="FootnoteReference"/>
          <w:rFonts w:ascii="Times New Roman" w:hAnsi="Times New Roman" w:cs="Times New Roman"/>
          <w:bCs/>
        </w:rPr>
        <w:footnoteReference w:id="80"/>
      </w:r>
      <w:r w:rsidR="005E5467" w:rsidRPr="00AF29BF">
        <w:rPr>
          <w:rFonts w:ascii="Times New Roman" w:hAnsi="Times New Roman" w:cs="Times New Roman"/>
          <w:bCs/>
        </w:rPr>
        <w:t>the judge asked 60 questions in the first defendant’s evidence-in-chief and 50 during cross-examination. The co-accused was asked 57 throughout his evidence-in-chief and 36 during cross-examination. Many of the question</w:t>
      </w:r>
      <w:r w:rsidR="00C93780" w:rsidRPr="00AF29BF">
        <w:rPr>
          <w:rFonts w:ascii="Times New Roman" w:hAnsi="Times New Roman" w:cs="Times New Roman"/>
          <w:bCs/>
        </w:rPr>
        <w:t>s</w:t>
      </w:r>
      <w:r w:rsidR="005E5467" w:rsidRPr="00AF29BF">
        <w:rPr>
          <w:rFonts w:ascii="Times New Roman" w:hAnsi="Times New Roman" w:cs="Times New Roman"/>
          <w:bCs/>
        </w:rPr>
        <w:t xml:space="preserve"> took the form of cross-examination and e</w:t>
      </w:r>
      <w:r w:rsidR="00C93780" w:rsidRPr="00AF29BF">
        <w:rPr>
          <w:rFonts w:ascii="Times New Roman" w:hAnsi="Times New Roman" w:cs="Times New Roman"/>
          <w:bCs/>
        </w:rPr>
        <w:t>nded with the question ‘did you?’</w:t>
      </w:r>
      <w:r w:rsidR="005E5467" w:rsidRPr="00AF29BF">
        <w:rPr>
          <w:rFonts w:ascii="Times New Roman" w:hAnsi="Times New Roman" w:cs="Times New Roman"/>
          <w:bCs/>
        </w:rPr>
        <w:t xml:space="preserve"> The judge made disparaging and potentially prejudicial remarks about the defence </w:t>
      </w:r>
      <w:r w:rsidR="005D348D" w:rsidRPr="00AF29BF">
        <w:rPr>
          <w:rFonts w:ascii="Times New Roman" w:hAnsi="Times New Roman" w:cs="Times New Roman"/>
          <w:bCs/>
        </w:rPr>
        <w:t>evidence;</w:t>
      </w:r>
      <w:r w:rsidR="005E5467" w:rsidRPr="00AF29BF">
        <w:rPr>
          <w:rFonts w:ascii="Times New Roman" w:hAnsi="Times New Roman" w:cs="Times New Roman"/>
          <w:bCs/>
        </w:rPr>
        <w:t xml:space="preserve"> he referred to part </w:t>
      </w:r>
      <w:r w:rsidR="00AF29BF">
        <w:rPr>
          <w:rFonts w:ascii="Times New Roman" w:hAnsi="Times New Roman" w:cs="Times New Roman"/>
          <w:bCs/>
        </w:rPr>
        <w:t>the</w:t>
      </w:r>
      <w:r w:rsidR="005E5467" w:rsidRPr="00AF29BF">
        <w:rPr>
          <w:rFonts w:ascii="Times New Roman" w:hAnsi="Times New Roman" w:cs="Times New Roman"/>
          <w:bCs/>
        </w:rPr>
        <w:t xml:space="preserve"> </w:t>
      </w:r>
      <w:r w:rsidR="00D767BA" w:rsidRPr="00AF29BF">
        <w:rPr>
          <w:rFonts w:ascii="Times New Roman" w:hAnsi="Times New Roman" w:cs="Times New Roman"/>
          <w:bCs/>
        </w:rPr>
        <w:t>evidence</w:t>
      </w:r>
      <w:r w:rsidR="00AF29BF">
        <w:rPr>
          <w:rFonts w:ascii="Times New Roman" w:hAnsi="Times New Roman" w:cs="Times New Roman"/>
          <w:bCs/>
        </w:rPr>
        <w:t xml:space="preserve"> as ‘bizarre’ and</w:t>
      </w:r>
      <w:r w:rsidR="005E5467" w:rsidRPr="00AF29BF">
        <w:rPr>
          <w:rFonts w:ascii="Times New Roman" w:hAnsi="Times New Roman" w:cs="Times New Roman"/>
          <w:bCs/>
        </w:rPr>
        <w:t xml:space="preserve"> was dismissive of defence witnesses. Both defendants were convicted and appealed on the basis that </w:t>
      </w:r>
      <w:r w:rsidR="005E5467" w:rsidRPr="00AF29BF">
        <w:rPr>
          <w:rFonts w:ascii="Times New Roman" w:hAnsi="Times New Roman" w:cs="Times New Roman"/>
          <w:bCs/>
          <w:i/>
        </w:rPr>
        <w:t>inter alia</w:t>
      </w:r>
      <w:r w:rsidR="005E5467" w:rsidRPr="00AF29BF">
        <w:rPr>
          <w:rFonts w:ascii="Times New Roman" w:hAnsi="Times New Roman" w:cs="Times New Roman"/>
          <w:bCs/>
        </w:rPr>
        <w:t xml:space="preserve"> there was excessive judicial </w:t>
      </w:r>
      <w:r w:rsidR="009021FF" w:rsidRPr="00AF29BF">
        <w:rPr>
          <w:rFonts w:ascii="Times New Roman" w:hAnsi="Times New Roman" w:cs="Times New Roman"/>
          <w:bCs/>
        </w:rPr>
        <w:t>intervention that</w:t>
      </w:r>
      <w:r w:rsidR="005E5467" w:rsidRPr="00AF29BF">
        <w:rPr>
          <w:rFonts w:ascii="Times New Roman" w:hAnsi="Times New Roman" w:cs="Times New Roman"/>
          <w:bCs/>
        </w:rPr>
        <w:t xml:space="preserve"> would lead the jury to perceive that the judge did not believe their case. The nature of frequency of the questioning concerned the </w:t>
      </w:r>
      <w:r w:rsidR="00D767BA" w:rsidRPr="00AF29BF">
        <w:rPr>
          <w:rFonts w:ascii="Times New Roman" w:hAnsi="Times New Roman" w:cs="Times New Roman"/>
          <w:bCs/>
        </w:rPr>
        <w:t xml:space="preserve">Court of Appeal, especially his contention </w:t>
      </w:r>
      <w:r w:rsidR="005E5467" w:rsidRPr="00AF29BF">
        <w:rPr>
          <w:rFonts w:ascii="Times New Roman" w:hAnsi="Times New Roman" w:cs="Times New Roman"/>
          <w:bCs/>
        </w:rPr>
        <w:t xml:space="preserve">that an important part of the defence case was </w:t>
      </w:r>
      <w:r w:rsidR="00D767BA" w:rsidRPr="00AF29BF">
        <w:rPr>
          <w:rFonts w:ascii="Times New Roman" w:hAnsi="Times New Roman" w:cs="Times New Roman"/>
          <w:bCs/>
        </w:rPr>
        <w:t xml:space="preserve">labelled </w:t>
      </w:r>
      <w:r w:rsidR="005E5467" w:rsidRPr="00AF29BF">
        <w:rPr>
          <w:rFonts w:ascii="Times New Roman" w:hAnsi="Times New Roman" w:cs="Times New Roman"/>
          <w:bCs/>
        </w:rPr>
        <w:t>‘bizarre’. Ultimately, the conduct of the judge rendered the trial unfair</w:t>
      </w:r>
      <w:r w:rsidR="00AE2B30" w:rsidRPr="00AF29BF">
        <w:rPr>
          <w:rFonts w:ascii="Times New Roman" w:hAnsi="Times New Roman" w:cs="Times New Roman"/>
          <w:bCs/>
        </w:rPr>
        <w:t xml:space="preserve"> and ultimately, the conviction unsafe</w:t>
      </w:r>
      <w:r w:rsidR="005E5467" w:rsidRPr="00AF29BF">
        <w:rPr>
          <w:rFonts w:ascii="Times New Roman" w:hAnsi="Times New Roman" w:cs="Times New Roman"/>
          <w:bCs/>
        </w:rPr>
        <w:t>.</w:t>
      </w:r>
      <w:r w:rsidR="005E5467" w:rsidRPr="00AF29BF">
        <w:rPr>
          <w:rStyle w:val="FootnoteReference"/>
          <w:rFonts w:ascii="Times New Roman" w:hAnsi="Times New Roman" w:cs="Times New Roman"/>
          <w:bCs/>
        </w:rPr>
        <w:footnoteReference w:id="81"/>
      </w:r>
      <w:r w:rsidR="005E5467" w:rsidRPr="00AF29BF">
        <w:rPr>
          <w:rFonts w:ascii="Times New Roman" w:hAnsi="Times New Roman" w:cs="Times New Roman"/>
          <w:bCs/>
        </w:rPr>
        <w:t xml:space="preserve"> </w:t>
      </w:r>
    </w:p>
    <w:p w14:paraId="56E87C7C" w14:textId="77777777" w:rsidR="00BD51F0" w:rsidRPr="00AF29BF" w:rsidRDefault="00BD51F0" w:rsidP="00916253">
      <w:pPr>
        <w:jc w:val="both"/>
        <w:rPr>
          <w:rFonts w:ascii="Times New Roman" w:hAnsi="Times New Roman" w:cs="Times New Roman"/>
          <w:sz w:val="28"/>
          <w:szCs w:val="28"/>
        </w:rPr>
      </w:pPr>
    </w:p>
    <w:p w14:paraId="6297BF2E" w14:textId="6EF5FE82" w:rsidR="004624DF" w:rsidRPr="00AF29BF" w:rsidRDefault="00575D37" w:rsidP="00916253">
      <w:pPr>
        <w:jc w:val="both"/>
        <w:rPr>
          <w:rFonts w:ascii="Times New Roman" w:hAnsi="Times New Roman" w:cs="Times New Roman"/>
        </w:rPr>
      </w:pPr>
      <w:r w:rsidRPr="00AF29BF">
        <w:rPr>
          <w:rFonts w:ascii="Times New Roman" w:hAnsi="Times New Roman" w:cs="Times New Roman"/>
        </w:rPr>
        <w:t>Interestingly, n</w:t>
      </w:r>
      <w:r w:rsidR="004624DF" w:rsidRPr="00AF29BF">
        <w:rPr>
          <w:rFonts w:ascii="Times New Roman" w:hAnsi="Times New Roman" w:cs="Times New Roman"/>
        </w:rPr>
        <w:t>ot all</w:t>
      </w:r>
      <w:r w:rsidRPr="00AF29BF">
        <w:rPr>
          <w:rFonts w:ascii="Times New Roman" w:hAnsi="Times New Roman" w:cs="Times New Roman"/>
        </w:rPr>
        <w:t xml:space="preserve"> ‘excessive’</w:t>
      </w:r>
      <w:r w:rsidR="004624DF" w:rsidRPr="00AF29BF">
        <w:rPr>
          <w:rFonts w:ascii="Times New Roman" w:hAnsi="Times New Roman" w:cs="Times New Roman"/>
        </w:rPr>
        <w:t xml:space="preserve"> interventions render the trial unfair. In </w:t>
      </w:r>
      <w:proofErr w:type="spellStart"/>
      <w:r w:rsidR="004624DF" w:rsidRPr="00AF29BF">
        <w:rPr>
          <w:rFonts w:ascii="Times New Roman" w:hAnsi="Times New Roman" w:cs="Times New Roman"/>
          <w:i/>
        </w:rPr>
        <w:t>Zarezadeh</w:t>
      </w:r>
      <w:proofErr w:type="spellEnd"/>
      <w:r w:rsidR="004624DF" w:rsidRPr="00AF29BF">
        <w:rPr>
          <w:rStyle w:val="FootnoteReference"/>
          <w:rFonts w:ascii="Times New Roman" w:hAnsi="Times New Roman" w:cs="Times New Roman"/>
        </w:rPr>
        <w:footnoteReference w:id="82"/>
      </w:r>
      <w:r w:rsidR="004624DF" w:rsidRPr="00AF29BF">
        <w:rPr>
          <w:rFonts w:ascii="Times New Roman" w:hAnsi="Times New Roman" w:cs="Times New Roman"/>
        </w:rPr>
        <w:t xml:space="preserve"> the trial judge made a number of interventions during his </w:t>
      </w:r>
      <w:r w:rsidR="0050041B" w:rsidRPr="00AF29BF">
        <w:rPr>
          <w:rFonts w:ascii="Times New Roman" w:hAnsi="Times New Roman" w:cs="Times New Roman"/>
        </w:rPr>
        <w:t>cross-examination</w:t>
      </w:r>
      <w:r w:rsidR="004624DF" w:rsidRPr="00AF29BF">
        <w:rPr>
          <w:rFonts w:ascii="Times New Roman" w:hAnsi="Times New Roman" w:cs="Times New Roman"/>
        </w:rPr>
        <w:t xml:space="preserve"> </w:t>
      </w:r>
      <w:r w:rsidRPr="00AF29BF">
        <w:rPr>
          <w:rFonts w:ascii="Times New Roman" w:hAnsi="Times New Roman" w:cs="Times New Roman"/>
        </w:rPr>
        <w:t>for the prosecution. The judge ef</w:t>
      </w:r>
      <w:r w:rsidR="004624DF" w:rsidRPr="00AF29BF">
        <w:rPr>
          <w:rFonts w:ascii="Times New Roman" w:hAnsi="Times New Roman" w:cs="Times New Roman"/>
        </w:rPr>
        <w:t>fectively appeared to the jury as a ‘second prosecutor’ and the impression potentially given to the jury is one that the judge does not accept what the defendant was saying.</w:t>
      </w:r>
      <w:r w:rsidR="004624DF" w:rsidRPr="00AF29BF">
        <w:rPr>
          <w:rStyle w:val="FootnoteReference"/>
          <w:rFonts w:ascii="Times New Roman" w:hAnsi="Times New Roman" w:cs="Times New Roman"/>
        </w:rPr>
        <w:footnoteReference w:id="83"/>
      </w:r>
      <w:r w:rsidR="004624DF" w:rsidRPr="00AF29BF">
        <w:rPr>
          <w:rFonts w:ascii="Times New Roman" w:hAnsi="Times New Roman" w:cs="Times New Roman"/>
        </w:rPr>
        <w:t xml:space="preserve"> However, despite this impression being given to the jury, the Court of Appeal held this did not infringe the Appellant’s right to a fair trial. </w:t>
      </w:r>
      <w:r w:rsidR="00F451B8" w:rsidRPr="00AF29BF">
        <w:rPr>
          <w:rFonts w:ascii="Times New Roman" w:hAnsi="Times New Roman" w:cs="Times New Roman"/>
        </w:rPr>
        <w:t>The</w:t>
      </w:r>
      <w:r w:rsidR="004624DF" w:rsidRPr="00AF29BF">
        <w:rPr>
          <w:rFonts w:ascii="Times New Roman" w:hAnsi="Times New Roman" w:cs="Times New Roman"/>
        </w:rPr>
        <w:t xml:space="preserve"> court decided the judge did not go</w:t>
      </w:r>
      <w:r w:rsidR="00BC2553" w:rsidRPr="00AF29BF">
        <w:rPr>
          <w:rFonts w:ascii="Times New Roman" w:hAnsi="Times New Roman" w:cs="Times New Roman"/>
        </w:rPr>
        <w:t xml:space="preserve"> beyond the point of elucidating</w:t>
      </w:r>
      <w:r w:rsidR="004624DF" w:rsidRPr="00AF29BF">
        <w:rPr>
          <w:rFonts w:ascii="Times New Roman" w:hAnsi="Times New Roman" w:cs="Times New Roman"/>
        </w:rPr>
        <w:t xml:space="preserve"> exactly what Appellant was saying. The court noted it was unfortunate that the judge </w:t>
      </w:r>
      <w:r w:rsidR="0050041B" w:rsidRPr="00AF29BF">
        <w:rPr>
          <w:rFonts w:ascii="Times New Roman" w:hAnsi="Times New Roman" w:cs="Times New Roman"/>
        </w:rPr>
        <w:t>intervened</w:t>
      </w:r>
      <w:r w:rsidR="004624DF" w:rsidRPr="00AF29BF">
        <w:rPr>
          <w:rFonts w:ascii="Times New Roman" w:hAnsi="Times New Roman" w:cs="Times New Roman"/>
        </w:rPr>
        <w:t xml:space="preserve"> in the </w:t>
      </w:r>
      <w:r w:rsidR="00BC2553" w:rsidRPr="00AF29BF">
        <w:rPr>
          <w:rFonts w:ascii="Times New Roman" w:hAnsi="Times New Roman" w:cs="Times New Roman"/>
        </w:rPr>
        <w:t>manner</w:t>
      </w:r>
      <w:r w:rsidR="004624DF" w:rsidRPr="00AF29BF">
        <w:rPr>
          <w:rFonts w:ascii="Times New Roman" w:hAnsi="Times New Roman" w:cs="Times New Roman"/>
        </w:rPr>
        <w:t xml:space="preserve"> that he did</w:t>
      </w:r>
      <w:r w:rsidR="000F500F" w:rsidRPr="00AF29BF">
        <w:rPr>
          <w:rFonts w:ascii="Times New Roman" w:hAnsi="Times New Roman" w:cs="Times New Roman"/>
          <w:lang w:val="en-GB"/>
        </w:rPr>
        <w:t xml:space="preserve">, </w:t>
      </w:r>
      <w:r w:rsidR="000F500F" w:rsidRPr="00AF29BF">
        <w:rPr>
          <w:rFonts w:ascii="Times New Roman" w:hAnsi="Times New Roman" w:cs="Times New Roman"/>
        </w:rPr>
        <w:t>and</w:t>
      </w:r>
      <w:r w:rsidR="00F94AFD" w:rsidRPr="00AF29BF">
        <w:rPr>
          <w:rFonts w:ascii="Times New Roman" w:hAnsi="Times New Roman" w:cs="Times New Roman"/>
          <w:lang w:val="en-GB"/>
        </w:rPr>
        <w:t xml:space="preserve"> that he</w:t>
      </w:r>
      <w:r w:rsidR="004624DF" w:rsidRPr="00AF29BF">
        <w:rPr>
          <w:rFonts w:ascii="Times New Roman" w:hAnsi="Times New Roman" w:cs="Times New Roman"/>
        </w:rPr>
        <w:t xml:space="preserve"> did not allow the </w:t>
      </w:r>
      <w:r w:rsidR="0050041B" w:rsidRPr="00AF29BF">
        <w:rPr>
          <w:rFonts w:ascii="Times New Roman" w:hAnsi="Times New Roman" w:cs="Times New Roman"/>
        </w:rPr>
        <w:t>prosecutor to perform his task</w:t>
      </w:r>
      <w:r w:rsidR="00F94AFD" w:rsidRPr="00AF29BF">
        <w:rPr>
          <w:rFonts w:ascii="Times New Roman" w:hAnsi="Times New Roman" w:cs="Times New Roman"/>
          <w:lang w:val="en-GB"/>
        </w:rPr>
        <w:t xml:space="preserve">. However, </w:t>
      </w:r>
      <w:r w:rsidR="0050041B" w:rsidRPr="00AF29BF">
        <w:rPr>
          <w:rFonts w:ascii="Times New Roman" w:hAnsi="Times New Roman" w:cs="Times New Roman"/>
        </w:rPr>
        <w:t xml:space="preserve">the </w:t>
      </w:r>
      <w:r w:rsidR="00F451B8" w:rsidRPr="00AF29BF">
        <w:rPr>
          <w:rFonts w:ascii="Times New Roman" w:hAnsi="Times New Roman" w:cs="Times New Roman"/>
        </w:rPr>
        <w:t xml:space="preserve">conduct of the </w:t>
      </w:r>
      <w:r w:rsidR="0050041B" w:rsidRPr="00AF29BF">
        <w:rPr>
          <w:rFonts w:ascii="Times New Roman" w:hAnsi="Times New Roman" w:cs="Times New Roman"/>
        </w:rPr>
        <w:t xml:space="preserve">judge </w:t>
      </w:r>
      <w:r w:rsidR="00F94AFD" w:rsidRPr="00AF29BF">
        <w:rPr>
          <w:rFonts w:ascii="Times New Roman" w:hAnsi="Times New Roman" w:cs="Times New Roman"/>
          <w:lang w:val="en-GB"/>
        </w:rPr>
        <w:t>was not deemed to</w:t>
      </w:r>
      <w:r w:rsidR="000F500F" w:rsidRPr="00AF29BF">
        <w:rPr>
          <w:rFonts w:ascii="Times New Roman" w:hAnsi="Times New Roman" w:cs="Times New Roman"/>
          <w:lang w:val="en-GB"/>
        </w:rPr>
        <w:t xml:space="preserve"> </w:t>
      </w:r>
      <w:proofErr w:type="spellStart"/>
      <w:r w:rsidR="0050041B" w:rsidRPr="00AF29BF">
        <w:rPr>
          <w:rFonts w:ascii="Times New Roman" w:hAnsi="Times New Roman" w:cs="Times New Roman"/>
        </w:rPr>
        <w:t>characterise</w:t>
      </w:r>
      <w:proofErr w:type="spellEnd"/>
      <w:r w:rsidR="0050041B" w:rsidRPr="00AF29BF">
        <w:rPr>
          <w:rFonts w:ascii="Times New Roman" w:hAnsi="Times New Roman" w:cs="Times New Roman"/>
        </w:rPr>
        <w:t xml:space="preserve"> an unfair trial.</w:t>
      </w:r>
      <w:r w:rsidR="0050041B" w:rsidRPr="00AF29BF">
        <w:rPr>
          <w:rStyle w:val="FootnoteReference"/>
          <w:rFonts w:ascii="Times New Roman" w:hAnsi="Times New Roman" w:cs="Times New Roman"/>
        </w:rPr>
        <w:footnoteReference w:id="84"/>
      </w:r>
      <w:r w:rsidR="0050041B" w:rsidRPr="00AF29BF">
        <w:rPr>
          <w:rFonts w:ascii="Times New Roman" w:hAnsi="Times New Roman" w:cs="Times New Roman"/>
        </w:rPr>
        <w:t xml:space="preserve"> In </w:t>
      </w:r>
      <w:proofErr w:type="spellStart"/>
      <w:r w:rsidR="0050041B" w:rsidRPr="00AF29BF">
        <w:rPr>
          <w:rFonts w:ascii="Times New Roman" w:hAnsi="Times New Roman" w:cs="Times New Roman"/>
          <w:i/>
        </w:rPr>
        <w:t>Meall</w:t>
      </w:r>
      <w:proofErr w:type="spellEnd"/>
      <w:r w:rsidR="0050041B" w:rsidRPr="00AF29BF">
        <w:rPr>
          <w:rStyle w:val="FootnoteReference"/>
          <w:rFonts w:ascii="Times New Roman" w:hAnsi="Times New Roman" w:cs="Times New Roman"/>
        </w:rPr>
        <w:footnoteReference w:id="85"/>
      </w:r>
      <w:r w:rsidR="0050041B" w:rsidRPr="00AF29BF">
        <w:rPr>
          <w:rFonts w:ascii="Times New Roman" w:hAnsi="Times New Roman" w:cs="Times New Roman"/>
          <w:i/>
        </w:rPr>
        <w:t xml:space="preserve"> </w:t>
      </w:r>
      <w:r w:rsidR="0050041B" w:rsidRPr="00AF29BF">
        <w:rPr>
          <w:rFonts w:ascii="Times New Roman" w:hAnsi="Times New Roman" w:cs="Times New Roman"/>
        </w:rPr>
        <w:t>it was also held that the questioning by the judge did not fall into the trap of improper judicial discretion. On appeal the defence submitted that the judge should have discharged the jury after making a number inappropriate comment</w:t>
      </w:r>
      <w:r w:rsidR="00F451B8" w:rsidRPr="00AF29BF">
        <w:rPr>
          <w:rFonts w:ascii="Times New Roman" w:hAnsi="Times New Roman" w:cs="Times New Roman"/>
        </w:rPr>
        <w:t>s</w:t>
      </w:r>
      <w:r w:rsidR="0050041B" w:rsidRPr="00AF29BF">
        <w:rPr>
          <w:rFonts w:ascii="Times New Roman" w:hAnsi="Times New Roman" w:cs="Times New Roman"/>
        </w:rPr>
        <w:t xml:space="preserve"> that intimated two witness</w:t>
      </w:r>
      <w:r w:rsidR="00EA76B7" w:rsidRPr="00AF29BF">
        <w:rPr>
          <w:rFonts w:ascii="Times New Roman" w:hAnsi="Times New Roman" w:cs="Times New Roman"/>
        </w:rPr>
        <w:t>es</w:t>
      </w:r>
      <w:r w:rsidR="0050041B" w:rsidRPr="00AF29BF">
        <w:rPr>
          <w:rFonts w:ascii="Times New Roman" w:hAnsi="Times New Roman" w:cs="Times New Roman"/>
        </w:rPr>
        <w:t xml:space="preserve"> must have made a mistake and the defendant did indeed kick the victim. In his summing up the judge directed the jury to only consider the evidence they have heard before them and not the questioning or comments made by himself. The Defendant was convicted by a majority of eleven to one. The Court of </w:t>
      </w:r>
      <w:r w:rsidR="0050041B" w:rsidRPr="00AF29BF">
        <w:rPr>
          <w:rFonts w:ascii="Times New Roman" w:hAnsi="Times New Roman" w:cs="Times New Roman"/>
        </w:rPr>
        <w:lastRenderedPageBreak/>
        <w:t xml:space="preserve">Appeal held that the </w:t>
      </w:r>
      <w:r w:rsidR="006E4D5A" w:rsidRPr="00AF29BF">
        <w:rPr>
          <w:rFonts w:ascii="Times New Roman" w:hAnsi="Times New Roman" w:cs="Times New Roman"/>
        </w:rPr>
        <w:t>judge waited to the appropriate point to question the Defendant and</w:t>
      </w:r>
      <w:r w:rsidR="00307203" w:rsidRPr="00AF29BF">
        <w:rPr>
          <w:rFonts w:ascii="Times New Roman" w:hAnsi="Times New Roman" w:cs="Times New Roman"/>
          <w:lang w:val="en-GB"/>
        </w:rPr>
        <w:t xml:space="preserve"> that</w:t>
      </w:r>
      <w:r w:rsidR="006E4D5A" w:rsidRPr="00AF29BF">
        <w:rPr>
          <w:rFonts w:ascii="Times New Roman" w:hAnsi="Times New Roman" w:cs="Times New Roman"/>
        </w:rPr>
        <w:t xml:space="preserve"> the questions were limited in scope. The </w:t>
      </w:r>
      <w:r w:rsidR="00F451B8" w:rsidRPr="00AF29BF">
        <w:rPr>
          <w:rFonts w:ascii="Times New Roman" w:hAnsi="Times New Roman" w:cs="Times New Roman"/>
        </w:rPr>
        <w:t>court was</w:t>
      </w:r>
      <w:r w:rsidR="006E4D5A" w:rsidRPr="00AF29BF">
        <w:rPr>
          <w:rFonts w:ascii="Times New Roman" w:hAnsi="Times New Roman" w:cs="Times New Roman"/>
        </w:rPr>
        <w:t xml:space="preserve"> satisfied that the judge did not invite the jury to disbelieve the evidence and he offered a robust direction to the jury</w:t>
      </w:r>
      <w:r w:rsidR="00307203" w:rsidRPr="00AF29BF">
        <w:rPr>
          <w:rFonts w:ascii="Times New Roman" w:hAnsi="Times New Roman" w:cs="Times New Roman"/>
          <w:lang w:val="en-GB"/>
        </w:rPr>
        <w:t>, thus</w:t>
      </w:r>
      <w:r w:rsidR="000F500F" w:rsidRPr="00AF29BF">
        <w:rPr>
          <w:rFonts w:ascii="Times New Roman" w:hAnsi="Times New Roman" w:cs="Times New Roman"/>
          <w:lang w:val="en-GB"/>
        </w:rPr>
        <w:t xml:space="preserve"> the </w:t>
      </w:r>
      <w:r w:rsidR="006E4D5A" w:rsidRPr="00AF29BF">
        <w:rPr>
          <w:rFonts w:ascii="Times New Roman" w:hAnsi="Times New Roman" w:cs="Times New Roman"/>
        </w:rPr>
        <w:t xml:space="preserve">conviction </w:t>
      </w:r>
      <w:r w:rsidR="000F500F" w:rsidRPr="00AF29BF">
        <w:rPr>
          <w:rFonts w:ascii="Times New Roman" w:hAnsi="Times New Roman" w:cs="Times New Roman"/>
        </w:rPr>
        <w:t>was</w:t>
      </w:r>
      <w:r w:rsidR="00542C7E" w:rsidRPr="00AF29BF">
        <w:rPr>
          <w:rFonts w:ascii="Times New Roman" w:hAnsi="Times New Roman" w:cs="Times New Roman"/>
          <w:lang w:val="en-GB"/>
        </w:rPr>
        <w:t xml:space="preserve"> considered</w:t>
      </w:r>
      <w:r w:rsidR="006E4D5A" w:rsidRPr="00AF29BF">
        <w:rPr>
          <w:rFonts w:ascii="Times New Roman" w:hAnsi="Times New Roman" w:cs="Times New Roman"/>
        </w:rPr>
        <w:t xml:space="preserve"> safe. </w:t>
      </w:r>
    </w:p>
    <w:p w14:paraId="03DD638E" w14:textId="77777777" w:rsidR="00BD51F0" w:rsidRPr="00AF29BF" w:rsidRDefault="00BD51F0" w:rsidP="00916253">
      <w:pPr>
        <w:jc w:val="both"/>
        <w:rPr>
          <w:rFonts w:ascii="Times New Roman" w:hAnsi="Times New Roman" w:cs="Times New Roman"/>
        </w:rPr>
      </w:pPr>
    </w:p>
    <w:p w14:paraId="209D2680" w14:textId="05677A3D" w:rsidR="005666F5" w:rsidRPr="00AF29BF" w:rsidRDefault="006E4D5A" w:rsidP="00916253">
      <w:pPr>
        <w:jc w:val="both"/>
        <w:rPr>
          <w:rFonts w:ascii="Times New Roman" w:hAnsi="Times New Roman" w:cs="Times New Roman"/>
        </w:rPr>
      </w:pPr>
      <w:r w:rsidRPr="00AF29BF">
        <w:rPr>
          <w:rFonts w:ascii="Times New Roman" w:hAnsi="Times New Roman" w:cs="Times New Roman"/>
        </w:rPr>
        <w:t xml:space="preserve">Whilst case management has </w:t>
      </w:r>
      <w:r w:rsidR="00BC2553" w:rsidRPr="00AF29BF">
        <w:rPr>
          <w:rFonts w:ascii="Times New Roman" w:hAnsi="Times New Roman" w:cs="Times New Roman"/>
        </w:rPr>
        <w:t>always</w:t>
      </w:r>
      <w:r w:rsidRPr="00AF29BF">
        <w:rPr>
          <w:rFonts w:ascii="Times New Roman" w:hAnsi="Times New Roman" w:cs="Times New Roman"/>
        </w:rPr>
        <w:t xml:space="preserve"> made up a component part of the role of the judge, </w:t>
      </w:r>
      <w:r w:rsidR="00BC2553" w:rsidRPr="00AF29BF">
        <w:rPr>
          <w:rFonts w:ascii="Times New Roman" w:hAnsi="Times New Roman" w:cs="Times New Roman"/>
        </w:rPr>
        <w:t xml:space="preserve">until the dawn of the new millennium </w:t>
      </w:r>
      <w:r w:rsidRPr="00AF29BF">
        <w:rPr>
          <w:rFonts w:ascii="Times New Roman" w:hAnsi="Times New Roman" w:cs="Times New Roman"/>
        </w:rPr>
        <w:t xml:space="preserve">he was often still viewed as the passive pilot. </w:t>
      </w:r>
      <w:r w:rsidR="00F451B8" w:rsidRPr="00AF29BF">
        <w:rPr>
          <w:rFonts w:ascii="Times New Roman" w:hAnsi="Times New Roman" w:cs="Times New Roman"/>
        </w:rPr>
        <w:t xml:space="preserve">The advent of the </w:t>
      </w:r>
      <w:r w:rsidR="005D348D">
        <w:rPr>
          <w:rFonts w:ascii="Times New Roman" w:hAnsi="Times New Roman" w:cs="Times New Roman"/>
        </w:rPr>
        <w:t>CrimPR</w:t>
      </w:r>
      <w:r w:rsidR="00F451B8" w:rsidRPr="00AF29BF">
        <w:rPr>
          <w:rFonts w:ascii="Times New Roman" w:hAnsi="Times New Roman" w:cs="Times New Roman"/>
        </w:rPr>
        <w:t xml:space="preserve"> has allowed</w:t>
      </w:r>
      <w:r w:rsidRPr="00AF29BF">
        <w:rPr>
          <w:rFonts w:ascii="Times New Roman" w:hAnsi="Times New Roman" w:cs="Times New Roman"/>
        </w:rPr>
        <w:t xml:space="preserve"> the judge has shed his </w:t>
      </w:r>
      <w:r w:rsidR="00BC2553" w:rsidRPr="00AF29BF">
        <w:rPr>
          <w:rFonts w:ascii="Times New Roman" w:hAnsi="Times New Roman" w:cs="Times New Roman"/>
        </w:rPr>
        <w:t xml:space="preserve">coat of </w:t>
      </w:r>
      <w:r w:rsidRPr="00AF29BF">
        <w:rPr>
          <w:rFonts w:ascii="Times New Roman" w:hAnsi="Times New Roman" w:cs="Times New Roman"/>
        </w:rPr>
        <w:t xml:space="preserve">passivity in </w:t>
      </w:r>
      <w:proofErr w:type="spellStart"/>
      <w:r w:rsidRPr="00AF29BF">
        <w:rPr>
          <w:rFonts w:ascii="Times New Roman" w:hAnsi="Times New Roman" w:cs="Times New Roman"/>
        </w:rPr>
        <w:t>favour</w:t>
      </w:r>
      <w:proofErr w:type="spellEnd"/>
      <w:r w:rsidRPr="00AF29BF">
        <w:rPr>
          <w:rFonts w:ascii="Times New Roman" w:hAnsi="Times New Roman" w:cs="Times New Roman"/>
        </w:rPr>
        <w:t xml:space="preserve"> of</w:t>
      </w:r>
      <w:r w:rsidR="005D348D">
        <w:rPr>
          <w:rFonts w:ascii="Times New Roman" w:hAnsi="Times New Roman" w:cs="Times New Roman"/>
        </w:rPr>
        <w:t xml:space="preserve"> a more interventionist role.</w:t>
      </w:r>
      <w:r w:rsidRPr="00AF29BF">
        <w:rPr>
          <w:rFonts w:ascii="Times New Roman" w:hAnsi="Times New Roman" w:cs="Times New Roman"/>
        </w:rPr>
        <w:t xml:space="preserve"> A just and fair hearing should undoubtedly underpin a criminal process. However, the </w:t>
      </w:r>
      <w:r w:rsidR="000F500F" w:rsidRPr="00AF29BF">
        <w:rPr>
          <w:rFonts w:ascii="Times New Roman" w:hAnsi="Times New Roman" w:cs="Times New Roman"/>
          <w:lang w:val="en-GB"/>
        </w:rPr>
        <w:t xml:space="preserve">members of the </w:t>
      </w:r>
      <w:r w:rsidRPr="00AF29BF">
        <w:rPr>
          <w:rFonts w:ascii="Times New Roman" w:hAnsi="Times New Roman" w:cs="Times New Roman"/>
        </w:rPr>
        <w:t xml:space="preserve">judiciary </w:t>
      </w:r>
      <w:r w:rsidR="000F500F" w:rsidRPr="00AF29BF">
        <w:rPr>
          <w:rFonts w:ascii="Times New Roman" w:hAnsi="Times New Roman" w:cs="Times New Roman"/>
        </w:rPr>
        <w:t>that</w:t>
      </w:r>
      <w:r w:rsidRPr="00AF29BF">
        <w:rPr>
          <w:rFonts w:ascii="Times New Roman" w:hAnsi="Times New Roman" w:cs="Times New Roman"/>
        </w:rPr>
        <w:t xml:space="preserve"> act in an interv</w:t>
      </w:r>
      <w:r w:rsidR="00F451B8" w:rsidRPr="00AF29BF">
        <w:rPr>
          <w:rFonts w:ascii="Times New Roman" w:hAnsi="Times New Roman" w:cs="Times New Roman"/>
        </w:rPr>
        <w:t xml:space="preserve">entionist manner </w:t>
      </w:r>
      <w:r w:rsidR="00390E4E">
        <w:rPr>
          <w:rFonts w:ascii="Times New Roman" w:hAnsi="Times New Roman" w:cs="Times New Roman"/>
          <w:lang w:val="en-GB"/>
        </w:rPr>
        <w:t xml:space="preserve">potentially undermine the classic notion of adversarialism. Furthermore, </w:t>
      </w:r>
      <w:r w:rsidRPr="00AF29BF">
        <w:rPr>
          <w:rFonts w:ascii="Times New Roman" w:hAnsi="Times New Roman" w:cs="Times New Roman"/>
        </w:rPr>
        <w:t xml:space="preserve">the managerial </w:t>
      </w:r>
      <w:r w:rsidR="00F451B8" w:rsidRPr="00AF29BF">
        <w:rPr>
          <w:rFonts w:ascii="Times New Roman" w:hAnsi="Times New Roman" w:cs="Times New Roman"/>
        </w:rPr>
        <w:t>aims</w:t>
      </w:r>
      <w:r w:rsidRPr="00AF29BF">
        <w:rPr>
          <w:rFonts w:ascii="Times New Roman" w:hAnsi="Times New Roman" w:cs="Times New Roman"/>
        </w:rPr>
        <w:t xml:space="preserve"> of </w:t>
      </w:r>
      <w:r w:rsidR="00714A07" w:rsidRPr="00AF29BF">
        <w:rPr>
          <w:rFonts w:ascii="Times New Roman" w:hAnsi="Times New Roman" w:cs="Times New Roman"/>
        </w:rPr>
        <w:t xml:space="preserve">an </w:t>
      </w:r>
      <w:r w:rsidRPr="00AF29BF">
        <w:rPr>
          <w:rFonts w:ascii="Times New Roman" w:hAnsi="Times New Roman" w:cs="Times New Roman"/>
        </w:rPr>
        <w:t>expeditious and efficient</w:t>
      </w:r>
      <w:r w:rsidR="00F451B8" w:rsidRPr="00AF29BF">
        <w:rPr>
          <w:rFonts w:ascii="Times New Roman" w:hAnsi="Times New Roman" w:cs="Times New Roman"/>
        </w:rPr>
        <w:t xml:space="preserve"> criminal trial shake</w:t>
      </w:r>
      <w:r w:rsidR="00714A07" w:rsidRPr="00AF29BF">
        <w:rPr>
          <w:rFonts w:ascii="Times New Roman" w:hAnsi="Times New Roman" w:cs="Times New Roman"/>
        </w:rPr>
        <w:t xml:space="preserve"> the adversarial foundation to its very core. </w:t>
      </w:r>
    </w:p>
    <w:p w14:paraId="0993AF06" w14:textId="77777777" w:rsidR="00714A07" w:rsidRPr="00AF29BF" w:rsidRDefault="00714A07" w:rsidP="00916253">
      <w:pPr>
        <w:jc w:val="both"/>
        <w:rPr>
          <w:rFonts w:ascii="Times New Roman" w:hAnsi="Times New Roman" w:cs="Times New Roman"/>
          <w:sz w:val="28"/>
          <w:szCs w:val="28"/>
        </w:rPr>
      </w:pPr>
    </w:p>
    <w:p w14:paraId="120539EE" w14:textId="47701A47" w:rsidR="00714A07" w:rsidRPr="00AF29BF" w:rsidRDefault="00714A07" w:rsidP="00916253">
      <w:pPr>
        <w:ind w:left="720"/>
        <w:jc w:val="both"/>
        <w:rPr>
          <w:rFonts w:ascii="Times New Roman" w:hAnsi="Times New Roman" w:cs="Times New Roman"/>
          <w:b/>
          <w:sz w:val="28"/>
          <w:szCs w:val="28"/>
        </w:rPr>
      </w:pPr>
      <w:r w:rsidRPr="00AF29BF">
        <w:rPr>
          <w:rFonts w:ascii="Times New Roman" w:hAnsi="Times New Roman" w:cs="Times New Roman"/>
          <w:b/>
          <w:sz w:val="28"/>
          <w:szCs w:val="28"/>
        </w:rPr>
        <w:t xml:space="preserve">4. The Death of the Adversarialism: The Pursuit of the Overriding Objective. </w:t>
      </w:r>
    </w:p>
    <w:p w14:paraId="24866AE0" w14:textId="77777777" w:rsidR="00575D37" w:rsidRPr="00AF29BF" w:rsidRDefault="00575D37" w:rsidP="00916253">
      <w:pPr>
        <w:jc w:val="both"/>
        <w:rPr>
          <w:rFonts w:ascii="Times New Roman" w:hAnsi="Times New Roman" w:cs="Times New Roman"/>
        </w:rPr>
      </w:pPr>
    </w:p>
    <w:p w14:paraId="0F6F25F1" w14:textId="65164DF1" w:rsidR="00E47E8A" w:rsidRPr="00AF29BF" w:rsidRDefault="00575D37" w:rsidP="00916253">
      <w:pPr>
        <w:jc w:val="both"/>
        <w:rPr>
          <w:rFonts w:ascii="Times New Roman" w:hAnsi="Times New Roman" w:cs="Times New Roman"/>
        </w:rPr>
      </w:pPr>
      <w:r w:rsidRPr="00AF29BF">
        <w:rPr>
          <w:rFonts w:ascii="Times New Roman" w:hAnsi="Times New Roman" w:cs="Times New Roman"/>
        </w:rPr>
        <w:t>Undoubtedly</w:t>
      </w:r>
      <w:r w:rsidR="001A7554" w:rsidRPr="00AF29BF">
        <w:rPr>
          <w:rFonts w:ascii="Times New Roman" w:hAnsi="Times New Roman" w:cs="Times New Roman"/>
        </w:rPr>
        <w:t xml:space="preserve">, the criminal trial </w:t>
      </w:r>
      <w:r w:rsidRPr="00AF29BF">
        <w:rPr>
          <w:rFonts w:ascii="Times New Roman" w:hAnsi="Times New Roman" w:cs="Times New Roman"/>
        </w:rPr>
        <w:t>has always evolved through time</w:t>
      </w:r>
      <w:r w:rsidR="001A7554" w:rsidRPr="00AF29BF">
        <w:rPr>
          <w:rFonts w:ascii="Times New Roman" w:hAnsi="Times New Roman" w:cs="Times New Roman"/>
        </w:rPr>
        <w:t xml:space="preserve">. The development of the adversarial criminal trial </w:t>
      </w:r>
      <w:r w:rsidR="00EA2E6B" w:rsidRPr="00AF29BF">
        <w:rPr>
          <w:rFonts w:ascii="Times New Roman" w:hAnsi="Times New Roman" w:cs="Times New Roman"/>
        </w:rPr>
        <w:t>occurred</w:t>
      </w:r>
      <w:r w:rsidR="001A7554" w:rsidRPr="00AF29BF">
        <w:rPr>
          <w:rFonts w:ascii="Times New Roman" w:hAnsi="Times New Roman" w:cs="Times New Roman"/>
        </w:rPr>
        <w:t xml:space="preserve"> whilst the court was still trying to </w:t>
      </w:r>
      <w:r w:rsidR="00EA76B7" w:rsidRPr="00AF29BF">
        <w:rPr>
          <w:rFonts w:ascii="Times New Roman" w:hAnsi="Times New Roman" w:cs="Times New Roman"/>
        </w:rPr>
        <w:t>preserve</w:t>
      </w:r>
      <w:r w:rsidRPr="00AF29BF">
        <w:rPr>
          <w:rFonts w:ascii="Times New Roman" w:hAnsi="Times New Roman" w:cs="Times New Roman"/>
        </w:rPr>
        <w:t xml:space="preserve"> the ‘accused speaks’ trial</w:t>
      </w:r>
      <w:r w:rsidR="00EA2E6B" w:rsidRPr="00AF29BF">
        <w:rPr>
          <w:rFonts w:ascii="Times New Roman" w:hAnsi="Times New Roman" w:cs="Times New Roman"/>
        </w:rPr>
        <w:t xml:space="preserve">. </w:t>
      </w:r>
      <w:r w:rsidRPr="00AF29BF">
        <w:rPr>
          <w:rFonts w:ascii="Times New Roman" w:hAnsi="Times New Roman" w:cs="Times New Roman"/>
        </w:rPr>
        <w:t xml:space="preserve">By </w:t>
      </w:r>
      <w:r w:rsidR="00EA2E6B" w:rsidRPr="00AF29BF">
        <w:rPr>
          <w:rFonts w:ascii="Times New Roman" w:hAnsi="Times New Roman" w:cs="Times New Roman"/>
        </w:rPr>
        <w:t xml:space="preserve">retaining this form of trial would allow </w:t>
      </w:r>
      <w:r w:rsidR="001A7554" w:rsidRPr="00AF29BF">
        <w:rPr>
          <w:rFonts w:ascii="Times New Roman" w:hAnsi="Times New Roman" w:cs="Times New Roman"/>
        </w:rPr>
        <w:t xml:space="preserve">the court would till benefit from treating the court as an </w:t>
      </w:r>
      <w:r w:rsidR="00F7312E" w:rsidRPr="00AF29BF">
        <w:rPr>
          <w:rFonts w:ascii="Times New Roman" w:hAnsi="Times New Roman" w:cs="Times New Roman"/>
        </w:rPr>
        <w:t>‘</w:t>
      </w:r>
      <w:r w:rsidR="001A7554" w:rsidRPr="00AF29BF">
        <w:rPr>
          <w:rFonts w:ascii="Times New Roman" w:hAnsi="Times New Roman" w:cs="Times New Roman"/>
        </w:rPr>
        <w:t>informational resource</w:t>
      </w:r>
      <w:r w:rsidR="00F7312E" w:rsidRPr="00AF29BF">
        <w:rPr>
          <w:rFonts w:ascii="Times New Roman" w:hAnsi="Times New Roman" w:cs="Times New Roman"/>
        </w:rPr>
        <w:t>’</w:t>
      </w:r>
      <w:r w:rsidR="001A7554" w:rsidRPr="00AF29BF">
        <w:rPr>
          <w:rFonts w:ascii="Times New Roman" w:hAnsi="Times New Roman" w:cs="Times New Roman"/>
        </w:rPr>
        <w:t xml:space="preserve"> and have him openly talking at trial and control of the proceedings remained with the judiciary.</w:t>
      </w:r>
      <w:r w:rsidR="00E91B3E" w:rsidRPr="00AF29BF">
        <w:rPr>
          <w:rFonts w:ascii="Times New Roman" w:hAnsi="Times New Roman" w:cs="Times New Roman"/>
        </w:rPr>
        <w:t xml:space="preserve"> </w:t>
      </w:r>
      <w:r w:rsidR="001A7554" w:rsidRPr="00AF29BF">
        <w:rPr>
          <w:rFonts w:ascii="Times New Roman" w:hAnsi="Times New Roman" w:cs="Times New Roman"/>
        </w:rPr>
        <w:t xml:space="preserve">Adversarial theory </w:t>
      </w:r>
      <w:r w:rsidR="00EA76B7" w:rsidRPr="00AF29BF">
        <w:rPr>
          <w:rFonts w:ascii="Times New Roman" w:hAnsi="Times New Roman" w:cs="Times New Roman"/>
        </w:rPr>
        <w:t xml:space="preserve">heralds </w:t>
      </w:r>
      <w:r w:rsidR="001A7554" w:rsidRPr="00AF29BF">
        <w:rPr>
          <w:rFonts w:ascii="Times New Roman" w:hAnsi="Times New Roman" w:cs="Times New Roman"/>
        </w:rPr>
        <w:t xml:space="preserve">that the trial is a dispute between two </w:t>
      </w:r>
      <w:r w:rsidR="00F7312E" w:rsidRPr="00AF29BF">
        <w:rPr>
          <w:rFonts w:ascii="Times New Roman" w:hAnsi="Times New Roman" w:cs="Times New Roman"/>
        </w:rPr>
        <w:t xml:space="preserve">competing </w:t>
      </w:r>
      <w:r w:rsidR="001A7554" w:rsidRPr="00AF29BF">
        <w:rPr>
          <w:rFonts w:ascii="Times New Roman" w:hAnsi="Times New Roman" w:cs="Times New Roman"/>
        </w:rPr>
        <w:t xml:space="preserve">sides, </w:t>
      </w:r>
      <w:r w:rsidR="002D3FBE" w:rsidRPr="00AF29BF">
        <w:rPr>
          <w:rFonts w:ascii="Times New Roman" w:hAnsi="Times New Roman" w:cs="Times New Roman"/>
        </w:rPr>
        <w:t>which</w:t>
      </w:r>
      <w:r w:rsidR="001A7554" w:rsidRPr="00AF29BF">
        <w:rPr>
          <w:rFonts w:ascii="Times New Roman" w:hAnsi="Times New Roman" w:cs="Times New Roman"/>
        </w:rPr>
        <w:t xml:space="preserve"> are in a position of equality</w:t>
      </w:r>
      <w:r w:rsidR="00F7312E" w:rsidRPr="00AF29BF">
        <w:rPr>
          <w:rFonts w:ascii="Times New Roman" w:hAnsi="Times New Roman" w:cs="Times New Roman"/>
        </w:rPr>
        <w:t>. The argument takes place</w:t>
      </w:r>
      <w:r w:rsidR="001A7554" w:rsidRPr="00AF29BF">
        <w:rPr>
          <w:rFonts w:ascii="Times New Roman" w:hAnsi="Times New Roman" w:cs="Times New Roman"/>
        </w:rPr>
        <w:t xml:space="preserve"> before </w:t>
      </w:r>
      <w:r w:rsidR="00F7312E" w:rsidRPr="00AF29BF">
        <w:rPr>
          <w:rFonts w:ascii="Times New Roman" w:hAnsi="Times New Roman" w:cs="Times New Roman"/>
        </w:rPr>
        <w:t>a</w:t>
      </w:r>
      <w:r w:rsidR="001A7554" w:rsidRPr="00AF29BF">
        <w:rPr>
          <w:rFonts w:ascii="Times New Roman" w:hAnsi="Times New Roman" w:cs="Times New Roman"/>
        </w:rPr>
        <w:t xml:space="preserve"> passive and neutral adjudicator. The evidence is predominately oral and it is the responsibility of the adjudicator to ensure the parties stay within the rules.</w:t>
      </w:r>
      <w:r w:rsidR="00F7312E" w:rsidRPr="00AF29BF">
        <w:rPr>
          <w:rStyle w:val="FootnoteReference"/>
          <w:rFonts w:ascii="Times New Roman" w:hAnsi="Times New Roman" w:cs="Times New Roman"/>
        </w:rPr>
        <w:footnoteReference w:id="86"/>
      </w:r>
      <w:r w:rsidR="001A7554" w:rsidRPr="00AF29BF">
        <w:rPr>
          <w:rFonts w:ascii="Times New Roman" w:hAnsi="Times New Roman" w:cs="Times New Roman"/>
        </w:rPr>
        <w:t xml:space="preserve"> Each side is responsible for the presentation of their individual case</w:t>
      </w:r>
      <w:r w:rsidR="007B790C" w:rsidRPr="00AF29BF">
        <w:rPr>
          <w:rFonts w:ascii="Times New Roman" w:hAnsi="Times New Roman" w:cs="Times New Roman"/>
          <w:lang w:val="en-GB"/>
        </w:rPr>
        <w:t>,</w:t>
      </w:r>
      <w:r w:rsidR="001A7554" w:rsidRPr="00AF29BF">
        <w:rPr>
          <w:rFonts w:ascii="Times New Roman" w:hAnsi="Times New Roman" w:cs="Times New Roman"/>
        </w:rPr>
        <w:t xml:space="preserve"> the trial </w:t>
      </w:r>
      <w:r w:rsidR="007B790C" w:rsidRPr="00AF29BF">
        <w:rPr>
          <w:rFonts w:ascii="Times New Roman" w:hAnsi="Times New Roman" w:cs="Times New Roman"/>
          <w:lang w:val="en-GB"/>
        </w:rPr>
        <w:t>being</w:t>
      </w:r>
      <w:r w:rsidR="001A7554" w:rsidRPr="00AF29BF">
        <w:rPr>
          <w:rFonts w:ascii="Times New Roman" w:hAnsi="Times New Roman" w:cs="Times New Roman"/>
        </w:rPr>
        <w:t xml:space="preserve"> the </w:t>
      </w:r>
      <w:r w:rsidR="00F7312E" w:rsidRPr="00AF29BF">
        <w:rPr>
          <w:rFonts w:ascii="Times New Roman" w:hAnsi="Times New Roman" w:cs="Times New Roman"/>
        </w:rPr>
        <w:t>forum</w:t>
      </w:r>
      <w:r w:rsidR="001A7554" w:rsidRPr="00AF29BF">
        <w:rPr>
          <w:rFonts w:ascii="Times New Roman" w:hAnsi="Times New Roman" w:cs="Times New Roman"/>
        </w:rPr>
        <w:t xml:space="preserve"> </w:t>
      </w:r>
      <w:r w:rsidR="00F7312E" w:rsidRPr="00AF29BF">
        <w:rPr>
          <w:rFonts w:ascii="Times New Roman" w:hAnsi="Times New Roman" w:cs="Times New Roman"/>
        </w:rPr>
        <w:t>in</w:t>
      </w:r>
      <w:r w:rsidR="001A7554" w:rsidRPr="00AF29BF">
        <w:rPr>
          <w:rFonts w:ascii="Times New Roman" w:hAnsi="Times New Roman" w:cs="Times New Roman"/>
        </w:rPr>
        <w:t xml:space="preserve"> which the guilt or innocence of the Defendant is resolved.</w:t>
      </w:r>
      <w:r w:rsidR="001A7554" w:rsidRPr="00AF29BF">
        <w:rPr>
          <w:rStyle w:val="FootnoteReference"/>
          <w:rFonts w:ascii="Times New Roman" w:hAnsi="Times New Roman" w:cs="Times New Roman"/>
        </w:rPr>
        <w:footnoteReference w:id="87"/>
      </w:r>
      <w:r w:rsidR="001A7554" w:rsidRPr="00AF29BF">
        <w:rPr>
          <w:rFonts w:ascii="Times New Roman" w:hAnsi="Times New Roman" w:cs="Times New Roman"/>
        </w:rPr>
        <w:t xml:space="preserve"> </w:t>
      </w:r>
      <w:r w:rsidRPr="00AF29BF">
        <w:rPr>
          <w:rFonts w:ascii="Times New Roman" w:hAnsi="Times New Roman" w:cs="Times New Roman"/>
        </w:rPr>
        <w:t>Arguably, the trial in the new millennium has departed from this traditional stance of adversarialism; what has gone relatively unreported is the potential impact this change holds for justice.</w:t>
      </w:r>
    </w:p>
    <w:p w14:paraId="626A6533" w14:textId="77777777" w:rsidR="00CD29DF" w:rsidRPr="00AF29BF" w:rsidRDefault="00CD29DF" w:rsidP="00916253">
      <w:pPr>
        <w:jc w:val="both"/>
        <w:rPr>
          <w:rFonts w:ascii="Times New Roman" w:hAnsi="Times New Roman" w:cs="Times New Roman"/>
        </w:rPr>
      </w:pPr>
    </w:p>
    <w:p w14:paraId="7C77D74A" w14:textId="1E0A935C" w:rsidR="00CD29DF" w:rsidRPr="00AF29BF" w:rsidRDefault="00CD29DF" w:rsidP="00916253">
      <w:pPr>
        <w:jc w:val="both"/>
        <w:rPr>
          <w:rFonts w:ascii="Times New Roman" w:hAnsi="Times New Roman" w:cs="Times New Roman"/>
        </w:rPr>
      </w:pPr>
      <w:r w:rsidRPr="00AF29BF">
        <w:rPr>
          <w:rFonts w:ascii="Times New Roman" w:hAnsi="Times New Roman" w:cs="Times New Roman"/>
        </w:rPr>
        <w:t xml:space="preserve">The accused speaks trial reflected the notion that the trial was designed to establish the truth of a particular accusation. William Hawkins in </w:t>
      </w:r>
      <w:r w:rsidRPr="00AF29BF">
        <w:rPr>
          <w:rFonts w:ascii="Times New Roman" w:hAnsi="Times New Roman" w:cs="Times New Roman"/>
          <w:i/>
        </w:rPr>
        <w:t xml:space="preserve">Treatise of the Pleas of the Crown </w:t>
      </w:r>
      <w:r w:rsidRPr="00AF29BF">
        <w:rPr>
          <w:rFonts w:ascii="Times New Roman" w:hAnsi="Times New Roman" w:cs="Times New Roman"/>
        </w:rPr>
        <w:t>illustrated the importance of using the accused as an informational resource to be investigated by the court. He said ‘</w:t>
      </w:r>
      <w:r w:rsidR="00482687" w:rsidRPr="00AF29BF">
        <w:rPr>
          <w:rFonts w:ascii="Times New Roman" w:hAnsi="Times New Roman" w:cs="Times New Roman"/>
        </w:rPr>
        <w:t>[the] guilty, when they speak for themselves, may often help disclose the truth, which probably would not so well be discovered from the artificial defence of others speaking for them.’</w:t>
      </w:r>
      <w:r w:rsidR="00482687" w:rsidRPr="00AF29BF">
        <w:rPr>
          <w:rStyle w:val="FootnoteReference"/>
          <w:rFonts w:ascii="Times New Roman" w:hAnsi="Times New Roman" w:cs="Times New Roman"/>
        </w:rPr>
        <w:footnoteReference w:id="88"/>
      </w:r>
      <w:r w:rsidR="00482687" w:rsidRPr="00AF29BF">
        <w:rPr>
          <w:rFonts w:ascii="Times New Roman" w:hAnsi="Times New Roman" w:cs="Times New Roman"/>
        </w:rPr>
        <w:t xml:space="preserve"> </w:t>
      </w:r>
      <w:r w:rsidR="0039599E" w:rsidRPr="00AF29BF">
        <w:rPr>
          <w:rFonts w:ascii="Times New Roman" w:hAnsi="Times New Roman" w:cs="Times New Roman"/>
        </w:rPr>
        <w:t>The</w:t>
      </w:r>
      <w:r w:rsidR="00482687" w:rsidRPr="00AF29BF">
        <w:rPr>
          <w:rFonts w:ascii="Times New Roman" w:hAnsi="Times New Roman" w:cs="Times New Roman"/>
        </w:rPr>
        <w:t xml:space="preserve"> Prisoners’ Counsel Act 1836 provided full rights for defence counsel to address juries as well as examine and cross-</w:t>
      </w:r>
      <w:r w:rsidR="0039599E" w:rsidRPr="00AF29BF">
        <w:rPr>
          <w:rFonts w:ascii="Times New Roman" w:hAnsi="Times New Roman" w:cs="Times New Roman"/>
        </w:rPr>
        <w:t xml:space="preserve">examine witnesses and thus </w:t>
      </w:r>
      <w:r w:rsidR="00ED7DA9" w:rsidRPr="00AF29BF">
        <w:rPr>
          <w:rFonts w:ascii="Times New Roman" w:hAnsi="Times New Roman" w:cs="Times New Roman"/>
        </w:rPr>
        <w:t xml:space="preserve">ending the judicial </w:t>
      </w:r>
      <w:r w:rsidR="0039599E" w:rsidRPr="00AF29BF">
        <w:rPr>
          <w:rFonts w:ascii="Times New Roman" w:hAnsi="Times New Roman" w:cs="Times New Roman"/>
        </w:rPr>
        <w:t xml:space="preserve">involvement in the presentation of evidence and examining witness. </w:t>
      </w:r>
      <w:proofErr w:type="spellStart"/>
      <w:r w:rsidR="0039599E" w:rsidRPr="00AF29BF">
        <w:rPr>
          <w:rFonts w:ascii="Times New Roman" w:hAnsi="Times New Roman" w:cs="Times New Roman"/>
        </w:rPr>
        <w:t>Langbein</w:t>
      </w:r>
      <w:proofErr w:type="spellEnd"/>
      <w:r w:rsidR="0039599E" w:rsidRPr="00AF29BF">
        <w:rPr>
          <w:rFonts w:ascii="Times New Roman" w:hAnsi="Times New Roman" w:cs="Times New Roman"/>
        </w:rPr>
        <w:t xml:space="preserve"> suggests that the truth became a by-product of the criminal trial</w:t>
      </w:r>
      <w:r w:rsidR="0039599E" w:rsidRPr="00AF29BF">
        <w:rPr>
          <w:rStyle w:val="FootnoteReference"/>
          <w:rFonts w:ascii="Times New Roman" w:hAnsi="Times New Roman" w:cs="Times New Roman"/>
        </w:rPr>
        <w:footnoteReference w:id="89"/>
      </w:r>
      <w:r w:rsidR="0039599E" w:rsidRPr="00AF29BF">
        <w:rPr>
          <w:rFonts w:ascii="Times New Roman" w:hAnsi="Times New Roman" w:cs="Times New Roman"/>
        </w:rPr>
        <w:t xml:space="preserve"> as each partisan party is concerned with winning rather than establishing the truth.</w:t>
      </w:r>
      <w:r w:rsidR="0039599E" w:rsidRPr="00AF29BF">
        <w:rPr>
          <w:rStyle w:val="FootnoteReference"/>
          <w:rFonts w:ascii="Times New Roman" w:hAnsi="Times New Roman" w:cs="Times New Roman"/>
        </w:rPr>
        <w:footnoteReference w:id="90"/>
      </w:r>
      <w:r w:rsidR="0039599E" w:rsidRPr="00AF29BF">
        <w:rPr>
          <w:rFonts w:ascii="Times New Roman" w:hAnsi="Times New Roman" w:cs="Times New Roman"/>
        </w:rPr>
        <w:t xml:space="preserve"> </w:t>
      </w:r>
    </w:p>
    <w:p w14:paraId="192ECC07" w14:textId="77777777" w:rsidR="0039599E" w:rsidRPr="00AF29BF" w:rsidRDefault="0039599E" w:rsidP="00916253">
      <w:pPr>
        <w:jc w:val="both"/>
        <w:rPr>
          <w:rFonts w:ascii="Times New Roman" w:hAnsi="Times New Roman" w:cs="Times New Roman"/>
        </w:rPr>
      </w:pPr>
    </w:p>
    <w:p w14:paraId="6B7D1239" w14:textId="09247B6B" w:rsidR="0039599E" w:rsidRPr="00AF29BF" w:rsidRDefault="0039599E" w:rsidP="00916253">
      <w:pPr>
        <w:jc w:val="both"/>
        <w:rPr>
          <w:rFonts w:ascii="Times New Roman" w:hAnsi="Times New Roman" w:cs="Times New Roman"/>
        </w:rPr>
      </w:pPr>
      <w:r w:rsidRPr="00AF29BF">
        <w:rPr>
          <w:rFonts w:ascii="Times New Roman" w:hAnsi="Times New Roman" w:cs="Times New Roman"/>
        </w:rPr>
        <w:t xml:space="preserve">Arguably, the implementation of the </w:t>
      </w:r>
      <w:r w:rsidR="00154CB0" w:rsidRPr="00AF29BF">
        <w:rPr>
          <w:rFonts w:ascii="Times New Roman" w:hAnsi="Times New Roman" w:cs="Times New Roman"/>
        </w:rPr>
        <w:t>CPR</w:t>
      </w:r>
      <w:r w:rsidRPr="00AF29BF">
        <w:rPr>
          <w:rFonts w:ascii="Times New Roman" w:hAnsi="Times New Roman" w:cs="Times New Roman"/>
        </w:rPr>
        <w:t xml:space="preserve"> </w:t>
      </w:r>
      <w:r w:rsidR="0063089B" w:rsidRPr="00AF29BF">
        <w:rPr>
          <w:rFonts w:ascii="Times New Roman" w:hAnsi="Times New Roman" w:cs="Times New Roman"/>
        </w:rPr>
        <w:t>alongside</w:t>
      </w:r>
      <w:r w:rsidRPr="00AF29BF">
        <w:rPr>
          <w:rFonts w:ascii="Times New Roman" w:hAnsi="Times New Roman" w:cs="Times New Roman"/>
        </w:rPr>
        <w:t xml:space="preserve"> the judiciary as</w:t>
      </w:r>
      <w:r w:rsidR="008F6158" w:rsidRPr="00AF29BF">
        <w:rPr>
          <w:rFonts w:ascii="Times New Roman" w:hAnsi="Times New Roman" w:cs="Times New Roman"/>
        </w:rPr>
        <w:t>suming a more interventionist role</w:t>
      </w:r>
      <w:r w:rsidRPr="00AF29BF">
        <w:rPr>
          <w:rFonts w:ascii="Times New Roman" w:hAnsi="Times New Roman" w:cs="Times New Roman"/>
        </w:rPr>
        <w:t xml:space="preserve"> might suggest that the pendulum is moving toward re-establishing the importance of the truth in criminal trials opposed to proof. This can be </w:t>
      </w:r>
      <w:r w:rsidR="00045081" w:rsidRPr="00AF29BF">
        <w:rPr>
          <w:rFonts w:ascii="Times New Roman" w:hAnsi="Times New Roman" w:cs="Times New Roman"/>
        </w:rPr>
        <w:t>illustrated</w:t>
      </w:r>
      <w:r w:rsidRPr="00AF29BF">
        <w:rPr>
          <w:rFonts w:ascii="Times New Roman" w:hAnsi="Times New Roman" w:cs="Times New Roman"/>
        </w:rPr>
        <w:t xml:space="preserve"> in the post-Auld review criminal trials. In </w:t>
      </w:r>
      <w:r w:rsidRPr="00AF29BF">
        <w:rPr>
          <w:rFonts w:ascii="Times New Roman" w:hAnsi="Times New Roman" w:cs="Times New Roman"/>
          <w:i/>
        </w:rPr>
        <w:t>Gleeson</w:t>
      </w:r>
      <w:r w:rsidR="00ED7DA9" w:rsidRPr="00AF29BF">
        <w:rPr>
          <w:rStyle w:val="FootnoteReference"/>
          <w:rFonts w:ascii="Times New Roman" w:hAnsi="Times New Roman" w:cs="Times New Roman"/>
          <w:i/>
        </w:rPr>
        <w:footnoteReference w:id="91"/>
      </w:r>
      <w:r w:rsidRPr="00AF29BF">
        <w:rPr>
          <w:rFonts w:ascii="Times New Roman" w:hAnsi="Times New Roman" w:cs="Times New Roman"/>
        </w:rPr>
        <w:t xml:space="preserve"> the court ruled that the defence tactic of an ambush defence will no longer be tolerated. At the close of the prosecution case, the defence</w:t>
      </w:r>
      <w:r w:rsidR="00ED7DA9" w:rsidRPr="00AF29BF">
        <w:rPr>
          <w:rFonts w:ascii="Times New Roman" w:hAnsi="Times New Roman" w:cs="Times New Roman"/>
        </w:rPr>
        <w:t xml:space="preserve"> </w:t>
      </w:r>
      <w:r w:rsidRPr="00AF29BF">
        <w:rPr>
          <w:rFonts w:ascii="Times New Roman" w:hAnsi="Times New Roman" w:cs="Times New Roman"/>
        </w:rPr>
        <w:t xml:space="preserve">submitted no case to answer. </w:t>
      </w:r>
      <w:r w:rsidR="0063089B" w:rsidRPr="00AF29BF">
        <w:rPr>
          <w:rFonts w:ascii="Times New Roman" w:hAnsi="Times New Roman" w:cs="Times New Roman"/>
        </w:rPr>
        <w:t>The court allowed the prosecution</w:t>
      </w:r>
      <w:r w:rsidR="00ED7DA9" w:rsidRPr="00AF29BF">
        <w:rPr>
          <w:rFonts w:ascii="Times New Roman" w:hAnsi="Times New Roman" w:cs="Times New Roman"/>
        </w:rPr>
        <w:t xml:space="preserve"> to amend the indictment</w:t>
      </w:r>
      <w:r w:rsidR="0063089B" w:rsidRPr="00AF29BF">
        <w:rPr>
          <w:rFonts w:ascii="Times New Roman" w:hAnsi="Times New Roman" w:cs="Times New Roman"/>
        </w:rPr>
        <w:t>. Th</w:t>
      </w:r>
      <w:r w:rsidR="00ED7DA9" w:rsidRPr="00AF29BF">
        <w:rPr>
          <w:rFonts w:ascii="Times New Roman" w:hAnsi="Times New Roman" w:cs="Times New Roman"/>
        </w:rPr>
        <w:t>e defence objected</w:t>
      </w:r>
      <w:r w:rsidR="00AE2B30" w:rsidRPr="00AF29BF">
        <w:rPr>
          <w:rFonts w:ascii="Times New Roman" w:hAnsi="Times New Roman" w:cs="Times New Roman"/>
        </w:rPr>
        <w:t>;</w:t>
      </w:r>
      <w:r w:rsidR="00ED7DA9" w:rsidRPr="00AF29BF">
        <w:rPr>
          <w:rFonts w:ascii="Times New Roman" w:hAnsi="Times New Roman" w:cs="Times New Roman"/>
        </w:rPr>
        <w:t xml:space="preserve"> </w:t>
      </w:r>
      <w:r w:rsidR="0063089B" w:rsidRPr="00AF29BF">
        <w:rPr>
          <w:rFonts w:ascii="Times New Roman" w:hAnsi="Times New Roman" w:cs="Times New Roman"/>
        </w:rPr>
        <w:t xml:space="preserve">they anticipated their </w:t>
      </w:r>
      <w:r w:rsidR="00ED7DA9" w:rsidRPr="00AF29BF">
        <w:rPr>
          <w:rFonts w:ascii="Times New Roman" w:hAnsi="Times New Roman" w:cs="Times New Roman"/>
        </w:rPr>
        <w:t xml:space="preserve">submission </w:t>
      </w:r>
      <w:r w:rsidR="00AE2B30" w:rsidRPr="00AF29BF">
        <w:rPr>
          <w:rFonts w:ascii="Times New Roman" w:hAnsi="Times New Roman" w:cs="Times New Roman"/>
        </w:rPr>
        <w:t xml:space="preserve">would be successful. </w:t>
      </w:r>
      <w:r w:rsidR="0063089B" w:rsidRPr="00AF29BF">
        <w:rPr>
          <w:rFonts w:ascii="Times New Roman" w:hAnsi="Times New Roman" w:cs="Times New Roman"/>
        </w:rPr>
        <w:t xml:space="preserve"> </w:t>
      </w:r>
      <w:r w:rsidR="00AE2B30" w:rsidRPr="00AF29BF">
        <w:rPr>
          <w:rFonts w:ascii="Times New Roman" w:hAnsi="Times New Roman" w:cs="Times New Roman"/>
        </w:rPr>
        <w:t>A</w:t>
      </w:r>
      <w:r w:rsidR="0063089B" w:rsidRPr="00AF29BF">
        <w:rPr>
          <w:rFonts w:ascii="Times New Roman" w:hAnsi="Times New Roman" w:cs="Times New Roman"/>
        </w:rPr>
        <w:t>s such,</w:t>
      </w:r>
      <w:r w:rsidR="00ED7DA9" w:rsidRPr="00AF29BF">
        <w:rPr>
          <w:rFonts w:ascii="Times New Roman" w:hAnsi="Times New Roman" w:cs="Times New Roman"/>
        </w:rPr>
        <w:t xml:space="preserve"> counsel deliberately did not cross examine witnesses. The prosecution application was successful and the defendant was convicted. His appeal was dismissed by the Court of Appeal, Auld LJ stated that a prosecution ‘should not be frustrated errors of the prosecutor … for defence advocates to take advantage of such errors by deliberately delaying identification of an issue of fact or law in the case until the last possible moment is, in our view no longer acceptable …’</w:t>
      </w:r>
      <w:r w:rsidR="00ED7DA9" w:rsidRPr="00AF29BF">
        <w:rPr>
          <w:rStyle w:val="FootnoteReference"/>
          <w:rFonts w:ascii="Times New Roman" w:hAnsi="Times New Roman" w:cs="Times New Roman"/>
        </w:rPr>
        <w:footnoteReference w:id="92"/>
      </w:r>
      <w:r w:rsidR="0063089B" w:rsidRPr="00AF29BF">
        <w:rPr>
          <w:rFonts w:ascii="Times New Roman" w:hAnsi="Times New Roman" w:cs="Times New Roman"/>
        </w:rPr>
        <w:t xml:space="preserve"> This is a clear example of the court emphasizing the discovery of the truth over proving the allegation; as in the first instance, the prosecution could not prove the offence was committed by the defendant. It could only be proven once the indictment had been amended. This is an erosion of the penalty shoot-out theory of criminal procedure. </w:t>
      </w:r>
      <w:r w:rsidR="009F1847" w:rsidRPr="00AF29BF">
        <w:rPr>
          <w:rFonts w:ascii="Times New Roman" w:hAnsi="Times New Roman" w:cs="Times New Roman"/>
        </w:rPr>
        <w:t>The Crown ha</w:t>
      </w:r>
      <w:r w:rsidR="00EA76B7" w:rsidRPr="00AF29BF">
        <w:rPr>
          <w:rFonts w:ascii="Times New Roman" w:hAnsi="Times New Roman" w:cs="Times New Roman"/>
        </w:rPr>
        <w:t>d</w:t>
      </w:r>
      <w:r w:rsidR="009F1847" w:rsidRPr="00AF29BF">
        <w:rPr>
          <w:rFonts w:ascii="Times New Roman" w:hAnsi="Times New Roman" w:cs="Times New Roman"/>
        </w:rPr>
        <w:t xml:space="preserve"> one shot at goal, and if the striker missed, however unlucky, he did not get another chance.</w:t>
      </w:r>
      <w:r w:rsidR="009F1847" w:rsidRPr="00AF29BF">
        <w:rPr>
          <w:rStyle w:val="FootnoteReference"/>
          <w:rFonts w:ascii="Times New Roman" w:hAnsi="Times New Roman" w:cs="Times New Roman"/>
        </w:rPr>
        <w:footnoteReference w:id="93"/>
      </w:r>
    </w:p>
    <w:p w14:paraId="6591125E" w14:textId="77777777" w:rsidR="00ED7DA9" w:rsidRPr="00AF29BF" w:rsidRDefault="00ED7DA9" w:rsidP="00916253">
      <w:pPr>
        <w:jc w:val="both"/>
        <w:rPr>
          <w:rFonts w:ascii="Times New Roman" w:hAnsi="Times New Roman" w:cs="Times New Roman"/>
        </w:rPr>
      </w:pPr>
    </w:p>
    <w:p w14:paraId="6DB0FBC4" w14:textId="03693434" w:rsidR="00A00575" w:rsidRPr="00AF29BF" w:rsidRDefault="00582E7C" w:rsidP="00916253">
      <w:pPr>
        <w:jc w:val="both"/>
        <w:rPr>
          <w:rFonts w:ascii="Times New Roman" w:hAnsi="Times New Roman" w:cs="Times New Roman"/>
        </w:rPr>
      </w:pPr>
      <w:r w:rsidRPr="00AF29BF">
        <w:rPr>
          <w:rFonts w:ascii="Times New Roman" w:hAnsi="Times New Roman" w:cs="Times New Roman"/>
        </w:rPr>
        <w:t xml:space="preserve">The truth seeking nature of the trial is also exemplified by the case management provisions of the </w:t>
      </w:r>
      <w:r w:rsidR="005D348D">
        <w:rPr>
          <w:rFonts w:ascii="Times New Roman" w:hAnsi="Times New Roman" w:cs="Times New Roman"/>
        </w:rPr>
        <w:t>CrimPR</w:t>
      </w:r>
      <w:r w:rsidR="000F500F" w:rsidRPr="00AF29BF">
        <w:rPr>
          <w:rFonts w:ascii="Times New Roman" w:hAnsi="Times New Roman" w:cs="Times New Roman"/>
        </w:rPr>
        <w:t>;</w:t>
      </w:r>
      <w:r w:rsidRPr="00AF29BF">
        <w:rPr>
          <w:rFonts w:ascii="Times New Roman" w:hAnsi="Times New Roman" w:cs="Times New Roman"/>
        </w:rPr>
        <w:t xml:space="preserve"> the power </w:t>
      </w:r>
      <w:r w:rsidR="000F500F" w:rsidRPr="00AF29BF">
        <w:rPr>
          <w:rFonts w:ascii="Times New Roman" w:hAnsi="Times New Roman" w:cs="Times New Roman"/>
        </w:rPr>
        <w:t xml:space="preserve">conferred </w:t>
      </w:r>
      <w:r w:rsidR="000F500F" w:rsidRPr="00AF29BF">
        <w:rPr>
          <w:rFonts w:ascii="Times New Roman" w:hAnsi="Times New Roman" w:cs="Times New Roman"/>
          <w:lang w:val="en-GB"/>
        </w:rPr>
        <w:t>on</w:t>
      </w:r>
      <w:r w:rsidR="00045081" w:rsidRPr="00AF29BF">
        <w:rPr>
          <w:rFonts w:ascii="Times New Roman" w:hAnsi="Times New Roman" w:cs="Times New Roman"/>
          <w:lang w:val="en-GB"/>
        </w:rPr>
        <w:t xml:space="preserve"> </w:t>
      </w:r>
      <w:r w:rsidRPr="00AF29BF">
        <w:rPr>
          <w:rFonts w:ascii="Times New Roman" w:hAnsi="Times New Roman" w:cs="Times New Roman"/>
        </w:rPr>
        <w:t>the judiciary and magistracy to ensure the provisions are followed. The case management form ensures that the ‘real issues’ have to be identified in advance of trial.</w:t>
      </w:r>
      <w:r w:rsidRPr="00AF29BF">
        <w:rPr>
          <w:rStyle w:val="FootnoteReference"/>
          <w:rFonts w:ascii="Times New Roman" w:hAnsi="Times New Roman" w:cs="Times New Roman"/>
        </w:rPr>
        <w:footnoteReference w:id="94"/>
      </w:r>
      <w:r w:rsidRPr="00AF29BF">
        <w:rPr>
          <w:rFonts w:ascii="Times New Roman" w:hAnsi="Times New Roman" w:cs="Times New Roman"/>
        </w:rPr>
        <w:t xml:space="preserve"> This is nothing new to Crown Court</w:t>
      </w:r>
      <w:r w:rsidR="0090662C" w:rsidRPr="00AF29BF">
        <w:rPr>
          <w:rFonts w:ascii="Times New Roman" w:hAnsi="Times New Roman" w:cs="Times New Roman"/>
        </w:rPr>
        <w:t xml:space="preserve"> proceedings as the </w:t>
      </w:r>
      <w:r w:rsidRPr="00AF29BF">
        <w:rPr>
          <w:rFonts w:ascii="Times New Roman" w:hAnsi="Times New Roman" w:cs="Times New Roman"/>
        </w:rPr>
        <w:t>Criminal Investigations and Procedure Act 1996</w:t>
      </w:r>
      <w:r w:rsidR="00033798" w:rsidRPr="00AF29BF">
        <w:rPr>
          <w:rStyle w:val="FootnoteReference"/>
          <w:rFonts w:ascii="Times New Roman" w:hAnsi="Times New Roman" w:cs="Times New Roman"/>
        </w:rPr>
        <w:footnoteReference w:id="95"/>
      </w:r>
      <w:r w:rsidRPr="00AF29BF">
        <w:rPr>
          <w:rFonts w:ascii="Times New Roman" w:hAnsi="Times New Roman" w:cs="Times New Roman"/>
        </w:rPr>
        <w:t xml:space="preserve"> </w:t>
      </w:r>
      <w:r w:rsidR="00A1047C" w:rsidRPr="00AF29BF">
        <w:rPr>
          <w:rFonts w:ascii="Times New Roman" w:hAnsi="Times New Roman" w:cs="Times New Roman"/>
        </w:rPr>
        <w:t>compelled the accused to complete a defence case statement in advance of trial. However, for magistrates’ court cases this provision was merely voluntary.</w:t>
      </w:r>
      <w:r w:rsidR="0090662C" w:rsidRPr="00AF29BF">
        <w:rPr>
          <w:rStyle w:val="FootnoteReference"/>
          <w:rFonts w:ascii="Times New Roman" w:hAnsi="Times New Roman" w:cs="Times New Roman"/>
        </w:rPr>
        <w:footnoteReference w:id="96"/>
      </w:r>
      <w:r w:rsidR="00A1047C" w:rsidRPr="00AF29BF">
        <w:rPr>
          <w:rFonts w:ascii="Times New Roman" w:hAnsi="Times New Roman" w:cs="Times New Roman"/>
        </w:rPr>
        <w:t xml:space="preserve"> </w:t>
      </w:r>
      <w:r w:rsidR="00C73EFB" w:rsidRPr="00AF29BF">
        <w:rPr>
          <w:rFonts w:ascii="Times New Roman" w:hAnsi="Times New Roman" w:cs="Times New Roman"/>
        </w:rPr>
        <w:t>Rule 3.2 CPR 2013 indicates that the court furthers the overriding objective by actively managing the case.</w:t>
      </w:r>
      <w:r w:rsidR="00033798" w:rsidRPr="00AF29BF">
        <w:rPr>
          <w:rStyle w:val="FootnoteReference"/>
          <w:rFonts w:ascii="Times New Roman" w:hAnsi="Times New Roman" w:cs="Times New Roman"/>
        </w:rPr>
        <w:footnoteReference w:id="97"/>
      </w:r>
      <w:r w:rsidR="00C73EFB" w:rsidRPr="00AF29BF">
        <w:rPr>
          <w:rFonts w:ascii="Times New Roman" w:hAnsi="Times New Roman" w:cs="Times New Roman"/>
        </w:rPr>
        <w:t xml:space="preserve"> Never before ha</w:t>
      </w:r>
      <w:r w:rsidR="00EA76B7" w:rsidRPr="00AF29BF">
        <w:rPr>
          <w:rFonts w:ascii="Times New Roman" w:hAnsi="Times New Roman" w:cs="Times New Roman"/>
        </w:rPr>
        <w:t>s</w:t>
      </w:r>
      <w:r w:rsidR="00C73EFB" w:rsidRPr="00AF29BF">
        <w:rPr>
          <w:rFonts w:ascii="Times New Roman" w:hAnsi="Times New Roman" w:cs="Times New Roman"/>
        </w:rPr>
        <w:t xml:space="preserve"> the judiciary or magistracy had such explicit directions as to what constitutes their role of active case management. Some of the </w:t>
      </w:r>
      <w:r w:rsidR="00C45A4C" w:rsidRPr="00AF29BF">
        <w:rPr>
          <w:rFonts w:ascii="Times New Roman" w:hAnsi="Times New Roman" w:cs="Times New Roman"/>
        </w:rPr>
        <w:t>component</w:t>
      </w:r>
      <w:r w:rsidR="00C73EFB" w:rsidRPr="00AF29BF">
        <w:rPr>
          <w:rFonts w:ascii="Times New Roman" w:hAnsi="Times New Roman" w:cs="Times New Roman"/>
        </w:rPr>
        <w:t xml:space="preserve"> parts present great danger to the notion of </w:t>
      </w:r>
      <w:r w:rsidR="00C45A4C" w:rsidRPr="00AF29BF">
        <w:rPr>
          <w:rFonts w:ascii="Times New Roman" w:hAnsi="Times New Roman" w:cs="Times New Roman"/>
        </w:rPr>
        <w:t>adversarialism</w:t>
      </w:r>
      <w:r w:rsidR="00C73EFB" w:rsidRPr="00AF29BF">
        <w:rPr>
          <w:rFonts w:ascii="Times New Roman" w:hAnsi="Times New Roman" w:cs="Times New Roman"/>
        </w:rPr>
        <w:t xml:space="preserve"> in England and Wales. </w:t>
      </w:r>
      <w:r w:rsidR="0090662C" w:rsidRPr="00AF29BF">
        <w:rPr>
          <w:rFonts w:ascii="Times New Roman" w:hAnsi="Times New Roman" w:cs="Times New Roman"/>
        </w:rPr>
        <w:t>Arguably</w:t>
      </w:r>
      <w:r w:rsidR="00A1047C" w:rsidRPr="00AF29BF">
        <w:rPr>
          <w:rFonts w:ascii="Times New Roman" w:hAnsi="Times New Roman" w:cs="Times New Roman"/>
        </w:rPr>
        <w:t xml:space="preserve">, the case management forms </w:t>
      </w:r>
      <w:r w:rsidR="00D233E5" w:rsidRPr="00AF29BF">
        <w:rPr>
          <w:rFonts w:ascii="Times New Roman" w:hAnsi="Times New Roman" w:cs="Times New Roman"/>
          <w:lang w:val="en-GB"/>
        </w:rPr>
        <w:t>are</w:t>
      </w:r>
      <w:r w:rsidR="000F500F" w:rsidRPr="00AF29BF">
        <w:rPr>
          <w:rFonts w:ascii="Times New Roman" w:hAnsi="Times New Roman" w:cs="Times New Roman"/>
          <w:lang w:val="en-GB"/>
        </w:rPr>
        <w:t xml:space="preserve"> </w:t>
      </w:r>
      <w:r w:rsidR="00A1047C" w:rsidRPr="00AF29BF">
        <w:rPr>
          <w:rFonts w:ascii="Times New Roman" w:hAnsi="Times New Roman" w:cs="Times New Roman"/>
        </w:rPr>
        <w:t>akin</w:t>
      </w:r>
      <w:r w:rsidR="007C13F8" w:rsidRPr="00AF29BF">
        <w:rPr>
          <w:rFonts w:ascii="Times New Roman" w:hAnsi="Times New Roman" w:cs="Times New Roman"/>
        </w:rPr>
        <w:t xml:space="preserve"> </w:t>
      </w:r>
      <w:r w:rsidR="00A1047C" w:rsidRPr="00AF29BF">
        <w:rPr>
          <w:rFonts w:ascii="Times New Roman" w:hAnsi="Times New Roman" w:cs="Times New Roman"/>
        </w:rPr>
        <w:t>to</w:t>
      </w:r>
      <w:r w:rsidR="00C45A4C" w:rsidRPr="00AF29BF">
        <w:rPr>
          <w:rFonts w:ascii="Times New Roman" w:hAnsi="Times New Roman" w:cs="Times New Roman"/>
        </w:rPr>
        <w:t xml:space="preserve"> completing</w:t>
      </w:r>
      <w:r w:rsidR="00A1047C" w:rsidRPr="00AF29BF">
        <w:rPr>
          <w:rFonts w:ascii="Times New Roman" w:hAnsi="Times New Roman" w:cs="Times New Roman"/>
        </w:rPr>
        <w:t xml:space="preserve"> a defence case statement </w:t>
      </w:r>
      <w:r w:rsidR="00C45A4C" w:rsidRPr="00AF29BF">
        <w:rPr>
          <w:rFonts w:ascii="Times New Roman" w:hAnsi="Times New Roman" w:cs="Times New Roman"/>
        </w:rPr>
        <w:t>under the CPIA</w:t>
      </w:r>
      <w:r w:rsidR="007C13F8" w:rsidRPr="00AF29BF">
        <w:rPr>
          <w:rStyle w:val="FootnoteReference"/>
          <w:rFonts w:ascii="Times New Roman" w:hAnsi="Times New Roman" w:cs="Times New Roman"/>
        </w:rPr>
        <w:footnoteReference w:id="98"/>
      </w:r>
      <w:r w:rsidR="00C45A4C" w:rsidRPr="00AF29BF">
        <w:rPr>
          <w:rFonts w:ascii="Times New Roman" w:hAnsi="Times New Roman" w:cs="Times New Roman"/>
        </w:rPr>
        <w:t>;</w:t>
      </w:r>
      <w:r w:rsidR="00A1047C" w:rsidRPr="00AF29BF">
        <w:rPr>
          <w:rFonts w:ascii="Times New Roman" w:hAnsi="Times New Roman" w:cs="Times New Roman"/>
        </w:rPr>
        <w:t xml:space="preserve"> effectively</w:t>
      </w:r>
      <w:r w:rsidR="00C45A4C" w:rsidRPr="00AF29BF">
        <w:rPr>
          <w:rFonts w:ascii="Times New Roman" w:hAnsi="Times New Roman" w:cs="Times New Roman"/>
        </w:rPr>
        <w:t xml:space="preserve"> the case management forms</w:t>
      </w:r>
      <w:r w:rsidR="00A1047C" w:rsidRPr="00AF29BF">
        <w:rPr>
          <w:rFonts w:ascii="Times New Roman" w:hAnsi="Times New Roman" w:cs="Times New Roman"/>
        </w:rPr>
        <w:t xml:space="preserve"> circumvent </w:t>
      </w:r>
      <w:r w:rsidR="00902A5E" w:rsidRPr="00AF29BF">
        <w:rPr>
          <w:rFonts w:ascii="Times New Roman" w:hAnsi="Times New Roman" w:cs="Times New Roman"/>
          <w:lang w:val="en-GB"/>
        </w:rPr>
        <w:t xml:space="preserve">the voluntary nature of the </w:t>
      </w:r>
      <w:r w:rsidR="00A1047C" w:rsidRPr="00AF29BF">
        <w:rPr>
          <w:rFonts w:ascii="Times New Roman" w:hAnsi="Times New Roman" w:cs="Times New Roman"/>
        </w:rPr>
        <w:t xml:space="preserve">statutory </w:t>
      </w:r>
      <w:r w:rsidR="005D348D">
        <w:rPr>
          <w:rFonts w:ascii="Times New Roman" w:hAnsi="Times New Roman" w:cs="Times New Roman"/>
        </w:rPr>
        <w:t xml:space="preserve">legislation. </w:t>
      </w:r>
      <w:r w:rsidR="00C45A4C" w:rsidRPr="00AF29BF">
        <w:rPr>
          <w:rFonts w:ascii="Times New Roman" w:hAnsi="Times New Roman" w:cs="Times New Roman"/>
        </w:rPr>
        <w:t>Whilst defence disclosure is not an entirely novel proposition</w:t>
      </w:r>
      <w:r w:rsidR="008F6158" w:rsidRPr="00AF29BF">
        <w:rPr>
          <w:rFonts w:ascii="Times New Roman" w:hAnsi="Times New Roman" w:cs="Times New Roman"/>
        </w:rPr>
        <w:t>, never before has the defendant had to disclose so much</w:t>
      </w:r>
      <w:r w:rsidR="007C13F8" w:rsidRPr="00AF29BF">
        <w:rPr>
          <w:rFonts w:ascii="Times New Roman" w:hAnsi="Times New Roman" w:cs="Times New Roman"/>
        </w:rPr>
        <w:t xml:space="preserve"> information</w:t>
      </w:r>
      <w:r w:rsidR="008F6158" w:rsidRPr="00AF29BF">
        <w:rPr>
          <w:rFonts w:ascii="Times New Roman" w:hAnsi="Times New Roman" w:cs="Times New Roman"/>
        </w:rPr>
        <w:t>.</w:t>
      </w:r>
      <w:r w:rsidR="00033798" w:rsidRPr="00AF29BF">
        <w:rPr>
          <w:rStyle w:val="FootnoteReference"/>
          <w:rFonts w:ascii="Times New Roman" w:hAnsi="Times New Roman" w:cs="Times New Roman"/>
        </w:rPr>
        <w:footnoteReference w:id="99"/>
      </w:r>
      <w:r w:rsidR="008F6158" w:rsidRPr="00AF29BF">
        <w:rPr>
          <w:rFonts w:ascii="Times New Roman" w:hAnsi="Times New Roman" w:cs="Times New Roman"/>
        </w:rPr>
        <w:t xml:space="preserve"> </w:t>
      </w:r>
      <w:r w:rsidR="00A00575" w:rsidRPr="00AF29BF">
        <w:rPr>
          <w:rFonts w:ascii="Times New Roman" w:hAnsi="Times New Roman" w:cs="Times New Roman"/>
        </w:rPr>
        <w:t xml:space="preserve">It might be </w:t>
      </w:r>
      <w:r w:rsidR="008041DE" w:rsidRPr="00AF29BF">
        <w:rPr>
          <w:rFonts w:ascii="Times New Roman" w:hAnsi="Times New Roman" w:cs="Times New Roman"/>
        </w:rPr>
        <w:t>argued that du</w:t>
      </w:r>
      <w:r w:rsidR="00A3016B">
        <w:rPr>
          <w:rFonts w:ascii="Times New Roman" w:hAnsi="Times New Roman" w:cs="Times New Roman"/>
        </w:rPr>
        <w:t>a</w:t>
      </w:r>
      <w:r w:rsidR="008041DE" w:rsidRPr="00AF29BF">
        <w:rPr>
          <w:rFonts w:ascii="Times New Roman" w:hAnsi="Times New Roman" w:cs="Times New Roman"/>
        </w:rPr>
        <w:t xml:space="preserve">l goals of active case management by the judiciary and </w:t>
      </w:r>
      <w:r w:rsidR="008041DE" w:rsidRPr="00AF29BF">
        <w:rPr>
          <w:rFonts w:ascii="Times New Roman" w:hAnsi="Times New Roman" w:cs="Times New Roman"/>
        </w:rPr>
        <w:lastRenderedPageBreak/>
        <w:t>magistracy combined with the desire for expeditious and efficient trials have the effect of</w:t>
      </w:r>
      <w:r w:rsidR="00A00575" w:rsidRPr="00AF29BF">
        <w:rPr>
          <w:rFonts w:ascii="Times New Roman" w:hAnsi="Times New Roman" w:cs="Times New Roman"/>
        </w:rPr>
        <w:t xml:space="preserve"> returning the trial</w:t>
      </w:r>
      <w:r w:rsidR="008041DE" w:rsidRPr="00AF29BF">
        <w:rPr>
          <w:rFonts w:ascii="Times New Roman" w:hAnsi="Times New Roman" w:cs="Times New Roman"/>
        </w:rPr>
        <w:t xml:space="preserve"> to the ‘accused speaks’ format.</w:t>
      </w:r>
      <w:r w:rsidR="00A00575" w:rsidRPr="00AF29BF">
        <w:rPr>
          <w:rFonts w:ascii="Times New Roman" w:hAnsi="Times New Roman" w:cs="Times New Roman"/>
        </w:rPr>
        <w:t xml:space="preserve"> </w:t>
      </w:r>
      <w:r w:rsidR="00CA3299" w:rsidRPr="00AF29BF">
        <w:rPr>
          <w:rFonts w:ascii="Times New Roman" w:hAnsi="Times New Roman" w:cs="Times New Roman"/>
        </w:rPr>
        <w:t>However, the</w:t>
      </w:r>
      <w:r w:rsidR="008041DE" w:rsidRPr="00AF29BF">
        <w:rPr>
          <w:rFonts w:ascii="Times New Roman" w:hAnsi="Times New Roman" w:cs="Times New Roman"/>
        </w:rPr>
        <w:t xml:space="preserve"> modern day </w:t>
      </w:r>
      <w:r w:rsidR="00CA3299" w:rsidRPr="00AF29BF">
        <w:rPr>
          <w:rFonts w:ascii="Times New Roman" w:hAnsi="Times New Roman" w:cs="Times New Roman"/>
        </w:rPr>
        <w:t>‘</w:t>
      </w:r>
      <w:r w:rsidR="008041DE" w:rsidRPr="00AF29BF">
        <w:rPr>
          <w:rFonts w:ascii="Times New Roman" w:hAnsi="Times New Roman" w:cs="Times New Roman"/>
        </w:rPr>
        <w:t>accused speak</w:t>
      </w:r>
      <w:r w:rsidR="00CA3299" w:rsidRPr="00AF29BF">
        <w:rPr>
          <w:rFonts w:ascii="Times New Roman" w:hAnsi="Times New Roman" w:cs="Times New Roman"/>
        </w:rPr>
        <w:t>s’</w:t>
      </w:r>
      <w:r w:rsidR="008041DE" w:rsidRPr="00AF29BF">
        <w:rPr>
          <w:rFonts w:ascii="Times New Roman" w:hAnsi="Times New Roman" w:cs="Times New Roman"/>
        </w:rPr>
        <w:t xml:space="preserve"> trial has</w:t>
      </w:r>
      <w:r w:rsidR="00A00575" w:rsidRPr="00AF29BF">
        <w:rPr>
          <w:rFonts w:ascii="Times New Roman" w:hAnsi="Times New Roman" w:cs="Times New Roman"/>
        </w:rPr>
        <w:t xml:space="preserve"> </w:t>
      </w:r>
      <w:r w:rsidR="00CA3299" w:rsidRPr="00AF29BF">
        <w:rPr>
          <w:rFonts w:ascii="Times New Roman" w:hAnsi="Times New Roman" w:cs="Times New Roman"/>
        </w:rPr>
        <w:t>a</w:t>
      </w:r>
      <w:r w:rsidR="00A00575" w:rsidRPr="00AF29BF">
        <w:rPr>
          <w:rFonts w:ascii="Times New Roman" w:hAnsi="Times New Roman" w:cs="Times New Roman"/>
        </w:rPr>
        <w:t xml:space="preserve"> notabl</w:t>
      </w:r>
      <w:r w:rsidR="007C13F8" w:rsidRPr="00AF29BF">
        <w:rPr>
          <w:rFonts w:ascii="Times New Roman" w:hAnsi="Times New Roman" w:cs="Times New Roman"/>
        </w:rPr>
        <w:t>e</w:t>
      </w:r>
      <w:r w:rsidR="00A00575" w:rsidRPr="00AF29BF">
        <w:rPr>
          <w:rFonts w:ascii="Times New Roman" w:hAnsi="Times New Roman" w:cs="Times New Roman"/>
        </w:rPr>
        <w:t xml:space="preserve"> difference </w:t>
      </w:r>
      <w:r w:rsidR="00CA3299" w:rsidRPr="00AF29BF">
        <w:rPr>
          <w:rFonts w:ascii="Times New Roman" w:hAnsi="Times New Roman" w:cs="Times New Roman"/>
        </w:rPr>
        <w:t xml:space="preserve">from its earlier counterpart; </w:t>
      </w:r>
      <w:r w:rsidR="00A00575" w:rsidRPr="00AF29BF">
        <w:rPr>
          <w:rFonts w:ascii="Times New Roman" w:hAnsi="Times New Roman" w:cs="Times New Roman"/>
        </w:rPr>
        <w:t xml:space="preserve">the accused is </w:t>
      </w:r>
      <w:r w:rsidR="00CA3299" w:rsidRPr="00AF29BF">
        <w:rPr>
          <w:rFonts w:ascii="Times New Roman" w:hAnsi="Times New Roman" w:cs="Times New Roman"/>
        </w:rPr>
        <w:t xml:space="preserve">now </w:t>
      </w:r>
      <w:r w:rsidR="00A00575" w:rsidRPr="00AF29BF">
        <w:rPr>
          <w:rFonts w:ascii="Times New Roman" w:hAnsi="Times New Roman" w:cs="Times New Roman"/>
        </w:rPr>
        <w:t>speaking through written case managem</w:t>
      </w:r>
      <w:r w:rsidR="00CA3299" w:rsidRPr="00AF29BF">
        <w:rPr>
          <w:rFonts w:ascii="Times New Roman" w:hAnsi="Times New Roman" w:cs="Times New Roman"/>
        </w:rPr>
        <w:t>ent disclosures</w:t>
      </w:r>
      <w:r w:rsidR="00A3016B">
        <w:rPr>
          <w:rFonts w:ascii="Times New Roman" w:hAnsi="Times New Roman" w:cs="Times New Roman"/>
        </w:rPr>
        <w:t>, as</w:t>
      </w:r>
      <w:r w:rsidR="00CA3299" w:rsidRPr="00AF29BF">
        <w:rPr>
          <w:rFonts w:ascii="Times New Roman" w:hAnsi="Times New Roman" w:cs="Times New Roman"/>
        </w:rPr>
        <w:t xml:space="preserve"> opposed to orally disclosing information</w:t>
      </w:r>
      <w:r w:rsidR="00A00575" w:rsidRPr="00AF29BF">
        <w:rPr>
          <w:rFonts w:ascii="Times New Roman" w:hAnsi="Times New Roman" w:cs="Times New Roman"/>
        </w:rPr>
        <w:t xml:space="preserve">. </w:t>
      </w:r>
      <w:r w:rsidR="00922175" w:rsidRPr="00AF29BF">
        <w:rPr>
          <w:rFonts w:ascii="Times New Roman" w:hAnsi="Times New Roman" w:cs="Times New Roman"/>
        </w:rPr>
        <w:t xml:space="preserve">It has been claimed that defence disclosure does </w:t>
      </w:r>
      <w:r w:rsidR="00CA3299" w:rsidRPr="00AF29BF">
        <w:rPr>
          <w:rFonts w:ascii="Times New Roman" w:hAnsi="Times New Roman" w:cs="Times New Roman"/>
        </w:rPr>
        <w:t>weaken</w:t>
      </w:r>
      <w:r w:rsidR="00922175" w:rsidRPr="00AF29BF">
        <w:rPr>
          <w:rFonts w:ascii="Times New Roman" w:hAnsi="Times New Roman" w:cs="Times New Roman"/>
        </w:rPr>
        <w:t xml:space="preserve"> a fundamental adversarial foundation, namely</w:t>
      </w:r>
      <w:r w:rsidR="00262171" w:rsidRPr="00AF29BF">
        <w:rPr>
          <w:rFonts w:ascii="Times New Roman" w:hAnsi="Times New Roman" w:cs="Times New Roman"/>
          <w:lang w:val="en-GB"/>
        </w:rPr>
        <w:t xml:space="preserve"> that</w:t>
      </w:r>
      <w:r w:rsidR="00922175" w:rsidRPr="00AF29BF">
        <w:rPr>
          <w:rFonts w:ascii="Times New Roman" w:hAnsi="Times New Roman" w:cs="Times New Roman"/>
        </w:rPr>
        <w:t xml:space="preserve"> the burden of proof rests solely on the prosecution. </w:t>
      </w:r>
      <w:r w:rsidR="00B31740" w:rsidRPr="00AF29BF">
        <w:rPr>
          <w:rFonts w:ascii="Times New Roman" w:hAnsi="Times New Roman" w:cs="Times New Roman"/>
        </w:rPr>
        <w:t xml:space="preserve">However, </w:t>
      </w:r>
      <w:r w:rsidR="00922175" w:rsidRPr="00AF29BF">
        <w:rPr>
          <w:rFonts w:ascii="Times New Roman" w:hAnsi="Times New Roman" w:cs="Times New Roman"/>
        </w:rPr>
        <w:t>The Roskill committee reporting in 1987 suggested that</w:t>
      </w:r>
      <w:r w:rsidR="00B31740" w:rsidRPr="00AF29BF">
        <w:rPr>
          <w:rFonts w:ascii="Times New Roman" w:hAnsi="Times New Roman" w:cs="Times New Roman"/>
        </w:rPr>
        <w:t xml:space="preserve"> this issue might be circumvented</w:t>
      </w:r>
      <w:r w:rsidR="00922175" w:rsidRPr="00AF29BF">
        <w:rPr>
          <w:rFonts w:ascii="Times New Roman" w:hAnsi="Times New Roman" w:cs="Times New Roman"/>
        </w:rPr>
        <w:t>:</w:t>
      </w:r>
    </w:p>
    <w:p w14:paraId="40A91A5A" w14:textId="77777777" w:rsidR="0072346C" w:rsidRPr="00AF29BF" w:rsidRDefault="0072346C" w:rsidP="00916253">
      <w:pPr>
        <w:ind w:left="720"/>
        <w:jc w:val="both"/>
        <w:rPr>
          <w:rFonts w:ascii="Times New Roman" w:hAnsi="Times New Roman"/>
        </w:rPr>
      </w:pPr>
    </w:p>
    <w:p w14:paraId="71B4F141" w14:textId="76045759" w:rsidR="00922175" w:rsidRPr="00AF29BF" w:rsidRDefault="00922175" w:rsidP="00916253">
      <w:pPr>
        <w:ind w:left="720"/>
        <w:jc w:val="both"/>
        <w:rPr>
          <w:rFonts w:ascii="Times New Roman" w:hAnsi="Times New Roman"/>
        </w:rPr>
      </w:pPr>
      <w:r w:rsidRPr="00AF29BF">
        <w:rPr>
          <w:rFonts w:ascii="Times New Roman" w:hAnsi="Times New Roman"/>
        </w:rPr>
        <w:t xml:space="preserve">‘The prosecution would still have to prepare their case fully … including making early disclosure of their evidence … we recognize that the burden of proof would be affected if the prosecution were allowed to alter the nature of their case once the defence had been disclosed. To avoid this possibility, any proposal would there have to involve the prosecution’s case being “fixed” before the defence could show his hand. If the prosecution sought to change their ground … or, if it were not too late, to ensure </w:t>
      </w:r>
      <w:proofErr w:type="gramStart"/>
      <w:r w:rsidRPr="00AF29BF">
        <w:rPr>
          <w:rFonts w:ascii="Times New Roman" w:hAnsi="Times New Roman"/>
        </w:rPr>
        <w:t>the that</w:t>
      </w:r>
      <w:proofErr w:type="gramEnd"/>
      <w:r w:rsidRPr="00AF29BF">
        <w:rPr>
          <w:rFonts w:ascii="Times New Roman" w:hAnsi="Times New Roman"/>
        </w:rPr>
        <w:t xml:space="preserve"> the prosecution adhered to the original case’.</w:t>
      </w:r>
      <w:r w:rsidRPr="00AF29BF">
        <w:rPr>
          <w:rStyle w:val="FootnoteReference"/>
          <w:rFonts w:ascii="Times New Roman" w:hAnsi="Times New Roman"/>
        </w:rPr>
        <w:footnoteReference w:id="100"/>
      </w:r>
      <w:r w:rsidRPr="00AF29BF">
        <w:rPr>
          <w:rFonts w:ascii="Times New Roman" w:hAnsi="Times New Roman"/>
        </w:rPr>
        <w:t xml:space="preserve"> </w:t>
      </w:r>
    </w:p>
    <w:p w14:paraId="667BEEE9" w14:textId="77777777" w:rsidR="00922175" w:rsidRPr="00AF29BF" w:rsidRDefault="00922175" w:rsidP="00916253">
      <w:pPr>
        <w:jc w:val="both"/>
        <w:rPr>
          <w:rFonts w:ascii="Times New Roman" w:hAnsi="Times New Roman"/>
        </w:rPr>
      </w:pPr>
    </w:p>
    <w:p w14:paraId="3B89511D" w14:textId="1BACA965" w:rsidR="00922175" w:rsidRPr="00AF29BF" w:rsidRDefault="00C67122" w:rsidP="00916253">
      <w:pPr>
        <w:jc w:val="both"/>
        <w:rPr>
          <w:rFonts w:ascii="Times New Roman" w:hAnsi="Times New Roman"/>
        </w:rPr>
      </w:pPr>
      <w:r w:rsidRPr="00AF29BF">
        <w:rPr>
          <w:rFonts w:ascii="Times New Roman" w:hAnsi="Times New Roman"/>
        </w:rPr>
        <w:t xml:space="preserve">The approach offered by the Roskill committee is </w:t>
      </w:r>
      <w:r w:rsidR="00B31740" w:rsidRPr="00AF29BF">
        <w:rPr>
          <w:rFonts w:ascii="Times New Roman" w:hAnsi="Times New Roman"/>
        </w:rPr>
        <w:t>admirable;</w:t>
      </w:r>
      <w:r w:rsidRPr="00AF29BF">
        <w:rPr>
          <w:rFonts w:ascii="Times New Roman" w:hAnsi="Times New Roman"/>
        </w:rPr>
        <w:t xml:space="preserve"> it sets out that the </w:t>
      </w:r>
      <w:r w:rsidR="00B31740" w:rsidRPr="00AF29BF">
        <w:rPr>
          <w:rFonts w:ascii="Times New Roman" w:hAnsi="Times New Roman"/>
        </w:rPr>
        <w:t>burden of proof would be significantly diluted if</w:t>
      </w:r>
      <w:r w:rsidRPr="00AF29BF">
        <w:rPr>
          <w:rFonts w:ascii="Times New Roman" w:hAnsi="Times New Roman"/>
        </w:rPr>
        <w:t xml:space="preserve"> the prosecution </w:t>
      </w:r>
      <w:r w:rsidR="00B31740" w:rsidRPr="00AF29BF">
        <w:rPr>
          <w:rFonts w:ascii="Times New Roman" w:hAnsi="Times New Roman"/>
        </w:rPr>
        <w:t>were</w:t>
      </w:r>
      <w:r w:rsidRPr="00AF29BF">
        <w:rPr>
          <w:rFonts w:ascii="Times New Roman" w:hAnsi="Times New Roman"/>
        </w:rPr>
        <w:t xml:space="preserve"> permitted to </w:t>
      </w:r>
      <w:r w:rsidR="00B31740" w:rsidRPr="00AF29BF">
        <w:rPr>
          <w:rFonts w:ascii="Times New Roman" w:hAnsi="Times New Roman"/>
        </w:rPr>
        <w:t>amend</w:t>
      </w:r>
      <w:r w:rsidRPr="00AF29BF">
        <w:rPr>
          <w:rFonts w:ascii="Times New Roman" w:hAnsi="Times New Roman"/>
        </w:rPr>
        <w:t xml:space="preserve"> their case once the defence has been disclosed. However, the ‘sea change’ </w:t>
      </w:r>
      <w:r w:rsidR="005D348D">
        <w:rPr>
          <w:rFonts w:ascii="Times New Roman" w:hAnsi="Times New Roman"/>
        </w:rPr>
        <w:t xml:space="preserve">which </w:t>
      </w:r>
      <w:r w:rsidRPr="00AF29BF">
        <w:rPr>
          <w:rFonts w:ascii="Times New Roman" w:hAnsi="Times New Roman"/>
        </w:rPr>
        <w:t>started with</w:t>
      </w:r>
      <w:r w:rsidR="00C93780" w:rsidRPr="00AF29BF">
        <w:rPr>
          <w:rFonts w:ascii="Times New Roman" w:hAnsi="Times New Roman"/>
        </w:rPr>
        <w:t xml:space="preserve"> the Auld Review and permeated </w:t>
      </w:r>
      <w:r w:rsidR="00526D09" w:rsidRPr="00AF29BF">
        <w:rPr>
          <w:rFonts w:ascii="Times New Roman" w:hAnsi="Times New Roman"/>
        </w:rPr>
        <w:t>through</w:t>
      </w:r>
      <w:r w:rsidR="00C93780" w:rsidRPr="00AF29BF">
        <w:rPr>
          <w:rFonts w:ascii="Times New Roman" w:hAnsi="Times New Roman"/>
        </w:rPr>
        <w:t xml:space="preserve"> the judiciary</w:t>
      </w:r>
      <w:r w:rsidR="00526D09" w:rsidRPr="00AF29BF">
        <w:rPr>
          <w:rFonts w:ascii="Times New Roman" w:hAnsi="Times New Roman"/>
        </w:rPr>
        <w:t xml:space="preserve"> and magistracy</w:t>
      </w:r>
      <w:r w:rsidR="00C93780" w:rsidRPr="00AF29BF">
        <w:rPr>
          <w:rFonts w:ascii="Times New Roman" w:hAnsi="Times New Roman"/>
        </w:rPr>
        <w:t xml:space="preserve"> to enact a change in culture almost ignores </w:t>
      </w:r>
      <w:r w:rsidR="00B31740" w:rsidRPr="00AF29BF">
        <w:rPr>
          <w:rFonts w:ascii="Times New Roman" w:hAnsi="Times New Roman"/>
        </w:rPr>
        <w:t xml:space="preserve">the </w:t>
      </w:r>
      <w:r w:rsidR="00C93780" w:rsidRPr="00AF29BF">
        <w:rPr>
          <w:rFonts w:ascii="Times New Roman" w:hAnsi="Times New Roman"/>
        </w:rPr>
        <w:t>due process safeguard</w:t>
      </w:r>
      <w:r w:rsidR="00B31740" w:rsidRPr="00AF29BF">
        <w:rPr>
          <w:rFonts w:ascii="Times New Roman" w:hAnsi="Times New Roman"/>
        </w:rPr>
        <w:t xml:space="preserve"> </w:t>
      </w:r>
      <w:r w:rsidR="005D348D">
        <w:rPr>
          <w:rFonts w:ascii="Times New Roman" w:hAnsi="Times New Roman"/>
        </w:rPr>
        <w:t>highlighted</w:t>
      </w:r>
      <w:r w:rsidR="00B31740" w:rsidRPr="00AF29BF">
        <w:rPr>
          <w:rFonts w:ascii="Times New Roman" w:hAnsi="Times New Roman"/>
        </w:rPr>
        <w:t xml:space="preserve"> by the committee</w:t>
      </w:r>
      <w:r w:rsidR="00C93780" w:rsidRPr="00AF29BF">
        <w:rPr>
          <w:rFonts w:ascii="Times New Roman" w:hAnsi="Times New Roman"/>
        </w:rPr>
        <w:t>. The modern judge will permit the prosecution to alter an indictment to ensure cases are not frustrated by prosecutorial error.</w:t>
      </w:r>
      <w:r w:rsidR="00C93780" w:rsidRPr="00AF29BF">
        <w:rPr>
          <w:rStyle w:val="FootnoteReference"/>
          <w:rFonts w:ascii="Times New Roman" w:hAnsi="Times New Roman"/>
        </w:rPr>
        <w:footnoteReference w:id="101"/>
      </w:r>
      <w:r w:rsidR="00C93780" w:rsidRPr="00AF29BF">
        <w:rPr>
          <w:rFonts w:ascii="Times New Roman" w:hAnsi="Times New Roman"/>
        </w:rPr>
        <w:t xml:space="preserve"> </w:t>
      </w:r>
      <w:r w:rsidR="00647CEB" w:rsidRPr="00AF29BF">
        <w:rPr>
          <w:rFonts w:ascii="Times New Roman" w:hAnsi="Times New Roman"/>
        </w:rPr>
        <w:t>Whilst</w:t>
      </w:r>
      <w:r w:rsidR="00C93780" w:rsidRPr="00AF29BF">
        <w:rPr>
          <w:rFonts w:ascii="Times New Roman" w:hAnsi="Times New Roman"/>
        </w:rPr>
        <w:t xml:space="preserve"> this satisfies the goal of an efficient and expeditious criminal process the deci</w:t>
      </w:r>
      <w:r w:rsidR="00004F53" w:rsidRPr="00AF29BF">
        <w:rPr>
          <w:rFonts w:ascii="Times New Roman" w:hAnsi="Times New Roman"/>
        </w:rPr>
        <w:t>sion is one that is certainly non-</w:t>
      </w:r>
      <w:r w:rsidR="00C93780" w:rsidRPr="00AF29BF">
        <w:rPr>
          <w:rFonts w:ascii="Times New Roman" w:hAnsi="Times New Roman"/>
        </w:rPr>
        <w:t xml:space="preserve">adversarial. The court </w:t>
      </w:r>
      <w:r w:rsidR="00137AC7" w:rsidRPr="00AF29BF">
        <w:rPr>
          <w:rFonts w:ascii="Times New Roman" w:hAnsi="Times New Roman"/>
        </w:rPr>
        <w:t>in</w:t>
      </w:r>
      <w:r w:rsidR="00C93780" w:rsidRPr="00AF29BF">
        <w:rPr>
          <w:rFonts w:ascii="Times New Roman" w:hAnsi="Times New Roman"/>
        </w:rPr>
        <w:t xml:space="preserve"> </w:t>
      </w:r>
      <w:proofErr w:type="spellStart"/>
      <w:r w:rsidR="00C93780" w:rsidRPr="00AF29BF">
        <w:rPr>
          <w:rFonts w:ascii="Times New Roman" w:hAnsi="Times New Roman"/>
          <w:i/>
        </w:rPr>
        <w:t>Chabaan</w:t>
      </w:r>
      <w:proofErr w:type="spellEnd"/>
      <w:r w:rsidR="00C93780" w:rsidRPr="00AF29BF">
        <w:rPr>
          <w:rStyle w:val="FootnoteReference"/>
          <w:rFonts w:ascii="Times New Roman" w:hAnsi="Times New Roman"/>
        </w:rPr>
        <w:footnoteReference w:id="102"/>
      </w:r>
      <w:r w:rsidR="00C93780" w:rsidRPr="00AF29BF">
        <w:rPr>
          <w:rFonts w:ascii="Times New Roman" w:hAnsi="Times New Roman"/>
        </w:rPr>
        <w:t>w</w:t>
      </w:r>
      <w:r w:rsidR="00EA76B7" w:rsidRPr="00AF29BF">
        <w:rPr>
          <w:rFonts w:ascii="Times New Roman" w:hAnsi="Times New Roman"/>
        </w:rPr>
        <w:t>as</w:t>
      </w:r>
      <w:r w:rsidR="00C93780" w:rsidRPr="00AF29BF">
        <w:rPr>
          <w:rFonts w:ascii="Times New Roman" w:hAnsi="Times New Roman"/>
        </w:rPr>
        <w:t xml:space="preserve"> entirely correct, time is not unlimited </w:t>
      </w:r>
      <w:r w:rsidR="009021FF" w:rsidRPr="00AF29BF">
        <w:rPr>
          <w:rFonts w:ascii="Times New Roman" w:hAnsi="Times New Roman"/>
        </w:rPr>
        <w:t xml:space="preserve">but the duel goals of efficiency and case management should not be fulfilled by the potential prejudice to the defendant. The changing role has further </w:t>
      </w:r>
      <w:r w:rsidR="005D348D" w:rsidRPr="00AF29BF">
        <w:rPr>
          <w:rFonts w:ascii="Times New Roman" w:hAnsi="Times New Roman"/>
        </w:rPr>
        <w:t>distorted</w:t>
      </w:r>
      <w:r w:rsidR="009021FF" w:rsidRPr="00AF29BF">
        <w:rPr>
          <w:rFonts w:ascii="Times New Roman" w:hAnsi="Times New Roman"/>
        </w:rPr>
        <w:t xml:space="preserve"> the role of the </w:t>
      </w:r>
      <w:r w:rsidR="00137AC7" w:rsidRPr="00AF29BF">
        <w:rPr>
          <w:rFonts w:ascii="Times New Roman" w:hAnsi="Times New Roman"/>
        </w:rPr>
        <w:t>judge;</w:t>
      </w:r>
      <w:r w:rsidR="009021FF" w:rsidRPr="00AF29BF">
        <w:rPr>
          <w:rFonts w:ascii="Times New Roman" w:hAnsi="Times New Roman"/>
        </w:rPr>
        <w:t xml:space="preserve"> it appears there is some difficulty in ascertaining the boundaries </w:t>
      </w:r>
      <w:r w:rsidR="00137AC7" w:rsidRPr="00AF29BF">
        <w:rPr>
          <w:rFonts w:ascii="Times New Roman" w:hAnsi="Times New Roman"/>
        </w:rPr>
        <w:t>in which they operate</w:t>
      </w:r>
      <w:r w:rsidR="009021FF" w:rsidRPr="00AF29BF">
        <w:rPr>
          <w:rFonts w:ascii="Times New Roman" w:hAnsi="Times New Roman"/>
        </w:rPr>
        <w:t xml:space="preserve">. In </w:t>
      </w:r>
      <w:proofErr w:type="spellStart"/>
      <w:r w:rsidR="009021FF" w:rsidRPr="00AF29BF">
        <w:rPr>
          <w:rFonts w:ascii="Times New Roman" w:hAnsi="Times New Roman" w:cs="Times New Roman"/>
          <w:bCs/>
          <w:i/>
        </w:rPr>
        <w:t>Cordingley</w:t>
      </w:r>
      <w:proofErr w:type="spellEnd"/>
      <w:r w:rsidR="009021FF" w:rsidRPr="00AF29BF">
        <w:rPr>
          <w:rStyle w:val="FootnoteReference"/>
          <w:rFonts w:ascii="Times New Roman" w:hAnsi="Times New Roman" w:cs="Times New Roman"/>
          <w:bCs/>
          <w:i/>
        </w:rPr>
        <w:footnoteReference w:id="103"/>
      </w:r>
      <w:r w:rsidR="009021FF" w:rsidRPr="00AF29BF">
        <w:rPr>
          <w:rFonts w:ascii="Times New Roman" w:hAnsi="Times New Roman" w:cs="Times New Roman"/>
          <w:bCs/>
        </w:rPr>
        <w:t xml:space="preserve"> the judge was discourteous and rude and in </w:t>
      </w:r>
      <w:proofErr w:type="spellStart"/>
      <w:r w:rsidR="009021FF" w:rsidRPr="00AF29BF">
        <w:rPr>
          <w:rFonts w:ascii="Times New Roman" w:hAnsi="Times New Roman" w:cs="Times New Roman"/>
          <w:bCs/>
          <w:i/>
        </w:rPr>
        <w:t>Copsey</w:t>
      </w:r>
      <w:proofErr w:type="spellEnd"/>
      <w:r w:rsidR="009021FF" w:rsidRPr="00AF29BF">
        <w:rPr>
          <w:rStyle w:val="FootnoteReference"/>
          <w:rFonts w:ascii="Times New Roman" w:hAnsi="Times New Roman" w:cs="Times New Roman"/>
          <w:bCs/>
        </w:rPr>
        <w:footnoteReference w:id="104"/>
      </w:r>
      <w:r w:rsidR="0072346C" w:rsidRPr="00AF29BF">
        <w:rPr>
          <w:rFonts w:ascii="Times New Roman" w:hAnsi="Times New Roman" w:cs="Times New Roman"/>
          <w:bCs/>
        </w:rPr>
        <w:t xml:space="preserve"> the Court of Appeal deemed his interventions all too frequent</w:t>
      </w:r>
      <w:r w:rsidR="009021FF" w:rsidRPr="00AF29BF">
        <w:rPr>
          <w:rFonts w:ascii="Times New Roman" w:hAnsi="Times New Roman" w:cs="Times New Roman"/>
          <w:bCs/>
        </w:rPr>
        <w:t>. However, in more recent times the judge has been permitted to act as a second prosecutor</w:t>
      </w:r>
      <w:r w:rsidR="0072346C" w:rsidRPr="00AF29BF">
        <w:rPr>
          <w:rFonts w:ascii="Times New Roman" w:hAnsi="Times New Roman" w:cs="Times New Roman"/>
          <w:bCs/>
        </w:rPr>
        <w:t>.</w:t>
      </w:r>
      <w:r w:rsidR="009021FF" w:rsidRPr="00AF29BF">
        <w:rPr>
          <w:rStyle w:val="FootnoteReference"/>
          <w:rFonts w:ascii="Times New Roman" w:hAnsi="Times New Roman" w:cs="Times New Roman"/>
          <w:bCs/>
        </w:rPr>
        <w:footnoteReference w:id="105"/>
      </w:r>
      <w:r w:rsidR="009021FF" w:rsidRPr="00AF29BF">
        <w:rPr>
          <w:rFonts w:ascii="Times New Roman" w:hAnsi="Times New Roman" w:cs="Times New Roman"/>
          <w:bCs/>
        </w:rPr>
        <w:t xml:space="preserve"> </w:t>
      </w:r>
      <w:r w:rsidR="0072346C" w:rsidRPr="00AF29BF">
        <w:rPr>
          <w:rFonts w:ascii="Times New Roman" w:hAnsi="Times New Roman" w:cs="Times New Roman"/>
          <w:bCs/>
        </w:rPr>
        <w:t>He</w:t>
      </w:r>
      <w:r w:rsidR="00A3016B">
        <w:rPr>
          <w:rFonts w:ascii="Times New Roman" w:hAnsi="Times New Roman" w:cs="Times New Roman"/>
          <w:bCs/>
        </w:rPr>
        <w:t xml:space="preserve"> asked many questions during the trial, rendering </w:t>
      </w:r>
      <w:r w:rsidR="009021FF" w:rsidRPr="00AF29BF">
        <w:rPr>
          <w:rFonts w:ascii="Times New Roman" w:hAnsi="Times New Roman" w:cs="Times New Roman"/>
          <w:bCs/>
        </w:rPr>
        <w:t>the boundaries of the role are rather opaque. What is clear is that the modern day judiciary and magistracy are no longer passive umpire</w:t>
      </w:r>
      <w:r w:rsidR="00655262" w:rsidRPr="00AF29BF">
        <w:rPr>
          <w:rFonts w:ascii="Times New Roman" w:hAnsi="Times New Roman" w:cs="Times New Roman"/>
          <w:bCs/>
        </w:rPr>
        <w:t>s</w:t>
      </w:r>
      <w:r w:rsidR="00A3016B">
        <w:rPr>
          <w:rFonts w:ascii="Times New Roman" w:hAnsi="Times New Roman" w:cs="Times New Roman"/>
          <w:bCs/>
        </w:rPr>
        <w:t>,</w:t>
      </w:r>
      <w:r w:rsidR="009021FF" w:rsidRPr="00AF29BF">
        <w:rPr>
          <w:rFonts w:ascii="Times New Roman" w:hAnsi="Times New Roman" w:cs="Times New Roman"/>
          <w:bCs/>
        </w:rPr>
        <w:t xml:space="preserve"> but active case managers who pilot the case along the correct flight path to ensure nobody veers off course.</w:t>
      </w:r>
      <w:r w:rsidR="00655262" w:rsidRPr="00AF29BF">
        <w:rPr>
          <w:rFonts w:ascii="Times New Roman" w:hAnsi="Times New Roman" w:cs="Times New Roman"/>
          <w:bCs/>
        </w:rPr>
        <w:t xml:space="preserve"> </w:t>
      </w:r>
    </w:p>
    <w:p w14:paraId="47516847" w14:textId="77777777" w:rsidR="00581142" w:rsidRPr="00AF29BF" w:rsidRDefault="00581142" w:rsidP="00916253">
      <w:pPr>
        <w:jc w:val="both"/>
        <w:rPr>
          <w:rFonts w:ascii="Times New Roman" w:hAnsi="Times New Roman" w:cs="Times New Roman"/>
          <w:b/>
          <w:sz w:val="28"/>
          <w:szCs w:val="28"/>
        </w:rPr>
      </w:pPr>
    </w:p>
    <w:p w14:paraId="6D45D565" w14:textId="730BAA51" w:rsidR="00C93780" w:rsidRPr="00AF29BF" w:rsidRDefault="002942D4" w:rsidP="00916253">
      <w:pPr>
        <w:ind w:firstLine="720"/>
        <w:jc w:val="both"/>
        <w:rPr>
          <w:rFonts w:ascii="Times New Roman" w:hAnsi="Times New Roman" w:cs="Times New Roman"/>
          <w:b/>
          <w:sz w:val="28"/>
          <w:szCs w:val="28"/>
        </w:rPr>
      </w:pPr>
      <w:r w:rsidRPr="00AF29BF">
        <w:rPr>
          <w:rFonts w:ascii="Times New Roman" w:hAnsi="Times New Roman" w:cs="Times New Roman"/>
          <w:b/>
          <w:sz w:val="28"/>
          <w:szCs w:val="28"/>
        </w:rPr>
        <w:t xml:space="preserve">5. </w:t>
      </w:r>
      <w:r w:rsidR="00581142" w:rsidRPr="00AF29BF">
        <w:rPr>
          <w:rFonts w:ascii="Times New Roman" w:hAnsi="Times New Roman" w:cs="Times New Roman"/>
          <w:b/>
          <w:sz w:val="28"/>
          <w:szCs w:val="28"/>
        </w:rPr>
        <w:t>Conclusion</w:t>
      </w:r>
    </w:p>
    <w:p w14:paraId="61AC151E" w14:textId="77777777" w:rsidR="009F0E85" w:rsidRPr="00AF29BF" w:rsidRDefault="009F0E85" w:rsidP="00916253">
      <w:pPr>
        <w:jc w:val="both"/>
        <w:rPr>
          <w:rFonts w:ascii="Times New Roman" w:hAnsi="Times New Roman" w:cs="Times New Roman"/>
          <w:b/>
          <w:sz w:val="28"/>
          <w:szCs w:val="28"/>
        </w:rPr>
      </w:pPr>
    </w:p>
    <w:p w14:paraId="41DD0466" w14:textId="1E9F0F17" w:rsidR="00581142" w:rsidRPr="00AF29BF" w:rsidRDefault="00581142" w:rsidP="00916253">
      <w:pPr>
        <w:jc w:val="both"/>
        <w:rPr>
          <w:rFonts w:ascii="Times New Roman" w:hAnsi="Times New Roman" w:cs="Times New Roman"/>
        </w:rPr>
      </w:pPr>
      <w:r w:rsidRPr="00AF29BF">
        <w:rPr>
          <w:rFonts w:ascii="Times New Roman" w:hAnsi="Times New Roman" w:cs="Times New Roman"/>
        </w:rPr>
        <w:t xml:space="preserve">The evolution of the interventionist judge comes at a time where the nature of the criminal trial is shifting from its traditional adversarial roots. This shift is occurring with a dilution of due process </w:t>
      </w:r>
      <w:r w:rsidR="007E7B1B" w:rsidRPr="00AF29BF">
        <w:rPr>
          <w:rFonts w:ascii="Times New Roman" w:hAnsi="Times New Roman" w:cs="Times New Roman"/>
        </w:rPr>
        <w:t xml:space="preserve">ideals and is being replaced with a managerial approach </w:t>
      </w:r>
      <w:r w:rsidR="00B31740" w:rsidRPr="00AF29BF">
        <w:rPr>
          <w:rFonts w:ascii="Times New Roman" w:hAnsi="Times New Roman" w:cs="Times New Roman"/>
        </w:rPr>
        <w:lastRenderedPageBreak/>
        <w:t>that</w:t>
      </w:r>
      <w:r w:rsidR="007E7B1B" w:rsidRPr="00AF29BF">
        <w:rPr>
          <w:rFonts w:ascii="Times New Roman" w:hAnsi="Times New Roman" w:cs="Times New Roman"/>
        </w:rPr>
        <w:t xml:space="preserve"> is underpinned by a crime </w:t>
      </w:r>
      <w:r w:rsidRPr="00AF29BF">
        <w:rPr>
          <w:rFonts w:ascii="Times New Roman" w:hAnsi="Times New Roman" w:cs="Times New Roman"/>
        </w:rPr>
        <w:t>control agenda</w:t>
      </w:r>
      <w:r w:rsidR="007E7B1B" w:rsidRPr="00AF29BF">
        <w:rPr>
          <w:rFonts w:ascii="Times New Roman" w:hAnsi="Times New Roman" w:cs="Times New Roman"/>
        </w:rPr>
        <w:t>. The implementation of these ideas sits</w:t>
      </w:r>
      <w:r w:rsidRPr="00AF29BF">
        <w:rPr>
          <w:rFonts w:ascii="Times New Roman" w:hAnsi="Times New Roman" w:cs="Times New Roman"/>
        </w:rPr>
        <w:t xml:space="preserve"> rather awkwardly in the adversarial process</w:t>
      </w:r>
      <w:r w:rsidR="007E7B1B" w:rsidRPr="00AF29BF">
        <w:rPr>
          <w:rFonts w:ascii="Times New Roman" w:hAnsi="Times New Roman" w:cs="Times New Roman"/>
        </w:rPr>
        <w:t xml:space="preserve">. </w:t>
      </w:r>
      <w:r w:rsidRPr="00AF29BF">
        <w:rPr>
          <w:rFonts w:ascii="Times New Roman" w:hAnsi="Times New Roman" w:cs="Times New Roman"/>
        </w:rPr>
        <w:t xml:space="preserve"> </w:t>
      </w:r>
      <w:r w:rsidR="007E7B1B" w:rsidRPr="00AF29BF">
        <w:rPr>
          <w:rFonts w:ascii="Times New Roman" w:hAnsi="Times New Roman" w:cs="Times New Roman"/>
        </w:rPr>
        <w:t>The managerial model dislikes party control and this control is now taken away from the State and defence lawyers and transferred to the court.</w:t>
      </w:r>
      <w:r w:rsidR="007E7B1B" w:rsidRPr="00AF29BF">
        <w:rPr>
          <w:rStyle w:val="FootnoteReference"/>
          <w:rFonts w:ascii="Times New Roman" w:hAnsi="Times New Roman" w:cs="Times New Roman"/>
        </w:rPr>
        <w:footnoteReference w:id="106"/>
      </w:r>
      <w:r w:rsidR="007E7B1B" w:rsidRPr="00AF29BF">
        <w:rPr>
          <w:rFonts w:ascii="Times New Roman" w:hAnsi="Times New Roman" w:cs="Times New Roman"/>
        </w:rPr>
        <w:t xml:space="preserve"> The judiciary in the twenty</w:t>
      </w:r>
      <w:r w:rsidR="0013350A" w:rsidRPr="00AF29BF">
        <w:rPr>
          <w:rFonts w:ascii="Times New Roman" w:hAnsi="Times New Roman" w:cs="Times New Roman"/>
          <w:lang w:val="en-GB"/>
        </w:rPr>
        <w:t>-</w:t>
      </w:r>
      <w:r w:rsidR="007E7B1B" w:rsidRPr="00AF29BF">
        <w:rPr>
          <w:rFonts w:ascii="Times New Roman" w:hAnsi="Times New Roman" w:cs="Times New Roman"/>
        </w:rPr>
        <w:t xml:space="preserve">first century plays a far more prominent role than his </w:t>
      </w:r>
      <w:r w:rsidR="001A37D4" w:rsidRPr="00AF29BF">
        <w:rPr>
          <w:rFonts w:ascii="Times New Roman" w:hAnsi="Times New Roman" w:cs="Times New Roman"/>
        </w:rPr>
        <w:t xml:space="preserve">twentieth century </w:t>
      </w:r>
      <w:r w:rsidR="007E7B1B" w:rsidRPr="00AF29BF">
        <w:rPr>
          <w:rFonts w:ascii="Times New Roman" w:hAnsi="Times New Roman" w:cs="Times New Roman"/>
        </w:rPr>
        <w:t xml:space="preserve">predecessor. </w:t>
      </w:r>
      <w:r w:rsidR="001C4F7C" w:rsidRPr="00AF29BF">
        <w:rPr>
          <w:rFonts w:ascii="Times New Roman" w:hAnsi="Times New Roman" w:cs="Times New Roman"/>
          <w:lang w:val="en-GB"/>
        </w:rPr>
        <w:t>The j</w:t>
      </w:r>
      <w:r w:rsidR="0013350A" w:rsidRPr="00AF29BF">
        <w:rPr>
          <w:rFonts w:ascii="Times New Roman" w:hAnsi="Times New Roman" w:cs="Times New Roman"/>
          <w:lang w:val="en-GB"/>
        </w:rPr>
        <w:t>udge</w:t>
      </w:r>
      <w:r w:rsidR="007E7B1B" w:rsidRPr="00AF29BF">
        <w:rPr>
          <w:rFonts w:ascii="Times New Roman" w:hAnsi="Times New Roman" w:cs="Times New Roman"/>
        </w:rPr>
        <w:t xml:space="preserve"> is no longer described as passive and is the undoubted key figure throughout the trial process. He is more than a pilot</w:t>
      </w:r>
      <w:r w:rsidR="0013350A" w:rsidRPr="00AF29BF">
        <w:rPr>
          <w:rFonts w:ascii="Times New Roman" w:hAnsi="Times New Roman" w:cs="Times New Roman"/>
          <w:lang w:val="en-GB"/>
        </w:rPr>
        <w:t>, more than</w:t>
      </w:r>
      <w:r w:rsidR="00004F53" w:rsidRPr="00AF29BF">
        <w:rPr>
          <w:rFonts w:ascii="Times New Roman" w:hAnsi="Times New Roman" w:cs="Times New Roman"/>
          <w:lang w:val="en-GB"/>
        </w:rPr>
        <w:t xml:space="preserve"> </w:t>
      </w:r>
      <w:r w:rsidR="007E7B1B" w:rsidRPr="00AF29BF">
        <w:rPr>
          <w:rFonts w:ascii="Times New Roman" w:hAnsi="Times New Roman" w:cs="Times New Roman"/>
        </w:rPr>
        <w:t>an umpire</w:t>
      </w:r>
      <w:r w:rsidR="0013350A" w:rsidRPr="00AF29BF">
        <w:rPr>
          <w:rFonts w:ascii="Times New Roman" w:hAnsi="Times New Roman" w:cs="Times New Roman"/>
          <w:lang w:val="en-GB"/>
        </w:rPr>
        <w:t>.</w:t>
      </w:r>
      <w:r w:rsidR="007E7B1B" w:rsidRPr="00AF29BF">
        <w:rPr>
          <w:rFonts w:ascii="Times New Roman" w:hAnsi="Times New Roman" w:cs="Times New Roman"/>
        </w:rPr>
        <w:t xml:space="preserve"> </w:t>
      </w:r>
      <w:r w:rsidR="0013350A" w:rsidRPr="00AF29BF">
        <w:rPr>
          <w:rFonts w:ascii="Times New Roman" w:hAnsi="Times New Roman" w:cs="Times New Roman"/>
          <w:lang w:val="en-GB"/>
        </w:rPr>
        <w:t>He</w:t>
      </w:r>
      <w:r w:rsidR="00C75E08" w:rsidRPr="00AF29BF">
        <w:rPr>
          <w:rFonts w:ascii="Times New Roman" w:hAnsi="Times New Roman" w:cs="Times New Roman"/>
          <w:lang w:val="en-GB"/>
        </w:rPr>
        <w:t xml:space="preserve"> </w:t>
      </w:r>
      <w:r w:rsidR="007E7B1B" w:rsidRPr="00AF29BF">
        <w:rPr>
          <w:rFonts w:ascii="Times New Roman" w:hAnsi="Times New Roman" w:cs="Times New Roman"/>
        </w:rPr>
        <w:t>is the manager</w:t>
      </w:r>
      <w:r w:rsidR="00A96696" w:rsidRPr="00AF29BF">
        <w:rPr>
          <w:rFonts w:ascii="Times New Roman" w:hAnsi="Times New Roman" w:cs="Times New Roman"/>
        </w:rPr>
        <w:t>,</w:t>
      </w:r>
      <w:r w:rsidR="007E7B1B" w:rsidRPr="00AF29BF">
        <w:rPr>
          <w:rFonts w:ascii="Times New Roman" w:hAnsi="Times New Roman" w:cs="Times New Roman"/>
        </w:rPr>
        <w:t xml:space="preserve"> with </w:t>
      </w:r>
      <w:r w:rsidR="00A96696" w:rsidRPr="00AF29BF">
        <w:rPr>
          <w:rFonts w:ascii="Times New Roman" w:hAnsi="Times New Roman" w:cs="Times New Roman"/>
        </w:rPr>
        <w:t>the</w:t>
      </w:r>
      <w:r w:rsidR="007E7B1B" w:rsidRPr="00AF29BF">
        <w:rPr>
          <w:rFonts w:ascii="Times New Roman" w:hAnsi="Times New Roman" w:cs="Times New Roman"/>
        </w:rPr>
        <w:t xml:space="preserve"> goal of concluding the trial is the most expedited manner possible. Should either side not comply with the directions given by the </w:t>
      </w:r>
      <w:r w:rsidR="00A96696" w:rsidRPr="00AF29BF">
        <w:rPr>
          <w:rFonts w:ascii="Times New Roman" w:hAnsi="Times New Roman" w:cs="Times New Roman"/>
        </w:rPr>
        <w:t xml:space="preserve">‘manager’, </w:t>
      </w:r>
      <w:r w:rsidR="007E7B1B" w:rsidRPr="00AF29BF">
        <w:rPr>
          <w:rFonts w:ascii="Times New Roman" w:hAnsi="Times New Roman" w:cs="Times New Roman"/>
        </w:rPr>
        <w:t xml:space="preserve">they may face a number of sanctions. </w:t>
      </w:r>
      <w:r w:rsidR="004117DB" w:rsidRPr="00AF29BF">
        <w:rPr>
          <w:rFonts w:ascii="Times New Roman" w:hAnsi="Times New Roman" w:cs="Times New Roman"/>
        </w:rPr>
        <w:t>The Court can fix, postpone, bring forward, cancel or adjourn a hearing. It can make a costs order and finally, it can impose any other sanction as may be appropriate.</w:t>
      </w:r>
      <w:r w:rsidR="004117DB" w:rsidRPr="00AF29BF">
        <w:rPr>
          <w:rStyle w:val="FootnoteReference"/>
          <w:rFonts w:ascii="Times New Roman" w:hAnsi="Times New Roman" w:cs="Times New Roman"/>
        </w:rPr>
        <w:footnoteReference w:id="107"/>
      </w:r>
      <w:r w:rsidR="004117DB" w:rsidRPr="00AF29BF">
        <w:rPr>
          <w:rFonts w:ascii="Times New Roman" w:hAnsi="Times New Roman" w:cs="Times New Roman"/>
        </w:rPr>
        <w:t xml:space="preserve"> In reality, the judiciary can issue </w:t>
      </w:r>
      <w:r w:rsidR="001A37D4" w:rsidRPr="00AF29BF">
        <w:rPr>
          <w:rFonts w:ascii="Times New Roman" w:hAnsi="Times New Roman" w:cs="Times New Roman"/>
        </w:rPr>
        <w:t>any sanction they deem suitable</w:t>
      </w:r>
      <w:r w:rsidR="004117DB" w:rsidRPr="00AF29BF">
        <w:rPr>
          <w:rFonts w:ascii="Times New Roman" w:hAnsi="Times New Roman" w:cs="Times New Roman"/>
        </w:rPr>
        <w:t>.</w:t>
      </w:r>
      <w:r w:rsidR="004117DB" w:rsidRPr="00AF29BF">
        <w:rPr>
          <w:rStyle w:val="FootnoteReference"/>
          <w:rFonts w:ascii="Times New Roman" w:hAnsi="Times New Roman" w:cs="Times New Roman"/>
        </w:rPr>
        <w:footnoteReference w:id="108"/>
      </w:r>
      <w:r w:rsidR="004117DB" w:rsidRPr="00AF29BF">
        <w:rPr>
          <w:rFonts w:ascii="Times New Roman" w:hAnsi="Times New Roman" w:cs="Times New Roman"/>
        </w:rPr>
        <w:t xml:space="preserve"> </w:t>
      </w:r>
    </w:p>
    <w:p w14:paraId="0905F09B" w14:textId="77777777" w:rsidR="004117DB" w:rsidRPr="00AF29BF" w:rsidRDefault="004117DB" w:rsidP="00916253">
      <w:pPr>
        <w:jc w:val="both"/>
        <w:rPr>
          <w:rFonts w:ascii="Times New Roman" w:hAnsi="Times New Roman" w:cs="Times New Roman"/>
        </w:rPr>
      </w:pPr>
    </w:p>
    <w:p w14:paraId="5C932142" w14:textId="1F5938E6" w:rsidR="00581142" w:rsidRPr="00AF29BF" w:rsidRDefault="0018762B" w:rsidP="00916253">
      <w:pPr>
        <w:jc w:val="both"/>
        <w:rPr>
          <w:rFonts w:ascii="Times New Roman" w:hAnsi="Times New Roman" w:cs="Times New Roman"/>
        </w:rPr>
      </w:pPr>
      <w:r w:rsidRPr="00AF29BF">
        <w:rPr>
          <w:rFonts w:ascii="Times New Roman" w:hAnsi="Times New Roman" w:cs="Times New Roman"/>
        </w:rPr>
        <w:t>The</w:t>
      </w:r>
      <w:r w:rsidR="004117DB" w:rsidRPr="00AF29BF">
        <w:rPr>
          <w:rFonts w:ascii="Times New Roman" w:hAnsi="Times New Roman" w:cs="Times New Roman"/>
        </w:rPr>
        <w:t xml:space="preserve"> interventionist judge </w:t>
      </w:r>
      <w:r w:rsidRPr="00AF29BF">
        <w:rPr>
          <w:rFonts w:ascii="Times New Roman" w:hAnsi="Times New Roman" w:cs="Times New Roman"/>
        </w:rPr>
        <w:t>has his goals underpinned by the CPR</w:t>
      </w:r>
      <w:r w:rsidR="00B31740" w:rsidRPr="00AF29BF">
        <w:rPr>
          <w:rFonts w:ascii="Times New Roman" w:hAnsi="Times New Roman" w:cs="Times New Roman"/>
        </w:rPr>
        <w:t>.</w:t>
      </w:r>
      <w:r w:rsidRPr="00AF29BF">
        <w:rPr>
          <w:rFonts w:ascii="Times New Roman" w:hAnsi="Times New Roman" w:cs="Times New Roman"/>
        </w:rPr>
        <w:t xml:space="preserve"> </w:t>
      </w:r>
      <w:r w:rsidR="00B31740" w:rsidRPr="00AF29BF">
        <w:rPr>
          <w:rFonts w:ascii="Times New Roman" w:hAnsi="Times New Roman" w:cs="Times New Roman"/>
        </w:rPr>
        <w:t>T</w:t>
      </w:r>
      <w:r w:rsidRPr="00AF29BF">
        <w:rPr>
          <w:rFonts w:ascii="Times New Roman" w:hAnsi="Times New Roman" w:cs="Times New Roman"/>
        </w:rPr>
        <w:t>he traditional adversarial tri</w:t>
      </w:r>
      <w:r w:rsidR="00B31740" w:rsidRPr="00AF29BF">
        <w:rPr>
          <w:rFonts w:ascii="Times New Roman" w:hAnsi="Times New Roman" w:cs="Times New Roman"/>
        </w:rPr>
        <w:t>al has diminished in importance</w:t>
      </w:r>
      <w:r w:rsidRPr="00AF29BF">
        <w:rPr>
          <w:rFonts w:ascii="Times New Roman" w:hAnsi="Times New Roman" w:cs="Times New Roman"/>
        </w:rPr>
        <w:t xml:space="preserve"> </w:t>
      </w:r>
      <w:r w:rsidR="00B31740" w:rsidRPr="00AF29BF">
        <w:rPr>
          <w:rFonts w:ascii="Times New Roman" w:hAnsi="Times New Roman" w:cs="Times New Roman"/>
        </w:rPr>
        <w:t>and it</w:t>
      </w:r>
      <w:r w:rsidRPr="00AF29BF">
        <w:rPr>
          <w:rFonts w:ascii="Times New Roman" w:hAnsi="Times New Roman" w:cs="Times New Roman"/>
        </w:rPr>
        <w:t xml:space="preserve"> is no longer the forum in which the prosecution and defence zealously represent their clients. With </w:t>
      </w:r>
      <w:r w:rsidR="002A36E3" w:rsidRPr="00AF29BF">
        <w:rPr>
          <w:rFonts w:ascii="Times New Roman" w:hAnsi="Times New Roman" w:cs="Times New Roman"/>
        </w:rPr>
        <w:t xml:space="preserve">the death of the ambush defence, </w:t>
      </w:r>
      <w:r w:rsidRPr="00AF29BF">
        <w:rPr>
          <w:rFonts w:ascii="Times New Roman" w:hAnsi="Times New Roman" w:cs="Times New Roman"/>
        </w:rPr>
        <w:t xml:space="preserve">the creation of both the defence case statement under the s.5 CPIA 1996 and the analogous requirement under the CPR 2013 the adversarial battle has been replaced with each party knowing the ‘real issues’ of the </w:t>
      </w:r>
      <w:r w:rsidR="006B14FF" w:rsidRPr="00AF29BF">
        <w:rPr>
          <w:rFonts w:ascii="Times New Roman" w:hAnsi="Times New Roman" w:cs="Times New Roman"/>
        </w:rPr>
        <w:t>opposition’s</w:t>
      </w:r>
      <w:r w:rsidRPr="00AF29BF">
        <w:rPr>
          <w:rFonts w:ascii="Times New Roman" w:hAnsi="Times New Roman" w:cs="Times New Roman"/>
        </w:rPr>
        <w:t xml:space="preserve"> case. This is in </w:t>
      </w:r>
      <w:r w:rsidR="002A36E3" w:rsidRPr="00AF29BF">
        <w:rPr>
          <w:rFonts w:ascii="Times New Roman" w:hAnsi="Times New Roman" w:cs="Times New Roman"/>
        </w:rPr>
        <w:t xml:space="preserve">stark </w:t>
      </w:r>
      <w:r w:rsidRPr="00AF29BF">
        <w:rPr>
          <w:rFonts w:ascii="Times New Roman" w:hAnsi="Times New Roman" w:cs="Times New Roman"/>
        </w:rPr>
        <w:t>contrast to the development of disclosure regime. Historically</w:t>
      </w:r>
      <w:r w:rsidR="001A37D4" w:rsidRPr="00AF29BF">
        <w:rPr>
          <w:rFonts w:ascii="Times New Roman" w:hAnsi="Times New Roman" w:cs="Times New Roman"/>
        </w:rPr>
        <w:t>,</w:t>
      </w:r>
      <w:r w:rsidRPr="00AF29BF">
        <w:rPr>
          <w:rFonts w:ascii="Times New Roman" w:hAnsi="Times New Roman" w:cs="Times New Roman"/>
        </w:rPr>
        <w:t xml:space="preserve"> disclosure was the antidote to the potential unfairness caused by the inequality of resources between the prosecution and defence.</w:t>
      </w:r>
      <w:r w:rsidRPr="00AF29BF">
        <w:rPr>
          <w:rStyle w:val="FootnoteReference"/>
          <w:rFonts w:ascii="Times New Roman" w:hAnsi="Times New Roman" w:cs="Times New Roman"/>
        </w:rPr>
        <w:footnoteReference w:id="109"/>
      </w:r>
      <w:r w:rsidRPr="00AF29BF">
        <w:rPr>
          <w:rFonts w:ascii="Times New Roman" w:hAnsi="Times New Roman" w:cs="Times New Roman"/>
        </w:rPr>
        <w:t xml:space="preserve"> </w:t>
      </w:r>
      <w:r w:rsidR="006B14FF" w:rsidRPr="00AF29BF">
        <w:rPr>
          <w:rFonts w:ascii="Times New Roman" w:hAnsi="Times New Roman" w:cs="Times New Roman"/>
        </w:rPr>
        <w:t xml:space="preserve">In the modern criminal trial a notion of co-operation permeates through the trial process; </w:t>
      </w:r>
      <w:r w:rsidR="00655262" w:rsidRPr="00AF29BF">
        <w:rPr>
          <w:rFonts w:ascii="Times New Roman" w:hAnsi="Times New Roman" w:cs="Times New Roman"/>
        </w:rPr>
        <w:t xml:space="preserve">illustrated by </w:t>
      </w:r>
      <w:r w:rsidR="001713D5" w:rsidRPr="00AF29BF">
        <w:rPr>
          <w:rFonts w:ascii="Times New Roman" w:hAnsi="Times New Roman" w:cs="Times New Roman"/>
        </w:rPr>
        <w:t xml:space="preserve">the creation </w:t>
      </w:r>
      <w:r w:rsidR="006B14FF" w:rsidRPr="00AF29BF">
        <w:rPr>
          <w:rFonts w:ascii="Times New Roman" w:hAnsi="Times New Roman" w:cs="Times New Roman"/>
        </w:rPr>
        <w:t xml:space="preserve">of timetables and </w:t>
      </w:r>
      <w:r w:rsidR="001713D5" w:rsidRPr="00AF29BF">
        <w:rPr>
          <w:rFonts w:ascii="Times New Roman" w:hAnsi="Times New Roman" w:cs="Times New Roman"/>
        </w:rPr>
        <w:t>each</w:t>
      </w:r>
      <w:r w:rsidR="006B14FF" w:rsidRPr="00AF29BF">
        <w:rPr>
          <w:rFonts w:ascii="Times New Roman" w:hAnsi="Times New Roman" w:cs="Times New Roman"/>
        </w:rPr>
        <w:t xml:space="preserve"> side informing the judiciary of any significant failures by themselves or their opponent. </w:t>
      </w:r>
      <w:r w:rsidR="001713D5" w:rsidRPr="00AF29BF">
        <w:rPr>
          <w:rFonts w:ascii="Times New Roman" w:hAnsi="Times New Roman" w:cs="Times New Roman"/>
        </w:rPr>
        <w:t xml:space="preserve">The </w:t>
      </w:r>
      <w:r w:rsidR="00526D09" w:rsidRPr="00AF29BF">
        <w:rPr>
          <w:rFonts w:ascii="Times New Roman" w:hAnsi="Times New Roman" w:cs="Times New Roman"/>
        </w:rPr>
        <w:t xml:space="preserve">sea </w:t>
      </w:r>
      <w:r w:rsidR="001713D5" w:rsidRPr="00AF29BF">
        <w:rPr>
          <w:rFonts w:ascii="Times New Roman" w:hAnsi="Times New Roman" w:cs="Times New Roman"/>
        </w:rPr>
        <w:t xml:space="preserve">change is clear </w:t>
      </w:r>
      <w:r w:rsidR="00526D09" w:rsidRPr="00AF29BF">
        <w:rPr>
          <w:rFonts w:ascii="Times New Roman" w:hAnsi="Times New Roman" w:cs="Times New Roman"/>
        </w:rPr>
        <w:t>and the evolving role of the judiciary should be viewed through the same lens. It is</w:t>
      </w:r>
      <w:r w:rsidR="001713D5" w:rsidRPr="00AF29BF">
        <w:rPr>
          <w:rFonts w:ascii="Times New Roman" w:hAnsi="Times New Roman" w:cs="Times New Roman"/>
        </w:rPr>
        <w:t xml:space="preserve"> </w:t>
      </w:r>
      <w:r w:rsidR="00655262" w:rsidRPr="00AF29BF">
        <w:rPr>
          <w:rFonts w:ascii="Times New Roman" w:hAnsi="Times New Roman" w:cs="Times New Roman"/>
        </w:rPr>
        <w:t>judiciary</w:t>
      </w:r>
      <w:r w:rsidR="00526D09" w:rsidRPr="00AF29BF">
        <w:rPr>
          <w:rFonts w:ascii="Times New Roman" w:hAnsi="Times New Roman" w:cs="Times New Roman"/>
        </w:rPr>
        <w:t xml:space="preserve"> who allows the sea change by</w:t>
      </w:r>
      <w:r w:rsidR="00655262" w:rsidRPr="00AF29BF">
        <w:rPr>
          <w:rFonts w:ascii="Times New Roman" w:hAnsi="Times New Roman" w:cs="Times New Roman"/>
        </w:rPr>
        <w:t xml:space="preserve"> perform</w:t>
      </w:r>
      <w:r w:rsidR="00526D09" w:rsidRPr="00AF29BF">
        <w:rPr>
          <w:rFonts w:ascii="Times New Roman" w:hAnsi="Times New Roman" w:cs="Times New Roman"/>
        </w:rPr>
        <w:t>ing</w:t>
      </w:r>
      <w:r w:rsidR="001713D5" w:rsidRPr="00AF29BF">
        <w:rPr>
          <w:rFonts w:ascii="Times New Roman" w:hAnsi="Times New Roman" w:cs="Times New Roman"/>
        </w:rPr>
        <w:t xml:space="preserve"> the pivotal role of case manager. The very idea that trials should become more efficient and resources should be saved is admirable and one that should be embraced</w:t>
      </w:r>
      <w:r w:rsidR="00655262" w:rsidRPr="00AF29BF">
        <w:rPr>
          <w:rFonts w:ascii="Times New Roman" w:hAnsi="Times New Roman" w:cs="Times New Roman"/>
        </w:rPr>
        <w:t>.</w:t>
      </w:r>
      <w:r w:rsidR="006068AC" w:rsidRPr="00AF29BF">
        <w:rPr>
          <w:rFonts w:ascii="Times New Roman" w:hAnsi="Times New Roman" w:cs="Times New Roman"/>
        </w:rPr>
        <w:t xml:space="preserve"> </w:t>
      </w:r>
      <w:r w:rsidR="00655262" w:rsidRPr="00AF29BF">
        <w:rPr>
          <w:rFonts w:ascii="Times New Roman" w:hAnsi="Times New Roman" w:cs="Times New Roman"/>
        </w:rPr>
        <w:t>The</w:t>
      </w:r>
      <w:r w:rsidR="006068AC" w:rsidRPr="00AF29BF">
        <w:rPr>
          <w:rFonts w:ascii="Times New Roman" w:hAnsi="Times New Roman" w:cs="Times New Roman"/>
        </w:rPr>
        <w:t xml:space="preserve"> need for </w:t>
      </w:r>
      <w:r w:rsidR="00655262" w:rsidRPr="00AF29BF">
        <w:rPr>
          <w:rFonts w:ascii="Times New Roman" w:hAnsi="Times New Roman" w:cs="Times New Roman"/>
        </w:rPr>
        <w:t>heavy-handed</w:t>
      </w:r>
      <w:r w:rsidR="006068AC" w:rsidRPr="00AF29BF">
        <w:rPr>
          <w:rFonts w:ascii="Times New Roman" w:hAnsi="Times New Roman" w:cs="Times New Roman"/>
        </w:rPr>
        <w:t xml:space="preserve"> judiciary </w:t>
      </w:r>
      <w:r w:rsidR="00655262" w:rsidRPr="00AF29BF">
        <w:rPr>
          <w:rFonts w:ascii="Times New Roman" w:hAnsi="Times New Roman" w:cs="Times New Roman"/>
        </w:rPr>
        <w:t>appears sensible consider</w:t>
      </w:r>
      <w:r w:rsidR="001A37D4" w:rsidRPr="00AF29BF">
        <w:rPr>
          <w:rFonts w:ascii="Times New Roman" w:hAnsi="Times New Roman" w:cs="Times New Roman"/>
        </w:rPr>
        <w:t>ing</w:t>
      </w:r>
      <w:r w:rsidR="00655262" w:rsidRPr="00AF29BF">
        <w:rPr>
          <w:rFonts w:ascii="Times New Roman" w:hAnsi="Times New Roman" w:cs="Times New Roman"/>
        </w:rPr>
        <w:t xml:space="preserve"> each side should be </w:t>
      </w:r>
      <w:r w:rsidR="001A37D4" w:rsidRPr="00AF29BF">
        <w:rPr>
          <w:rFonts w:ascii="Times New Roman" w:hAnsi="Times New Roman" w:cs="Times New Roman"/>
        </w:rPr>
        <w:t>adversaries</w:t>
      </w:r>
      <w:r w:rsidR="00655262" w:rsidRPr="00AF29BF">
        <w:rPr>
          <w:rFonts w:ascii="Times New Roman" w:hAnsi="Times New Roman" w:cs="Times New Roman"/>
        </w:rPr>
        <w:t xml:space="preserve">. The </w:t>
      </w:r>
      <w:r w:rsidR="006068AC" w:rsidRPr="00AF29BF">
        <w:rPr>
          <w:rFonts w:ascii="Times New Roman" w:hAnsi="Times New Roman" w:cs="Times New Roman"/>
        </w:rPr>
        <w:t>overriding objective is to deal with cases justly</w:t>
      </w:r>
      <w:r w:rsidR="006068AC" w:rsidRPr="00AF29BF">
        <w:rPr>
          <w:rStyle w:val="FootnoteReference"/>
          <w:rFonts w:ascii="Times New Roman" w:hAnsi="Times New Roman" w:cs="Times New Roman"/>
        </w:rPr>
        <w:footnoteReference w:id="110"/>
      </w:r>
      <w:r w:rsidR="003032BE" w:rsidRPr="00AF29BF">
        <w:rPr>
          <w:rFonts w:ascii="Times New Roman" w:hAnsi="Times New Roman" w:cs="Times New Roman"/>
        </w:rPr>
        <w:t xml:space="preserve"> and the judiciary has a number of tools available to ensure that goal is met. However, in meeting this goal, the judiciary has to act in a manner that </w:t>
      </w:r>
      <w:r w:rsidR="00B31740" w:rsidRPr="00AF29BF">
        <w:rPr>
          <w:rFonts w:ascii="Times New Roman" w:hAnsi="Times New Roman" w:cs="Times New Roman"/>
        </w:rPr>
        <w:t>is</w:t>
      </w:r>
      <w:r w:rsidR="003032BE" w:rsidRPr="00AF29BF">
        <w:rPr>
          <w:rFonts w:ascii="Times New Roman" w:hAnsi="Times New Roman" w:cs="Times New Roman"/>
        </w:rPr>
        <w:t xml:space="preserve"> distinctly non-adversarial. Having non-adversarial traits in a due process adversarial system appears to </w:t>
      </w:r>
      <w:r w:rsidR="001A37D4" w:rsidRPr="00AF29BF">
        <w:rPr>
          <w:rFonts w:ascii="Times New Roman" w:hAnsi="Times New Roman" w:cs="Times New Roman"/>
        </w:rPr>
        <w:t xml:space="preserve">sit rather </w:t>
      </w:r>
      <w:r w:rsidR="003032BE" w:rsidRPr="00AF29BF">
        <w:rPr>
          <w:rFonts w:ascii="Times New Roman" w:hAnsi="Times New Roman" w:cs="Times New Roman"/>
        </w:rPr>
        <w:t>awkward</w:t>
      </w:r>
      <w:r w:rsidR="001A37D4" w:rsidRPr="00AF29BF">
        <w:rPr>
          <w:rFonts w:ascii="Times New Roman" w:hAnsi="Times New Roman" w:cs="Times New Roman"/>
        </w:rPr>
        <w:t>ly, the meeting of the overriding objective by active case management with an interventionist judiciary is distinctly non-adversarial</w:t>
      </w:r>
      <w:r w:rsidR="003032BE" w:rsidRPr="00AF29BF">
        <w:rPr>
          <w:rFonts w:ascii="Times New Roman" w:hAnsi="Times New Roman" w:cs="Times New Roman"/>
        </w:rPr>
        <w:t xml:space="preserve">. </w:t>
      </w:r>
      <w:r w:rsidR="002A36E3" w:rsidRPr="00AF29BF">
        <w:rPr>
          <w:rFonts w:ascii="Times New Roman" w:hAnsi="Times New Roman" w:cs="Times New Roman"/>
        </w:rPr>
        <w:t xml:space="preserve">Professor </w:t>
      </w:r>
      <w:r w:rsidR="003032BE" w:rsidRPr="00AF29BF">
        <w:rPr>
          <w:rFonts w:ascii="Times New Roman" w:hAnsi="Times New Roman" w:cs="Times New Roman"/>
        </w:rPr>
        <w:t>McEwan suggests that a new ethical code is needed if the criminal justice system is no longer adversarial.</w:t>
      </w:r>
      <w:r w:rsidR="003032BE" w:rsidRPr="00AF29BF">
        <w:rPr>
          <w:rStyle w:val="FootnoteReference"/>
          <w:rFonts w:ascii="Times New Roman" w:hAnsi="Times New Roman" w:cs="Times New Roman"/>
        </w:rPr>
        <w:footnoteReference w:id="111"/>
      </w:r>
      <w:r w:rsidR="003032BE" w:rsidRPr="00AF29BF">
        <w:rPr>
          <w:rFonts w:ascii="Times New Roman" w:hAnsi="Times New Roman" w:cs="Times New Roman"/>
        </w:rPr>
        <w:t xml:space="preserve"> There has been no explicit statement to suggest that adversarialism is abandoned. </w:t>
      </w:r>
      <w:r w:rsidR="001A37D4" w:rsidRPr="00AF29BF">
        <w:rPr>
          <w:rFonts w:ascii="Times New Roman" w:hAnsi="Times New Roman" w:cs="Times New Roman"/>
        </w:rPr>
        <w:t xml:space="preserve">Although perhaps </w:t>
      </w:r>
      <w:r w:rsidR="0052108A" w:rsidRPr="00AF29BF">
        <w:rPr>
          <w:rFonts w:ascii="Times New Roman" w:hAnsi="Times New Roman" w:cs="Times New Roman"/>
        </w:rPr>
        <w:t xml:space="preserve">this has been suggested implicitly; </w:t>
      </w:r>
      <w:r w:rsidR="003032BE" w:rsidRPr="00AF29BF">
        <w:rPr>
          <w:rFonts w:ascii="Times New Roman" w:hAnsi="Times New Roman" w:cs="Times New Roman"/>
        </w:rPr>
        <w:t xml:space="preserve">piecemeal changes </w:t>
      </w:r>
      <w:r w:rsidR="001A37D4" w:rsidRPr="00AF29BF">
        <w:rPr>
          <w:rFonts w:ascii="Times New Roman" w:hAnsi="Times New Roman" w:cs="Times New Roman"/>
        </w:rPr>
        <w:t xml:space="preserve">to the criminal justice process </w:t>
      </w:r>
      <w:r w:rsidR="0052108A" w:rsidRPr="00AF29BF">
        <w:rPr>
          <w:rFonts w:ascii="Times New Roman" w:hAnsi="Times New Roman" w:cs="Times New Roman"/>
        </w:rPr>
        <w:t xml:space="preserve">and increasing significance of </w:t>
      </w:r>
      <w:r w:rsidR="0052108A" w:rsidRPr="00AF29BF">
        <w:rPr>
          <w:rFonts w:ascii="Times New Roman" w:hAnsi="Times New Roman" w:cs="Times New Roman"/>
        </w:rPr>
        <w:lastRenderedPageBreak/>
        <w:t xml:space="preserve">judicial intervention </w:t>
      </w:r>
      <w:r w:rsidR="003032BE" w:rsidRPr="00AF29BF">
        <w:rPr>
          <w:rFonts w:ascii="Times New Roman" w:hAnsi="Times New Roman" w:cs="Times New Roman"/>
        </w:rPr>
        <w:t xml:space="preserve">since the turn of the century </w:t>
      </w:r>
      <w:r w:rsidR="0052108A" w:rsidRPr="00AF29BF">
        <w:rPr>
          <w:rFonts w:ascii="Times New Roman" w:hAnsi="Times New Roman" w:cs="Times New Roman"/>
        </w:rPr>
        <w:t>suggest a new form of process is being created</w:t>
      </w:r>
      <w:r w:rsidR="001A37D4" w:rsidRPr="00AF29BF">
        <w:rPr>
          <w:rFonts w:ascii="Times New Roman" w:hAnsi="Times New Roman" w:cs="Times New Roman"/>
        </w:rPr>
        <w:t>.</w:t>
      </w:r>
      <w:r w:rsidR="00FE0B2D" w:rsidRPr="00AF29BF">
        <w:rPr>
          <w:rFonts w:ascii="Times New Roman" w:hAnsi="Times New Roman" w:cs="Times New Roman"/>
        </w:rPr>
        <w:t xml:space="preserve"> </w:t>
      </w:r>
      <w:r w:rsidR="001A37D4" w:rsidRPr="00AF29BF">
        <w:rPr>
          <w:rFonts w:ascii="Times New Roman" w:hAnsi="Times New Roman" w:cs="Times New Roman"/>
        </w:rPr>
        <w:t xml:space="preserve">A cornerstone of this change </w:t>
      </w:r>
      <w:r w:rsidR="00FE0B2D" w:rsidRPr="00AF29BF">
        <w:rPr>
          <w:rFonts w:ascii="Times New Roman" w:hAnsi="Times New Roman" w:cs="Times New Roman"/>
        </w:rPr>
        <w:t>is the return to th</w:t>
      </w:r>
      <w:r w:rsidR="00B31740" w:rsidRPr="00AF29BF">
        <w:rPr>
          <w:rFonts w:ascii="Times New Roman" w:hAnsi="Times New Roman" w:cs="Times New Roman"/>
        </w:rPr>
        <w:t>e ‘accused speaks’ trial.</w:t>
      </w:r>
      <w:r w:rsidR="00FE0B2D" w:rsidRPr="00AF29BF">
        <w:rPr>
          <w:rFonts w:ascii="Times New Roman" w:hAnsi="Times New Roman" w:cs="Times New Roman"/>
        </w:rPr>
        <w:t xml:space="preserve"> </w:t>
      </w:r>
      <w:r w:rsidR="001A37D4" w:rsidRPr="00AF29BF">
        <w:rPr>
          <w:rFonts w:ascii="Times New Roman" w:hAnsi="Times New Roman" w:cs="Times New Roman"/>
        </w:rPr>
        <w:t>The importance of having the accused speak was best highlighted by the earlier Hawkins quote for ‘[the] guilty, when they speak for themselves, may often help disclose the truth, which probably would not so well be discovered from the artificial defence of others speaking for them.’</w:t>
      </w:r>
      <w:r w:rsidR="001A37D4" w:rsidRPr="00AF29BF">
        <w:rPr>
          <w:rStyle w:val="FootnoteReference"/>
          <w:rFonts w:ascii="Times New Roman" w:hAnsi="Times New Roman" w:cs="Times New Roman"/>
        </w:rPr>
        <w:footnoteReference w:id="112"/>
      </w:r>
      <w:r w:rsidR="001A37D4" w:rsidRPr="00AF29BF">
        <w:rPr>
          <w:rFonts w:ascii="Times New Roman" w:hAnsi="Times New Roman" w:cs="Times New Roman"/>
        </w:rPr>
        <w:t xml:space="preserve"> The interventionist judiciary and the disclosure regime are forcing the accused to talk by having them ‘identify the real issues’ at an early stage.</w:t>
      </w:r>
      <w:r w:rsidR="002A36E3" w:rsidRPr="00AF29BF">
        <w:rPr>
          <w:rFonts w:ascii="Times New Roman" w:hAnsi="Times New Roman" w:cs="Times New Roman"/>
        </w:rPr>
        <w:t xml:space="preserve"> </w:t>
      </w:r>
      <w:r w:rsidR="00FE0B2D" w:rsidRPr="00AF29BF">
        <w:rPr>
          <w:rFonts w:ascii="Times New Roman" w:hAnsi="Times New Roman" w:cs="Times New Roman"/>
        </w:rPr>
        <w:t xml:space="preserve">The culture does not represent a shift in </w:t>
      </w:r>
      <w:r w:rsidR="0052108A" w:rsidRPr="00AF29BF">
        <w:rPr>
          <w:rFonts w:ascii="Times New Roman" w:hAnsi="Times New Roman" w:cs="Times New Roman"/>
        </w:rPr>
        <w:t>process toward inqu</w:t>
      </w:r>
      <w:r w:rsidR="00B0406A" w:rsidRPr="00AF29BF">
        <w:rPr>
          <w:rFonts w:ascii="Times New Roman" w:hAnsi="Times New Roman" w:cs="Times New Roman"/>
        </w:rPr>
        <w:t>isitorialism</w:t>
      </w:r>
      <w:r w:rsidR="00251A69" w:rsidRPr="00AF29BF">
        <w:rPr>
          <w:rFonts w:ascii="Times New Roman" w:hAnsi="Times New Roman" w:cs="Times New Roman"/>
        </w:rPr>
        <w:t xml:space="preserve">. Instead the shift is toward </w:t>
      </w:r>
      <w:r w:rsidR="00B0406A" w:rsidRPr="00AF29BF">
        <w:rPr>
          <w:rFonts w:ascii="Times New Roman" w:hAnsi="Times New Roman" w:cs="Times New Roman"/>
        </w:rPr>
        <w:t>managerialism</w:t>
      </w:r>
      <w:r w:rsidR="000019BC" w:rsidRPr="00AF29BF">
        <w:rPr>
          <w:rFonts w:ascii="Times New Roman" w:hAnsi="Times New Roman" w:cs="Times New Roman"/>
        </w:rPr>
        <w:t xml:space="preserve"> and</w:t>
      </w:r>
      <w:r w:rsidR="00B0406A" w:rsidRPr="00AF29BF">
        <w:rPr>
          <w:rFonts w:ascii="Times New Roman" w:hAnsi="Times New Roman" w:cs="Times New Roman"/>
        </w:rPr>
        <w:t xml:space="preserve"> at the heart of this shift is the interventionist </w:t>
      </w:r>
      <w:r w:rsidR="000019BC" w:rsidRPr="00AF29BF">
        <w:rPr>
          <w:rFonts w:ascii="Times New Roman" w:hAnsi="Times New Roman" w:cs="Times New Roman"/>
        </w:rPr>
        <w:t>judiciary</w:t>
      </w:r>
      <w:r w:rsidR="00251A69" w:rsidRPr="00AF29BF">
        <w:rPr>
          <w:rFonts w:ascii="Times New Roman" w:hAnsi="Times New Roman" w:cs="Times New Roman"/>
        </w:rPr>
        <w:t xml:space="preserve"> who is not merely a pilot, the pendulum has swung and the former pilot has been promoted to </w:t>
      </w:r>
      <w:r w:rsidR="00E22ED4" w:rsidRPr="00AF29BF">
        <w:rPr>
          <w:rFonts w:ascii="Times New Roman" w:hAnsi="Times New Roman" w:cs="Times New Roman"/>
        </w:rPr>
        <w:t xml:space="preserve">a </w:t>
      </w:r>
      <w:r w:rsidR="00655262" w:rsidRPr="00AF29BF">
        <w:rPr>
          <w:rFonts w:ascii="Times New Roman" w:hAnsi="Times New Roman" w:cs="Times New Roman"/>
        </w:rPr>
        <w:t xml:space="preserve">General. </w:t>
      </w:r>
    </w:p>
    <w:p w14:paraId="5176211C" w14:textId="77777777" w:rsidR="00DA04EF" w:rsidRPr="00AF29BF" w:rsidRDefault="00DA04EF" w:rsidP="00916253">
      <w:pPr>
        <w:jc w:val="both"/>
        <w:rPr>
          <w:rFonts w:ascii="Times New Roman" w:hAnsi="Times New Roman" w:cs="Times New Roman"/>
        </w:rPr>
      </w:pPr>
    </w:p>
    <w:p w14:paraId="7EECCB73" w14:textId="334FA299" w:rsidR="00916253" w:rsidRPr="00AF29BF" w:rsidRDefault="00916253" w:rsidP="00916253">
      <w:pPr>
        <w:jc w:val="both"/>
        <w:rPr>
          <w:rFonts w:ascii="Times New Roman" w:hAnsi="Times New Roman" w:cs="Times New Roman"/>
        </w:rPr>
      </w:pPr>
      <w:r w:rsidRPr="00AF29BF">
        <w:rPr>
          <w:rFonts w:ascii="Times New Roman" w:hAnsi="Times New Roman" w:cs="Times New Roman"/>
        </w:rPr>
        <w:t>Total Word Count (excluding foo</w:t>
      </w:r>
      <w:r w:rsidR="00D51E95">
        <w:rPr>
          <w:rFonts w:ascii="Times New Roman" w:hAnsi="Times New Roman" w:cs="Times New Roman"/>
        </w:rPr>
        <w:t xml:space="preserve">tnotes): </w:t>
      </w:r>
      <w:r w:rsidR="00D867C4">
        <w:rPr>
          <w:rFonts w:ascii="Times New Roman" w:hAnsi="Times New Roman" w:cs="Times New Roman"/>
        </w:rPr>
        <w:t>6,704</w:t>
      </w:r>
    </w:p>
    <w:p w14:paraId="2763E776" w14:textId="77777777" w:rsidR="00916253" w:rsidRPr="00AF29BF" w:rsidRDefault="00916253" w:rsidP="00916253">
      <w:pPr>
        <w:jc w:val="both"/>
        <w:rPr>
          <w:rFonts w:ascii="Times New Roman" w:hAnsi="Times New Roman" w:cs="Times New Roman"/>
        </w:rPr>
      </w:pPr>
    </w:p>
    <w:p w14:paraId="044B455D" w14:textId="0EE48653" w:rsidR="00916253" w:rsidRPr="00AF29BF" w:rsidRDefault="00916253" w:rsidP="00916253">
      <w:pPr>
        <w:jc w:val="both"/>
        <w:rPr>
          <w:rFonts w:ascii="Times New Roman" w:hAnsi="Times New Roman" w:cs="Times New Roman"/>
        </w:rPr>
      </w:pPr>
      <w:r w:rsidRPr="00AF29BF">
        <w:rPr>
          <w:rFonts w:ascii="Times New Roman" w:hAnsi="Times New Roman" w:cs="Times New Roman"/>
        </w:rPr>
        <w:t>Total Wor</w:t>
      </w:r>
      <w:r w:rsidR="00D867C4">
        <w:rPr>
          <w:rFonts w:ascii="Times New Roman" w:hAnsi="Times New Roman" w:cs="Times New Roman"/>
        </w:rPr>
        <w:t>d Count (including footnotes): 8,</w:t>
      </w:r>
      <w:r w:rsidR="000B14E7">
        <w:rPr>
          <w:rFonts w:ascii="Times New Roman" w:hAnsi="Times New Roman" w:cs="Times New Roman"/>
        </w:rPr>
        <w:t>016</w:t>
      </w:r>
    </w:p>
    <w:p w14:paraId="136FC4C9" w14:textId="77777777" w:rsidR="00581142" w:rsidRPr="00AF29BF" w:rsidRDefault="00581142" w:rsidP="00916253">
      <w:pPr>
        <w:jc w:val="both"/>
        <w:rPr>
          <w:rFonts w:ascii="Times New Roman" w:hAnsi="Times New Roman" w:cs="Times New Roman"/>
        </w:rPr>
      </w:pPr>
    </w:p>
    <w:p w14:paraId="737B3F5C" w14:textId="77777777" w:rsidR="00123C5D" w:rsidRPr="00AF29BF" w:rsidRDefault="00123C5D" w:rsidP="00916253">
      <w:pPr>
        <w:jc w:val="both"/>
        <w:rPr>
          <w:rFonts w:ascii="Times New Roman" w:hAnsi="Times New Roman" w:cs="Times New Roman"/>
        </w:rPr>
      </w:pPr>
    </w:p>
    <w:p w14:paraId="7FD9FE4F" w14:textId="77777777" w:rsidR="00123C5D" w:rsidRPr="00AF29BF" w:rsidRDefault="00123C5D" w:rsidP="00916253">
      <w:pPr>
        <w:jc w:val="both"/>
        <w:rPr>
          <w:rFonts w:ascii="Times New Roman" w:hAnsi="Times New Roman" w:cs="Times New Roman"/>
        </w:rPr>
      </w:pPr>
    </w:p>
    <w:p w14:paraId="58EB3A0F" w14:textId="165F431A" w:rsidR="00123C5D" w:rsidRPr="00AF29BF" w:rsidRDefault="00D2222D" w:rsidP="00916253">
      <w:pPr>
        <w:jc w:val="both"/>
        <w:rPr>
          <w:rFonts w:ascii="Times New Roman" w:hAnsi="Times New Roman" w:cs="Times New Roman"/>
        </w:rPr>
      </w:pPr>
      <w:r>
        <w:rPr>
          <w:rFonts w:ascii="Times New Roman" w:hAnsi="Times New Roman" w:cs="Times New Roman"/>
        </w:rPr>
        <w:t xml:space="preserve">Keywords: </w:t>
      </w:r>
      <w:r w:rsidRPr="00D2222D">
        <w:rPr>
          <w:rFonts w:ascii="Times New Roman" w:hAnsi="Times New Roman" w:cs="Times New Roman"/>
          <w:i/>
        </w:rPr>
        <w:t>Criminal Procedure Rules, Adversarialism, Managerialism,</w:t>
      </w:r>
      <w:r>
        <w:rPr>
          <w:rFonts w:ascii="Times New Roman" w:hAnsi="Times New Roman" w:cs="Times New Roman"/>
          <w:i/>
        </w:rPr>
        <w:t xml:space="preserve"> Judiciary</w:t>
      </w:r>
      <w:bookmarkStart w:id="0" w:name="_GoBack"/>
      <w:bookmarkEnd w:id="0"/>
      <w:r>
        <w:rPr>
          <w:rFonts w:ascii="Times New Roman" w:hAnsi="Times New Roman" w:cs="Times New Roman"/>
          <w:i/>
        </w:rPr>
        <w:t xml:space="preserve"> </w:t>
      </w:r>
    </w:p>
    <w:sectPr w:rsidR="00123C5D" w:rsidRPr="00AF29BF" w:rsidSect="00CD29DF">
      <w:footerReference w:type="even" r:id="rId9"/>
      <w:footerReference w:type="default" r:id="rId10"/>
      <w:pgSz w:w="11900" w:h="16840"/>
      <w:pgMar w:top="1440" w:right="1800" w:bottom="1440" w:left="1800" w:header="708" w:footer="708"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245E94" w15:done="0"/>
  <w15:commentEx w15:paraId="2738B432" w15:done="0"/>
  <w15:commentEx w15:paraId="3F8F4ACF" w15:done="0"/>
  <w15:commentEx w15:paraId="0E0BF986" w15:done="0"/>
  <w15:commentEx w15:paraId="6D50AA2E" w15:done="0"/>
  <w15:commentEx w15:paraId="52DA0C08" w15:done="0"/>
  <w15:commentEx w15:paraId="2DC6E69E" w15:done="0"/>
  <w15:commentEx w15:paraId="2A8165F8" w15:done="0"/>
  <w15:commentEx w15:paraId="0F538EE0" w15:done="0"/>
  <w15:commentEx w15:paraId="3D3B0464" w15:done="0"/>
  <w15:commentEx w15:paraId="195048CC" w15:done="0"/>
  <w15:commentEx w15:paraId="20A623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6F0E4" w14:textId="77777777" w:rsidR="00F2530B" w:rsidRDefault="00F2530B" w:rsidP="00EE4E18">
      <w:r>
        <w:separator/>
      </w:r>
    </w:p>
  </w:endnote>
  <w:endnote w:type="continuationSeparator" w:id="0">
    <w:p w14:paraId="1298A7A5" w14:textId="77777777" w:rsidR="00F2530B" w:rsidRDefault="00F2530B" w:rsidP="00EE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0E644" w14:textId="77777777" w:rsidR="009C1B8E" w:rsidRDefault="009C1B8E" w:rsidP="00CD29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FC0963" w14:textId="77777777" w:rsidR="009C1B8E" w:rsidRDefault="009C1B8E" w:rsidP="00CD29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82C4A" w14:textId="77777777" w:rsidR="009C1B8E" w:rsidRDefault="009C1B8E" w:rsidP="00CD29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222D">
      <w:rPr>
        <w:rStyle w:val="PageNumber"/>
        <w:noProof/>
      </w:rPr>
      <w:t>15</w:t>
    </w:r>
    <w:r>
      <w:rPr>
        <w:rStyle w:val="PageNumber"/>
      </w:rPr>
      <w:fldChar w:fldCharType="end"/>
    </w:r>
  </w:p>
  <w:p w14:paraId="63A699D3" w14:textId="77777777" w:rsidR="009C1B8E" w:rsidRDefault="009C1B8E" w:rsidP="00CD29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D5A56" w14:textId="77777777" w:rsidR="00F2530B" w:rsidRDefault="00F2530B" w:rsidP="00EE4E18">
      <w:r>
        <w:separator/>
      </w:r>
    </w:p>
  </w:footnote>
  <w:footnote w:type="continuationSeparator" w:id="0">
    <w:p w14:paraId="33B95ABE" w14:textId="77777777" w:rsidR="00F2530B" w:rsidRDefault="00F2530B" w:rsidP="00EE4E18">
      <w:r>
        <w:continuationSeparator/>
      </w:r>
    </w:p>
  </w:footnote>
  <w:footnote w:id="1">
    <w:p w14:paraId="475164F5" w14:textId="0A40A859" w:rsidR="0029093A" w:rsidRPr="000B14E7" w:rsidRDefault="0029093A" w:rsidP="000B14E7">
      <w:pPr>
        <w:pStyle w:val="FootnoteText"/>
        <w:jc w:val="both"/>
        <w:rPr>
          <w:rFonts w:ascii="Times New Roman" w:hAnsi="Times New Roman" w:cs="Times New Roman"/>
          <w:sz w:val="20"/>
          <w:szCs w:val="20"/>
          <w:lang w:val="en-GB"/>
        </w:rPr>
      </w:pPr>
      <w:r w:rsidRPr="000B14E7">
        <w:rPr>
          <w:rStyle w:val="FootnoteReference"/>
          <w:rFonts w:ascii="Times New Roman" w:hAnsi="Times New Roman" w:cs="Times New Roman"/>
          <w:sz w:val="20"/>
          <w:szCs w:val="20"/>
        </w:rPr>
        <w:sym w:font="Symbol" w:char="F02A"/>
      </w:r>
      <w:r w:rsidRPr="000B14E7">
        <w:rPr>
          <w:rFonts w:ascii="Times New Roman" w:hAnsi="Times New Roman" w:cs="Times New Roman"/>
          <w:sz w:val="20"/>
          <w:szCs w:val="20"/>
        </w:rPr>
        <w:t xml:space="preserve"> </w:t>
      </w:r>
      <w:proofErr w:type="gramStart"/>
      <w:r w:rsidRPr="000B14E7">
        <w:rPr>
          <w:rFonts w:ascii="Times New Roman" w:hAnsi="Times New Roman" w:cs="Times New Roman"/>
          <w:sz w:val="20"/>
          <w:szCs w:val="20"/>
          <w:lang w:val="en-GB"/>
        </w:rPr>
        <w:t>Senior Lecturer in Law, Bristol Law School, Uni</w:t>
      </w:r>
      <w:r w:rsidR="000B14E7" w:rsidRPr="000B14E7">
        <w:rPr>
          <w:rFonts w:ascii="Times New Roman" w:hAnsi="Times New Roman" w:cs="Times New Roman"/>
          <w:sz w:val="20"/>
          <w:szCs w:val="20"/>
          <w:lang w:val="en-GB"/>
        </w:rPr>
        <w:t>versity of the West of England.</w:t>
      </w:r>
      <w:proofErr w:type="gramEnd"/>
      <w:r w:rsidR="000B14E7" w:rsidRPr="000B14E7">
        <w:rPr>
          <w:rFonts w:ascii="Times New Roman" w:hAnsi="Times New Roman" w:cs="Times New Roman"/>
          <w:sz w:val="20"/>
          <w:szCs w:val="20"/>
          <w:lang w:val="en-GB"/>
        </w:rPr>
        <w:t xml:space="preserve"> The author would like to thank Richard Edwards and Daniel Jasinski for their perceptive comments on an earlier draft. </w:t>
      </w:r>
    </w:p>
  </w:footnote>
  <w:footnote w:id="2">
    <w:p w14:paraId="402BBCEF" w14:textId="601CB931"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J.H. </w:t>
      </w:r>
      <w:proofErr w:type="spellStart"/>
      <w:r w:rsidRPr="005D348D">
        <w:rPr>
          <w:rFonts w:ascii="Times New Roman" w:hAnsi="Times New Roman" w:cs="Times New Roman"/>
          <w:sz w:val="20"/>
          <w:szCs w:val="20"/>
        </w:rPr>
        <w:t>Langbein</w:t>
      </w:r>
      <w:proofErr w:type="spellEnd"/>
      <w:r w:rsidRPr="005D348D">
        <w:rPr>
          <w:rFonts w:ascii="Times New Roman" w:hAnsi="Times New Roman" w:cs="Times New Roman"/>
          <w:sz w:val="20"/>
          <w:szCs w:val="20"/>
        </w:rPr>
        <w:t xml:space="preserve">, </w:t>
      </w:r>
      <w:r w:rsidRPr="005D348D">
        <w:rPr>
          <w:rFonts w:ascii="Times New Roman" w:hAnsi="Times New Roman" w:cs="Times New Roman"/>
          <w:i/>
          <w:sz w:val="20"/>
          <w:szCs w:val="20"/>
        </w:rPr>
        <w:t>The Origins of the Adversary Criminal Trial</w:t>
      </w:r>
      <w:r w:rsidRPr="005D348D">
        <w:rPr>
          <w:rFonts w:ascii="Times New Roman" w:hAnsi="Times New Roman" w:cs="Times New Roman"/>
          <w:sz w:val="20"/>
          <w:szCs w:val="20"/>
        </w:rPr>
        <w:t>, 2003, (Oxford: Oxford University Press) p.13.</w:t>
      </w:r>
    </w:p>
  </w:footnote>
  <w:footnote w:id="3">
    <w:p w14:paraId="45F284DD" w14:textId="6A007B19"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T. Smith, </w:t>
      </w:r>
      <w:r w:rsidRPr="005D348D">
        <w:rPr>
          <w:rFonts w:ascii="Times New Roman" w:hAnsi="Times New Roman" w:cs="Times New Roman"/>
          <w:i/>
          <w:sz w:val="20"/>
          <w:szCs w:val="20"/>
        </w:rPr>
        <w:t xml:space="preserve">De </w:t>
      </w:r>
      <w:proofErr w:type="spellStart"/>
      <w:r w:rsidRPr="005D348D">
        <w:rPr>
          <w:rFonts w:ascii="Times New Roman" w:hAnsi="Times New Roman" w:cs="Times New Roman"/>
          <w:i/>
          <w:sz w:val="20"/>
          <w:szCs w:val="20"/>
        </w:rPr>
        <w:t>Republica</w:t>
      </w:r>
      <w:proofErr w:type="spellEnd"/>
      <w:r w:rsidRPr="005D348D">
        <w:rPr>
          <w:rFonts w:ascii="Times New Roman" w:hAnsi="Times New Roman" w:cs="Times New Roman"/>
          <w:i/>
          <w:sz w:val="20"/>
          <w:szCs w:val="20"/>
        </w:rPr>
        <w:t xml:space="preserve"> </w:t>
      </w:r>
      <w:proofErr w:type="spellStart"/>
      <w:r w:rsidRPr="005D348D">
        <w:rPr>
          <w:rFonts w:ascii="Times New Roman" w:hAnsi="Times New Roman" w:cs="Times New Roman"/>
          <w:i/>
          <w:sz w:val="20"/>
          <w:szCs w:val="20"/>
        </w:rPr>
        <w:t>Anglorum</w:t>
      </w:r>
      <w:proofErr w:type="spellEnd"/>
      <w:r w:rsidRPr="005D348D">
        <w:rPr>
          <w:rFonts w:ascii="Times New Roman" w:hAnsi="Times New Roman" w:cs="Times New Roman"/>
          <w:i/>
          <w:sz w:val="20"/>
          <w:szCs w:val="20"/>
        </w:rPr>
        <w:t xml:space="preserve"> </w:t>
      </w:r>
      <w:r w:rsidRPr="005D348D">
        <w:rPr>
          <w:rFonts w:ascii="Times New Roman" w:hAnsi="Times New Roman" w:cs="Times New Roman"/>
          <w:sz w:val="20"/>
          <w:szCs w:val="20"/>
        </w:rPr>
        <w:t xml:space="preserve">(Mary Dewar </w:t>
      </w:r>
      <w:proofErr w:type="spellStart"/>
      <w:proofErr w:type="gramStart"/>
      <w:r w:rsidRPr="005D348D">
        <w:rPr>
          <w:rFonts w:ascii="Times New Roman" w:hAnsi="Times New Roman" w:cs="Times New Roman"/>
          <w:sz w:val="20"/>
          <w:szCs w:val="20"/>
        </w:rPr>
        <w:t>ed</w:t>
      </w:r>
      <w:proofErr w:type="spellEnd"/>
      <w:proofErr w:type="gramEnd"/>
      <w:r w:rsidRPr="005D348D">
        <w:rPr>
          <w:rFonts w:ascii="Times New Roman" w:hAnsi="Times New Roman" w:cs="Times New Roman"/>
          <w:sz w:val="20"/>
          <w:szCs w:val="20"/>
        </w:rPr>
        <w:t>) (1982) (1</w:t>
      </w:r>
      <w:r w:rsidRPr="005D348D">
        <w:rPr>
          <w:rFonts w:ascii="Times New Roman" w:hAnsi="Times New Roman" w:cs="Times New Roman"/>
          <w:sz w:val="20"/>
          <w:szCs w:val="20"/>
          <w:vertAlign w:val="superscript"/>
        </w:rPr>
        <w:t>st</w:t>
      </w:r>
      <w:r w:rsidRPr="005D348D">
        <w:rPr>
          <w:rFonts w:ascii="Times New Roman" w:hAnsi="Times New Roman" w:cs="Times New Roman"/>
          <w:sz w:val="20"/>
          <w:szCs w:val="20"/>
        </w:rPr>
        <w:t xml:space="preserve"> Edition 1583, written c.1565) as cited in </w:t>
      </w:r>
      <w:r w:rsidRPr="005D348D">
        <w:rPr>
          <w:rFonts w:ascii="Times New Roman" w:hAnsi="Times New Roman" w:cs="Times New Roman"/>
          <w:i/>
          <w:sz w:val="20"/>
          <w:szCs w:val="20"/>
        </w:rPr>
        <w:t>ibid</w:t>
      </w:r>
      <w:r w:rsidRPr="005D348D">
        <w:rPr>
          <w:rFonts w:ascii="Times New Roman" w:hAnsi="Times New Roman" w:cs="Times New Roman"/>
          <w:sz w:val="20"/>
          <w:szCs w:val="20"/>
        </w:rPr>
        <w:t xml:space="preserve"> p.14. </w:t>
      </w:r>
    </w:p>
  </w:footnote>
  <w:footnote w:id="4">
    <w:p w14:paraId="483804DB" w14:textId="6774D87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J.M. Beattie, ‘Scales of Justice: Defense Counsel and the English Criminal Trial in the Eighteenth and Nineteenth Centuries, 9 Law &amp; Hist. Rev. 221 (1991) at p.222.</w:t>
      </w:r>
    </w:p>
  </w:footnote>
  <w:footnote w:id="5">
    <w:p w14:paraId="11A7F82E" w14:textId="44161674"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ibid</w:t>
      </w:r>
      <w:r w:rsidRPr="005D348D">
        <w:rPr>
          <w:rFonts w:ascii="Times New Roman" w:hAnsi="Times New Roman" w:cs="Times New Roman"/>
          <w:sz w:val="20"/>
          <w:szCs w:val="20"/>
        </w:rPr>
        <w:t xml:space="preserve"> p.222.</w:t>
      </w:r>
      <w:proofErr w:type="gramEnd"/>
    </w:p>
  </w:footnote>
  <w:footnote w:id="6">
    <w:p w14:paraId="6797DD5C" w14:textId="701DC728"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supra</w:t>
      </w:r>
      <w:proofErr w:type="gramEnd"/>
      <w:r w:rsidRPr="005D348D">
        <w:rPr>
          <w:rFonts w:ascii="Times New Roman" w:hAnsi="Times New Roman" w:cs="Times New Roman"/>
          <w:i/>
          <w:sz w:val="20"/>
          <w:szCs w:val="20"/>
        </w:rPr>
        <w:t xml:space="preserve"> </w:t>
      </w:r>
      <w:r w:rsidRPr="005D348D">
        <w:rPr>
          <w:rFonts w:ascii="Times New Roman" w:hAnsi="Times New Roman" w:cs="Times New Roman"/>
          <w:sz w:val="20"/>
          <w:szCs w:val="20"/>
        </w:rPr>
        <w:t>n.1 at p.21.</w:t>
      </w:r>
    </w:p>
  </w:footnote>
  <w:footnote w:id="7">
    <w:p w14:paraId="3B6FDD96" w14:textId="4FD5793B"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ibid</w:t>
      </w:r>
      <w:r w:rsidRPr="005D348D">
        <w:rPr>
          <w:rFonts w:ascii="Times New Roman" w:hAnsi="Times New Roman" w:cs="Times New Roman"/>
          <w:sz w:val="20"/>
          <w:szCs w:val="20"/>
        </w:rPr>
        <w:t xml:space="preserve"> p.16.</w:t>
      </w:r>
      <w:proofErr w:type="gramEnd"/>
    </w:p>
  </w:footnote>
  <w:footnote w:id="8">
    <w:p w14:paraId="2199A415" w14:textId="3BB3ABA5"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ibid</w:t>
      </w:r>
      <w:r w:rsidRPr="005D348D">
        <w:rPr>
          <w:rFonts w:ascii="Times New Roman" w:hAnsi="Times New Roman" w:cs="Times New Roman"/>
          <w:sz w:val="20"/>
          <w:szCs w:val="20"/>
        </w:rPr>
        <w:t xml:space="preserve"> p.14.</w:t>
      </w:r>
      <w:proofErr w:type="gramEnd"/>
    </w:p>
  </w:footnote>
  <w:footnote w:id="9">
    <w:p w14:paraId="5E8FD5C8" w14:textId="58F46B59"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r w:rsidRPr="005D348D">
        <w:rPr>
          <w:rFonts w:ascii="Times New Roman" w:hAnsi="Times New Roman" w:cs="Times New Roman"/>
          <w:i/>
          <w:sz w:val="20"/>
          <w:szCs w:val="20"/>
        </w:rPr>
        <w:t xml:space="preserve">R v Nicholas Throckmorton, </w:t>
      </w:r>
      <w:r w:rsidRPr="005D348D">
        <w:rPr>
          <w:rFonts w:ascii="Times New Roman" w:hAnsi="Times New Roman" w:cs="Times New Roman"/>
          <w:sz w:val="20"/>
          <w:szCs w:val="20"/>
        </w:rPr>
        <w:t xml:space="preserve">1 St. </w:t>
      </w:r>
      <w:proofErr w:type="spellStart"/>
      <w:proofErr w:type="gramStart"/>
      <w:r w:rsidRPr="005D348D">
        <w:rPr>
          <w:rFonts w:ascii="Times New Roman" w:hAnsi="Times New Roman" w:cs="Times New Roman"/>
          <w:sz w:val="20"/>
          <w:szCs w:val="20"/>
        </w:rPr>
        <w:t>Tr</w:t>
      </w:r>
      <w:proofErr w:type="spellEnd"/>
      <w:proofErr w:type="gramEnd"/>
      <w:r w:rsidRPr="005D348D">
        <w:rPr>
          <w:rFonts w:ascii="Times New Roman" w:hAnsi="Times New Roman" w:cs="Times New Roman"/>
          <w:sz w:val="20"/>
          <w:szCs w:val="20"/>
        </w:rPr>
        <w:t xml:space="preserve"> 869 (1554). </w:t>
      </w:r>
    </w:p>
  </w:footnote>
  <w:footnote w:id="10">
    <w:p w14:paraId="665D3463" w14:textId="3D6BCABC"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 xml:space="preserve">Supra </w:t>
      </w:r>
      <w:r w:rsidRPr="005D348D">
        <w:rPr>
          <w:rFonts w:ascii="Times New Roman" w:hAnsi="Times New Roman" w:cs="Times New Roman"/>
          <w:sz w:val="20"/>
          <w:szCs w:val="20"/>
        </w:rPr>
        <w:t>n.1 at p.15.</w:t>
      </w:r>
      <w:proofErr w:type="gramEnd"/>
    </w:p>
  </w:footnote>
  <w:footnote w:id="11">
    <w:p w14:paraId="47D8DADD" w14:textId="1A55EC0C"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 xml:space="preserve">ibid </w:t>
      </w:r>
      <w:r w:rsidRPr="005D348D">
        <w:rPr>
          <w:rFonts w:ascii="Times New Roman" w:hAnsi="Times New Roman" w:cs="Times New Roman"/>
          <w:sz w:val="20"/>
          <w:szCs w:val="20"/>
        </w:rPr>
        <w:t>at p.26.</w:t>
      </w:r>
      <w:proofErr w:type="gramEnd"/>
    </w:p>
  </w:footnote>
  <w:footnote w:id="12">
    <w:p w14:paraId="23FBED77" w14:textId="3B9FEA9E"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supra</w:t>
      </w:r>
      <w:proofErr w:type="gramEnd"/>
      <w:r w:rsidRPr="005D348D">
        <w:rPr>
          <w:rFonts w:ascii="Times New Roman" w:hAnsi="Times New Roman" w:cs="Times New Roman"/>
          <w:i/>
          <w:sz w:val="20"/>
          <w:szCs w:val="20"/>
        </w:rPr>
        <w:t xml:space="preserve"> </w:t>
      </w:r>
      <w:r w:rsidRPr="005D348D">
        <w:rPr>
          <w:rFonts w:ascii="Times New Roman" w:hAnsi="Times New Roman" w:cs="Times New Roman"/>
          <w:sz w:val="20"/>
          <w:szCs w:val="20"/>
        </w:rPr>
        <w:t>n.3 (1991) at p.222.</w:t>
      </w:r>
    </w:p>
  </w:footnote>
  <w:footnote w:id="13">
    <w:p w14:paraId="78EAEBDE" w14:textId="1FA60478" w:rsidR="009C1B8E" w:rsidRPr="005D348D" w:rsidRDefault="009C1B8E" w:rsidP="005D348D">
      <w:pPr>
        <w:pStyle w:val="FootnoteText"/>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lang w:val="en-GB"/>
        </w:rPr>
        <w:t xml:space="preserve">ibid </w:t>
      </w:r>
      <w:r w:rsidRPr="005D348D">
        <w:rPr>
          <w:rFonts w:ascii="Times New Roman" w:hAnsi="Times New Roman" w:cs="Times New Roman"/>
          <w:sz w:val="20"/>
          <w:szCs w:val="20"/>
          <w:lang w:val="en-GB"/>
        </w:rPr>
        <w:t>at p.227.</w:t>
      </w:r>
      <w:proofErr w:type="gramEnd"/>
    </w:p>
  </w:footnote>
  <w:footnote w:id="14">
    <w:p w14:paraId="7B117DB8" w14:textId="25325F9D"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i/>
          <w:sz w:val="20"/>
          <w:szCs w:val="20"/>
        </w:rPr>
        <w:t xml:space="preserve"> </w:t>
      </w:r>
      <w:proofErr w:type="gramStart"/>
      <w:r w:rsidRPr="005D348D">
        <w:rPr>
          <w:rFonts w:ascii="Times New Roman" w:hAnsi="Times New Roman" w:cs="Times New Roman"/>
          <w:i/>
          <w:sz w:val="20"/>
          <w:szCs w:val="20"/>
        </w:rPr>
        <w:t>Ibid at</w:t>
      </w:r>
      <w:r w:rsidRPr="005D348D">
        <w:rPr>
          <w:rFonts w:ascii="Times New Roman" w:hAnsi="Times New Roman" w:cs="Times New Roman"/>
          <w:sz w:val="20"/>
          <w:szCs w:val="20"/>
        </w:rPr>
        <w:t xml:space="preserve"> p.222.</w:t>
      </w:r>
      <w:proofErr w:type="gramEnd"/>
    </w:p>
  </w:footnote>
  <w:footnote w:id="15">
    <w:p w14:paraId="4708CA03" w14:textId="570800FC"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A felony was a deemed a serious crime that could be punishable by death. </w:t>
      </w:r>
    </w:p>
  </w:footnote>
  <w:footnote w:id="16">
    <w:p w14:paraId="1ACE9DA2" w14:textId="4AD594A6"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supra</w:t>
      </w:r>
      <w:proofErr w:type="gramEnd"/>
      <w:r w:rsidRPr="005D348D">
        <w:rPr>
          <w:rFonts w:ascii="Times New Roman" w:hAnsi="Times New Roman" w:cs="Times New Roman"/>
          <w:i/>
          <w:sz w:val="20"/>
          <w:szCs w:val="20"/>
        </w:rPr>
        <w:t xml:space="preserve"> </w:t>
      </w:r>
      <w:r w:rsidRPr="005D348D">
        <w:rPr>
          <w:rFonts w:ascii="Times New Roman" w:hAnsi="Times New Roman" w:cs="Times New Roman"/>
          <w:sz w:val="20"/>
          <w:szCs w:val="20"/>
        </w:rPr>
        <w:t xml:space="preserve">n.3 at p.98. </w:t>
      </w:r>
    </w:p>
  </w:footnote>
  <w:footnote w:id="17">
    <w:p w14:paraId="03820488" w14:textId="37940679"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supra</w:t>
      </w:r>
      <w:proofErr w:type="gramEnd"/>
      <w:r w:rsidRPr="005D348D">
        <w:rPr>
          <w:rFonts w:ascii="Times New Roman" w:hAnsi="Times New Roman" w:cs="Times New Roman"/>
          <w:sz w:val="20"/>
          <w:szCs w:val="20"/>
        </w:rPr>
        <w:t xml:space="preserve"> n.1 at p.99.</w:t>
      </w:r>
    </w:p>
  </w:footnote>
  <w:footnote w:id="18">
    <w:p w14:paraId="5CBDB673" w14:textId="30A973AC" w:rsidR="009C1B8E" w:rsidRPr="005D348D" w:rsidRDefault="009C1B8E" w:rsidP="005D348D">
      <w:pPr>
        <w:pStyle w:val="FootnoteText"/>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r w:rsidRPr="005D348D">
        <w:rPr>
          <w:rFonts w:ascii="Times New Roman" w:hAnsi="Times New Roman" w:cs="Times New Roman"/>
          <w:sz w:val="20"/>
          <w:szCs w:val="20"/>
          <w:lang w:val="en-GB"/>
        </w:rPr>
        <w:t xml:space="preserve">The Popish Plot rested on the testimony of Titus Oates. He alleged an extensive Catholic conspiracy existed to assassinate King Charles II. His accusations led the execution of twenty two men. Oates’ web of lies eventually fell apart and he was arrested and convicted of perjury. </w:t>
      </w:r>
    </w:p>
  </w:footnote>
  <w:footnote w:id="19">
    <w:p w14:paraId="08C44899" w14:textId="22972941" w:rsidR="009C1B8E" w:rsidRPr="005D348D" w:rsidRDefault="009C1B8E" w:rsidP="005D348D">
      <w:pPr>
        <w:pStyle w:val="FootnoteText"/>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 xml:space="preserve">Supra </w:t>
      </w:r>
      <w:r w:rsidRPr="005D348D">
        <w:rPr>
          <w:rFonts w:ascii="Times New Roman" w:hAnsi="Times New Roman" w:cs="Times New Roman"/>
          <w:sz w:val="20"/>
          <w:szCs w:val="20"/>
        </w:rPr>
        <w:t>n.1 at p.36.</w:t>
      </w:r>
      <w:proofErr w:type="gramEnd"/>
    </w:p>
  </w:footnote>
  <w:footnote w:id="20">
    <w:p w14:paraId="5D3872AC" w14:textId="333DB511"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J. F. Stephen, </w:t>
      </w:r>
      <w:r w:rsidRPr="005D348D">
        <w:rPr>
          <w:rFonts w:ascii="Times New Roman" w:hAnsi="Times New Roman" w:cs="Times New Roman"/>
          <w:i/>
          <w:sz w:val="20"/>
          <w:szCs w:val="20"/>
        </w:rPr>
        <w:t>A History of the Criminal Law of England, Volume 1, (</w:t>
      </w:r>
      <w:r w:rsidRPr="005D348D">
        <w:rPr>
          <w:rFonts w:ascii="Times New Roman" w:hAnsi="Times New Roman" w:cs="Times New Roman"/>
          <w:sz w:val="20"/>
          <w:szCs w:val="20"/>
        </w:rPr>
        <w:t>Cambridge: Cambridge University Press) 2014 (1</w:t>
      </w:r>
      <w:r w:rsidRPr="005D348D">
        <w:rPr>
          <w:rFonts w:ascii="Times New Roman" w:hAnsi="Times New Roman" w:cs="Times New Roman"/>
          <w:sz w:val="20"/>
          <w:szCs w:val="20"/>
          <w:vertAlign w:val="superscript"/>
        </w:rPr>
        <w:t>st</w:t>
      </w:r>
      <w:r w:rsidRPr="005D348D">
        <w:rPr>
          <w:rFonts w:ascii="Times New Roman" w:hAnsi="Times New Roman" w:cs="Times New Roman"/>
          <w:sz w:val="20"/>
          <w:szCs w:val="20"/>
        </w:rPr>
        <w:t xml:space="preserve"> </w:t>
      </w:r>
      <w:proofErr w:type="spellStart"/>
      <w:proofErr w:type="gramStart"/>
      <w:r w:rsidRPr="005D348D">
        <w:rPr>
          <w:rFonts w:ascii="Times New Roman" w:hAnsi="Times New Roman" w:cs="Times New Roman"/>
          <w:sz w:val="20"/>
          <w:szCs w:val="20"/>
        </w:rPr>
        <w:t>ed</w:t>
      </w:r>
      <w:proofErr w:type="spellEnd"/>
      <w:proofErr w:type="gramEnd"/>
      <w:r w:rsidRPr="005D348D">
        <w:rPr>
          <w:rFonts w:ascii="Times New Roman" w:hAnsi="Times New Roman" w:cs="Times New Roman"/>
          <w:sz w:val="20"/>
          <w:szCs w:val="20"/>
        </w:rPr>
        <w:t xml:space="preserve"> first published 1883) at p.226. </w:t>
      </w:r>
    </w:p>
  </w:footnote>
  <w:footnote w:id="21">
    <w:p w14:paraId="35918ACE" w14:textId="57A52238"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supra</w:t>
      </w:r>
      <w:proofErr w:type="gramEnd"/>
      <w:r w:rsidRPr="005D348D">
        <w:rPr>
          <w:rFonts w:ascii="Times New Roman" w:hAnsi="Times New Roman" w:cs="Times New Roman"/>
          <w:sz w:val="20"/>
          <w:szCs w:val="20"/>
        </w:rPr>
        <w:t xml:space="preserve"> n.1 at p.172.</w:t>
      </w:r>
    </w:p>
  </w:footnote>
  <w:footnote w:id="22">
    <w:p w14:paraId="064F7F88" w14:textId="476AFB19"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J.S Cockburn, </w:t>
      </w:r>
      <w:r w:rsidRPr="005D348D">
        <w:rPr>
          <w:rFonts w:ascii="Times New Roman" w:hAnsi="Times New Roman" w:cs="Times New Roman"/>
          <w:i/>
          <w:sz w:val="20"/>
          <w:szCs w:val="20"/>
        </w:rPr>
        <w:t xml:space="preserve">Introduction, Calendar of Assize Records: Home Circuit Indictments Elizabeth I and James I, </w:t>
      </w:r>
      <w:r w:rsidRPr="005D348D">
        <w:rPr>
          <w:rFonts w:ascii="Times New Roman" w:hAnsi="Times New Roman" w:cs="Times New Roman"/>
          <w:sz w:val="20"/>
          <w:szCs w:val="20"/>
        </w:rPr>
        <w:t>(1985), HMSO.</w:t>
      </w:r>
    </w:p>
  </w:footnote>
  <w:footnote w:id="23">
    <w:p w14:paraId="2B85A3C0" w14:textId="4EA8D383"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J.M Beattie, </w:t>
      </w:r>
      <w:r w:rsidRPr="005D348D">
        <w:rPr>
          <w:rFonts w:ascii="Times New Roman" w:hAnsi="Times New Roman" w:cs="Times New Roman"/>
          <w:i/>
          <w:sz w:val="20"/>
          <w:szCs w:val="20"/>
        </w:rPr>
        <w:t>Crime and the Courts in England</w:t>
      </w:r>
      <w:r w:rsidRPr="005D348D">
        <w:rPr>
          <w:rFonts w:ascii="Times New Roman" w:hAnsi="Times New Roman" w:cs="Times New Roman"/>
          <w:sz w:val="20"/>
          <w:szCs w:val="20"/>
        </w:rPr>
        <w:t>, 1986 (Oxford: Oxford University Press) p.342.</w:t>
      </w:r>
    </w:p>
  </w:footnote>
  <w:footnote w:id="24">
    <w:p w14:paraId="3FD7CB02" w14:textId="709AE33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supra</w:t>
      </w:r>
      <w:proofErr w:type="gramEnd"/>
      <w:r w:rsidRPr="005D348D">
        <w:rPr>
          <w:rFonts w:ascii="Times New Roman" w:hAnsi="Times New Roman" w:cs="Times New Roman"/>
          <w:sz w:val="20"/>
          <w:szCs w:val="20"/>
        </w:rPr>
        <w:t xml:space="preserve"> n.1 at p.6.</w:t>
      </w:r>
    </w:p>
  </w:footnote>
  <w:footnote w:id="25">
    <w:p w14:paraId="3CF4C4C2" w14:textId="15CF0C58"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ibid</w:t>
      </w:r>
      <w:r w:rsidRPr="005D348D">
        <w:rPr>
          <w:rFonts w:ascii="Times New Roman" w:hAnsi="Times New Roman" w:cs="Times New Roman"/>
          <w:sz w:val="20"/>
          <w:szCs w:val="20"/>
        </w:rPr>
        <w:t xml:space="preserve"> at p.312.</w:t>
      </w:r>
      <w:proofErr w:type="gramEnd"/>
    </w:p>
  </w:footnote>
  <w:footnote w:id="26">
    <w:p w14:paraId="5BBF4AEE" w14:textId="018542C0"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r w:rsidRPr="005D348D">
        <w:rPr>
          <w:rFonts w:ascii="Times New Roman" w:hAnsi="Times New Roman" w:cs="Times New Roman"/>
          <w:i/>
          <w:sz w:val="20"/>
          <w:szCs w:val="20"/>
        </w:rPr>
        <w:t xml:space="preserve">Second Report of the His Majesty’s Commission on Criminal Law </w:t>
      </w:r>
      <w:r w:rsidRPr="005D348D">
        <w:rPr>
          <w:rFonts w:ascii="Times New Roman" w:hAnsi="Times New Roman" w:cs="Times New Roman"/>
          <w:sz w:val="20"/>
          <w:szCs w:val="20"/>
        </w:rPr>
        <w:t xml:space="preserve">(1836) Parl. Papers XXXVI 183 as cited in D.J. </w:t>
      </w:r>
      <w:proofErr w:type="gramStart"/>
      <w:r w:rsidRPr="005D348D">
        <w:rPr>
          <w:rFonts w:ascii="Times New Roman" w:hAnsi="Times New Roman" w:cs="Times New Roman"/>
          <w:sz w:val="20"/>
          <w:szCs w:val="20"/>
        </w:rPr>
        <w:t xml:space="preserve">A Cairns </w:t>
      </w:r>
      <w:r w:rsidRPr="005D348D">
        <w:rPr>
          <w:rFonts w:ascii="Times New Roman" w:hAnsi="Times New Roman" w:cs="Times New Roman"/>
          <w:i/>
          <w:sz w:val="20"/>
          <w:szCs w:val="20"/>
        </w:rPr>
        <w:t>Advocacy and the Making of the Adversarial Criminal Trial 1800-1865</w:t>
      </w:r>
      <w:r w:rsidRPr="005D348D">
        <w:rPr>
          <w:rFonts w:ascii="Times New Roman" w:hAnsi="Times New Roman" w:cs="Times New Roman"/>
          <w:sz w:val="20"/>
          <w:szCs w:val="20"/>
        </w:rPr>
        <w:t xml:space="preserve"> (</w:t>
      </w:r>
      <w:proofErr w:type="spellStart"/>
      <w:r w:rsidRPr="005D348D">
        <w:rPr>
          <w:rFonts w:ascii="Times New Roman" w:hAnsi="Times New Roman" w:cs="Times New Roman"/>
          <w:sz w:val="20"/>
          <w:szCs w:val="20"/>
        </w:rPr>
        <w:t>Claredon</w:t>
      </w:r>
      <w:proofErr w:type="spellEnd"/>
      <w:r w:rsidRPr="005D348D">
        <w:rPr>
          <w:rFonts w:ascii="Times New Roman" w:hAnsi="Times New Roman" w:cs="Times New Roman"/>
          <w:sz w:val="20"/>
          <w:szCs w:val="20"/>
        </w:rPr>
        <w:t xml:space="preserve"> Press, Oxford, 1998).</w:t>
      </w:r>
      <w:proofErr w:type="gramEnd"/>
      <w:r w:rsidRPr="005D348D">
        <w:rPr>
          <w:rFonts w:ascii="Times New Roman" w:hAnsi="Times New Roman" w:cs="Times New Roman"/>
          <w:sz w:val="20"/>
          <w:szCs w:val="20"/>
        </w:rPr>
        <w:t xml:space="preserve"> Cairns states that the use of Royal Commissions to facilitate legislative reform were a characteristic of the nineteenth century law reform and the </w:t>
      </w:r>
      <w:r w:rsidRPr="005D348D">
        <w:rPr>
          <w:rFonts w:ascii="Times New Roman" w:hAnsi="Times New Roman" w:cs="Times New Roman"/>
          <w:i/>
          <w:sz w:val="20"/>
          <w:szCs w:val="20"/>
        </w:rPr>
        <w:t>second report</w:t>
      </w:r>
      <w:r w:rsidRPr="005D348D">
        <w:rPr>
          <w:rFonts w:ascii="Times New Roman" w:hAnsi="Times New Roman" w:cs="Times New Roman"/>
          <w:sz w:val="20"/>
          <w:szCs w:val="20"/>
        </w:rPr>
        <w:t xml:space="preserve"> is a classic example of this process in action. </w:t>
      </w:r>
    </w:p>
  </w:footnote>
  <w:footnote w:id="27">
    <w:p w14:paraId="54AA7163" w14:textId="3CCA4152"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r w:rsidRPr="005D348D">
        <w:rPr>
          <w:rFonts w:ascii="Times New Roman" w:hAnsi="Times New Roman" w:cs="Times New Roman"/>
          <w:i/>
          <w:sz w:val="20"/>
          <w:szCs w:val="20"/>
        </w:rPr>
        <w:t>ibid</w:t>
      </w:r>
    </w:p>
  </w:footnote>
  <w:footnote w:id="28">
    <w:p w14:paraId="00009D68" w14:textId="3A8D1E6E"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6 &amp; 7 Will. </w:t>
      </w:r>
      <w:proofErr w:type="gramStart"/>
      <w:r w:rsidRPr="005D348D">
        <w:rPr>
          <w:rFonts w:ascii="Times New Roman" w:hAnsi="Times New Roman" w:cs="Times New Roman"/>
          <w:sz w:val="20"/>
          <w:szCs w:val="20"/>
        </w:rPr>
        <w:t xml:space="preserve">4, </w:t>
      </w:r>
      <w:proofErr w:type="spellStart"/>
      <w:r w:rsidRPr="005D348D">
        <w:rPr>
          <w:rFonts w:ascii="Times New Roman" w:hAnsi="Times New Roman" w:cs="Times New Roman"/>
          <w:sz w:val="20"/>
          <w:szCs w:val="20"/>
        </w:rPr>
        <w:t>ch.</w:t>
      </w:r>
      <w:proofErr w:type="spellEnd"/>
      <w:r w:rsidRPr="005D348D">
        <w:rPr>
          <w:rFonts w:ascii="Times New Roman" w:hAnsi="Times New Roman" w:cs="Times New Roman"/>
          <w:sz w:val="20"/>
          <w:szCs w:val="20"/>
        </w:rPr>
        <w:t xml:space="preserve"> 14 (1836).</w:t>
      </w:r>
      <w:proofErr w:type="gramEnd"/>
      <w:r w:rsidRPr="005D348D">
        <w:rPr>
          <w:rFonts w:ascii="Times New Roman" w:hAnsi="Times New Roman" w:cs="Times New Roman"/>
          <w:sz w:val="20"/>
          <w:szCs w:val="20"/>
        </w:rPr>
        <w:t xml:space="preserve"> </w:t>
      </w:r>
    </w:p>
  </w:footnote>
  <w:footnote w:id="29">
    <w:p w14:paraId="29CCD682" w14:textId="7777777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sz w:val="20"/>
          <w:szCs w:val="20"/>
        </w:rPr>
        <w:t>D.J.</w:t>
      </w:r>
      <w:proofErr w:type="gramEnd"/>
      <w:r w:rsidRPr="005D348D">
        <w:rPr>
          <w:rFonts w:ascii="Times New Roman" w:hAnsi="Times New Roman" w:cs="Times New Roman"/>
          <w:sz w:val="20"/>
          <w:szCs w:val="20"/>
        </w:rPr>
        <w:t xml:space="preserve"> </w:t>
      </w:r>
      <w:proofErr w:type="gramStart"/>
      <w:r w:rsidRPr="005D348D">
        <w:rPr>
          <w:rFonts w:ascii="Times New Roman" w:hAnsi="Times New Roman" w:cs="Times New Roman"/>
          <w:sz w:val="20"/>
          <w:szCs w:val="20"/>
        </w:rPr>
        <w:t xml:space="preserve">A Cairns </w:t>
      </w:r>
      <w:r w:rsidRPr="005D348D">
        <w:rPr>
          <w:rFonts w:ascii="Times New Roman" w:hAnsi="Times New Roman" w:cs="Times New Roman"/>
          <w:i/>
          <w:sz w:val="20"/>
          <w:szCs w:val="20"/>
        </w:rPr>
        <w:t>Advocacy and the Making of the Adversarial Criminal Trial 1800-1865</w:t>
      </w:r>
      <w:r w:rsidRPr="005D348D">
        <w:rPr>
          <w:rFonts w:ascii="Times New Roman" w:hAnsi="Times New Roman" w:cs="Times New Roman"/>
          <w:sz w:val="20"/>
          <w:szCs w:val="20"/>
        </w:rPr>
        <w:t xml:space="preserve"> (</w:t>
      </w:r>
      <w:proofErr w:type="spellStart"/>
      <w:r w:rsidRPr="005D348D">
        <w:rPr>
          <w:rFonts w:ascii="Times New Roman" w:hAnsi="Times New Roman" w:cs="Times New Roman"/>
          <w:sz w:val="20"/>
          <w:szCs w:val="20"/>
        </w:rPr>
        <w:t>Claredon</w:t>
      </w:r>
      <w:proofErr w:type="spellEnd"/>
      <w:r w:rsidRPr="005D348D">
        <w:rPr>
          <w:rFonts w:ascii="Times New Roman" w:hAnsi="Times New Roman" w:cs="Times New Roman"/>
          <w:sz w:val="20"/>
          <w:szCs w:val="20"/>
        </w:rPr>
        <w:t xml:space="preserve"> Press: Oxford, 1998) at 176.</w:t>
      </w:r>
      <w:proofErr w:type="gramEnd"/>
    </w:p>
  </w:footnote>
  <w:footnote w:id="30">
    <w:p w14:paraId="324DF026" w14:textId="7777777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Part I – The Prisoners Counsel Act 1836 (6 &amp; 7 Will.4, c.114).</w:t>
      </w:r>
    </w:p>
  </w:footnote>
  <w:footnote w:id="31">
    <w:p w14:paraId="7302C11C" w14:textId="39C717B9"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sz w:val="20"/>
          <w:szCs w:val="20"/>
        </w:rPr>
        <w:t>S.3 The Prisoners Counsel Act 1836 (6 &amp; 7 Will.4, c.114).</w:t>
      </w:r>
      <w:proofErr w:type="gramEnd"/>
    </w:p>
  </w:footnote>
  <w:footnote w:id="32">
    <w:p w14:paraId="4BB7512C" w14:textId="19C62C46"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supra</w:t>
      </w:r>
      <w:proofErr w:type="gramEnd"/>
      <w:r w:rsidRPr="005D348D">
        <w:rPr>
          <w:rFonts w:ascii="Times New Roman" w:hAnsi="Times New Roman" w:cs="Times New Roman"/>
          <w:sz w:val="20"/>
          <w:szCs w:val="20"/>
        </w:rPr>
        <w:t xml:space="preserve"> n.1 at p.258.</w:t>
      </w:r>
    </w:p>
  </w:footnote>
  <w:footnote w:id="33">
    <w:p w14:paraId="52B1E484" w14:textId="4DE79DEB"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supra</w:t>
      </w:r>
      <w:proofErr w:type="gramEnd"/>
      <w:r w:rsidRPr="005D348D">
        <w:rPr>
          <w:rFonts w:ascii="Times New Roman" w:hAnsi="Times New Roman" w:cs="Times New Roman"/>
          <w:sz w:val="20"/>
          <w:szCs w:val="20"/>
        </w:rPr>
        <w:t xml:space="preserve"> n.1 at p.307.</w:t>
      </w:r>
    </w:p>
  </w:footnote>
  <w:footnote w:id="34">
    <w:p w14:paraId="0D988C80" w14:textId="7777777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For an analytic discussion on the origins of the defence lawyer, please see J. H. </w:t>
      </w:r>
      <w:proofErr w:type="spellStart"/>
      <w:r w:rsidRPr="005D348D">
        <w:rPr>
          <w:rFonts w:ascii="Times New Roman" w:hAnsi="Times New Roman" w:cs="Times New Roman"/>
          <w:sz w:val="20"/>
          <w:szCs w:val="20"/>
        </w:rPr>
        <w:t>Langbein</w:t>
      </w:r>
      <w:proofErr w:type="spellEnd"/>
      <w:r w:rsidRPr="005D348D">
        <w:rPr>
          <w:rFonts w:ascii="Times New Roman" w:hAnsi="Times New Roman" w:cs="Times New Roman"/>
          <w:sz w:val="20"/>
          <w:szCs w:val="20"/>
        </w:rPr>
        <w:t xml:space="preserve">, </w:t>
      </w:r>
      <w:r w:rsidRPr="005D348D">
        <w:rPr>
          <w:rFonts w:ascii="Times New Roman" w:hAnsi="Times New Roman" w:cs="Times New Roman"/>
          <w:i/>
          <w:sz w:val="20"/>
          <w:szCs w:val="20"/>
        </w:rPr>
        <w:t>The Origins of the Adversary Criminal Trial</w:t>
      </w:r>
      <w:r w:rsidRPr="005D348D">
        <w:rPr>
          <w:rFonts w:ascii="Times New Roman" w:hAnsi="Times New Roman" w:cs="Times New Roman"/>
          <w:sz w:val="20"/>
          <w:szCs w:val="20"/>
        </w:rPr>
        <w:t>, (Oxford University Press: Oxford), 2005 Chapter 3 and 5(D).</w:t>
      </w:r>
    </w:p>
  </w:footnote>
  <w:footnote w:id="35">
    <w:p w14:paraId="737B4A10" w14:textId="7CAB2520"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C. </w:t>
      </w:r>
      <w:proofErr w:type="spellStart"/>
      <w:r w:rsidRPr="005D348D">
        <w:rPr>
          <w:rFonts w:ascii="Times New Roman" w:hAnsi="Times New Roman" w:cs="Times New Roman"/>
          <w:sz w:val="20"/>
          <w:szCs w:val="20"/>
        </w:rPr>
        <w:t>Cottu</w:t>
      </w:r>
      <w:proofErr w:type="spellEnd"/>
      <w:r w:rsidRPr="005D348D">
        <w:rPr>
          <w:rFonts w:ascii="Times New Roman" w:hAnsi="Times New Roman" w:cs="Times New Roman"/>
          <w:sz w:val="20"/>
          <w:szCs w:val="20"/>
        </w:rPr>
        <w:t xml:space="preserve">, </w:t>
      </w:r>
      <w:r w:rsidRPr="005D348D">
        <w:rPr>
          <w:rFonts w:ascii="Times New Roman" w:hAnsi="Times New Roman" w:cs="Times New Roman"/>
          <w:i/>
          <w:sz w:val="20"/>
          <w:szCs w:val="20"/>
        </w:rPr>
        <w:t xml:space="preserve">On the Administration of Criminal Justice in England </w:t>
      </w:r>
      <w:r w:rsidRPr="005D348D">
        <w:rPr>
          <w:rFonts w:ascii="Times New Roman" w:hAnsi="Times New Roman" w:cs="Times New Roman"/>
          <w:sz w:val="20"/>
          <w:szCs w:val="20"/>
        </w:rPr>
        <w:t xml:space="preserve">(London 1822) as cited in </w:t>
      </w:r>
      <w:r w:rsidRPr="005D348D">
        <w:rPr>
          <w:rFonts w:ascii="Times New Roman" w:hAnsi="Times New Roman" w:cs="Times New Roman"/>
          <w:i/>
          <w:sz w:val="20"/>
          <w:szCs w:val="20"/>
        </w:rPr>
        <w:t>ibid</w:t>
      </w:r>
      <w:r w:rsidRPr="005D348D">
        <w:rPr>
          <w:rFonts w:ascii="Times New Roman" w:hAnsi="Times New Roman" w:cs="Times New Roman"/>
          <w:sz w:val="20"/>
          <w:szCs w:val="20"/>
        </w:rPr>
        <w:t xml:space="preserve"> n.1 at p.6.</w:t>
      </w:r>
    </w:p>
  </w:footnote>
  <w:footnote w:id="36">
    <w:p w14:paraId="34AF9EDF" w14:textId="6A6E1A3E"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This growth continued into the early twentieth century with the advent of the Poor Prisoners Act 1903 that provided an early form of legal aid, although the </w:t>
      </w:r>
      <w:proofErr w:type="gramStart"/>
      <w:r w:rsidRPr="005D348D">
        <w:rPr>
          <w:rFonts w:ascii="Times New Roman" w:hAnsi="Times New Roman" w:cs="Times New Roman"/>
          <w:sz w:val="20"/>
          <w:szCs w:val="20"/>
        </w:rPr>
        <w:t>judiciary were</w:t>
      </w:r>
      <w:proofErr w:type="gramEnd"/>
      <w:r w:rsidRPr="005D348D">
        <w:rPr>
          <w:rFonts w:ascii="Times New Roman" w:hAnsi="Times New Roman" w:cs="Times New Roman"/>
          <w:sz w:val="20"/>
          <w:szCs w:val="20"/>
        </w:rPr>
        <w:t xml:space="preserve"> encouraged not to advertise this fact. However, this altered dramatically with the creation of the Legal Aid and Advice Act 1949 and the importance defence </w:t>
      </w:r>
      <w:proofErr w:type="gramStart"/>
      <w:r w:rsidRPr="005D348D">
        <w:rPr>
          <w:rFonts w:ascii="Times New Roman" w:hAnsi="Times New Roman" w:cs="Times New Roman"/>
          <w:sz w:val="20"/>
          <w:szCs w:val="20"/>
        </w:rPr>
        <w:t>lawyers</w:t>
      </w:r>
      <w:proofErr w:type="gramEnd"/>
      <w:r w:rsidRPr="005D348D">
        <w:rPr>
          <w:rFonts w:ascii="Times New Roman" w:hAnsi="Times New Roman" w:cs="Times New Roman"/>
          <w:sz w:val="20"/>
          <w:szCs w:val="20"/>
        </w:rPr>
        <w:t xml:space="preserve"> role was </w:t>
      </w:r>
      <w:proofErr w:type="spellStart"/>
      <w:r w:rsidRPr="005D348D">
        <w:rPr>
          <w:rFonts w:ascii="Times New Roman" w:hAnsi="Times New Roman" w:cs="Times New Roman"/>
          <w:sz w:val="20"/>
          <w:szCs w:val="20"/>
        </w:rPr>
        <w:t>recoginised</w:t>
      </w:r>
      <w:proofErr w:type="spellEnd"/>
      <w:r w:rsidRPr="005D348D">
        <w:rPr>
          <w:rFonts w:ascii="Times New Roman" w:hAnsi="Times New Roman" w:cs="Times New Roman"/>
          <w:sz w:val="20"/>
          <w:szCs w:val="20"/>
        </w:rPr>
        <w:t xml:space="preserve"> in The Convention for the Protection of Human Rights and Fundamental Freedoms. </w:t>
      </w:r>
    </w:p>
  </w:footnote>
  <w:footnote w:id="37">
    <w:p w14:paraId="60BADE9B" w14:textId="2A0EDD7F"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sz w:val="20"/>
          <w:szCs w:val="20"/>
        </w:rPr>
        <w:t xml:space="preserve">Per Green MR, in </w:t>
      </w:r>
      <w:proofErr w:type="spellStart"/>
      <w:r w:rsidRPr="005D348D">
        <w:rPr>
          <w:rFonts w:ascii="Times New Roman" w:hAnsi="Times New Roman" w:cs="Times New Roman"/>
          <w:i/>
          <w:sz w:val="20"/>
          <w:szCs w:val="20"/>
        </w:rPr>
        <w:t>Yuill</w:t>
      </w:r>
      <w:proofErr w:type="spellEnd"/>
      <w:r w:rsidRPr="005D348D">
        <w:rPr>
          <w:rFonts w:ascii="Times New Roman" w:hAnsi="Times New Roman" w:cs="Times New Roman"/>
          <w:i/>
          <w:sz w:val="20"/>
          <w:szCs w:val="20"/>
        </w:rPr>
        <w:t xml:space="preserve"> v </w:t>
      </w:r>
      <w:proofErr w:type="spellStart"/>
      <w:r w:rsidRPr="005D348D">
        <w:rPr>
          <w:rFonts w:ascii="Times New Roman" w:hAnsi="Times New Roman" w:cs="Times New Roman"/>
          <w:i/>
          <w:sz w:val="20"/>
          <w:szCs w:val="20"/>
        </w:rPr>
        <w:t>Yuill</w:t>
      </w:r>
      <w:proofErr w:type="spellEnd"/>
      <w:r w:rsidRPr="005D348D">
        <w:rPr>
          <w:rFonts w:ascii="Times New Roman" w:hAnsi="Times New Roman" w:cs="Times New Roman"/>
          <w:i/>
          <w:sz w:val="20"/>
          <w:szCs w:val="20"/>
        </w:rPr>
        <w:t xml:space="preserve"> </w:t>
      </w:r>
      <w:r w:rsidRPr="005D348D">
        <w:rPr>
          <w:rFonts w:ascii="Times New Roman" w:hAnsi="Times New Roman" w:cs="Times New Roman"/>
          <w:sz w:val="20"/>
          <w:szCs w:val="20"/>
        </w:rPr>
        <w:t>[1945] 1 All ER 183 at 189.</w:t>
      </w:r>
      <w:proofErr w:type="gramEnd"/>
    </w:p>
  </w:footnote>
  <w:footnote w:id="38">
    <w:p w14:paraId="5B6AD4F7" w14:textId="7777777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sz w:val="20"/>
          <w:szCs w:val="20"/>
        </w:rPr>
        <w:t xml:space="preserve">Per Green MR, in </w:t>
      </w:r>
      <w:proofErr w:type="spellStart"/>
      <w:r w:rsidRPr="005D348D">
        <w:rPr>
          <w:rFonts w:ascii="Times New Roman" w:hAnsi="Times New Roman" w:cs="Times New Roman"/>
          <w:i/>
          <w:sz w:val="20"/>
          <w:szCs w:val="20"/>
        </w:rPr>
        <w:t>Yuill</w:t>
      </w:r>
      <w:proofErr w:type="spellEnd"/>
      <w:r w:rsidRPr="005D348D">
        <w:rPr>
          <w:rFonts w:ascii="Times New Roman" w:hAnsi="Times New Roman" w:cs="Times New Roman"/>
          <w:i/>
          <w:sz w:val="20"/>
          <w:szCs w:val="20"/>
        </w:rPr>
        <w:t xml:space="preserve"> v </w:t>
      </w:r>
      <w:proofErr w:type="spellStart"/>
      <w:r w:rsidRPr="005D348D">
        <w:rPr>
          <w:rFonts w:ascii="Times New Roman" w:hAnsi="Times New Roman" w:cs="Times New Roman"/>
          <w:i/>
          <w:sz w:val="20"/>
          <w:szCs w:val="20"/>
        </w:rPr>
        <w:t>Yuill</w:t>
      </w:r>
      <w:proofErr w:type="spellEnd"/>
      <w:r w:rsidRPr="005D348D">
        <w:rPr>
          <w:rFonts w:ascii="Times New Roman" w:hAnsi="Times New Roman" w:cs="Times New Roman"/>
          <w:i/>
          <w:sz w:val="20"/>
          <w:szCs w:val="20"/>
        </w:rPr>
        <w:t xml:space="preserve"> </w:t>
      </w:r>
      <w:r w:rsidRPr="005D348D">
        <w:rPr>
          <w:rFonts w:ascii="Times New Roman" w:hAnsi="Times New Roman" w:cs="Times New Roman"/>
          <w:sz w:val="20"/>
          <w:szCs w:val="20"/>
        </w:rPr>
        <w:t>[1945] 1 All ER 183 at 189.</w:t>
      </w:r>
      <w:proofErr w:type="gramEnd"/>
    </w:p>
  </w:footnote>
  <w:footnote w:id="39">
    <w:p w14:paraId="7B8EED8C" w14:textId="696136A2" w:rsidR="009C1B8E" w:rsidRPr="005D348D" w:rsidRDefault="009C1B8E" w:rsidP="005D348D">
      <w:pPr>
        <w:pStyle w:val="FootnoteText"/>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r w:rsidRPr="005D348D">
        <w:rPr>
          <w:rFonts w:ascii="Times New Roman" w:hAnsi="Times New Roman" w:cs="Times New Roman"/>
          <w:i/>
          <w:sz w:val="20"/>
          <w:szCs w:val="20"/>
        </w:rPr>
        <w:t xml:space="preserve">Jones v National Coal Board </w:t>
      </w:r>
      <w:r w:rsidRPr="005D348D">
        <w:rPr>
          <w:rFonts w:ascii="Times New Roman" w:hAnsi="Times New Roman" w:cs="Times New Roman"/>
          <w:sz w:val="20"/>
          <w:szCs w:val="20"/>
        </w:rPr>
        <w:t>[1957] 2 Q.B. 55</w:t>
      </w:r>
    </w:p>
  </w:footnote>
  <w:footnote w:id="40">
    <w:p w14:paraId="6C6ABF51" w14:textId="46F2AE3B"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r w:rsidRPr="005D348D">
        <w:rPr>
          <w:rFonts w:ascii="Times New Roman" w:hAnsi="Times New Roman" w:cs="Times New Roman"/>
          <w:i/>
          <w:sz w:val="20"/>
          <w:szCs w:val="20"/>
        </w:rPr>
        <w:t>ibid</w:t>
      </w:r>
      <w:r w:rsidRPr="005D348D">
        <w:rPr>
          <w:rFonts w:ascii="Times New Roman" w:hAnsi="Times New Roman" w:cs="Times New Roman"/>
          <w:sz w:val="20"/>
          <w:szCs w:val="20"/>
        </w:rPr>
        <w:t xml:space="preserve"> per Denning LJ at p.65</w:t>
      </w:r>
    </w:p>
  </w:footnote>
  <w:footnote w:id="41">
    <w:p w14:paraId="5CDB0E65" w14:textId="3941110A"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 xml:space="preserve">Ibid </w:t>
      </w:r>
      <w:r w:rsidRPr="005D348D">
        <w:rPr>
          <w:rFonts w:ascii="Times New Roman" w:hAnsi="Times New Roman" w:cs="Times New Roman"/>
          <w:sz w:val="20"/>
          <w:szCs w:val="20"/>
        </w:rPr>
        <w:t xml:space="preserve"> Per</w:t>
      </w:r>
      <w:proofErr w:type="gramEnd"/>
      <w:r w:rsidRPr="005D348D">
        <w:rPr>
          <w:rFonts w:ascii="Times New Roman" w:hAnsi="Times New Roman" w:cs="Times New Roman"/>
          <w:sz w:val="20"/>
          <w:szCs w:val="20"/>
        </w:rPr>
        <w:t xml:space="preserve"> Denning LJ at 64.</w:t>
      </w:r>
    </w:p>
  </w:footnote>
  <w:footnote w:id="42">
    <w:p w14:paraId="7CD09B44" w14:textId="0A6EBFD8" w:rsidR="009C1B8E" w:rsidRPr="005D348D" w:rsidRDefault="009C1B8E" w:rsidP="005D348D">
      <w:pPr>
        <w:widowControl w:val="0"/>
        <w:autoSpaceDE w:val="0"/>
        <w:autoSpaceDN w:val="0"/>
        <w:adjustRightInd w:val="0"/>
        <w:jc w:val="both"/>
        <w:rPr>
          <w:rFonts w:ascii="Times New Roman" w:hAnsi="Times New Roman" w:cs="Times New Roman"/>
          <w:color w:val="000018"/>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F. Bacon, </w:t>
      </w:r>
      <w:r w:rsidRPr="005D348D">
        <w:rPr>
          <w:rFonts w:ascii="Times New Roman" w:hAnsi="Times New Roman" w:cs="Times New Roman"/>
          <w:i/>
          <w:iCs/>
          <w:color w:val="000018"/>
          <w:sz w:val="20"/>
          <w:szCs w:val="20"/>
        </w:rPr>
        <w:t>Essays, Civil and Moral.</w:t>
      </w:r>
      <w:r w:rsidRPr="005D348D">
        <w:rPr>
          <w:rFonts w:ascii="Times New Roman" w:hAnsi="Times New Roman" w:cs="Times New Roman"/>
          <w:color w:val="000018"/>
          <w:sz w:val="20"/>
          <w:szCs w:val="20"/>
        </w:rPr>
        <w:t xml:space="preserve"> Vol. III, Part 1. </w:t>
      </w:r>
      <w:proofErr w:type="gramStart"/>
      <w:r w:rsidRPr="005D348D">
        <w:rPr>
          <w:rFonts w:ascii="Times New Roman" w:hAnsi="Times New Roman" w:cs="Times New Roman"/>
          <w:color w:val="000018"/>
          <w:sz w:val="20"/>
          <w:szCs w:val="20"/>
        </w:rPr>
        <w:t>The Harvard Classics.</w:t>
      </w:r>
      <w:proofErr w:type="gramEnd"/>
      <w:r w:rsidRPr="005D348D">
        <w:rPr>
          <w:rFonts w:ascii="Times New Roman" w:hAnsi="Times New Roman" w:cs="Times New Roman"/>
          <w:color w:val="000018"/>
          <w:sz w:val="20"/>
          <w:szCs w:val="20"/>
        </w:rPr>
        <w:t xml:space="preserve"> (New York: P.F. Collier &amp; Son, 1909–14), Chapter 56 Of Judicature as cited by Denning LJ </w:t>
      </w:r>
      <w:r w:rsidRPr="005D348D">
        <w:rPr>
          <w:rFonts w:ascii="Times New Roman" w:hAnsi="Times New Roman" w:cs="Times New Roman"/>
          <w:i/>
          <w:color w:val="000018"/>
          <w:sz w:val="20"/>
          <w:szCs w:val="20"/>
        </w:rPr>
        <w:t>ibid.</w:t>
      </w:r>
      <w:r w:rsidRPr="005D348D">
        <w:rPr>
          <w:rFonts w:ascii="Times New Roman" w:hAnsi="Times New Roman" w:cs="Times New Roman"/>
          <w:sz w:val="20"/>
          <w:szCs w:val="20"/>
        </w:rPr>
        <w:t xml:space="preserve"> </w:t>
      </w:r>
    </w:p>
  </w:footnote>
  <w:footnote w:id="43">
    <w:p w14:paraId="233032C7" w14:textId="034DE00D"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(1953) 37 </w:t>
      </w:r>
      <w:proofErr w:type="spellStart"/>
      <w:r w:rsidRPr="005D348D">
        <w:rPr>
          <w:rFonts w:ascii="Times New Roman" w:hAnsi="Times New Roman" w:cs="Times New Roman"/>
          <w:sz w:val="20"/>
          <w:szCs w:val="20"/>
        </w:rPr>
        <w:t>Cr.App.R</w:t>
      </w:r>
      <w:proofErr w:type="spellEnd"/>
      <w:r w:rsidRPr="005D348D">
        <w:rPr>
          <w:rFonts w:ascii="Times New Roman" w:hAnsi="Times New Roman" w:cs="Times New Roman"/>
          <w:sz w:val="20"/>
          <w:szCs w:val="20"/>
        </w:rPr>
        <w:t xml:space="preserve"> 37</w:t>
      </w:r>
    </w:p>
  </w:footnote>
  <w:footnote w:id="44">
    <w:p w14:paraId="36B32228" w14:textId="442A00E3" w:rsidR="009C1B8E" w:rsidRPr="005D348D" w:rsidRDefault="009C1B8E" w:rsidP="005D348D">
      <w:pPr>
        <w:pStyle w:val="FootnoteText"/>
        <w:jc w:val="both"/>
        <w:rPr>
          <w:rFonts w:ascii="Times New Roman" w:hAnsi="Times New Roman" w:cs="Times New Roman"/>
          <w:i/>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sz w:val="20"/>
          <w:szCs w:val="20"/>
        </w:rPr>
        <w:t xml:space="preserve">Per Goddard LJC in </w:t>
      </w:r>
      <w:r w:rsidRPr="005D348D">
        <w:rPr>
          <w:rFonts w:ascii="Times New Roman" w:hAnsi="Times New Roman" w:cs="Times New Roman"/>
          <w:i/>
          <w:sz w:val="20"/>
          <w:szCs w:val="20"/>
        </w:rPr>
        <w:t xml:space="preserve">R v </w:t>
      </w:r>
      <w:proofErr w:type="spellStart"/>
      <w:r w:rsidRPr="005D348D">
        <w:rPr>
          <w:rFonts w:ascii="Times New Roman" w:hAnsi="Times New Roman" w:cs="Times New Roman"/>
          <w:i/>
          <w:sz w:val="20"/>
          <w:szCs w:val="20"/>
        </w:rPr>
        <w:t>Clewer</w:t>
      </w:r>
      <w:proofErr w:type="spellEnd"/>
      <w:r w:rsidRPr="005D348D">
        <w:rPr>
          <w:rFonts w:ascii="Times New Roman" w:hAnsi="Times New Roman" w:cs="Times New Roman"/>
          <w:i/>
          <w:sz w:val="20"/>
          <w:szCs w:val="20"/>
        </w:rPr>
        <w:t xml:space="preserve"> </w:t>
      </w:r>
      <w:r w:rsidRPr="005D348D">
        <w:rPr>
          <w:rFonts w:ascii="Times New Roman" w:hAnsi="Times New Roman" w:cs="Times New Roman"/>
          <w:sz w:val="20"/>
          <w:szCs w:val="20"/>
        </w:rPr>
        <w:t xml:space="preserve">(1953) 37 </w:t>
      </w:r>
      <w:proofErr w:type="spellStart"/>
      <w:r w:rsidRPr="005D348D">
        <w:rPr>
          <w:rFonts w:ascii="Times New Roman" w:hAnsi="Times New Roman" w:cs="Times New Roman"/>
          <w:sz w:val="20"/>
          <w:szCs w:val="20"/>
        </w:rPr>
        <w:t>Cr.App.R</w:t>
      </w:r>
      <w:proofErr w:type="spellEnd"/>
      <w:r w:rsidRPr="005D348D">
        <w:rPr>
          <w:rFonts w:ascii="Times New Roman" w:hAnsi="Times New Roman" w:cs="Times New Roman"/>
          <w:sz w:val="20"/>
          <w:szCs w:val="20"/>
        </w:rPr>
        <w:t xml:space="preserve"> 37 at 40.</w:t>
      </w:r>
      <w:proofErr w:type="gramEnd"/>
    </w:p>
  </w:footnote>
  <w:footnote w:id="45">
    <w:p w14:paraId="1372B421" w14:textId="66CCA149"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 xml:space="preserve">Ibid </w:t>
      </w:r>
      <w:r w:rsidRPr="005D348D">
        <w:rPr>
          <w:rFonts w:ascii="Times New Roman" w:hAnsi="Times New Roman" w:cs="Times New Roman"/>
          <w:sz w:val="20"/>
          <w:szCs w:val="20"/>
        </w:rPr>
        <w:t>at 41.</w:t>
      </w:r>
      <w:proofErr w:type="gramEnd"/>
    </w:p>
  </w:footnote>
  <w:footnote w:id="46">
    <w:p w14:paraId="16717949" w14:textId="4E8C9C5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r w:rsidRPr="005D348D">
        <w:rPr>
          <w:rFonts w:ascii="Times New Roman" w:hAnsi="Times New Roman" w:cs="Times New Roman"/>
          <w:i/>
          <w:sz w:val="20"/>
          <w:szCs w:val="20"/>
        </w:rPr>
        <w:t xml:space="preserve">R v Barnes </w:t>
      </w:r>
      <w:r w:rsidRPr="005D348D">
        <w:rPr>
          <w:rFonts w:ascii="Times New Roman" w:hAnsi="Times New Roman" w:cs="Times New Roman"/>
          <w:sz w:val="20"/>
          <w:szCs w:val="20"/>
        </w:rPr>
        <w:t xml:space="preserve">[1971] </w:t>
      </w:r>
      <w:proofErr w:type="spellStart"/>
      <w:r w:rsidRPr="005D348D">
        <w:rPr>
          <w:rFonts w:ascii="Times New Roman" w:hAnsi="Times New Roman" w:cs="Times New Roman"/>
          <w:sz w:val="20"/>
          <w:szCs w:val="20"/>
        </w:rPr>
        <w:t>Cr.App.R</w:t>
      </w:r>
      <w:proofErr w:type="spellEnd"/>
      <w:r w:rsidRPr="005D348D">
        <w:rPr>
          <w:rFonts w:ascii="Times New Roman" w:hAnsi="Times New Roman" w:cs="Times New Roman"/>
          <w:sz w:val="20"/>
          <w:szCs w:val="20"/>
        </w:rPr>
        <w:t xml:space="preserve"> 100 </w:t>
      </w:r>
    </w:p>
  </w:footnote>
  <w:footnote w:id="47">
    <w:p w14:paraId="74466472" w14:textId="1AC2CAEE" w:rsidR="009C1B8E" w:rsidRPr="005D348D" w:rsidRDefault="009C1B8E" w:rsidP="005D348D">
      <w:pPr>
        <w:pStyle w:val="FootnoteText"/>
        <w:jc w:val="both"/>
        <w:rPr>
          <w:rFonts w:ascii="Times New Roman" w:hAnsi="Times New Roman" w:cs="Times New Roman"/>
          <w:i/>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 xml:space="preserve">ibid </w:t>
      </w:r>
      <w:r w:rsidRPr="005D348D">
        <w:rPr>
          <w:rFonts w:ascii="Times New Roman" w:hAnsi="Times New Roman" w:cs="Times New Roman"/>
          <w:sz w:val="20"/>
          <w:szCs w:val="20"/>
        </w:rPr>
        <w:t>Per Parker LCJ at 106.</w:t>
      </w:r>
      <w:proofErr w:type="gramEnd"/>
    </w:p>
  </w:footnote>
  <w:footnote w:id="48">
    <w:p w14:paraId="082585C2" w14:textId="757C9053"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0B14E7">
        <w:rPr>
          <w:rFonts w:ascii="Times New Roman" w:hAnsi="Times New Roman" w:cs="Times New Roman"/>
          <w:i/>
          <w:sz w:val="20"/>
          <w:szCs w:val="20"/>
        </w:rPr>
        <w:t xml:space="preserve">The People (at the Suit of the Director of Public Prosecutions v </w:t>
      </w:r>
      <w:proofErr w:type="spellStart"/>
      <w:r w:rsidRPr="000B14E7">
        <w:rPr>
          <w:rFonts w:ascii="Times New Roman" w:hAnsi="Times New Roman" w:cs="Times New Roman"/>
          <w:i/>
          <w:sz w:val="20"/>
          <w:szCs w:val="20"/>
        </w:rPr>
        <w:t>Phelim</w:t>
      </w:r>
      <w:proofErr w:type="spellEnd"/>
      <w:r w:rsidRPr="000B14E7">
        <w:rPr>
          <w:rFonts w:ascii="Times New Roman" w:hAnsi="Times New Roman" w:cs="Times New Roman"/>
          <w:i/>
          <w:sz w:val="20"/>
          <w:szCs w:val="20"/>
        </w:rPr>
        <w:t xml:space="preserve"> McGuinness </w:t>
      </w:r>
      <w:r w:rsidRPr="005D348D">
        <w:rPr>
          <w:rFonts w:ascii="Times New Roman" w:hAnsi="Times New Roman" w:cs="Times New Roman"/>
          <w:sz w:val="20"/>
          <w:szCs w:val="20"/>
        </w:rPr>
        <w:t>[1978] IR 189.</w:t>
      </w:r>
      <w:proofErr w:type="gramEnd"/>
    </w:p>
  </w:footnote>
  <w:footnote w:id="49">
    <w:p w14:paraId="72801465" w14:textId="11632EBF"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000B14E7">
        <w:rPr>
          <w:rFonts w:ascii="Times New Roman" w:hAnsi="Times New Roman" w:cs="Times New Roman"/>
          <w:sz w:val="20"/>
          <w:szCs w:val="20"/>
        </w:rPr>
        <w:t>ibid</w:t>
      </w:r>
      <w:r w:rsidRPr="005D348D">
        <w:rPr>
          <w:rFonts w:ascii="Times New Roman" w:hAnsi="Times New Roman" w:cs="Times New Roman"/>
          <w:sz w:val="20"/>
          <w:szCs w:val="20"/>
        </w:rPr>
        <w:t xml:space="preserve"> at 193.</w:t>
      </w:r>
      <w:proofErr w:type="gramEnd"/>
    </w:p>
  </w:footnote>
  <w:footnote w:id="50">
    <w:p w14:paraId="1874EC43" w14:textId="7E3AD405"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r w:rsidRPr="005D348D">
        <w:rPr>
          <w:rFonts w:ascii="Times New Roman" w:hAnsi="Times New Roman" w:cs="Times New Roman"/>
          <w:i/>
          <w:sz w:val="20"/>
          <w:szCs w:val="20"/>
        </w:rPr>
        <w:t>Supra</w:t>
      </w:r>
      <w:r w:rsidRPr="005D348D">
        <w:rPr>
          <w:rFonts w:ascii="Times New Roman" w:hAnsi="Times New Roman" w:cs="Times New Roman"/>
          <w:sz w:val="20"/>
          <w:szCs w:val="20"/>
        </w:rPr>
        <w:t xml:space="preserve"> </w:t>
      </w:r>
      <w:proofErr w:type="gramStart"/>
      <w:r w:rsidRPr="005D348D">
        <w:rPr>
          <w:rFonts w:ascii="Times New Roman" w:hAnsi="Times New Roman" w:cs="Times New Roman"/>
          <w:sz w:val="20"/>
          <w:szCs w:val="20"/>
        </w:rPr>
        <w:t>n.37  Per</w:t>
      </w:r>
      <w:proofErr w:type="gramEnd"/>
      <w:r w:rsidRPr="005D348D">
        <w:rPr>
          <w:rFonts w:ascii="Times New Roman" w:hAnsi="Times New Roman" w:cs="Times New Roman"/>
          <w:sz w:val="20"/>
          <w:szCs w:val="20"/>
        </w:rPr>
        <w:t xml:space="preserve"> Denning LJ at 63.</w:t>
      </w:r>
    </w:p>
  </w:footnote>
  <w:footnote w:id="51">
    <w:p w14:paraId="6160C192" w14:textId="6B769323"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H.W. Silverman, ‘</w:t>
      </w:r>
      <w:proofErr w:type="gramStart"/>
      <w:r w:rsidRPr="005D348D">
        <w:rPr>
          <w:rFonts w:ascii="Times New Roman" w:hAnsi="Times New Roman" w:cs="Times New Roman"/>
          <w:sz w:val="20"/>
          <w:szCs w:val="20"/>
        </w:rPr>
        <w:t>The</w:t>
      </w:r>
      <w:proofErr w:type="gramEnd"/>
      <w:r w:rsidRPr="005D348D">
        <w:rPr>
          <w:rFonts w:ascii="Times New Roman" w:hAnsi="Times New Roman" w:cs="Times New Roman"/>
          <w:sz w:val="20"/>
          <w:szCs w:val="20"/>
        </w:rPr>
        <w:t xml:space="preserve"> Trial Judge: Pilot, Participant or Umpire? 11. Alta L Rev 40 1973 at 63.</w:t>
      </w:r>
    </w:p>
  </w:footnote>
  <w:footnote w:id="52">
    <w:p w14:paraId="7ED933DD" w14:textId="2DD45188"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Auld LJ, </w:t>
      </w:r>
      <w:r w:rsidRPr="005D348D">
        <w:rPr>
          <w:rFonts w:ascii="Times New Roman" w:hAnsi="Times New Roman" w:cs="Times New Roman"/>
          <w:i/>
          <w:sz w:val="20"/>
          <w:szCs w:val="20"/>
        </w:rPr>
        <w:t>Review of the Criminal Courts of England and Wales</w:t>
      </w:r>
      <w:r w:rsidRPr="005D348D">
        <w:rPr>
          <w:rFonts w:ascii="Times New Roman" w:hAnsi="Times New Roman" w:cs="Times New Roman"/>
          <w:sz w:val="20"/>
          <w:szCs w:val="20"/>
        </w:rPr>
        <w:t xml:space="preserve"> (HMSO: 2001). </w:t>
      </w:r>
    </w:p>
  </w:footnote>
  <w:footnote w:id="53">
    <w:p w14:paraId="3F6431EC" w14:textId="3AA074E6"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 xml:space="preserve">ibid </w:t>
      </w:r>
      <w:r w:rsidRPr="005D348D">
        <w:rPr>
          <w:rFonts w:ascii="Times New Roman" w:hAnsi="Times New Roman" w:cs="Times New Roman"/>
          <w:sz w:val="20"/>
          <w:szCs w:val="20"/>
        </w:rPr>
        <w:t>at 154.</w:t>
      </w:r>
      <w:proofErr w:type="gramEnd"/>
    </w:p>
  </w:footnote>
  <w:footnote w:id="54">
    <w:p w14:paraId="1D79F1EE" w14:textId="0B396E4F"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sz w:val="20"/>
          <w:szCs w:val="20"/>
        </w:rPr>
        <w:t>[2003] EWCA 1012.</w:t>
      </w:r>
      <w:proofErr w:type="gramEnd"/>
      <w:r w:rsidRPr="005D348D">
        <w:rPr>
          <w:rFonts w:ascii="Times New Roman" w:hAnsi="Times New Roman" w:cs="Times New Roman"/>
          <w:sz w:val="20"/>
          <w:szCs w:val="20"/>
        </w:rPr>
        <w:t xml:space="preserve"> </w:t>
      </w:r>
    </w:p>
  </w:footnote>
  <w:footnote w:id="55">
    <w:p w14:paraId="599EFFC7" w14:textId="443E39C2"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ibid</w:t>
      </w:r>
      <w:r w:rsidRPr="005D348D">
        <w:rPr>
          <w:rFonts w:ascii="Times New Roman" w:hAnsi="Times New Roman" w:cs="Times New Roman"/>
          <w:sz w:val="20"/>
          <w:szCs w:val="20"/>
        </w:rPr>
        <w:t xml:space="preserve"> per Judge LJ at para 35.</w:t>
      </w:r>
      <w:proofErr w:type="gramEnd"/>
    </w:p>
  </w:footnote>
  <w:footnote w:id="56">
    <w:p w14:paraId="0D935D4D" w14:textId="0E7097C3"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ibid</w:t>
      </w:r>
      <w:r w:rsidRPr="005D348D">
        <w:rPr>
          <w:rFonts w:ascii="Times New Roman" w:hAnsi="Times New Roman" w:cs="Times New Roman"/>
          <w:sz w:val="20"/>
          <w:szCs w:val="20"/>
        </w:rPr>
        <w:t xml:space="preserve"> per Judge LJ at para 36.</w:t>
      </w:r>
      <w:proofErr w:type="gramEnd"/>
      <w:r w:rsidRPr="005D348D">
        <w:rPr>
          <w:rFonts w:ascii="Times New Roman" w:hAnsi="Times New Roman" w:cs="Times New Roman"/>
          <w:sz w:val="20"/>
          <w:szCs w:val="20"/>
        </w:rPr>
        <w:t xml:space="preserve"> </w:t>
      </w:r>
    </w:p>
  </w:footnote>
  <w:footnote w:id="57">
    <w:p w14:paraId="5E49B13C" w14:textId="4D722FF8"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sz w:val="20"/>
          <w:szCs w:val="20"/>
        </w:rPr>
        <w:t xml:space="preserve">[2004] EWCA </w:t>
      </w:r>
      <w:proofErr w:type="spellStart"/>
      <w:r w:rsidRPr="005D348D">
        <w:rPr>
          <w:rFonts w:ascii="Times New Roman" w:hAnsi="Times New Roman" w:cs="Times New Roman"/>
          <w:sz w:val="20"/>
          <w:szCs w:val="20"/>
        </w:rPr>
        <w:t>Crim</w:t>
      </w:r>
      <w:proofErr w:type="spellEnd"/>
      <w:r w:rsidRPr="005D348D">
        <w:rPr>
          <w:rFonts w:ascii="Times New Roman" w:hAnsi="Times New Roman" w:cs="Times New Roman"/>
          <w:sz w:val="20"/>
          <w:szCs w:val="20"/>
        </w:rPr>
        <w:t xml:space="preserve"> 696.</w:t>
      </w:r>
      <w:proofErr w:type="gramEnd"/>
    </w:p>
  </w:footnote>
  <w:footnote w:id="58">
    <w:p w14:paraId="371DA448" w14:textId="348D0D94" w:rsidR="009C1B8E" w:rsidRPr="005D348D" w:rsidRDefault="009C1B8E" w:rsidP="005D348D">
      <w:pPr>
        <w:pStyle w:val="FootnoteText"/>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lang w:val="en-GB"/>
        </w:rPr>
        <w:t>ibid</w:t>
      </w:r>
      <w:r w:rsidRPr="005D348D">
        <w:rPr>
          <w:rFonts w:ascii="Times New Roman" w:hAnsi="Times New Roman" w:cs="Times New Roman"/>
          <w:sz w:val="20"/>
          <w:szCs w:val="20"/>
          <w:lang w:val="en-GB"/>
        </w:rPr>
        <w:t xml:space="preserve"> per Auld LJ at para 114.</w:t>
      </w:r>
      <w:proofErr w:type="gramEnd"/>
    </w:p>
  </w:footnote>
  <w:footnote w:id="59">
    <w:p w14:paraId="5B9D4D7F" w14:textId="7777777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 xml:space="preserve">ibid </w:t>
      </w:r>
      <w:r w:rsidRPr="005D348D">
        <w:rPr>
          <w:rFonts w:ascii="Times New Roman" w:hAnsi="Times New Roman" w:cs="Times New Roman"/>
          <w:sz w:val="20"/>
          <w:szCs w:val="20"/>
        </w:rPr>
        <w:t>at para 277.</w:t>
      </w:r>
      <w:proofErr w:type="gramEnd"/>
      <w:r w:rsidRPr="005D348D">
        <w:rPr>
          <w:rFonts w:ascii="Times New Roman" w:hAnsi="Times New Roman" w:cs="Times New Roman"/>
          <w:sz w:val="20"/>
          <w:szCs w:val="20"/>
        </w:rPr>
        <w:t xml:space="preserve"> </w:t>
      </w:r>
    </w:p>
  </w:footnote>
  <w:footnote w:id="60">
    <w:p w14:paraId="3CB2D847" w14:textId="7777777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The rules were created by Part 7 of the Courts Act 2003 s.69-73. </w:t>
      </w:r>
    </w:p>
  </w:footnote>
  <w:footnote w:id="61">
    <w:p w14:paraId="341FFF26" w14:textId="7777777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Rule 1.1(1) Criminal Procedure Rules 2013.</w:t>
      </w:r>
    </w:p>
  </w:footnote>
  <w:footnote w:id="62">
    <w:p w14:paraId="4A8C2919" w14:textId="7777777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Rule 1.1(2</w:t>
      </w:r>
      <w:proofErr w:type="gramStart"/>
      <w:r w:rsidRPr="005D348D">
        <w:rPr>
          <w:rFonts w:ascii="Times New Roman" w:hAnsi="Times New Roman" w:cs="Times New Roman"/>
          <w:sz w:val="20"/>
          <w:szCs w:val="20"/>
        </w:rPr>
        <w:t>)(</w:t>
      </w:r>
      <w:proofErr w:type="gramEnd"/>
      <w:r w:rsidRPr="005D348D">
        <w:rPr>
          <w:rFonts w:ascii="Times New Roman" w:hAnsi="Times New Roman" w:cs="Times New Roman"/>
          <w:sz w:val="20"/>
          <w:szCs w:val="20"/>
        </w:rPr>
        <w:t>a).</w:t>
      </w:r>
    </w:p>
  </w:footnote>
  <w:footnote w:id="63">
    <w:p w14:paraId="7E118B2E" w14:textId="7777777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Rule 1.1(2</w:t>
      </w:r>
      <w:proofErr w:type="gramStart"/>
      <w:r w:rsidRPr="005D348D">
        <w:rPr>
          <w:rFonts w:ascii="Times New Roman" w:hAnsi="Times New Roman" w:cs="Times New Roman"/>
          <w:sz w:val="20"/>
          <w:szCs w:val="20"/>
        </w:rPr>
        <w:t>)(</w:t>
      </w:r>
      <w:proofErr w:type="gramEnd"/>
      <w:r w:rsidRPr="005D348D">
        <w:rPr>
          <w:rFonts w:ascii="Times New Roman" w:hAnsi="Times New Roman" w:cs="Times New Roman"/>
          <w:sz w:val="20"/>
          <w:szCs w:val="20"/>
        </w:rPr>
        <w:t>b).</w:t>
      </w:r>
    </w:p>
  </w:footnote>
  <w:footnote w:id="64">
    <w:p w14:paraId="02156185" w14:textId="7777777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Rule 1.1(2</w:t>
      </w:r>
      <w:proofErr w:type="gramStart"/>
      <w:r w:rsidRPr="005D348D">
        <w:rPr>
          <w:rFonts w:ascii="Times New Roman" w:hAnsi="Times New Roman" w:cs="Times New Roman"/>
          <w:sz w:val="20"/>
          <w:szCs w:val="20"/>
        </w:rPr>
        <w:t>)(</w:t>
      </w:r>
      <w:proofErr w:type="gramEnd"/>
      <w:r w:rsidRPr="005D348D">
        <w:rPr>
          <w:rFonts w:ascii="Times New Roman" w:hAnsi="Times New Roman" w:cs="Times New Roman"/>
          <w:sz w:val="20"/>
          <w:szCs w:val="20"/>
        </w:rPr>
        <w:t>c).</w:t>
      </w:r>
    </w:p>
  </w:footnote>
  <w:footnote w:id="65">
    <w:p w14:paraId="094ADDE6" w14:textId="7777777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Rule 1.1(2</w:t>
      </w:r>
      <w:proofErr w:type="gramStart"/>
      <w:r w:rsidRPr="005D348D">
        <w:rPr>
          <w:rFonts w:ascii="Times New Roman" w:hAnsi="Times New Roman" w:cs="Times New Roman"/>
          <w:sz w:val="20"/>
          <w:szCs w:val="20"/>
        </w:rPr>
        <w:t>)(</w:t>
      </w:r>
      <w:proofErr w:type="gramEnd"/>
      <w:r w:rsidRPr="005D348D">
        <w:rPr>
          <w:rFonts w:ascii="Times New Roman" w:hAnsi="Times New Roman" w:cs="Times New Roman"/>
          <w:sz w:val="20"/>
          <w:szCs w:val="20"/>
        </w:rPr>
        <w:t>d).</w:t>
      </w:r>
    </w:p>
  </w:footnote>
  <w:footnote w:id="66">
    <w:p w14:paraId="182F64FA" w14:textId="7777777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Rule 1.1(2</w:t>
      </w:r>
      <w:proofErr w:type="gramStart"/>
      <w:r w:rsidRPr="005D348D">
        <w:rPr>
          <w:rFonts w:ascii="Times New Roman" w:hAnsi="Times New Roman" w:cs="Times New Roman"/>
          <w:sz w:val="20"/>
          <w:szCs w:val="20"/>
        </w:rPr>
        <w:t>)(</w:t>
      </w:r>
      <w:proofErr w:type="gramEnd"/>
      <w:r w:rsidRPr="005D348D">
        <w:rPr>
          <w:rFonts w:ascii="Times New Roman" w:hAnsi="Times New Roman" w:cs="Times New Roman"/>
          <w:sz w:val="20"/>
          <w:szCs w:val="20"/>
        </w:rPr>
        <w:t>e).</w:t>
      </w:r>
    </w:p>
  </w:footnote>
  <w:footnote w:id="67">
    <w:p w14:paraId="6D417990" w14:textId="7777777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Rule 1.1(2</w:t>
      </w:r>
      <w:proofErr w:type="gramStart"/>
      <w:r w:rsidRPr="005D348D">
        <w:rPr>
          <w:rFonts w:ascii="Times New Roman" w:hAnsi="Times New Roman" w:cs="Times New Roman"/>
          <w:sz w:val="20"/>
          <w:szCs w:val="20"/>
        </w:rPr>
        <w:t>)(</w:t>
      </w:r>
      <w:proofErr w:type="gramEnd"/>
      <w:r w:rsidRPr="005D348D">
        <w:rPr>
          <w:rFonts w:ascii="Times New Roman" w:hAnsi="Times New Roman" w:cs="Times New Roman"/>
          <w:sz w:val="20"/>
          <w:szCs w:val="20"/>
        </w:rPr>
        <w:t>f).</w:t>
      </w:r>
    </w:p>
  </w:footnote>
  <w:footnote w:id="68">
    <w:p w14:paraId="03E18775" w14:textId="7777777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Rule 1.1(2</w:t>
      </w:r>
      <w:proofErr w:type="gramStart"/>
      <w:r w:rsidRPr="005D348D">
        <w:rPr>
          <w:rFonts w:ascii="Times New Roman" w:hAnsi="Times New Roman" w:cs="Times New Roman"/>
          <w:sz w:val="20"/>
          <w:szCs w:val="20"/>
        </w:rPr>
        <w:t>)(</w:t>
      </w:r>
      <w:proofErr w:type="gramEnd"/>
      <w:r w:rsidRPr="005D348D">
        <w:rPr>
          <w:rFonts w:ascii="Times New Roman" w:hAnsi="Times New Roman" w:cs="Times New Roman"/>
          <w:sz w:val="20"/>
          <w:szCs w:val="20"/>
        </w:rPr>
        <w:t>g)(</w:t>
      </w:r>
      <w:proofErr w:type="spellStart"/>
      <w:r w:rsidRPr="005D348D">
        <w:rPr>
          <w:rFonts w:ascii="Times New Roman" w:hAnsi="Times New Roman" w:cs="Times New Roman"/>
          <w:sz w:val="20"/>
          <w:szCs w:val="20"/>
        </w:rPr>
        <w:t>i</w:t>
      </w:r>
      <w:proofErr w:type="spellEnd"/>
      <w:r w:rsidRPr="005D348D">
        <w:rPr>
          <w:rFonts w:ascii="Times New Roman" w:hAnsi="Times New Roman" w:cs="Times New Roman"/>
          <w:sz w:val="20"/>
          <w:szCs w:val="20"/>
        </w:rPr>
        <w:t>)-(iv).</w:t>
      </w:r>
    </w:p>
  </w:footnote>
  <w:footnote w:id="69">
    <w:p w14:paraId="7C9664AF" w14:textId="7777777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r w:rsidRPr="005D348D">
        <w:rPr>
          <w:rFonts w:ascii="Times New Roman" w:hAnsi="Times New Roman" w:cs="Times New Roman"/>
          <w:i/>
          <w:sz w:val="20"/>
          <w:szCs w:val="20"/>
        </w:rPr>
        <w:t xml:space="preserve">R (on the application of the DPP) v Chorley Justices &amp; Anor </w:t>
      </w:r>
      <w:r w:rsidRPr="005D348D">
        <w:rPr>
          <w:rFonts w:ascii="Times New Roman" w:hAnsi="Times New Roman" w:cs="Times New Roman"/>
          <w:sz w:val="20"/>
          <w:szCs w:val="20"/>
        </w:rPr>
        <w:t xml:space="preserve">[2006] EWHC 1795 </w:t>
      </w:r>
    </w:p>
    <w:p w14:paraId="41090F44" w14:textId="0ED1A3CC" w:rsidR="009C1B8E" w:rsidRPr="005D348D" w:rsidRDefault="009C1B8E" w:rsidP="005D348D">
      <w:pPr>
        <w:pStyle w:val="FootnoteText"/>
        <w:jc w:val="both"/>
        <w:rPr>
          <w:rFonts w:ascii="Times New Roman" w:hAnsi="Times New Roman" w:cs="Times New Roman"/>
          <w:sz w:val="20"/>
          <w:szCs w:val="20"/>
        </w:rPr>
      </w:pPr>
      <w:proofErr w:type="gramStart"/>
      <w:r w:rsidRPr="005D348D">
        <w:rPr>
          <w:rFonts w:ascii="Times New Roman" w:hAnsi="Times New Roman" w:cs="Times New Roman"/>
          <w:sz w:val="20"/>
          <w:szCs w:val="20"/>
        </w:rPr>
        <w:t>per</w:t>
      </w:r>
      <w:proofErr w:type="gramEnd"/>
      <w:r w:rsidRPr="005D348D">
        <w:rPr>
          <w:rFonts w:ascii="Times New Roman" w:hAnsi="Times New Roman" w:cs="Times New Roman"/>
          <w:sz w:val="20"/>
          <w:szCs w:val="20"/>
        </w:rPr>
        <w:t xml:space="preserve"> Thom</w:t>
      </w:r>
      <w:r w:rsidR="0029093A">
        <w:rPr>
          <w:rFonts w:ascii="Times New Roman" w:hAnsi="Times New Roman" w:cs="Times New Roman"/>
          <w:sz w:val="20"/>
          <w:szCs w:val="20"/>
        </w:rPr>
        <w:t xml:space="preserve"> </w:t>
      </w:r>
      <w:r w:rsidRPr="005D348D">
        <w:rPr>
          <w:rFonts w:ascii="Times New Roman" w:hAnsi="Times New Roman" w:cs="Times New Roman"/>
          <w:sz w:val="20"/>
          <w:szCs w:val="20"/>
        </w:rPr>
        <w:t>as LJ at para 24.</w:t>
      </w:r>
    </w:p>
  </w:footnote>
  <w:footnote w:id="70">
    <w:p w14:paraId="75188C2B" w14:textId="1EFBB622" w:rsidR="0058726C" w:rsidRPr="005D348D" w:rsidRDefault="0058726C" w:rsidP="005D348D">
      <w:pPr>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r w:rsidRPr="005D348D">
        <w:rPr>
          <w:rFonts w:ascii="Times New Roman" w:hAnsi="Times New Roman" w:cs="Times New Roman"/>
          <w:sz w:val="20"/>
          <w:szCs w:val="20"/>
          <w:lang w:val="en-GB"/>
        </w:rPr>
        <w:t xml:space="preserve">Including, </w:t>
      </w:r>
      <w:r w:rsidRPr="005D348D">
        <w:rPr>
          <w:rFonts w:ascii="Times New Roman" w:hAnsi="Times New Roman" w:cs="Times New Roman"/>
          <w:i/>
          <w:sz w:val="20"/>
          <w:szCs w:val="20"/>
          <w:lang w:val="en-GB"/>
        </w:rPr>
        <w:t>inter alia ,</w:t>
      </w:r>
      <w:r w:rsidRPr="005D348D">
        <w:rPr>
          <w:rFonts w:ascii="Times New Roman" w:hAnsi="Times New Roman" w:cs="Times New Roman"/>
          <w:sz w:val="20"/>
          <w:szCs w:val="20"/>
        </w:rPr>
        <w:t xml:space="preserve"> (a) the early identification of the real issues (c) achieving certainty as to what must be done, and by whom, and when, in particular the early setting of a timetable for the progress, (e) ensuring that evidence is presented in the shortest and clearest way (f) discouraging delay and (g) encouraging participants to co-operate in the progression of the case</w:t>
      </w:r>
    </w:p>
  </w:footnote>
  <w:footnote w:id="71">
    <w:p w14:paraId="126414BC" w14:textId="18872219"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[2007] EWCA </w:t>
      </w:r>
      <w:proofErr w:type="spellStart"/>
      <w:r w:rsidRPr="005D348D">
        <w:rPr>
          <w:rFonts w:ascii="Times New Roman" w:hAnsi="Times New Roman" w:cs="Times New Roman"/>
          <w:sz w:val="20"/>
          <w:szCs w:val="20"/>
        </w:rPr>
        <w:t>Crim</w:t>
      </w:r>
      <w:proofErr w:type="spellEnd"/>
      <w:r w:rsidRPr="005D348D">
        <w:rPr>
          <w:rFonts w:ascii="Times New Roman" w:hAnsi="Times New Roman" w:cs="Times New Roman"/>
          <w:sz w:val="20"/>
          <w:szCs w:val="20"/>
        </w:rPr>
        <w:t xml:space="preserve"> 2485</w:t>
      </w:r>
    </w:p>
  </w:footnote>
  <w:footnote w:id="72">
    <w:p w14:paraId="3CDA7653" w14:textId="76C2EDDD"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 xml:space="preserve">ibid </w:t>
      </w:r>
      <w:r w:rsidRPr="005D348D">
        <w:rPr>
          <w:rFonts w:ascii="Times New Roman" w:hAnsi="Times New Roman" w:cs="Times New Roman"/>
          <w:sz w:val="20"/>
          <w:szCs w:val="20"/>
        </w:rPr>
        <w:t>per Moses LJ at 31.</w:t>
      </w:r>
      <w:proofErr w:type="gramEnd"/>
    </w:p>
  </w:footnote>
  <w:footnote w:id="73">
    <w:p w14:paraId="29620B58" w14:textId="6C05A2EB"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 xml:space="preserve">ibid </w:t>
      </w:r>
      <w:r w:rsidRPr="005D348D">
        <w:rPr>
          <w:rFonts w:ascii="Times New Roman" w:hAnsi="Times New Roman" w:cs="Times New Roman"/>
          <w:sz w:val="20"/>
          <w:szCs w:val="20"/>
        </w:rPr>
        <w:t>paras 37-41.</w:t>
      </w:r>
      <w:proofErr w:type="gramEnd"/>
      <w:r w:rsidRPr="005D348D">
        <w:rPr>
          <w:rFonts w:ascii="Times New Roman" w:hAnsi="Times New Roman" w:cs="Times New Roman"/>
          <w:sz w:val="20"/>
          <w:szCs w:val="20"/>
        </w:rPr>
        <w:t xml:space="preserve"> </w:t>
      </w:r>
    </w:p>
  </w:footnote>
  <w:footnote w:id="74">
    <w:p w14:paraId="77776202" w14:textId="644E0150"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Kay</w:t>
      </w:r>
      <w:r w:rsidRPr="005D348D">
        <w:rPr>
          <w:rFonts w:ascii="Times New Roman" w:hAnsi="Times New Roman" w:cs="Times New Roman"/>
          <w:sz w:val="20"/>
          <w:szCs w:val="20"/>
        </w:rPr>
        <w:t xml:space="preserve"> [2006] EWCA </w:t>
      </w:r>
      <w:proofErr w:type="spellStart"/>
      <w:r w:rsidRPr="005D348D">
        <w:rPr>
          <w:rFonts w:ascii="Times New Roman" w:hAnsi="Times New Roman" w:cs="Times New Roman"/>
          <w:sz w:val="20"/>
          <w:szCs w:val="20"/>
        </w:rPr>
        <w:t>Crim</w:t>
      </w:r>
      <w:proofErr w:type="spellEnd"/>
      <w:r w:rsidRPr="005D348D">
        <w:rPr>
          <w:rFonts w:ascii="Times New Roman" w:hAnsi="Times New Roman" w:cs="Times New Roman"/>
          <w:sz w:val="20"/>
          <w:szCs w:val="20"/>
        </w:rPr>
        <w:t xml:space="preserve"> 835.</w:t>
      </w:r>
      <w:proofErr w:type="gramEnd"/>
    </w:p>
  </w:footnote>
  <w:footnote w:id="75">
    <w:p w14:paraId="1F1250E1" w14:textId="75F04EE2"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sz w:val="20"/>
          <w:szCs w:val="20"/>
        </w:rPr>
        <w:t xml:space="preserve">[2005] EWCA </w:t>
      </w:r>
      <w:proofErr w:type="spellStart"/>
      <w:r w:rsidRPr="005D348D">
        <w:rPr>
          <w:rFonts w:ascii="Times New Roman" w:hAnsi="Times New Roman" w:cs="Times New Roman"/>
          <w:sz w:val="20"/>
          <w:szCs w:val="20"/>
        </w:rPr>
        <w:t>Crim</w:t>
      </w:r>
      <w:proofErr w:type="spellEnd"/>
      <w:r w:rsidRPr="005D348D">
        <w:rPr>
          <w:rFonts w:ascii="Times New Roman" w:hAnsi="Times New Roman" w:cs="Times New Roman"/>
          <w:sz w:val="20"/>
          <w:szCs w:val="20"/>
        </w:rPr>
        <w:t xml:space="preserve"> 805.</w:t>
      </w:r>
      <w:proofErr w:type="gramEnd"/>
      <w:r w:rsidRPr="005D348D">
        <w:rPr>
          <w:rFonts w:ascii="Times New Roman" w:hAnsi="Times New Roman" w:cs="Times New Roman"/>
          <w:sz w:val="20"/>
          <w:szCs w:val="20"/>
        </w:rPr>
        <w:t xml:space="preserve"> </w:t>
      </w:r>
    </w:p>
  </w:footnote>
  <w:footnote w:id="76">
    <w:p w14:paraId="5160769A" w14:textId="2FC28752"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 xml:space="preserve">ibid </w:t>
      </w:r>
      <w:r w:rsidRPr="005D348D">
        <w:rPr>
          <w:rFonts w:ascii="Times New Roman" w:hAnsi="Times New Roman" w:cs="Times New Roman"/>
          <w:sz w:val="20"/>
          <w:szCs w:val="20"/>
        </w:rPr>
        <w:t>per Dyson LJ at para 16.</w:t>
      </w:r>
      <w:proofErr w:type="gramEnd"/>
    </w:p>
  </w:footnote>
  <w:footnote w:id="77">
    <w:p w14:paraId="7DEF89A6" w14:textId="762807D5" w:rsidR="009C1B8E" w:rsidRPr="005D348D" w:rsidRDefault="009C1B8E" w:rsidP="005D348D">
      <w:pPr>
        <w:pStyle w:val="FootnoteText"/>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lang w:val="en-GB"/>
        </w:rPr>
        <w:t xml:space="preserve">R v </w:t>
      </w:r>
      <w:proofErr w:type="spellStart"/>
      <w:r w:rsidRPr="005D348D">
        <w:rPr>
          <w:rFonts w:ascii="Times New Roman" w:hAnsi="Times New Roman" w:cs="Times New Roman"/>
          <w:i/>
          <w:sz w:val="20"/>
          <w:szCs w:val="20"/>
          <w:lang w:val="en-GB"/>
        </w:rPr>
        <w:t>Cordingley</w:t>
      </w:r>
      <w:proofErr w:type="spellEnd"/>
      <w:r w:rsidRPr="005D348D">
        <w:rPr>
          <w:rFonts w:ascii="Times New Roman" w:hAnsi="Times New Roman" w:cs="Times New Roman"/>
          <w:i/>
          <w:sz w:val="20"/>
          <w:szCs w:val="20"/>
          <w:lang w:val="en-GB"/>
        </w:rPr>
        <w:t xml:space="preserve"> </w:t>
      </w:r>
      <w:r w:rsidRPr="005D348D">
        <w:rPr>
          <w:rFonts w:ascii="Times New Roman" w:hAnsi="Times New Roman" w:cs="Times New Roman"/>
          <w:sz w:val="20"/>
          <w:szCs w:val="20"/>
          <w:lang w:val="en-GB"/>
        </w:rPr>
        <w:t>[2007] EWCA Crim 2174.</w:t>
      </w:r>
      <w:proofErr w:type="gramEnd"/>
    </w:p>
  </w:footnote>
  <w:footnote w:id="78">
    <w:p w14:paraId="0955885E" w14:textId="31D8C3D1" w:rsidR="009C1B8E" w:rsidRPr="005D348D" w:rsidRDefault="009C1B8E" w:rsidP="005D348D">
      <w:pPr>
        <w:pStyle w:val="FootnoteText"/>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lang w:val="en-GB"/>
        </w:rPr>
        <w:t xml:space="preserve">ibid </w:t>
      </w:r>
      <w:r w:rsidRPr="005D348D">
        <w:rPr>
          <w:rFonts w:ascii="Times New Roman" w:hAnsi="Times New Roman" w:cs="Times New Roman"/>
          <w:sz w:val="20"/>
          <w:szCs w:val="20"/>
          <w:lang w:val="en-GB"/>
        </w:rPr>
        <w:t>per Laws LJ at para 12.</w:t>
      </w:r>
      <w:proofErr w:type="gramEnd"/>
    </w:p>
  </w:footnote>
  <w:footnote w:id="79">
    <w:p w14:paraId="1D84F439" w14:textId="63DCECE2" w:rsidR="009C1B8E" w:rsidRPr="005D348D" w:rsidRDefault="009C1B8E" w:rsidP="005D348D">
      <w:pPr>
        <w:pStyle w:val="FootnoteText"/>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lang w:val="en-GB"/>
        </w:rPr>
        <w:t>Ibid</w:t>
      </w:r>
      <w:r w:rsidRPr="005D348D">
        <w:rPr>
          <w:rFonts w:ascii="Times New Roman" w:hAnsi="Times New Roman" w:cs="Times New Roman"/>
          <w:sz w:val="20"/>
          <w:szCs w:val="20"/>
          <w:lang w:val="en-GB"/>
        </w:rPr>
        <w:t xml:space="preserve"> para 15.</w:t>
      </w:r>
      <w:proofErr w:type="gramEnd"/>
    </w:p>
  </w:footnote>
  <w:footnote w:id="80">
    <w:p w14:paraId="1FCA9563" w14:textId="029B9DFC" w:rsidR="009C1B8E" w:rsidRPr="005D348D" w:rsidRDefault="009C1B8E" w:rsidP="005D348D">
      <w:pPr>
        <w:pStyle w:val="FootnoteText"/>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sz w:val="20"/>
          <w:szCs w:val="20"/>
          <w:lang w:val="en-GB"/>
        </w:rPr>
        <w:t>[2008] EWCA Crim 2043.</w:t>
      </w:r>
      <w:proofErr w:type="gramEnd"/>
    </w:p>
  </w:footnote>
  <w:footnote w:id="81">
    <w:p w14:paraId="2BD6EF5C" w14:textId="3053B048" w:rsidR="009C1B8E" w:rsidRPr="005D348D" w:rsidRDefault="009C1B8E" w:rsidP="005D348D">
      <w:pPr>
        <w:pStyle w:val="FootnoteText"/>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lang w:val="en-GB"/>
        </w:rPr>
        <w:t xml:space="preserve">ibid </w:t>
      </w:r>
      <w:r w:rsidRPr="005D348D">
        <w:rPr>
          <w:rFonts w:ascii="Times New Roman" w:hAnsi="Times New Roman" w:cs="Times New Roman"/>
          <w:sz w:val="20"/>
          <w:szCs w:val="20"/>
          <w:lang w:val="en-GB"/>
        </w:rPr>
        <w:t>per Silber J at para 24.</w:t>
      </w:r>
      <w:proofErr w:type="gramEnd"/>
    </w:p>
  </w:footnote>
  <w:footnote w:id="82">
    <w:p w14:paraId="33A2E70A" w14:textId="495D3E8E"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sz w:val="20"/>
          <w:szCs w:val="20"/>
        </w:rPr>
        <w:t xml:space="preserve">[2011] EWCA </w:t>
      </w:r>
      <w:proofErr w:type="spellStart"/>
      <w:r w:rsidRPr="005D348D">
        <w:rPr>
          <w:rFonts w:ascii="Times New Roman" w:hAnsi="Times New Roman" w:cs="Times New Roman"/>
          <w:sz w:val="20"/>
          <w:szCs w:val="20"/>
        </w:rPr>
        <w:t>Crim</w:t>
      </w:r>
      <w:proofErr w:type="spellEnd"/>
      <w:r w:rsidRPr="005D348D">
        <w:rPr>
          <w:rFonts w:ascii="Times New Roman" w:hAnsi="Times New Roman" w:cs="Times New Roman"/>
          <w:sz w:val="20"/>
          <w:szCs w:val="20"/>
        </w:rPr>
        <w:t xml:space="preserve"> 271.</w:t>
      </w:r>
      <w:proofErr w:type="gramEnd"/>
    </w:p>
  </w:footnote>
  <w:footnote w:id="83">
    <w:p w14:paraId="02B4BBB0" w14:textId="0EB56B9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 xml:space="preserve">Ibid </w:t>
      </w:r>
      <w:r w:rsidRPr="005D348D">
        <w:rPr>
          <w:rFonts w:ascii="Times New Roman" w:hAnsi="Times New Roman" w:cs="Times New Roman"/>
          <w:sz w:val="20"/>
          <w:szCs w:val="20"/>
        </w:rPr>
        <w:t xml:space="preserve">per </w:t>
      </w:r>
      <w:proofErr w:type="spellStart"/>
      <w:r w:rsidRPr="005D348D">
        <w:rPr>
          <w:rFonts w:ascii="Times New Roman" w:hAnsi="Times New Roman" w:cs="Times New Roman"/>
          <w:sz w:val="20"/>
          <w:szCs w:val="20"/>
        </w:rPr>
        <w:t>Wilkie</w:t>
      </w:r>
      <w:proofErr w:type="spellEnd"/>
      <w:r w:rsidRPr="005D348D">
        <w:rPr>
          <w:rFonts w:ascii="Times New Roman" w:hAnsi="Times New Roman" w:cs="Times New Roman"/>
          <w:sz w:val="20"/>
          <w:szCs w:val="20"/>
        </w:rPr>
        <w:t xml:space="preserve"> J at para 27.</w:t>
      </w:r>
      <w:proofErr w:type="gramEnd"/>
    </w:p>
  </w:footnote>
  <w:footnote w:id="84">
    <w:p w14:paraId="5FE37B44" w14:textId="32D75850"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 xml:space="preserve">Ibid </w:t>
      </w:r>
      <w:r w:rsidRPr="005D348D">
        <w:rPr>
          <w:rFonts w:ascii="Times New Roman" w:hAnsi="Times New Roman" w:cs="Times New Roman"/>
          <w:sz w:val="20"/>
          <w:szCs w:val="20"/>
        </w:rPr>
        <w:t>at para 29.</w:t>
      </w:r>
      <w:proofErr w:type="gramEnd"/>
    </w:p>
  </w:footnote>
  <w:footnote w:id="85">
    <w:p w14:paraId="3EB80BB2" w14:textId="21B5FF23"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sz w:val="20"/>
          <w:szCs w:val="20"/>
        </w:rPr>
        <w:t xml:space="preserve">[2011] EWCA </w:t>
      </w:r>
      <w:proofErr w:type="spellStart"/>
      <w:r w:rsidRPr="005D348D">
        <w:rPr>
          <w:rFonts w:ascii="Times New Roman" w:hAnsi="Times New Roman" w:cs="Times New Roman"/>
          <w:sz w:val="20"/>
          <w:szCs w:val="20"/>
        </w:rPr>
        <w:t>Crim</w:t>
      </w:r>
      <w:proofErr w:type="spellEnd"/>
      <w:r w:rsidRPr="005D348D">
        <w:rPr>
          <w:rFonts w:ascii="Times New Roman" w:hAnsi="Times New Roman" w:cs="Times New Roman"/>
          <w:sz w:val="20"/>
          <w:szCs w:val="20"/>
        </w:rPr>
        <w:t xml:space="preserve"> 2526.</w:t>
      </w:r>
      <w:proofErr w:type="gramEnd"/>
    </w:p>
  </w:footnote>
  <w:footnote w:id="86">
    <w:p w14:paraId="5E3B1BB5" w14:textId="50A7E988" w:rsidR="009C1B8E" w:rsidRPr="005D348D" w:rsidRDefault="009C1B8E" w:rsidP="005D348D">
      <w:pPr>
        <w:pStyle w:val="FootnoteText"/>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r w:rsidR="0063089B" w:rsidRPr="005D348D">
        <w:rPr>
          <w:rFonts w:ascii="Times New Roman" w:hAnsi="Times New Roman" w:cs="Times New Roman"/>
          <w:sz w:val="20"/>
          <w:szCs w:val="20"/>
        </w:rPr>
        <w:t xml:space="preserve">For a critical evaluation of adversarial theory see </w:t>
      </w:r>
      <w:r w:rsidRPr="005D348D">
        <w:rPr>
          <w:rStyle w:val="author"/>
          <w:rFonts w:ascii="Times New Roman" w:hAnsi="Times New Roman" w:cs="Times New Roman"/>
          <w:iCs/>
          <w:sz w:val="20"/>
          <w:szCs w:val="20"/>
          <w:lang w:val="en"/>
        </w:rPr>
        <w:t xml:space="preserve">M.R. </w:t>
      </w:r>
      <w:proofErr w:type="spellStart"/>
      <w:r w:rsidRPr="005D348D">
        <w:rPr>
          <w:rStyle w:val="author"/>
          <w:rFonts w:ascii="Times New Roman" w:hAnsi="Times New Roman" w:cs="Times New Roman"/>
          <w:iCs/>
          <w:sz w:val="20"/>
          <w:szCs w:val="20"/>
          <w:lang w:val="en"/>
        </w:rPr>
        <w:t>Damaška</w:t>
      </w:r>
      <w:proofErr w:type="spellEnd"/>
      <w:r w:rsidRPr="005D348D">
        <w:rPr>
          <w:rStyle w:val="author"/>
          <w:rFonts w:ascii="Times New Roman" w:hAnsi="Times New Roman" w:cs="Times New Roman"/>
          <w:i/>
          <w:iCs/>
          <w:sz w:val="20"/>
          <w:szCs w:val="20"/>
          <w:lang w:val="en"/>
        </w:rPr>
        <w:t xml:space="preserve"> </w:t>
      </w:r>
      <w:r w:rsidRPr="005D348D">
        <w:rPr>
          <w:rStyle w:val="booktitle2"/>
          <w:rFonts w:ascii="Times New Roman" w:hAnsi="Times New Roman" w:cs="Times New Roman"/>
          <w:sz w:val="20"/>
          <w:szCs w:val="20"/>
          <w:lang w:val="en"/>
        </w:rPr>
        <w:t>Evidence Law Adrift</w:t>
      </w:r>
      <w:r w:rsidRPr="005D348D">
        <w:rPr>
          <w:rFonts w:ascii="Times New Roman" w:hAnsi="Times New Roman" w:cs="Times New Roman"/>
          <w:i/>
          <w:iCs/>
          <w:sz w:val="20"/>
          <w:szCs w:val="20"/>
          <w:lang w:val="en"/>
        </w:rPr>
        <w:t xml:space="preserve"> </w:t>
      </w:r>
      <w:r w:rsidRPr="005D348D">
        <w:rPr>
          <w:rFonts w:ascii="Times New Roman" w:hAnsi="Times New Roman" w:cs="Times New Roman"/>
          <w:iCs/>
          <w:sz w:val="20"/>
          <w:szCs w:val="20"/>
          <w:lang w:val="en"/>
        </w:rPr>
        <w:t xml:space="preserve">(New Haven: Yale University Press, </w:t>
      </w:r>
      <w:r w:rsidRPr="005D348D">
        <w:rPr>
          <w:rStyle w:val="pubyear"/>
          <w:rFonts w:ascii="Times New Roman" w:hAnsi="Times New Roman" w:cs="Times New Roman"/>
          <w:iCs/>
          <w:sz w:val="20"/>
          <w:szCs w:val="20"/>
          <w:lang w:val="en"/>
        </w:rPr>
        <w:t>1997</w:t>
      </w:r>
      <w:r w:rsidRPr="005D348D">
        <w:rPr>
          <w:rFonts w:ascii="Times New Roman" w:hAnsi="Times New Roman" w:cs="Times New Roman"/>
          <w:iCs/>
          <w:sz w:val="20"/>
          <w:szCs w:val="20"/>
          <w:lang w:val="en"/>
        </w:rPr>
        <w:t>)</w:t>
      </w:r>
      <w:r w:rsidRPr="005D348D">
        <w:rPr>
          <w:rFonts w:ascii="Times New Roman" w:hAnsi="Times New Roman" w:cs="Times New Roman"/>
          <w:sz w:val="20"/>
          <w:szCs w:val="20"/>
          <w:lang w:val="en"/>
        </w:rPr>
        <w:t>.</w:t>
      </w:r>
    </w:p>
  </w:footnote>
  <w:footnote w:id="87">
    <w:p w14:paraId="5E09CE2E" w14:textId="5475A145" w:rsidR="009C1B8E" w:rsidRPr="005D348D" w:rsidRDefault="009C1B8E" w:rsidP="005D348D">
      <w:pPr>
        <w:pStyle w:val="FootnoteText"/>
        <w:jc w:val="both"/>
        <w:rPr>
          <w:rFonts w:ascii="Times New Roman" w:hAnsi="Times New Roman" w:cs="Times New Roman"/>
          <w:i/>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J. McEwan ‘From Adversarialism to Managerialism: Criminal Justice in Transition’ </w:t>
      </w:r>
      <w:r w:rsidRPr="005D348D">
        <w:rPr>
          <w:rFonts w:ascii="Times New Roman" w:hAnsi="Times New Roman" w:cs="Times New Roman"/>
          <w:i/>
          <w:sz w:val="20"/>
          <w:szCs w:val="20"/>
        </w:rPr>
        <w:t xml:space="preserve">Legal Studies, </w:t>
      </w:r>
      <w:r w:rsidRPr="005D348D">
        <w:rPr>
          <w:rFonts w:ascii="Times New Roman" w:hAnsi="Times New Roman" w:cs="Times New Roman"/>
          <w:sz w:val="20"/>
          <w:szCs w:val="20"/>
        </w:rPr>
        <w:t xml:space="preserve">Vol. 31 No 4 at 520. </w:t>
      </w:r>
    </w:p>
  </w:footnote>
  <w:footnote w:id="88">
    <w:p w14:paraId="153EA8A9" w14:textId="13AA9AEE"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 Hawkins, </w:t>
      </w:r>
      <w:r w:rsidRPr="005D348D">
        <w:rPr>
          <w:rFonts w:ascii="Times New Roman" w:hAnsi="Times New Roman" w:cs="Times New Roman"/>
          <w:i/>
          <w:sz w:val="20"/>
          <w:szCs w:val="20"/>
        </w:rPr>
        <w:t>A Treatise of the Please of the Crown</w:t>
      </w:r>
      <w:proofErr w:type="gramStart"/>
      <w:r w:rsidRPr="005D348D">
        <w:rPr>
          <w:rFonts w:ascii="Times New Roman" w:hAnsi="Times New Roman" w:cs="Times New Roman"/>
          <w:sz w:val="20"/>
          <w:szCs w:val="20"/>
        </w:rPr>
        <w:t>,  Vol</w:t>
      </w:r>
      <w:proofErr w:type="gramEnd"/>
      <w:r w:rsidRPr="005D348D">
        <w:rPr>
          <w:rFonts w:ascii="Times New Roman" w:hAnsi="Times New Roman" w:cs="Times New Roman"/>
          <w:sz w:val="20"/>
          <w:szCs w:val="20"/>
        </w:rPr>
        <w:t xml:space="preserve"> II, (London 1721) cited in. J. H. </w:t>
      </w:r>
      <w:proofErr w:type="spellStart"/>
      <w:r w:rsidRPr="005D348D">
        <w:rPr>
          <w:rFonts w:ascii="Times New Roman" w:hAnsi="Times New Roman" w:cs="Times New Roman"/>
          <w:sz w:val="20"/>
          <w:szCs w:val="20"/>
        </w:rPr>
        <w:t>Langbein</w:t>
      </w:r>
      <w:proofErr w:type="spellEnd"/>
      <w:r w:rsidRPr="005D348D">
        <w:rPr>
          <w:rFonts w:ascii="Times New Roman" w:hAnsi="Times New Roman" w:cs="Times New Roman"/>
          <w:sz w:val="20"/>
          <w:szCs w:val="20"/>
        </w:rPr>
        <w:t xml:space="preserve">, </w:t>
      </w:r>
      <w:r w:rsidRPr="005D348D">
        <w:rPr>
          <w:rFonts w:ascii="Times New Roman" w:hAnsi="Times New Roman" w:cs="Times New Roman"/>
          <w:i/>
          <w:sz w:val="20"/>
          <w:szCs w:val="20"/>
        </w:rPr>
        <w:t>The Origins of the Adversary Criminal Trial</w:t>
      </w:r>
      <w:r w:rsidRPr="005D348D">
        <w:rPr>
          <w:rFonts w:ascii="Times New Roman" w:hAnsi="Times New Roman" w:cs="Times New Roman"/>
          <w:sz w:val="20"/>
          <w:szCs w:val="20"/>
        </w:rPr>
        <w:t>, 2003, (Oxford: Oxford University Press) p.171.</w:t>
      </w:r>
    </w:p>
  </w:footnote>
  <w:footnote w:id="89">
    <w:p w14:paraId="52934EE9" w14:textId="326AAD6D"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supra</w:t>
      </w:r>
      <w:proofErr w:type="gramEnd"/>
      <w:r w:rsidRPr="005D348D">
        <w:rPr>
          <w:rFonts w:ascii="Times New Roman" w:hAnsi="Times New Roman" w:cs="Times New Roman"/>
          <w:i/>
          <w:sz w:val="20"/>
          <w:szCs w:val="20"/>
        </w:rPr>
        <w:t xml:space="preserve"> </w:t>
      </w:r>
      <w:r w:rsidRPr="005D348D">
        <w:rPr>
          <w:rFonts w:ascii="Times New Roman" w:hAnsi="Times New Roman" w:cs="Times New Roman"/>
          <w:sz w:val="20"/>
          <w:szCs w:val="20"/>
        </w:rPr>
        <w:t>n.1 at p.331.</w:t>
      </w:r>
    </w:p>
  </w:footnote>
  <w:footnote w:id="90">
    <w:p w14:paraId="340933E4" w14:textId="1E24DFB0"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 xml:space="preserve">ibid </w:t>
      </w:r>
      <w:r w:rsidRPr="005D348D">
        <w:rPr>
          <w:rFonts w:ascii="Times New Roman" w:hAnsi="Times New Roman" w:cs="Times New Roman"/>
          <w:sz w:val="20"/>
          <w:szCs w:val="20"/>
        </w:rPr>
        <w:t>at p.332.</w:t>
      </w:r>
      <w:proofErr w:type="gramEnd"/>
    </w:p>
  </w:footnote>
  <w:footnote w:id="91">
    <w:p w14:paraId="38ABF119" w14:textId="290304AA"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[2003] EWCA </w:t>
      </w:r>
      <w:proofErr w:type="spellStart"/>
      <w:r w:rsidRPr="005D348D">
        <w:rPr>
          <w:rFonts w:ascii="Times New Roman" w:hAnsi="Times New Roman" w:cs="Times New Roman"/>
          <w:sz w:val="20"/>
          <w:szCs w:val="20"/>
        </w:rPr>
        <w:t>Crim</w:t>
      </w:r>
      <w:proofErr w:type="spellEnd"/>
      <w:r w:rsidRPr="005D348D">
        <w:rPr>
          <w:rFonts w:ascii="Times New Roman" w:hAnsi="Times New Roman" w:cs="Times New Roman"/>
          <w:sz w:val="20"/>
          <w:szCs w:val="20"/>
        </w:rPr>
        <w:t xml:space="preserve"> 3357</w:t>
      </w:r>
    </w:p>
  </w:footnote>
  <w:footnote w:id="92">
    <w:p w14:paraId="234409AD" w14:textId="0CF1411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 xml:space="preserve">ibid </w:t>
      </w:r>
      <w:r w:rsidRPr="005D348D">
        <w:rPr>
          <w:rFonts w:ascii="Times New Roman" w:hAnsi="Times New Roman" w:cs="Times New Roman"/>
          <w:sz w:val="20"/>
          <w:szCs w:val="20"/>
        </w:rPr>
        <w:t>per Auld LJ at para 35.</w:t>
      </w:r>
      <w:proofErr w:type="gramEnd"/>
    </w:p>
  </w:footnote>
  <w:footnote w:id="93">
    <w:p w14:paraId="0E4513A3" w14:textId="1325F849" w:rsidR="009F1847" w:rsidRPr="005D348D" w:rsidRDefault="009F1847" w:rsidP="005D348D">
      <w:pPr>
        <w:pStyle w:val="FootnoteText"/>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r w:rsidRPr="005D348D">
        <w:rPr>
          <w:rFonts w:ascii="Times New Roman" w:hAnsi="Times New Roman" w:cs="Times New Roman"/>
          <w:sz w:val="20"/>
          <w:szCs w:val="20"/>
          <w:lang w:val="en-GB"/>
        </w:rPr>
        <w:t xml:space="preserve">J. Chalmers, F. </w:t>
      </w:r>
      <w:proofErr w:type="spellStart"/>
      <w:r w:rsidRPr="005D348D">
        <w:rPr>
          <w:rFonts w:ascii="Times New Roman" w:hAnsi="Times New Roman" w:cs="Times New Roman"/>
          <w:sz w:val="20"/>
          <w:szCs w:val="20"/>
          <w:lang w:val="en-GB"/>
        </w:rPr>
        <w:t>Leverick</w:t>
      </w:r>
      <w:proofErr w:type="spellEnd"/>
      <w:r w:rsidRPr="005D348D">
        <w:rPr>
          <w:rFonts w:ascii="Times New Roman" w:hAnsi="Times New Roman" w:cs="Times New Roman"/>
          <w:sz w:val="20"/>
          <w:szCs w:val="20"/>
          <w:lang w:val="en-GB"/>
        </w:rPr>
        <w:t xml:space="preserve"> and L. Farmer, </w:t>
      </w:r>
      <w:r w:rsidRPr="005D348D">
        <w:rPr>
          <w:rFonts w:ascii="Times New Roman" w:hAnsi="Times New Roman" w:cs="Times New Roman"/>
          <w:i/>
          <w:sz w:val="20"/>
          <w:szCs w:val="20"/>
          <w:lang w:val="en-GB"/>
        </w:rPr>
        <w:t>Essays in Criminal law in Honour of Sir Gerald Gordon</w:t>
      </w:r>
      <w:r w:rsidRPr="005D348D">
        <w:rPr>
          <w:rFonts w:ascii="Times New Roman" w:hAnsi="Times New Roman" w:cs="Times New Roman"/>
          <w:sz w:val="20"/>
          <w:szCs w:val="20"/>
          <w:lang w:val="en-GB"/>
        </w:rPr>
        <w:t>, 2010 (Edinburgh: Edinburgh University Press) p.323.</w:t>
      </w:r>
    </w:p>
  </w:footnote>
  <w:footnote w:id="94">
    <w:p w14:paraId="5677C3D4" w14:textId="2E3DEE09"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Rule 3.2(1</w:t>
      </w:r>
      <w:proofErr w:type="gramStart"/>
      <w:r w:rsidRPr="005D348D">
        <w:rPr>
          <w:rFonts w:ascii="Times New Roman" w:hAnsi="Times New Roman" w:cs="Times New Roman"/>
          <w:sz w:val="20"/>
          <w:szCs w:val="20"/>
        </w:rPr>
        <w:t>)(</w:t>
      </w:r>
      <w:proofErr w:type="gramEnd"/>
      <w:r w:rsidRPr="005D348D">
        <w:rPr>
          <w:rFonts w:ascii="Times New Roman" w:hAnsi="Times New Roman" w:cs="Times New Roman"/>
          <w:sz w:val="20"/>
          <w:szCs w:val="20"/>
        </w:rPr>
        <w:t>a) Criminal Procedure Rules 2013.</w:t>
      </w:r>
    </w:p>
  </w:footnote>
  <w:footnote w:id="95">
    <w:p w14:paraId="35268760" w14:textId="631E40E5" w:rsidR="00033798" w:rsidRPr="005D348D" w:rsidRDefault="00033798" w:rsidP="005D348D">
      <w:pPr>
        <w:pStyle w:val="FootnoteText"/>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sz w:val="20"/>
          <w:szCs w:val="20"/>
        </w:rPr>
        <w:t>Section 5.</w:t>
      </w:r>
      <w:proofErr w:type="gramEnd"/>
    </w:p>
  </w:footnote>
  <w:footnote w:id="96">
    <w:p w14:paraId="12A3589C" w14:textId="4E0595C2"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S.6 Criminal Procedure and Investigations Act 1996. </w:t>
      </w:r>
    </w:p>
  </w:footnote>
  <w:footnote w:id="97">
    <w:p w14:paraId="046EBECF" w14:textId="40606630" w:rsidR="00033798" w:rsidRPr="005D348D" w:rsidRDefault="00033798" w:rsidP="005D348D">
      <w:pPr>
        <w:pStyle w:val="FootnoteText"/>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Active case management includes is defined in Rule 3.2(1</w:t>
      </w:r>
      <w:proofErr w:type="gramStart"/>
      <w:r w:rsidRPr="005D348D">
        <w:rPr>
          <w:rFonts w:ascii="Times New Roman" w:hAnsi="Times New Roman" w:cs="Times New Roman"/>
          <w:sz w:val="20"/>
          <w:szCs w:val="20"/>
        </w:rPr>
        <w:t>)(</w:t>
      </w:r>
      <w:proofErr w:type="gramEnd"/>
      <w:r w:rsidRPr="005D348D">
        <w:rPr>
          <w:rFonts w:ascii="Times New Roman" w:hAnsi="Times New Roman" w:cs="Times New Roman"/>
          <w:sz w:val="20"/>
          <w:szCs w:val="20"/>
        </w:rPr>
        <w:t xml:space="preserve">2)(a)-(h) </w:t>
      </w:r>
      <w:proofErr w:type="spellStart"/>
      <w:r w:rsidR="00D867C4">
        <w:rPr>
          <w:rFonts w:ascii="Times New Roman" w:hAnsi="Times New Roman" w:cs="Times New Roman"/>
          <w:sz w:val="20"/>
          <w:szCs w:val="20"/>
        </w:rPr>
        <w:t>see n</w:t>
      </w:r>
      <w:proofErr w:type="spellEnd"/>
      <w:r w:rsidR="00D867C4">
        <w:rPr>
          <w:rFonts w:ascii="Times New Roman" w:hAnsi="Times New Roman" w:cs="Times New Roman"/>
          <w:sz w:val="20"/>
          <w:szCs w:val="20"/>
        </w:rPr>
        <w:t>.71</w:t>
      </w:r>
      <w:r w:rsidRPr="005D348D">
        <w:rPr>
          <w:rFonts w:ascii="Times New Roman" w:hAnsi="Times New Roman" w:cs="Times New Roman"/>
          <w:sz w:val="20"/>
          <w:szCs w:val="20"/>
        </w:rPr>
        <w:t>.</w:t>
      </w:r>
    </w:p>
  </w:footnote>
  <w:footnote w:id="98">
    <w:p w14:paraId="031673B6" w14:textId="7FFADCE9" w:rsidR="009C1B8E" w:rsidRPr="005D348D" w:rsidRDefault="009C1B8E" w:rsidP="005D348D">
      <w:pPr>
        <w:pStyle w:val="FootnoteText"/>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Andrew Keogh argues the case management form is analogous to the defence statement in the Crown Court. See A. Keogh ‘Criminal Case Management – Is the Game Over</w:t>
      </w:r>
      <w:proofErr w:type="gramStart"/>
      <w:r w:rsidR="000B14E7">
        <w:rPr>
          <w:rFonts w:ascii="Times New Roman" w:hAnsi="Times New Roman" w:cs="Times New Roman"/>
          <w:sz w:val="20"/>
          <w:szCs w:val="20"/>
        </w:rPr>
        <w:t>?,</w:t>
      </w:r>
      <w:proofErr w:type="gramEnd"/>
      <w:r w:rsidRPr="005D348D">
        <w:rPr>
          <w:rFonts w:ascii="Times New Roman" w:hAnsi="Times New Roman" w:cs="Times New Roman"/>
          <w:sz w:val="20"/>
          <w:szCs w:val="20"/>
        </w:rPr>
        <w:t xml:space="preserve"> Eldon Lecture Series, (2011) Northumbria University School of Law.</w:t>
      </w:r>
    </w:p>
  </w:footnote>
  <w:footnote w:id="99">
    <w:p w14:paraId="746AFE77" w14:textId="758FB87D" w:rsidR="00033798" w:rsidRPr="005D348D" w:rsidRDefault="00033798" w:rsidP="005D348D">
      <w:pPr>
        <w:pStyle w:val="FootnoteText"/>
        <w:jc w:val="both"/>
        <w:rPr>
          <w:rFonts w:ascii="Times New Roman" w:hAnsi="Times New Roman" w:cs="Times New Roman"/>
          <w:sz w:val="20"/>
          <w:szCs w:val="20"/>
          <w:lang w:val="en-GB"/>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Previously, defence alibi witnesses had to be disclosed by virtue of S.11 Criminal Justice Act 1967 and in fraud trials the defendant had to outline his defence in general terms. However, if the defence to the fraud charge was based on alibi or expert evidence then fuller disclosure was required.</w:t>
      </w:r>
    </w:p>
  </w:footnote>
  <w:footnote w:id="100">
    <w:p w14:paraId="45984D23" w14:textId="2B1F2A53"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The Fraud Trials Committee, Chairman: The Right Honorable Lord Roskill, P.C, (HMSO: 1986) p104 at para 6.75.</w:t>
      </w:r>
    </w:p>
  </w:footnote>
  <w:footnote w:id="101">
    <w:p w14:paraId="40B7F5F4" w14:textId="14993F60"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See </w:t>
      </w:r>
      <w:r w:rsidRPr="005D348D">
        <w:rPr>
          <w:rFonts w:ascii="Times New Roman" w:hAnsi="Times New Roman" w:cs="Times New Roman"/>
          <w:i/>
          <w:sz w:val="20"/>
          <w:szCs w:val="20"/>
        </w:rPr>
        <w:t>Gleeson</w:t>
      </w:r>
      <w:r w:rsidRPr="005D348D">
        <w:rPr>
          <w:rFonts w:ascii="Times New Roman" w:hAnsi="Times New Roman" w:cs="Times New Roman"/>
          <w:sz w:val="20"/>
          <w:szCs w:val="20"/>
        </w:rPr>
        <w:t xml:space="preserve"> n.87.</w:t>
      </w:r>
    </w:p>
  </w:footnote>
  <w:footnote w:id="102">
    <w:p w14:paraId="5A945317" w14:textId="75EE0062"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above n.49</w:t>
      </w:r>
    </w:p>
  </w:footnote>
  <w:footnote w:id="103">
    <w:p w14:paraId="66E74ED7" w14:textId="340AB955"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Supra</w:t>
      </w:r>
      <w:r w:rsidRPr="005D348D">
        <w:rPr>
          <w:rFonts w:ascii="Times New Roman" w:hAnsi="Times New Roman" w:cs="Times New Roman"/>
          <w:sz w:val="20"/>
          <w:szCs w:val="20"/>
        </w:rPr>
        <w:t xml:space="preserve"> n 69.</w:t>
      </w:r>
      <w:proofErr w:type="gramEnd"/>
    </w:p>
  </w:footnote>
  <w:footnote w:id="104">
    <w:p w14:paraId="09CCDE25" w14:textId="118A7FF7"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r w:rsidRPr="005D348D">
        <w:rPr>
          <w:rFonts w:ascii="Times New Roman" w:hAnsi="Times New Roman" w:cs="Times New Roman"/>
          <w:i/>
          <w:sz w:val="20"/>
          <w:szCs w:val="20"/>
        </w:rPr>
        <w:t>Supra</w:t>
      </w:r>
      <w:r w:rsidRPr="005D348D">
        <w:rPr>
          <w:rFonts w:ascii="Times New Roman" w:hAnsi="Times New Roman" w:cs="Times New Roman"/>
          <w:sz w:val="20"/>
          <w:szCs w:val="20"/>
        </w:rPr>
        <w:t xml:space="preserve"> n73</w:t>
      </w:r>
    </w:p>
  </w:footnote>
  <w:footnote w:id="105">
    <w:p w14:paraId="4609CA26" w14:textId="78DB2F28"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t>
      </w:r>
      <w:proofErr w:type="gramStart"/>
      <w:r w:rsidRPr="005D348D">
        <w:rPr>
          <w:rFonts w:ascii="Times New Roman" w:hAnsi="Times New Roman" w:cs="Times New Roman"/>
          <w:i/>
          <w:sz w:val="20"/>
          <w:szCs w:val="20"/>
        </w:rPr>
        <w:t xml:space="preserve">Supra </w:t>
      </w:r>
      <w:r w:rsidRPr="005D348D">
        <w:rPr>
          <w:rFonts w:ascii="Times New Roman" w:hAnsi="Times New Roman" w:cs="Times New Roman"/>
          <w:sz w:val="20"/>
          <w:szCs w:val="20"/>
        </w:rPr>
        <w:t xml:space="preserve"> n.79</w:t>
      </w:r>
      <w:proofErr w:type="gramEnd"/>
      <w:r w:rsidRPr="005D348D">
        <w:rPr>
          <w:rFonts w:ascii="Times New Roman" w:hAnsi="Times New Roman" w:cs="Times New Roman"/>
          <w:sz w:val="20"/>
          <w:szCs w:val="20"/>
        </w:rPr>
        <w:t>.</w:t>
      </w:r>
    </w:p>
  </w:footnote>
  <w:footnote w:id="106">
    <w:p w14:paraId="52A585F1" w14:textId="3C7645CE"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J. McEwan ‘From Adversarialism to Managerialism: Criminal Justice in Transition’ </w:t>
      </w:r>
      <w:r w:rsidRPr="005D348D">
        <w:rPr>
          <w:rFonts w:ascii="Times New Roman" w:hAnsi="Times New Roman" w:cs="Times New Roman"/>
          <w:i/>
          <w:sz w:val="20"/>
          <w:szCs w:val="20"/>
        </w:rPr>
        <w:t xml:space="preserve">Legal Studies, </w:t>
      </w:r>
      <w:r w:rsidRPr="005D348D">
        <w:rPr>
          <w:rFonts w:ascii="Times New Roman" w:hAnsi="Times New Roman" w:cs="Times New Roman"/>
          <w:sz w:val="20"/>
          <w:szCs w:val="20"/>
        </w:rPr>
        <w:t>Vol. 31 No 4 at 544.</w:t>
      </w:r>
    </w:p>
  </w:footnote>
  <w:footnote w:id="107">
    <w:p w14:paraId="3A70E48F" w14:textId="0411A21A"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Rule 3.5(6</w:t>
      </w:r>
      <w:proofErr w:type="gramStart"/>
      <w:r w:rsidRPr="005D348D">
        <w:rPr>
          <w:rFonts w:ascii="Times New Roman" w:hAnsi="Times New Roman" w:cs="Times New Roman"/>
          <w:sz w:val="20"/>
          <w:szCs w:val="20"/>
        </w:rPr>
        <w:t>)(</w:t>
      </w:r>
      <w:proofErr w:type="gramEnd"/>
      <w:r w:rsidRPr="005D348D">
        <w:rPr>
          <w:rFonts w:ascii="Times New Roman" w:hAnsi="Times New Roman" w:cs="Times New Roman"/>
          <w:sz w:val="20"/>
          <w:szCs w:val="20"/>
        </w:rPr>
        <w:t>a) -(c).</w:t>
      </w:r>
    </w:p>
  </w:footnote>
  <w:footnote w:id="108">
    <w:p w14:paraId="04E7A824" w14:textId="7D2131EE"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Although historically , there has been great difficulty in finding a suitable sanction for procedural failures For an in-depth discussion of this issue please see H.S. Quirk ‘The Significance of Culture in Criminal Procedure Reform: Why the revised disclosure scheme cannot work’</w:t>
      </w:r>
      <w:r w:rsidRPr="005D348D">
        <w:rPr>
          <w:rFonts w:ascii="Times New Roman" w:hAnsi="Times New Roman" w:cs="Times New Roman"/>
          <w:i/>
          <w:sz w:val="20"/>
          <w:szCs w:val="20"/>
        </w:rPr>
        <w:t xml:space="preserve"> The International Journal of Evidence and Proof</w:t>
      </w:r>
      <w:r w:rsidRPr="005D348D">
        <w:rPr>
          <w:rFonts w:ascii="Times New Roman" w:hAnsi="Times New Roman" w:cs="Times New Roman"/>
          <w:sz w:val="20"/>
          <w:szCs w:val="20"/>
        </w:rPr>
        <w:t>, 10(1), (2006) 42-59.</w:t>
      </w:r>
    </w:p>
  </w:footnote>
  <w:footnote w:id="109">
    <w:p w14:paraId="6F12C39A" w14:textId="3E309F3E"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D. Corker and S. Parkinson, </w:t>
      </w:r>
      <w:r w:rsidRPr="005D348D">
        <w:rPr>
          <w:rFonts w:ascii="Times New Roman" w:hAnsi="Times New Roman" w:cs="Times New Roman"/>
          <w:i/>
          <w:sz w:val="20"/>
          <w:szCs w:val="20"/>
        </w:rPr>
        <w:t xml:space="preserve">Disclosure in Criminal Proceedings, </w:t>
      </w:r>
      <w:r w:rsidRPr="005D348D">
        <w:rPr>
          <w:rFonts w:ascii="Times New Roman" w:hAnsi="Times New Roman" w:cs="Times New Roman"/>
          <w:sz w:val="20"/>
          <w:szCs w:val="20"/>
        </w:rPr>
        <w:t xml:space="preserve">(Oxford: Oxford University Press) 2009 at p.6. </w:t>
      </w:r>
    </w:p>
  </w:footnote>
  <w:footnote w:id="110">
    <w:p w14:paraId="5D474135" w14:textId="1B8457D2"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Rule 1.1 Criminal Procedure Rules 2013. </w:t>
      </w:r>
    </w:p>
  </w:footnote>
  <w:footnote w:id="111">
    <w:p w14:paraId="0469CC3D" w14:textId="455B06E1"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F. Garland and J. McEwan, Embracing the Overriding Objective: Difficulties and Dilemmas in the New Criminal Climate, (2012) The International Journal of Evidence and Proof, 16 (233-262) at 262.</w:t>
      </w:r>
    </w:p>
  </w:footnote>
  <w:footnote w:id="112">
    <w:p w14:paraId="0AD466A2" w14:textId="7A26EC33" w:rsidR="009C1B8E" w:rsidRPr="005D348D" w:rsidRDefault="009C1B8E" w:rsidP="005D348D">
      <w:pPr>
        <w:pStyle w:val="FootnoteText"/>
        <w:jc w:val="both"/>
        <w:rPr>
          <w:rFonts w:ascii="Times New Roman" w:hAnsi="Times New Roman" w:cs="Times New Roman"/>
          <w:sz w:val="20"/>
          <w:szCs w:val="20"/>
        </w:rPr>
      </w:pPr>
      <w:r w:rsidRPr="005D348D">
        <w:rPr>
          <w:rStyle w:val="FootnoteReference"/>
          <w:rFonts w:ascii="Times New Roman" w:hAnsi="Times New Roman" w:cs="Times New Roman"/>
          <w:sz w:val="20"/>
          <w:szCs w:val="20"/>
        </w:rPr>
        <w:footnoteRef/>
      </w:r>
      <w:r w:rsidRPr="005D348D">
        <w:rPr>
          <w:rFonts w:ascii="Times New Roman" w:hAnsi="Times New Roman" w:cs="Times New Roman"/>
          <w:sz w:val="20"/>
          <w:szCs w:val="20"/>
        </w:rPr>
        <w:t xml:space="preserve"> W. Hawkins, </w:t>
      </w:r>
      <w:proofErr w:type="gramStart"/>
      <w:r w:rsidRPr="005D348D">
        <w:rPr>
          <w:rFonts w:ascii="Times New Roman" w:hAnsi="Times New Roman" w:cs="Times New Roman"/>
          <w:i/>
          <w:sz w:val="20"/>
          <w:szCs w:val="20"/>
        </w:rPr>
        <w:t>A</w:t>
      </w:r>
      <w:proofErr w:type="gramEnd"/>
      <w:r w:rsidRPr="005D348D">
        <w:rPr>
          <w:rFonts w:ascii="Times New Roman" w:hAnsi="Times New Roman" w:cs="Times New Roman"/>
          <w:i/>
          <w:sz w:val="20"/>
          <w:szCs w:val="20"/>
        </w:rPr>
        <w:t xml:space="preserve"> Treatise of the Please of the Crown</w:t>
      </w:r>
      <w:r w:rsidR="00FC2069" w:rsidRPr="005D348D">
        <w:rPr>
          <w:rFonts w:ascii="Times New Roman" w:hAnsi="Times New Roman" w:cs="Times New Roman"/>
          <w:sz w:val="20"/>
          <w:szCs w:val="20"/>
        </w:rPr>
        <w:t xml:space="preserve">, </w:t>
      </w:r>
      <w:r w:rsidRPr="005D348D">
        <w:rPr>
          <w:rFonts w:ascii="Times New Roman" w:hAnsi="Times New Roman" w:cs="Times New Roman"/>
          <w:sz w:val="20"/>
          <w:szCs w:val="20"/>
        </w:rPr>
        <w:t>Vol II, (London 1721) cited in n.1 at p.171.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159"/>
    <w:multiLevelType w:val="hybridMultilevel"/>
    <w:tmpl w:val="3B9A1086"/>
    <w:lvl w:ilvl="0" w:tplc="54ACA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55B83"/>
    <w:multiLevelType w:val="hybridMultilevel"/>
    <w:tmpl w:val="6DA00C48"/>
    <w:lvl w:ilvl="0" w:tplc="8F4831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440024"/>
    <w:multiLevelType w:val="hybridMultilevel"/>
    <w:tmpl w:val="5AE220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A829F0"/>
    <w:multiLevelType w:val="hybridMultilevel"/>
    <w:tmpl w:val="B79666C4"/>
    <w:lvl w:ilvl="0" w:tplc="127802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435751"/>
    <w:multiLevelType w:val="hybridMultilevel"/>
    <w:tmpl w:val="90CE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F8110F"/>
    <w:multiLevelType w:val="hybridMultilevel"/>
    <w:tmpl w:val="F3BE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2C6B57"/>
    <w:multiLevelType w:val="multilevel"/>
    <w:tmpl w:val="F3D60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2.Jasinski">
    <w15:presenceInfo w15:providerId="None" w15:userId="Daniel2.Jasin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CA"/>
    <w:rsid w:val="000019BC"/>
    <w:rsid w:val="00004F53"/>
    <w:rsid w:val="00010B61"/>
    <w:rsid w:val="00032B06"/>
    <w:rsid w:val="00033798"/>
    <w:rsid w:val="00041071"/>
    <w:rsid w:val="00045081"/>
    <w:rsid w:val="00047039"/>
    <w:rsid w:val="00051473"/>
    <w:rsid w:val="00054FA4"/>
    <w:rsid w:val="00084569"/>
    <w:rsid w:val="00091E8C"/>
    <w:rsid w:val="0009406F"/>
    <w:rsid w:val="00095F45"/>
    <w:rsid w:val="000A140F"/>
    <w:rsid w:val="000A1711"/>
    <w:rsid w:val="000B14E7"/>
    <w:rsid w:val="000B3AD9"/>
    <w:rsid w:val="000D2ACE"/>
    <w:rsid w:val="000E0444"/>
    <w:rsid w:val="000E2356"/>
    <w:rsid w:val="000F1604"/>
    <w:rsid w:val="000F500F"/>
    <w:rsid w:val="000F70B7"/>
    <w:rsid w:val="00100F90"/>
    <w:rsid w:val="00106183"/>
    <w:rsid w:val="00116324"/>
    <w:rsid w:val="00116975"/>
    <w:rsid w:val="00117EFF"/>
    <w:rsid w:val="00123C5D"/>
    <w:rsid w:val="00126356"/>
    <w:rsid w:val="0012722A"/>
    <w:rsid w:val="001333F2"/>
    <w:rsid w:val="0013350A"/>
    <w:rsid w:val="00135C2D"/>
    <w:rsid w:val="00137AC7"/>
    <w:rsid w:val="00142010"/>
    <w:rsid w:val="00147BE6"/>
    <w:rsid w:val="00154CB0"/>
    <w:rsid w:val="001713D5"/>
    <w:rsid w:val="00176322"/>
    <w:rsid w:val="0018762B"/>
    <w:rsid w:val="0019569F"/>
    <w:rsid w:val="001A37D4"/>
    <w:rsid w:val="001A5E19"/>
    <w:rsid w:val="001A7554"/>
    <w:rsid w:val="001C4F7C"/>
    <w:rsid w:val="001D2A7C"/>
    <w:rsid w:val="001D3CFA"/>
    <w:rsid w:val="001F0CD9"/>
    <w:rsid w:val="001F15E2"/>
    <w:rsid w:val="00225DEB"/>
    <w:rsid w:val="002279D2"/>
    <w:rsid w:val="002412F5"/>
    <w:rsid w:val="002506A7"/>
    <w:rsid w:val="00251A69"/>
    <w:rsid w:val="00262171"/>
    <w:rsid w:val="0029011F"/>
    <w:rsid w:val="0029093A"/>
    <w:rsid w:val="002942D4"/>
    <w:rsid w:val="002A324A"/>
    <w:rsid w:val="002A36E3"/>
    <w:rsid w:val="002A7AC6"/>
    <w:rsid w:val="002B1D8B"/>
    <w:rsid w:val="002B49BA"/>
    <w:rsid w:val="002C5FD3"/>
    <w:rsid w:val="002D3FBE"/>
    <w:rsid w:val="002D7915"/>
    <w:rsid w:val="002E3D0B"/>
    <w:rsid w:val="002E4FFC"/>
    <w:rsid w:val="003032BE"/>
    <w:rsid w:val="00307203"/>
    <w:rsid w:val="0031160D"/>
    <w:rsid w:val="00314CC2"/>
    <w:rsid w:val="00320445"/>
    <w:rsid w:val="00321C98"/>
    <w:rsid w:val="003313D2"/>
    <w:rsid w:val="0034210C"/>
    <w:rsid w:val="00346232"/>
    <w:rsid w:val="0035407E"/>
    <w:rsid w:val="00357244"/>
    <w:rsid w:val="00375226"/>
    <w:rsid w:val="00390E4E"/>
    <w:rsid w:val="0039599E"/>
    <w:rsid w:val="00395B5A"/>
    <w:rsid w:val="003B5A94"/>
    <w:rsid w:val="003C433C"/>
    <w:rsid w:val="003D40F7"/>
    <w:rsid w:val="003E0E97"/>
    <w:rsid w:val="003E7AC7"/>
    <w:rsid w:val="004117DB"/>
    <w:rsid w:val="00415E24"/>
    <w:rsid w:val="00433F49"/>
    <w:rsid w:val="00436068"/>
    <w:rsid w:val="00461CEA"/>
    <w:rsid w:val="004622BE"/>
    <w:rsid w:val="004624DF"/>
    <w:rsid w:val="00482687"/>
    <w:rsid w:val="004827A3"/>
    <w:rsid w:val="004A0445"/>
    <w:rsid w:val="004B532D"/>
    <w:rsid w:val="004C7F10"/>
    <w:rsid w:val="004D3281"/>
    <w:rsid w:val="004D3E6B"/>
    <w:rsid w:val="004E05F1"/>
    <w:rsid w:val="004E3B06"/>
    <w:rsid w:val="004F5ADD"/>
    <w:rsid w:val="004F6E41"/>
    <w:rsid w:val="0050041B"/>
    <w:rsid w:val="00500DDB"/>
    <w:rsid w:val="0050234B"/>
    <w:rsid w:val="0052108A"/>
    <w:rsid w:val="00526D09"/>
    <w:rsid w:val="00542C7E"/>
    <w:rsid w:val="00557E36"/>
    <w:rsid w:val="005666F5"/>
    <w:rsid w:val="00575D37"/>
    <w:rsid w:val="00581142"/>
    <w:rsid w:val="00582E7C"/>
    <w:rsid w:val="0058726C"/>
    <w:rsid w:val="005910DF"/>
    <w:rsid w:val="0059503E"/>
    <w:rsid w:val="005A1507"/>
    <w:rsid w:val="005A1C77"/>
    <w:rsid w:val="005B37BB"/>
    <w:rsid w:val="005B5D37"/>
    <w:rsid w:val="005B6BD4"/>
    <w:rsid w:val="005D0FD7"/>
    <w:rsid w:val="005D348D"/>
    <w:rsid w:val="005D5299"/>
    <w:rsid w:val="005E1954"/>
    <w:rsid w:val="005E39A7"/>
    <w:rsid w:val="005E5467"/>
    <w:rsid w:val="005F2932"/>
    <w:rsid w:val="005F7168"/>
    <w:rsid w:val="00600B49"/>
    <w:rsid w:val="00605A77"/>
    <w:rsid w:val="006068AC"/>
    <w:rsid w:val="00622CCD"/>
    <w:rsid w:val="00623311"/>
    <w:rsid w:val="00626828"/>
    <w:rsid w:val="00627CE3"/>
    <w:rsid w:val="0063089B"/>
    <w:rsid w:val="00647CEB"/>
    <w:rsid w:val="00651454"/>
    <w:rsid w:val="00655262"/>
    <w:rsid w:val="006632CB"/>
    <w:rsid w:val="006638F5"/>
    <w:rsid w:val="006B14FF"/>
    <w:rsid w:val="006B741D"/>
    <w:rsid w:val="006B77DB"/>
    <w:rsid w:val="006B7C81"/>
    <w:rsid w:val="006C761B"/>
    <w:rsid w:val="006D3BDF"/>
    <w:rsid w:val="006E2BEA"/>
    <w:rsid w:val="006E4D5A"/>
    <w:rsid w:val="006E6B3F"/>
    <w:rsid w:val="0070200B"/>
    <w:rsid w:val="0070626A"/>
    <w:rsid w:val="00714A07"/>
    <w:rsid w:val="00720C37"/>
    <w:rsid w:val="0072346C"/>
    <w:rsid w:val="007316EF"/>
    <w:rsid w:val="00735240"/>
    <w:rsid w:val="0073563A"/>
    <w:rsid w:val="007407F0"/>
    <w:rsid w:val="00753841"/>
    <w:rsid w:val="007604CE"/>
    <w:rsid w:val="007659EC"/>
    <w:rsid w:val="00767399"/>
    <w:rsid w:val="00771B9D"/>
    <w:rsid w:val="00793EB3"/>
    <w:rsid w:val="0079738C"/>
    <w:rsid w:val="007A0B36"/>
    <w:rsid w:val="007B790C"/>
    <w:rsid w:val="007C0356"/>
    <w:rsid w:val="007C1001"/>
    <w:rsid w:val="007C13F8"/>
    <w:rsid w:val="007E3BBE"/>
    <w:rsid w:val="007E7B1B"/>
    <w:rsid w:val="007F5903"/>
    <w:rsid w:val="008041DE"/>
    <w:rsid w:val="00811A1F"/>
    <w:rsid w:val="0082646F"/>
    <w:rsid w:val="00836B13"/>
    <w:rsid w:val="00837FB8"/>
    <w:rsid w:val="00841444"/>
    <w:rsid w:val="00844D41"/>
    <w:rsid w:val="00854F47"/>
    <w:rsid w:val="00891A7E"/>
    <w:rsid w:val="008963FC"/>
    <w:rsid w:val="00897538"/>
    <w:rsid w:val="008A20E3"/>
    <w:rsid w:val="008A2FED"/>
    <w:rsid w:val="008B2584"/>
    <w:rsid w:val="008B2683"/>
    <w:rsid w:val="008C2511"/>
    <w:rsid w:val="008D48AD"/>
    <w:rsid w:val="008E2B36"/>
    <w:rsid w:val="008F6158"/>
    <w:rsid w:val="0090184C"/>
    <w:rsid w:val="009021FF"/>
    <w:rsid w:val="00902A5E"/>
    <w:rsid w:val="0090662C"/>
    <w:rsid w:val="00907B3D"/>
    <w:rsid w:val="00916253"/>
    <w:rsid w:val="009170AF"/>
    <w:rsid w:val="00920C62"/>
    <w:rsid w:val="00922175"/>
    <w:rsid w:val="00924659"/>
    <w:rsid w:val="00932F6E"/>
    <w:rsid w:val="00933FDD"/>
    <w:rsid w:val="00964722"/>
    <w:rsid w:val="00990842"/>
    <w:rsid w:val="00994157"/>
    <w:rsid w:val="009A01FE"/>
    <w:rsid w:val="009A159F"/>
    <w:rsid w:val="009A7EC5"/>
    <w:rsid w:val="009B1FEC"/>
    <w:rsid w:val="009B239D"/>
    <w:rsid w:val="009C1B8E"/>
    <w:rsid w:val="009C49D8"/>
    <w:rsid w:val="009C61E4"/>
    <w:rsid w:val="009E1E03"/>
    <w:rsid w:val="009F0E85"/>
    <w:rsid w:val="009F1847"/>
    <w:rsid w:val="00A00575"/>
    <w:rsid w:val="00A01F57"/>
    <w:rsid w:val="00A04611"/>
    <w:rsid w:val="00A07710"/>
    <w:rsid w:val="00A1047C"/>
    <w:rsid w:val="00A27052"/>
    <w:rsid w:val="00A3016B"/>
    <w:rsid w:val="00A33525"/>
    <w:rsid w:val="00A465D9"/>
    <w:rsid w:val="00A60954"/>
    <w:rsid w:val="00A60DFF"/>
    <w:rsid w:val="00A66970"/>
    <w:rsid w:val="00A7777D"/>
    <w:rsid w:val="00A92E4A"/>
    <w:rsid w:val="00A96696"/>
    <w:rsid w:val="00AA7565"/>
    <w:rsid w:val="00AC21AE"/>
    <w:rsid w:val="00AC4FA0"/>
    <w:rsid w:val="00AD3B77"/>
    <w:rsid w:val="00AD3DFC"/>
    <w:rsid w:val="00AE101C"/>
    <w:rsid w:val="00AE2A3B"/>
    <w:rsid w:val="00AE2B30"/>
    <w:rsid w:val="00AF0135"/>
    <w:rsid w:val="00AF1486"/>
    <w:rsid w:val="00AF1CCE"/>
    <w:rsid w:val="00AF29BF"/>
    <w:rsid w:val="00B0406A"/>
    <w:rsid w:val="00B0504F"/>
    <w:rsid w:val="00B13D72"/>
    <w:rsid w:val="00B171FA"/>
    <w:rsid w:val="00B266DE"/>
    <w:rsid w:val="00B31740"/>
    <w:rsid w:val="00B46E24"/>
    <w:rsid w:val="00B62220"/>
    <w:rsid w:val="00B7622C"/>
    <w:rsid w:val="00B9197E"/>
    <w:rsid w:val="00B9541A"/>
    <w:rsid w:val="00BA2623"/>
    <w:rsid w:val="00BC015A"/>
    <w:rsid w:val="00BC225B"/>
    <w:rsid w:val="00BC2553"/>
    <w:rsid w:val="00BC37A2"/>
    <w:rsid w:val="00BD0FC9"/>
    <w:rsid w:val="00BD3EDC"/>
    <w:rsid w:val="00BD51F0"/>
    <w:rsid w:val="00BE2066"/>
    <w:rsid w:val="00BE2ECD"/>
    <w:rsid w:val="00BF39B5"/>
    <w:rsid w:val="00C06F7B"/>
    <w:rsid w:val="00C15848"/>
    <w:rsid w:val="00C23147"/>
    <w:rsid w:val="00C36D8D"/>
    <w:rsid w:val="00C45A4C"/>
    <w:rsid w:val="00C51526"/>
    <w:rsid w:val="00C649F2"/>
    <w:rsid w:val="00C67122"/>
    <w:rsid w:val="00C72455"/>
    <w:rsid w:val="00C7283B"/>
    <w:rsid w:val="00C73EFB"/>
    <w:rsid w:val="00C75E08"/>
    <w:rsid w:val="00C82107"/>
    <w:rsid w:val="00C93780"/>
    <w:rsid w:val="00C97DEC"/>
    <w:rsid w:val="00CA1F19"/>
    <w:rsid w:val="00CA3299"/>
    <w:rsid w:val="00CA68EC"/>
    <w:rsid w:val="00CC768B"/>
    <w:rsid w:val="00CD29DF"/>
    <w:rsid w:val="00CE564F"/>
    <w:rsid w:val="00CE79DD"/>
    <w:rsid w:val="00CF1F12"/>
    <w:rsid w:val="00CF4F77"/>
    <w:rsid w:val="00CF69B2"/>
    <w:rsid w:val="00D13776"/>
    <w:rsid w:val="00D15D28"/>
    <w:rsid w:val="00D2222D"/>
    <w:rsid w:val="00D233E5"/>
    <w:rsid w:val="00D265D2"/>
    <w:rsid w:val="00D51E95"/>
    <w:rsid w:val="00D767BA"/>
    <w:rsid w:val="00D867C4"/>
    <w:rsid w:val="00D8693D"/>
    <w:rsid w:val="00D946C0"/>
    <w:rsid w:val="00DA04EF"/>
    <w:rsid w:val="00DA1953"/>
    <w:rsid w:val="00DA4BBB"/>
    <w:rsid w:val="00DA4D76"/>
    <w:rsid w:val="00DC16D5"/>
    <w:rsid w:val="00DD0BBB"/>
    <w:rsid w:val="00DE4F83"/>
    <w:rsid w:val="00E01C3A"/>
    <w:rsid w:val="00E05584"/>
    <w:rsid w:val="00E15F68"/>
    <w:rsid w:val="00E16FA9"/>
    <w:rsid w:val="00E22ED4"/>
    <w:rsid w:val="00E23218"/>
    <w:rsid w:val="00E33CCA"/>
    <w:rsid w:val="00E35D03"/>
    <w:rsid w:val="00E452FA"/>
    <w:rsid w:val="00E47E8A"/>
    <w:rsid w:val="00E503B5"/>
    <w:rsid w:val="00E5441A"/>
    <w:rsid w:val="00E607D7"/>
    <w:rsid w:val="00E7039F"/>
    <w:rsid w:val="00E83FB8"/>
    <w:rsid w:val="00E91B3E"/>
    <w:rsid w:val="00EA2E6B"/>
    <w:rsid w:val="00EA7034"/>
    <w:rsid w:val="00EA76B7"/>
    <w:rsid w:val="00EB00C0"/>
    <w:rsid w:val="00EB0AE4"/>
    <w:rsid w:val="00ED1956"/>
    <w:rsid w:val="00ED7DA9"/>
    <w:rsid w:val="00EE0A3E"/>
    <w:rsid w:val="00EE12A9"/>
    <w:rsid w:val="00EE4E18"/>
    <w:rsid w:val="00EF773C"/>
    <w:rsid w:val="00F23088"/>
    <w:rsid w:val="00F2530B"/>
    <w:rsid w:val="00F3019A"/>
    <w:rsid w:val="00F451B8"/>
    <w:rsid w:val="00F45B6A"/>
    <w:rsid w:val="00F57F8C"/>
    <w:rsid w:val="00F703CE"/>
    <w:rsid w:val="00F70639"/>
    <w:rsid w:val="00F7312E"/>
    <w:rsid w:val="00F82D8A"/>
    <w:rsid w:val="00F94AFD"/>
    <w:rsid w:val="00F96628"/>
    <w:rsid w:val="00FA6ACB"/>
    <w:rsid w:val="00FB5BDB"/>
    <w:rsid w:val="00FC2069"/>
    <w:rsid w:val="00FC468C"/>
    <w:rsid w:val="00FD7FB5"/>
    <w:rsid w:val="00FE0B2D"/>
    <w:rsid w:val="00FE3155"/>
    <w:rsid w:val="00FE3A0D"/>
    <w:rsid w:val="00FE58C3"/>
    <w:rsid w:val="00FF6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4F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841"/>
    <w:pPr>
      <w:ind w:left="720"/>
      <w:contextualSpacing/>
    </w:pPr>
  </w:style>
  <w:style w:type="paragraph" w:styleId="FootnoteText">
    <w:name w:val="footnote text"/>
    <w:basedOn w:val="Normal"/>
    <w:link w:val="FootnoteTextChar"/>
    <w:unhideWhenUsed/>
    <w:rsid w:val="00EE4E18"/>
  </w:style>
  <w:style w:type="character" w:customStyle="1" w:styleId="FootnoteTextChar">
    <w:name w:val="Footnote Text Char"/>
    <w:basedOn w:val="DefaultParagraphFont"/>
    <w:link w:val="FootnoteText"/>
    <w:rsid w:val="00EE4E18"/>
  </w:style>
  <w:style w:type="character" w:styleId="FootnoteReference">
    <w:name w:val="footnote reference"/>
    <w:basedOn w:val="DefaultParagraphFont"/>
    <w:unhideWhenUsed/>
    <w:rsid w:val="00EE4E18"/>
    <w:rPr>
      <w:vertAlign w:val="superscript"/>
    </w:rPr>
  </w:style>
  <w:style w:type="paragraph" w:styleId="Footer">
    <w:name w:val="footer"/>
    <w:basedOn w:val="Normal"/>
    <w:link w:val="FooterChar"/>
    <w:uiPriority w:val="99"/>
    <w:unhideWhenUsed/>
    <w:rsid w:val="00CD29DF"/>
    <w:pPr>
      <w:tabs>
        <w:tab w:val="center" w:pos="4320"/>
        <w:tab w:val="right" w:pos="8640"/>
      </w:tabs>
    </w:pPr>
  </w:style>
  <w:style w:type="character" w:customStyle="1" w:styleId="FooterChar">
    <w:name w:val="Footer Char"/>
    <w:basedOn w:val="DefaultParagraphFont"/>
    <w:link w:val="Footer"/>
    <w:uiPriority w:val="99"/>
    <w:rsid w:val="00CD29DF"/>
  </w:style>
  <w:style w:type="character" w:styleId="PageNumber">
    <w:name w:val="page number"/>
    <w:basedOn w:val="DefaultParagraphFont"/>
    <w:uiPriority w:val="99"/>
    <w:semiHidden/>
    <w:unhideWhenUsed/>
    <w:rsid w:val="00CD29DF"/>
  </w:style>
  <w:style w:type="paragraph" w:styleId="Header">
    <w:name w:val="header"/>
    <w:basedOn w:val="Normal"/>
    <w:link w:val="HeaderChar"/>
    <w:uiPriority w:val="99"/>
    <w:unhideWhenUsed/>
    <w:rsid w:val="0090662C"/>
    <w:pPr>
      <w:tabs>
        <w:tab w:val="center" w:pos="4320"/>
        <w:tab w:val="right" w:pos="8640"/>
      </w:tabs>
    </w:pPr>
  </w:style>
  <w:style w:type="character" w:customStyle="1" w:styleId="HeaderChar">
    <w:name w:val="Header Char"/>
    <w:basedOn w:val="DefaultParagraphFont"/>
    <w:link w:val="Header"/>
    <w:uiPriority w:val="99"/>
    <w:rsid w:val="0090662C"/>
  </w:style>
  <w:style w:type="paragraph" w:styleId="BalloonText">
    <w:name w:val="Balloon Text"/>
    <w:basedOn w:val="Normal"/>
    <w:link w:val="BalloonTextChar"/>
    <w:uiPriority w:val="99"/>
    <w:semiHidden/>
    <w:unhideWhenUsed/>
    <w:rsid w:val="00E23218"/>
    <w:rPr>
      <w:rFonts w:ascii="Tahoma" w:hAnsi="Tahoma" w:cs="Tahoma"/>
      <w:sz w:val="16"/>
      <w:szCs w:val="16"/>
    </w:rPr>
  </w:style>
  <w:style w:type="character" w:customStyle="1" w:styleId="BalloonTextChar">
    <w:name w:val="Balloon Text Char"/>
    <w:basedOn w:val="DefaultParagraphFont"/>
    <w:link w:val="BalloonText"/>
    <w:uiPriority w:val="99"/>
    <w:semiHidden/>
    <w:rsid w:val="00E23218"/>
    <w:rPr>
      <w:rFonts w:ascii="Tahoma" w:hAnsi="Tahoma" w:cs="Tahoma"/>
      <w:sz w:val="16"/>
      <w:szCs w:val="16"/>
    </w:rPr>
  </w:style>
  <w:style w:type="character" w:customStyle="1" w:styleId="author">
    <w:name w:val="author"/>
    <w:basedOn w:val="DefaultParagraphFont"/>
    <w:rsid w:val="00F7312E"/>
  </w:style>
  <w:style w:type="character" w:customStyle="1" w:styleId="booktitle2">
    <w:name w:val="booktitle2"/>
    <w:basedOn w:val="DefaultParagraphFont"/>
    <w:rsid w:val="00F7312E"/>
    <w:rPr>
      <w:i/>
      <w:iCs/>
    </w:rPr>
  </w:style>
  <w:style w:type="character" w:customStyle="1" w:styleId="pubyear">
    <w:name w:val="pubyear"/>
    <w:basedOn w:val="DefaultParagraphFont"/>
    <w:rsid w:val="00F7312E"/>
  </w:style>
  <w:style w:type="character" w:styleId="CommentReference">
    <w:name w:val="annotation reference"/>
    <w:basedOn w:val="DefaultParagraphFont"/>
    <w:uiPriority w:val="99"/>
    <w:semiHidden/>
    <w:unhideWhenUsed/>
    <w:rsid w:val="008B2683"/>
    <w:rPr>
      <w:sz w:val="18"/>
      <w:szCs w:val="18"/>
    </w:rPr>
  </w:style>
  <w:style w:type="paragraph" w:styleId="CommentText">
    <w:name w:val="annotation text"/>
    <w:basedOn w:val="Normal"/>
    <w:link w:val="CommentTextChar"/>
    <w:uiPriority w:val="99"/>
    <w:semiHidden/>
    <w:unhideWhenUsed/>
    <w:rsid w:val="008B2683"/>
  </w:style>
  <w:style w:type="character" w:customStyle="1" w:styleId="CommentTextChar">
    <w:name w:val="Comment Text Char"/>
    <w:basedOn w:val="DefaultParagraphFont"/>
    <w:link w:val="CommentText"/>
    <w:uiPriority w:val="99"/>
    <w:semiHidden/>
    <w:rsid w:val="008B2683"/>
  </w:style>
  <w:style w:type="paragraph" w:styleId="CommentSubject">
    <w:name w:val="annotation subject"/>
    <w:basedOn w:val="CommentText"/>
    <w:next w:val="CommentText"/>
    <w:link w:val="CommentSubjectChar"/>
    <w:uiPriority w:val="99"/>
    <w:semiHidden/>
    <w:unhideWhenUsed/>
    <w:rsid w:val="008B2683"/>
    <w:rPr>
      <w:b/>
      <w:bCs/>
      <w:sz w:val="20"/>
      <w:szCs w:val="20"/>
    </w:rPr>
  </w:style>
  <w:style w:type="character" w:customStyle="1" w:styleId="CommentSubjectChar">
    <w:name w:val="Comment Subject Char"/>
    <w:basedOn w:val="CommentTextChar"/>
    <w:link w:val="CommentSubject"/>
    <w:uiPriority w:val="99"/>
    <w:semiHidden/>
    <w:rsid w:val="008B26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841"/>
    <w:pPr>
      <w:ind w:left="720"/>
      <w:contextualSpacing/>
    </w:pPr>
  </w:style>
  <w:style w:type="paragraph" w:styleId="FootnoteText">
    <w:name w:val="footnote text"/>
    <w:basedOn w:val="Normal"/>
    <w:link w:val="FootnoteTextChar"/>
    <w:unhideWhenUsed/>
    <w:rsid w:val="00EE4E18"/>
  </w:style>
  <w:style w:type="character" w:customStyle="1" w:styleId="FootnoteTextChar">
    <w:name w:val="Footnote Text Char"/>
    <w:basedOn w:val="DefaultParagraphFont"/>
    <w:link w:val="FootnoteText"/>
    <w:rsid w:val="00EE4E18"/>
  </w:style>
  <w:style w:type="character" w:styleId="FootnoteReference">
    <w:name w:val="footnote reference"/>
    <w:basedOn w:val="DefaultParagraphFont"/>
    <w:unhideWhenUsed/>
    <w:rsid w:val="00EE4E18"/>
    <w:rPr>
      <w:vertAlign w:val="superscript"/>
    </w:rPr>
  </w:style>
  <w:style w:type="paragraph" w:styleId="Footer">
    <w:name w:val="footer"/>
    <w:basedOn w:val="Normal"/>
    <w:link w:val="FooterChar"/>
    <w:uiPriority w:val="99"/>
    <w:unhideWhenUsed/>
    <w:rsid w:val="00CD29DF"/>
    <w:pPr>
      <w:tabs>
        <w:tab w:val="center" w:pos="4320"/>
        <w:tab w:val="right" w:pos="8640"/>
      </w:tabs>
    </w:pPr>
  </w:style>
  <w:style w:type="character" w:customStyle="1" w:styleId="FooterChar">
    <w:name w:val="Footer Char"/>
    <w:basedOn w:val="DefaultParagraphFont"/>
    <w:link w:val="Footer"/>
    <w:uiPriority w:val="99"/>
    <w:rsid w:val="00CD29DF"/>
  </w:style>
  <w:style w:type="character" w:styleId="PageNumber">
    <w:name w:val="page number"/>
    <w:basedOn w:val="DefaultParagraphFont"/>
    <w:uiPriority w:val="99"/>
    <w:semiHidden/>
    <w:unhideWhenUsed/>
    <w:rsid w:val="00CD29DF"/>
  </w:style>
  <w:style w:type="paragraph" w:styleId="Header">
    <w:name w:val="header"/>
    <w:basedOn w:val="Normal"/>
    <w:link w:val="HeaderChar"/>
    <w:uiPriority w:val="99"/>
    <w:unhideWhenUsed/>
    <w:rsid w:val="0090662C"/>
    <w:pPr>
      <w:tabs>
        <w:tab w:val="center" w:pos="4320"/>
        <w:tab w:val="right" w:pos="8640"/>
      </w:tabs>
    </w:pPr>
  </w:style>
  <w:style w:type="character" w:customStyle="1" w:styleId="HeaderChar">
    <w:name w:val="Header Char"/>
    <w:basedOn w:val="DefaultParagraphFont"/>
    <w:link w:val="Header"/>
    <w:uiPriority w:val="99"/>
    <w:rsid w:val="0090662C"/>
  </w:style>
  <w:style w:type="paragraph" w:styleId="BalloonText">
    <w:name w:val="Balloon Text"/>
    <w:basedOn w:val="Normal"/>
    <w:link w:val="BalloonTextChar"/>
    <w:uiPriority w:val="99"/>
    <w:semiHidden/>
    <w:unhideWhenUsed/>
    <w:rsid w:val="00E23218"/>
    <w:rPr>
      <w:rFonts w:ascii="Tahoma" w:hAnsi="Tahoma" w:cs="Tahoma"/>
      <w:sz w:val="16"/>
      <w:szCs w:val="16"/>
    </w:rPr>
  </w:style>
  <w:style w:type="character" w:customStyle="1" w:styleId="BalloonTextChar">
    <w:name w:val="Balloon Text Char"/>
    <w:basedOn w:val="DefaultParagraphFont"/>
    <w:link w:val="BalloonText"/>
    <w:uiPriority w:val="99"/>
    <w:semiHidden/>
    <w:rsid w:val="00E23218"/>
    <w:rPr>
      <w:rFonts w:ascii="Tahoma" w:hAnsi="Tahoma" w:cs="Tahoma"/>
      <w:sz w:val="16"/>
      <w:szCs w:val="16"/>
    </w:rPr>
  </w:style>
  <w:style w:type="character" w:customStyle="1" w:styleId="author">
    <w:name w:val="author"/>
    <w:basedOn w:val="DefaultParagraphFont"/>
    <w:rsid w:val="00F7312E"/>
  </w:style>
  <w:style w:type="character" w:customStyle="1" w:styleId="booktitle2">
    <w:name w:val="booktitle2"/>
    <w:basedOn w:val="DefaultParagraphFont"/>
    <w:rsid w:val="00F7312E"/>
    <w:rPr>
      <w:i/>
      <w:iCs/>
    </w:rPr>
  </w:style>
  <w:style w:type="character" w:customStyle="1" w:styleId="pubyear">
    <w:name w:val="pubyear"/>
    <w:basedOn w:val="DefaultParagraphFont"/>
    <w:rsid w:val="00F7312E"/>
  </w:style>
  <w:style w:type="character" w:styleId="CommentReference">
    <w:name w:val="annotation reference"/>
    <w:basedOn w:val="DefaultParagraphFont"/>
    <w:uiPriority w:val="99"/>
    <w:semiHidden/>
    <w:unhideWhenUsed/>
    <w:rsid w:val="008B2683"/>
    <w:rPr>
      <w:sz w:val="18"/>
      <w:szCs w:val="18"/>
    </w:rPr>
  </w:style>
  <w:style w:type="paragraph" w:styleId="CommentText">
    <w:name w:val="annotation text"/>
    <w:basedOn w:val="Normal"/>
    <w:link w:val="CommentTextChar"/>
    <w:uiPriority w:val="99"/>
    <w:semiHidden/>
    <w:unhideWhenUsed/>
    <w:rsid w:val="008B2683"/>
  </w:style>
  <w:style w:type="character" w:customStyle="1" w:styleId="CommentTextChar">
    <w:name w:val="Comment Text Char"/>
    <w:basedOn w:val="DefaultParagraphFont"/>
    <w:link w:val="CommentText"/>
    <w:uiPriority w:val="99"/>
    <w:semiHidden/>
    <w:rsid w:val="008B2683"/>
  </w:style>
  <w:style w:type="paragraph" w:styleId="CommentSubject">
    <w:name w:val="annotation subject"/>
    <w:basedOn w:val="CommentText"/>
    <w:next w:val="CommentText"/>
    <w:link w:val="CommentSubjectChar"/>
    <w:uiPriority w:val="99"/>
    <w:semiHidden/>
    <w:unhideWhenUsed/>
    <w:rsid w:val="008B2683"/>
    <w:rPr>
      <w:b/>
      <w:bCs/>
      <w:sz w:val="20"/>
      <w:szCs w:val="20"/>
    </w:rPr>
  </w:style>
  <w:style w:type="character" w:customStyle="1" w:styleId="CommentSubjectChar">
    <w:name w:val="Comment Subject Char"/>
    <w:basedOn w:val="CommentTextChar"/>
    <w:link w:val="CommentSubject"/>
    <w:uiPriority w:val="99"/>
    <w:semiHidden/>
    <w:rsid w:val="008B26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6560">
      <w:bodyDiv w:val="1"/>
      <w:marLeft w:val="0"/>
      <w:marRight w:val="0"/>
      <w:marTop w:val="0"/>
      <w:marBottom w:val="0"/>
      <w:divBdr>
        <w:top w:val="none" w:sz="0" w:space="0" w:color="auto"/>
        <w:left w:val="none" w:sz="0" w:space="0" w:color="auto"/>
        <w:bottom w:val="none" w:sz="0" w:space="0" w:color="auto"/>
        <w:right w:val="none" w:sz="0" w:space="0" w:color="auto"/>
      </w:divBdr>
      <w:divsChild>
        <w:div w:id="402721294">
          <w:marLeft w:val="0"/>
          <w:marRight w:val="0"/>
          <w:marTop w:val="0"/>
          <w:marBottom w:val="0"/>
          <w:divBdr>
            <w:top w:val="none" w:sz="0" w:space="0" w:color="auto"/>
            <w:left w:val="none" w:sz="0" w:space="0" w:color="auto"/>
            <w:bottom w:val="none" w:sz="0" w:space="0" w:color="auto"/>
            <w:right w:val="none" w:sz="0" w:space="0" w:color="auto"/>
          </w:divBdr>
          <w:divsChild>
            <w:div w:id="1825466843">
              <w:marLeft w:val="0"/>
              <w:marRight w:val="0"/>
              <w:marTop w:val="0"/>
              <w:marBottom w:val="0"/>
              <w:divBdr>
                <w:top w:val="none" w:sz="0" w:space="0" w:color="auto"/>
                <w:left w:val="none" w:sz="0" w:space="0" w:color="auto"/>
                <w:bottom w:val="none" w:sz="0" w:space="0" w:color="auto"/>
                <w:right w:val="none" w:sz="0" w:space="0" w:color="auto"/>
              </w:divBdr>
              <w:divsChild>
                <w:div w:id="1723482499">
                  <w:marLeft w:val="0"/>
                  <w:marRight w:val="0"/>
                  <w:marTop w:val="0"/>
                  <w:marBottom w:val="0"/>
                  <w:divBdr>
                    <w:top w:val="none" w:sz="0" w:space="0" w:color="auto"/>
                    <w:left w:val="none" w:sz="0" w:space="0" w:color="auto"/>
                    <w:bottom w:val="none" w:sz="0" w:space="0" w:color="auto"/>
                    <w:right w:val="none" w:sz="0" w:space="0" w:color="auto"/>
                  </w:divBdr>
                  <w:divsChild>
                    <w:div w:id="26833924">
                      <w:marLeft w:val="0"/>
                      <w:marRight w:val="0"/>
                      <w:marTop w:val="0"/>
                      <w:marBottom w:val="1320"/>
                      <w:divBdr>
                        <w:top w:val="none" w:sz="0" w:space="0" w:color="auto"/>
                        <w:left w:val="none" w:sz="0" w:space="0" w:color="auto"/>
                        <w:bottom w:val="none" w:sz="0" w:space="0" w:color="auto"/>
                        <w:right w:val="none" w:sz="0" w:space="0" w:color="auto"/>
                      </w:divBdr>
                      <w:divsChild>
                        <w:div w:id="679085176">
                          <w:marLeft w:val="0"/>
                          <w:marRight w:val="0"/>
                          <w:marTop w:val="0"/>
                          <w:marBottom w:val="0"/>
                          <w:divBdr>
                            <w:top w:val="none" w:sz="0" w:space="0" w:color="auto"/>
                            <w:left w:val="none" w:sz="0" w:space="0" w:color="auto"/>
                            <w:bottom w:val="none" w:sz="0" w:space="0" w:color="auto"/>
                            <w:right w:val="none" w:sz="0" w:space="0" w:color="auto"/>
                          </w:divBdr>
                          <w:divsChild>
                            <w:div w:id="1167016172">
                              <w:marLeft w:val="0"/>
                              <w:marRight w:val="0"/>
                              <w:marTop w:val="0"/>
                              <w:marBottom w:val="0"/>
                              <w:divBdr>
                                <w:top w:val="none" w:sz="0" w:space="0" w:color="auto"/>
                                <w:left w:val="none" w:sz="0" w:space="0" w:color="auto"/>
                                <w:bottom w:val="none" w:sz="0" w:space="0" w:color="auto"/>
                                <w:right w:val="none" w:sz="0" w:space="0" w:color="auto"/>
                              </w:divBdr>
                              <w:divsChild>
                                <w:div w:id="34543162">
                                  <w:marLeft w:val="0"/>
                                  <w:marRight w:val="0"/>
                                  <w:marTop w:val="0"/>
                                  <w:marBottom w:val="0"/>
                                  <w:divBdr>
                                    <w:top w:val="none" w:sz="0" w:space="0" w:color="auto"/>
                                    <w:left w:val="none" w:sz="0" w:space="0" w:color="auto"/>
                                    <w:bottom w:val="none" w:sz="0" w:space="0" w:color="auto"/>
                                    <w:right w:val="none" w:sz="0" w:space="0" w:color="auto"/>
                                  </w:divBdr>
                                </w:div>
                                <w:div w:id="1307012488">
                                  <w:marLeft w:val="0"/>
                                  <w:marRight w:val="0"/>
                                  <w:marTop w:val="0"/>
                                  <w:marBottom w:val="0"/>
                                  <w:divBdr>
                                    <w:top w:val="none" w:sz="0" w:space="0" w:color="auto"/>
                                    <w:left w:val="none" w:sz="0" w:space="0" w:color="auto"/>
                                    <w:bottom w:val="none" w:sz="0" w:space="0" w:color="auto"/>
                                    <w:right w:val="none" w:sz="0" w:space="0" w:color="auto"/>
                                  </w:divBdr>
                                </w:div>
                                <w:div w:id="285695148">
                                  <w:marLeft w:val="0"/>
                                  <w:marRight w:val="0"/>
                                  <w:marTop w:val="0"/>
                                  <w:marBottom w:val="0"/>
                                  <w:divBdr>
                                    <w:top w:val="none" w:sz="0" w:space="0" w:color="auto"/>
                                    <w:left w:val="none" w:sz="0" w:space="0" w:color="auto"/>
                                    <w:bottom w:val="none" w:sz="0" w:space="0" w:color="auto"/>
                                    <w:right w:val="none" w:sz="0" w:space="0" w:color="auto"/>
                                  </w:divBdr>
                                </w:div>
                                <w:div w:id="1319072527">
                                  <w:marLeft w:val="0"/>
                                  <w:marRight w:val="0"/>
                                  <w:marTop w:val="0"/>
                                  <w:marBottom w:val="0"/>
                                  <w:divBdr>
                                    <w:top w:val="none" w:sz="0" w:space="0" w:color="auto"/>
                                    <w:left w:val="none" w:sz="0" w:space="0" w:color="auto"/>
                                    <w:bottom w:val="none" w:sz="0" w:space="0" w:color="auto"/>
                                    <w:right w:val="none" w:sz="0" w:space="0" w:color="auto"/>
                                  </w:divBdr>
                                </w:div>
                                <w:div w:id="774712206">
                                  <w:marLeft w:val="0"/>
                                  <w:marRight w:val="0"/>
                                  <w:marTop w:val="0"/>
                                  <w:marBottom w:val="0"/>
                                  <w:divBdr>
                                    <w:top w:val="none" w:sz="0" w:space="0" w:color="auto"/>
                                    <w:left w:val="none" w:sz="0" w:space="0" w:color="auto"/>
                                    <w:bottom w:val="none" w:sz="0" w:space="0" w:color="auto"/>
                                    <w:right w:val="none" w:sz="0" w:space="0" w:color="auto"/>
                                  </w:divBdr>
                                </w:div>
                                <w:div w:id="2088841330">
                                  <w:marLeft w:val="0"/>
                                  <w:marRight w:val="0"/>
                                  <w:marTop w:val="0"/>
                                  <w:marBottom w:val="0"/>
                                  <w:divBdr>
                                    <w:top w:val="none" w:sz="0" w:space="0" w:color="auto"/>
                                    <w:left w:val="none" w:sz="0" w:space="0" w:color="auto"/>
                                    <w:bottom w:val="none" w:sz="0" w:space="0" w:color="auto"/>
                                    <w:right w:val="none" w:sz="0" w:space="0" w:color="auto"/>
                                  </w:divBdr>
                                </w:div>
                                <w:div w:id="758452144">
                                  <w:marLeft w:val="0"/>
                                  <w:marRight w:val="0"/>
                                  <w:marTop w:val="0"/>
                                  <w:marBottom w:val="0"/>
                                  <w:divBdr>
                                    <w:top w:val="none" w:sz="0" w:space="0" w:color="auto"/>
                                    <w:left w:val="none" w:sz="0" w:space="0" w:color="auto"/>
                                    <w:bottom w:val="none" w:sz="0" w:space="0" w:color="auto"/>
                                    <w:right w:val="none" w:sz="0" w:space="0" w:color="auto"/>
                                  </w:divBdr>
                                </w:div>
                                <w:div w:id="1368604195">
                                  <w:marLeft w:val="0"/>
                                  <w:marRight w:val="0"/>
                                  <w:marTop w:val="0"/>
                                  <w:marBottom w:val="0"/>
                                  <w:divBdr>
                                    <w:top w:val="none" w:sz="0" w:space="0" w:color="auto"/>
                                    <w:left w:val="none" w:sz="0" w:space="0" w:color="auto"/>
                                    <w:bottom w:val="none" w:sz="0" w:space="0" w:color="auto"/>
                                    <w:right w:val="none" w:sz="0" w:space="0" w:color="auto"/>
                                  </w:divBdr>
                                </w:div>
                                <w:div w:id="1543832013">
                                  <w:marLeft w:val="0"/>
                                  <w:marRight w:val="0"/>
                                  <w:marTop w:val="0"/>
                                  <w:marBottom w:val="0"/>
                                  <w:divBdr>
                                    <w:top w:val="none" w:sz="0" w:space="0" w:color="auto"/>
                                    <w:left w:val="none" w:sz="0" w:space="0" w:color="auto"/>
                                    <w:bottom w:val="none" w:sz="0" w:space="0" w:color="auto"/>
                                    <w:right w:val="none" w:sz="0" w:space="0" w:color="auto"/>
                                  </w:divBdr>
                                </w:div>
                                <w:div w:id="454326061">
                                  <w:marLeft w:val="0"/>
                                  <w:marRight w:val="0"/>
                                  <w:marTop w:val="0"/>
                                  <w:marBottom w:val="0"/>
                                  <w:divBdr>
                                    <w:top w:val="none" w:sz="0" w:space="0" w:color="auto"/>
                                    <w:left w:val="none" w:sz="0" w:space="0" w:color="auto"/>
                                    <w:bottom w:val="none" w:sz="0" w:space="0" w:color="auto"/>
                                    <w:right w:val="none" w:sz="0" w:space="0" w:color="auto"/>
                                  </w:divBdr>
                                </w:div>
                                <w:div w:id="794955479">
                                  <w:marLeft w:val="0"/>
                                  <w:marRight w:val="0"/>
                                  <w:marTop w:val="0"/>
                                  <w:marBottom w:val="0"/>
                                  <w:divBdr>
                                    <w:top w:val="none" w:sz="0" w:space="0" w:color="auto"/>
                                    <w:left w:val="none" w:sz="0" w:space="0" w:color="auto"/>
                                    <w:bottom w:val="none" w:sz="0" w:space="0" w:color="auto"/>
                                    <w:right w:val="none" w:sz="0" w:space="0" w:color="auto"/>
                                  </w:divBdr>
                                </w:div>
                                <w:div w:id="1506283984">
                                  <w:marLeft w:val="0"/>
                                  <w:marRight w:val="0"/>
                                  <w:marTop w:val="0"/>
                                  <w:marBottom w:val="0"/>
                                  <w:divBdr>
                                    <w:top w:val="none" w:sz="0" w:space="0" w:color="auto"/>
                                    <w:left w:val="none" w:sz="0" w:space="0" w:color="auto"/>
                                    <w:bottom w:val="none" w:sz="0" w:space="0" w:color="auto"/>
                                    <w:right w:val="none" w:sz="0" w:space="0" w:color="auto"/>
                                  </w:divBdr>
                                </w:div>
                                <w:div w:id="1557429146">
                                  <w:marLeft w:val="0"/>
                                  <w:marRight w:val="0"/>
                                  <w:marTop w:val="0"/>
                                  <w:marBottom w:val="0"/>
                                  <w:divBdr>
                                    <w:top w:val="none" w:sz="0" w:space="0" w:color="auto"/>
                                    <w:left w:val="none" w:sz="0" w:space="0" w:color="auto"/>
                                    <w:bottom w:val="none" w:sz="0" w:space="0" w:color="auto"/>
                                    <w:right w:val="none" w:sz="0" w:space="0" w:color="auto"/>
                                  </w:divBdr>
                                </w:div>
                                <w:div w:id="1628387238">
                                  <w:marLeft w:val="0"/>
                                  <w:marRight w:val="0"/>
                                  <w:marTop w:val="0"/>
                                  <w:marBottom w:val="0"/>
                                  <w:divBdr>
                                    <w:top w:val="none" w:sz="0" w:space="0" w:color="auto"/>
                                    <w:left w:val="none" w:sz="0" w:space="0" w:color="auto"/>
                                    <w:bottom w:val="none" w:sz="0" w:space="0" w:color="auto"/>
                                    <w:right w:val="none" w:sz="0" w:space="0" w:color="auto"/>
                                  </w:divBdr>
                                </w:div>
                                <w:div w:id="1735808306">
                                  <w:marLeft w:val="0"/>
                                  <w:marRight w:val="0"/>
                                  <w:marTop w:val="0"/>
                                  <w:marBottom w:val="0"/>
                                  <w:divBdr>
                                    <w:top w:val="none" w:sz="0" w:space="0" w:color="auto"/>
                                    <w:left w:val="none" w:sz="0" w:space="0" w:color="auto"/>
                                    <w:bottom w:val="none" w:sz="0" w:space="0" w:color="auto"/>
                                    <w:right w:val="none" w:sz="0" w:space="0" w:color="auto"/>
                                  </w:divBdr>
                                </w:div>
                                <w:div w:id="228394222">
                                  <w:marLeft w:val="0"/>
                                  <w:marRight w:val="0"/>
                                  <w:marTop w:val="0"/>
                                  <w:marBottom w:val="0"/>
                                  <w:divBdr>
                                    <w:top w:val="none" w:sz="0" w:space="0" w:color="auto"/>
                                    <w:left w:val="none" w:sz="0" w:space="0" w:color="auto"/>
                                    <w:bottom w:val="none" w:sz="0" w:space="0" w:color="auto"/>
                                    <w:right w:val="none" w:sz="0" w:space="0" w:color="auto"/>
                                  </w:divBdr>
                                </w:div>
                                <w:div w:id="522479383">
                                  <w:marLeft w:val="0"/>
                                  <w:marRight w:val="0"/>
                                  <w:marTop w:val="0"/>
                                  <w:marBottom w:val="0"/>
                                  <w:divBdr>
                                    <w:top w:val="none" w:sz="0" w:space="0" w:color="auto"/>
                                    <w:left w:val="none" w:sz="0" w:space="0" w:color="auto"/>
                                    <w:bottom w:val="none" w:sz="0" w:space="0" w:color="auto"/>
                                    <w:right w:val="none" w:sz="0" w:space="0" w:color="auto"/>
                                  </w:divBdr>
                                </w:div>
                                <w:div w:id="1900551963">
                                  <w:marLeft w:val="0"/>
                                  <w:marRight w:val="0"/>
                                  <w:marTop w:val="0"/>
                                  <w:marBottom w:val="0"/>
                                  <w:divBdr>
                                    <w:top w:val="none" w:sz="0" w:space="0" w:color="auto"/>
                                    <w:left w:val="none" w:sz="0" w:space="0" w:color="auto"/>
                                    <w:bottom w:val="none" w:sz="0" w:space="0" w:color="auto"/>
                                    <w:right w:val="none" w:sz="0" w:space="0" w:color="auto"/>
                                  </w:divBdr>
                                </w:div>
                                <w:div w:id="1893957070">
                                  <w:marLeft w:val="0"/>
                                  <w:marRight w:val="0"/>
                                  <w:marTop w:val="0"/>
                                  <w:marBottom w:val="0"/>
                                  <w:divBdr>
                                    <w:top w:val="none" w:sz="0" w:space="0" w:color="auto"/>
                                    <w:left w:val="none" w:sz="0" w:space="0" w:color="auto"/>
                                    <w:bottom w:val="none" w:sz="0" w:space="0" w:color="auto"/>
                                    <w:right w:val="none" w:sz="0" w:space="0" w:color="auto"/>
                                  </w:divBdr>
                                </w:div>
                                <w:div w:id="19580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8D4B-1EB0-4C8B-9875-387A42EA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6212</Words>
  <Characters>35414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41543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 Johnston</cp:lastModifiedBy>
  <cp:revision>23</cp:revision>
  <cp:lastPrinted>2015-07-29T13:01:00Z</cp:lastPrinted>
  <dcterms:created xsi:type="dcterms:W3CDTF">2015-08-05T15:32:00Z</dcterms:created>
  <dcterms:modified xsi:type="dcterms:W3CDTF">2016-01-25T13:46:00Z</dcterms:modified>
</cp:coreProperties>
</file>