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0B6" w:rsidRDefault="00DA20B6" w:rsidP="006D7A15">
      <w:pPr>
        <w:spacing w:after="0" w:line="360" w:lineRule="auto"/>
        <w:jc w:val="center"/>
        <w:rPr>
          <w:b/>
          <w:sz w:val="24"/>
          <w:szCs w:val="24"/>
        </w:rPr>
      </w:pPr>
      <w:r>
        <w:rPr>
          <w:b/>
          <w:sz w:val="24"/>
          <w:szCs w:val="24"/>
        </w:rPr>
        <w:t>EDITORIAL</w:t>
      </w:r>
    </w:p>
    <w:p w:rsidR="006D7A15" w:rsidRDefault="00891BC5" w:rsidP="006D7A15">
      <w:pPr>
        <w:spacing w:after="0" w:line="360" w:lineRule="auto"/>
        <w:jc w:val="center"/>
        <w:rPr>
          <w:b/>
          <w:sz w:val="24"/>
          <w:szCs w:val="24"/>
        </w:rPr>
      </w:pPr>
      <w:r>
        <w:rPr>
          <w:b/>
          <w:sz w:val="24"/>
          <w:szCs w:val="24"/>
        </w:rPr>
        <w:t>G</w:t>
      </w:r>
      <w:r w:rsidR="00192DA2" w:rsidRPr="00192DA2">
        <w:rPr>
          <w:b/>
          <w:sz w:val="24"/>
          <w:szCs w:val="24"/>
        </w:rPr>
        <w:t xml:space="preserve">raduate attributes: implications for </w:t>
      </w:r>
      <w:r w:rsidR="00BB43F9">
        <w:rPr>
          <w:b/>
          <w:sz w:val="24"/>
          <w:szCs w:val="24"/>
        </w:rPr>
        <w:t xml:space="preserve">higher education </w:t>
      </w:r>
      <w:r w:rsidR="006749C5">
        <w:rPr>
          <w:b/>
          <w:sz w:val="24"/>
          <w:szCs w:val="24"/>
        </w:rPr>
        <w:t>practice</w:t>
      </w:r>
      <w:r w:rsidR="0016648C">
        <w:rPr>
          <w:b/>
          <w:sz w:val="24"/>
          <w:szCs w:val="24"/>
        </w:rPr>
        <w:t xml:space="preserve"> and policy</w:t>
      </w:r>
      <w:r w:rsidR="006D7A15">
        <w:rPr>
          <w:b/>
          <w:sz w:val="24"/>
          <w:szCs w:val="24"/>
        </w:rPr>
        <w:t xml:space="preserve"> </w:t>
      </w:r>
    </w:p>
    <w:p w:rsidR="00192DA2" w:rsidRDefault="00192DA2" w:rsidP="00192DA2">
      <w:pPr>
        <w:autoSpaceDE w:val="0"/>
        <w:autoSpaceDN w:val="0"/>
        <w:adjustRightInd w:val="0"/>
        <w:spacing w:after="0" w:line="360" w:lineRule="auto"/>
        <w:rPr>
          <w:rFonts w:ascii="Calibri" w:eastAsia="Calibri" w:hAnsi="Calibri" w:cs="Times New Roman"/>
        </w:rPr>
      </w:pPr>
    </w:p>
    <w:p w:rsidR="006F1210" w:rsidRDefault="00A8006D" w:rsidP="00192DA2">
      <w:pPr>
        <w:autoSpaceDE w:val="0"/>
        <w:autoSpaceDN w:val="0"/>
        <w:adjustRightInd w:val="0"/>
        <w:spacing w:after="0" w:line="360" w:lineRule="auto"/>
        <w:rPr>
          <w:rFonts w:cs="AdvPlantin-r"/>
        </w:rPr>
      </w:pPr>
      <w:r>
        <w:rPr>
          <w:rFonts w:ascii="Calibri" w:eastAsia="Calibri" w:hAnsi="Calibri" w:cs="Times New Roman"/>
        </w:rPr>
        <w:t>T</w:t>
      </w:r>
      <w:r w:rsidR="006F1210" w:rsidRPr="00A03465">
        <w:rPr>
          <w:rFonts w:ascii="Calibri" w:eastAsia="Calibri" w:hAnsi="Calibri" w:cs="Times New Roman"/>
        </w:rPr>
        <w:t xml:space="preserve">he higher education landscape </w:t>
      </w:r>
      <w:r w:rsidR="006F1210">
        <w:rPr>
          <w:rFonts w:ascii="Calibri" w:eastAsia="Calibri" w:hAnsi="Calibri" w:cs="Times New Roman"/>
        </w:rPr>
        <w:t>is shifting</w:t>
      </w:r>
      <w:r w:rsidR="006F1210" w:rsidRPr="00A03465">
        <w:rPr>
          <w:rFonts w:ascii="Calibri" w:eastAsia="Calibri" w:hAnsi="Calibri" w:cs="Times New Roman"/>
        </w:rPr>
        <w:t xml:space="preserve"> under neo-liberal forces</w:t>
      </w:r>
      <w:r w:rsidR="006F1210">
        <w:rPr>
          <w:rFonts w:ascii="Calibri" w:eastAsia="Calibri" w:hAnsi="Calibri" w:cs="Times New Roman"/>
        </w:rPr>
        <w:t xml:space="preserve"> </w:t>
      </w:r>
      <w:r w:rsidR="000B006D">
        <w:rPr>
          <w:rFonts w:ascii="Calibri" w:eastAsia="Calibri" w:hAnsi="Calibri" w:cs="Times New Roman"/>
        </w:rPr>
        <w:t>that</w:t>
      </w:r>
      <w:r w:rsidR="00776230">
        <w:rPr>
          <w:rFonts w:ascii="Calibri" w:eastAsia="Calibri" w:hAnsi="Calibri" w:cs="Times New Roman"/>
        </w:rPr>
        <w:t xml:space="preserve"> are </w:t>
      </w:r>
      <w:r w:rsidR="000B006D">
        <w:rPr>
          <w:rFonts w:ascii="Calibri" w:eastAsia="Calibri" w:hAnsi="Calibri" w:cs="Times New Roman"/>
        </w:rPr>
        <w:t xml:space="preserve">increasingly </w:t>
      </w:r>
      <w:r w:rsidR="00776230">
        <w:rPr>
          <w:rFonts w:ascii="Calibri" w:eastAsia="Calibri" w:hAnsi="Calibri" w:cs="Times New Roman"/>
        </w:rPr>
        <w:t>aligning the goals of business, government and education (</w:t>
      </w:r>
      <w:proofErr w:type="spellStart"/>
      <w:r w:rsidR="00776230">
        <w:rPr>
          <w:rFonts w:ascii="Calibri" w:eastAsia="Calibri" w:hAnsi="Calibri" w:cs="Times New Roman"/>
        </w:rPr>
        <w:t>Olssen</w:t>
      </w:r>
      <w:proofErr w:type="spellEnd"/>
      <w:r w:rsidR="00776230">
        <w:rPr>
          <w:rFonts w:ascii="Calibri" w:eastAsia="Calibri" w:hAnsi="Calibri" w:cs="Times New Roman"/>
        </w:rPr>
        <w:t xml:space="preserve"> </w:t>
      </w:r>
      <w:r w:rsidR="00776230" w:rsidRPr="00135948">
        <w:rPr>
          <w:rStyle w:val="author"/>
        </w:rPr>
        <w:t>&amp;</w:t>
      </w:r>
      <w:r w:rsidR="00776230">
        <w:rPr>
          <w:rStyle w:val="author"/>
        </w:rPr>
        <w:t xml:space="preserve"> Peters</w:t>
      </w:r>
      <w:r w:rsidR="00776230" w:rsidRPr="00135948">
        <w:rPr>
          <w:rStyle w:val="hlfld-contribauthor"/>
        </w:rPr>
        <w:t>,</w:t>
      </w:r>
      <w:r w:rsidR="00776230">
        <w:rPr>
          <w:rStyle w:val="hlfld-contribauthor"/>
        </w:rPr>
        <w:t xml:space="preserve"> </w:t>
      </w:r>
      <w:r w:rsidR="00776230" w:rsidRPr="00135948">
        <w:rPr>
          <w:rStyle w:val="hlfld-contribauthor"/>
        </w:rPr>
        <w:t>2005</w:t>
      </w:r>
      <w:r w:rsidR="00776230">
        <w:rPr>
          <w:rStyle w:val="hlfld-contribauthor"/>
        </w:rPr>
        <w:t xml:space="preserve">; Giroux, 2010; </w:t>
      </w:r>
      <w:proofErr w:type="spellStart"/>
      <w:r w:rsidR="00776230">
        <w:rPr>
          <w:rFonts w:ascii="Calibri" w:eastAsia="Calibri" w:hAnsi="Calibri" w:cs="Times New Roman"/>
        </w:rPr>
        <w:t>Ingleby</w:t>
      </w:r>
      <w:proofErr w:type="spellEnd"/>
      <w:r w:rsidR="00776230">
        <w:rPr>
          <w:rFonts w:ascii="Calibri" w:eastAsia="Calibri" w:hAnsi="Calibri" w:cs="Times New Roman"/>
        </w:rPr>
        <w:t>, 2015). T</w:t>
      </w:r>
      <w:r w:rsidR="00D2306C">
        <w:rPr>
          <w:rFonts w:ascii="Calibri" w:eastAsia="Calibri" w:hAnsi="Calibri" w:cs="Times New Roman"/>
        </w:rPr>
        <w:t xml:space="preserve">his </w:t>
      </w:r>
      <w:r w:rsidR="00F85432">
        <w:rPr>
          <w:rFonts w:ascii="Calibri" w:eastAsia="Calibri" w:hAnsi="Calibri" w:cs="Times New Roman"/>
        </w:rPr>
        <w:t xml:space="preserve">shift </w:t>
      </w:r>
      <w:r w:rsidR="00D2306C">
        <w:rPr>
          <w:rFonts w:ascii="Calibri" w:eastAsia="Calibri" w:hAnsi="Calibri" w:cs="Times New Roman"/>
        </w:rPr>
        <w:t xml:space="preserve">is </w:t>
      </w:r>
      <w:r w:rsidR="003B5457">
        <w:rPr>
          <w:rFonts w:cs="AdvPlantin-r"/>
        </w:rPr>
        <w:t xml:space="preserve">engendering </w:t>
      </w:r>
      <w:r w:rsidR="003B5457" w:rsidRPr="00DF1E39">
        <w:rPr>
          <w:rFonts w:cs="AdvPlantin-r"/>
        </w:rPr>
        <w:t xml:space="preserve">debate </w:t>
      </w:r>
      <w:r w:rsidR="00CB1218">
        <w:rPr>
          <w:rFonts w:cs="AdvPlantin-r"/>
        </w:rPr>
        <w:t>around the world</w:t>
      </w:r>
      <w:r w:rsidR="00260933">
        <w:rPr>
          <w:rFonts w:cs="AdvPlantin-r"/>
        </w:rPr>
        <w:t xml:space="preserve"> </w:t>
      </w:r>
      <w:r w:rsidR="003B5457" w:rsidRPr="00DF1E39">
        <w:rPr>
          <w:rFonts w:cs="AdvPlantin-r"/>
        </w:rPr>
        <w:t xml:space="preserve">about </w:t>
      </w:r>
      <w:r w:rsidR="003B5457">
        <w:rPr>
          <w:rFonts w:cs="AdvPlantin-r"/>
        </w:rPr>
        <w:t xml:space="preserve">the </w:t>
      </w:r>
      <w:r w:rsidR="003B5457" w:rsidRPr="00DF1E39">
        <w:rPr>
          <w:rFonts w:cs="AdvPlantin-r"/>
        </w:rPr>
        <w:t xml:space="preserve">role of </w:t>
      </w:r>
      <w:r w:rsidR="003B5457">
        <w:rPr>
          <w:rFonts w:cs="AdvPlantin-r"/>
        </w:rPr>
        <w:t xml:space="preserve">higher education institutions </w:t>
      </w:r>
      <w:r w:rsidR="003B5457" w:rsidRPr="00DF1E39">
        <w:rPr>
          <w:rFonts w:cs="AdvPlantin-r"/>
        </w:rPr>
        <w:t>in producing employable graduates</w:t>
      </w:r>
      <w:r w:rsidR="000E27EF" w:rsidRPr="000E27EF">
        <w:rPr>
          <w:rFonts w:ascii="Calibri" w:hAnsi="Calibri" w:cs="Arial"/>
        </w:rPr>
        <w:t xml:space="preserve"> </w:t>
      </w:r>
      <w:r w:rsidR="000E27EF" w:rsidRPr="006A16E0">
        <w:rPr>
          <w:rFonts w:ascii="Calibri" w:hAnsi="Calibri" w:cs="Arial"/>
        </w:rPr>
        <w:t>to feed</w:t>
      </w:r>
      <w:r w:rsidR="000E27EF">
        <w:rPr>
          <w:rFonts w:ascii="Calibri" w:hAnsi="Calibri" w:cs="Arial"/>
        </w:rPr>
        <w:t xml:space="preserve"> national prosperity in the emerging knowledge economy</w:t>
      </w:r>
      <w:r w:rsidR="003B5457" w:rsidRPr="00DF1E39">
        <w:rPr>
          <w:rFonts w:cs="AdvPlantin-r"/>
        </w:rPr>
        <w:t xml:space="preserve"> (</w:t>
      </w:r>
      <w:r w:rsidR="00AF0345">
        <w:rPr>
          <w:rFonts w:cs="AdvPlantin-r"/>
        </w:rPr>
        <w:t>with respect</w:t>
      </w:r>
      <w:r w:rsidR="00F56AA2">
        <w:rPr>
          <w:rFonts w:cs="AdvPlantin-r"/>
        </w:rPr>
        <w:t xml:space="preserve"> to</w:t>
      </w:r>
      <w:r w:rsidR="00F85432">
        <w:rPr>
          <w:rFonts w:cs="AdvPlantin-r"/>
        </w:rPr>
        <w:t xml:space="preserve"> geography see </w:t>
      </w:r>
      <w:r w:rsidR="003B5457">
        <w:rPr>
          <w:rFonts w:ascii="Calibri" w:hAnsi="Calibri" w:cs="Arial"/>
        </w:rPr>
        <w:t>Kong, 2007; Li et al., 2007</w:t>
      </w:r>
      <w:r w:rsidR="003B5457">
        <w:rPr>
          <w:rFonts w:cs="AdvPlantin-r"/>
        </w:rPr>
        <w:t xml:space="preserve">; </w:t>
      </w:r>
      <w:proofErr w:type="spellStart"/>
      <w:r w:rsidR="003B5457">
        <w:rPr>
          <w:rFonts w:ascii="Calibri" w:hAnsi="Calibri" w:cs="Arial"/>
        </w:rPr>
        <w:t>Arrowsmith</w:t>
      </w:r>
      <w:proofErr w:type="spellEnd"/>
      <w:r w:rsidR="003B5457">
        <w:rPr>
          <w:rFonts w:ascii="Calibri" w:hAnsi="Calibri" w:cs="Arial"/>
        </w:rPr>
        <w:t xml:space="preserve"> et al., 2011; Hennemann &amp; </w:t>
      </w:r>
      <w:proofErr w:type="spellStart"/>
      <w:r w:rsidR="003B5457">
        <w:rPr>
          <w:rFonts w:ascii="Calibri" w:hAnsi="Calibri" w:cs="Arial"/>
        </w:rPr>
        <w:t>Liefner</w:t>
      </w:r>
      <w:proofErr w:type="spellEnd"/>
      <w:r w:rsidR="003B5457">
        <w:rPr>
          <w:rFonts w:ascii="Calibri" w:hAnsi="Calibri" w:cs="Arial"/>
        </w:rPr>
        <w:t xml:space="preserve">, 2010; </w:t>
      </w:r>
      <w:r w:rsidR="003B5457" w:rsidRPr="00DF1E39">
        <w:rPr>
          <w:rFonts w:cs="AdvPlantin-r"/>
        </w:rPr>
        <w:t>Whalley 2011, Erickson 2012)</w:t>
      </w:r>
      <w:r w:rsidR="003B5457">
        <w:rPr>
          <w:rFonts w:cs="AdvPlantin-r"/>
        </w:rPr>
        <w:t xml:space="preserve">. </w:t>
      </w:r>
      <w:r w:rsidR="006F1210">
        <w:rPr>
          <w:rFonts w:ascii="Calibri" w:eastAsia="Calibri" w:hAnsi="Calibri" w:cs="Times New Roman"/>
        </w:rPr>
        <w:t>As</w:t>
      </w:r>
      <w:r w:rsidR="006F1210" w:rsidRPr="00A03465">
        <w:rPr>
          <w:rFonts w:ascii="Calibri" w:eastAsia="Calibri" w:hAnsi="Calibri" w:cs="Times New Roman"/>
        </w:rPr>
        <w:t xml:space="preserve"> this evolution</w:t>
      </w:r>
      <w:r w:rsidR="006F1210">
        <w:rPr>
          <w:rFonts w:ascii="Calibri" w:eastAsia="Calibri" w:hAnsi="Calibri" w:cs="Times New Roman"/>
        </w:rPr>
        <w:t xml:space="preserve"> continues,</w:t>
      </w:r>
      <w:r w:rsidR="006F1210" w:rsidRPr="00A03465">
        <w:rPr>
          <w:rFonts w:ascii="Calibri" w:eastAsia="Calibri" w:hAnsi="Calibri" w:cs="Times New Roman"/>
        </w:rPr>
        <w:t xml:space="preserve"> </w:t>
      </w:r>
      <w:r w:rsidR="006F1210">
        <w:rPr>
          <w:rFonts w:ascii="Calibri" w:eastAsia="Calibri" w:hAnsi="Calibri" w:cs="Times New Roman"/>
        </w:rPr>
        <w:t xml:space="preserve">we need to consider how we enhance </w:t>
      </w:r>
      <w:r w:rsidR="003E1E48">
        <w:rPr>
          <w:rFonts w:ascii="Calibri" w:eastAsia="Calibri" w:hAnsi="Calibri" w:cs="Times New Roman"/>
        </w:rPr>
        <w:t xml:space="preserve">generic graduate capabilities as well as </w:t>
      </w:r>
      <w:r w:rsidR="006F1210">
        <w:rPr>
          <w:rFonts w:ascii="Calibri" w:eastAsia="Calibri" w:hAnsi="Calibri" w:cs="Times New Roman"/>
        </w:rPr>
        <w:t>the disciplinary expertise of our undergraduate students</w:t>
      </w:r>
      <w:r w:rsidR="001C273A">
        <w:rPr>
          <w:rFonts w:ascii="Calibri" w:eastAsia="Calibri" w:hAnsi="Calibri" w:cs="Times New Roman"/>
        </w:rPr>
        <w:t>.</w:t>
      </w:r>
      <w:r w:rsidR="00735ED0">
        <w:rPr>
          <w:rFonts w:ascii="Calibri" w:eastAsia="Calibri" w:hAnsi="Calibri" w:cs="Times New Roman"/>
        </w:rPr>
        <w:t xml:space="preserve"> </w:t>
      </w:r>
      <w:r w:rsidR="003E1E48">
        <w:rPr>
          <w:rFonts w:ascii="Calibri" w:hAnsi="Calibri" w:cs="Arial"/>
        </w:rPr>
        <w:t xml:space="preserve">In order to avoid deferring to </w:t>
      </w:r>
      <w:r w:rsidR="006F1210">
        <w:rPr>
          <w:rFonts w:ascii="Calibri" w:hAnsi="Calibri" w:cs="Arial"/>
        </w:rPr>
        <w:t xml:space="preserve">market forces and the consequent </w:t>
      </w:r>
      <w:proofErr w:type="spellStart"/>
      <w:r w:rsidR="006F1210">
        <w:rPr>
          <w:rFonts w:ascii="Calibri" w:hAnsi="Calibri" w:cs="Arial"/>
        </w:rPr>
        <w:t>commodification</w:t>
      </w:r>
      <w:proofErr w:type="spellEnd"/>
      <w:r w:rsidR="006F1210">
        <w:rPr>
          <w:rFonts w:ascii="Calibri" w:hAnsi="Calibri" w:cs="Arial"/>
        </w:rPr>
        <w:t xml:space="preserve"> of teaching and learning</w:t>
      </w:r>
      <w:r w:rsidR="00AF4E72">
        <w:rPr>
          <w:rFonts w:ascii="Calibri" w:hAnsi="Calibri" w:cs="Arial"/>
        </w:rPr>
        <w:t xml:space="preserve"> (</w:t>
      </w:r>
      <w:proofErr w:type="spellStart"/>
      <w:r w:rsidR="00AF4E72">
        <w:rPr>
          <w:rFonts w:ascii="Calibri" w:hAnsi="Calibri" w:cs="Arial"/>
        </w:rPr>
        <w:t>Cribb</w:t>
      </w:r>
      <w:proofErr w:type="spellEnd"/>
      <w:r w:rsidR="00AF4E72">
        <w:rPr>
          <w:rFonts w:ascii="Calibri" w:hAnsi="Calibri" w:cs="Arial"/>
        </w:rPr>
        <w:t xml:space="preserve"> &amp; </w:t>
      </w:r>
      <w:proofErr w:type="spellStart"/>
      <w:r w:rsidR="00AF4E72">
        <w:rPr>
          <w:rFonts w:ascii="Calibri" w:hAnsi="Calibri" w:cs="Arial"/>
        </w:rPr>
        <w:t>Gewirtz</w:t>
      </w:r>
      <w:proofErr w:type="spellEnd"/>
      <w:r w:rsidR="00AF4E72">
        <w:rPr>
          <w:rFonts w:ascii="Calibri" w:hAnsi="Calibri" w:cs="Arial"/>
        </w:rPr>
        <w:t>, 2013)</w:t>
      </w:r>
      <w:r w:rsidR="00D746B1">
        <w:rPr>
          <w:rFonts w:ascii="Calibri" w:hAnsi="Calibri" w:cs="Arial"/>
        </w:rPr>
        <w:t>,</w:t>
      </w:r>
      <w:r w:rsidR="003E1E48">
        <w:rPr>
          <w:rFonts w:ascii="Calibri" w:hAnsi="Calibri" w:cs="Arial"/>
        </w:rPr>
        <w:t xml:space="preserve"> we can make conscious decisions about </w:t>
      </w:r>
      <w:r w:rsidR="00E52C81">
        <w:rPr>
          <w:rFonts w:ascii="Calibri" w:hAnsi="Calibri" w:cs="Arial"/>
        </w:rPr>
        <w:t xml:space="preserve">our </w:t>
      </w:r>
      <w:r w:rsidR="003E1E48">
        <w:rPr>
          <w:rFonts w:ascii="Calibri" w:hAnsi="Calibri" w:cs="Arial"/>
        </w:rPr>
        <w:t xml:space="preserve">curriculum content and co-curricular activities, </w:t>
      </w:r>
      <w:r w:rsidR="00E52C81">
        <w:rPr>
          <w:rFonts w:ascii="Calibri" w:hAnsi="Calibri" w:cs="Arial"/>
        </w:rPr>
        <w:t>pedagogies</w:t>
      </w:r>
      <w:r w:rsidR="003E1E48">
        <w:rPr>
          <w:rFonts w:ascii="Calibri" w:hAnsi="Calibri" w:cs="Arial"/>
        </w:rPr>
        <w:t xml:space="preserve"> and the nature and use of learning spaces</w:t>
      </w:r>
      <w:r w:rsidR="006F1210">
        <w:rPr>
          <w:rFonts w:ascii="Calibri" w:eastAsia="Calibri" w:hAnsi="Calibri" w:cs="Times New Roman"/>
        </w:rPr>
        <w:t xml:space="preserve">. Our graduates should </w:t>
      </w:r>
      <w:r w:rsidR="006F1210" w:rsidRPr="00A03465">
        <w:rPr>
          <w:rFonts w:ascii="Calibri" w:hAnsi="Calibri" w:cs="Arial"/>
        </w:rPr>
        <w:t>possess</w:t>
      </w:r>
      <w:r w:rsidR="006F1210">
        <w:rPr>
          <w:rFonts w:ascii="Calibri" w:hAnsi="Calibri" w:cs="Arial"/>
        </w:rPr>
        <w:t xml:space="preserve"> the knowledge,</w:t>
      </w:r>
      <w:r w:rsidR="006F1210" w:rsidRPr="00A03465">
        <w:rPr>
          <w:rFonts w:ascii="Calibri" w:hAnsi="Calibri" w:cs="Arial"/>
        </w:rPr>
        <w:t xml:space="preserve"> skills</w:t>
      </w:r>
      <w:r w:rsidR="006F1210">
        <w:rPr>
          <w:rFonts w:ascii="Calibri" w:hAnsi="Calibri" w:cs="Arial"/>
        </w:rPr>
        <w:t xml:space="preserve"> and values</w:t>
      </w:r>
      <w:r w:rsidR="006F1210" w:rsidRPr="00A03465">
        <w:rPr>
          <w:rFonts w:ascii="Calibri" w:hAnsi="Calibri" w:cs="Arial"/>
        </w:rPr>
        <w:t xml:space="preserve"> to</w:t>
      </w:r>
      <w:r w:rsidR="006F1210">
        <w:rPr>
          <w:rFonts w:ascii="Calibri" w:hAnsi="Calibri" w:cs="Arial"/>
        </w:rPr>
        <w:t xml:space="preserve"> enable them to cope </w:t>
      </w:r>
      <w:r w:rsidR="006F1210" w:rsidRPr="00A03465">
        <w:rPr>
          <w:rFonts w:ascii="Calibri" w:hAnsi="Calibri" w:cs="Arial"/>
        </w:rPr>
        <w:t>with dynamic</w:t>
      </w:r>
      <w:r w:rsidR="00F85432">
        <w:rPr>
          <w:rFonts w:ascii="Calibri" w:hAnsi="Calibri" w:cs="Arial"/>
        </w:rPr>
        <w:t xml:space="preserve"> employment opportunities, but</w:t>
      </w:r>
      <w:r w:rsidR="006F1210">
        <w:rPr>
          <w:rFonts w:ascii="Calibri" w:hAnsi="Calibri" w:cs="Arial"/>
        </w:rPr>
        <w:t xml:space="preserve"> they must also understand, through the benefits and constraints of their disciplinary </w:t>
      </w:r>
      <w:r w:rsidR="003E1E48">
        <w:rPr>
          <w:rFonts w:ascii="Calibri" w:hAnsi="Calibri" w:cs="Arial"/>
        </w:rPr>
        <w:t>perspective</w:t>
      </w:r>
      <w:r w:rsidR="00BC2F23">
        <w:rPr>
          <w:rFonts w:ascii="Calibri" w:hAnsi="Calibri" w:cs="Arial"/>
        </w:rPr>
        <w:t>s</w:t>
      </w:r>
      <w:r w:rsidR="006F1210">
        <w:rPr>
          <w:rFonts w:ascii="Calibri" w:hAnsi="Calibri" w:cs="Arial"/>
        </w:rPr>
        <w:t>, who they are and how they might contribute positively to</w:t>
      </w:r>
      <w:r w:rsidR="006F1210" w:rsidRPr="006A16E0">
        <w:rPr>
          <w:rFonts w:ascii="Calibri" w:hAnsi="Calibri" w:cs="Arial"/>
        </w:rPr>
        <w:t xml:space="preserve"> the heterogeneity they will encounter in </w:t>
      </w:r>
      <w:r w:rsidR="006F1210">
        <w:rPr>
          <w:rFonts w:ascii="Calibri" w:hAnsi="Calibri" w:cs="Arial"/>
        </w:rPr>
        <w:t xml:space="preserve">their local, regional and global </w:t>
      </w:r>
      <w:r w:rsidR="006F1210" w:rsidRPr="006A16E0">
        <w:rPr>
          <w:rFonts w:ascii="Calibri" w:hAnsi="Calibri" w:cs="Arial"/>
        </w:rPr>
        <w:t xml:space="preserve">communities </w:t>
      </w:r>
      <w:r w:rsidR="001F2B7D">
        <w:rPr>
          <w:rFonts w:ascii="Calibri" w:hAnsi="Calibri" w:cs="Arial"/>
        </w:rPr>
        <w:t>(Barnett, 2004</w:t>
      </w:r>
      <w:r w:rsidR="006F1210">
        <w:rPr>
          <w:rFonts w:ascii="Calibri" w:hAnsi="Calibri" w:cs="Arial"/>
        </w:rPr>
        <w:t>)</w:t>
      </w:r>
      <w:r w:rsidR="006F1210" w:rsidRPr="00A03465">
        <w:rPr>
          <w:rFonts w:ascii="Calibri" w:hAnsi="Calibri" w:cs="Arial"/>
        </w:rPr>
        <w:t>.</w:t>
      </w:r>
    </w:p>
    <w:p w:rsidR="00DF1E39" w:rsidRDefault="00DF1E39" w:rsidP="00192DA2">
      <w:pPr>
        <w:autoSpaceDE w:val="0"/>
        <w:autoSpaceDN w:val="0"/>
        <w:adjustRightInd w:val="0"/>
        <w:spacing w:after="0" w:line="360" w:lineRule="auto"/>
        <w:rPr>
          <w:rFonts w:ascii="Calibri" w:hAnsi="Calibri" w:cs="Arial"/>
        </w:rPr>
      </w:pPr>
    </w:p>
    <w:p w:rsidR="00CA6584" w:rsidRPr="008E13F9" w:rsidRDefault="000E27EF" w:rsidP="00192DA2">
      <w:pPr>
        <w:autoSpaceDE w:val="0"/>
        <w:autoSpaceDN w:val="0"/>
        <w:adjustRightInd w:val="0"/>
        <w:spacing w:after="0" w:line="360" w:lineRule="auto"/>
      </w:pPr>
      <w:r>
        <w:rPr>
          <w:rFonts w:cs="AdvPlantin-r"/>
        </w:rPr>
        <w:t>Many</w:t>
      </w:r>
      <w:r w:rsidR="00CC31C3" w:rsidRPr="00CA6584">
        <w:rPr>
          <w:rFonts w:cs="AdvPlantin-r"/>
        </w:rPr>
        <w:t xml:space="preserve"> different terms </w:t>
      </w:r>
      <w:r w:rsidR="00D51A15">
        <w:rPr>
          <w:rFonts w:cs="AdvPlantin-r"/>
        </w:rPr>
        <w:t>have been</w:t>
      </w:r>
      <w:r>
        <w:rPr>
          <w:rFonts w:cs="AdvPlantin-r"/>
        </w:rPr>
        <w:t xml:space="preserve"> used in </w:t>
      </w:r>
      <w:r w:rsidR="00C27770">
        <w:rPr>
          <w:rFonts w:cs="AdvPlantin-r"/>
        </w:rPr>
        <w:t xml:space="preserve">the higher </w:t>
      </w:r>
      <w:r>
        <w:rPr>
          <w:rFonts w:cs="AdvPlantin-r"/>
        </w:rPr>
        <w:t>education</w:t>
      </w:r>
      <w:r w:rsidR="00CC31C3" w:rsidRPr="00CA6584">
        <w:rPr>
          <w:rFonts w:cs="AdvPlantin-r"/>
        </w:rPr>
        <w:t xml:space="preserve"> literature</w:t>
      </w:r>
      <w:r>
        <w:rPr>
          <w:rFonts w:cs="AdvPlantin-r"/>
        </w:rPr>
        <w:t xml:space="preserve"> to describe </w:t>
      </w:r>
      <w:r w:rsidR="00B01775">
        <w:rPr>
          <w:rFonts w:cs="AdvPlantin-r"/>
        </w:rPr>
        <w:t xml:space="preserve">the </w:t>
      </w:r>
      <w:r>
        <w:rPr>
          <w:rFonts w:cs="AdvPlantin-r"/>
        </w:rPr>
        <w:t xml:space="preserve">generic skills </w:t>
      </w:r>
      <w:r w:rsidR="00B01775">
        <w:rPr>
          <w:rFonts w:cs="AdvPlantin-r"/>
        </w:rPr>
        <w:t xml:space="preserve">of graduates </w:t>
      </w:r>
      <w:r>
        <w:rPr>
          <w:rFonts w:cs="AdvPlantin-r"/>
        </w:rPr>
        <w:t>and these commonly include</w:t>
      </w:r>
      <w:r w:rsidR="005C3313">
        <w:rPr>
          <w:rFonts w:cs="AdvPlantin-r"/>
        </w:rPr>
        <w:t>:</w:t>
      </w:r>
      <w:r w:rsidR="00CC31C3" w:rsidRPr="00CA6584">
        <w:rPr>
          <w:rFonts w:cs="AdvPlantin-r"/>
        </w:rPr>
        <w:t xml:space="preserve"> </w:t>
      </w:r>
      <w:r w:rsidR="00B01775">
        <w:rPr>
          <w:rFonts w:cs="AdvPlantin-r"/>
        </w:rPr>
        <w:t>graduate attributes,</w:t>
      </w:r>
      <w:r w:rsidR="004D53D3">
        <w:rPr>
          <w:rFonts w:cs="AdvPlantin-r"/>
        </w:rPr>
        <w:t xml:space="preserve"> competencies,</w:t>
      </w:r>
      <w:r w:rsidR="00CC31C3" w:rsidRPr="00CA6584">
        <w:rPr>
          <w:rFonts w:cs="AdvPlantin-r"/>
        </w:rPr>
        <w:t xml:space="preserve"> qualities</w:t>
      </w:r>
      <w:r w:rsidR="004D53D3">
        <w:rPr>
          <w:rFonts w:cs="AdvPlantin-r"/>
        </w:rPr>
        <w:t xml:space="preserve"> or outcomes</w:t>
      </w:r>
      <w:r w:rsidR="005C3313">
        <w:rPr>
          <w:rFonts w:cs="AdvPlantin-r"/>
        </w:rPr>
        <w:t>;</w:t>
      </w:r>
      <w:r w:rsidR="00CC31C3" w:rsidRPr="00CA6584">
        <w:rPr>
          <w:rFonts w:cs="AdvPlantin-r"/>
        </w:rPr>
        <w:t xml:space="preserve"> </w:t>
      </w:r>
      <w:r w:rsidR="00040AA0">
        <w:rPr>
          <w:rFonts w:cs="AdvPlantin-r"/>
        </w:rPr>
        <w:t xml:space="preserve">generic </w:t>
      </w:r>
      <w:r w:rsidR="00CC31C3" w:rsidRPr="00CA6584">
        <w:rPr>
          <w:rFonts w:cs="AdvPlantin-r"/>
        </w:rPr>
        <w:t>attribute</w:t>
      </w:r>
      <w:r>
        <w:rPr>
          <w:rFonts w:cs="AdvPlantin-r"/>
        </w:rPr>
        <w:t>s</w:t>
      </w:r>
      <w:r w:rsidR="005C3313">
        <w:rPr>
          <w:rFonts w:cs="AdvPlantin-r"/>
        </w:rPr>
        <w:t>;</w:t>
      </w:r>
      <w:r w:rsidR="00D51A15">
        <w:rPr>
          <w:rFonts w:cs="AdvPlantin-r"/>
        </w:rPr>
        <w:t xml:space="preserve"> transferable, </w:t>
      </w:r>
      <w:r w:rsidR="005C3313">
        <w:rPr>
          <w:rFonts w:cs="AdvPlantin-r"/>
        </w:rPr>
        <w:t>employability or soft skills;</w:t>
      </w:r>
      <w:r>
        <w:rPr>
          <w:rFonts w:cs="AdvPlantin-r"/>
        </w:rPr>
        <w:t xml:space="preserve"> and core capabilities</w:t>
      </w:r>
      <w:r w:rsidR="00CC31C3" w:rsidRPr="00CA6584">
        <w:rPr>
          <w:rFonts w:cs="AdvPlantin-r"/>
        </w:rPr>
        <w:t xml:space="preserve"> (</w:t>
      </w:r>
      <w:r w:rsidR="00D51A15">
        <w:rPr>
          <w:rFonts w:cs="AdvPlantin-r"/>
        </w:rPr>
        <w:t xml:space="preserve">de la </w:t>
      </w:r>
      <w:proofErr w:type="spellStart"/>
      <w:r w:rsidR="00D51A15">
        <w:rPr>
          <w:rFonts w:cs="AdvPlantin-r"/>
        </w:rPr>
        <w:t>Harpe</w:t>
      </w:r>
      <w:proofErr w:type="spellEnd"/>
      <w:r w:rsidR="00D51A15">
        <w:rPr>
          <w:rFonts w:cs="AdvPlantin-r"/>
        </w:rPr>
        <w:t xml:space="preserve"> et al., 2000; </w:t>
      </w:r>
      <w:r w:rsidR="00CC31C3" w:rsidRPr="00CA6584">
        <w:rPr>
          <w:rFonts w:cs="AdvPlantin-r"/>
        </w:rPr>
        <w:t>Barrie</w:t>
      </w:r>
      <w:r w:rsidR="00B01775">
        <w:rPr>
          <w:rFonts w:cs="AdvPlantin-r"/>
        </w:rPr>
        <w:t>,</w:t>
      </w:r>
      <w:r w:rsidR="00CC31C3" w:rsidRPr="00CA6584">
        <w:rPr>
          <w:rFonts w:cs="AdvPlantin-r"/>
        </w:rPr>
        <w:t xml:space="preserve"> 2004</w:t>
      </w:r>
      <w:r w:rsidR="00D51A15">
        <w:rPr>
          <w:rFonts w:cs="AdvPlantin-r"/>
        </w:rPr>
        <w:t>, 2006</w:t>
      </w:r>
      <w:r w:rsidR="00C939B9">
        <w:rPr>
          <w:rFonts w:cs="AdvPlantin-r"/>
        </w:rPr>
        <w:t xml:space="preserve">). A hierarchy of </w:t>
      </w:r>
      <w:r w:rsidR="00094703">
        <w:rPr>
          <w:rFonts w:cs="AdvPlantin-r"/>
        </w:rPr>
        <w:t>terms</w:t>
      </w:r>
      <w:r w:rsidR="00C939B9">
        <w:rPr>
          <w:rFonts w:cs="AdvPlantin-r"/>
        </w:rPr>
        <w:t xml:space="preserve"> has been postulated recently by workers in New Zealand (Spronken-Smith et al., 2015</w:t>
      </w:r>
      <w:r w:rsidR="00DA20B6">
        <w:rPr>
          <w:rFonts w:cs="AdvPlantin-r"/>
        </w:rPr>
        <w:t xml:space="preserve"> and this volume</w:t>
      </w:r>
      <w:r w:rsidR="00C939B9">
        <w:rPr>
          <w:rFonts w:cs="AdvPlantin-r"/>
        </w:rPr>
        <w:t xml:space="preserve">). This </w:t>
      </w:r>
      <w:r w:rsidR="00E13F76">
        <w:rPr>
          <w:rFonts w:cs="AdvPlantin-r"/>
        </w:rPr>
        <w:t xml:space="preserve">hierarchy </w:t>
      </w:r>
      <w:r w:rsidR="00C939B9">
        <w:rPr>
          <w:rFonts w:cs="AdvPlantin-r"/>
        </w:rPr>
        <w:t>develops from graduate attributes as specific knowledge, skills a</w:t>
      </w:r>
      <w:r w:rsidR="00521D1F">
        <w:rPr>
          <w:rFonts w:cs="AdvPlantin-r"/>
        </w:rPr>
        <w:t xml:space="preserve">nd values, </w:t>
      </w:r>
      <w:r w:rsidR="00C939B9">
        <w:rPr>
          <w:rFonts w:cs="AdvPlantin-r"/>
        </w:rPr>
        <w:t>through graduate profiles that refer to the summation of attributes at eith</w:t>
      </w:r>
      <w:r w:rsidR="00E13F76">
        <w:rPr>
          <w:rFonts w:cs="AdvPlantin-r"/>
        </w:rPr>
        <w:t xml:space="preserve">er </w:t>
      </w:r>
      <w:r w:rsidR="00C939B9">
        <w:rPr>
          <w:rFonts w:cs="AdvPlantin-r"/>
        </w:rPr>
        <w:t xml:space="preserve">programme or institutional level, </w:t>
      </w:r>
      <w:r w:rsidR="00157FE4">
        <w:rPr>
          <w:rFonts w:cs="AdvPlantin-r"/>
        </w:rPr>
        <w:t>culminating</w:t>
      </w:r>
      <w:r w:rsidR="00C939B9">
        <w:rPr>
          <w:rFonts w:cs="AdvPlantin-r"/>
        </w:rPr>
        <w:t xml:space="preserve"> </w:t>
      </w:r>
      <w:r w:rsidR="00157FE4">
        <w:rPr>
          <w:rFonts w:cs="AdvPlantin-r"/>
        </w:rPr>
        <w:t xml:space="preserve">in </w:t>
      </w:r>
      <w:r w:rsidR="00E13F76">
        <w:rPr>
          <w:rFonts w:cs="AdvPlantin-r"/>
        </w:rPr>
        <w:t xml:space="preserve">the term </w:t>
      </w:r>
      <w:r w:rsidR="00157FE4">
        <w:rPr>
          <w:rFonts w:cs="AdvPlantin-r"/>
        </w:rPr>
        <w:t>‘</w:t>
      </w:r>
      <w:r w:rsidR="00C939B9">
        <w:rPr>
          <w:rFonts w:cs="AdvPlantin-r"/>
        </w:rPr>
        <w:t>graduate outcome</w:t>
      </w:r>
      <w:r w:rsidR="00157FE4">
        <w:rPr>
          <w:rFonts w:cs="AdvPlantin-r"/>
        </w:rPr>
        <w:t>’</w:t>
      </w:r>
      <w:r w:rsidR="00C939B9">
        <w:rPr>
          <w:rFonts w:cs="AdvPlantin-r"/>
        </w:rPr>
        <w:t>, which</w:t>
      </w:r>
      <w:r w:rsidR="00E13F76">
        <w:rPr>
          <w:rFonts w:cs="AdvPlantin-r"/>
        </w:rPr>
        <w:t xml:space="preserve"> is</w:t>
      </w:r>
      <w:r w:rsidR="00C939B9">
        <w:rPr>
          <w:rFonts w:cs="AdvPlantin-r"/>
        </w:rPr>
        <w:t xml:space="preserve"> used to encompass both graduate attribute</w:t>
      </w:r>
      <w:r w:rsidR="00E13F76">
        <w:rPr>
          <w:rFonts w:cs="AdvPlantin-r"/>
        </w:rPr>
        <w:t>s</w:t>
      </w:r>
      <w:r w:rsidR="00C939B9">
        <w:rPr>
          <w:rFonts w:cs="AdvPlantin-r"/>
        </w:rPr>
        <w:t xml:space="preserve"> and graduate profiles. </w:t>
      </w:r>
      <w:r w:rsidR="00DD59E9">
        <w:t>For this symposium</w:t>
      </w:r>
      <w:r w:rsidR="00DD59E9">
        <w:rPr>
          <w:rFonts w:cs="AdvPlantin-r"/>
        </w:rPr>
        <w:t xml:space="preserve"> w</w:t>
      </w:r>
      <w:r w:rsidR="00C3153C">
        <w:rPr>
          <w:rFonts w:cs="AdvPlantin-r"/>
        </w:rPr>
        <w:t xml:space="preserve">e adopt the term </w:t>
      </w:r>
      <w:r w:rsidR="00C3153C">
        <w:t>g</w:t>
      </w:r>
      <w:r w:rsidRPr="00C03095">
        <w:t>raduate attributes</w:t>
      </w:r>
      <w:r w:rsidR="007B6E4D">
        <w:t xml:space="preserve"> as per Spronken-Smith et al</w:t>
      </w:r>
      <w:r w:rsidR="00094703">
        <w:t>.</w:t>
      </w:r>
      <w:r w:rsidR="007B6E4D">
        <w:t xml:space="preserve"> (2015)</w:t>
      </w:r>
      <w:r w:rsidR="00C3153C">
        <w:t xml:space="preserve">, viewing them as </w:t>
      </w:r>
      <w:r w:rsidR="006F48E0" w:rsidRPr="00CA6584">
        <w:rPr>
          <w:rFonts w:cs="AdvPlantin-r"/>
        </w:rPr>
        <w:t>skills,</w:t>
      </w:r>
      <w:r w:rsidR="006F48E0">
        <w:rPr>
          <w:rFonts w:cs="AdvPlantin-r"/>
        </w:rPr>
        <w:t xml:space="preserve"> knowledge,</w:t>
      </w:r>
      <w:r w:rsidR="006F48E0" w:rsidRPr="00CA6584">
        <w:rPr>
          <w:rFonts w:cs="AdvPlantin-r"/>
        </w:rPr>
        <w:t xml:space="preserve"> attitudes </w:t>
      </w:r>
      <w:r w:rsidR="006F48E0">
        <w:rPr>
          <w:rFonts w:cs="AdvPlantin-r"/>
        </w:rPr>
        <w:t xml:space="preserve">and values that </w:t>
      </w:r>
      <w:r w:rsidR="006F48E0" w:rsidRPr="00CA6584">
        <w:rPr>
          <w:rFonts w:cs="AdvPlantin-r"/>
        </w:rPr>
        <w:t>are distin</w:t>
      </w:r>
      <w:r w:rsidR="006F48E0">
        <w:rPr>
          <w:rFonts w:cs="AdvPlantin-r"/>
        </w:rPr>
        <w:t>guished f</w:t>
      </w:r>
      <w:r w:rsidR="006F48E0" w:rsidRPr="00CA6584">
        <w:rPr>
          <w:rFonts w:cs="AdvPlantin-r"/>
        </w:rPr>
        <w:t>r</w:t>
      </w:r>
      <w:r w:rsidR="006F48E0">
        <w:rPr>
          <w:rFonts w:cs="AdvPlantin-r"/>
        </w:rPr>
        <w:t xml:space="preserve">om </w:t>
      </w:r>
      <w:r w:rsidR="00521D1F">
        <w:rPr>
          <w:rFonts w:cs="AdvPlantin-r"/>
        </w:rPr>
        <w:t xml:space="preserve">the </w:t>
      </w:r>
      <w:r w:rsidR="006F48E0">
        <w:rPr>
          <w:rFonts w:cs="AdvPlantin-r"/>
        </w:rPr>
        <w:t xml:space="preserve">disciplinary expertise </w:t>
      </w:r>
      <w:r w:rsidR="006F48E0" w:rsidRPr="00CA6584">
        <w:rPr>
          <w:rFonts w:cs="AdvPlantin-r"/>
        </w:rPr>
        <w:t>a</w:t>
      </w:r>
      <w:r w:rsidR="006F48E0">
        <w:rPr>
          <w:rFonts w:cs="AdvPlantin-r"/>
        </w:rPr>
        <w:t xml:space="preserve">ssociated more </w:t>
      </w:r>
      <w:r w:rsidR="006F48E0" w:rsidRPr="00CA6584">
        <w:rPr>
          <w:rFonts w:cs="AdvPlantin-r"/>
        </w:rPr>
        <w:t>traditional</w:t>
      </w:r>
      <w:r w:rsidR="006F48E0">
        <w:rPr>
          <w:rFonts w:cs="AdvPlantin-r"/>
        </w:rPr>
        <w:t>ly</w:t>
      </w:r>
      <w:r w:rsidR="006F48E0" w:rsidRPr="00CA6584">
        <w:rPr>
          <w:rFonts w:cs="AdvPlantin-r"/>
        </w:rPr>
        <w:t xml:space="preserve"> </w:t>
      </w:r>
      <w:r w:rsidR="006F48E0">
        <w:rPr>
          <w:rFonts w:cs="AdvPlantin-r"/>
        </w:rPr>
        <w:t>with higher education</w:t>
      </w:r>
      <w:r w:rsidR="00DA20B6">
        <w:rPr>
          <w:rFonts w:cs="AdvPlantin-r"/>
        </w:rPr>
        <w:t>, but which make</w:t>
      </w:r>
      <w:r w:rsidR="00704ED2">
        <w:rPr>
          <w:rFonts w:cs="AdvPlantin-r"/>
        </w:rPr>
        <w:t xml:space="preserve"> a contribution to the profession</w:t>
      </w:r>
      <w:r w:rsidR="00521D1F">
        <w:rPr>
          <w:rFonts w:cs="AdvPlantin-r"/>
        </w:rPr>
        <w:t>. Graduate attributes</w:t>
      </w:r>
      <w:r w:rsidR="006F48E0">
        <w:rPr>
          <w:rFonts w:cs="AdvPlantin-r"/>
        </w:rPr>
        <w:t xml:space="preserve"> are</w:t>
      </w:r>
      <w:r w:rsidR="006F48E0">
        <w:t xml:space="preserve"> </w:t>
      </w:r>
      <w:r w:rsidR="007B6E4D">
        <w:t xml:space="preserve">broader </w:t>
      </w:r>
      <w:r w:rsidR="00667BF5" w:rsidRPr="00827C55">
        <w:t xml:space="preserve">and more encompassing than </w:t>
      </w:r>
      <w:r w:rsidR="008E13F9">
        <w:t>‘</w:t>
      </w:r>
      <w:r w:rsidR="00667BF5" w:rsidRPr="00827C55">
        <w:t>employability</w:t>
      </w:r>
      <w:r w:rsidR="008E13F9">
        <w:t>’</w:t>
      </w:r>
      <w:r w:rsidR="00667BF5" w:rsidRPr="00827C55">
        <w:t>, helping</w:t>
      </w:r>
      <w:r w:rsidR="00667BF5">
        <w:t xml:space="preserve"> to develop academic, citizenship</w:t>
      </w:r>
      <w:r w:rsidR="00667BF5" w:rsidRPr="00827C55">
        <w:t xml:space="preserve"> and career competencies</w:t>
      </w:r>
      <w:r w:rsidR="00667BF5">
        <w:t>.</w:t>
      </w:r>
      <w:r w:rsidR="00161741">
        <w:rPr>
          <w:rFonts w:cs="AdvPlantin-r"/>
        </w:rPr>
        <w:t xml:space="preserve"> </w:t>
      </w:r>
      <w:r w:rsidR="00521D1F">
        <w:t>They</w:t>
      </w:r>
      <w:r w:rsidR="007B6E4D">
        <w:t xml:space="preserve"> are</w:t>
      </w:r>
      <w:r w:rsidR="007B6E4D" w:rsidRPr="00C03095">
        <w:rPr>
          <w:rFonts w:ascii="Calibri" w:eastAsia="Calibri" w:hAnsi="Calibri" w:cs="Times New Roman"/>
        </w:rPr>
        <w:t xml:space="preserve"> an orientating framework of education</w:t>
      </w:r>
      <w:r w:rsidR="003E1E48">
        <w:rPr>
          <w:rFonts w:ascii="Calibri" w:eastAsia="Calibri" w:hAnsi="Calibri" w:cs="Times New Roman"/>
        </w:rPr>
        <w:t>al</w:t>
      </w:r>
      <w:r w:rsidR="007B6E4D" w:rsidRPr="00C03095">
        <w:rPr>
          <w:rFonts w:ascii="Calibri" w:eastAsia="Calibri" w:hAnsi="Calibri" w:cs="Times New Roman"/>
        </w:rPr>
        <w:t xml:space="preserve"> outcomes</w:t>
      </w:r>
      <w:r w:rsidR="007B6E4D">
        <w:rPr>
          <w:rFonts w:ascii="Calibri" w:eastAsia="Calibri" w:hAnsi="Calibri" w:cs="Times New Roman"/>
        </w:rPr>
        <w:t xml:space="preserve"> that</w:t>
      </w:r>
      <w:r w:rsidR="007B6E4D" w:rsidRPr="00C03095">
        <w:rPr>
          <w:rFonts w:ascii="Calibri" w:eastAsia="Calibri" w:hAnsi="Calibri" w:cs="Times New Roman"/>
        </w:rPr>
        <w:t xml:space="preserve"> </w:t>
      </w:r>
      <w:r w:rsidR="007B6E4D" w:rsidRPr="00C03095">
        <w:rPr>
          <w:rFonts w:ascii="Calibri" w:eastAsia="Calibri" w:hAnsi="Calibri" w:cs="Times New Roman"/>
          <w:lang w:val="en-US"/>
        </w:rPr>
        <w:t>a university community agrees its graduates should develop as a result of completing their studies</w:t>
      </w:r>
      <w:r w:rsidR="008E79F0" w:rsidRPr="008E79F0">
        <w:rPr>
          <w:rFonts w:ascii="Calibri" w:eastAsia="Calibri" w:hAnsi="Calibri" w:cs="Times New Roman"/>
          <w:lang w:val="en-US"/>
        </w:rPr>
        <w:t xml:space="preserve"> </w:t>
      </w:r>
      <w:r w:rsidR="008E79F0" w:rsidRPr="00C03095">
        <w:rPr>
          <w:rFonts w:ascii="Calibri" w:eastAsia="Calibri" w:hAnsi="Calibri" w:cs="Times New Roman"/>
          <w:lang w:val="en-US"/>
        </w:rPr>
        <w:t>successfully</w:t>
      </w:r>
      <w:r w:rsidR="007B6E4D" w:rsidRPr="00C03095">
        <w:rPr>
          <w:lang w:val="en-US"/>
        </w:rPr>
        <w:t>.</w:t>
      </w:r>
      <w:r w:rsidR="007B6E4D">
        <w:t xml:space="preserve"> </w:t>
      </w:r>
      <w:r w:rsidR="00D746B1">
        <w:rPr>
          <w:rFonts w:cs="AdvPlantin-r"/>
        </w:rPr>
        <w:t>Some common</w:t>
      </w:r>
      <w:r w:rsidR="00CA6584" w:rsidRPr="00CA6584">
        <w:rPr>
          <w:rFonts w:cs="AdvPlantin-r"/>
        </w:rPr>
        <w:t xml:space="preserve"> graduate</w:t>
      </w:r>
      <w:r w:rsidR="004126E4">
        <w:rPr>
          <w:rFonts w:cs="AdvPlantin-r"/>
        </w:rPr>
        <w:t xml:space="preserve"> attributes ha</w:t>
      </w:r>
      <w:r w:rsidR="00D746B1">
        <w:rPr>
          <w:rFonts w:cs="AdvPlantin-r"/>
        </w:rPr>
        <w:t>ve</w:t>
      </w:r>
      <w:r w:rsidR="004126E4">
        <w:rPr>
          <w:rFonts w:cs="AdvPlantin-r"/>
        </w:rPr>
        <w:t xml:space="preserve"> gained favour</w:t>
      </w:r>
      <w:r w:rsidR="00CA6584" w:rsidRPr="00CA6584">
        <w:rPr>
          <w:rFonts w:cs="AdvPlantin-r"/>
        </w:rPr>
        <w:t xml:space="preserve"> </w:t>
      </w:r>
      <w:r w:rsidR="00C27770">
        <w:rPr>
          <w:rFonts w:cs="AdvPlantin-r"/>
        </w:rPr>
        <w:t xml:space="preserve">in </w:t>
      </w:r>
      <w:r w:rsidR="00C27770">
        <w:rPr>
          <w:rFonts w:cs="AdvPlantin-r"/>
        </w:rPr>
        <w:lastRenderedPageBreak/>
        <w:t>universities and these include</w:t>
      </w:r>
      <w:r w:rsidR="00EE54B1">
        <w:rPr>
          <w:rFonts w:cs="AdvPlantin-r"/>
        </w:rPr>
        <w:t>:</w:t>
      </w:r>
      <w:r w:rsidR="00CA6584" w:rsidRPr="00CA6584">
        <w:rPr>
          <w:rFonts w:cs="AdvPlantin-r"/>
        </w:rPr>
        <w:t xml:space="preserve"> </w:t>
      </w:r>
      <w:r w:rsidR="007E0581">
        <w:rPr>
          <w:rFonts w:cs="AdvPlantin-r"/>
        </w:rPr>
        <w:t xml:space="preserve">critical </w:t>
      </w:r>
      <w:r w:rsidR="00CA6584" w:rsidRPr="00CA6584">
        <w:rPr>
          <w:rFonts w:cs="AdvPlantin-r"/>
        </w:rPr>
        <w:t>thinking skills, such as intellectual curiosity, analytical reasoning, problem</w:t>
      </w:r>
      <w:r w:rsidR="00780FE8">
        <w:rPr>
          <w:rFonts w:cs="AdvPlantin-r"/>
        </w:rPr>
        <w:t>-</w:t>
      </w:r>
      <w:r w:rsidR="00CA6584" w:rsidRPr="00CA6584">
        <w:rPr>
          <w:rFonts w:cs="AdvPlantin-r"/>
        </w:rPr>
        <w:t xml:space="preserve">solving and reflective judgement; effective </w:t>
      </w:r>
      <w:r w:rsidR="00EE54B1">
        <w:rPr>
          <w:rFonts w:cs="AdvPlantin-r"/>
        </w:rPr>
        <w:t>communication;</w:t>
      </w:r>
      <w:r w:rsidR="00CA6584" w:rsidRPr="00CA6584">
        <w:rPr>
          <w:rFonts w:cs="AdvPlantin-r"/>
        </w:rPr>
        <w:t xml:space="preserve"> </w:t>
      </w:r>
      <w:r w:rsidR="00CB7379">
        <w:rPr>
          <w:rFonts w:cs="AdvPlantin-r"/>
        </w:rPr>
        <w:t xml:space="preserve">leadership </w:t>
      </w:r>
      <w:r w:rsidR="00780FE8">
        <w:rPr>
          <w:rFonts w:cs="AdvPlantin-r"/>
        </w:rPr>
        <w:t xml:space="preserve">and teamwork </w:t>
      </w:r>
      <w:r w:rsidR="00CA6584" w:rsidRPr="00CA6584">
        <w:rPr>
          <w:rFonts w:cs="AdvPlantin-r"/>
        </w:rPr>
        <w:t>skill</w:t>
      </w:r>
      <w:r w:rsidR="00EE54B1">
        <w:rPr>
          <w:rFonts w:cs="AdvPlantin-r"/>
        </w:rPr>
        <w:t>s;</w:t>
      </w:r>
      <w:r w:rsidR="00CA6584" w:rsidRPr="00CA6584">
        <w:rPr>
          <w:rFonts w:cs="AdvPlantin-r"/>
        </w:rPr>
        <w:t xml:space="preserve"> </w:t>
      </w:r>
      <w:r w:rsidR="00742A05">
        <w:rPr>
          <w:rFonts w:cs="AdvPlantin-r"/>
        </w:rPr>
        <w:t>research</w:t>
      </w:r>
      <w:r w:rsidR="0097132F">
        <w:rPr>
          <w:rFonts w:cs="AdvPlantin-r"/>
        </w:rPr>
        <w:t xml:space="preserve"> and inquiry skills; </w:t>
      </w:r>
      <w:r w:rsidR="00CA6584" w:rsidRPr="00CA6584">
        <w:rPr>
          <w:rFonts w:cs="AdvPlantin-r"/>
        </w:rPr>
        <w:t xml:space="preserve">information </w:t>
      </w:r>
      <w:r w:rsidR="00EE54B1">
        <w:rPr>
          <w:rFonts w:cs="AdvPlantin-r"/>
        </w:rPr>
        <w:t>literacy;</w:t>
      </w:r>
      <w:r w:rsidR="00CA6584" w:rsidRPr="00CA6584">
        <w:rPr>
          <w:rFonts w:cs="AdvPlantin-r"/>
        </w:rPr>
        <w:t xml:space="preserve"> </w:t>
      </w:r>
      <w:r w:rsidR="00742A05">
        <w:rPr>
          <w:rFonts w:cs="AdvPlantin-r"/>
        </w:rPr>
        <w:t xml:space="preserve">digital literacy; </w:t>
      </w:r>
      <w:r w:rsidR="00CA6584" w:rsidRPr="00CA6584">
        <w:rPr>
          <w:rFonts w:cs="AdvPlantin-r"/>
        </w:rPr>
        <w:t>personal attributes such as</w:t>
      </w:r>
      <w:r w:rsidR="007E0581">
        <w:rPr>
          <w:rFonts w:cs="AdvPlantin-r"/>
        </w:rPr>
        <w:t xml:space="preserve"> </w:t>
      </w:r>
      <w:r w:rsidR="007D3DD3">
        <w:rPr>
          <w:rFonts w:cs="AdvPlantin-r"/>
        </w:rPr>
        <w:t xml:space="preserve">self-awareness, </w:t>
      </w:r>
      <w:r w:rsidR="007E0581">
        <w:rPr>
          <w:rFonts w:cs="AdvPlantin-r"/>
        </w:rPr>
        <w:t>self-confidence,</w:t>
      </w:r>
      <w:r w:rsidR="00CA6584" w:rsidRPr="00CA6584">
        <w:rPr>
          <w:rFonts w:cs="AdvPlantin-r"/>
        </w:rPr>
        <w:t xml:space="preserve"> </w:t>
      </w:r>
      <w:r w:rsidR="0097132F">
        <w:rPr>
          <w:rFonts w:cs="AdvPlantin-r"/>
        </w:rPr>
        <w:t>personal autonomy/</w:t>
      </w:r>
      <w:r w:rsidR="005C0DE4">
        <w:rPr>
          <w:rFonts w:cs="AdvPlantin-r"/>
        </w:rPr>
        <w:t>self-reliance, flexibility and</w:t>
      </w:r>
      <w:r w:rsidR="00CA6584" w:rsidRPr="00CA6584">
        <w:rPr>
          <w:rFonts w:cs="AdvPlantin-r"/>
        </w:rPr>
        <w:t xml:space="preserve"> creativity</w:t>
      </w:r>
      <w:r w:rsidR="00EE54B1">
        <w:rPr>
          <w:rFonts w:cs="AdvPlantin-r"/>
        </w:rPr>
        <w:t>;</w:t>
      </w:r>
      <w:r w:rsidR="00CA6584" w:rsidRPr="00CA6584">
        <w:rPr>
          <w:rFonts w:cs="AdvPlantin-r"/>
        </w:rPr>
        <w:t xml:space="preserve"> and </w:t>
      </w:r>
      <w:r w:rsidR="00A778C1">
        <w:rPr>
          <w:rFonts w:cs="AdvPlantin-r"/>
        </w:rPr>
        <w:t xml:space="preserve">personal </w:t>
      </w:r>
      <w:r w:rsidR="00910004">
        <w:rPr>
          <w:rFonts w:cs="AdvPlantin-r"/>
        </w:rPr>
        <w:t>values such as ethical,</w:t>
      </w:r>
      <w:r w:rsidR="00A778C1">
        <w:rPr>
          <w:rFonts w:cs="AdvPlantin-r"/>
        </w:rPr>
        <w:t xml:space="preserve"> moral </w:t>
      </w:r>
      <w:r w:rsidR="00910004">
        <w:rPr>
          <w:rFonts w:cs="AdvPlantin-r"/>
        </w:rPr>
        <w:t xml:space="preserve">and social </w:t>
      </w:r>
      <w:r w:rsidR="00A778C1">
        <w:rPr>
          <w:rFonts w:cs="AdvPlantin-r"/>
        </w:rPr>
        <w:t>responsibility</w:t>
      </w:r>
      <w:r w:rsidR="00CA6584" w:rsidRPr="00CA6584">
        <w:rPr>
          <w:rFonts w:cs="AdvPlantin-r"/>
        </w:rPr>
        <w:t>,</w:t>
      </w:r>
      <w:r w:rsidR="00A778C1">
        <w:rPr>
          <w:rFonts w:cs="AdvPlantin-r"/>
        </w:rPr>
        <w:t xml:space="preserve"> </w:t>
      </w:r>
      <w:r w:rsidR="005C74C8">
        <w:rPr>
          <w:rFonts w:cs="AdvPlantin-r"/>
        </w:rPr>
        <w:t>integrity</w:t>
      </w:r>
      <w:r w:rsidR="00A36BF1">
        <w:rPr>
          <w:rFonts w:cs="AdvPlantin-r"/>
        </w:rPr>
        <w:t>,</w:t>
      </w:r>
      <w:r w:rsidR="005C74C8">
        <w:rPr>
          <w:rFonts w:cs="AdvPlantin-r"/>
        </w:rPr>
        <w:t xml:space="preserve"> and </w:t>
      </w:r>
      <w:r w:rsidR="00A36BF1">
        <w:rPr>
          <w:rFonts w:cs="AdvPlantin-r"/>
        </w:rPr>
        <w:t>cross-cultural awareness</w:t>
      </w:r>
      <w:r w:rsidR="005C74C8">
        <w:rPr>
          <w:rFonts w:cs="AdvPlantin-r"/>
        </w:rPr>
        <w:t xml:space="preserve">. </w:t>
      </w:r>
    </w:p>
    <w:p w:rsidR="0041751C" w:rsidRDefault="0041751C" w:rsidP="00192DA2">
      <w:pPr>
        <w:autoSpaceDE w:val="0"/>
        <w:autoSpaceDN w:val="0"/>
        <w:adjustRightInd w:val="0"/>
        <w:spacing w:after="0" w:line="360" w:lineRule="auto"/>
        <w:rPr>
          <w:rFonts w:cs="AdvPlantin-r"/>
        </w:rPr>
      </w:pPr>
    </w:p>
    <w:p w:rsidR="0041751C" w:rsidRDefault="0041751C" w:rsidP="0041751C">
      <w:pPr>
        <w:spacing w:after="0" w:line="360" w:lineRule="auto"/>
      </w:pPr>
      <w:r>
        <w:t xml:space="preserve">Due to </w:t>
      </w:r>
      <w:r w:rsidR="003E1E48">
        <w:t xml:space="preserve">a </w:t>
      </w:r>
      <w:r>
        <w:t>growing emphasis on quality assurance, g</w:t>
      </w:r>
      <w:r w:rsidRPr="00C03095">
        <w:t>raduate attributes have become well established in Australian universities over the past two decades</w:t>
      </w:r>
      <w:r w:rsidR="00736D66">
        <w:t xml:space="preserve"> (</w:t>
      </w:r>
      <w:r w:rsidR="00682CB9">
        <w:t xml:space="preserve">Barrie, 2006; </w:t>
      </w:r>
      <w:proofErr w:type="spellStart"/>
      <w:r w:rsidR="00017D46">
        <w:t>Kalfa</w:t>
      </w:r>
      <w:proofErr w:type="spellEnd"/>
      <w:r w:rsidR="00017D46">
        <w:t xml:space="preserve"> &amp; </w:t>
      </w:r>
      <w:proofErr w:type="spellStart"/>
      <w:r w:rsidR="00017D46">
        <w:t>Taksa</w:t>
      </w:r>
      <w:proofErr w:type="spellEnd"/>
      <w:r w:rsidR="00017D46">
        <w:t>, 2015</w:t>
      </w:r>
      <w:r w:rsidR="00736D66">
        <w:t>)</w:t>
      </w:r>
      <w:r>
        <w:t>.</w:t>
      </w:r>
      <w:r w:rsidRPr="00C03095">
        <w:t xml:space="preserve"> </w:t>
      </w:r>
      <w:r>
        <w:t xml:space="preserve">They </w:t>
      </w:r>
      <w:r w:rsidRPr="00C03095">
        <w:t xml:space="preserve">have been integrated via the </w:t>
      </w:r>
      <w:r w:rsidR="00D313C7">
        <w:t>‘</w:t>
      </w:r>
      <w:r w:rsidRPr="00C03095">
        <w:t>Graduates for the 21st Century</w:t>
      </w:r>
      <w:r w:rsidR="00D313C7">
        <w:t>’</w:t>
      </w:r>
      <w:r w:rsidRPr="00C03095">
        <w:t xml:space="preserve"> Enhancement Theme into the Scottish Quali</w:t>
      </w:r>
      <w:r w:rsidR="00176CAF">
        <w:t>ty Enhancement Framework, embedded in</w:t>
      </w:r>
      <w:r w:rsidRPr="00C03095">
        <w:t xml:space="preserve"> England</w:t>
      </w:r>
      <w:r w:rsidR="00176CAF">
        <w:t xml:space="preserve"> within individual institutions</w:t>
      </w:r>
      <w:r w:rsidRPr="00C03095">
        <w:t xml:space="preserve"> </w:t>
      </w:r>
      <w:r w:rsidR="00176CAF">
        <w:t>following the HEFCE skills agenda, and promoted in Europe following the Bologna Process (</w:t>
      </w:r>
      <w:r w:rsidR="00C10C14">
        <w:t>Drum</w:t>
      </w:r>
      <w:r w:rsidR="00AD509D">
        <w:t>m</w:t>
      </w:r>
      <w:r w:rsidR="00C10C14">
        <w:t>o</w:t>
      </w:r>
      <w:r w:rsidR="001E56A8">
        <w:t xml:space="preserve">nd et al., 1998; </w:t>
      </w:r>
      <w:r w:rsidR="00AD509D">
        <w:t xml:space="preserve">Barrie, 2007; </w:t>
      </w:r>
      <w:proofErr w:type="spellStart"/>
      <w:r w:rsidR="00AD509D">
        <w:t>Hounsell</w:t>
      </w:r>
      <w:proofErr w:type="spellEnd"/>
      <w:r w:rsidR="00AD509D">
        <w:t xml:space="preserve"> 2011</w:t>
      </w:r>
      <w:r w:rsidR="00176CAF">
        <w:t xml:space="preserve">). </w:t>
      </w:r>
      <w:r w:rsidR="0066333A">
        <w:t>There is ongoing</w:t>
      </w:r>
      <w:r w:rsidRPr="00C03095">
        <w:t xml:space="preserve"> </w:t>
      </w:r>
      <w:r w:rsidR="00D1020F">
        <w:t xml:space="preserve">and renewed </w:t>
      </w:r>
      <w:r w:rsidRPr="00C03095">
        <w:t>inter</w:t>
      </w:r>
      <w:r>
        <w:t>e</w:t>
      </w:r>
      <w:r w:rsidRPr="00C03095">
        <w:t>st</w:t>
      </w:r>
      <w:r>
        <w:t xml:space="preserve"> </w:t>
      </w:r>
      <w:r w:rsidRPr="00C03095">
        <w:t>in graduate</w:t>
      </w:r>
      <w:r>
        <w:t xml:space="preserve"> skills in the United States</w:t>
      </w:r>
      <w:r w:rsidR="00736D66">
        <w:t xml:space="preserve"> (</w:t>
      </w:r>
      <w:r w:rsidR="00630800" w:rsidRPr="00630800">
        <w:t>Solem et al., 2008</w:t>
      </w:r>
      <w:r w:rsidR="0066333A">
        <w:t>)</w:t>
      </w:r>
      <w:r w:rsidR="006C0C55">
        <w:t>.</w:t>
      </w:r>
      <w:r>
        <w:t xml:space="preserve"> </w:t>
      </w:r>
      <w:r w:rsidR="0066333A">
        <w:t>In New Zealand, however, graduate attributes have gained momentum more recently</w:t>
      </w:r>
      <w:r w:rsidR="0066333A" w:rsidRPr="00C03095">
        <w:t xml:space="preserve"> </w:t>
      </w:r>
      <w:r w:rsidR="0066333A">
        <w:t xml:space="preserve">following </w:t>
      </w:r>
      <w:r w:rsidR="00D1020F">
        <w:t xml:space="preserve">development of </w:t>
      </w:r>
      <w:r w:rsidR="0066333A">
        <w:t>the New Zealand Qualification</w:t>
      </w:r>
      <w:r w:rsidR="00BC70C9">
        <w:t>s</w:t>
      </w:r>
      <w:r w:rsidR="0066333A">
        <w:t xml:space="preserve"> Framework (Spronken-Smith et al., 2015). </w:t>
      </w:r>
      <w:r w:rsidR="00D1020F">
        <w:t>Overall, i</w:t>
      </w:r>
      <w:r w:rsidR="0066333A">
        <w:t>t is fair to say that</w:t>
      </w:r>
      <w:r w:rsidRPr="00C03095">
        <w:t xml:space="preserve"> </w:t>
      </w:r>
      <w:r>
        <w:rPr>
          <w:lang w:val="en-US"/>
        </w:rPr>
        <w:t>graduate attributes</w:t>
      </w:r>
      <w:r w:rsidRPr="00C03095">
        <w:rPr>
          <w:lang w:val="en-US"/>
        </w:rPr>
        <w:t xml:space="preserve"> are</w:t>
      </w:r>
      <w:r w:rsidRPr="00C03095">
        <w:t xml:space="preserve"> increasingly </w:t>
      </w:r>
      <w:r>
        <w:t xml:space="preserve">being </w:t>
      </w:r>
      <w:r w:rsidRPr="00C03095">
        <w:t xml:space="preserve">used </w:t>
      </w:r>
      <w:r w:rsidRPr="00C03095">
        <w:rPr>
          <w:rFonts w:ascii="Calibri" w:eastAsia="Calibri" w:hAnsi="Calibri" w:cs="Times New Roman"/>
        </w:rPr>
        <w:t>to inform curriculum design and engagement with teachin</w:t>
      </w:r>
      <w:r w:rsidRPr="00C03095">
        <w:t xml:space="preserve">g and learning experiences at </w:t>
      </w:r>
      <w:r w:rsidRPr="00C03095">
        <w:rPr>
          <w:rFonts w:ascii="Calibri" w:eastAsia="Calibri" w:hAnsi="Calibri" w:cs="Times New Roman"/>
        </w:rPr>
        <w:t>universi</w:t>
      </w:r>
      <w:r>
        <w:t>ties around the world</w:t>
      </w:r>
      <w:r>
        <w:rPr>
          <w:rFonts w:ascii="Calibri" w:eastAsia="Calibri" w:hAnsi="Calibri" w:cs="Times New Roman"/>
        </w:rPr>
        <w:t xml:space="preserve"> (Barrie, 2007</w:t>
      </w:r>
      <w:r w:rsidRPr="00C03095">
        <w:rPr>
          <w:rFonts w:ascii="Calibri" w:eastAsia="Calibri" w:hAnsi="Calibri" w:cs="Times New Roman"/>
        </w:rPr>
        <w:t>)</w:t>
      </w:r>
      <w:r w:rsidRPr="00C03095">
        <w:t xml:space="preserve">. </w:t>
      </w:r>
    </w:p>
    <w:p w:rsidR="0064411A" w:rsidRPr="00CA6584" w:rsidRDefault="0064411A" w:rsidP="0041751C">
      <w:pPr>
        <w:autoSpaceDE w:val="0"/>
        <w:autoSpaceDN w:val="0"/>
        <w:adjustRightInd w:val="0"/>
        <w:spacing w:after="0" w:line="360" w:lineRule="auto"/>
        <w:rPr>
          <w:rFonts w:cs="AdvPlantin-r"/>
        </w:rPr>
      </w:pPr>
    </w:p>
    <w:p w:rsidR="004B129E" w:rsidRDefault="00E9625B" w:rsidP="0041751C">
      <w:pPr>
        <w:spacing w:after="0" w:line="360" w:lineRule="auto"/>
      </w:pPr>
      <w:r w:rsidRPr="00E9625B">
        <w:t xml:space="preserve">A </w:t>
      </w:r>
      <w:r w:rsidR="00156843">
        <w:t>number of issues have been examined</w:t>
      </w:r>
      <w:r w:rsidRPr="00E9625B">
        <w:t xml:space="preserve"> in </w:t>
      </w:r>
      <w:r w:rsidR="00D313C7">
        <w:t xml:space="preserve">the </w:t>
      </w:r>
      <w:r w:rsidRPr="00E9625B">
        <w:t xml:space="preserve">higher education literature </w:t>
      </w:r>
      <w:r w:rsidR="00C44F03">
        <w:t>concer</w:t>
      </w:r>
      <w:r w:rsidR="00AC1996">
        <w:t>n</w:t>
      </w:r>
      <w:r w:rsidR="00C44F03">
        <w:t>ing graduate attributes. These include</w:t>
      </w:r>
      <w:r>
        <w:t xml:space="preserve"> the processes of designating and implemen</w:t>
      </w:r>
      <w:r w:rsidR="00156843">
        <w:t>ting such</w:t>
      </w:r>
      <w:r>
        <w:t xml:space="preserve"> attributes </w:t>
      </w:r>
      <w:r w:rsidR="00C44F03">
        <w:t>with</w:t>
      </w:r>
      <w:r>
        <w:t>in</w:t>
      </w:r>
      <w:r w:rsidR="00922CB7">
        <w:t>, across and beyond</w:t>
      </w:r>
      <w:r w:rsidR="002B5E95">
        <w:t xml:space="preserve"> </w:t>
      </w:r>
      <w:r>
        <w:t>curricula</w:t>
      </w:r>
      <w:r w:rsidR="00156843">
        <w:t xml:space="preserve">. </w:t>
      </w:r>
      <w:r w:rsidR="002B5E95">
        <w:t>R</w:t>
      </w:r>
      <w:r w:rsidR="00922CB7">
        <w:t>esearch shows that, c</w:t>
      </w:r>
      <w:r w:rsidR="00854322">
        <w:t>ombined with strong leadership from</w:t>
      </w:r>
      <w:r w:rsidR="003D5D4C">
        <w:t xml:space="preserve"> senior management and institutional enabling structures (</w:t>
      </w:r>
      <w:r w:rsidR="004269A8">
        <w:t xml:space="preserve">de la </w:t>
      </w:r>
      <w:proofErr w:type="spellStart"/>
      <w:r w:rsidR="004269A8">
        <w:t>Harpe</w:t>
      </w:r>
      <w:proofErr w:type="spellEnd"/>
      <w:r w:rsidR="004269A8">
        <w:t xml:space="preserve"> &amp; David 2012; </w:t>
      </w:r>
      <w:r w:rsidR="003D5D4C">
        <w:t xml:space="preserve">Spronken-Smith et al, 2015), there needs to be </w:t>
      </w:r>
      <w:r w:rsidR="002B5E95">
        <w:t>a balancing</w:t>
      </w:r>
      <w:r w:rsidR="00770797">
        <w:t xml:space="preserve"> </w:t>
      </w:r>
      <w:r w:rsidR="002B5E95">
        <w:t>of</w:t>
      </w:r>
      <w:r w:rsidR="00156843">
        <w:t xml:space="preserve"> </w:t>
      </w:r>
      <w:r w:rsidR="00AC1996">
        <w:t>disciplinary content and generic graduate attributes</w:t>
      </w:r>
      <w:r w:rsidR="002B5E95">
        <w:t>, and of</w:t>
      </w:r>
      <w:r w:rsidR="00854322">
        <w:t xml:space="preserve"> </w:t>
      </w:r>
      <w:r w:rsidR="00BB5D29">
        <w:t>academic ‘</w:t>
      </w:r>
      <w:r w:rsidR="00AC1996">
        <w:t>contemplative</w:t>
      </w:r>
      <w:r w:rsidR="00BB5D29">
        <w:t>’</w:t>
      </w:r>
      <w:r w:rsidR="00AC1996">
        <w:t xml:space="preserve"> versus </w:t>
      </w:r>
      <w:r w:rsidR="00BB5D29">
        <w:t>business-minded ‘</w:t>
      </w:r>
      <w:r w:rsidR="00AC1996">
        <w:t>instrumental</w:t>
      </w:r>
      <w:r w:rsidR="00BB5D29">
        <w:t>’</w:t>
      </w:r>
      <w:r w:rsidR="00AC1996">
        <w:t xml:space="preserve"> orientations to knowledge (Bradsha</w:t>
      </w:r>
      <w:r w:rsidR="00156843">
        <w:t>w, 1992). A</w:t>
      </w:r>
      <w:r>
        <w:t>n import</w:t>
      </w:r>
      <w:r w:rsidR="00C44F03">
        <w:t xml:space="preserve">ant role </w:t>
      </w:r>
      <w:r w:rsidR="00770797">
        <w:t xml:space="preserve">has been highlighted </w:t>
      </w:r>
      <w:r>
        <w:t xml:space="preserve">for academic staff </w:t>
      </w:r>
      <w:r w:rsidR="00156843">
        <w:t xml:space="preserve">in the implementation of graduate attributes </w:t>
      </w:r>
      <w:r w:rsidR="00854322">
        <w:t xml:space="preserve">in order </w:t>
      </w:r>
      <w:r w:rsidR="00770797">
        <w:t xml:space="preserve">to take ownership </w:t>
      </w:r>
      <w:r>
        <w:t xml:space="preserve">of </w:t>
      </w:r>
      <w:r w:rsidR="00C44F03">
        <w:t>institutionally</w:t>
      </w:r>
      <w:r w:rsidR="002B5E95">
        <w:t>-</w:t>
      </w:r>
      <w:r w:rsidR="00C431CB">
        <w:t>derived descriptors</w:t>
      </w:r>
      <w:r w:rsidR="00C44F03">
        <w:t xml:space="preserve"> </w:t>
      </w:r>
      <w:r w:rsidR="006F2AF6">
        <w:t xml:space="preserve">and </w:t>
      </w:r>
      <w:r w:rsidR="00C44F03">
        <w:t>to make them</w:t>
      </w:r>
      <w:r>
        <w:t xml:space="preserve"> relevant to disciplines</w:t>
      </w:r>
      <w:r w:rsidR="003539B5">
        <w:t xml:space="preserve"> (</w:t>
      </w:r>
      <w:proofErr w:type="spellStart"/>
      <w:r w:rsidR="003539B5">
        <w:t>Chapple</w:t>
      </w:r>
      <w:proofErr w:type="spellEnd"/>
      <w:r w:rsidR="003539B5">
        <w:t xml:space="preserve"> &amp; </w:t>
      </w:r>
      <w:proofErr w:type="spellStart"/>
      <w:r w:rsidR="003539B5">
        <w:t>Tolley</w:t>
      </w:r>
      <w:proofErr w:type="spellEnd"/>
      <w:r w:rsidR="003539B5">
        <w:t xml:space="preserve">, 2000). </w:t>
      </w:r>
      <w:r w:rsidR="00E1528C">
        <w:t>E</w:t>
      </w:r>
      <w:r w:rsidR="00416F77">
        <w:t xml:space="preserve">ven </w:t>
      </w:r>
      <w:r w:rsidR="00B13F91">
        <w:t xml:space="preserve">generic attributes such as critical thinking </w:t>
      </w:r>
      <w:r w:rsidR="00F24741">
        <w:t xml:space="preserve">and problem-solving </w:t>
      </w:r>
      <w:r w:rsidR="00BB3FAA">
        <w:t>can</w:t>
      </w:r>
      <w:r w:rsidR="00B13F91">
        <w:t xml:space="preserve"> be contextualised to the discipline</w:t>
      </w:r>
      <w:r w:rsidR="005A2F7D">
        <w:t xml:space="preserve"> (and a host of other local factors)</w:t>
      </w:r>
      <w:r w:rsidR="00B13F91">
        <w:t xml:space="preserve"> and thus each degree programme needs a contextualised graduate profile</w:t>
      </w:r>
      <w:r w:rsidR="00E1528C" w:rsidRPr="00E1528C">
        <w:t xml:space="preserve"> </w:t>
      </w:r>
      <w:r w:rsidR="00E1528C">
        <w:t>(Jones</w:t>
      </w:r>
      <w:r w:rsidR="00514801">
        <w:t>, 2009, 2013;</w:t>
      </w:r>
      <w:r w:rsidR="00E1528C">
        <w:t xml:space="preserve"> Litchfield at al., 2010</w:t>
      </w:r>
      <w:r w:rsidR="00BB3FAA">
        <w:t>; Whalley et al., 2011</w:t>
      </w:r>
      <w:r w:rsidR="00E1528C">
        <w:t>)</w:t>
      </w:r>
      <w:r w:rsidR="00B13F91">
        <w:t xml:space="preserve">. </w:t>
      </w:r>
      <w:r w:rsidR="00854322">
        <w:t>Embedding graduate attributes within curricula, however, is dependent up</w:t>
      </w:r>
      <w:r w:rsidR="00707CD1">
        <w:t>on academic staff viewing</w:t>
      </w:r>
      <w:r w:rsidR="00B91C63">
        <w:t xml:space="preserve"> </w:t>
      </w:r>
      <w:r w:rsidR="00707CD1">
        <w:t>their role in foste</w:t>
      </w:r>
      <w:r w:rsidR="00854322">
        <w:t>ring such</w:t>
      </w:r>
      <w:r w:rsidR="004B129E">
        <w:t xml:space="preserve"> </w:t>
      </w:r>
      <w:r w:rsidR="002B5E95">
        <w:t>skills and dispositions</w:t>
      </w:r>
      <w:r w:rsidR="00416F77">
        <w:t xml:space="preserve"> </w:t>
      </w:r>
      <w:r w:rsidR="00D313C7">
        <w:t xml:space="preserve">positively </w:t>
      </w:r>
      <w:r w:rsidR="00416F77">
        <w:t xml:space="preserve">and delivering learning activities </w:t>
      </w:r>
      <w:r w:rsidR="00C110C6">
        <w:t>that are effective in the</w:t>
      </w:r>
      <w:r w:rsidR="005E188F">
        <w:t xml:space="preserve"> delivery</w:t>
      </w:r>
      <w:r w:rsidR="00C110C6">
        <w:t xml:space="preserve"> of these attributes</w:t>
      </w:r>
      <w:r w:rsidR="00A93E1E">
        <w:t>. There needs to be a move</w:t>
      </w:r>
      <w:r w:rsidR="004E583D">
        <w:t xml:space="preserve"> </w:t>
      </w:r>
      <w:r w:rsidR="00514E0E">
        <w:t>from teacher-</w:t>
      </w:r>
      <w:r w:rsidR="00D313C7">
        <w:t>focused</w:t>
      </w:r>
      <w:r w:rsidR="00514E0E">
        <w:t xml:space="preserve"> to learner-focused</w:t>
      </w:r>
      <w:r w:rsidR="00A93E1E">
        <w:t xml:space="preserve"> activities</w:t>
      </w:r>
      <w:r w:rsidR="005A66B1">
        <w:t xml:space="preserve"> (Barrie, 2007)</w:t>
      </w:r>
      <w:r w:rsidR="00A93E1E">
        <w:t xml:space="preserve">, from passive to </w:t>
      </w:r>
      <w:r w:rsidR="00A93E1E">
        <w:lastRenderedPageBreak/>
        <w:t>participatory pedagogies</w:t>
      </w:r>
      <w:r w:rsidR="00952CD6">
        <w:t xml:space="preserve"> (Hill, 2013)</w:t>
      </w:r>
      <w:r w:rsidR="00422399">
        <w:t xml:space="preserve"> and</w:t>
      </w:r>
      <w:r w:rsidR="00511891">
        <w:t>, both within and beyond the curriculum, an</w:t>
      </w:r>
      <w:r w:rsidR="00422399">
        <w:t xml:space="preserve"> embracing </w:t>
      </w:r>
      <w:r w:rsidR="00A93E1E">
        <w:t xml:space="preserve">of </w:t>
      </w:r>
      <w:r w:rsidR="00422399">
        <w:t>students as partners</w:t>
      </w:r>
      <w:r w:rsidR="00511891">
        <w:t xml:space="preserve"> in their learning journey </w:t>
      </w:r>
      <w:r w:rsidR="00A93E1E">
        <w:t>(Healey et al., 2014</w:t>
      </w:r>
      <w:r w:rsidR="00AC3631">
        <w:t>;</w:t>
      </w:r>
      <w:r w:rsidR="00AC3631" w:rsidRPr="00AC3631">
        <w:rPr>
          <w:rFonts w:ascii="Calibri" w:eastAsia="Times New Roman" w:hAnsi="Calibri"/>
        </w:rPr>
        <w:t xml:space="preserve"> </w:t>
      </w:r>
      <w:r w:rsidR="00AC3631" w:rsidRPr="00A03465">
        <w:rPr>
          <w:rFonts w:ascii="Calibri" w:eastAsia="Times New Roman" w:hAnsi="Calibri"/>
        </w:rPr>
        <w:t>Johansson &amp; Felten, 2014</w:t>
      </w:r>
      <w:r w:rsidR="00514E0E">
        <w:t>)</w:t>
      </w:r>
      <w:r w:rsidR="004B129E">
        <w:t>.</w:t>
      </w:r>
      <w:r w:rsidR="00854322">
        <w:t xml:space="preserve"> </w:t>
      </w:r>
      <w:r w:rsidR="001D5B12">
        <w:t>I</w:t>
      </w:r>
      <w:r w:rsidR="00416F77">
        <w:t>f academic staff</w:t>
      </w:r>
      <w:r w:rsidR="001D5B12">
        <w:t xml:space="preserve"> are to engage proactively with the development of graduate attributes</w:t>
      </w:r>
      <w:r w:rsidR="00416F77">
        <w:t>, they</w:t>
      </w:r>
      <w:r w:rsidR="00707CD1">
        <w:t xml:space="preserve"> must view</w:t>
      </w:r>
      <w:r w:rsidR="001D5B12">
        <w:t xml:space="preserve"> t</w:t>
      </w:r>
      <w:r w:rsidR="00416F77">
        <w:t xml:space="preserve">hem </w:t>
      </w:r>
      <w:r w:rsidR="00707CD1">
        <w:t xml:space="preserve">as </w:t>
      </w:r>
      <w:r w:rsidR="00854322">
        <w:t>‘</w:t>
      </w:r>
      <w:r w:rsidR="00707CD1">
        <w:t>translational</w:t>
      </w:r>
      <w:r w:rsidR="00854322">
        <w:t>’</w:t>
      </w:r>
      <w:r w:rsidR="00707CD1">
        <w:t xml:space="preserve"> or </w:t>
      </w:r>
      <w:r w:rsidR="00854322">
        <w:t>‘</w:t>
      </w:r>
      <w:r w:rsidR="00707CD1">
        <w:t>en</w:t>
      </w:r>
      <w:r w:rsidR="00DB1A0B">
        <w:t>ab</w:t>
      </w:r>
      <w:r w:rsidR="00707CD1">
        <w:t>ling</w:t>
      </w:r>
      <w:r w:rsidR="00854322">
        <w:t>’</w:t>
      </w:r>
      <w:r w:rsidR="00707CD1">
        <w:t xml:space="preserve"> (</w:t>
      </w:r>
      <w:r w:rsidR="00387CC2">
        <w:t>using</w:t>
      </w:r>
      <w:r w:rsidR="00B91C63">
        <w:t xml:space="preserve"> the conceptual basis of </w:t>
      </w:r>
      <w:r w:rsidR="00707CD1">
        <w:t xml:space="preserve">Barrie, 2006), </w:t>
      </w:r>
      <w:r w:rsidR="009926A6">
        <w:t>i.e.</w:t>
      </w:r>
      <w:r w:rsidR="00854322">
        <w:t xml:space="preserve"> </w:t>
      </w:r>
      <w:r w:rsidR="00D313C7">
        <w:t xml:space="preserve">attributes </w:t>
      </w:r>
      <w:r w:rsidR="004B7132">
        <w:t>that</w:t>
      </w:r>
      <w:r w:rsidR="00D313C7">
        <w:t xml:space="preserve"> are </w:t>
      </w:r>
      <w:r w:rsidR="00707CD1">
        <w:t xml:space="preserve">necessary to apply disciplinary </w:t>
      </w:r>
      <w:r w:rsidR="00DB1A0B">
        <w:t>knowledge to unfam</w:t>
      </w:r>
      <w:r w:rsidR="00707CD1">
        <w:t>il</w:t>
      </w:r>
      <w:r w:rsidR="00DB1A0B">
        <w:t>ia</w:t>
      </w:r>
      <w:r w:rsidR="00DE744D">
        <w:t>r contexts</w:t>
      </w:r>
      <w:r w:rsidR="00707CD1">
        <w:t xml:space="preserve"> or ess</w:t>
      </w:r>
      <w:r w:rsidR="00DB1A0B">
        <w:t>ent</w:t>
      </w:r>
      <w:r w:rsidR="00707CD1">
        <w:t xml:space="preserve">ial to support </w:t>
      </w:r>
      <w:r w:rsidR="00DB1A0B">
        <w:t>t</w:t>
      </w:r>
      <w:r w:rsidR="00707CD1">
        <w:t>h</w:t>
      </w:r>
      <w:r w:rsidR="00DB1A0B">
        <w:t>e</w:t>
      </w:r>
      <w:r w:rsidR="00707CD1">
        <w:t xml:space="preserve"> cr</w:t>
      </w:r>
      <w:r w:rsidR="00DB1A0B">
        <w:t>e</w:t>
      </w:r>
      <w:r w:rsidR="00707CD1">
        <w:t>ation o</w:t>
      </w:r>
      <w:r w:rsidR="00DB1A0B">
        <w:t>f new know</w:t>
      </w:r>
      <w:r w:rsidR="001D5B12">
        <w:t>ledge</w:t>
      </w:r>
      <w:r w:rsidR="00DB1A0B">
        <w:t>.</w:t>
      </w:r>
      <w:r w:rsidR="00ED480A">
        <w:t xml:space="preserve"> </w:t>
      </w:r>
      <w:r w:rsidR="002B5E95">
        <w:t>T</w:t>
      </w:r>
      <w:r w:rsidR="001D5B12">
        <w:t>o enhance the</w:t>
      </w:r>
      <w:r w:rsidR="002B5E95">
        <w:t xml:space="preserve"> chances of success, i</w:t>
      </w:r>
      <w:r w:rsidR="00ED480A">
        <w:t xml:space="preserve">mplementing graduate attributes </w:t>
      </w:r>
      <w:r w:rsidR="00B91C63">
        <w:t>s</w:t>
      </w:r>
      <w:r w:rsidR="00EF13BD">
        <w:t>ystemically across programmes and</w:t>
      </w:r>
      <w:r w:rsidR="00B91C63">
        <w:t xml:space="preserve"> institutions </w:t>
      </w:r>
      <w:r w:rsidR="002B5E95">
        <w:t xml:space="preserve">should be given </w:t>
      </w:r>
      <w:r w:rsidR="00DA20B6">
        <w:t>time (beyond</w:t>
      </w:r>
      <w:r w:rsidR="00ED480A">
        <w:t xml:space="preserve"> </w:t>
      </w:r>
      <w:r w:rsidR="00DA20B6">
        <w:t xml:space="preserve">two </w:t>
      </w:r>
      <w:r w:rsidR="001D5B12">
        <w:t xml:space="preserve">academic </w:t>
      </w:r>
      <w:r w:rsidR="00FB7015">
        <w:t>years),</w:t>
      </w:r>
      <w:r w:rsidR="00ED480A">
        <w:t xml:space="preserve"> be embedded in course development and review processes</w:t>
      </w:r>
      <w:r w:rsidR="002B5E95">
        <w:t xml:space="preserve">, </w:t>
      </w:r>
      <w:r w:rsidR="001D5B12">
        <w:t xml:space="preserve">thereby </w:t>
      </w:r>
      <w:r w:rsidR="002B5E95">
        <w:t>encouraging</w:t>
      </w:r>
      <w:r w:rsidR="00EF13BD">
        <w:t xml:space="preserve"> reflexive </w:t>
      </w:r>
      <w:r w:rsidR="002B5E95">
        <w:t>practice</w:t>
      </w:r>
      <w:r w:rsidR="00513328">
        <w:t xml:space="preserve"> and delivery of </w:t>
      </w:r>
      <w:r w:rsidR="005673C6">
        <w:t>valid</w:t>
      </w:r>
      <w:r w:rsidR="003D673B">
        <w:t>ated</w:t>
      </w:r>
      <w:r w:rsidR="005673C6">
        <w:t xml:space="preserve"> and </w:t>
      </w:r>
      <w:r w:rsidR="00513328">
        <w:t>living curricula</w:t>
      </w:r>
      <w:r w:rsidR="005673C6">
        <w:t xml:space="preserve"> (Bath et al., 2004)</w:t>
      </w:r>
      <w:r w:rsidR="00FB7015">
        <w:t xml:space="preserve"> and incorporated into extra-curricular reflective graduate passports</w:t>
      </w:r>
      <w:r w:rsidR="00ED480A">
        <w:t>.</w:t>
      </w:r>
    </w:p>
    <w:p w:rsidR="004B129E" w:rsidRDefault="004B129E" w:rsidP="0041751C">
      <w:pPr>
        <w:spacing w:after="0" w:line="360" w:lineRule="auto"/>
      </w:pPr>
    </w:p>
    <w:p w:rsidR="00F348D8" w:rsidRDefault="00C44F03" w:rsidP="0041751C">
      <w:pPr>
        <w:spacing w:after="0" w:line="360" w:lineRule="auto"/>
      </w:pPr>
      <w:r>
        <w:t xml:space="preserve">After </w:t>
      </w:r>
      <w:r w:rsidR="00670A3F">
        <w:t>implementing</w:t>
      </w:r>
      <w:r w:rsidR="00040A7A">
        <w:t xml:space="preserve"> graduate attributes</w:t>
      </w:r>
      <w:r>
        <w:t xml:space="preserve"> </w:t>
      </w:r>
      <w:r w:rsidR="006E23EF">
        <w:t xml:space="preserve">within higher education institutions </w:t>
      </w:r>
      <w:r>
        <w:t xml:space="preserve">there is a need to consider </w:t>
      </w:r>
      <w:r w:rsidR="00275581">
        <w:t xml:space="preserve">how to </w:t>
      </w:r>
      <w:r w:rsidR="00D313C7">
        <w:t xml:space="preserve">ensure </w:t>
      </w:r>
      <w:r w:rsidR="00275581">
        <w:t>that students are developing</w:t>
      </w:r>
      <w:r w:rsidR="00484DDB">
        <w:t xml:space="preserve"> specific attributes. </w:t>
      </w:r>
      <w:r w:rsidR="006E23EF">
        <w:t>Evaluating the attainment of graduate attributes is not straightforward</w:t>
      </w:r>
      <w:r w:rsidR="00253C2E">
        <w:t xml:space="preserve"> (Hughes &amp; Barrie, 2010)</w:t>
      </w:r>
      <w:r w:rsidR="006E23EF">
        <w:t xml:space="preserve"> and u</w:t>
      </w:r>
      <w:r w:rsidR="00484DDB">
        <w:t xml:space="preserve">sing complementary </w:t>
      </w:r>
      <w:r w:rsidR="00670A3F">
        <w:t>ty</w:t>
      </w:r>
      <w:r w:rsidR="00484DDB">
        <w:t>p</w:t>
      </w:r>
      <w:r w:rsidR="00670A3F">
        <w:t>es</w:t>
      </w:r>
      <w:r w:rsidR="00484DDB">
        <w:t xml:space="preserve"> of data</w:t>
      </w:r>
      <w:r w:rsidR="006E23EF">
        <w:t>,</w:t>
      </w:r>
      <w:r w:rsidR="00484DDB">
        <w:t xml:space="preserve"> including </w:t>
      </w:r>
      <w:r w:rsidR="00DD510E">
        <w:t>curriculum documentation</w:t>
      </w:r>
      <w:r w:rsidR="006E23EF">
        <w:t>,</w:t>
      </w:r>
      <w:r w:rsidR="00484DDB">
        <w:t xml:space="preserve"> student perceptions</w:t>
      </w:r>
      <w:r w:rsidR="00670A3F">
        <w:t xml:space="preserve"> and longitudinal studie</w:t>
      </w:r>
      <w:r w:rsidR="00CA0852">
        <w:t>s involving alumni and employer responses</w:t>
      </w:r>
      <w:r w:rsidR="006E23EF">
        <w:t>,</w:t>
      </w:r>
      <w:r w:rsidR="00DD510E">
        <w:t xml:space="preserve"> is perh</w:t>
      </w:r>
      <w:r w:rsidR="00670A3F">
        <w:t>aps t</w:t>
      </w:r>
      <w:r w:rsidR="00484DDB">
        <w:t>h</w:t>
      </w:r>
      <w:r w:rsidR="00670A3F">
        <w:t>e</w:t>
      </w:r>
      <w:r w:rsidR="00484DDB">
        <w:t xml:space="preserve"> optimu</w:t>
      </w:r>
      <w:r w:rsidR="00670A3F">
        <w:t>m way to achieve</w:t>
      </w:r>
      <w:r w:rsidR="00345A53">
        <w:t xml:space="preserve"> this </w:t>
      </w:r>
      <w:r w:rsidR="006E23EF">
        <w:t xml:space="preserve">(Hughes &amp; Barrie, 2010; </w:t>
      </w:r>
      <w:r w:rsidR="00484DDB">
        <w:t>Fraser &amp; Thomas, 2013</w:t>
      </w:r>
      <w:r w:rsidR="00670A3F">
        <w:t>;</w:t>
      </w:r>
      <w:r w:rsidR="00670A3F" w:rsidRPr="00670A3F">
        <w:t xml:space="preserve"> </w:t>
      </w:r>
      <w:r w:rsidR="00670A3F">
        <w:t>Spronken-Smith et al., 2015</w:t>
      </w:r>
      <w:r w:rsidR="00484DDB">
        <w:t>).</w:t>
      </w:r>
      <w:r w:rsidR="00670A3F">
        <w:t xml:space="preserve"> </w:t>
      </w:r>
      <w:r w:rsidR="00D83D3C">
        <w:t>Such triangulation</w:t>
      </w:r>
      <w:r w:rsidR="00275581">
        <w:t xml:space="preserve"> overcomes the weaknesses of individual methods. For example</w:t>
      </w:r>
      <w:r w:rsidR="00D83D3C">
        <w:t>,</w:t>
      </w:r>
      <w:r w:rsidR="00275581">
        <w:t xml:space="preserve"> curriculum </w:t>
      </w:r>
      <w:r w:rsidR="00D83D3C">
        <w:t>mapping</w:t>
      </w:r>
      <w:r w:rsidR="004A3ED3">
        <w:t xml:space="preserve"> </w:t>
      </w:r>
      <w:r w:rsidR="00DD510E">
        <w:t>(which highlights graduate s</w:t>
      </w:r>
      <w:r w:rsidR="00B81A74">
        <w:t>kills development within existing</w:t>
      </w:r>
      <w:r w:rsidR="00DD510E">
        <w:t xml:space="preserve"> curricula) </w:t>
      </w:r>
      <w:r w:rsidR="00D83D3C">
        <w:t>has</w:t>
      </w:r>
      <w:r w:rsidR="00275581">
        <w:t xml:space="preserve"> the potential to promote a superficial approach to developing graduate attributes unless appropriate teaching and learning strategies are used and evidence of implementation is sought (</w:t>
      </w:r>
      <w:proofErr w:type="spellStart"/>
      <w:r w:rsidR="00FE0D95">
        <w:t>Sumison</w:t>
      </w:r>
      <w:proofErr w:type="spellEnd"/>
      <w:r w:rsidR="00FE0D95">
        <w:t xml:space="preserve"> &amp; </w:t>
      </w:r>
      <w:proofErr w:type="spellStart"/>
      <w:r w:rsidR="00FE0D95">
        <w:t>Goodfellow</w:t>
      </w:r>
      <w:proofErr w:type="spellEnd"/>
      <w:r w:rsidR="00FE0D95">
        <w:t xml:space="preserve">, 2004; </w:t>
      </w:r>
      <w:r w:rsidR="00275581">
        <w:t xml:space="preserve">Green et al., 2009). </w:t>
      </w:r>
      <w:r w:rsidR="005171BC">
        <w:t>G</w:t>
      </w:r>
      <w:r w:rsidR="006E23EF">
        <w:t>raduate a</w:t>
      </w:r>
      <w:r w:rsidR="005171BC">
        <w:t>ttributes can be</w:t>
      </w:r>
      <w:r w:rsidR="00CD42C7">
        <w:t xml:space="preserve"> established via</w:t>
      </w:r>
      <w:r w:rsidR="006E23EF">
        <w:t xml:space="preserve"> co-curricular activities that </w:t>
      </w:r>
      <w:r w:rsidR="005171BC">
        <w:t xml:space="preserve">simply </w:t>
      </w:r>
      <w:r w:rsidR="006E23EF">
        <w:t>develop ‘awareness’ of particular skills and qualities</w:t>
      </w:r>
      <w:r w:rsidR="005171BC">
        <w:t>. T</w:t>
      </w:r>
      <w:r>
        <w:t>he</w:t>
      </w:r>
      <w:r w:rsidR="006E23EF">
        <w:t>ir</w:t>
      </w:r>
      <w:r>
        <w:t xml:space="preserve"> attainment</w:t>
      </w:r>
      <w:r w:rsidR="00040A7A" w:rsidRPr="00040A7A">
        <w:t xml:space="preserve"> </w:t>
      </w:r>
      <w:r w:rsidR="005B2C2A">
        <w:t xml:space="preserve">within </w:t>
      </w:r>
      <w:r w:rsidR="00D83D3C">
        <w:t xml:space="preserve">taught </w:t>
      </w:r>
      <w:r w:rsidR="005B2C2A">
        <w:t xml:space="preserve">units </w:t>
      </w:r>
      <w:r w:rsidR="00670A3F">
        <w:t xml:space="preserve">can </w:t>
      </w:r>
      <w:r w:rsidR="005171BC">
        <w:t xml:space="preserve">also </w:t>
      </w:r>
      <w:r w:rsidR="00670A3F">
        <w:t xml:space="preserve">be </w:t>
      </w:r>
      <w:r w:rsidR="005171BC">
        <w:t xml:space="preserve">formally </w:t>
      </w:r>
      <w:r w:rsidR="00670A3F">
        <w:t xml:space="preserve">assessed </w:t>
      </w:r>
      <w:r w:rsidR="00C70A6C">
        <w:t>and</w:t>
      </w:r>
      <w:r w:rsidR="006E23EF">
        <w:t xml:space="preserve"> grade</w:t>
      </w:r>
      <w:r w:rsidR="00C70A6C">
        <w:t>d</w:t>
      </w:r>
      <w:r>
        <w:t>.</w:t>
      </w:r>
      <w:r w:rsidR="00670A3F">
        <w:t xml:space="preserve"> </w:t>
      </w:r>
      <w:r w:rsidR="003E1486">
        <w:t>Indeed</w:t>
      </w:r>
      <w:r w:rsidR="00E75A5A">
        <w:t>,</w:t>
      </w:r>
      <w:r w:rsidR="003E1486">
        <w:t xml:space="preserve"> the strongest evidence of the achievement of graduate attributes is their </w:t>
      </w:r>
      <w:r w:rsidR="00E75A5A">
        <w:t>‘</w:t>
      </w:r>
      <w:r w:rsidR="003E1486">
        <w:t>explicit embedding in assessment</w:t>
      </w:r>
      <w:r w:rsidR="00E75A5A">
        <w:t>’</w:t>
      </w:r>
      <w:r w:rsidR="003E1486">
        <w:t xml:space="preserve"> (Hughes &amp; Barrie</w:t>
      </w:r>
      <w:r w:rsidR="007653F2">
        <w:t>, 2010:</w:t>
      </w:r>
      <w:r w:rsidR="003E1486">
        <w:t xml:space="preserve"> 325). </w:t>
      </w:r>
      <w:r w:rsidR="00062FCB">
        <w:t>It must be remembered, however, that w</w:t>
      </w:r>
      <w:r w:rsidR="00670A3F">
        <w:t>hilst some graduate attributes are measurable (</w:t>
      </w:r>
      <w:r w:rsidR="004E583D">
        <w:t xml:space="preserve">and </w:t>
      </w:r>
      <w:r w:rsidR="00670A3F">
        <w:t>in the</w:t>
      </w:r>
      <w:r w:rsidR="00CA0852">
        <w:t xml:space="preserve"> UK</w:t>
      </w:r>
      <w:r w:rsidR="00670A3F">
        <w:t xml:space="preserve"> these</w:t>
      </w:r>
      <w:r w:rsidR="00C70A6C">
        <w:t xml:space="preserve"> attributes</w:t>
      </w:r>
      <w:r w:rsidR="00CA0852">
        <w:t xml:space="preserve"> </w:t>
      </w:r>
      <w:r w:rsidR="006E23EF">
        <w:t>tend to</w:t>
      </w:r>
      <w:r w:rsidR="00670A3F">
        <w:t xml:space="preserve"> warrant the term gradu</w:t>
      </w:r>
      <w:r w:rsidR="00CA0852">
        <w:t>ate outcome),</w:t>
      </w:r>
      <w:r w:rsidR="009D4F5B">
        <w:t xml:space="preserve"> </w:t>
      </w:r>
      <w:r w:rsidR="00670A3F">
        <w:t>affective a</w:t>
      </w:r>
      <w:r w:rsidR="00CA0852">
        <w:t>ttitudes and values</w:t>
      </w:r>
      <w:r w:rsidR="00670A3F">
        <w:t xml:space="preserve"> are </w:t>
      </w:r>
      <w:r w:rsidR="00CA0852">
        <w:t xml:space="preserve">much more </w:t>
      </w:r>
      <w:r w:rsidR="00670A3F">
        <w:t>difficult to measure</w:t>
      </w:r>
      <w:r w:rsidR="006E23EF" w:rsidRPr="006E23EF">
        <w:t xml:space="preserve"> </w:t>
      </w:r>
      <w:r w:rsidR="006E23EF">
        <w:t>(</w:t>
      </w:r>
      <w:r w:rsidR="00F258E9">
        <w:t>Green et al., 2009</w:t>
      </w:r>
      <w:r w:rsidR="004B3816">
        <w:t>; Haigh &amp; Clifford, 2011</w:t>
      </w:r>
      <w:r w:rsidR="00F258E9">
        <w:t>)</w:t>
      </w:r>
      <w:r w:rsidR="006E23EF">
        <w:t>.</w:t>
      </w:r>
      <w:r w:rsidR="00670A3F">
        <w:t xml:space="preserve"> </w:t>
      </w:r>
      <w:r w:rsidR="00F8217A">
        <w:t>Equally, there is a need to consider how graduate attributes are achieved by students on modular courses, such as</w:t>
      </w:r>
      <w:r w:rsidR="00E43883">
        <w:t xml:space="preserve"> </w:t>
      </w:r>
      <w:r w:rsidR="00F8217A">
        <w:t>their embedding in compulsory core units (Bath et al., 2004)</w:t>
      </w:r>
      <w:r w:rsidR="00E43883">
        <w:t xml:space="preserve">, or in multi-level courses, </w:t>
      </w:r>
      <w:r w:rsidR="00CD42C7">
        <w:t xml:space="preserve">by </w:t>
      </w:r>
      <w:r w:rsidR="00E43883">
        <w:t>using careful curriculum design to differentiate learning and assessment activities and promoting peer-to-peer learning  (</w:t>
      </w:r>
      <w:proofErr w:type="spellStart"/>
      <w:r w:rsidR="00E43883">
        <w:t>Mager</w:t>
      </w:r>
      <w:proofErr w:type="spellEnd"/>
      <w:r w:rsidR="00E43883">
        <w:t xml:space="preserve"> &amp; Spronken-Smith, 2014)</w:t>
      </w:r>
      <w:r w:rsidR="00F8217A">
        <w:t>.</w:t>
      </w:r>
      <w:r w:rsidR="00311C98">
        <w:t xml:space="preserve"> </w:t>
      </w:r>
      <w:r w:rsidR="00D50C4E">
        <w:t>Overall, practices considered as ‘high impact’ (</w:t>
      </w:r>
      <w:proofErr w:type="spellStart"/>
      <w:r w:rsidR="00D50C4E">
        <w:t>Kuh</w:t>
      </w:r>
      <w:proofErr w:type="spellEnd"/>
      <w:r w:rsidR="00D50C4E">
        <w:t xml:space="preserve">, 2009) are generally well suited to the </w:t>
      </w:r>
      <w:r w:rsidR="007A67BD">
        <w:t xml:space="preserve">teaching, </w:t>
      </w:r>
      <w:r w:rsidR="00D50C4E">
        <w:t>learning and assessment of graduate attributes</w:t>
      </w:r>
      <w:r w:rsidR="00DA20B6">
        <w:t xml:space="preserve"> (see Spronken-Smith et al. this volume)</w:t>
      </w:r>
      <w:r w:rsidR="00D50C4E">
        <w:t>.</w:t>
      </w:r>
      <w:r w:rsidR="004B3816">
        <w:t xml:space="preserve"> Finally, the development of attributes from undergraduate to taught postgraduate level must not be </w:t>
      </w:r>
      <w:r w:rsidR="004B3816">
        <w:lastRenderedPageBreak/>
        <w:t xml:space="preserve">overlooked, and integrated frameworks across these levels have begun to emerge </w:t>
      </w:r>
      <w:r w:rsidR="00EA1C3A">
        <w:t xml:space="preserve">recently </w:t>
      </w:r>
      <w:r w:rsidR="004B3816">
        <w:t>(</w:t>
      </w:r>
      <w:r w:rsidR="00EA1C3A">
        <w:t xml:space="preserve">see, </w:t>
      </w:r>
      <w:r w:rsidR="004B3816">
        <w:t xml:space="preserve">for </w:t>
      </w:r>
      <w:r w:rsidR="00EA1C3A">
        <w:t xml:space="preserve">example, </w:t>
      </w:r>
      <w:r w:rsidR="004B3816">
        <w:t xml:space="preserve">Oxford Brookes University, UK:  </w:t>
      </w:r>
      <w:r w:rsidR="004B3816" w:rsidRPr="004B3816">
        <w:t>https://www.brookes.ac.uk/OCSLD/Your-development/Teaching-and-learning/Graduate-attributes/</w:t>
      </w:r>
      <w:r w:rsidR="004B3816">
        <w:t>).</w:t>
      </w:r>
    </w:p>
    <w:p w:rsidR="00C44D49" w:rsidRDefault="00C44D49" w:rsidP="0041751C">
      <w:pPr>
        <w:spacing w:after="0" w:line="360" w:lineRule="auto"/>
      </w:pPr>
    </w:p>
    <w:p w:rsidR="00F348D8" w:rsidRDefault="00C44D49" w:rsidP="0041751C">
      <w:pPr>
        <w:spacing w:after="0" w:line="360" w:lineRule="auto"/>
      </w:pPr>
      <w:r>
        <w:t>The two issues of embedding graduate attributes in curricula an</w:t>
      </w:r>
      <w:r w:rsidR="00CC3583">
        <w:t>d</w:t>
      </w:r>
      <w:r>
        <w:t xml:space="preserve"> </w:t>
      </w:r>
      <w:r w:rsidR="0092368D">
        <w:t xml:space="preserve">their </w:t>
      </w:r>
      <w:r>
        <w:t xml:space="preserve">subsequent attainment by students have been brought together in the literature to examine the </w:t>
      </w:r>
      <w:r w:rsidR="00CC3583">
        <w:t xml:space="preserve">extent of </w:t>
      </w:r>
      <w:r>
        <w:t xml:space="preserve">alignment between what is espoused and enacted by academic staff and what is experienced by students (Bath et al., 2004; </w:t>
      </w:r>
      <w:proofErr w:type="spellStart"/>
      <w:r>
        <w:t>Mager</w:t>
      </w:r>
      <w:proofErr w:type="spellEnd"/>
      <w:r>
        <w:t xml:space="preserve"> &amp; Spronken-Smith, 2014)</w:t>
      </w:r>
      <w:r w:rsidR="00CC3583">
        <w:t xml:space="preserve">. </w:t>
      </w:r>
      <w:r w:rsidR="006D2EE6">
        <w:t xml:space="preserve">Whilst such studies </w:t>
      </w:r>
      <w:r w:rsidR="006D2724">
        <w:t xml:space="preserve">reveal </w:t>
      </w:r>
      <w:r w:rsidR="006D2EE6">
        <w:t>some consensus, integrating university curricula with teaching delivery and graduate attribute attainment rarely seems to align as expected (Drummond et al., 1998; Barrie, 2005). This led</w:t>
      </w:r>
      <w:r w:rsidR="0092368D">
        <w:t xml:space="preserve"> Green </w:t>
      </w:r>
      <w:r w:rsidR="006D2724">
        <w:t>e</w:t>
      </w:r>
      <w:r w:rsidR="0092368D">
        <w:t>t al. (2009) to question</w:t>
      </w:r>
      <w:r w:rsidR="006D2EE6">
        <w:t xml:space="preserve"> ‘</w:t>
      </w:r>
      <w:r w:rsidR="0092368D">
        <w:t>W</w:t>
      </w:r>
      <w:r w:rsidR="006D2EE6">
        <w:t>hy is it so hard to develop graduate attributes?</w:t>
      </w:r>
      <w:r w:rsidR="00DC48D3">
        <w:t>’</w:t>
      </w:r>
      <w:r>
        <w:t xml:space="preserve"> </w:t>
      </w:r>
      <w:r w:rsidR="00BC34B1">
        <w:t>Their answers included a lack of common understanding of graduate attributes, the challenge of relating graduate attributes to different disciplinary backgrounds and the pressure</w:t>
      </w:r>
      <w:r w:rsidR="006D2724">
        <w:t>s</w:t>
      </w:r>
      <w:r w:rsidR="00BC34B1">
        <w:t xml:space="preserve"> on academic staff faced with </w:t>
      </w:r>
      <w:r w:rsidR="000F5D0C">
        <w:t>rising student numbers</w:t>
      </w:r>
      <w:r w:rsidR="00BC34B1">
        <w:t xml:space="preserve"> to develop the necessary aligned pedagogies and assessment strategies.</w:t>
      </w:r>
      <w:r w:rsidR="00D4275F">
        <w:t xml:space="preserve"> </w:t>
      </w:r>
      <w:r w:rsidR="002C346B">
        <w:t>To help overcome the latter</w:t>
      </w:r>
      <w:r w:rsidR="00F45018">
        <w:t xml:space="preserve">, the authors suggested that </w:t>
      </w:r>
      <w:r w:rsidR="00F2632D">
        <w:t>i</w:t>
      </w:r>
      <w:r w:rsidR="00F348D8">
        <w:t>nstitutions should offer professional development to</w:t>
      </w:r>
      <w:r w:rsidR="00040A7A">
        <w:t xml:space="preserve"> </w:t>
      </w:r>
      <w:r w:rsidR="00F348D8">
        <w:t xml:space="preserve">academic </w:t>
      </w:r>
      <w:r w:rsidR="00F45018">
        <w:t>staff</w:t>
      </w:r>
      <w:r w:rsidR="002C346B">
        <w:t>, and such staff should subsequently receive</w:t>
      </w:r>
      <w:r w:rsidR="00D4275F">
        <w:t xml:space="preserve"> appropriate reward and reco</w:t>
      </w:r>
      <w:r w:rsidR="00F2632D">
        <w:t>g</w:t>
      </w:r>
      <w:r w:rsidR="00D4275F">
        <w:t>n</w:t>
      </w:r>
      <w:r w:rsidR="00F2632D">
        <w:t>ition</w:t>
      </w:r>
      <w:r w:rsidR="00FC41BF">
        <w:t xml:space="preserve">. </w:t>
      </w:r>
      <w:r w:rsidR="00F45018">
        <w:t xml:space="preserve">More recently, de la </w:t>
      </w:r>
      <w:proofErr w:type="spellStart"/>
      <w:r w:rsidR="00F45018">
        <w:t>Harpe</w:t>
      </w:r>
      <w:proofErr w:type="spellEnd"/>
      <w:r w:rsidR="00F45018">
        <w:t xml:space="preserve"> &amp; David (2012) examined the role of academic staff </w:t>
      </w:r>
      <w:r w:rsidR="00A07DEF">
        <w:t xml:space="preserve">specifically </w:t>
      </w:r>
      <w:r w:rsidR="00F45018">
        <w:t xml:space="preserve">in integrating graduate attributes across curricula </w:t>
      </w:r>
      <w:r w:rsidR="00616866">
        <w:t>and concluded that academics may hold an idealised conception about the importanc</w:t>
      </w:r>
      <w:r w:rsidR="007E0C38">
        <w:t xml:space="preserve">e of graduate attributes, but </w:t>
      </w:r>
      <w:r w:rsidR="00616866">
        <w:t>this</w:t>
      </w:r>
      <w:r w:rsidR="007E0C38">
        <w:t xml:space="preserve"> is not always </w:t>
      </w:r>
      <w:r w:rsidR="00616866">
        <w:t>translated into a working conception.</w:t>
      </w:r>
      <w:r w:rsidR="00FE09E9">
        <w:t xml:space="preserve"> The gap</w:t>
      </w:r>
      <w:r w:rsidR="007E0C38">
        <w:t xml:space="preserve"> between</w:t>
      </w:r>
      <w:r w:rsidR="00FE09E9">
        <w:t xml:space="preserve"> idealised and realised conception</w:t>
      </w:r>
      <w:r w:rsidR="007E0C38">
        <w:t>s</w:t>
      </w:r>
      <w:r w:rsidR="00FE09E9">
        <w:t xml:space="preserve"> was linked most strongly to staff willingness and confidence to teach and assess graduate attributes</w:t>
      </w:r>
      <w:r w:rsidR="00216771">
        <w:t>, and these</w:t>
      </w:r>
      <w:r w:rsidR="00A07DEF">
        <w:t xml:space="preserve"> dispositions were, in turn, </w:t>
      </w:r>
      <w:r w:rsidR="00216771">
        <w:t>related positively to gender (being female), teaching qu</w:t>
      </w:r>
      <w:r w:rsidR="00944EC6">
        <w:t>alification and industry</w:t>
      </w:r>
      <w:r w:rsidR="00216771">
        <w:t xml:space="preserve"> experience</w:t>
      </w:r>
      <w:r w:rsidR="00FE09E9">
        <w:t xml:space="preserve">. </w:t>
      </w:r>
      <w:r w:rsidR="00247F7C">
        <w:t>These</w:t>
      </w:r>
      <w:r w:rsidR="00D33006">
        <w:t xml:space="preserve"> findings</w:t>
      </w:r>
      <w:r w:rsidR="00247F7C">
        <w:t xml:space="preserve"> have implications for </w:t>
      </w:r>
      <w:r w:rsidR="00D33006">
        <w:t xml:space="preserve">institutional policies concerning </w:t>
      </w:r>
      <w:r w:rsidR="00247F7C">
        <w:t>staff recruitment</w:t>
      </w:r>
      <w:r w:rsidR="00D33006">
        <w:t>, reward</w:t>
      </w:r>
      <w:r w:rsidR="00247F7C">
        <w:t xml:space="preserve"> and </w:t>
      </w:r>
      <w:r w:rsidR="00D33006">
        <w:t>professional development</w:t>
      </w:r>
      <w:r w:rsidR="000C2ED9">
        <w:t>, not least that</w:t>
      </w:r>
      <w:r w:rsidR="006D03E3">
        <w:t xml:space="preserve"> they</w:t>
      </w:r>
      <w:r w:rsidR="00B45172">
        <w:t xml:space="preserve"> must be appropriately priori</w:t>
      </w:r>
      <w:r w:rsidR="0020128C">
        <w:t>tized,</w:t>
      </w:r>
      <w:r w:rsidR="00B45172">
        <w:t xml:space="preserve"> properly resourced</w:t>
      </w:r>
      <w:r w:rsidR="0020128C">
        <w:t xml:space="preserve"> and adequately integrated with one another</w:t>
      </w:r>
      <w:r w:rsidR="00B45172">
        <w:t xml:space="preserve">. </w:t>
      </w:r>
      <w:r w:rsidR="00DB6FE3">
        <w:t xml:space="preserve">There is certainly a need to consider </w:t>
      </w:r>
      <w:r w:rsidR="007B4CEF">
        <w:t xml:space="preserve">strengthening </w:t>
      </w:r>
      <w:r w:rsidR="00DB6FE3">
        <w:t>the relationships between academic and professional staff and offering staff industry placements or mentoring.</w:t>
      </w:r>
      <w:r w:rsidR="00247F7C">
        <w:t xml:space="preserve"> </w:t>
      </w:r>
      <w:r w:rsidR="00294E73">
        <w:t xml:space="preserve">Equally, </w:t>
      </w:r>
      <w:r w:rsidR="00A50A6D">
        <w:t xml:space="preserve">curricula might </w:t>
      </w:r>
      <w:r w:rsidR="00771578">
        <w:t xml:space="preserve">profitably </w:t>
      </w:r>
      <w:r w:rsidR="00A50A6D">
        <w:t xml:space="preserve">become more outward facing, with </w:t>
      </w:r>
      <w:r w:rsidR="00294E73">
        <w:t>some teaching and</w:t>
      </w:r>
      <w:r w:rsidR="00A50A6D">
        <w:t xml:space="preserve"> assessment moving</w:t>
      </w:r>
      <w:r w:rsidR="00294E73">
        <w:t xml:space="preserve"> beyond the university to service-</w:t>
      </w:r>
      <w:r w:rsidR="004E550D">
        <w:t xml:space="preserve"> or work-based arenas</w:t>
      </w:r>
      <w:r w:rsidR="00294E73">
        <w:t>, delivered by qualified practitioners.</w:t>
      </w:r>
    </w:p>
    <w:p w:rsidR="00F348D8" w:rsidRDefault="00F348D8" w:rsidP="0041751C">
      <w:pPr>
        <w:spacing w:after="0" w:line="360" w:lineRule="auto"/>
      </w:pPr>
    </w:p>
    <w:p w:rsidR="006F65E8" w:rsidRDefault="00F348D8" w:rsidP="0041751C">
      <w:pPr>
        <w:spacing w:after="0" w:line="360" w:lineRule="auto"/>
      </w:pPr>
      <w:r>
        <w:t>Finally</w:t>
      </w:r>
      <w:r w:rsidR="00C70A6C">
        <w:t>,</w:t>
      </w:r>
      <w:r>
        <w:t xml:space="preserve"> there is </w:t>
      </w:r>
      <w:r w:rsidR="00156843">
        <w:t xml:space="preserve">a need to </w:t>
      </w:r>
      <w:r w:rsidR="00841BD6">
        <w:t xml:space="preserve">engage students </w:t>
      </w:r>
      <w:r w:rsidR="00AB4608">
        <w:t xml:space="preserve">meaningfully </w:t>
      </w:r>
      <w:r w:rsidR="00841BD6">
        <w:t xml:space="preserve">with the </w:t>
      </w:r>
      <w:r w:rsidR="005C7307">
        <w:t>development of</w:t>
      </w:r>
      <w:r w:rsidR="00841BD6">
        <w:t xml:space="preserve"> their own </w:t>
      </w:r>
      <w:r w:rsidR="000A5704">
        <w:t xml:space="preserve">student identities, </w:t>
      </w:r>
      <w:r w:rsidR="00841BD6">
        <w:t xml:space="preserve">graduate attributes </w:t>
      </w:r>
      <w:r w:rsidR="00EC0C0E">
        <w:t xml:space="preserve">and </w:t>
      </w:r>
      <w:r w:rsidR="006E3FAE">
        <w:t xml:space="preserve">emergent </w:t>
      </w:r>
      <w:r w:rsidR="000A5704">
        <w:t xml:space="preserve">professional </w:t>
      </w:r>
      <w:r w:rsidR="00EC0C0E">
        <w:t>identities</w:t>
      </w:r>
      <w:r w:rsidR="005C7307">
        <w:t xml:space="preserve"> such that they accept agency in the process</w:t>
      </w:r>
      <w:r w:rsidR="000D266C">
        <w:t xml:space="preserve"> rather than having their identities constructed for them</w:t>
      </w:r>
      <w:r w:rsidR="00AD19CB">
        <w:t xml:space="preserve"> through integrated systems and implementation</w:t>
      </w:r>
      <w:r w:rsidR="00EC0C0E">
        <w:t xml:space="preserve"> </w:t>
      </w:r>
      <w:r w:rsidR="00841BD6">
        <w:t>(</w:t>
      </w:r>
      <w:r w:rsidR="00EF2E59">
        <w:t xml:space="preserve">Haigh &amp; Clifford, 2011; </w:t>
      </w:r>
      <w:r w:rsidR="00841BD6">
        <w:t>Fraser &amp; Thomas, 2013</w:t>
      </w:r>
      <w:r w:rsidR="00EC0C0E">
        <w:t xml:space="preserve">; Daniels &amp; </w:t>
      </w:r>
      <w:proofErr w:type="spellStart"/>
      <w:r w:rsidR="00EC0C0E">
        <w:t>Brooker</w:t>
      </w:r>
      <w:proofErr w:type="spellEnd"/>
      <w:r w:rsidR="00EC0C0E">
        <w:t>, 2014</w:t>
      </w:r>
      <w:r w:rsidR="00E80DA9">
        <w:t>; Su, 2014</w:t>
      </w:r>
      <w:r w:rsidR="00841BD6">
        <w:t>)</w:t>
      </w:r>
      <w:r w:rsidR="000D266C">
        <w:t>.</w:t>
      </w:r>
      <w:r w:rsidR="00F965FC">
        <w:t xml:space="preserve"> </w:t>
      </w:r>
      <w:r w:rsidR="00F965FC">
        <w:lastRenderedPageBreak/>
        <w:t>There is an important role here for co-curricular activities in supporting a more student-centred</w:t>
      </w:r>
      <w:r w:rsidR="00D42749">
        <w:t xml:space="preserve"> partnership</w:t>
      </w:r>
      <w:r w:rsidR="00F965FC">
        <w:t xml:space="preserve"> approach (Green et al., 2009).</w:t>
      </w:r>
      <w:r w:rsidR="000D266C">
        <w:t xml:space="preserve"> In this way</w:t>
      </w:r>
      <w:r w:rsidR="0027755E">
        <w:t>, students</w:t>
      </w:r>
      <w:r w:rsidR="00AB4608">
        <w:t xml:space="preserve"> develop graduate attributes because they are relevant to their sense of self</w:t>
      </w:r>
      <w:r w:rsidR="00395F59">
        <w:t>,</w:t>
      </w:r>
      <w:r w:rsidR="00AB4608">
        <w:t xml:space="preserve"> and they</w:t>
      </w:r>
      <w:r w:rsidR="00B07E91">
        <w:t xml:space="preserve"> </w:t>
      </w:r>
      <w:r w:rsidR="00AB4608">
        <w:t>are</w:t>
      </w:r>
      <w:r w:rsidR="005C7307">
        <w:t xml:space="preserve"> </w:t>
      </w:r>
      <w:r w:rsidR="004A1611">
        <w:t xml:space="preserve">subsequently </w:t>
      </w:r>
      <w:r w:rsidR="005C7307">
        <w:t>aware</w:t>
      </w:r>
      <w:r w:rsidR="00156843">
        <w:t xml:space="preserve"> of the skills they hav</w:t>
      </w:r>
      <w:r w:rsidR="003C65CD">
        <w:t xml:space="preserve">e </w:t>
      </w:r>
      <w:r w:rsidR="00ED480A">
        <w:t>gained during their studies</w:t>
      </w:r>
      <w:r w:rsidR="0027755E">
        <w:t xml:space="preserve"> and can articulate them explicitly to employers</w:t>
      </w:r>
      <w:r w:rsidR="005C7307">
        <w:t xml:space="preserve"> (</w:t>
      </w:r>
      <w:r w:rsidR="00B10CEB">
        <w:t xml:space="preserve">see </w:t>
      </w:r>
      <w:r w:rsidR="00DA20B6">
        <w:t>Hill &amp; Walkington</w:t>
      </w:r>
      <w:r w:rsidR="005C7307">
        <w:t xml:space="preserve"> this volume). </w:t>
      </w:r>
      <w:r w:rsidR="00D24552">
        <w:t xml:space="preserve">This </w:t>
      </w:r>
      <w:r w:rsidR="004A1611">
        <w:t xml:space="preserve">move to a person-based approach </w:t>
      </w:r>
      <w:r w:rsidR="00D24552">
        <w:t xml:space="preserve">requires management strategies </w:t>
      </w:r>
      <w:r w:rsidR="004A1611">
        <w:t>to consider</w:t>
      </w:r>
      <w:r w:rsidR="00D24552">
        <w:t xml:space="preserve"> how attainment of graduate attributes could become more reflexive </w:t>
      </w:r>
      <w:r w:rsidR="004A1611">
        <w:t>and authentic,</w:t>
      </w:r>
      <w:r w:rsidR="00353991">
        <w:t xml:space="preserve"> based in self-directed learning that cultivates students’ capacity to adapt flexibly to being in the world</w:t>
      </w:r>
      <w:r w:rsidR="00D24552">
        <w:t xml:space="preserve"> (Su, 2014).</w:t>
      </w:r>
      <w:r w:rsidR="004A1611">
        <w:t xml:space="preserve"> Working this approach into a top-down</w:t>
      </w:r>
      <w:r w:rsidR="007B4CEF">
        <w:t>,</w:t>
      </w:r>
      <w:r w:rsidR="004A1611">
        <w:t xml:space="preserve"> </w:t>
      </w:r>
      <w:r w:rsidR="00527A2B">
        <w:t>centrally</w:t>
      </w:r>
      <w:r w:rsidR="004A1611">
        <w:t>-enact</w:t>
      </w:r>
      <w:r w:rsidR="00527A2B">
        <w:t>ed environment</w:t>
      </w:r>
      <w:r w:rsidR="004A1611">
        <w:t xml:space="preserve"> is no small </w:t>
      </w:r>
      <w:r w:rsidR="00F965FC">
        <w:t>t</w:t>
      </w:r>
      <w:r w:rsidR="004A1611">
        <w:t>ask.</w:t>
      </w:r>
      <w:r w:rsidR="00353991">
        <w:t xml:space="preserve"> </w:t>
      </w:r>
      <w:r w:rsidR="008A1961">
        <w:t xml:space="preserve">For the higher education sector to play a proactive role in shaping and delivering the graduate skills agenda it will need to </w:t>
      </w:r>
      <w:r w:rsidR="007B4CEF">
        <w:t xml:space="preserve">implement </w:t>
      </w:r>
      <w:r w:rsidR="008A1961">
        <w:t xml:space="preserve">strategy and policy changes, possibly necessitating cultural </w:t>
      </w:r>
      <w:r w:rsidR="00527A2B">
        <w:t>development</w:t>
      </w:r>
      <w:r w:rsidR="008A1961">
        <w:t xml:space="preserve"> within institutions</w:t>
      </w:r>
      <w:r w:rsidR="00720C87">
        <w:t xml:space="preserve"> and certainly leading to a </w:t>
      </w:r>
      <w:r w:rsidR="00F578FC">
        <w:t>re-</w:t>
      </w:r>
      <w:r w:rsidR="00720C87">
        <w:t>consideration of teaching, learning and assessment strategies</w:t>
      </w:r>
      <w:r w:rsidR="00F578FC">
        <w:t>, within and beyond curricula,</w:t>
      </w:r>
      <w:r w:rsidR="00720C87">
        <w:t xml:space="preserve"> that are appropriate for developing </w:t>
      </w:r>
      <w:r w:rsidR="000A69A2">
        <w:t xml:space="preserve">discipline-nuanced </w:t>
      </w:r>
      <w:r w:rsidR="00720C87">
        <w:t>graduate attributes</w:t>
      </w:r>
      <w:r w:rsidR="008A1961">
        <w:t xml:space="preserve"> (Green et al., 2009).</w:t>
      </w:r>
    </w:p>
    <w:p w:rsidR="00B7362B" w:rsidRDefault="00B7362B" w:rsidP="0041751C">
      <w:pPr>
        <w:spacing w:after="0" w:line="360" w:lineRule="auto"/>
      </w:pPr>
    </w:p>
    <w:p w:rsidR="00B7362B" w:rsidRPr="00E9625B" w:rsidRDefault="001D3AD8" w:rsidP="0041751C">
      <w:pPr>
        <w:spacing w:after="0" w:line="360" w:lineRule="auto"/>
      </w:pPr>
      <w:r>
        <w:t>The papers that comprise</w:t>
      </w:r>
      <w:r w:rsidR="00B7362B">
        <w:t xml:space="preserve"> this symposium are set within and build upon this </w:t>
      </w:r>
      <w:r w:rsidR="008F1B6B">
        <w:t xml:space="preserve">research </w:t>
      </w:r>
      <w:r w:rsidR="00B7362B">
        <w:t>context</w:t>
      </w:r>
      <w:r w:rsidR="00D1259F">
        <w:t xml:space="preserve">. They originate </w:t>
      </w:r>
      <w:r w:rsidR="00F40A20">
        <w:t>from</w:t>
      </w:r>
      <w:r w:rsidR="00D1259F">
        <w:t xml:space="preserve"> </w:t>
      </w:r>
      <w:r w:rsidR="00897DC8">
        <w:t xml:space="preserve">a series of </w:t>
      </w:r>
      <w:r w:rsidR="00B7362B">
        <w:t>conference sessions</w:t>
      </w:r>
      <w:r w:rsidR="00D1259F">
        <w:t xml:space="preserve"> </w:t>
      </w:r>
      <w:r w:rsidR="008F1B6B">
        <w:t xml:space="preserve">convened and chaired by the authors </w:t>
      </w:r>
      <w:r w:rsidR="00D1259F">
        <w:t>in 2013</w:t>
      </w:r>
      <w:r w:rsidR="00DA20B6">
        <w:t xml:space="preserve"> at two </w:t>
      </w:r>
      <w:r w:rsidR="00527A2B">
        <w:t>events</w:t>
      </w:r>
      <w:r w:rsidR="00B7362B">
        <w:t xml:space="preserve">: the Royal Geographical Society (with Institute of British Geographers) </w:t>
      </w:r>
      <w:r w:rsidR="00D1259F">
        <w:t xml:space="preserve">Annual International Conference held in London, UK, </w:t>
      </w:r>
      <w:r w:rsidR="00B7362B">
        <w:t>and the Association of American Geographers Annual Meeting</w:t>
      </w:r>
      <w:r w:rsidR="00D1259F">
        <w:t xml:space="preserve"> held in Los Angeles, USA.</w:t>
      </w:r>
      <w:r w:rsidR="008F1B6B">
        <w:t xml:space="preserve"> These sessions examined the</w:t>
      </w:r>
      <w:r w:rsidR="007653F2">
        <w:t xml:space="preserve"> multifarious ways that geography educators support students in developing graduate attribute</w:t>
      </w:r>
      <w:r w:rsidR="00DA20B6">
        <w:t xml:space="preserve">s, </w:t>
      </w:r>
      <w:r w:rsidR="007653F2">
        <w:t>within the classroom</w:t>
      </w:r>
      <w:r w:rsidR="00DA20B6">
        <w:t>, out in the ‘field’</w:t>
      </w:r>
      <w:r w:rsidR="007653F2">
        <w:t xml:space="preserve"> and beyond the curriculum. They explored the signature pedagogies of geography, the ‘types of teaching that organise fundamental ways in which future practitioners are educated for their new professions</w:t>
      </w:r>
      <w:r w:rsidR="00527A2B">
        <w:t>’</w:t>
      </w:r>
      <w:r w:rsidR="007653F2">
        <w:t xml:space="preserve"> (</w:t>
      </w:r>
      <w:proofErr w:type="spellStart"/>
      <w:r w:rsidR="007653F2">
        <w:t>Shulman</w:t>
      </w:r>
      <w:proofErr w:type="spellEnd"/>
      <w:r w:rsidR="007653F2">
        <w:t>, 2005: 52), aiming to build theoretical and empirical foundations for more effective teac</w:t>
      </w:r>
      <w:r w:rsidR="00F40A20">
        <w:t>h</w:t>
      </w:r>
      <w:r w:rsidR="00DA20B6">
        <w:t>ing,</w:t>
      </w:r>
      <w:r w:rsidR="007653F2">
        <w:t xml:space="preserve"> learning </w:t>
      </w:r>
      <w:r w:rsidR="00DA20B6">
        <w:t xml:space="preserve">and assessment </w:t>
      </w:r>
      <w:r w:rsidR="007653F2">
        <w:t>of graduate attributes.</w:t>
      </w:r>
      <w:r w:rsidR="008F1B6B">
        <w:t xml:space="preserve"> </w:t>
      </w:r>
      <w:r w:rsidR="00D1259F">
        <w:t xml:space="preserve"> </w:t>
      </w:r>
    </w:p>
    <w:p w:rsidR="00ED79DD" w:rsidRDefault="00ED79DD" w:rsidP="00CC31C3">
      <w:pPr>
        <w:spacing w:after="0" w:line="360" w:lineRule="auto"/>
        <w:rPr>
          <w:b/>
        </w:rPr>
      </w:pPr>
    </w:p>
    <w:p w:rsidR="004D4F7C" w:rsidRDefault="004D4F7C" w:rsidP="004D4F7C">
      <w:pPr>
        <w:spacing w:after="0" w:line="360" w:lineRule="auto"/>
      </w:pPr>
      <w:r>
        <w:t xml:space="preserve">In the opening paper of the symposium, Martin Haigh invites us to consider a pedagogic method that can be deployed in classroom settings to encourage undergraduates to explore beneath the surface of problems. By instilling in learners a habit of critical inquiry, they come to construct a set of personal and research </w:t>
      </w:r>
      <w:proofErr w:type="spellStart"/>
      <w:r>
        <w:t>literacies</w:t>
      </w:r>
      <w:proofErr w:type="spellEnd"/>
      <w:r>
        <w:t xml:space="preserve"> that might be regarded as key graduate attributes. Based within </w:t>
      </w:r>
      <w:proofErr w:type="spellStart"/>
      <w:r>
        <w:t>Dharmic</w:t>
      </w:r>
      <w:proofErr w:type="spellEnd"/>
      <w:r>
        <w:t xml:space="preserve"> traditions, the method of Causal Layered Analysis (CLA) prompts students to consciously access deeper levels of meaning within a context by analysing four layers that underlie the surface appearance.</w:t>
      </w:r>
      <w:r w:rsidRPr="00AB285E">
        <w:t xml:space="preserve"> </w:t>
      </w:r>
      <w:r>
        <w:t xml:space="preserve">These layers deal successively with: popular understanding (received wisdom of lectures and textbooks); social scientific causation (the social construction of the discipline); worldview and cultural tradition (culturally mediated presumption and discourse); and myth and </w:t>
      </w:r>
      <w:r>
        <w:lastRenderedPageBreak/>
        <w:t>metaphor (sub-conscious beliefs in, for example, an objective and measurable world). The paper</w:t>
      </w:r>
      <w:r w:rsidRPr="00AB285E">
        <w:t xml:space="preserve"> </w:t>
      </w:r>
      <w:r>
        <w:t>demonstrates use of the CLA method in a variety of classroom exercises to help</w:t>
      </w:r>
      <w:r w:rsidRPr="00C03D90">
        <w:t xml:space="preserve"> f</w:t>
      </w:r>
      <w:r>
        <w:t>inal year geographers</w:t>
      </w:r>
      <w:r w:rsidRPr="00C03D90">
        <w:t xml:space="preserve"> </w:t>
      </w:r>
      <w:r>
        <w:t>critique the substance of geographical discourse, personal learning and themselves</w:t>
      </w:r>
      <w:r w:rsidRPr="00C03D90">
        <w:t>.</w:t>
      </w:r>
      <w:r>
        <w:t xml:space="preserve"> Explored through reflective journals and term papers, the results show that CLA exercises can be challenging for learners, but persistence with them helps students to discover deeper meaning within their studies. Personal ideas, narrative sub-texts and cultural beliefs are exposed, which might otherwise go unquestioned. Students become more aware of the situated nature of knowledge and learning, enabling them to view the world as others </w:t>
      </w:r>
      <w:proofErr w:type="gramStart"/>
      <w:r>
        <w:t>see</w:t>
      </w:r>
      <w:proofErr w:type="gramEnd"/>
      <w:r>
        <w:t xml:space="preserve"> it and helping them to develop self-authorship (Baxter </w:t>
      </w:r>
      <w:proofErr w:type="spellStart"/>
      <w:r>
        <w:t>Magolda</w:t>
      </w:r>
      <w:proofErr w:type="spellEnd"/>
      <w:r>
        <w:t>, 2004).</w:t>
      </w:r>
    </w:p>
    <w:p w:rsidR="004D4F7C" w:rsidRDefault="004D4F7C" w:rsidP="004D4F7C">
      <w:pPr>
        <w:spacing w:after="0" w:line="360" w:lineRule="auto"/>
      </w:pPr>
    </w:p>
    <w:p w:rsidR="004D4F7C" w:rsidRPr="00B1502F" w:rsidRDefault="004D4F7C" w:rsidP="004D4F7C">
      <w:pPr>
        <w:spacing w:after="0" w:line="360" w:lineRule="auto"/>
      </w:pPr>
      <w:r>
        <w:t>Derek France and colleagues present the first of three papers that investigate the relat</w:t>
      </w:r>
      <w:r w:rsidR="00DA20B6">
        <w:t>ionship between field work</w:t>
      </w:r>
      <w:r>
        <w:t xml:space="preserve">, </w:t>
      </w:r>
      <w:proofErr w:type="gramStart"/>
      <w:r>
        <w:t>a signature</w:t>
      </w:r>
      <w:proofErr w:type="gramEnd"/>
      <w:r>
        <w:t xml:space="preserve"> pedagogy of geography, and graduate attributes. These authors examine in particular the use of mobile technologies for learning during fieldwork and the development of graduate knowledge, skills and values.</w:t>
      </w:r>
      <w:r w:rsidRPr="00735485">
        <w:t xml:space="preserve"> </w:t>
      </w:r>
      <w:r>
        <w:t>F</w:t>
      </w:r>
      <w:r w:rsidRPr="00241CF7">
        <w:t xml:space="preserve">ocus groups </w:t>
      </w:r>
      <w:r>
        <w:t>were undertaken with students post-</w:t>
      </w:r>
      <w:r w:rsidRPr="00241CF7">
        <w:t xml:space="preserve">fieldwork </w:t>
      </w:r>
      <w:r>
        <w:t>on</w:t>
      </w:r>
      <w:r w:rsidRPr="00241CF7">
        <w:t xml:space="preserve"> four </w:t>
      </w:r>
      <w:r>
        <w:t xml:space="preserve">undergraduate residential </w:t>
      </w:r>
      <w:r w:rsidRPr="00241CF7">
        <w:t>field courses</w:t>
      </w:r>
      <w:r>
        <w:t xml:space="preserve">. The students were asked to discuss generically, and then map specifically, </w:t>
      </w:r>
      <w:r w:rsidR="007B4CEF">
        <w:t xml:space="preserve">how </w:t>
      </w:r>
      <w:r>
        <w:t xml:space="preserve">their use of mobile apps in the field had contributed to the development of </w:t>
      </w:r>
      <w:r w:rsidR="007B4CEF">
        <w:t xml:space="preserve">five </w:t>
      </w:r>
      <w:r>
        <w:t>key graduate attributes.</w:t>
      </w:r>
      <w:r w:rsidRPr="00241CF7">
        <w:t xml:space="preserve"> </w:t>
      </w:r>
      <w:r>
        <w:t>The results highlight</w:t>
      </w:r>
      <w:r w:rsidRPr="00241CF7">
        <w:t xml:space="preserve"> that </w:t>
      </w:r>
      <w:r>
        <w:t xml:space="preserve">the students </w:t>
      </w:r>
      <w:r w:rsidRPr="00241CF7">
        <w:t xml:space="preserve">make </w:t>
      </w:r>
      <w:r>
        <w:t xml:space="preserve">clear </w:t>
      </w:r>
      <w:r w:rsidRPr="00241CF7">
        <w:t xml:space="preserve">links between </w:t>
      </w:r>
      <w:r>
        <w:t xml:space="preserve">the use of a variety of </w:t>
      </w:r>
      <w:r w:rsidRPr="00241CF7">
        <w:t>mobile apps and</w:t>
      </w:r>
      <w:r>
        <w:t xml:space="preserve"> graduate attribute development, including personal and research literacy, academic literacy and digital literacy.  The research suggests that a</w:t>
      </w:r>
      <w:r w:rsidRPr="00241CF7">
        <w:t xml:space="preserve"> number of mobile apps can align simultaneously with more than one graduate attribute</w:t>
      </w:r>
      <w:r>
        <w:t xml:space="preserve">. Furthermore, </w:t>
      </w:r>
      <w:r w:rsidRPr="00241CF7">
        <w:t xml:space="preserve">prior experience and the context of use can influence </w:t>
      </w:r>
      <w:r>
        <w:t>students’</w:t>
      </w:r>
      <w:r w:rsidRPr="00241CF7">
        <w:t xml:space="preserve"> perception</w:t>
      </w:r>
      <w:r>
        <w:t>s</w:t>
      </w:r>
      <w:r w:rsidRPr="00241CF7">
        <w:t xml:space="preserve"> of </w:t>
      </w:r>
      <w:r>
        <w:t>an</w:t>
      </w:r>
      <w:r w:rsidRPr="00241CF7">
        <w:t xml:space="preserve"> app's link</w:t>
      </w:r>
      <w:r>
        <w:t xml:space="preserve"> with different graduate attributes</w:t>
      </w:r>
      <w:r w:rsidRPr="00241CF7">
        <w:t>.</w:t>
      </w:r>
      <w:r>
        <w:t xml:space="preserve"> The results suggest that personal identity is an important part of the development of graduate attributes and that students relate their academic growth to preparation for their professional lives</w:t>
      </w:r>
      <w:r w:rsidR="00DA20B6">
        <w:t xml:space="preserve"> (see also Hill &amp; Walkington in this volume)</w:t>
      </w:r>
      <w:r>
        <w:t xml:space="preserve">. </w:t>
      </w:r>
    </w:p>
    <w:p w:rsidR="004D4F7C" w:rsidRDefault="004D4F7C" w:rsidP="004D4F7C">
      <w:pPr>
        <w:spacing w:after="0" w:line="360" w:lineRule="auto"/>
      </w:pPr>
    </w:p>
    <w:p w:rsidR="004D4F7C" w:rsidRPr="00B1502F" w:rsidRDefault="004D4F7C" w:rsidP="004D4F7C">
      <w:pPr>
        <w:spacing w:after="0" w:line="360" w:lineRule="auto"/>
        <w:jc w:val="both"/>
      </w:pPr>
      <w:r>
        <w:t>In the second fieldwork paper, Ian Fuller and Derek France explore the connection between fieldwork and the development of graduate attributes mediated through the adoption of digital technology. The authors report on the success of adopting digital video capture to enable students to report on field methods in two final year undergraduate courses in physical geography at a higher education institution in New Zealand. T</w:t>
      </w:r>
      <w:r w:rsidRPr="00972B78">
        <w:t>h</w:t>
      </w:r>
      <w:r>
        <w:t>e student</w:t>
      </w:r>
      <w:r w:rsidRPr="00972B78">
        <w:t xml:space="preserve"> experience </w:t>
      </w:r>
      <w:r>
        <w:t xml:space="preserve">is </w:t>
      </w:r>
      <w:r w:rsidR="007B4CEF">
        <w:t>recorded</w:t>
      </w:r>
      <w:r w:rsidR="007B4CEF" w:rsidRPr="00972B78">
        <w:t xml:space="preserve"> </w:t>
      </w:r>
      <w:r w:rsidRPr="00972B78">
        <w:t>through video diaries, questionnaires and focus group methodologies.</w:t>
      </w:r>
      <w:r>
        <w:t xml:space="preserve"> The results show that students perceive digital video favourably in terms </w:t>
      </w:r>
      <w:r>
        <w:rPr>
          <w:lang w:val="en-US"/>
        </w:rPr>
        <w:t xml:space="preserve">of helping them understand methods, </w:t>
      </w:r>
      <w:r w:rsidR="00DA20B6">
        <w:rPr>
          <w:lang w:val="en-US"/>
        </w:rPr>
        <w:t>processes, landforms</w:t>
      </w:r>
      <w:r>
        <w:rPr>
          <w:lang w:val="en-US"/>
        </w:rPr>
        <w:t xml:space="preserve"> and environments. It also fosters group work and helps students prepare for further academic and non-academic work. The authors conclude by mapping student feedback against a range of institutionally-defined </w:t>
      </w:r>
      <w:r>
        <w:rPr>
          <w:lang w:val="en-US"/>
        </w:rPr>
        <w:lastRenderedPageBreak/>
        <w:t xml:space="preserve">graduate attributes, noting development of communication and presentation skills, critical thinking, creativity, group work and self-awareness. Both subject-specific and generic skills are developed via the integration of digital video with fieldwork. The authors conclude that this approach </w:t>
      </w:r>
      <w:r>
        <w:t xml:space="preserve">ensures the subject’s signature pedagogy </w:t>
      </w:r>
      <w:r w:rsidRPr="00B1502F">
        <w:t>remains connected to and informed by best practice, fostering creativity and innovation in learning, and developing graduate attributes beyond the classroom.</w:t>
      </w:r>
    </w:p>
    <w:p w:rsidR="004D4F7C" w:rsidRDefault="004D4F7C" w:rsidP="004D4F7C">
      <w:pPr>
        <w:spacing w:after="0" w:line="360" w:lineRule="auto"/>
        <w:jc w:val="both"/>
      </w:pPr>
    </w:p>
    <w:p w:rsidR="004D4F7C" w:rsidRDefault="004D4F7C" w:rsidP="004D4F7C">
      <w:pPr>
        <w:spacing w:after="0" w:line="360" w:lineRule="auto"/>
      </w:pPr>
      <w:r>
        <w:t xml:space="preserve">Pauline Couper and Su Porter move beyond traditional geography fieldwork </w:t>
      </w:r>
      <w:r w:rsidR="00DA20B6">
        <w:t xml:space="preserve">in their paper </w:t>
      </w:r>
      <w:r>
        <w:t xml:space="preserve">to critique an approach from outdoor adventure education that may offer the potential to connect the cognitive knowledge of geography students with their personal identities and capacities for pro-environmental action. The development of what might be termed graduate attributes </w:t>
      </w:r>
      <w:r w:rsidR="008E0E6A">
        <w:t xml:space="preserve">for sustainability </w:t>
      </w:r>
      <w:r>
        <w:t xml:space="preserve">is achieved by emphasizing a relational self-in-environment consciousness, which, in turn, can be captured and assessed through students’ auto-ethnographic accounts of their embodied experiences with the ‘field’. Using a second year undergraduate module as a case study, the authors highlight how production of a </w:t>
      </w:r>
      <w:r w:rsidR="00A51A9D">
        <w:t>reflective diary</w:t>
      </w:r>
      <w:r>
        <w:t xml:space="preserve">, coupled with a final auto-ethnographic account of rock climbing, affords students the freedom to reflect on their experiences in relation to self, others and the environment. The students respond by expressing self-awareness, reflecting on what mediates their climbing encounters and noting how a creative approach to assessment encourages their more holistic engagement with the environment over the duration of the module. The students consciously consider the non-human world in terms of their own embodied experiences, practices and values. The authors conclude that if geography is to claim a case for being the natural ‘home’ of sustainability education then a relational understanding of self and non-human other may provide a means of connecting cognitive knowledge with the attributes of personal responsibility and agency. </w:t>
      </w:r>
    </w:p>
    <w:p w:rsidR="004D4F7C" w:rsidRDefault="004D4F7C" w:rsidP="004D4F7C">
      <w:pPr>
        <w:spacing w:after="0" w:line="360" w:lineRule="auto"/>
      </w:pPr>
    </w:p>
    <w:p w:rsidR="004D4F7C" w:rsidRPr="004C4827" w:rsidRDefault="004D4F7C" w:rsidP="004D4F7C">
      <w:pPr>
        <w:spacing w:after="0" w:line="360" w:lineRule="auto"/>
      </w:pPr>
      <w:r>
        <w:t xml:space="preserve">Jennifer Hill and Helen Walkington move us out of the field and into extra-curricular space to examine the experiences of Geography, Earth and Environmental Science (GEES) students participating in the British Conference of Undergraduate Research (BCUR). Using the model of Barrie (2004), the authors qualitatively evidence the graduate attributes developed in this learning context, identifying self-authorship (Baxter </w:t>
      </w:r>
      <w:proofErr w:type="spellStart"/>
      <w:r>
        <w:t>Magolda</w:t>
      </w:r>
      <w:proofErr w:type="spellEnd"/>
      <w:r>
        <w:t>, 2004)</w:t>
      </w:r>
      <w:r w:rsidR="00D74BE5">
        <w:t xml:space="preserve"> </w:t>
      </w:r>
      <w:r>
        <w:t xml:space="preserve">as an overarching pedagogic concept emanating from the acquisition of multiple attributes. </w:t>
      </w:r>
      <w:r w:rsidRPr="004C4827">
        <w:t xml:space="preserve">The </w:t>
      </w:r>
      <w:r>
        <w:t>results highlight that GEES students demonstrate</w:t>
      </w:r>
      <w:r w:rsidRPr="004C4827">
        <w:t xml:space="preserve"> intellectual autonomy, repurposing their work for presentation to a multi-disciplinary audience through conversation with and benchmarking against peers. </w:t>
      </w:r>
      <w:r>
        <w:t>The students move towards self-authorship by</w:t>
      </w:r>
      <w:r w:rsidRPr="004C4827">
        <w:t xml:space="preserve"> consciously balancing the contextual nature of their disciplinary knowledge with intra-personally grounded goals and values. The undergraduate research conference is </w:t>
      </w:r>
      <w:r w:rsidR="00C2274A">
        <w:t>a</w:t>
      </w:r>
      <w:r w:rsidRPr="004C4827">
        <w:t xml:space="preserve"> space in which </w:t>
      </w:r>
      <w:proofErr w:type="gramStart"/>
      <w:r w:rsidRPr="004C4827">
        <w:lastRenderedPageBreak/>
        <w:t>students</w:t>
      </w:r>
      <w:proofErr w:type="gramEnd"/>
      <w:r w:rsidRPr="004C4827">
        <w:t xml:space="preserve"> express hybrid identities: a conjoining of undergraduate student and emerging graduate professional. </w:t>
      </w:r>
      <w:r w:rsidRPr="004C4827">
        <w:rPr>
          <w:rFonts w:cs="AdvTTec369687+20"/>
        </w:rPr>
        <w:t>T</w:t>
      </w:r>
      <w:r>
        <w:rPr>
          <w:rFonts w:cs="AdvTTec369687"/>
        </w:rPr>
        <w:t>he</w:t>
      </w:r>
      <w:r w:rsidRPr="004C4827">
        <w:rPr>
          <w:rFonts w:cs="AdvTTec369687"/>
        </w:rPr>
        <w:t xml:space="preserve"> conference thereby offers students an opportunity to begin to construct their </w:t>
      </w:r>
      <w:r>
        <w:rPr>
          <w:rFonts w:cs="AdvTTec369687"/>
        </w:rPr>
        <w:t xml:space="preserve">graduate </w:t>
      </w:r>
      <w:r w:rsidRPr="004C4827">
        <w:rPr>
          <w:rFonts w:cs="AdvTTec369687"/>
        </w:rPr>
        <w:t>professional identities during their studies, potentially helping them to navigate into their working and wider social lives.</w:t>
      </w:r>
      <w:r>
        <w:rPr>
          <w:rFonts w:cs="AdvTTec369687"/>
        </w:rPr>
        <w:t xml:space="preserve"> Implications for policy and practice are highlighted, including </w:t>
      </w:r>
      <w:r>
        <w:t xml:space="preserve">the need for faculty to </w:t>
      </w:r>
      <w:r w:rsidRPr="004C4827">
        <w:t>help students harness the learning potential of their engagement with university life outside of formal classes</w:t>
      </w:r>
      <w:r>
        <w:t xml:space="preserve">, </w:t>
      </w:r>
      <w:r>
        <w:rPr>
          <w:rFonts w:cs="AdvTTec369687"/>
        </w:rPr>
        <w:t xml:space="preserve">the </w:t>
      </w:r>
      <w:r w:rsidRPr="004C4827">
        <w:t>responsibility</w:t>
      </w:r>
      <w:r>
        <w:t xml:space="preserve"> for faculty</w:t>
      </w:r>
      <w:r w:rsidRPr="004C4827">
        <w:t xml:space="preserve"> to encourage inclusivity</w:t>
      </w:r>
      <w:r>
        <w:t xml:space="preserve"> with such extra-curricular </w:t>
      </w:r>
      <w:r w:rsidR="00DA20B6">
        <w:t xml:space="preserve">learning </w:t>
      </w:r>
      <w:r>
        <w:t>opportunities</w:t>
      </w:r>
      <w:r w:rsidRPr="00795653">
        <w:t xml:space="preserve"> </w:t>
      </w:r>
      <w:r>
        <w:t>and the need to</w:t>
      </w:r>
      <w:r w:rsidRPr="004C4827">
        <w:rPr>
          <w:lang w:val="en-US"/>
        </w:rPr>
        <w:t xml:space="preserve"> make the achievement of graduate attributes transparent to students</w:t>
      </w:r>
      <w:r>
        <w:rPr>
          <w:lang w:val="en-US"/>
        </w:rPr>
        <w:t>.</w:t>
      </w:r>
    </w:p>
    <w:p w:rsidR="004D4F7C" w:rsidRDefault="004D4F7C" w:rsidP="004D4F7C">
      <w:pPr>
        <w:spacing w:after="0" w:line="360" w:lineRule="auto"/>
      </w:pPr>
    </w:p>
    <w:p w:rsidR="004D4F7C" w:rsidRDefault="004D4F7C" w:rsidP="004D4F7C">
      <w:pPr>
        <w:spacing w:after="0" w:line="360" w:lineRule="auto"/>
      </w:pPr>
      <w:r>
        <w:t>Mehmet Seremet and Brian Chalkley explore the concept of graduate attributes in the relatively under-researched context of Turkey. They privilege the term employability as it is used more commonly in this country and they link their research specifically to skills acquisition for graduate jobs. The authors begin by describing Turkey’s higher education system and its increasing commitment to the employability agenda via engagement with the Bologna process. They progress to examine the potential of teaching and learning in Geographic Information Systems (GIS) to contribute to the employability of geography graduates in Turkey, capturing the experiences of all key stakeholders: academic staff, students and employers, using semi-structured interviews, questionnaires and a review of GIS posts advertised</w:t>
      </w:r>
      <w:r w:rsidR="00DA20B6">
        <w:t xml:space="preserve"> in the Turkish media. The research</w:t>
      </w:r>
      <w:r>
        <w:t xml:space="preserve"> reveals a mixed picture of opportunities and challenges. Faculty and students, for example, are aware of the employment potential of their GIS modules and consider this to be an important part of the rationale for t</w:t>
      </w:r>
      <w:r w:rsidR="00F84CB2">
        <w:t>eaching and learning GIS. B</w:t>
      </w:r>
      <w:r>
        <w:t>oth</w:t>
      </w:r>
      <w:r w:rsidR="00F84CB2">
        <w:t xml:space="preserve"> groups</w:t>
      </w:r>
      <w:r>
        <w:t xml:space="preserve"> note, however, the small amount of time available within GIS modules to teach and/or learn about many of the more advanced GIS skills sought after by employers. The paper ends with a series of employability recommendations, not least that geographers should continue to invest in GIS education to ensure that the dis</w:t>
      </w:r>
      <w:r w:rsidR="00DA20B6">
        <w:t>cipline’s pivotal role in national</w:t>
      </w:r>
      <w:r>
        <w:t xml:space="preserve"> economies is recognised by governments, the education sector and employers.</w:t>
      </w:r>
    </w:p>
    <w:p w:rsidR="004D4F7C" w:rsidRPr="00B1502F" w:rsidRDefault="004D4F7C" w:rsidP="004D4F7C">
      <w:pPr>
        <w:spacing w:after="0" w:line="360" w:lineRule="auto"/>
        <w:jc w:val="both"/>
      </w:pPr>
    </w:p>
    <w:p w:rsidR="004D4F7C" w:rsidRPr="004D4F7C" w:rsidRDefault="004D4F7C" w:rsidP="004D4F7C">
      <w:pPr>
        <w:autoSpaceDE w:val="0"/>
        <w:autoSpaceDN w:val="0"/>
        <w:adjustRightInd w:val="0"/>
        <w:spacing w:after="0" w:line="360" w:lineRule="auto"/>
        <w:rPr>
          <w:rFonts w:cs="TimesNewRoman"/>
          <w:color w:val="000000"/>
        </w:rPr>
      </w:pPr>
      <w:r>
        <w:t xml:space="preserve">In the final paper of the symposium, </w:t>
      </w:r>
      <w:r w:rsidRPr="005C00F3">
        <w:t>Rachel Spronken-Smith and colleagues</w:t>
      </w:r>
      <w:r>
        <w:t xml:space="preserve"> present</w:t>
      </w:r>
      <w:r w:rsidRPr="005C00F3">
        <w:rPr>
          <w:rFonts w:cs="TimesNewRoman"/>
        </w:rPr>
        <w:t xml:space="preserve"> a toolkit for implementing graduate attributes in geography curricula</w:t>
      </w:r>
      <w:r>
        <w:rPr>
          <w:rFonts w:cs="TimesNewRoman"/>
        </w:rPr>
        <w:t xml:space="preserve"> based on </w:t>
      </w:r>
      <w:r w:rsidRPr="005C00F3">
        <w:rPr>
          <w:rFonts w:cs="TimesNewRoman"/>
        </w:rPr>
        <w:t xml:space="preserve">findings from </w:t>
      </w:r>
      <w:r>
        <w:rPr>
          <w:rFonts w:cs="TimesNewRoman"/>
        </w:rPr>
        <w:t xml:space="preserve">a </w:t>
      </w:r>
      <w:r w:rsidRPr="005C00F3">
        <w:rPr>
          <w:rFonts w:cs="TimesNewRoman"/>
        </w:rPr>
        <w:t>research</w:t>
      </w:r>
      <w:r>
        <w:rPr>
          <w:rFonts w:cs="TimesNewRoman"/>
        </w:rPr>
        <w:t xml:space="preserve"> project </w:t>
      </w:r>
      <w:r w:rsidR="00F752BF">
        <w:rPr>
          <w:rFonts w:cs="TimesNewRoman"/>
        </w:rPr>
        <w:t xml:space="preserve">sampling institutions from </w:t>
      </w:r>
      <w:r w:rsidR="00132EF7">
        <w:rPr>
          <w:rFonts w:cs="TimesNewRoman"/>
        </w:rPr>
        <w:t>across</w:t>
      </w:r>
      <w:r w:rsidRPr="005C00F3">
        <w:rPr>
          <w:rFonts w:cs="TimesNewRoman"/>
        </w:rPr>
        <w:t xml:space="preserve"> New Zealand</w:t>
      </w:r>
      <w:r>
        <w:rPr>
          <w:rFonts w:cs="TimesNewRoman"/>
        </w:rPr>
        <w:t xml:space="preserve">. These authors </w:t>
      </w:r>
      <w:r w:rsidRPr="005C00F3">
        <w:rPr>
          <w:rFonts w:cs="TimesNewRoman"/>
        </w:rPr>
        <w:t xml:space="preserve">identify six indicators for engagement with graduate attributes at the programme level including making explicit links between graduate attributes and learning outcomes/assessment. </w:t>
      </w:r>
      <w:r w:rsidR="00DA20B6">
        <w:rPr>
          <w:rFonts w:cs="TimesNewRoman"/>
        </w:rPr>
        <w:t>In addition</w:t>
      </w:r>
      <w:r>
        <w:rPr>
          <w:rFonts w:cs="TimesNewRoman"/>
        </w:rPr>
        <w:t>, a</w:t>
      </w:r>
      <w:r w:rsidRPr="005C00F3">
        <w:rPr>
          <w:rFonts w:cs="TimesNewRoman"/>
        </w:rPr>
        <w:t xml:space="preserve">ll teaching staff and students should be aware of the graduate attributes in their programmes and there should be a mechanism in place to monitor student attainment towards a graduate profile. In order for geography leaders to engage </w:t>
      </w:r>
      <w:r w:rsidRPr="005C00F3">
        <w:rPr>
          <w:rFonts w:cs="TimesNewRoman"/>
        </w:rPr>
        <w:lastRenderedPageBreak/>
        <w:t>with graduate attributes</w:t>
      </w:r>
      <w:r>
        <w:rPr>
          <w:rFonts w:cs="TimesNewRoman"/>
        </w:rPr>
        <w:t>,</w:t>
      </w:r>
      <w:r w:rsidRPr="005C00F3">
        <w:rPr>
          <w:rFonts w:cs="TimesNewRoman"/>
        </w:rPr>
        <w:t xml:space="preserve"> decisions need to be made about who will be responsible for driving curriculum renewal around graduate attributes</w:t>
      </w:r>
      <w:r w:rsidR="00641A86">
        <w:rPr>
          <w:rFonts w:cs="TimesNewRoman"/>
        </w:rPr>
        <w:t>,</w:t>
      </w:r>
      <w:r w:rsidR="00090D6C">
        <w:rPr>
          <w:rFonts w:cs="TimesNewRoman"/>
        </w:rPr>
        <w:t xml:space="preserve"> allowing </w:t>
      </w:r>
      <w:r w:rsidRPr="005C00F3">
        <w:rPr>
          <w:rFonts w:cs="TimesNewRoman"/>
        </w:rPr>
        <w:t xml:space="preserve">graduate profiles </w:t>
      </w:r>
      <w:r w:rsidR="00090D6C">
        <w:rPr>
          <w:rFonts w:cs="TimesNewRoman"/>
        </w:rPr>
        <w:t>to</w:t>
      </w:r>
      <w:r w:rsidR="00090D6C" w:rsidRPr="005C00F3">
        <w:rPr>
          <w:rFonts w:cs="TimesNewRoman"/>
        </w:rPr>
        <w:t xml:space="preserve"> </w:t>
      </w:r>
      <w:r w:rsidRPr="005C00F3">
        <w:rPr>
          <w:rFonts w:cs="TimesNewRoman"/>
        </w:rPr>
        <w:t>be contextualised for geography programmes</w:t>
      </w:r>
      <w:r w:rsidR="00132EF7">
        <w:rPr>
          <w:rFonts w:cs="TimesNewRoman"/>
        </w:rPr>
        <w:t>. T</w:t>
      </w:r>
      <w:r w:rsidRPr="005C00F3">
        <w:rPr>
          <w:rFonts w:cs="TimesNewRoman"/>
        </w:rPr>
        <w:t>here must be a positive internal context for curriculum renewal</w:t>
      </w:r>
      <w:r w:rsidRPr="005C00F3">
        <w:rPr>
          <w:rFonts w:cs="TimesNewRoman"/>
          <w:color w:val="000000"/>
        </w:rPr>
        <w:t xml:space="preserve"> </w:t>
      </w:r>
      <w:r w:rsidRPr="00482FE5">
        <w:rPr>
          <w:rFonts w:cs="TimesNewRoman"/>
        </w:rPr>
        <w:t>and the process of embedding graduate attributes need</w:t>
      </w:r>
      <w:r>
        <w:rPr>
          <w:rFonts w:cs="TimesNewRoman"/>
        </w:rPr>
        <w:t>s</w:t>
      </w:r>
      <w:r w:rsidRPr="00482FE5">
        <w:rPr>
          <w:rFonts w:cs="TimesNewRoman"/>
        </w:rPr>
        <w:t xml:space="preserve"> to be monitored using feedback to improve the learning </w:t>
      </w:r>
      <w:r w:rsidRPr="004D4F7C">
        <w:rPr>
          <w:rFonts w:cs="TimesNewRoman"/>
        </w:rPr>
        <w:t>experiences for students.</w:t>
      </w:r>
      <w:r w:rsidRPr="004D4F7C">
        <w:rPr>
          <w:rFonts w:cs="TimesNewRoman"/>
          <w:color w:val="000000"/>
        </w:rPr>
        <w:t xml:space="preserve"> </w:t>
      </w:r>
      <w:r w:rsidR="00090D6C">
        <w:rPr>
          <w:rFonts w:cs="TimesNewRoman"/>
          <w:color w:val="000000"/>
        </w:rPr>
        <w:t>The authors suggest that b</w:t>
      </w:r>
      <w:r w:rsidRPr="004D4F7C">
        <w:rPr>
          <w:rFonts w:cs="TimesNewRoman"/>
        </w:rPr>
        <w:t xml:space="preserve">eing successful at implementing graduate attributes in geography programmes requires strong leadership, academic developers to facilitate conversations, ownership of the process by teachers, incorporation of high-impact educational experiences and signature pedagogies to foster graduate attributes, and </w:t>
      </w:r>
      <w:r w:rsidR="0093017C">
        <w:rPr>
          <w:rFonts w:cs="TimesNewRoman"/>
        </w:rPr>
        <w:t>allowing</w:t>
      </w:r>
      <w:r w:rsidR="001372B1">
        <w:rPr>
          <w:rFonts w:cs="TimesNewRoman"/>
        </w:rPr>
        <w:t xml:space="preserve"> sufficient time </w:t>
      </w:r>
      <w:r w:rsidR="00DA20B6">
        <w:rPr>
          <w:rFonts w:cs="TimesNewRoman"/>
        </w:rPr>
        <w:t>for curriculum renewal to take effect</w:t>
      </w:r>
      <w:r w:rsidRPr="004D4F7C">
        <w:rPr>
          <w:rFonts w:cs="TimesNewRoman"/>
        </w:rPr>
        <w:t>.</w:t>
      </w:r>
    </w:p>
    <w:p w:rsidR="004D53D3" w:rsidRPr="004D4F7C" w:rsidRDefault="004D53D3" w:rsidP="00CC31C3">
      <w:pPr>
        <w:spacing w:after="0" w:line="360" w:lineRule="auto"/>
      </w:pPr>
    </w:p>
    <w:p w:rsidR="00DA20B6" w:rsidRDefault="00DA20B6" w:rsidP="000B7290">
      <w:pPr>
        <w:autoSpaceDE w:val="0"/>
        <w:autoSpaceDN w:val="0"/>
        <w:adjustRightInd w:val="0"/>
        <w:spacing w:after="0" w:line="360" w:lineRule="auto"/>
      </w:pPr>
      <w:r>
        <w:rPr>
          <w:rFonts w:cs="AdvPlantin-r"/>
        </w:rPr>
        <w:t>To conclude, u</w:t>
      </w:r>
      <w:r w:rsidR="00D811EC" w:rsidRPr="004D4F7C">
        <w:rPr>
          <w:rFonts w:cs="AdvPlantin-r"/>
        </w:rPr>
        <w:t xml:space="preserve">niversities are increasingly marketing their ‘successful’ students to industry using graduate attributes as measures of that success (Daniels &amp; </w:t>
      </w:r>
      <w:proofErr w:type="spellStart"/>
      <w:r w:rsidR="00D811EC" w:rsidRPr="004D4F7C">
        <w:rPr>
          <w:rFonts w:cs="AdvPlantin-r"/>
        </w:rPr>
        <w:t>Brooker</w:t>
      </w:r>
      <w:proofErr w:type="spellEnd"/>
      <w:r w:rsidR="00D811EC" w:rsidRPr="004D4F7C">
        <w:rPr>
          <w:rFonts w:cs="AdvPlantin-r"/>
        </w:rPr>
        <w:t xml:space="preserve">, 2014). </w:t>
      </w:r>
      <w:r w:rsidR="00287768" w:rsidRPr="004D4F7C">
        <w:rPr>
          <w:rFonts w:cs="AdvPlantin-r"/>
        </w:rPr>
        <w:t xml:space="preserve">Despite </w:t>
      </w:r>
      <w:r w:rsidR="000B7290" w:rsidRPr="004D4F7C">
        <w:rPr>
          <w:rFonts w:cs="AdvPlantin-r"/>
        </w:rPr>
        <w:t>inconsistencies in the way that graduate</w:t>
      </w:r>
      <w:r w:rsidR="00287768" w:rsidRPr="004D4F7C">
        <w:rPr>
          <w:rFonts w:cs="AdvPlantin-r"/>
        </w:rPr>
        <w:t xml:space="preserve"> attributes are</w:t>
      </w:r>
      <w:r w:rsidR="000B7290" w:rsidRPr="004D4F7C">
        <w:rPr>
          <w:rFonts w:cs="AdvPlantin-r"/>
        </w:rPr>
        <w:t xml:space="preserve"> perceived, taught and assessed, when their limitations are understood and accounted for they have a valuable role to play in enhancing learning and linking this learning to the world of work</w:t>
      </w:r>
      <w:r w:rsidR="00287768" w:rsidRPr="004D4F7C">
        <w:rPr>
          <w:rFonts w:cs="AdvPlantin-r"/>
        </w:rPr>
        <w:t xml:space="preserve"> and to</w:t>
      </w:r>
      <w:r w:rsidR="0093509F" w:rsidRPr="004D4F7C">
        <w:rPr>
          <w:rFonts w:cs="AdvPlantin-r"/>
        </w:rPr>
        <w:t xml:space="preserve"> immersion of our graduates in</w:t>
      </w:r>
      <w:r w:rsidR="00287768" w:rsidRPr="004D4F7C">
        <w:rPr>
          <w:rFonts w:cs="AdvPlantin-r"/>
        </w:rPr>
        <w:t xml:space="preserve"> global communities</w:t>
      </w:r>
      <w:r w:rsidR="00D811EC" w:rsidRPr="004D4F7C">
        <w:rPr>
          <w:rFonts w:cs="AdvPlantin-r"/>
        </w:rPr>
        <w:t xml:space="preserve"> (Barrie</w:t>
      </w:r>
      <w:r w:rsidR="00856182" w:rsidRPr="004D4F7C">
        <w:rPr>
          <w:rFonts w:cs="AdvPlantin-r"/>
        </w:rPr>
        <w:t>, 2006)</w:t>
      </w:r>
      <w:r w:rsidR="000B7290" w:rsidRPr="004D4F7C">
        <w:rPr>
          <w:rFonts w:cs="AdvPlantin-r"/>
        </w:rPr>
        <w:t xml:space="preserve">. </w:t>
      </w:r>
      <w:r w:rsidR="00287768" w:rsidRPr="004D4F7C">
        <w:rPr>
          <w:rFonts w:cs="AdvPlantin-r"/>
        </w:rPr>
        <w:t xml:space="preserve">The research papers in this symposium highlight </w:t>
      </w:r>
      <w:r w:rsidR="00736876">
        <w:rPr>
          <w:rFonts w:cs="AdvPlantin-r"/>
        </w:rPr>
        <w:t>the</w:t>
      </w:r>
      <w:r w:rsidR="004D53D3" w:rsidRPr="004D4F7C">
        <w:t xml:space="preserve"> need to </w:t>
      </w:r>
      <w:r w:rsidR="0058323D" w:rsidRPr="004D4F7C">
        <w:t xml:space="preserve">consider </w:t>
      </w:r>
      <w:r w:rsidR="00D1049B" w:rsidRPr="004D4F7C">
        <w:t>consciously</w:t>
      </w:r>
      <w:r w:rsidR="00D63976" w:rsidRPr="004D4F7C">
        <w:t xml:space="preserve">, holistically and critically </w:t>
      </w:r>
      <w:r w:rsidR="0058323D" w:rsidRPr="004D4F7C">
        <w:t>t</w:t>
      </w:r>
      <w:r w:rsidR="004D53D3" w:rsidRPr="004D4F7C">
        <w:t>h</w:t>
      </w:r>
      <w:r w:rsidR="0058323D" w:rsidRPr="004D4F7C">
        <w:t>e</w:t>
      </w:r>
      <w:r w:rsidR="004D53D3" w:rsidRPr="004D4F7C">
        <w:t xml:space="preserve"> </w:t>
      </w:r>
      <w:r w:rsidR="00D1049B" w:rsidRPr="004D4F7C">
        <w:t xml:space="preserve">educational </w:t>
      </w:r>
      <w:r w:rsidR="004D53D3" w:rsidRPr="004D4F7C">
        <w:t>peda</w:t>
      </w:r>
      <w:r w:rsidR="0058323D" w:rsidRPr="004D4F7C">
        <w:t>gogies and</w:t>
      </w:r>
      <w:r w:rsidR="004D53D3" w:rsidRPr="004D4F7C">
        <w:t xml:space="preserve"> space</w:t>
      </w:r>
      <w:r w:rsidR="0058323D" w:rsidRPr="004D4F7C">
        <w:t>s</w:t>
      </w:r>
      <w:r w:rsidR="004D53D3" w:rsidRPr="004D4F7C">
        <w:t xml:space="preserve"> that graduate at</w:t>
      </w:r>
      <w:r w:rsidR="0058323D" w:rsidRPr="004D4F7C">
        <w:t>tri</w:t>
      </w:r>
      <w:r w:rsidR="004D53D3" w:rsidRPr="004D4F7C">
        <w:t>butes open up</w:t>
      </w:r>
      <w:r w:rsidR="0058323D" w:rsidRPr="004D4F7C">
        <w:t xml:space="preserve"> for us. If we work </w:t>
      </w:r>
      <w:r w:rsidR="0079572C" w:rsidRPr="004D4F7C">
        <w:t xml:space="preserve">positively </w:t>
      </w:r>
      <w:r w:rsidR="0058323D" w:rsidRPr="004D4F7C">
        <w:t>with graduate attributes in our curricula and co-curricular</w:t>
      </w:r>
      <w:r w:rsidR="0079572C" w:rsidRPr="004D4F7C">
        <w:t xml:space="preserve"> spaces we can</w:t>
      </w:r>
      <w:r w:rsidR="0058323D" w:rsidRPr="004D4F7C">
        <w:t xml:space="preserve"> move towards more participatory and self-regulatory teaching, learning and assessment. </w:t>
      </w:r>
      <w:r w:rsidR="003E3721" w:rsidRPr="004D4F7C">
        <w:t xml:space="preserve">Notwithstanding the neoliberal agendas that </w:t>
      </w:r>
      <w:r w:rsidR="00C2274A">
        <w:t>are increasingly apparent internationally</w:t>
      </w:r>
      <w:r w:rsidR="003E3721" w:rsidRPr="008A3C5E">
        <w:t>, u</w:t>
      </w:r>
      <w:r w:rsidR="0058323D" w:rsidRPr="008A3C5E">
        <w:t xml:space="preserve">niting </w:t>
      </w:r>
      <w:r w:rsidR="0079572C" w:rsidRPr="008A3C5E">
        <w:t>disciplinary knowledge and skills</w:t>
      </w:r>
      <w:r w:rsidR="0058323D" w:rsidRPr="008A3C5E">
        <w:t xml:space="preserve"> with generic competenc</w:t>
      </w:r>
      <w:r w:rsidR="00D1049B" w:rsidRPr="008A3C5E">
        <w:t>i</w:t>
      </w:r>
      <w:r w:rsidR="00A931B0" w:rsidRPr="008A3C5E">
        <w:t xml:space="preserve">es that enable </w:t>
      </w:r>
      <w:proofErr w:type="gramStart"/>
      <w:r w:rsidR="00A931B0" w:rsidRPr="008A3C5E">
        <w:t>mindful</w:t>
      </w:r>
      <w:proofErr w:type="gramEnd"/>
      <w:r w:rsidR="000B7290" w:rsidRPr="008A3C5E">
        <w:t xml:space="preserve"> </w:t>
      </w:r>
      <w:r w:rsidR="0058323D" w:rsidRPr="008A3C5E">
        <w:t xml:space="preserve">application of </w:t>
      </w:r>
      <w:r w:rsidR="00D1049B" w:rsidRPr="008A3C5E">
        <w:t>subject-specific</w:t>
      </w:r>
      <w:r w:rsidR="000B7290" w:rsidRPr="008A3C5E">
        <w:t xml:space="preserve"> expertise in</w:t>
      </w:r>
      <w:r w:rsidR="00A931B0" w:rsidRPr="008A3C5E">
        <w:t xml:space="preserve"> </w:t>
      </w:r>
      <w:r w:rsidR="0058323D" w:rsidRPr="008A3C5E">
        <w:t xml:space="preserve">academic and societal contexts </w:t>
      </w:r>
      <w:r w:rsidR="000B7290" w:rsidRPr="008A3C5E">
        <w:t>offer</w:t>
      </w:r>
      <w:r w:rsidR="006A1DE0">
        <w:t>s</w:t>
      </w:r>
      <w:r w:rsidR="0058323D" w:rsidRPr="008A3C5E">
        <w:t xml:space="preserve"> a bright future for </w:t>
      </w:r>
      <w:r w:rsidR="00736876">
        <w:t xml:space="preserve">geography in </w:t>
      </w:r>
      <w:r w:rsidR="0058323D" w:rsidRPr="008A3C5E">
        <w:t>higher education.</w:t>
      </w:r>
    </w:p>
    <w:p w:rsidR="00DA20B6" w:rsidRDefault="00DA20B6" w:rsidP="000B7290">
      <w:pPr>
        <w:autoSpaceDE w:val="0"/>
        <w:autoSpaceDN w:val="0"/>
        <w:adjustRightInd w:val="0"/>
        <w:spacing w:after="0" w:line="360" w:lineRule="auto"/>
      </w:pPr>
    </w:p>
    <w:p w:rsidR="00DA20B6" w:rsidRDefault="00DA20B6" w:rsidP="00DA20B6">
      <w:pPr>
        <w:spacing w:after="0" w:line="360" w:lineRule="auto"/>
        <w:jc w:val="right"/>
        <w:rPr>
          <w:sz w:val="23"/>
          <w:szCs w:val="23"/>
        </w:rPr>
      </w:pPr>
      <w:r w:rsidRPr="00DA20B6">
        <w:rPr>
          <w:sz w:val="23"/>
          <w:szCs w:val="23"/>
        </w:rPr>
        <w:t>Jennifer Hill, Helen Walkington and Derek France</w:t>
      </w:r>
    </w:p>
    <w:p w:rsidR="00DA20B6" w:rsidRPr="00DA20B6" w:rsidRDefault="00DA20B6" w:rsidP="00DA20B6">
      <w:pPr>
        <w:spacing w:after="0" w:line="360" w:lineRule="auto"/>
        <w:jc w:val="right"/>
        <w:rPr>
          <w:sz w:val="23"/>
          <w:szCs w:val="23"/>
        </w:rPr>
      </w:pPr>
      <w:r>
        <w:rPr>
          <w:sz w:val="23"/>
          <w:szCs w:val="23"/>
        </w:rPr>
        <w:t>Email: Jennifer.Hill@uwe.ac.uk</w:t>
      </w:r>
    </w:p>
    <w:p w:rsidR="00CC31C3" w:rsidRPr="008A3C5E" w:rsidRDefault="00CC31C3" w:rsidP="000B7290">
      <w:pPr>
        <w:autoSpaceDE w:val="0"/>
        <w:autoSpaceDN w:val="0"/>
        <w:adjustRightInd w:val="0"/>
        <w:spacing w:after="0" w:line="360" w:lineRule="auto"/>
        <w:rPr>
          <w:rFonts w:cs="AdvPlantin-r"/>
        </w:rPr>
      </w:pPr>
      <w:r w:rsidRPr="008A3C5E">
        <w:rPr>
          <w:b/>
        </w:rPr>
        <w:br w:type="page"/>
      </w:r>
    </w:p>
    <w:p w:rsidR="00CC31C3" w:rsidRPr="00661C57" w:rsidRDefault="00A778C1" w:rsidP="00D51A15">
      <w:pPr>
        <w:spacing w:after="0" w:line="360" w:lineRule="auto"/>
        <w:rPr>
          <w:b/>
        </w:rPr>
      </w:pPr>
      <w:r w:rsidRPr="00661C57">
        <w:rPr>
          <w:b/>
        </w:rPr>
        <w:lastRenderedPageBreak/>
        <w:t>References</w:t>
      </w:r>
    </w:p>
    <w:p w:rsidR="00F56AA2" w:rsidRPr="004B1681" w:rsidRDefault="00F56AA2" w:rsidP="00F56AA2">
      <w:pPr>
        <w:spacing w:after="0" w:line="360" w:lineRule="auto"/>
        <w:rPr>
          <w:rFonts w:ascii="Calibri" w:hAnsi="Calibri" w:cs="Arial"/>
        </w:rPr>
      </w:pPr>
      <w:proofErr w:type="spellStart"/>
      <w:r w:rsidRPr="004B1681">
        <w:rPr>
          <w:rFonts w:ascii="Calibri" w:hAnsi="Calibri" w:cs="Arial"/>
        </w:rPr>
        <w:t>Arrowsmith</w:t>
      </w:r>
      <w:proofErr w:type="spellEnd"/>
      <w:r w:rsidRPr="004B1681">
        <w:rPr>
          <w:rFonts w:ascii="Calibri" w:hAnsi="Calibri" w:cs="Arial"/>
        </w:rPr>
        <w:t xml:space="preserve">, C., </w:t>
      </w:r>
      <w:proofErr w:type="spellStart"/>
      <w:r w:rsidRPr="004B1681">
        <w:rPr>
          <w:rFonts w:ascii="Calibri" w:hAnsi="Calibri" w:cs="Arial"/>
        </w:rPr>
        <w:t>Bagoly-Simó</w:t>
      </w:r>
      <w:proofErr w:type="spellEnd"/>
      <w:r w:rsidRPr="004B1681">
        <w:rPr>
          <w:rFonts w:ascii="Calibri" w:hAnsi="Calibri" w:cs="Arial"/>
        </w:rPr>
        <w:t xml:space="preserve">, P., </w:t>
      </w:r>
      <w:proofErr w:type="spellStart"/>
      <w:r w:rsidRPr="004B1681">
        <w:rPr>
          <w:rFonts w:ascii="Calibri" w:hAnsi="Calibri" w:cs="Arial"/>
        </w:rPr>
        <w:t>Finchum</w:t>
      </w:r>
      <w:proofErr w:type="spellEnd"/>
      <w:r w:rsidRPr="004B1681">
        <w:rPr>
          <w:rFonts w:ascii="Calibri" w:hAnsi="Calibri" w:cs="Arial"/>
        </w:rPr>
        <w:t xml:space="preserve"> A., </w:t>
      </w:r>
      <w:proofErr w:type="spellStart"/>
      <w:r w:rsidRPr="004B1681">
        <w:rPr>
          <w:rFonts w:ascii="Calibri" w:hAnsi="Calibri" w:cs="Arial"/>
        </w:rPr>
        <w:t>Oda</w:t>
      </w:r>
      <w:proofErr w:type="spellEnd"/>
      <w:r w:rsidRPr="004B1681">
        <w:rPr>
          <w:rFonts w:ascii="Calibri" w:hAnsi="Calibri" w:cs="Arial"/>
        </w:rPr>
        <w:t xml:space="preserve">, K. &amp; </w:t>
      </w:r>
      <w:proofErr w:type="spellStart"/>
      <w:r w:rsidRPr="004B1681">
        <w:rPr>
          <w:rFonts w:ascii="Calibri" w:hAnsi="Calibri" w:cs="Arial"/>
        </w:rPr>
        <w:t>Pawson</w:t>
      </w:r>
      <w:proofErr w:type="spellEnd"/>
      <w:r w:rsidRPr="004B1681">
        <w:rPr>
          <w:rFonts w:ascii="Calibri" w:hAnsi="Calibri" w:cs="Arial"/>
        </w:rPr>
        <w:t xml:space="preserve">, E. (2011) Student employability and its implications for geography curricula and learning practices. </w:t>
      </w:r>
      <w:r w:rsidRPr="004B1681">
        <w:rPr>
          <w:rFonts w:ascii="Calibri" w:hAnsi="Calibri" w:cs="Arial"/>
          <w:i/>
        </w:rPr>
        <w:t>Journal of Geography in Higher Education</w:t>
      </w:r>
      <w:r w:rsidRPr="004B1681">
        <w:rPr>
          <w:rFonts w:ascii="Calibri" w:hAnsi="Calibri" w:cs="Arial"/>
        </w:rPr>
        <w:t>, 35, 365-377.</w:t>
      </w:r>
    </w:p>
    <w:p w:rsidR="00F56AA2" w:rsidRDefault="00F56AA2" w:rsidP="00D51A15">
      <w:pPr>
        <w:autoSpaceDE w:val="0"/>
        <w:autoSpaceDN w:val="0"/>
        <w:adjustRightInd w:val="0"/>
        <w:spacing w:after="0" w:line="360" w:lineRule="auto"/>
      </w:pPr>
    </w:p>
    <w:p w:rsidR="008C1799" w:rsidRDefault="00377DF7" w:rsidP="00D51A15">
      <w:pPr>
        <w:autoSpaceDE w:val="0"/>
        <w:autoSpaceDN w:val="0"/>
        <w:adjustRightInd w:val="0"/>
        <w:spacing w:after="0" w:line="360" w:lineRule="auto"/>
        <w:rPr>
          <w:rStyle w:val="hlfld-contribauthor"/>
        </w:rPr>
      </w:pPr>
      <w:proofErr w:type="gramStart"/>
      <w:r>
        <w:t>Barnett, R. (2004)</w:t>
      </w:r>
      <w:r w:rsidR="008C1799">
        <w:t xml:space="preserve"> Learning for an unknown future.</w:t>
      </w:r>
      <w:proofErr w:type="gramEnd"/>
      <w:r w:rsidR="008C1799">
        <w:t xml:space="preserve"> </w:t>
      </w:r>
      <w:r w:rsidR="008C1799" w:rsidRPr="00377DF7">
        <w:rPr>
          <w:i/>
        </w:rPr>
        <w:t>Higher Education Research and Development</w:t>
      </w:r>
      <w:r w:rsidR="008C1799">
        <w:t>, 23</w:t>
      </w:r>
      <w:r>
        <w:t>, 247-</w:t>
      </w:r>
      <w:r w:rsidR="008C1799">
        <w:t>260.</w:t>
      </w:r>
    </w:p>
    <w:p w:rsidR="00D51A15" w:rsidRDefault="00D51A15" w:rsidP="00D51A15">
      <w:pPr>
        <w:autoSpaceDE w:val="0"/>
        <w:autoSpaceDN w:val="0"/>
        <w:adjustRightInd w:val="0"/>
        <w:spacing w:after="0" w:line="360" w:lineRule="auto"/>
        <w:rPr>
          <w:rFonts w:ascii="Calibri" w:hAnsi="Calibri" w:cs="AdvPlantin-r"/>
        </w:rPr>
      </w:pPr>
    </w:p>
    <w:p w:rsidR="00D51A15" w:rsidRDefault="00D51A15" w:rsidP="00D51A15">
      <w:pPr>
        <w:autoSpaceDE w:val="0"/>
        <w:autoSpaceDN w:val="0"/>
        <w:adjustRightInd w:val="0"/>
        <w:spacing w:after="0" w:line="360" w:lineRule="auto"/>
        <w:rPr>
          <w:rFonts w:ascii="Calibri" w:hAnsi="Calibri" w:cs="AdvPlantin-r"/>
        </w:rPr>
      </w:pPr>
      <w:r w:rsidRPr="004B1681">
        <w:rPr>
          <w:rFonts w:ascii="Calibri" w:hAnsi="Calibri" w:cs="AdvPlantin-r"/>
        </w:rPr>
        <w:t xml:space="preserve">Barrie, S.C. (2004) A research-based approach to generic graduate attributes policy. </w:t>
      </w:r>
      <w:r w:rsidRPr="004B1681">
        <w:rPr>
          <w:rFonts w:ascii="Calibri" w:hAnsi="Calibri" w:cs="AdvPlantin-r"/>
          <w:i/>
        </w:rPr>
        <w:t>Higher Education Research &amp; Development</w:t>
      </w:r>
      <w:r w:rsidRPr="004B1681">
        <w:rPr>
          <w:rFonts w:ascii="Calibri" w:hAnsi="Calibri" w:cs="AdvPlantin-r"/>
        </w:rPr>
        <w:t xml:space="preserve">, 23, 261-275. </w:t>
      </w:r>
    </w:p>
    <w:p w:rsidR="006D2EE6" w:rsidRDefault="006D2EE6" w:rsidP="00D51A15">
      <w:pPr>
        <w:autoSpaceDE w:val="0"/>
        <w:autoSpaceDN w:val="0"/>
        <w:adjustRightInd w:val="0"/>
        <w:spacing w:after="0" w:line="360" w:lineRule="auto"/>
        <w:rPr>
          <w:rFonts w:ascii="Calibri" w:hAnsi="Calibri" w:cs="AdvPlantin-r"/>
        </w:rPr>
      </w:pPr>
    </w:p>
    <w:p w:rsidR="006D2EE6" w:rsidRPr="004B1681" w:rsidRDefault="006D2EE6" w:rsidP="00D51A15">
      <w:pPr>
        <w:autoSpaceDE w:val="0"/>
        <w:autoSpaceDN w:val="0"/>
        <w:adjustRightInd w:val="0"/>
        <w:spacing w:after="0" w:line="360" w:lineRule="auto"/>
        <w:rPr>
          <w:rFonts w:ascii="Calibri" w:hAnsi="Calibri" w:cs="AdvPlantin-r"/>
        </w:rPr>
      </w:pPr>
      <w:r>
        <w:rPr>
          <w:rFonts w:ascii="Calibri" w:hAnsi="Calibri" w:cs="AdvPlantin-r"/>
        </w:rPr>
        <w:t xml:space="preserve">Barrie, S. (2005) Rethinking generic graduate attributes. </w:t>
      </w:r>
      <w:r w:rsidRPr="006D2EE6">
        <w:rPr>
          <w:rFonts w:ascii="Calibri" w:hAnsi="Calibri" w:cs="AdvPlantin-r"/>
          <w:i/>
        </w:rPr>
        <w:t>Higher Education Research &amp; Development Society of Australia News</w:t>
      </w:r>
      <w:r>
        <w:rPr>
          <w:rFonts w:ascii="Calibri" w:hAnsi="Calibri" w:cs="AdvPlantin-r"/>
        </w:rPr>
        <w:t>, 27, 1 and 3-6.</w:t>
      </w:r>
    </w:p>
    <w:p w:rsidR="00AC1996" w:rsidRDefault="00AC1996" w:rsidP="00D51A15">
      <w:pPr>
        <w:autoSpaceDE w:val="0"/>
        <w:autoSpaceDN w:val="0"/>
        <w:adjustRightInd w:val="0"/>
        <w:spacing w:after="0" w:line="360" w:lineRule="auto"/>
      </w:pPr>
    </w:p>
    <w:p w:rsidR="00D51A15" w:rsidRDefault="00D51A15" w:rsidP="00D51A15">
      <w:pPr>
        <w:autoSpaceDE w:val="0"/>
        <w:autoSpaceDN w:val="0"/>
        <w:adjustRightInd w:val="0"/>
        <w:spacing w:after="0" w:line="360" w:lineRule="auto"/>
      </w:pPr>
      <w:r>
        <w:t>Barrie, S.C. (2006) Understanding what we mean by generic attributes</w:t>
      </w:r>
      <w:r w:rsidRPr="00D51A15">
        <w:t xml:space="preserve"> </w:t>
      </w:r>
      <w:r>
        <w:t xml:space="preserve">of graduates. </w:t>
      </w:r>
      <w:r w:rsidRPr="00D51A15">
        <w:rPr>
          <w:i/>
        </w:rPr>
        <w:t>Higher Education</w:t>
      </w:r>
      <w:r>
        <w:t>, 51, 215-241.</w:t>
      </w:r>
    </w:p>
    <w:p w:rsidR="0041751C" w:rsidRDefault="0041751C" w:rsidP="0041751C">
      <w:pPr>
        <w:autoSpaceDE w:val="0"/>
        <w:autoSpaceDN w:val="0"/>
        <w:adjustRightInd w:val="0"/>
        <w:spacing w:after="0" w:line="360" w:lineRule="auto"/>
        <w:rPr>
          <w:rFonts w:ascii="Calibri" w:hAnsi="Calibri" w:cs="AdvPlantin-r"/>
        </w:rPr>
      </w:pPr>
    </w:p>
    <w:p w:rsidR="0041751C" w:rsidRPr="004B1681" w:rsidRDefault="0041751C" w:rsidP="0041751C">
      <w:pPr>
        <w:autoSpaceDE w:val="0"/>
        <w:autoSpaceDN w:val="0"/>
        <w:adjustRightInd w:val="0"/>
        <w:spacing w:after="0" w:line="360" w:lineRule="auto"/>
        <w:rPr>
          <w:rFonts w:ascii="Calibri" w:hAnsi="Calibri" w:cs="AdvPlantin-r"/>
        </w:rPr>
      </w:pPr>
      <w:r w:rsidRPr="004B1681">
        <w:rPr>
          <w:rFonts w:ascii="Calibri" w:hAnsi="Calibri" w:cs="AdvPlantin-r"/>
        </w:rPr>
        <w:t xml:space="preserve">Barrie, S.C. (2007) </w:t>
      </w:r>
      <w:proofErr w:type="gramStart"/>
      <w:r w:rsidRPr="004B1681">
        <w:rPr>
          <w:rFonts w:ascii="Calibri" w:hAnsi="Calibri" w:cs="AdvPlantin-r"/>
        </w:rPr>
        <w:t>A</w:t>
      </w:r>
      <w:proofErr w:type="gramEnd"/>
      <w:r w:rsidRPr="004B1681">
        <w:rPr>
          <w:rFonts w:ascii="Calibri" w:hAnsi="Calibri" w:cs="AdvPlantin-r"/>
        </w:rPr>
        <w:t xml:space="preserve"> conceptual framework for the teaching and learning of generic graduate attributes. </w:t>
      </w:r>
      <w:r w:rsidRPr="004B1681">
        <w:rPr>
          <w:rFonts w:ascii="Calibri" w:hAnsi="Calibri" w:cs="AdvPlantin-r"/>
          <w:i/>
        </w:rPr>
        <w:t>Studies in Higher Education</w:t>
      </w:r>
      <w:r w:rsidRPr="004B1681">
        <w:rPr>
          <w:rFonts w:ascii="Calibri" w:hAnsi="Calibri" w:cs="AdvPlantin-r"/>
        </w:rPr>
        <w:t>, 32, 439-458.</w:t>
      </w:r>
    </w:p>
    <w:p w:rsidR="00D51A15" w:rsidRDefault="00D51A15" w:rsidP="00D51A15">
      <w:pPr>
        <w:autoSpaceDE w:val="0"/>
        <w:autoSpaceDN w:val="0"/>
        <w:adjustRightInd w:val="0"/>
        <w:spacing w:after="0" w:line="360" w:lineRule="auto"/>
      </w:pPr>
    </w:p>
    <w:p w:rsidR="00F8217A" w:rsidRDefault="00F8217A" w:rsidP="00D51A15">
      <w:pPr>
        <w:autoSpaceDE w:val="0"/>
        <w:autoSpaceDN w:val="0"/>
        <w:adjustRightInd w:val="0"/>
        <w:spacing w:after="0" w:line="360" w:lineRule="auto"/>
      </w:pPr>
      <w:r>
        <w:t xml:space="preserve">Bath, D., Smith, C., Stein, S. &amp; Swann, R. (2004) </w:t>
      </w:r>
      <w:proofErr w:type="gramStart"/>
      <w:r>
        <w:t>Beyond</w:t>
      </w:r>
      <w:proofErr w:type="gramEnd"/>
      <w:r>
        <w:t xml:space="preserve"> mapping and embedding graduate attributes: bringing together quality assurance and action learning to create a validated and living curriculum. </w:t>
      </w:r>
      <w:r w:rsidRPr="00F8217A">
        <w:rPr>
          <w:i/>
        </w:rPr>
        <w:t>Higher Education Research and Development</w:t>
      </w:r>
      <w:r>
        <w:t>, 23, 313-328.</w:t>
      </w:r>
    </w:p>
    <w:p w:rsidR="00337639" w:rsidRDefault="00337639" w:rsidP="00337639">
      <w:pPr>
        <w:spacing w:after="0" w:line="360" w:lineRule="auto"/>
        <w:rPr>
          <w:rFonts w:ascii="Calibri" w:hAnsi="Calibri"/>
        </w:rPr>
      </w:pPr>
    </w:p>
    <w:p w:rsidR="00337639" w:rsidRPr="004B1681" w:rsidRDefault="00337639" w:rsidP="00337639">
      <w:pPr>
        <w:spacing w:after="0" w:line="360" w:lineRule="auto"/>
        <w:rPr>
          <w:rFonts w:ascii="Calibri" w:hAnsi="Calibri"/>
        </w:rPr>
      </w:pPr>
      <w:r w:rsidRPr="004B1681">
        <w:rPr>
          <w:rFonts w:ascii="Calibri" w:hAnsi="Calibri"/>
        </w:rPr>
        <w:t xml:space="preserve">Baxter </w:t>
      </w:r>
      <w:proofErr w:type="spellStart"/>
      <w:r w:rsidRPr="004B1681">
        <w:rPr>
          <w:rFonts w:ascii="Calibri" w:hAnsi="Calibri"/>
        </w:rPr>
        <w:t>Magolda</w:t>
      </w:r>
      <w:proofErr w:type="spellEnd"/>
      <w:r w:rsidRPr="004B1681">
        <w:rPr>
          <w:rFonts w:ascii="Calibri" w:hAnsi="Calibri"/>
        </w:rPr>
        <w:t xml:space="preserve">, M.B. (2004) Preface. </w:t>
      </w:r>
      <w:proofErr w:type="gramStart"/>
      <w:r w:rsidRPr="004B1681">
        <w:rPr>
          <w:rFonts w:ascii="Calibri" w:hAnsi="Calibri"/>
        </w:rPr>
        <w:t xml:space="preserve">In M.B. Baxter </w:t>
      </w:r>
      <w:proofErr w:type="spellStart"/>
      <w:r w:rsidRPr="004B1681">
        <w:rPr>
          <w:rFonts w:ascii="Calibri" w:hAnsi="Calibri"/>
        </w:rPr>
        <w:t>Magolda</w:t>
      </w:r>
      <w:proofErr w:type="spellEnd"/>
      <w:r w:rsidRPr="004B1681">
        <w:rPr>
          <w:rFonts w:ascii="Calibri" w:hAnsi="Calibri"/>
        </w:rPr>
        <w:t xml:space="preserve"> &amp; P.M. King.</w:t>
      </w:r>
      <w:proofErr w:type="gramEnd"/>
      <w:r w:rsidRPr="004B1681">
        <w:rPr>
          <w:rFonts w:ascii="Calibri" w:hAnsi="Calibri"/>
        </w:rPr>
        <w:t xml:space="preserve"> (</w:t>
      </w:r>
      <w:proofErr w:type="gramStart"/>
      <w:r w:rsidRPr="004B1681">
        <w:rPr>
          <w:rFonts w:ascii="Calibri" w:hAnsi="Calibri"/>
        </w:rPr>
        <w:t>eds</w:t>
      </w:r>
      <w:proofErr w:type="gramEnd"/>
      <w:r w:rsidRPr="004B1681">
        <w:rPr>
          <w:rFonts w:ascii="Calibri" w:hAnsi="Calibri"/>
        </w:rPr>
        <w:t xml:space="preserve">.) </w:t>
      </w:r>
      <w:proofErr w:type="gramStart"/>
      <w:r w:rsidRPr="004B1681">
        <w:rPr>
          <w:rFonts w:ascii="Calibri" w:hAnsi="Calibri"/>
          <w:i/>
        </w:rPr>
        <w:t>Learning Partnerships: Theory and models of practice to educate for self-authorship.</w:t>
      </w:r>
      <w:proofErr w:type="gramEnd"/>
      <w:r w:rsidRPr="004B1681">
        <w:rPr>
          <w:rFonts w:ascii="Calibri" w:hAnsi="Calibri"/>
        </w:rPr>
        <w:t xml:space="preserve"> Sterling, VA: Stylus Publishing, pp. xvii-xxvi.</w:t>
      </w:r>
    </w:p>
    <w:p w:rsidR="00F8217A" w:rsidRDefault="00F8217A" w:rsidP="00D51A15">
      <w:pPr>
        <w:autoSpaceDE w:val="0"/>
        <w:autoSpaceDN w:val="0"/>
        <w:adjustRightInd w:val="0"/>
        <w:spacing w:after="0" w:line="360" w:lineRule="auto"/>
      </w:pPr>
    </w:p>
    <w:p w:rsidR="008C1799" w:rsidRDefault="00AC1996" w:rsidP="00D51A15">
      <w:pPr>
        <w:autoSpaceDE w:val="0"/>
        <w:autoSpaceDN w:val="0"/>
        <w:adjustRightInd w:val="0"/>
        <w:spacing w:after="0" w:line="360" w:lineRule="auto"/>
        <w:rPr>
          <w:rStyle w:val="hlfld-contribauthor"/>
        </w:rPr>
      </w:pPr>
      <w:proofErr w:type="gramStart"/>
      <w:r>
        <w:t>Bradshaw, D. (1992) Classifications and models of transferable skills.</w:t>
      </w:r>
      <w:proofErr w:type="gramEnd"/>
      <w:r>
        <w:t xml:space="preserve"> In H. </w:t>
      </w:r>
      <w:proofErr w:type="spellStart"/>
      <w:r>
        <w:t>Eggins</w:t>
      </w:r>
      <w:proofErr w:type="spellEnd"/>
      <w:r>
        <w:t xml:space="preserve">, (ed.) </w:t>
      </w:r>
      <w:r w:rsidRPr="005B0CF1">
        <w:rPr>
          <w:i/>
        </w:rPr>
        <w:t>Arts graduates, their skills and their employment: Persp</w:t>
      </w:r>
      <w:r w:rsidR="005B0CF1" w:rsidRPr="005B0CF1">
        <w:rPr>
          <w:i/>
        </w:rPr>
        <w:t>ectives for change</w:t>
      </w:r>
      <w:r w:rsidR="005B0CF1">
        <w:t xml:space="preserve">. London: </w:t>
      </w:r>
      <w:proofErr w:type="spellStart"/>
      <w:r w:rsidR="005B0CF1">
        <w:t>F</w:t>
      </w:r>
      <w:r>
        <w:t>a</w:t>
      </w:r>
      <w:r w:rsidR="005B0CF1">
        <w:t>lmer</w:t>
      </w:r>
      <w:proofErr w:type="spellEnd"/>
      <w:r>
        <w:t xml:space="preserve"> Press, pp. 39-115.</w:t>
      </w:r>
    </w:p>
    <w:p w:rsidR="00AC1996" w:rsidRDefault="00AC1996" w:rsidP="00D51A15">
      <w:pPr>
        <w:autoSpaceDE w:val="0"/>
        <w:autoSpaceDN w:val="0"/>
        <w:adjustRightInd w:val="0"/>
        <w:spacing w:after="0" w:line="360" w:lineRule="auto"/>
        <w:rPr>
          <w:rStyle w:val="hlfld-contribauthor"/>
        </w:rPr>
      </w:pPr>
    </w:p>
    <w:p w:rsidR="00D51A15" w:rsidRDefault="00E9625B" w:rsidP="00D51A15">
      <w:pPr>
        <w:autoSpaceDE w:val="0"/>
        <w:autoSpaceDN w:val="0"/>
        <w:adjustRightInd w:val="0"/>
        <w:spacing w:after="0" w:line="360" w:lineRule="auto"/>
        <w:rPr>
          <w:rStyle w:val="hlfld-contribauthor"/>
        </w:rPr>
      </w:pPr>
      <w:proofErr w:type="spellStart"/>
      <w:proofErr w:type="gramStart"/>
      <w:r>
        <w:rPr>
          <w:rStyle w:val="hlfld-contribauthor"/>
        </w:rPr>
        <w:t>Chapple</w:t>
      </w:r>
      <w:proofErr w:type="spellEnd"/>
      <w:r>
        <w:rPr>
          <w:rStyle w:val="hlfld-contribauthor"/>
        </w:rPr>
        <w:t xml:space="preserve">, M. &amp; </w:t>
      </w:r>
      <w:proofErr w:type="spellStart"/>
      <w:r>
        <w:rPr>
          <w:rStyle w:val="hlfld-contribauthor"/>
        </w:rPr>
        <w:t>Tolley</w:t>
      </w:r>
      <w:proofErr w:type="spellEnd"/>
      <w:r>
        <w:rPr>
          <w:rStyle w:val="hlfld-contribauthor"/>
        </w:rPr>
        <w:t>, H. (2000) Embedding key skills in a traditional university.</w:t>
      </w:r>
      <w:proofErr w:type="gramEnd"/>
      <w:r>
        <w:rPr>
          <w:rStyle w:val="hlfld-contribauthor"/>
        </w:rPr>
        <w:t xml:space="preserve"> In S. Fallows and C. Steven (Eds.) </w:t>
      </w:r>
      <w:r w:rsidRPr="00E9625B">
        <w:rPr>
          <w:rStyle w:val="hlfld-contribauthor"/>
          <w:i/>
        </w:rPr>
        <w:t>Integrating key skills in Higher Education</w:t>
      </w:r>
      <w:r>
        <w:rPr>
          <w:rStyle w:val="hlfld-contribauthor"/>
        </w:rPr>
        <w:t xml:space="preserve">. London: </w:t>
      </w:r>
      <w:proofErr w:type="spellStart"/>
      <w:r>
        <w:rPr>
          <w:rStyle w:val="hlfld-contribauthor"/>
        </w:rPr>
        <w:t>Kogan</w:t>
      </w:r>
      <w:proofErr w:type="spellEnd"/>
      <w:r>
        <w:rPr>
          <w:rStyle w:val="hlfld-contribauthor"/>
        </w:rPr>
        <w:t xml:space="preserve"> Page, pp. 67-76</w:t>
      </w:r>
    </w:p>
    <w:p w:rsidR="00F56AA2" w:rsidRDefault="00F56AA2" w:rsidP="00F56AA2">
      <w:pPr>
        <w:spacing w:after="0" w:line="360" w:lineRule="auto"/>
        <w:rPr>
          <w:rFonts w:ascii="Calibri" w:hAnsi="Calibri" w:cs="Arial"/>
        </w:rPr>
      </w:pPr>
    </w:p>
    <w:p w:rsidR="00AF4E72" w:rsidRDefault="00AF4E72" w:rsidP="00F56AA2">
      <w:pPr>
        <w:spacing w:after="0" w:line="360" w:lineRule="auto"/>
        <w:rPr>
          <w:rFonts w:ascii="Calibri" w:hAnsi="Calibri" w:cs="Arial"/>
        </w:rPr>
      </w:pPr>
      <w:proofErr w:type="spellStart"/>
      <w:r>
        <w:rPr>
          <w:rFonts w:ascii="Calibri" w:hAnsi="Calibri" w:cs="Arial"/>
        </w:rPr>
        <w:t>Cribb</w:t>
      </w:r>
      <w:proofErr w:type="spellEnd"/>
      <w:r w:rsidR="00EC0C0E">
        <w:rPr>
          <w:rFonts w:ascii="Calibri" w:hAnsi="Calibri" w:cs="Arial"/>
        </w:rPr>
        <w:t>, A.</w:t>
      </w:r>
      <w:r>
        <w:rPr>
          <w:rFonts w:ascii="Calibri" w:hAnsi="Calibri" w:cs="Arial"/>
        </w:rPr>
        <w:t xml:space="preserve"> &amp; </w:t>
      </w:r>
      <w:proofErr w:type="spellStart"/>
      <w:r>
        <w:rPr>
          <w:rFonts w:ascii="Calibri" w:hAnsi="Calibri" w:cs="Arial"/>
        </w:rPr>
        <w:t>Gewirtz</w:t>
      </w:r>
      <w:proofErr w:type="spellEnd"/>
      <w:r>
        <w:rPr>
          <w:rFonts w:ascii="Calibri" w:hAnsi="Calibri" w:cs="Arial"/>
        </w:rPr>
        <w:t>,</w:t>
      </w:r>
      <w:r w:rsidR="00EC0C0E">
        <w:rPr>
          <w:rFonts w:ascii="Calibri" w:hAnsi="Calibri" w:cs="Arial"/>
        </w:rPr>
        <w:t xml:space="preserve"> S.</w:t>
      </w:r>
      <w:r>
        <w:rPr>
          <w:rFonts w:ascii="Calibri" w:hAnsi="Calibri" w:cs="Arial"/>
        </w:rPr>
        <w:t xml:space="preserve"> </w:t>
      </w:r>
      <w:r w:rsidR="00EC0C0E">
        <w:rPr>
          <w:rFonts w:ascii="Calibri" w:hAnsi="Calibri" w:cs="Arial"/>
        </w:rPr>
        <w:t>(</w:t>
      </w:r>
      <w:r>
        <w:rPr>
          <w:rFonts w:ascii="Calibri" w:hAnsi="Calibri" w:cs="Arial"/>
        </w:rPr>
        <w:t>2013</w:t>
      </w:r>
      <w:r w:rsidR="00EC0C0E">
        <w:rPr>
          <w:rFonts w:ascii="Calibri" w:hAnsi="Calibri" w:cs="Arial"/>
        </w:rPr>
        <w:t xml:space="preserve">) </w:t>
      </w:r>
      <w:proofErr w:type="gramStart"/>
      <w:r w:rsidR="00EC0C0E">
        <w:rPr>
          <w:rFonts w:ascii="Calibri" w:hAnsi="Calibri" w:cs="Arial"/>
        </w:rPr>
        <w:t>The</w:t>
      </w:r>
      <w:proofErr w:type="gramEnd"/>
      <w:r w:rsidR="00EC0C0E">
        <w:rPr>
          <w:rFonts w:ascii="Calibri" w:hAnsi="Calibri" w:cs="Arial"/>
        </w:rPr>
        <w:t xml:space="preserve"> hollowed-out university? </w:t>
      </w:r>
      <w:proofErr w:type="gramStart"/>
      <w:r w:rsidR="00EC0C0E">
        <w:rPr>
          <w:rFonts w:ascii="Calibri" w:hAnsi="Calibri" w:cs="Arial"/>
        </w:rPr>
        <w:t>A critical analysis of changing institutional and academic norms in UK higher education.</w:t>
      </w:r>
      <w:proofErr w:type="gramEnd"/>
      <w:r w:rsidR="00EC0C0E">
        <w:rPr>
          <w:rFonts w:ascii="Calibri" w:hAnsi="Calibri" w:cs="Arial"/>
        </w:rPr>
        <w:t xml:space="preserve"> </w:t>
      </w:r>
      <w:r w:rsidR="00EC0C0E" w:rsidRPr="00EC0C0E">
        <w:rPr>
          <w:rFonts w:ascii="Calibri" w:hAnsi="Calibri" w:cs="Arial"/>
          <w:i/>
        </w:rPr>
        <w:t>Discourse: Studies in the Cultural Politics of Education</w:t>
      </w:r>
      <w:r w:rsidR="00EC0C0E">
        <w:rPr>
          <w:rFonts w:ascii="Calibri" w:hAnsi="Calibri" w:cs="Arial"/>
        </w:rPr>
        <w:t>, 34, 338-350.</w:t>
      </w:r>
    </w:p>
    <w:p w:rsidR="006E3FAE" w:rsidRDefault="006E3FAE" w:rsidP="00F56AA2">
      <w:pPr>
        <w:spacing w:after="0" w:line="360" w:lineRule="auto"/>
      </w:pPr>
    </w:p>
    <w:p w:rsidR="00AF4E72" w:rsidRDefault="006E3FAE" w:rsidP="00F56AA2">
      <w:pPr>
        <w:spacing w:after="0" w:line="360" w:lineRule="auto"/>
      </w:pPr>
      <w:r>
        <w:t xml:space="preserve">Daniels, J. &amp; </w:t>
      </w:r>
      <w:proofErr w:type="spellStart"/>
      <w:r>
        <w:t>Brooker</w:t>
      </w:r>
      <w:proofErr w:type="spellEnd"/>
      <w:r>
        <w:t xml:space="preserve">, J. (2014) Student identity development in higher education: implications for graduate attributes and work-readiness. </w:t>
      </w:r>
      <w:r w:rsidRPr="006E3FAE">
        <w:rPr>
          <w:i/>
        </w:rPr>
        <w:t>Educational Research</w:t>
      </w:r>
      <w:r>
        <w:t>, 56, 65-76.</w:t>
      </w:r>
    </w:p>
    <w:p w:rsidR="006D2EE6" w:rsidRDefault="006D2EE6" w:rsidP="00F56AA2">
      <w:pPr>
        <w:spacing w:after="0" w:line="360" w:lineRule="auto"/>
      </w:pPr>
    </w:p>
    <w:p w:rsidR="006D2EE6" w:rsidRDefault="006D2EE6" w:rsidP="00F56AA2">
      <w:pPr>
        <w:spacing w:after="0" w:line="360" w:lineRule="auto"/>
        <w:rPr>
          <w:rFonts w:ascii="Calibri" w:hAnsi="Calibri" w:cs="Arial"/>
        </w:rPr>
      </w:pPr>
      <w:r>
        <w:t xml:space="preserve">Drummond, I., Nixon, I. &amp; Wiltshire, </w:t>
      </w:r>
      <w:r w:rsidR="0033721F">
        <w:t xml:space="preserve">J. (1998) Personal transferable skills in higher education: the problems of implementing good practice. </w:t>
      </w:r>
      <w:r w:rsidR="0033721F" w:rsidRPr="0033721F">
        <w:rPr>
          <w:i/>
        </w:rPr>
        <w:t>Quality Assurance in Education</w:t>
      </w:r>
      <w:r w:rsidR="0033721F">
        <w:t>, 6, 19-27.</w:t>
      </w:r>
    </w:p>
    <w:p w:rsidR="006E3FAE" w:rsidRDefault="006E3FAE" w:rsidP="00F56AA2">
      <w:pPr>
        <w:spacing w:after="0" w:line="360" w:lineRule="auto"/>
        <w:rPr>
          <w:rFonts w:ascii="Calibri" w:hAnsi="Calibri" w:cs="Arial"/>
        </w:rPr>
      </w:pPr>
    </w:p>
    <w:p w:rsidR="00F56AA2" w:rsidRPr="004B1681" w:rsidRDefault="00F56AA2" w:rsidP="00F56AA2">
      <w:pPr>
        <w:spacing w:after="0" w:line="360" w:lineRule="auto"/>
        <w:rPr>
          <w:rFonts w:ascii="Calibri" w:hAnsi="Calibri" w:cs="Arial"/>
        </w:rPr>
      </w:pPr>
      <w:proofErr w:type="gramStart"/>
      <w:r w:rsidRPr="004B1681">
        <w:rPr>
          <w:rFonts w:ascii="Calibri" w:hAnsi="Calibri" w:cs="Arial"/>
        </w:rPr>
        <w:t>Erickson, R.A. (2012) Geography and the changing landscape of higher education.</w:t>
      </w:r>
      <w:proofErr w:type="gramEnd"/>
      <w:r w:rsidRPr="004B1681">
        <w:rPr>
          <w:rFonts w:ascii="Calibri" w:hAnsi="Calibri" w:cs="Arial"/>
        </w:rPr>
        <w:t xml:space="preserve"> </w:t>
      </w:r>
      <w:r w:rsidRPr="004B1681">
        <w:rPr>
          <w:rFonts w:ascii="Calibri" w:hAnsi="Calibri" w:cs="Arial"/>
          <w:i/>
        </w:rPr>
        <w:t>Journal of Geography in Higher Education</w:t>
      </w:r>
      <w:r w:rsidRPr="004B1681">
        <w:rPr>
          <w:rFonts w:ascii="Calibri" w:hAnsi="Calibri" w:cs="Arial"/>
        </w:rPr>
        <w:t>, 36, 9-24.</w:t>
      </w:r>
    </w:p>
    <w:p w:rsidR="00D51A15" w:rsidRDefault="00D51A15" w:rsidP="00D51A15">
      <w:pPr>
        <w:autoSpaceDE w:val="0"/>
        <w:autoSpaceDN w:val="0"/>
        <w:adjustRightInd w:val="0"/>
        <w:spacing w:after="0" w:line="360" w:lineRule="auto"/>
        <w:rPr>
          <w:rStyle w:val="hlfld-contribauthor"/>
        </w:rPr>
      </w:pPr>
    </w:p>
    <w:p w:rsidR="00FF01A4" w:rsidRDefault="00FF01A4" w:rsidP="00D51A15">
      <w:pPr>
        <w:autoSpaceDE w:val="0"/>
        <w:autoSpaceDN w:val="0"/>
        <w:adjustRightInd w:val="0"/>
        <w:spacing w:after="0" w:line="360" w:lineRule="auto"/>
        <w:rPr>
          <w:rStyle w:val="hlfld-contribauthor"/>
        </w:rPr>
      </w:pPr>
      <w:r>
        <w:rPr>
          <w:rStyle w:val="hlfld-contribauthor"/>
        </w:rPr>
        <w:t xml:space="preserve">Fraser, K. &amp; Thomas, T. (2013) Challenges of assuring the development of graduate attributes in a Bachelor of Arts. </w:t>
      </w:r>
      <w:r w:rsidRPr="00FF01A4">
        <w:rPr>
          <w:rStyle w:val="hlfld-contribauthor"/>
          <w:i/>
        </w:rPr>
        <w:t>Higher Education Research &amp; Development</w:t>
      </w:r>
      <w:r>
        <w:rPr>
          <w:rStyle w:val="hlfld-contribauthor"/>
        </w:rPr>
        <w:t>, 32, 545-560.</w:t>
      </w:r>
    </w:p>
    <w:p w:rsidR="008A3C5E" w:rsidRDefault="008A3C5E" w:rsidP="008A3C5E">
      <w:pPr>
        <w:autoSpaceDE w:val="0"/>
        <w:autoSpaceDN w:val="0"/>
        <w:adjustRightInd w:val="0"/>
        <w:spacing w:after="0" w:line="360" w:lineRule="auto"/>
        <w:rPr>
          <w:rStyle w:val="hlfld-contribauthor"/>
        </w:rPr>
      </w:pPr>
    </w:p>
    <w:p w:rsidR="008A3C5E" w:rsidRPr="00661C57" w:rsidRDefault="008A3C5E" w:rsidP="008A3C5E">
      <w:pPr>
        <w:autoSpaceDE w:val="0"/>
        <w:autoSpaceDN w:val="0"/>
        <w:adjustRightInd w:val="0"/>
        <w:spacing w:after="0" w:line="360" w:lineRule="auto"/>
        <w:rPr>
          <w:rStyle w:val="hlfld-contribauthor"/>
        </w:rPr>
      </w:pPr>
      <w:r w:rsidRPr="00661C57">
        <w:rPr>
          <w:rStyle w:val="hlfld-contribauthor"/>
        </w:rPr>
        <w:t xml:space="preserve">Giroux, </w:t>
      </w:r>
      <w:r>
        <w:rPr>
          <w:rStyle w:val="hlfld-contribauthor"/>
        </w:rPr>
        <w:t xml:space="preserve">H.A. (2010) </w:t>
      </w:r>
      <w:proofErr w:type="gramStart"/>
      <w:r>
        <w:rPr>
          <w:rStyle w:val="hlfld-contribauthor"/>
        </w:rPr>
        <w:t>Bare</w:t>
      </w:r>
      <w:proofErr w:type="gramEnd"/>
      <w:r>
        <w:rPr>
          <w:rStyle w:val="hlfld-contribauthor"/>
        </w:rPr>
        <w:t xml:space="preserve"> pedagogy and the scourge of </w:t>
      </w:r>
      <w:proofErr w:type="spellStart"/>
      <w:r>
        <w:rPr>
          <w:rStyle w:val="hlfld-contribauthor"/>
        </w:rPr>
        <w:t>neoliberalism</w:t>
      </w:r>
      <w:proofErr w:type="spellEnd"/>
      <w:r>
        <w:rPr>
          <w:rStyle w:val="hlfld-contribauthor"/>
        </w:rPr>
        <w:t xml:space="preserve">: rethinking higher education as a democratic public sphere. </w:t>
      </w:r>
      <w:r w:rsidRPr="00A8006D">
        <w:rPr>
          <w:rStyle w:val="hlfld-contribauthor"/>
          <w:i/>
        </w:rPr>
        <w:t>The Educational Forum</w:t>
      </w:r>
      <w:r>
        <w:rPr>
          <w:rStyle w:val="hlfld-contribauthor"/>
        </w:rPr>
        <w:t>, 74, 184-196.</w:t>
      </w:r>
      <w:r w:rsidRPr="00661C57">
        <w:rPr>
          <w:rStyle w:val="hlfld-contribauthor"/>
        </w:rPr>
        <w:t xml:space="preserve"> </w:t>
      </w:r>
    </w:p>
    <w:p w:rsidR="00FF01A4" w:rsidRDefault="00FF01A4" w:rsidP="00D51A15">
      <w:pPr>
        <w:autoSpaceDE w:val="0"/>
        <w:autoSpaceDN w:val="0"/>
        <w:adjustRightInd w:val="0"/>
        <w:spacing w:after="0" w:line="360" w:lineRule="auto"/>
        <w:rPr>
          <w:rStyle w:val="hlfld-contribauthor"/>
        </w:rPr>
      </w:pPr>
    </w:p>
    <w:p w:rsidR="00E955F0" w:rsidRDefault="00E955F0" w:rsidP="00D51A15">
      <w:pPr>
        <w:autoSpaceDE w:val="0"/>
        <w:autoSpaceDN w:val="0"/>
        <w:adjustRightInd w:val="0"/>
        <w:spacing w:after="0" w:line="360" w:lineRule="auto"/>
        <w:rPr>
          <w:rStyle w:val="hlfld-contribauthor"/>
        </w:rPr>
      </w:pPr>
      <w:r>
        <w:rPr>
          <w:rStyle w:val="hlfld-contribauthor"/>
        </w:rPr>
        <w:t xml:space="preserve">Green, W., Hammer, S. &amp; Star, C. (2009) Facing up to the challenge: why is it so hard to develop graduate attributes? </w:t>
      </w:r>
      <w:r w:rsidRPr="00E955F0">
        <w:rPr>
          <w:rStyle w:val="hlfld-contribauthor"/>
          <w:i/>
        </w:rPr>
        <w:t>Higher Education Research &amp; Development</w:t>
      </w:r>
      <w:r>
        <w:rPr>
          <w:rStyle w:val="hlfld-contribauthor"/>
        </w:rPr>
        <w:t>, 28, 17-20.</w:t>
      </w:r>
    </w:p>
    <w:p w:rsidR="00661C57" w:rsidRPr="00661C57" w:rsidRDefault="00661C57" w:rsidP="00D51A15">
      <w:pPr>
        <w:autoSpaceDE w:val="0"/>
        <w:autoSpaceDN w:val="0"/>
        <w:adjustRightInd w:val="0"/>
        <w:spacing w:after="0" w:line="360" w:lineRule="auto"/>
        <w:rPr>
          <w:rFonts w:cs="StoneSerif"/>
        </w:rPr>
      </w:pPr>
    </w:p>
    <w:p w:rsidR="00EF2E59" w:rsidRDefault="00EF2E59" w:rsidP="00D51A15">
      <w:pPr>
        <w:autoSpaceDE w:val="0"/>
        <w:autoSpaceDN w:val="0"/>
        <w:adjustRightInd w:val="0"/>
        <w:spacing w:after="0" w:line="360" w:lineRule="auto"/>
        <w:rPr>
          <w:rFonts w:cs="AdvPlantin-r"/>
        </w:rPr>
      </w:pPr>
      <w:r>
        <w:rPr>
          <w:rFonts w:cs="AdvPlantin-r"/>
        </w:rPr>
        <w:t>Haigh, M. &amp; Clifford, V.</w:t>
      </w:r>
      <w:r w:rsidR="00AC1447">
        <w:rPr>
          <w:rFonts w:cs="AdvPlantin-r"/>
        </w:rPr>
        <w:t>A.</w:t>
      </w:r>
      <w:r>
        <w:rPr>
          <w:rFonts w:cs="AdvPlantin-r"/>
        </w:rPr>
        <w:t xml:space="preserve"> (2011) Integral vision: a multi-perspective approach to the recognition of graduate attributes. </w:t>
      </w:r>
      <w:r w:rsidRPr="00EF2E59">
        <w:rPr>
          <w:rFonts w:cs="AdvPlantin-r"/>
          <w:i/>
        </w:rPr>
        <w:t>Higher Education Research &amp; Development</w:t>
      </w:r>
      <w:r>
        <w:rPr>
          <w:rFonts w:cs="AdvPlantin-r"/>
        </w:rPr>
        <w:t>, 30, 573-584.</w:t>
      </w:r>
    </w:p>
    <w:p w:rsidR="00EF2E59" w:rsidRDefault="00EF2E59" w:rsidP="00D51A15">
      <w:pPr>
        <w:autoSpaceDE w:val="0"/>
        <w:autoSpaceDN w:val="0"/>
        <w:adjustRightInd w:val="0"/>
        <w:spacing w:after="0" w:line="360" w:lineRule="auto"/>
        <w:rPr>
          <w:rFonts w:cs="AdvPlantin-r"/>
        </w:rPr>
      </w:pPr>
    </w:p>
    <w:p w:rsidR="00A13EA1" w:rsidRDefault="00A13EA1" w:rsidP="00D51A15">
      <w:pPr>
        <w:autoSpaceDE w:val="0"/>
        <w:autoSpaceDN w:val="0"/>
        <w:adjustRightInd w:val="0"/>
        <w:spacing w:after="0" w:line="360" w:lineRule="auto"/>
        <w:rPr>
          <w:rFonts w:cs="AdvPlantin-r"/>
        </w:rPr>
      </w:pPr>
      <w:proofErr w:type="gramStart"/>
      <w:r>
        <w:t>de</w:t>
      </w:r>
      <w:proofErr w:type="gramEnd"/>
      <w:r>
        <w:t xml:space="preserve"> la </w:t>
      </w:r>
      <w:proofErr w:type="spellStart"/>
      <w:r>
        <w:t>Harpe</w:t>
      </w:r>
      <w:proofErr w:type="spellEnd"/>
      <w:r>
        <w:t xml:space="preserve">, B. &amp; David, C. (2012) Major influences on the teaching and assessment of graduate attributes. </w:t>
      </w:r>
      <w:r w:rsidRPr="00A13EA1">
        <w:rPr>
          <w:i/>
        </w:rPr>
        <w:t>Higher Education Research &amp; Development</w:t>
      </w:r>
      <w:r>
        <w:t>, 31, 493-510.</w:t>
      </w:r>
    </w:p>
    <w:p w:rsidR="00A13EA1" w:rsidRDefault="00A13EA1" w:rsidP="00D51A15">
      <w:pPr>
        <w:autoSpaceDE w:val="0"/>
        <w:autoSpaceDN w:val="0"/>
        <w:adjustRightInd w:val="0"/>
        <w:spacing w:after="0" w:line="360" w:lineRule="auto"/>
        <w:rPr>
          <w:rFonts w:cs="AdvPlantin-r"/>
        </w:rPr>
      </w:pPr>
    </w:p>
    <w:p w:rsidR="00D51A15" w:rsidRDefault="00D51A15" w:rsidP="00D51A15">
      <w:pPr>
        <w:autoSpaceDE w:val="0"/>
        <w:autoSpaceDN w:val="0"/>
        <w:adjustRightInd w:val="0"/>
        <w:spacing w:after="0" w:line="360" w:lineRule="auto"/>
        <w:rPr>
          <w:rStyle w:val="hlfld-contribauthor"/>
        </w:rPr>
      </w:pPr>
      <w:proofErr w:type="gramStart"/>
      <w:r>
        <w:rPr>
          <w:rFonts w:cs="AdvPlantin-r"/>
        </w:rPr>
        <w:t>de</w:t>
      </w:r>
      <w:proofErr w:type="gramEnd"/>
      <w:r>
        <w:rPr>
          <w:rFonts w:cs="AdvPlantin-r"/>
        </w:rPr>
        <w:t xml:space="preserve"> la </w:t>
      </w:r>
      <w:proofErr w:type="spellStart"/>
      <w:r>
        <w:rPr>
          <w:rFonts w:cs="AdvPlantin-r"/>
        </w:rPr>
        <w:t>Harpe</w:t>
      </w:r>
      <w:proofErr w:type="spellEnd"/>
      <w:r>
        <w:rPr>
          <w:rFonts w:cs="AdvPlantin-r"/>
        </w:rPr>
        <w:t xml:space="preserve">, B., </w:t>
      </w:r>
      <w:proofErr w:type="spellStart"/>
      <w:r>
        <w:rPr>
          <w:rFonts w:cs="AdvPlantin-r"/>
        </w:rPr>
        <w:t>Radloff</w:t>
      </w:r>
      <w:proofErr w:type="spellEnd"/>
      <w:r>
        <w:rPr>
          <w:rFonts w:cs="AdvPlantin-r"/>
        </w:rPr>
        <w:t xml:space="preserve">, A. &amp; </w:t>
      </w:r>
      <w:proofErr w:type="spellStart"/>
      <w:r>
        <w:rPr>
          <w:rFonts w:cs="AdvPlantin-r"/>
        </w:rPr>
        <w:t>Wyber</w:t>
      </w:r>
      <w:proofErr w:type="spellEnd"/>
      <w:r>
        <w:rPr>
          <w:rFonts w:cs="AdvPlantin-r"/>
        </w:rPr>
        <w:t xml:space="preserve">, J. (2000) Quality and generic (professional) skills. </w:t>
      </w:r>
      <w:r w:rsidRPr="00D51A15">
        <w:rPr>
          <w:rFonts w:cs="AdvPlantin-r"/>
          <w:i/>
        </w:rPr>
        <w:t>Quality in Higher Education</w:t>
      </w:r>
      <w:r>
        <w:rPr>
          <w:rFonts w:cs="AdvPlantin-r"/>
        </w:rPr>
        <w:t>, 6, 231-243.</w:t>
      </w:r>
    </w:p>
    <w:p w:rsidR="00A93E1E" w:rsidRDefault="00A93E1E" w:rsidP="00A93E1E">
      <w:pPr>
        <w:pStyle w:val="Heading2"/>
        <w:spacing w:before="0" w:beforeAutospacing="0" w:after="0" w:afterAutospacing="0" w:line="360" w:lineRule="auto"/>
        <w:rPr>
          <w:rFonts w:asciiTheme="minorHAnsi" w:hAnsiTheme="minorHAnsi"/>
          <w:b w:val="0"/>
          <w:sz w:val="22"/>
          <w:szCs w:val="22"/>
        </w:rPr>
      </w:pPr>
    </w:p>
    <w:p w:rsidR="00A93E1E" w:rsidRPr="00CD3070" w:rsidRDefault="00A93E1E" w:rsidP="00A93E1E">
      <w:pPr>
        <w:pStyle w:val="Heading2"/>
        <w:spacing w:before="0" w:beforeAutospacing="0" w:after="0" w:afterAutospacing="0" w:line="360" w:lineRule="auto"/>
        <w:rPr>
          <w:rFonts w:asciiTheme="minorHAnsi" w:hAnsiTheme="minorHAnsi"/>
          <w:b w:val="0"/>
          <w:sz w:val="22"/>
          <w:szCs w:val="22"/>
        </w:rPr>
      </w:pPr>
      <w:r w:rsidRPr="00CD3070">
        <w:rPr>
          <w:rFonts w:asciiTheme="minorHAnsi" w:hAnsiTheme="minorHAnsi"/>
          <w:b w:val="0"/>
          <w:sz w:val="22"/>
          <w:szCs w:val="22"/>
        </w:rPr>
        <w:t xml:space="preserve">Healey, M., Flint, A. &amp; Harrington, K. (2014) </w:t>
      </w:r>
      <w:r w:rsidRPr="00CD3070">
        <w:rPr>
          <w:rFonts w:asciiTheme="minorHAnsi" w:hAnsiTheme="minorHAnsi"/>
          <w:b w:val="0"/>
          <w:i/>
          <w:iCs/>
          <w:sz w:val="22"/>
          <w:szCs w:val="22"/>
        </w:rPr>
        <w:t>Developing Students as Partners in Learning and Teaching in Higher Education</w:t>
      </w:r>
      <w:r w:rsidRPr="00CD3070">
        <w:rPr>
          <w:rFonts w:asciiTheme="minorHAnsi" w:hAnsiTheme="minorHAnsi"/>
          <w:b w:val="0"/>
          <w:sz w:val="22"/>
          <w:szCs w:val="22"/>
        </w:rPr>
        <w:t>. York: Higher Education Academy.</w:t>
      </w:r>
    </w:p>
    <w:p w:rsidR="00F56AA2" w:rsidRDefault="00F56AA2" w:rsidP="00F56AA2">
      <w:pPr>
        <w:pStyle w:val="Heading2"/>
        <w:spacing w:before="0" w:beforeAutospacing="0" w:after="0" w:afterAutospacing="0" w:line="360" w:lineRule="auto"/>
        <w:rPr>
          <w:rFonts w:ascii="Calibri" w:hAnsi="Calibri" w:cs="Arial"/>
          <w:b w:val="0"/>
          <w:sz w:val="22"/>
          <w:szCs w:val="22"/>
        </w:rPr>
      </w:pPr>
    </w:p>
    <w:p w:rsidR="00F56AA2" w:rsidRPr="00952CD6" w:rsidRDefault="00F56AA2" w:rsidP="00952CD6">
      <w:pPr>
        <w:pStyle w:val="Heading2"/>
        <w:spacing w:before="0" w:beforeAutospacing="0" w:after="0" w:afterAutospacing="0" w:line="360" w:lineRule="auto"/>
        <w:rPr>
          <w:rFonts w:asciiTheme="minorHAnsi" w:hAnsiTheme="minorHAnsi" w:cs="Arial"/>
          <w:b w:val="0"/>
          <w:sz w:val="22"/>
          <w:szCs w:val="22"/>
        </w:rPr>
      </w:pPr>
      <w:r w:rsidRPr="004B1681">
        <w:rPr>
          <w:rFonts w:ascii="Calibri" w:hAnsi="Calibri" w:cs="Arial"/>
          <w:b w:val="0"/>
          <w:sz w:val="22"/>
          <w:szCs w:val="22"/>
        </w:rPr>
        <w:t xml:space="preserve">Hennemann, S. &amp; </w:t>
      </w:r>
      <w:proofErr w:type="spellStart"/>
      <w:r w:rsidRPr="004B1681">
        <w:rPr>
          <w:rFonts w:ascii="Calibri" w:hAnsi="Calibri" w:cs="Arial"/>
          <w:b w:val="0"/>
          <w:sz w:val="22"/>
          <w:szCs w:val="22"/>
        </w:rPr>
        <w:t>Liefner</w:t>
      </w:r>
      <w:proofErr w:type="spellEnd"/>
      <w:r w:rsidRPr="004B1681">
        <w:rPr>
          <w:rFonts w:ascii="Calibri" w:hAnsi="Calibri" w:cs="Arial"/>
          <w:b w:val="0"/>
          <w:sz w:val="22"/>
          <w:szCs w:val="22"/>
        </w:rPr>
        <w:t xml:space="preserve">, I. (2010) Employability of German geography graduates: the mismatch </w:t>
      </w:r>
      <w:r w:rsidRPr="00952CD6">
        <w:rPr>
          <w:rFonts w:asciiTheme="minorHAnsi" w:hAnsiTheme="minorHAnsi" w:cs="Arial"/>
          <w:b w:val="0"/>
          <w:sz w:val="22"/>
          <w:szCs w:val="22"/>
        </w:rPr>
        <w:t xml:space="preserve">between knowledge acquired and competencies required. </w:t>
      </w:r>
      <w:r w:rsidRPr="00952CD6">
        <w:rPr>
          <w:rFonts w:asciiTheme="minorHAnsi" w:hAnsiTheme="minorHAnsi" w:cs="Arial"/>
          <w:b w:val="0"/>
          <w:i/>
          <w:sz w:val="22"/>
          <w:szCs w:val="22"/>
        </w:rPr>
        <w:t>Journal of Geography in Higher Education</w:t>
      </w:r>
      <w:r w:rsidRPr="00952CD6">
        <w:rPr>
          <w:rFonts w:asciiTheme="minorHAnsi" w:hAnsiTheme="minorHAnsi" w:cs="Arial"/>
          <w:b w:val="0"/>
          <w:sz w:val="22"/>
          <w:szCs w:val="22"/>
        </w:rPr>
        <w:t>, 34, 215-230.</w:t>
      </w:r>
    </w:p>
    <w:p w:rsidR="00952CD6" w:rsidRPr="00952CD6" w:rsidRDefault="00952CD6" w:rsidP="00952CD6">
      <w:pPr>
        <w:tabs>
          <w:tab w:val="left" w:pos="-1440"/>
          <w:tab w:val="left" w:pos="-720"/>
          <w:tab w:val="left" w:pos="426"/>
          <w:tab w:val="left" w:pos="4320"/>
          <w:tab w:val="left" w:pos="6106"/>
          <w:tab w:val="left" w:pos="7200"/>
        </w:tabs>
        <w:suppressAutoHyphens/>
        <w:spacing w:after="0" w:line="360" w:lineRule="auto"/>
        <w:rPr>
          <w:b/>
          <w:spacing w:val="-2"/>
          <w:szCs w:val="24"/>
        </w:rPr>
      </w:pPr>
    </w:p>
    <w:p w:rsidR="00952CD6" w:rsidRPr="00952CD6" w:rsidRDefault="00952CD6" w:rsidP="00952CD6">
      <w:pPr>
        <w:tabs>
          <w:tab w:val="left" w:pos="-1440"/>
          <w:tab w:val="left" w:pos="-720"/>
        </w:tabs>
        <w:suppressAutoHyphens/>
        <w:spacing w:after="0" w:line="360" w:lineRule="auto"/>
        <w:rPr>
          <w:rFonts w:ascii="Calibri" w:eastAsia="Calibri" w:hAnsi="Calibri" w:cs="Times New Roman"/>
          <w:spacing w:val="-2"/>
          <w:szCs w:val="24"/>
        </w:rPr>
      </w:pPr>
      <w:r w:rsidRPr="00952CD6">
        <w:rPr>
          <w:rFonts w:ascii="Calibri" w:eastAsia="Calibri" w:hAnsi="Calibri" w:cs="Times New Roman"/>
          <w:spacing w:val="-2"/>
          <w:szCs w:val="24"/>
        </w:rPr>
        <w:t>Hill</w:t>
      </w:r>
      <w:r>
        <w:rPr>
          <w:spacing w:val="-2"/>
          <w:szCs w:val="24"/>
        </w:rPr>
        <w:t>,</w:t>
      </w:r>
      <w:r w:rsidRPr="00952CD6">
        <w:rPr>
          <w:rFonts w:ascii="Calibri" w:eastAsia="Calibri" w:hAnsi="Calibri" w:cs="Times New Roman"/>
          <w:spacing w:val="-2"/>
          <w:szCs w:val="24"/>
        </w:rPr>
        <w:t xml:space="preserve"> J. (2013) </w:t>
      </w:r>
      <w:r>
        <w:rPr>
          <w:spacing w:val="-2"/>
          <w:szCs w:val="24"/>
        </w:rPr>
        <w:t xml:space="preserve">Editorial: </w:t>
      </w:r>
      <w:r w:rsidRPr="00952CD6">
        <w:rPr>
          <w:rFonts w:ascii="Calibri" w:eastAsia="Calibri" w:hAnsi="Calibri" w:cs="Times New Roman"/>
          <w:spacing w:val="-2"/>
          <w:szCs w:val="24"/>
        </w:rPr>
        <w:t xml:space="preserve">Celebrating the scholarship of teaching and learning. </w:t>
      </w:r>
      <w:r w:rsidRPr="00952CD6">
        <w:rPr>
          <w:rFonts w:ascii="Calibri" w:eastAsia="Calibri" w:hAnsi="Calibri" w:cs="Times New Roman"/>
          <w:i/>
          <w:spacing w:val="-2"/>
          <w:szCs w:val="24"/>
        </w:rPr>
        <w:t>Planet</w:t>
      </w:r>
      <w:r w:rsidRPr="00952CD6">
        <w:rPr>
          <w:rFonts w:ascii="Calibri" w:eastAsia="Calibri" w:hAnsi="Calibri" w:cs="Times New Roman"/>
          <w:spacing w:val="-2"/>
          <w:szCs w:val="24"/>
        </w:rPr>
        <w:t>,</w:t>
      </w:r>
      <w:r>
        <w:rPr>
          <w:spacing w:val="-2"/>
          <w:szCs w:val="24"/>
        </w:rPr>
        <w:t xml:space="preserve"> 27</w:t>
      </w:r>
      <w:r w:rsidRPr="00952CD6">
        <w:rPr>
          <w:rFonts w:ascii="Calibri" w:eastAsia="Calibri" w:hAnsi="Calibri" w:cs="Times New Roman"/>
          <w:spacing w:val="-2"/>
          <w:szCs w:val="24"/>
        </w:rPr>
        <w:t>, 1-5.</w:t>
      </w:r>
    </w:p>
    <w:p w:rsidR="00C10C14" w:rsidRPr="00952CD6" w:rsidRDefault="00C10C14" w:rsidP="00952CD6">
      <w:pPr>
        <w:pStyle w:val="Heading2"/>
        <w:spacing w:before="0" w:beforeAutospacing="0" w:after="0" w:afterAutospacing="0" w:line="360" w:lineRule="auto"/>
        <w:rPr>
          <w:rFonts w:asciiTheme="minorHAnsi" w:hAnsiTheme="minorHAnsi" w:cs="Arial"/>
          <w:b w:val="0"/>
          <w:sz w:val="22"/>
          <w:szCs w:val="22"/>
        </w:rPr>
      </w:pPr>
    </w:p>
    <w:p w:rsidR="00ED480A" w:rsidRPr="00952CD6" w:rsidRDefault="00C10C14" w:rsidP="00952CD6">
      <w:pPr>
        <w:pStyle w:val="Heading2"/>
        <w:spacing w:before="0" w:beforeAutospacing="0" w:after="0" w:afterAutospacing="0" w:line="360" w:lineRule="auto"/>
        <w:rPr>
          <w:rFonts w:asciiTheme="minorHAnsi" w:hAnsiTheme="minorHAnsi" w:cs="Arial"/>
          <w:b w:val="0"/>
          <w:sz w:val="22"/>
          <w:szCs w:val="22"/>
        </w:rPr>
      </w:pPr>
      <w:proofErr w:type="spellStart"/>
      <w:r w:rsidRPr="00952CD6">
        <w:rPr>
          <w:rFonts w:asciiTheme="minorHAnsi" w:hAnsiTheme="minorHAnsi" w:cs="Arial"/>
          <w:b w:val="0"/>
          <w:sz w:val="22"/>
          <w:szCs w:val="22"/>
        </w:rPr>
        <w:t>Hounsell</w:t>
      </w:r>
      <w:proofErr w:type="spellEnd"/>
      <w:r w:rsidRPr="00952CD6">
        <w:rPr>
          <w:rFonts w:asciiTheme="minorHAnsi" w:hAnsiTheme="minorHAnsi" w:cs="Arial"/>
          <w:b w:val="0"/>
          <w:sz w:val="22"/>
          <w:szCs w:val="22"/>
        </w:rPr>
        <w:t xml:space="preserve">, D. (2011) </w:t>
      </w:r>
      <w:r w:rsidRPr="00952CD6">
        <w:rPr>
          <w:rFonts w:asciiTheme="minorHAnsi" w:hAnsiTheme="minorHAnsi" w:cs="Arial"/>
          <w:b w:val="0"/>
          <w:i/>
          <w:iCs/>
          <w:sz w:val="22"/>
          <w:szCs w:val="22"/>
        </w:rPr>
        <w:t>Graduates for the 21st Century: Integrating the Enhancement Themes</w:t>
      </w:r>
      <w:r w:rsidRPr="00952CD6">
        <w:rPr>
          <w:rFonts w:asciiTheme="minorHAnsi" w:hAnsiTheme="minorHAnsi" w:cs="Arial"/>
          <w:b w:val="0"/>
          <w:sz w:val="22"/>
          <w:szCs w:val="22"/>
        </w:rPr>
        <w:t>. Gloucester: The Quality Assurance Agency for Higher Education.</w:t>
      </w:r>
    </w:p>
    <w:p w:rsidR="00C10C14" w:rsidRPr="00952CD6" w:rsidRDefault="00C10C14" w:rsidP="00952CD6">
      <w:pPr>
        <w:pStyle w:val="Heading2"/>
        <w:spacing w:before="0" w:beforeAutospacing="0" w:after="0" w:afterAutospacing="0" w:line="360" w:lineRule="auto"/>
        <w:rPr>
          <w:rFonts w:asciiTheme="minorHAnsi" w:hAnsiTheme="minorHAnsi" w:cs="Arial"/>
          <w:b w:val="0"/>
          <w:sz w:val="22"/>
          <w:szCs w:val="22"/>
        </w:rPr>
      </w:pPr>
    </w:p>
    <w:p w:rsidR="00ED480A" w:rsidRPr="004B1681" w:rsidRDefault="00ED480A" w:rsidP="00F56AA2">
      <w:pPr>
        <w:pStyle w:val="Heading2"/>
        <w:spacing w:before="0" w:beforeAutospacing="0" w:after="0" w:afterAutospacing="0" w:line="360" w:lineRule="auto"/>
        <w:rPr>
          <w:rFonts w:ascii="Calibri" w:hAnsi="Calibri" w:cs="Arial"/>
          <w:b w:val="0"/>
          <w:sz w:val="22"/>
          <w:szCs w:val="22"/>
        </w:rPr>
      </w:pPr>
      <w:r>
        <w:rPr>
          <w:rFonts w:ascii="Calibri" w:hAnsi="Calibri" w:cs="Arial"/>
          <w:b w:val="0"/>
          <w:sz w:val="22"/>
          <w:szCs w:val="22"/>
        </w:rPr>
        <w:t xml:space="preserve">Hughes, C. &amp; Barrie, S. (2010) Influences on the assessment of graduate attributes in higher education. </w:t>
      </w:r>
      <w:r w:rsidRPr="00ED480A">
        <w:rPr>
          <w:rFonts w:ascii="Calibri" w:hAnsi="Calibri" w:cs="Arial"/>
          <w:b w:val="0"/>
          <w:i/>
          <w:sz w:val="22"/>
          <w:szCs w:val="22"/>
        </w:rPr>
        <w:t>Assessment and Evaluation in Higher Education</w:t>
      </w:r>
      <w:r>
        <w:rPr>
          <w:rFonts w:ascii="Calibri" w:hAnsi="Calibri" w:cs="Arial"/>
          <w:b w:val="0"/>
          <w:sz w:val="22"/>
          <w:szCs w:val="22"/>
        </w:rPr>
        <w:t>, 35, 325-334.</w:t>
      </w:r>
    </w:p>
    <w:p w:rsidR="00661C57" w:rsidRPr="00661C57" w:rsidRDefault="00661C57" w:rsidP="00D51A15">
      <w:pPr>
        <w:autoSpaceDE w:val="0"/>
        <w:autoSpaceDN w:val="0"/>
        <w:adjustRightInd w:val="0"/>
        <w:spacing w:after="0" w:line="360" w:lineRule="auto"/>
        <w:rPr>
          <w:rFonts w:eastAsia="Calibri" w:cs="Times New Roman"/>
        </w:rPr>
      </w:pPr>
    </w:p>
    <w:p w:rsidR="00661C57" w:rsidRDefault="00661C57" w:rsidP="00D51A15">
      <w:pPr>
        <w:autoSpaceDE w:val="0"/>
        <w:autoSpaceDN w:val="0"/>
        <w:adjustRightInd w:val="0"/>
        <w:spacing w:after="0" w:line="360" w:lineRule="auto"/>
        <w:rPr>
          <w:rFonts w:eastAsia="Calibri" w:cs="Times New Roman"/>
        </w:rPr>
      </w:pPr>
      <w:proofErr w:type="spellStart"/>
      <w:r w:rsidRPr="00661C57">
        <w:rPr>
          <w:rFonts w:eastAsia="Calibri" w:cs="Times New Roman"/>
        </w:rPr>
        <w:t>Ingleby</w:t>
      </w:r>
      <w:proofErr w:type="spellEnd"/>
      <w:r w:rsidRPr="00661C57">
        <w:rPr>
          <w:rFonts w:eastAsia="Calibri" w:cs="Times New Roman"/>
        </w:rPr>
        <w:t xml:space="preserve">, </w:t>
      </w:r>
      <w:r w:rsidR="008F5A1B">
        <w:rPr>
          <w:rFonts w:eastAsia="Calibri" w:cs="Times New Roman"/>
        </w:rPr>
        <w:t>E. (</w:t>
      </w:r>
      <w:r w:rsidRPr="00661C57">
        <w:rPr>
          <w:rFonts w:eastAsia="Calibri" w:cs="Times New Roman"/>
        </w:rPr>
        <w:t>2015</w:t>
      </w:r>
      <w:r w:rsidR="008F5A1B">
        <w:rPr>
          <w:rFonts w:eastAsia="Calibri" w:cs="Times New Roman"/>
        </w:rPr>
        <w:t xml:space="preserve">) </w:t>
      </w:r>
      <w:proofErr w:type="gramStart"/>
      <w:r w:rsidR="008F5A1B">
        <w:rPr>
          <w:rFonts w:eastAsia="Calibri" w:cs="Times New Roman"/>
        </w:rPr>
        <w:t>The</w:t>
      </w:r>
      <w:proofErr w:type="gramEnd"/>
      <w:r w:rsidR="008F5A1B">
        <w:rPr>
          <w:rFonts w:eastAsia="Calibri" w:cs="Times New Roman"/>
        </w:rPr>
        <w:t xml:space="preserve"> house that Jack built: </w:t>
      </w:r>
      <w:proofErr w:type="spellStart"/>
      <w:r w:rsidR="008F5A1B">
        <w:rPr>
          <w:rFonts w:eastAsia="Calibri" w:cs="Times New Roman"/>
        </w:rPr>
        <w:t>neoliberalism</w:t>
      </w:r>
      <w:proofErr w:type="spellEnd"/>
      <w:r w:rsidR="008F5A1B">
        <w:rPr>
          <w:rFonts w:eastAsia="Calibri" w:cs="Times New Roman"/>
        </w:rPr>
        <w:t xml:space="preserve">, teaching in higher education and the moral objections. </w:t>
      </w:r>
      <w:proofErr w:type="gramStart"/>
      <w:r w:rsidR="008F5A1B" w:rsidRPr="008F5A1B">
        <w:rPr>
          <w:rFonts w:eastAsia="Calibri" w:cs="Times New Roman"/>
          <w:i/>
        </w:rPr>
        <w:t>Teaching in Higher Education</w:t>
      </w:r>
      <w:r w:rsidR="008F5A1B">
        <w:rPr>
          <w:rFonts w:eastAsia="Calibri" w:cs="Times New Roman"/>
        </w:rPr>
        <w:t>, 20, 518-529.</w:t>
      </w:r>
      <w:proofErr w:type="gramEnd"/>
    </w:p>
    <w:p w:rsidR="00AC3631" w:rsidRDefault="00AC3631" w:rsidP="00AC3631">
      <w:pPr>
        <w:pStyle w:val="Heading2"/>
        <w:spacing w:before="0" w:beforeAutospacing="0" w:after="0" w:afterAutospacing="0" w:line="360" w:lineRule="auto"/>
        <w:rPr>
          <w:rFonts w:asciiTheme="minorHAnsi" w:hAnsiTheme="minorHAnsi"/>
          <w:b w:val="0"/>
          <w:sz w:val="22"/>
          <w:szCs w:val="22"/>
        </w:rPr>
      </w:pPr>
    </w:p>
    <w:p w:rsidR="00AC3631" w:rsidRPr="00CD3070" w:rsidRDefault="00AC3631" w:rsidP="00AC3631">
      <w:pPr>
        <w:pStyle w:val="Heading2"/>
        <w:spacing w:before="0" w:beforeAutospacing="0" w:after="0" w:afterAutospacing="0" w:line="360" w:lineRule="auto"/>
        <w:rPr>
          <w:rFonts w:asciiTheme="minorHAnsi" w:hAnsiTheme="minorHAnsi"/>
          <w:b w:val="0"/>
          <w:sz w:val="22"/>
          <w:szCs w:val="22"/>
        </w:rPr>
      </w:pPr>
      <w:r w:rsidRPr="00CD3070">
        <w:rPr>
          <w:rFonts w:asciiTheme="minorHAnsi" w:hAnsiTheme="minorHAnsi"/>
          <w:b w:val="0"/>
          <w:sz w:val="22"/>
          <w:szCs w:val="22"/>
        </w:rPr>
        <w:t>Johansson C. &amp; Felten P. (2014) </w:t>
      </w:r>
      <w:r w:rsidRPr="00CD3070">
        <w:rPr>
          <w:rFonts w:asciiTheme="minorHAnsi" w:hAnsiTheme="minorHAnsi"/>
          <w:b w:val="0"/>
          <w:i/>
          <w:iCs/>
          <w:sz w:val="22"/>
          <w:szCs w:val="22"/>
        </w:rPr>
        <w:t>Transforming Students:  Fulfilling the Promise of Higher Education.</w:t>
      </w:r>
      <w:r w:rsidRPr="00CD3070">
        <w:rPr>
          <w:rFonts w:asciiTheme="minorHAnsi" w:hAnsiTheme="minorHAnsi"/>
          <w:b w:val="0"/>
          <w:sz w:val="22"/>
          <w:szCs w:val="22"/>
        </w:rPr>
        <w:t xml:space="preserve">  Baltimore, MD: Johns Hopkins Press.</w:t>
      </w:r>
    </w:p>
    <w:p w:rsidR="00B13F91" w:rsidRDefault="00B13F91" w:rsidP="00D51A15">
      <w:pPr>
        <w:autoSpaceDE w:val="0"/>
        <w:autoSpaceDN w:val="0"/>
        <w:adjustRightInd w:val="0"/>
        <w:spacing w:after="0" w:line="360" w:lineRule="auto"/>
        <w:rPr>
          <w:rFonts w:eastAsia="Calibri" w:cs="Times New Roman"/>
        </w:rPr>
      </w:pPr>
    </w:p>
    <w:p w:rsidR="00B13F91" w:rsidRDefault="00B13F91" w:rsidP="00D51A15">
      <w:pPr>
        <w:autoSpaceDE w:val="0"/>
        <w:autoSpaceDN w:val="0"/>
        <w:adjustRightInd w:val="0"/>
        <w:spacing w:after="0" w:line="360" w:lineRule="auto"/>
        <w:rPr>
          <w:rFonts w:eastAsia="Calibri" w:cs="Times New Roman"/>
        </w:rPr>
      </w:pPr>
      <w:r>
        <w:rPr>
          <w:rFonts w:eastAsia="Calibri" w:cs="Times New Roman"/>
        </w:rPr>
        <w:t xml:space="preserve">Jones, A. (2009) </w:t>
      </w:r>
      <w:proofErr w:type="spellStart"/>
      <w:r>
        <w:rPr>
          <w:rFonts w:eastAsia="Calibri" w:cs="Times New Roman"/>
        </w:rPr>
        <w:t>Redisciplining</w:t>
      </w:r>
      <w:proofErr w:type="spellEnd"/>
      <w:r>
        <w:rPr>
          <w:rFonts w:eastAsia="Calibri" w:cs="Times New Roman"/>
        </w:rPr>
        <w:t xml:space="preserve"> generic attributes: the disciplinary context in focus. </w:t>
      </w:r>
      <w:r w:rsidRPr="00B13F91">
        <w:rPr>
          <w:rFonts w:eastAsia="Calibri" w:cs="Times New Roman"/>
          <w:i/>
        </w:rPr>
        <w:t>Studies in Higher Education</w:t>
      </w:r>
      <w:r>
        <w:rPr>
          <w:rFonts w:eastAsia="Calibri" w:cs="Times New Roman"/>
        </w:rPr>
        <w:t>, 34, 85-100.</w:t>
      </w:r>
    </w:p>
    <w:p w:rsidR="00514801" w:rsidRDefault="00514801" w:rsidP="00D51A15">
      <w:pPr>
        <w:autoSpaceDE w:val="0"/>
        <w:autoSpaceDN w:val="0"/>
        <w:adjustRightInd w:val="0"/>
        <w:spacing w:after="0" w:line="360" w:lineRule="auto"/>
        <w:rPr>
          <w:rFonts w:eastAsia="Calibri" w:cs="Times New Roman"/>
        </w:rPr>
      </w:pPr>
    </w:p>
    <w:p w:rsidR="00514801" w:rsidRPr="00661C57" w:rsidRDefault="00514801" w:rsidP="00D51A15">
      <w:pPr>
        <w:autoSpaceDE w:val="0"/>
        <w:autoSpaceDN w:val="0"/>
        <w:adjustRightInd w:val="0"/>
        <w:spacing w:after="0" w:line="360" w:lineRule="auto"/>
        <w:rPr>
          <w:rFonts w:cs="StoneSerif"/>
        </w:rPr>
      </w:pPr>
      <w:r>
        <w:rPr>
          <w:rFonts w:eastAsia="Calibri" w:cs="Times New Roman"/>
        </w:rPr>
        <w:t xml:space="preserve">Jones, A. (2013) </w:t>
      </w:r>
      <w:proofErr w:type="gramStart"/>
      <w:r>
        <w:rPr>
          <w:rFonts w:eastAsia="Calibri" w:cs="Times New Roman"/>
        </w:rPr>
        <w:t>There</w:t>
      </w:r>
      <w:proofErr w:type="gramEnd"/>
      <w:r>
        <w:rPr>
          <w:rFonts w:eastAsia="Calibri" w:cs="Times New Roman"/>
        </w:rPr>
        <w:t xml:space="preserve"> is nothing generic about graduate attributes: unpacking the scope of context. </w:t>
      </w:r>
      <w:r w:rsidRPr="00514801">
        <w:rPr>
          <w:rFonts w:eastAsia="Calibri" w:cs="Times New Roman"/>
          <w:i/>
        </w:rPr>
        <w:t>Journal of Further and Higher Education</w:t>
      </w:r>
      <w:r>
        <w:rPr>
          <w:rFonts w:eastAsia="Calibri" w:cs="Times New Roman"/>
        </w:rPr>
        <w:t>, 37, 591-605.</w:t>
      </w:r>
    </w:p>
    <w:p w:rsidR="00F56AA2" w:rsidRDefault="00F56AA2" w:rsidP="00D51A15">
      <w:pPr>
        <w:autoSpaceDE w:val="0"/>
        <w:autoSpaceDN w:val="0"/>
        <w:adjustRightInd w:val="0"/>
        <w:spacing w:after="0" w:line="360" w:lineRule="auto"/>
        <w:rPr>
          <w:rFonts w:ascii="Calibri" w:hAnsi="Calibri" w:cs="Arial"/>
        </w:rPr>
      </w:pPr>
    </w:p>
    <w:p w:rsidR="00017D46" w:rsidRDefault="00017D46" w:rsidP="00F56AA2">
      <w:pPr>
        <w:pStyle w:val="Heading2"/>
        <w:spacing w:before="0" w:beforeAutospacing="0" w:after="0" w:afterAutospacing="0" w:line="360" w:lineRule="auto"/>
        <w:rPr>
          <w:rFonts w:ascii="Calibri" w:hAnsi="Calibri"/>
          <w:b w:val="0"/>
          <w:sz w:val="22"/>
          <w:szCs w:val="22"/>
        </w:rPr>
      </w:pPr>
      <w:proofErr w:type="spellStart"/>
      <w:r>
        <w:rPr>
          <w:rFonts w:ascii="Calibri" w:hAnsi="Calibri"/>
          <w:b w:val="0"/>
          <w:sz w:val="22"/>
          <w:szCs w:val="22"/>
        </w:rPr>
        <w:t>Kalfa</w:t>
      </w:r>
      <w:proofErr w:type="spellEnd"/>
      <w:r>
        <w:rPr>
          <w:rFonts w:ascii="Calibri" w:hAnsi="Calibri"/>
          <w:b w:val="0"/>
          <w:sz w:val="22"/>
          <w:szCs w:val="22"/>
        </w:rPr>
        <w:t xml:space="preserve">, S. &amp; </w:t>
      </w:r>
      <w:proofErr w:type="spellStart"/>
      <w:r>
        <w:rPr>
          <w:rFonts w:ascii="Calibri" w:hAnsi="Calibri"/>
          <w:b w:val="0"/>
          <w:sz w:val="22"/>
          <w:szCs w:val="22"/>
        </w:rPr>
        <w:t>Taksa</w:t>
      </w:r>
      <w:proofErr w:type="spellEnd"/>
      <w:r>
        <w:rPr>
          <w:rFonts w:ascii="Calibri" w:hAnsi="Calibri"/>
          <w:b w:val="0"/>
          <w:sz w:val="22"/>
          <w:szCs w:val="22"/>
        </w:rPr>
        <w:t xml:space="preserve"> L. (2015) Cultural capital in business education: reconsidering the graduate attributes movement and the focus on employability. </w:t>
      </w:r>
      <w:r w:rsidRPr="00017D46">
        <w:rPr>
          <w:rFonts w:ascii="Calibri" w:hAnsi="Calibri"/>
          <w:b w:val="0"/>
          <w:i/>
          <w:sz w:val="22"/>
          <w:szCs w:val="22"/>
        </w:rPr>
        <w:t>Studies in Higher Education</w:t>
      </w:r>
      <w:r>
        <w:rPr>
          <w:rFonts w:ascii="Calibri" w:hAnsi="Calibri"/>
          <w:b w:val="0"/>
          <w:sz w:val="22"/>
          <w:szCs w:val="22"/>
        </w:rPr>
        <w:t>, 40, 580-595.</w:t>
      </w:r>
    </w:p>
    <w:p w:rsidR="00017D46" w:rsidRDefault="00017D46" w:rsidP="00F56AA2">
      <w:pPr>
        <w:pStyle w:val="Heading2"/>
        <w:spacing w:before="0" w:beforeAutospacing="0" w:after="0" w:afterAutospacing="0" w:line="360" w:lineRule="auto"/>
        <w:rPr>
          <w:rFonts w:ascii="Calibri" w:hAnsi="Calibri"/>
          <w:b w:val="0"/>
          <w:sz w:val="22"/>
          <w:szCs w:val="22"/>
        </w:rPr>
      </w:pPr>
    </w:p>
    <w:p w:rsidR="00F56AA2" w:rsidRDefault="00F56AA2" w:rsidP="00F56AA2">
      <w:pPr>
        <w:pStyle w:val="Heading2"/>
        <w:spacing w:before="0" w:beforeAutospacing="0" w:after="0" w:afterAutospacing="0" w:line="360" w:lineRule="auto"/>
        <w:rPr>
          <w:rFonts w:ascii="Calibri" w:hAnsi="Calibri"/>
          <w:b w:val="0"/>
          <w:sz w:val="22"/>
          <w:szCs w:val="22"/>
        </w:rPr>
      </w:pPr>
      <w:proofErr w:type="gramStart"/>
      <w:r w:rsidRPr="004B1681">
        <w:rPr>
          <w:rFonts w:ascii="Calibri" w:hAnsi="Calibri"/>
          <w:b w:val="0"/>
          <w:sz w:val="22"/>
          <w:szCs w:val="22"/>
        </w:rPr>
        <w:t>Kong, L. (2007) Geography’s place in higher education in Singapore.</w:t>
      </w:r>
      <w:proofErr w:type="gramEnd"/>
      <w:r w:rsidRPr="004B1681">
        <w:rPr>
          <w:rFonts w:ascii="Calibri" w:hAnsi="Calibri"/>
          <w:b w:val="0"/>
          <w:sz w:val="22"/>
          <w:szCs w:val="22"/>
        </w:rPr>
        <w:t xml:space="preserve"> </w:t>
      </w:r>
      <w:r w:rsidRPr="004B1681">
        <w:rPr>
          <w:rFonts w:ascii="Calibri" w:hAnsi="Calibri"/>
          <w:b w:val="0"/>
          <w:i/>
          <w:sz w:val="22"/>
          <w:szCs w:val="22"/>
        </w:rPr>
        <w:t>Journal of Geography in Higher Education</w:t>
      </w:r>
      <w:r w:rsidRPr="004B1681">
        <w:rPr>
          <w:rFonts w:ascii="Calibri" w:hAnsi="Calibri"/>
          <w:b w:val="0"/>
          <w:sz w:val="22"/>
          <w:szCs w:val="22"/>
        </w:rPr>
        <w:t>, 31, 39-56.</w:t>
      </w:r>
    </w:p>
    <w:p w:rsidR="00D50C4E" w:rsidRDefault="00D50C4E" w:rsidP="00F56AA2">
      <w:pPr>
        <w:pStyle w:val="Heading2"/>
        <w:spacing w:before="0" w:beforeAutospacing="0" w:after="0" w:afterAutospacing="0" w:line="360" w:lineRule="auto"/>
        <w:rPr>
          <w:rFonts w:ascii="Calibri" w:hAnsi="Calibri"/>
          <w:b w:val="0"/>
          <w:sz w:val="22"/>
          <w:szCs w:val="22"/>
        </w:rPr>
      </w:pPr>
    </w:p>
    <w:p w:rsidR="00D50C4E" w:rsidRPr="004B1681" w:rsidRDefault="00D50C4E" w:rsidP="00F56AA2">
      <w:pPr>
        <w:pStyle w:val="Heading2"/>
        <w:spacing w:before="0" w:beforeAutospacing="0" w:after="0" w:afterAutospacing="0" w:line="360" w:lineRule="auto"/>
        <w:rPr>
          <w:rFonts w:ascii="Calibri" w:hAnsi="Calibri"/>
          <w:b w:val="0"/>
          <w:sz w:val="22"/>
          <w:szCs w:val="22"/>
        </w:rPr>
      </w:pPr>
      <w:proofErr w:type="spellStart"/>
      <w:r>
        <w:rPr>
          <w:rFonts w:ascii="Calibri" w:hAnsi="Calibri"/>
          <w:b w:val="0"/>
          <w:sz w:val="22"/>
          <w:szCs w:val="22"/>
        </w:rPr>
        <w:t>Kuh</w:t>
      </w:r>
      <w:proofErr w:type="spellEnd"/>
      <w:r>
        <w:rPr>
          <w:rFonts w:ascii="Calibri" w:hAnsi="Calibri"/>
          <w:b w:val="0"/>
          <w:sz w:val="22"/>
          <w:szCs w:val="22"/>
        </w:rPr>
        <w:t xml:space="preserve">, G. (2009) </w:t>
      </w:r>
      <w:r w:rsidRPr="00D50C4E">
        <w:rPr>
          <w:rFonts w:ascii="Calibri" w:hAnsi="Calibri"/>
          <w:b w:val="0"/>
          <w:i/>
          <w:sz w:val="22"/>
          <w:szCs w:val="22"/>
        </w:rPr>
        <w:t>High</w:t>
      </w:r>
      <w:r>
        <w:rPr>
          <w:rFonts w:ascii="Calibri" w:hAnsi="Calibri"/>
          <w:b w:val="0"/>
          <w:i/>
          <w:sz w:val="22"/>
          <w:szCs w:val="22"/>
        </w:rPr>
        <w:t>-</w:t>
      </w:r>
      <w:r w:rsidRPr="00D50C4E">
        <w:rPr>
          <w:rFonts w:ascii="Calibri" w:hAnsi="Calibri"/>
          <w:b w:val="0"/>
          <w:i/>
          <w:sz w:val="22"/>
          <w:szCs w:val="22"/>
        </w:rPr>
        <w:t>impact educational practices: what they are, who has access to them, and why they matter</w:t>
      </w:r>
      <w:r>
        <w:rPr>
          <w:rFonts w:ascii="Calibri" w:hAnsi="Calibri"/>
          <w:b w:val="0"/>
          <w:sz w:val="22"/>
          <w:szCs w:val="22"/>
        </w:rPr>
        <w:t>. Washington, DC: Association of American Colleges and Universities.</w:t>
      </w:r>
    </w:p>
    <w:p w:rsidR="00F56AA2" w:rsidRDefault="00F56AA2" w:rsidP="00F56AA2">
      <w:pPr>
        <w:pStyle w:val="Heading2"/>
        <w:spacing w:before="0" w:beforeAutospacing="0" w:after="0" w:afterAutospacing="0" w:line="360" w:lineRule="auto"/>
        <w:rPr>
          <w:rFonts w:ascii="Calibri" w:hAnsi="Calibri"/>
          <w:b w:val="0"/>
          <w:sz w:val="22"/>
          <w:szCs w:val="22"/>
        </w:rPr>
      </w:pPr>
    </w:p>
    <w:p w:rsidR="00F56AA2" w:rsidRDefault="00F56AA2" w:rsidP="00F56AA2">
      <w:pPr>
        <w:pStyle w:val="Heading2"/>
        <w:spacing w:before="0" w:beforeAutospacing="0" w:after="0" w:afterAutospacing="0" w:line="360" w:lineRule="auto"/>
        <w:rPr>
          <w:rFonts w:ascii="Calibri" w:hAnsi="Calibri"/>
          <w:b w:val="0"/>
          <w:sz w:val="22"/>
          <w:szCs w:val="22"/>
        </w:rPr>
      </w:pPr>
      <w:proofErr w:type="gramStart"/>
      <w:r w:rsidRPr="004B1681">
        <w:rPr>
          <w:rFonts w:ascii="Calibri" w:hAnsi="Calibri"/>
          <w:b w:val="0"/>
          <w:sz w:val="22"/>
          <w:szCs w:val="22"/>
        </w:rPr>
        <w:lastRenderedPageBreak/>
        <w:t xml:space="preserve">Li, X., Kong, Y. &amp; </w:t>
      </w:r>
      <w:proofErr w:type="spellStart"/>
      <w:r w:rsidRPr="004B1681">
        <w:rPr>
          <w:rFonts w:ascii="Calibri" w:hAnsi="Calibri"/>
          <w:b w:val="0"/>
          <w:sz w:val="22"/>
          <w:szCs w:val="22"/>
        </w:rPr>
        <w:t>Peng</w:t>
      </w:r>
      <w:proofErr w:type="spellEnd"/>
      <w:r w:rsidRPr="004B1681">
        <w:rPr>
          <w:rFonts w:ascii="Calibri" w:hAnsi="Calibri"/>
          <w:b w:val="0"/>
          <w:sz w:val="22"/>
          <w:szCs w:val="22"/>
        </w:rPr>
        <w:t>, B. (2007) Development of geography in higher education in China since 1980.</w:t>
      </w:r>
      <w:proofErr w:type="gramEnd"/>
      <w:r w:rsidRPr="004B1681">
        <w:rPr>
          <w:rFonts w:ascii="Calibri" w:hAnsi="Calibri"/>
          <w:b w:val="0"/>
          <w:sz w:val="22"/>
          <w:szCs w:val="22"/>
        </w:rPr>
        <w:t xml:space="preserve"> Journal of Geography in Higher Education, 31, 19-37.</w:t>
      </w:r>
    </w:p>
    <w:p w:rsidR="00350057" w:rsidRDefault="00350057" w:rsidP="00F56AA2">
      <w:pPr>
        <w:pStyle w:val="Heading2"/>
        <w:spacing w:before="0" w:beforeAutospacing="0" w:after="0" w:afterAutospacing="0" w:line="360" w:lineRule="auto"/>
        <w:rPr>
          <w:rFonts w:ascii="Calibri" w:hAnsi="Calibri"/>
          <w:b w:val="0"/>
          <w:sz w:val="22"/>
          <w:szCs w:val="22"/>
        </w:rPr>
      </w:pPr>
    </w:p>
    <w:p w:rsidR="00350057" w:rsidRDefault="00350057" w:rsidP="00F56AA2">
      <w:pPr>
        <w:pStyle w:val="Heading2"/>
        <w:spacing w:before="0" w:beforeAutospacing="0" w:after="0" w:afterAutospacing="0" w:line="360" w:lineRule="auto"/>
        <w:rPr>
          <w:rFonts w:ascii="Calibri" w:hAnsi="Calibri"/>
          <w:b w:val="0"/>
          <w:sz w:val="22"/>
          <w:szCs w:val="22"/>
        </w:rPr>
      </w:pPr>
      <w:r>
        <w:rPr>
          <w:rFonts w:ascii="Calibri" w:hAnsi="Calibri"/>
          <w:b w:val="0"/>
          <w:sz w:val="22"/>
          <w:szCs w:val="22"/>
        </w:rPr>
        <w:t xml:space="preserve">Litchfield, A.J., </w:t>
      </w:r>
      <w:proofErr w:type="spellStart"/>
      <w:r>
        <w:rPr>
          <w:rFonts w:ascii="Calibri" w:hAnsi="Calibri"/>
          <w:b w:val="0"/>
          <w:sz w:val="22"/>
          <w:szCs w:val="22"/>
        </w:rPr>
        <w:t>Frawley</w:t>
      </w:r>
      <w:proofErr w:type="spellEnd"/>
      <w:r>
        <w:rPr>
          <w:rFonts w:ascii="Calibri" w:hAnsi="Calibri"/>
          <w:b w:val="0"/>
          <w:sz w:val="22"/>
          <w:szCs w:val="22"/>
        </w:rPr>
        <w:t xml:space="preserve">, J.E. &amp; Nettleton, S.C. (2010) Contextualising and integrating into the curriculum the learning and teaching of work-ready professional graduate attributes. </w:t>
      </w:r>
      <w:r w:rsidRPr="00350057">
        <w:rPr>
          <w:rFonts w:ascii="Calibri" w:hAnsi="Calibri"/>
          <w:b w:val="0"/>
          <w:i/>
          <w:sz w:val="22"/>
          <w:szCs w:val="22"/>
        </w:rPr>
        <w:t>Higher Education Research &amp; Development</w:t>
      </w:r>
      <w:r>
        <w:rPr>
          <w:rFonts w:ascii="Calibri" w:hAnsi="Calibri"/>
          <w:b w:val="0"/>
          <w:sz w:val="22"/>
          <w:szCs w:val="22"/>
        </w:rPr>
        <w:t>, 29, 519-534.</w:t>
      </w:r>
    </w:p>
    <w:p w:rsidR="00E43883" w:rsidRDefault="00E43883" w:rsidP="00F56AA2">
      <w:pPr>
        <w:pStyle w:val="Heading2"/>
        <w:spacing w:before="0" w:beforeAutospacing="0" w:after="0" w:afterAutospacing="0" w:line="360" w:lineRule="auto"/>
        <w:rPr>
          <w:rFonts w:ascii="Calibri" w:hAnsi="Calibri"/>
          <w:b w:val="0"/>
          <w:sz w:val="22"/>
          <w:szCs w:val="22"/>
        </w:rPr>
      </w:pPr>
    </w:p>
    <w:p w:rsidR="00E43883" w:rsidRPr="004B1681" w:rsidRDefault="00E43883" w:rsidP="00F56AA2">
      <w:pPr>
        <w:pStyle w:val="Heading2"/>
        <w:spacing w:before="0" w:beforeAutospacing="0" w:after="0" w:afterAutospacing="0" w:line="360" w:lineRule="auto"/>
        <w:rPr>
          <w:rFonts w:ascii="Calibri" w:hAnsi="Calibri"/>
          <w:b w:val="0"/>
          <w:sz w:val="22"/>
          <w:szCs w:val="22"/>
        </w:rPr>
      </w:pPr>
      <w:proofErr w:type="spellStart"/>
      <w:r>
        <w:rPr>
          <w:rFonts w:ascii="Calibri" w:hAnsi="Calibri"/>
          <w:b w:val="0"/>
          <w:sz w:val="22"/>
          <w:szCs w:val="22"/>
        </w:rPr>
        <w:t>Mager</w:t>
      </w:r>
      <w:proofErr w:type="spellEnd"/>
      <w:r>
        <w:rPr>
          <w:rFonts w:ascii="Calibri" w:hAnsi="Calibri"/>
          <w:b w:val="0"/>
          <w:sz w:val="22"/>
          <w:szCs w:val="22"/>
        </w:rPr>
        <w:t xml:space="preserve">, S. &amp; Spronken-Smith, R. (2014) Graduate attribute attainment in a multi-level undergraduate geography course. </w:t>
      </w:r>
      <w:r w:rsidRPr="00E43883">
        <w:rPr>
          <w:rFonts w:ascii="Calibri" w:hAnsi="Calibri"/>
          <w:b w:val="0"/>
          <w:i/>
          <w:sz w:val="22"/>
          <w:szCs w:val="22"/>
        </w:rPr>
        <w:t>Journal of Geography in Higher Education</w:t>
      </w:r>
      <w:r>
        <w:rPr>
          <w:rFonts w:ascii="Calibri" w:hAnsi="Calibri"/>
          <w:b w:val="0"/>
          <w:sz w:val="22"/>
          <w:szCs w:val="22"/>
        </w:rPr>
        <w:t>, 38, 238-250.</w:t>
      </w:r>
    </w:p>
    <w:p w:rsidR="00F56AA2" w:rsidRPr="00630800" w:rsidRDefault="00F56AA2" w:rsidP="00D51A15">
      <w:pPr>
        <w:autoSpaceDE w:val="0"/>
        <w:autoSpaceDN w:val="0"/>
        <w:adjustRightInd w:val="0"/>
        <w:spacing w:after="0" w:line="360" w:lineRule="auto"/>
        <w:rPr>
          <w:rFonts w:eastAsia="Calibri" w:cs="Times New Roman"/>
        </w:rPr>
      </w:pPr>
    </w:p>
    <w:p w:rsidR="00661C57" w:rsidRDefault="00661C57" w:rsidP="00D51A15">
      <w:pPr>
        <w:autoSpaceDE w:val="0"/>
        <w:autoSpaceDN w:val="0"/>
        <w:adjustRightInd w:val="0"/>
        <w:spacing w:after="0" w:line="360" w:lineRule="auto"/>
        <w:rPr>
          <w:rStyle w:val="hlfld-contribauthor"/>
        </w:rPr>
      </w:pPr>
      <w:proofErr w:type="spellStart"/>
      <w:r w:rsidRPr="00630800">
        <w:rPr>
          <w:rFonts w:eastAsia="Calibri" w:cs="Times New Roman"/>
        </w:rPr>
        <w:t>Ols</w:t>
      </w:r>
      <w:r w:rsidR="00A8006D" w:rsidRPr="00630800">
        <w:rPr>
          <w:rFonts w:eastAsia="Calibri" w:cs="Times New Roman"/>
        </w:rPr>
        <w:t>s</w:t>
      </w:r>
      <w:r w:rsidRPr="00630800">
        <w:rPr>
          <w:rFonts w:eastAsia="Calibri" w:cs="Times New Roman"/>
        </w:rPr>
        <w:t>en</w:t>
      </w:r>
      <w:proofErr w:type="spellEnd"/>
      <w:r w:rsidR="00A8006D" w:rsidRPr="00630800">
        <w:rPr>
          <w:rFonts w:eastAsia="Calibri" w:cs="Times New Roman"/>
        </w:rPr>
        <w:t>, M.</w:t>
      </w:r>
      <w:r w:rsidRPr="00630800">
        <w:rPr>
          <w:rFonts w:eastAsia="Calibri" w:cs="Times New Roman"/>
        </w:rPr>
        <w:t xml:space="preserve"> </w:t>
      </w:r>
      <w:r w:rsidRPr="00630800">
        <w:rPr>
          <w:rStyle w:val="author"/>
        </w:rPr>
        <w:t>&amp; Peters</w:t>
      </w:r>
      <w:r w:rsidRPr="00630800">
        <w:rPr>
          <w:rStyle w:val="hlfld-contribauthor"/>
        </w:rPr>
        <w:t>,</w:t>
      </w:r>
      <w:r w:rsidR="00A8006D" w:rsidRPr="00630800">
        <w:rPr>
          <w:rStyle w:val="hlfld-contribauthor"/>
        </w:rPr>
        <w:t xml:space="preserve"> M.A. (2005) </w:t>
      </w:r>
      <w:proofErr w:type="spellStart"/>
      <w:r w:rsidR="00A8006D" w:rsidRPr="00630800">
        <w:rPr>
          <w:rStyle w:val="hlfld-contribauthor"/>
        </w:rPr>
        <w:t>Neoliberalism</w:t>
      </w:r>
      <w:proofErr w:type="spellEnd"/>
      <w:r w:rsidR="00A8006D" w:rsidRPr="00630800">
        <w:rPr>
          <w:rStyle w:val="hlfld-contribauthor"/>
        </w:rPr>
        <w:t xml:space="preserve">, higher education and the knowledge economy: from the free market to knowledge capitalism. </w:t>
      </w:r>
      <w:r w:rsidR="00A8006D" w:rsidRPr="00630800">
        <w:rPr>
          <w:rStyle w:val="hlfld-contribauthor"/>
          <w:i/>
        </w:rPr>
        <w:t>Journal of Education Policy</w:t>
      </w:r>
      <w:r w:rsidR="00A8006D" w:rsidRPr="00630800">
        <w:rPr>
          <w:rStyle w:val="hlfld-contribauthor"/>
        </w:rPr>
        <w:t>, 20, 313-345.</w:t>
      </w:r>
      <w:r w:rsidRPr="00630800">
        <w:rPr>
          <w:rStyle w:val="hlfld-contribauthor"/>
        </w:rPr>
        <w:t xml:space="preserve"> </w:t>
      </w:r>
    </w:p>
    <w:p w:rsidR="00F52174" w:rsidRDefault="00F52174" w:rsidP="00D51A15">
      <w:pPr>
        <w:autoSpaceDE w:val="0"/>
        <w:autoSpaceDN w:val="0"/>
        <w:adjustRightInd w:val="0"/>
        <w:spacing w:after="0" w:line="360" w:lineRule="auto"/>
        <w:rPr>
          <w:rStyle w:val="hlfld-contribauthor"/>
        </w:rPr>
      </w:pPr>
    </w:p>
    <w:p w:rsidR="00F52174" w:rsidRPr="00F52174" w:rsidRDefault="00F52174" w:rsidP="00F52174">
      <w:pPr>
        <w:autoSpaceDE w:val="0"/>
        <w:autoSpaceDN w:val="0"/>
        <w:adjustRightInd w:val="0"/>
        <w:spacing w:after="0" w:line="360" w:lineRule="auto"/>
      </w:pPr>
      <w:proofErr w:type="spellStart"/>
      <w:proofErr w:type="gramStart"/>
      <w:r w:rsidRPr="00F52174">
        <w:t>Shulman</w:t>
      </w:r>
      <w:proofErr w:type="spellEnd"/>
      <w:r w:rsidRPr="00F52174">
        <w:t>, L. (2005) Signature pedagogies in the professions.</w:t>
      </w:r>
      <w:proofErr w:type="gramEnd"/>
      <w:r w:rsidRPr="00F52174">
        <w:t xml:space="preserve"> </w:t>
      </w:r>
      <w:proofErr w:type="spellStart"/>
      <w:r w:rsidRPr="00F52174">
        <w:rPr>
          <w:i/>
          <w:iCs/>
        </w:rPr>
        <w:t>Daedalus</w:t>
      </w:r>
      <w:proofErr w:type="spellEnd"/>
      <w:r w:rsidRPr="00F52174">
        <w:rPr>
          <w:i/>
          <w:iCs/>
        </w:rPr>
        <w:t>,</w:t>
      </w:r>
      <w:r w:rsidRPr="00F52174">
        <w:t xml:space="preserve"> 134, 52-59.</w:t>
      </w:r>
    </w:p>
    <w:p w:rsidR="00630800" w:rsidRPr="00630800" w:rsidRDefault="00630800" w:rsidP="00630800">
      <w:pPr>
        <w:pStyle w:val="Body"/>
        <w:spacing w:line="360" w:lineRule="auto"/>
        <w:rPr>
          <w:rFonts w:asciiTheme="minorHAnsi" w:hAnsiTheme="minorHAnsi" w:cs="Arial"/>
        </w:rPr>
      </w:pPr>
    </w:p>
    <w:p w:rsidR="00630800" w:rsidRPr="00630800" w:rsidRDefault="00630800" w:rsidP="00630800">
      <w:pPr>
        <w:pStyle w:val="Body"/>
        <w:spacing w:line="360" w:lineRule="auto"/>
        <w:rPr>
          <w:rFonts w:asciiTheme="minorHAnsi" w:hAnsiTheme="minorHAnsi" w:cs="Arial"/>
        </w:rPr>
      </w:pPr>
      <w:proofErr w:type="gramStart"/>
      <w:r w:rsidRPr="00630800">
        <w:rPr>
          <w:rFonts w:asciiTheme="minorHAnsi" w:hAnsiTheme="minorHAnsi" w:cs="Arial"/>
        </w:rPr>
        <w:t>Solem, M., Cheung, I. &amp; Schlemper, M.B. (2008) Skills in professional geography: an assessment of workforce needs and expectations.</w:t>
      </w:r>
      <w:proofErr w:type="gramEnd"/>
      <w:r w:rsidRPr="00630800">
        <w:rPr>
          <w:rFonts w:asciiTheme="minorHAnsi" w:hAnsiTheme="minorHAnsi" w:cs="Arial"/>
        </w:rPr>
        <w:t xml:space="preserve"> </w:t>
      </w:r>
      <w:r w:rsidRPr="00630800">
        <w:rPr>
          <w:rFonts w:asciiTheme="minorHAnsi" w:hAnsiTheme="minorHAnsi" w:cs="Arial"/>
          <w:i/>
          <w:iCs/>
        </w:rPr>
        <w:t>The Professional Geographer,</w:t>
      </w:r>
      <w:r w:rsidRPr="00630800">
        <w:rPr>
          <w:rFonts w:asciiTheme="minorHAnsi" w:hAnsiTheme="minorHAnsi" w:cs="Arial"/>
        </w:rPr>
        <w:t xml:space="preserve"> 60, 356-373.</w:t>
      </w:r>
    </w:p>
    <w:p w:rsidR="003D5D4C" w:rsidRPr="00630800" w:rsidRDefault="003D5D4C" w:rsidP="00D51A15">
      <w:pPr>
        <w:autoSpaceDE w:val="0"/>
        <w:autoSpaceDN w:val="0"/>
        <w:adjustRightInd w:val="0"/>
        <w:spacing w:after="0" w:line="360" w:lineRule="auto"/>
        <w:rPr>
          <w:rStyle w:val="hlfld-contribauthor"/>
        </w:rPr>
      </w:pPr>
    </w:p>
    <w:p w:rsidR="003D5D4C" w:rsidRDefault="003D5D4C" w:rsidP="00D51A15">
      <w:pPr>
        <w:autoSpaceDE w:val="0"/>
        <w:autoSpaceDN w:val="0"/>
        <w:adjustRightInd w:val="0"/>
        <w:spacing w:after="0" w:line="360" w:lineRule="auto"/>
        <w:rPr>
          <w:rStyle w:val="hlfld-contribauthor"/>
        </w:rPr>
      </w:pPr>
      <w:r w:rsidRPr="00630800">
        <w:rPr>
          <w:rStyle w:val="hlfld-contribauthor"/>
        </w:rPr>
        <w:t xml:space="preserve">Spronken-Smith, R., Bond, C., McLean, A., </w:t>
      </w:r>
      <w:proofErr w:type="spellStart"/>
      <w:r w:rsidRPr="00630800">
        <w:rPr>
          <w:rStyle w:val="hlfld-contribauthor"/>
        </w:rPr>
        <w:t>Frielick</w:t>
      </w:r>
      <w:proofErr w:type="spellEnd"/>
      <w:r w:rsidRPr="00630800">
        <w:rPr>
          <w:rStyle w:val="hlfld-contribauthor"/>
        </w:rPr>
        <w:t xml:space="preserve">, S., Smith, N., Jenkins, M. &amp; Marshall, S. (2015) Evaluating engagement with graduate outcomes across higher education institutions in </w:t>
      </w:r>
      <w:proofErr w:type="spellStart"/>
      <w:r w:rsidRPr="00630800">
        <w:rPr>
          <w:rStyle w:val="hlfld-contribauthor"/>
        </w:rPr>
        <w:t>Aotearoa</w:t>
      </w:r>
      <w:proofErr w:type="spellEnd"/>
      <w:r w:rsidRPr="00630800">
        <w:rPr>
          <w:rStyle w:val="hlfld-contribauthor"/>
        </w:rPr>
        <w:t>/</w:t>
      </w:r>
      <w:r>
        <w:rPr>
          <w:rStyle w:val="hlfld-contribauthor"/>
        </w:rPr>
        <w:t xml:space="preserve">New Zealand. </w:t>
      </w:r>
      <w:r w:rsidRPr="003D5D4C">
        <w:rPr>
          <w:rStyle w:val="hlfld-contribauthor"/>
          <w:i/>
        </w:rPr>
        <w:t>Higher Education Research &amp; Development</w:t>
      </w:r>
      <w:r>
        <w:rPr>
          <w:rStyle w:val="hlfld-contribauthor"/>
        </w:rPr>
        <w:t>, 34, 1014-1030.</w:t>
      </w:r>
    </w:p>
    <w:p w:rsidR="00E80DA9" w:rsidRDefault="00E80DA9" w:rsidP="00D51A15">
      <w:pPr>
        <w:autoSpaceDE w:val="0"/>
        <w:autoSpaceDN w:val="0"/>
        <w:adjustRightInd w:val="0"/>
        <w:spacing w:after="0" w:line="360" w:lineRule="auto"/>
        <w:rPr>
          <w:rStyle w:val="hlfld-contribauthor"/>
        </w:rPr>
      </w:pPr>
    </w:p>
    <w:p w:rsidR="00E80DA9" w:rsidRDefault="00E80DA9" w:rsidP="00D51A15">
      <w:pPr>
        <w:autoSpaceDE w:val="0"/>
        <w:autoSpaceDN w:val="0"/>
        <w:adjustRightInd w:val="0"/>
        <w:spacing w:after="0" w:line="360" w:lineRule="auto"/>
        <w:rPr>
          <w:rStyle w:val="hlfld-contribauthor"/>
        </w:rPr>
      </w:pPr>
      <w:r>
        <w:rPr>
          <w:rStyle w:val="hlfld-contribauthor"/>
        </w:rPr>
        <w:t xml:space="preserve">Su, Y. (2014) Self-directed, genuine graduate attributes: the person-based approach. </w:t>
      </w:r>
      <w:r w:rsidRPr="00E80DA9">
        <w:rPr>
          <w:rStyle w:val="hlfld-contribauthor"/>
          <w:i/>
        </w:rPr>
        <w:t>Higher Education Research &amp; Development</w:t>
      </w:r>
      <w:r>
        <w:rPr>
          <w:rStyle w:val="hlfld-contribauthor"/>
        </w:rPr>
        <w:t xml:space="preserve">, 33, 1208-1220. </w:t>
      </w:r>
    </w:p>
    <w:p w:rsidR="004A3ED3" w:rsidRDefault="004A3ED3" w:rsidP="00D51A15">
      <w:pPr>
        <w:autoSpaceDE w:val="0"/>
        <w:autoSpaceDN w:val="0"/>
        <w:adjustRightInd w:val="0"/>
        <w:spacing w:after="0" w:line="360" w:lineRule="auto"/>
        <w:rPr>
          <w:rStyle w:val="hlfld-contribauthor"/>
        </w:rPr>
      </w:pPr>
    </w:p>
    <w:p w:rsidR="004A3ED3" w:rsidRDefault="004A3ED3" w:rsidP="00D51A15">
      <w:pPr>
        <w:autoSpaceDE w:val="0"/>
        <w:autoSpaceDN w:val="0"/>
        <w:adjustRightInd w:val="0"/>
        <w:spacing w:after="0" w:line="360" w:lineRule="auto"/>
        <w:rPr>
          <w:rStyle w:val="hlfld-contribauthor"/>
        </w:rPr>
      </w:pPr>
      <w:proofErr w:type="spellStart"/>
      <w:r>
        <w:t>Sumison</w:t>
      </w:r>
      <w:proofErr w:type="spellEnd"/>
      <w:r>
        <w:t xml:space="preserve">, J. &amp; </w:t>
      </w:r>
      <w:proofErr w:type="spellStart"/>
      <w:r>
        <w:t>Goodfellow</w:t>
      </w:r>
      <w:proofErr w:type="spellEnd"/>
      <w:r>
        <w:t xml:space="preserve">, J. (2004) Identifying generic skills through curriculum mapping: a critical evaluation. </w:t>
      </w:r>
      <w:r w:rsidRPr="004A3ED3">
        <w:rPr>
          <w:i/>
        </w:rPr>
        <w:t>Higher Education Research and Development</w:t>
      </w:r>
      <w:r>
        <w:t>, 23, 329-346.</w:t>
      </w:r>
    </w:p>
    <w:p w:rsidR="00F56AA2" w:rsidRDefault="00F56AA2" w:rsidP="00D51A15">
      <w:pPr>
        <w:autoSpaceDE w:val="0"/>
        <w:autoSpaceDN w:val="0"/>
        <w:adjustRightInd w:val="0"/>
        <w:spacing w:after="0" w:line="360" w:lineRule="auto"/>
        <w:rPr>
          <w:rStyle w:val="hlfld-contribauthor"/>
        </w:rPr>
      </w:pPr>
    </w:p>
    <w:p w:rsidR="00F56AA2" w:rsidRPr="004B1681" w:rsidRDefault="00F56AA2" w:rsidP="00F56AA2">
      <w:pPr>
        <w:spacing w:after="0" w:line="360" w:lineRule="auto"/>
        <w:rPr>
          <w:rFonts w:ascii="Calibri" w:hAnsi="Calibri" w:cs="Arial"/>
        </w:rPr>
      </w:pPr>
      <w:r w:rsidRPr="004B1681">
        <w:rPr>
          <w:rFonts w:ascii="Calibri" w:hAnsi="Calibri" w:cs="Arial"/>
        </w:rPr>
        <w:t xml:space="preserve">Whalley, W.B., Saunders, A., Lewis, R.A., </w:t>
      </w:r>
      <w:proofErr w:type="spellStart"/>
      <w:r w:rsidRPr="004B1681">
        <w:rPr>
          <w:rFonts w:ascii="Calibri" w:hAnsi="Calibri" w:cs="Arial"/>
        </w:rPr>
        <w:t>Buenemann</w:t>
      </w:r>
      <w:proofErr w:type="spellEnd"/>
      <w:r w:rsidRPr="004B1681">
        <w:rPr>
          <w:rFonts w:ascii="Calibri" w:hAnsi="Calibri" w:cs="Arial"/>
        </w:rPr>
        <w:t xml:space="preserve">, </w:t>
      </w:r>
      <w:proofErr w:type="gramStart"/>
      <w:r w:rsidRPr="004B1681">
        <w:rPr>
          <w:rFonts w:ascii="Calibri" w:hAnsi="Calibri" w:cs="Arial"/>
        </w:rPr>
        <w:t>M</w:t>
      </w:r>
      <w:proofErr w:type="gramEnd"/>
      <w:r w:rsidRPr="004B1681">
        <w:rPr>
          <w:rFonts w:ascii="Calibri" w:hAnsi="Calibri" w:cs="Arial"/>
        </w:rPr>
        <w:t xml:space="preserve">. &amp; Sutton, P.C. (2011) Curriculum development: producing </w:t>
      </w:r>
      <w:r w:rsidRPr="004B1681">
        <w:rPr>
          <w:rFonts w:ascii="Calibri" w:hAnsi="Calibri" w:cs="Arial"/>
          <w:i/>
        </w:rPr>
        <w:t xml:space="preserve">Geographers </w:t>
      </w:r>
      <w:r w:rsidRPr="004B1681">
        <w:rPr>
          <w:rFonts w:ascii="Calibri" w:hAnsi="Calibri" w:cs="Arial"/>
        </w:rPr>
        <w:t>for the 21</w:t>
      </w:r>
      <w:r w:rsidRPr="004B1681">
        <w:rPr>
          <w:rFonts w:ascii="Calibri" w:hAnsi="Calibri" w:cs="Arial"/>
          <w:vertAlign w:val="superscript"/>
        </w:rPr>
        <w:t>st</w:t>
      </w:r>
      <w:r w:rsidRPr="004B1681">
        <w:rPr>
          <w:rFonts w:ascii="Calibri" w:hAnsi="Calibri" w:cs="Arial"/>
        </w:rPr>
        <w:t xml:space="preserve"> century. </w:t>
      </w:r>
      <w:r w:rsidRPr="004B1681">
        <w:rPr>
          <w:rFonts w:ascii="Calibri" w:hAnsi="Calibri" w:cs="Arial"/>
          <w:i/>
        </w:rPr>
        <w:t>Journal of Geography in Higher Education</w:t>
      </w:r>
      <w:r w:rsidRPr="004B1681">
        <w:rPr>
          <w:rFonts w:ascii="Calibri" w:hAnsi="Calibri" w:cs="Arial"/>
        </w:rPr>
        <w:t>, 35, 379-393.</w:t>
      </w:r>
    </w:p>
    <w:p w:rsidR="00F56AA2" w:rsidRPr="00661C57" w:rsidRDefault="00F56AA2" w:rsidP="00D51A15">
      <w:pPr>
        <w:autoSpaceDE w:val="0"/>
        <w:autoSpaceDN w:val="0"/>
        <w:adjustRightInd w:val="0"/>
        <w:spacing w:after="0" w:line="360" w:lineRule="auto"/>
        <w:rPr>
          <w:rStyle w:val="hlfld-contribauthor"/>
        </w:rPr>
      </w:pPr>
    </w:p>
    <w:p w:rsidR="00661C57" w:rsidRPr="00661C57" w:rsidRDefault="00661C57" w:rsidP="00D51A15">
      <w:pPr>
        <w:autoSpaceDE w:val="0"/>
        <w:autoSpaceDN w:val="0"/>
        <w:adjustRightInd w:val="0"/>
        <w:spacing w:after="0" w:line="360" w:lineRule="auto"/>
        <w:rPr>
          <w:rFonts w:cs="StoneSerif"/>
        </w:rPr>
      </w:pPr>
    </w:p>
    <w:sectPr w:rsidR="00661C57" w:rsidRPr="00661C57" w:rsidSect="00E81BCA">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72D" w:rsidRDefault="00BA572D" w:rsidP="005E669B">
      <w:pPr>
        <w:spacing w:after="0" w:line="240" w:lineRule="auto"/>
      </w:pPr>
      <w:r>
        <w:separator/>
      </w:r>
    </w:p>
  </w:endnote>
  <w:endnote w:type="continuationSeparator" w:id="0">
    <w:p w:rsidR="00BA572D" w:rsidRDefault="00BA572D" w:rsidP="005E66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dvPlantin-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vTTec369687+20">
    <w:panose1 w:val="00000000000000000000"/>
    <w:charset w:val="00"/>
    <w:family w:val="swiss"/>
    <w:notTrueType/>
    <w:pitch w:val="default"/>
    <w:sig w:usb0="00000003" w:usb1="00000000" w:usb2="00000000" w:usb3="00000000" w:csb0="00000001" w:csb1="00000000"/>
  </w:font>
  <w:font w:name="AdvTTec369687">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StoneSerif">
    <w:altName w:val="Cambria"/>
    <w:panose1 w:val="00000000000000000000"/>
    <w:charset w:val="4D"/>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2421"/>
      <w:docPartObj>
        <w:docPartGallery w:val="Page Numbers (Bottom of Page)"/>
        <w:docPartUnique/>
      </w:docPartObj>
    </w:sdtPr>
    <w:sdtContent>
      <w:p w:rsidR="005E669B" w:rsidRDefault="00BE49B8">
        <w:pPr>
          <w:pStyle w:val="Footer"/>
          <w:jc w:val="center"/>
        </w:pPr>
        <w:r>
          <w:fldChar w:fldCharType="begin"/>
        </w:r>
        <w:r w:rsidR="00DB41EF">
          <w:instrText xml:space="preserve"> PAGE   \* MERGEFORMAT </w:instrText>
        </w:r>
        <w:r>
          <w:fldChar w:fldCharType="separate"/>
        </w:r>
        <w:r w:rsidR="00E52C81">
          <w:rPr>
            <w:noProof/>
          </w:rPr>
          <w:t>1</w:t>
        </w:r>
        <w:r>
          <w:rPr>
            <w:noProof/>
          </w:rPr>
          <w:fldChar w:fldCharType="end"/>
        </w:r>
      </w:p>
    </w:sdtContent>
  </w:sdt>
  <w:p w:rsidR="005E669B" w:rsidRDefault="005E66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72D" w:rsidRDefault="00BA572D" w:rsidP="005E669B">
      <w:pPr>
        <w:spacing w:after="0" w:line="240" w:lineRule="auto"/>
      </w:pPr>
      <w:r>
        <w:separator/>
      </w:r>
    </w:p>
  </w:footnote>
  <w:footnote w:type="continuationSeparator" w:id="0">
    <w:p w:rsidR="00BA572D" w:rsidRDefault="00BA572D" w:rsidP="005E66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C7EF5"/>
    <w:multiLevelType w:val="hybridMultilevel"/>
    <w:tmpl w:val="7AC8ACD2"/>
    <w:lvl w:ilvl="0" w:tplc="CE54182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nsid w:val="2FEF1F44"/>
    <w:multiLevelType w:val="hybridMultilevel"/>
    <w:tmpl w:val="784EDDB8"/>
    <w:lvl w:ilvl="0" w:tplc="948066E6">
      <w:start w:val="1"/>
      <w:numFmt w:val="bullet"/>
      <w:lvlText w:val="•"/>
      <w:lvlJc w:val="left"/>
      <w:pPr>
        <w:tabs>
          <w:tab w:val="num" w:pos="720"/>
        </w:tabs>
        <w:ind w:left="720" w:hanging="360"/>
      </w:pPr>
      <w:rPr>
        <w:rFonts w:ascii="Times New Roman" w:hAnsi="Times New Roman" w:hint="default"/>
      </w:rPr>
    </w:lvl>
    <w:lvl w:ilvl="1" w:tplc="E9FC107E" w:tentative="1">
      <w:start w:val="1"/>
      <w:numFmt w:val="bullet"/>
      <w:lvlText w:val="•"/>
      <w:lvlJc w:val="left"/>
      <w:pPr>
        <w:tabs>
          <w:tab w:val="num" w:pos="1440"/>
        </w:tabs>
        <w:ind w:left="1440" w:hanging="360"/>
      </w:pPr>
      <w:rPr>
        <w:rFonts w:ascii="Times New Roman" w:hAnsi="Times New Roman" w:hint="default"/>
      </w:rPr>
    </w:lvl>
    <w:lvl w:ilvl="2" w:tplc="1020E534" w:tentative="1">
      <w:start w:val="1"/>
      <w:numFmt w:val="bullet"/>
      <w:lvlText w:val="•"/>
      <w:lvlJc w:val="left"/>
      <w:pPr>
        <w:tabs>
          <w:tab w:val="num" w:pos="2160"/>
        </w:tabs>
        <w:ind w:left="2160" w:hanging="360"/>
      </w:pPr>
      <w:rPr>
        <w:rFonts w:ascii="Times New Roman" w:hAnsi="Times New Roman" w:hint="default"/>
      </w:rPr>
    </w:lvl>
    <w:lvl w:ilvl="3" w:tplc="8622314A" w:tentative="1">
      <w:start w:val="1"/>
      <w:numFmt w:val="bullet"/>
      <w:lvlText w:val="•"/>
      <w:lvlJc w:val="left"/>
      <w:pPr>
        <w:tabs>
          <w:tab w:val="num" w:pos="2880"/>
        </w:tabs>
        <w:ind w:left="2880" w:hanging="360"/>
      </w:pPr>
      <w:rPr>
        <w:rFonts w:ascii="Times New Roman" w:hAnsi="Times New Roman" w:hint="default"/>
      </w:rPr>
    </w:lvl>
    <w:lvl w:ilvl="4" w:tplc="3CE44D3E" w:tentative="1">
      <w:start w:val="1"/>
      <w:numFmt w:val="bullet"/>
      <w:lvlText w:val="•"/>
      <w:lvlJc w:val="left"/>
      <w:pPr>
        <w:tabs>
          <w:tab w:val="num" w:pos="3600"/>
        </w:tabs>
        <w:ind w:left="3600" w:hanging="360"/>
      </w:pPr>
      <w:rPr>
        <w:rFonts w:ascii="Times New Roman" w:hAnsi="Times New Roman" w:hint="default"/>
      </w:rPr>
    </w:lvl>
    <w:lvl w:ilvl="5" w:tplc="DA94DFE8" w:tentative="1">
      <w:start w:val="1"/>
      <w:numFmt w:val="bullet"/>
      <w:lvlText w:val="•"/>
      <w:lvlJc w:val="left"/>
      <w:pPr>
        <w:tabs>
          <w:tab w:val="num" w:pos="4320"/>
        </w:tabs>
        <w:ind w:left="4320" w:hanging="360"/>
      </w:pPr>
      <w:rPr>
        <w:rFonts w:ascii="Times New Roman" w:hAnsi="Times New Roman" w:hint="default"/>
      </w:rPr>
    </w:lvl>
    <w:lvl w:ilvl="6" w:tplc="5B00A4F4" w:tentative="1">
      <w:start w:val="1"/>
      <w:numFmt w:val="bullet"/>
      <w:lvlText w:val="•"/>
      <w:lvlJc w:val="left"/>
      <w:pPr>
        <w:tabs>
          <w:tab w:val="num" w:pos="5040"/>
        </w:tabs>
        <w:ind w:left="5040" w:hanging="360"/>
      </w:pPr>
      <w:rPr>
        <w:rFonts w:ascii="Times New Roman" w:hAnsi="Times New Roman" w:hint="default"/>
      </w:rPr>
    </w:lvl>
    <w:lvl w:ilvl="7" w:tplc="C2B05FAA" w:tentative="1">
      <w:start w:val="1"/>
      <w:numFmt w:val="bullet"/>
      <w:lvlText w:val="•"/>
      <w:lvlJc w:val="left"/>
      <w:pPr>
        <w:tabs>
          <w:tab w:val="num" w:pos="5760"/>
        </w:tabs>
        <w:ind w:left="5760" w:hanging="360"/>
      </w:pPr>
      <w:rPr>
        <w:rFonts w:ascii="Times New Roman" w:hAnsi="Times New Roman" w:hint="default"/>
      </w:rPr>
    </w:lvl>
    <w:lvl w:ilvl="8" w:tplc="85A0D9F4"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useFELayout/>
  </w:compat>
  <w:rsids>
    <w:rsidRoot w:val="00CC31C3"/>
    <w:rsid w:val="00017D46"/>
    <w:rsid w:val="00040A7A"/>
    <w:rsid w:val="00040AA0"/>
    <w:rsid w:val="00062FCB"/>
    <w:rsid w:val="000704C4"/>
    <w:rsid w:val="00082646"/>
    <w:rsid w:val="00085225"/>
    <w:rsid w:val="00090D6C"/>
    <w:rsid w:val="00094703"/>
    <w:rsid w:val="000A107E"/>
    <w:rsid w:val="000A5704"/>
    <w:rsid w:val="000A69A2"/>
    <w:rsid w:val="000B006D"/>
    <w:rsid w:val="000B7290"/>
    <w:rsid w:val="000C2ED9"/>
    <w:rsid w:val="000D266C"/>
    <w:rsid w:val="000D4950"/>
    <w:rsid w:val="000D5CF7"/>
    <w:rsid w:val="000E27EF"/>
    <w:rsid w:val="000F3E09"/>
    <w:rsid w:val="000F5D0C"/>
    <w:rsid w:val="00114175"/>
    <w:rsid w:val="00132EF7"/>
    <w:rsid w:val="001372B1"/>
    <w:rsid w:val="00156843"/>
    <w:rsid w:val="00157FE4"/>
    <w:rsid w:val="00161741"/>
    <w:rsid w:val="0016648C"/>
    <w:rsid w:val="00176CAF"/>
    <w:rsid w:val="00183884"/>
    <w:rsid w:val="00192DA2"/>
    <w:rsid w:val="001A2A6D"/>
    <w:rsid w:val="001B021C"/>
    <w:rsid w:val="001C273A"/>
    <w:rsid w:val="001D0699"/>
    <w:rsid w:val="001D3AD8"/>
    <w:rsid w:val="001D5B12"/>
    <w:rsid w:val="001E56A8"/>
    <w:rsid w:val="001F189B"/>
    <w:rsid w:val="001F2B7D"/>
    <w:rsid w:val="0020128C"/>
    <w:rsid w:val="00216771"/>
    <w:rsid w:val="00220D80"/>
    <w:rsid w:val="0024579E"/>
    <w:rsid w:val="00247F7C"/>
    <w:rsid w:val="00253C2E"/>
    <w:rsid w:val="00260933"/>
    <w:rsid w:val="00261C29"/>
    <w:rsid w:val="002723BC"/>
    <w:rsid w:val="00275581"/>
    <w:rsid w:val="0027755E"/>
    <w:rsid w:val="00287768"/>
    <w:rsid w:val="00294E73"/>
    <w:rsid w:val="00295EF7"/>
    <w:rsid w:val="002B5E95"/>
    <w:rsid w:val="002C346B"/>
    <w:rsid w:val="003034DB"/>
    <w:rsid w:val="00311C98"/>
    <w:rsid w:val="00315D13"/>
    <w:rsid w:val="003326F9"/>
    <w:rsid w:val="003366A2"/>
    <w:rsid w:val="0033721F"/>
    <w:rsid w:val="00337639"/>
    <w:rsid w:val="00341C1C"/>
    <w:rsid w:val="00345A53"/>
    <w:rsid w:val="00350057"/>
    <w:rsid w:val="00353991"/>
    <w:rsid w:val="003539B5"/>
    <w:rsid w:val="00377DF7"/>
    <w:rsid w:val="00380F69"/>
    <w:rsid w:val="00381BF7"/>
    <w:rsid w:val="00387CC2"/>
    <w:rsid w:val="00395F59"/>
    <w:rsid w:val="003B5457"/>
    <w:rsid w:val="003C65CD"/>
    <w:rsid w:val="003D5D4C"/>
    <w:rsid w:val="003D673B"/>
    <w:rsid w:val="003E1486"/>
    <w:rsid w:val="003E1E48"/>
    <w:rsid w:val="003E3721"/>
    <w:rsid w:val="004126E4"/>
    <w:rsid w:val="00416F77"/>
    <w:rsid w:val="0041751C"/>
    <w:rsid w:val="00422399"/>
    <w:rsid w:val="004269A8"/>
    <w:rsid w:val="00461B4F"/>
    <w:rsid w:val="00471106"/>
    <w:rsid w:val="004767B4"/>
    <w:rsid w:val="00481397"/>
    <w:rsid w:val="00484DDB"/>
    <w:rsid w:val="004A1611"/>
    <w:rsid w:val="004A2C65"/>
    <w:rsid w:val="004A3ED3"/>
    <w:rsid w:val="004A4B1F"/>
    <w:rsid w:val="004B129E"/>
    <w:rsid w:val="004B3816"/>
    <w:rsid w:val="004B7132"/>
    <w:rsid w:val="004D4F7C"/>
    <w:rsid w:val="004D53D3"/>
    <w:rsid w:val="004E550D"/>
    <w:rsid w:val="004E583D"/>
    <w:rsid w:val="00511891"/>
    <w:rsid w:val="00513328"/>
    <w:rsid w:val="005143DF"/>
    <w:rsid w:val="00514801"/>
    <w:rsid w:val="00514E0E"/>
    <w:rsid w:val="005171BC"/>
    <w:rsid w:val="00521D1F"/>
    <w:rsid w:val="00527A2B"/>
    <w:rsid w:val="00557071"/>
    <w:rsid w:val="005673C6"/>
    <w:rsid w:val="00581A53"/>
    <w:rsid w:val="0058323D"/>
    <w:rsid w:val="005A2F7D"/>
    <w:rsid w:val="005A66B1"/>
    <w:rsid w:val="005B0CF1"/>
    <w:rsid w:val="005B2C2A"/>
    <w:rsid w:val="005C0DE4"/>
    <w:rsid w:val="005C3313"/>
    <w:rsid w:val="005C7307"/>
    <w:rsid w:val="005C74C8"/>
    <w:rsid w:val="005D1696"/>
    <w:rsid w:val="005E188F"/>
    <w:rsid w:val="005E669B"/>
    <w:rsid w:val="00616866"/>
    <w:rsid w:val="00630800"/>
    <w:rsid w:val="00641A86"/>
    <w:rsid w:val="0064411A"/>
    <w:rsid w:val="00661C57"/>
    <w:rsid w:val="0066204C"/>
    <w:rsid w:val="0066333A"/>
    <w:rsid w:val="00667BF5"/>
    <w:rsid w:val="00670A3F"/>
    <w:rsid w:val="006749C5"/>
    <w:rsid w:val="00682CB9"/>
    <w:rsid w:val="006A1DE0"/>
    <w:rsid w:val="006B5BA8"/>
    <w:rsid w:val="006C0C55"/>
    <w:rsid w:val="006D03E3"/>
    <w:rsid w:val="006D2724"/>
    <w:rsid w:val="006D2EE6"/>
    <w:rsid w:val="006D7A15"/>
    <w:rsid w:val="006E23EF"/>
    <w:rsid w:val="006E3FAE"/>
    <w:rsid w:val="006F1210"/>
    <w:rsid w:val="006F2AF6"/>
    <w:rsid w:val="006F48E0"/>
    <w:rsid w:val="006F65E8"/>
    <w:rsid w:val="007009C9"/>
    <w:rsid w:val="00701294"/>
    <w:rsid w:val="00704ED2"/>
    <w:rsid w:val="00707CD1"/>
    <w:rsid w:val="00720C87"/>
    <w:rsid w:val="007264C5"/>
    <w:rsid w:val="00735ED0"/>
    <w:rsid w:val="00736876"/>
    <w:rsid w:val="00736D66"/>
    <w:rsid w:val="00742A05"/>
    <w:rsid w:val="00744ABC"/>
    <w:rsid w:val="007653F2"/>
    <w:rsid w:val="00770797"/>
    <w:rsid w:val="00771578"/>
    <w:rsid w:val="00775F03"/>
    <w:rsid w:val="00776230"/>
    <w:rsid w:val="00780FE8"/>
    <w:rsid w:val="00784F38"/>
    <w:rsid w:val="0079572C"/>
    <w:rsid w:val="007A0534"/>
    <w:rsid w:val="007A67BD"/>
    <w:rsid w:val="007B4CEF"/>
    <w:rsid w:val="007B5794"/>
    <w:rsid w:val="007B6E4D"/>
    <w:rsid w:val="007D2A11"/>
    <w:rsid w:val="007D3DD3"/>
    <w:rsid w:val="007D5779"/>
    <w:rsid w:val="007E0581"/>
    <w:rsid w:val="007E0C38"/>
    <w:rsid w:val="007E7817"/>
    <w:rsid w:val="00823694"/>
    <w:rsid w:val="00841BD6"/>
    <w:rsid w:val="00854322"/>
    <w:rsid w:val="00856182"/>
    <w:rsid w:val="008601FB"/>
    <w:rsid w:val="00884622"/>
    <w:rsid w:val="008913E1"/>
    <w:rsid w:val="00891BC5"/>
    <w:rsid w:val="00897DC8"/>
    <w:rsid w:val="008A1961"/>
    <w:rsid w:val="008A3C5E"/>
    <w:rsid w:val="008C1799"/>
    <w:rsid w:val="008E0E6A"/>
    <w:rsid w:val="008E13F9"/>
    <w:rsid w:val="008E79F0"/>
    <w:rsid w:val="008F1B6B"/>
    <w:rsid w:val="008F5A1B"/>
    <w:rsid w:val="00910004"/>
    <w:rsid w:val="009165CD"/>
    <w:rsid w:val="00922CB7"/>
    <w:rsid w:val="0092368D"/>
    <w:rsid w:val="0093017C"/>
    <w:rsid w:val="0093509F"/>
    <w:rsid w:val="00944EC6"/>
    <w:rsid w:val="00952CD6"/>
    <w:rsid w:val="0097132F"/>
    <w:rsid w:val="009926A6"/>
    <w:rsid w:val="00992BF7"/>
    <w:rsid w:val="009C4487"/>
    <w:rsid w:val="009D4F5B"/>
    <w:rsid w:val="00A07DEF"/>
    <w:rsid w:val="00A13EA1"/>
    <w:rsid w:val="00A36BF1"/>
    <w:rsid w:val="00A45C1C"/>
    <w:rsid w:val="00A50A6D"/>
    <w:rsid w:val="00A51A9D"/>
    <w:rsid w:val="00A52545"/>
    <w:rsid w:val="00A778C1"/>
    <w:rsid w:val="00A8006D"/>
    <w:rsid w:val="00A931B0"/>
    <w:rsid w:val="00A93E1E"/>
    <w:rsid w:val="00AA549F"/>
    <w:rsid w:val="00AB0681"/>
    <w:rsid w:val="00AB34C1"/>
    <w:rsid w:val="00AB4608"/>
    <w:rsid w:val="00AC1447"/>
    <w:rsid w:val="00AC1996"/>
    <w:rsid w:val="00AC3631"/>
    <w:rsid w:val="00AD19CB"/>
    <w:rsid w:val="00AD25F5"/>
    <w:rsid w:val="00AD509D"/>
    <w:rsid w:val="00AF0345"/>
    <w:rsid w:val="00AF4E72"/>
    <w:rsid w:val="00B01775"/>
    <w:rsid w:val="00B07E91"/>
    <w:rsid w:val="00B10CEB"/>
    <w:rsid w:val="00B13F91"/>
    <w:rsid w:val="00B33CF3"/>
    <w:rsid w:val="00B45172"/>
    <w:rsid w:val="00B7362B"/>
    <w:rsid w:val="00B81A74"/>
    <w:rsid w:val="00B91C63"/>
    <w:rsid w:val="00BA572D"/>
    <w:rsid w:val="00BB3FAA"/>
    <w:rsid w:val="00BB43F9"/>
    <w:rsid w:val="00BB5D29"/>
    <w:rsid w:val="00BC2F23"/>
    <w:rsid w:val="00BC34B1"/>
    <w:rsid w:val="00BC44A0"/>
    <w:rsid w:val="00BC70C9"/>
    <w:rsid w:val="00BE49B8"/>
    <w:rsid w:val="00C10C14"/>
    <w:rsid w:val="00C110C6"/>
    <w:rsid w:val="00C2274A"/>
    <w:rsid w:val="00C27770"/>
    <w:rsid w:val="00C3153C"/>
    <w:rsid w:val="00C431CB"/>
    <w:rsid w:val="00C44D49"/>
    <w:rsid w:val="00C44F03"/>
    <w:rsid w:val="00C45D5F"/>
    <w:rsid w:val="00C471B4"/>
    <w:rsid w:val="00C655D9"/>
    <w:rsid w:val="00C70A6C"/>
    <w:rsid w:val="00C812C9"/>
    <w:rsid w:val="00C85DB6"/>
    <w:rsid w:val="00C90FD6"/>
    <w:rsid w:val="00C939B9"/>
    <w:rsid w:val="00C948DF"/>
    <w:rsid w:val="00CA0852"/>
    <w:rsid w:val="00CA6584"/>
    <w:rsid w:val="00CB1218"/>
    <w:rsid w:val="00CB56AE"/>
    <w:rsid w:val="00CB7379"/>
    <w:rsid w:val="00CC31C3"/>
    <w:rsid w:val="00CC3583"/>
    <w:rsid w:val="00CD0F0E"/>
    <w:rsid w:val="00CD37CA"/>
    <w:rsid w:val="00CD42C7"/>
    <w:rsid w:val="00CE4B43"/>
    <w:rsid w:val="00D1020F"/>
    <w:rsid w:val="00D1049B"/>
    <w:rsid w:val="00D1259F"/>
    <w:rsid w:val="00D2306C"/>
    <w:rsid w:val="00D23080"/>
    <w:rsid w:val="00D24552"/>
    <w:rsid w:val="00D313C7"/>
    <w:rsid w:val="00D33006"/>
    <w:rsid w:val="00D42749"/>
    <w:rsid w:val="00D4275F"/>
    <w:rsid w:val="00D50C4E"/>
    <w:rsid w:val="00D51A15"/>
    <w:rsid w:val="00D63976"/>
    <w:rsid w:val="00D746B1"/>
    <w:rsid w:val="00D74BE5"/>
    <w:rsid w:val="00D811EC"/>
    <w:rsid w:val="00D83D3C"/>
    <w:rsid w:val="00DA20B6"/>
    <w:rsid w:val="00DB1A0B"/>
    <w:rsid w:val="00DB41EF"/>
    <w:rsid w:val="00DB6FE3"/>
    <w:rsid w:val="00DC2A2E"/>
    <w:rsid w:val="00DC48D3"/>
    <w:rsid w:val="00DD510E"/>
    <w:rsid w:val="00DD59E9"/>
    <w:rsid w:val="00DE3246"/>
    <w:rsid w:val="00DE744D"/>
    <w:rsid w:val="00DF1E39"/>
    <w:rsid w:val="00E13F76"/>
    <w:rsid w:val="00E1528C"/>
    <w:rsid w:val="00E21F2E"/>
    <w:rsid w:val="00E22FF3"/>
    <w:rsid w:val="00E2792B"/>
    <w:rsid w:val="00E4247E"/>
    <w:rsid w:val="00E43883"/>
    <w:rsid w:val="00E52C81"/>
    <w:rsid w:val="00E75A5A"/>
    <w:rsid w:val="00E80DA9"/>
    <w:rsid w:val="00E81BCA"/>
    <w:rsid w:val="00E955F0"/>
    <w:rsid w:val="00E95B85"/>
    <w:rsid w:val="00E9625B"/>
    <w:rsid w:val="00E963D5"/>
    <w:rsid w:val="00E96995"/>
    <w:rsid w:val="00EA1C3A"/>
    <w:rsid w:val="00EC0C0E"/>
    <w:rsid w:val="00EC17E3"/>
    <w:rsid w:val="00ED2579"/>
    <w:rsid w:val="00ED3B28"/>
    <w:rsid w:val="00ED480A"/>
    <w:rsid w:val="00ED79DD"/>
    <w:rsid w:val="00EE2893"/>
    <w:rsid w:val="00EE54B1"/>
    <w:rsid w:val="00EF13BD"/>
    <w:rsid w:val="00EF2E59"/>
    <w:rsid w:val="00F0675B"/>
    <w:rsid w:val="00F23575"/>
    <w:rsid w:val="00F24741"/>
    <w:rsid w:val="00F258E9"/>
    <w:rsid w:val="00F2632D"/>
    <w:rsid w:val="00F315D7"/>
    <w:rsid w:val="00F348D8"/>
    <w:rsid w:val="00F40A20"/>
    <w:rsid w:val="00F44D2E"/>
    <w:rsid w:val="00F45018"/>
    <w:rsid w:val="00F4736C"/>
    <w:rsid w:val="00F4748F"/>
    <w:rsid w:val="00F52174"/>
    <w:rsid w:val="00F5540D"/>
    <w:rsid w:val="00F56AA2"/>
    <w:rsid w:val="00F578FC"/>
    <w:rsid w:val="00F607B1"/>
    <w:rsid w:val="00F752BF"/>
    <w:rsid w:val="00F8217A"/>
    <w:rsid w:val="00F84CB2"/>
    <w:rsid w:val="00F85432"/>
    <w:rsid w:val="00F965FC"/>
    <w:rsid w:val="00FA2851"/>
    <w:rsid w:val="00FB7015"/>
    <w:rsid w:val="00FC41BF"/>
    <w:rsid w:val="00FC747B"/>
    <w:rsid w:val="00FE09E9"/>
    <w:rsid w:val="00FE0D95"/>
    <w:rsid w:val="00FE5D3F"/>
    <w:rsid w:val="00FF01A4"/>
    <w:rsid w:val="00FF444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071"/>
  </w:style>
  <w:style w:type="paragraph" w:styleId="Heading1">
    <w:name w:val="heading 1"/>
    <w:basedOn w:val="Normal"/>
    <w:next w:val="Normal"/>
    <w:link w:val="Heading1Char"/>
    <w:uiPriority w:val="9"/>
    <w:qFormat/>
    <w:rsid w:val="000852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56A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1210"/>
    <w:rPr>
      <w:color w:val="0000FF"/>
      <w:u w:val="single"/>
    </w:rPr>
  </w:style>
  <w:style w:type="character" w:customStyle="1" w:styleId="author">
    <w:name w:val="author"/>
    <w:basedOn w:val="DefaultParagraphFont"/>
    <w:rsid w:val="006F1210"/>
  </w:style>
  <w:style w:type="character" w:customStyle="1" w:styleId="hlfld-contribauthor">
    <w:name w:val="hlfld-contribauthor"/>
    <w:basedOn w:val="DefaultParagraphFont"/>
    <w:rsid w:val="006F1210"/>
  </w:style>
  <w:style w:type="character" w:customStyle="1" w:styleId="Heading2Char">
    <w:name w:val="Heading 2 Char"/>
    <w:basedOn w:val="DefaultParagraphFont"/>
    <w:link w:val="Heading2"/>
    <w:uiPriority w:val="9"/>
    <w:rsid w:val="00F56AA2"/>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41751C"/>
    <w:rPr>
      <w:b/>
      <w:bCs/>
    </w:rPr>
  </w:style>
  <w:style w:type="character" w:styleId="Emphasis">
    <w:name w:val="Emphasis"/>
    <w:basedOn w:val="DefaultParagraphFont"/>
    <w:uiPriority w:val="20"/>
    <w:qFormat/>
    <w:rsid w:val="0041751C"/>
    <w:rPr>
      <w:i/>
      <w:iCs/>
    </w:rPr>
  </w:style>
  <w:style w:type="paragraph" w:customStyle="1" w:styleId="Body">
    <w:name w:val="Body"/>
    <w:rsid w:val="0063080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styleId="Header">
    <w:name w:val="header"/>
    <w:basedOn w:val="Normal"/>
    <w:link w:val="HeaderChar"/>
    <w:uiPriority w:val="99"/>
    <w:semiHidden/>
    <w:unhideWhenUsed/>
    <w:rsid w:val="005E669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E669B"/>
  </w:style>
  <w:style w:type="paragraph" w:styleId="Footer">
    <w:name w:val="footer"/>
    <w:basedOn w:val="Normal"/>
    <w:link w:val="FooterChar"/>
    <w:uiPriority w:val="99"/>
    <w:unhideWhenUsed/>
    <w:rsid w:val="005E66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69B"/>
  </w:style>
  <w:style w:type="character" w:styleId="CommentReference">
    <w:name w:val="annotation reference"/>
    <w:basedOn w:val="DefaultParagraphFont"/>
    <w:uiPriority w:val="99"/>
    <w:semiHidden/>
    <w:unhideWhenUsed/>
    <w:rsid w:val="003E1E48"/>
    <w:rPr>
      <w:sz w:val="16"/>
      <w:szCs w:val="16"/>
    </w:rPr>
  </w:style>
  <w:style w:type="paragraph" w:styleId="CommentText">
    <w:name w:val="annotation text"/>
    <w:basedOn w:val="Normal"/>
    <w:link w:val="CommentTextChar"/>
    <w:uiPriority w:val="99"/>
    <w:semiHidden/>
    <w:unhideWhenUsed/>
    <w:rsid w:val="003E1E48"/>
    <w:pPr>
      <w:spacing w:line="240" w:lineRule="auto"/>
    </w:pPr>
    <w:rPr>
      <w:sz w:val="20"/>
      <w:szCs w:val="20"/>
    </w:rPr>
  </w:style>
  <w:style w:type="character" w:customStyle="1" w:styleId="CommentTextChar">
    <w:name w:val="Comment Text Char"/>
    <w:basedOn w:val="DefaultParagraphFont"/>
    <w:link w:val="CommentText"/>
    <w:uiPriority w:val="99"/>
    <w:semiHidden/>
    <w:rsid w:val="003E1E48"/>
    <w:rPr>
      <w:sz w:val="20"/>
      <w:szCs w:val="20"/>
    </w:rPr>
  </w:style>
  <w:style w:type="paragraph" w:styleId="CommentSubject">
    <w:name w:val="annotation subject"/>
    <w:basedOn w:val="CommentText"/>
    <w:next w:val="CommentText"/>
    <w:link w:val="CommentSubjectChar"/>
    <w:uiPriority w:val="99"/>
    <w:semiHidden/>
    <w:unhideWhenUsed/>
    <w:rsid w:val="003E1E48"/>
    <w:rPr>
      <w:b/>
      <w:bCs/>
    </w:rPr>
  </w:style>
  <w:style w:type="character" w:customStyle="1" w:styleId="CommentSubjectChar">
    <w:name w:val="Comment Subject Char"/>
    <w:basedOn w:val="CommentTextChar"/>
    <w:link w:val="CommentSubject"/>
    <w:uiPriority w:val="99"/>
    <w:semiHidden/>
    <w:rsid w:val="003E1E48"/>
    <w:rPr>
      <w:b/>
      <w:bCs/>
      <w:sz w:val="20"/>
      <w:szCs w:val="20"/>
    </w:rPr>
  </w:style>
  <w:style w:type="paragraph" w:styleId="BalloonText">
    <w:name w:val="Balloon Text"/>
    <w:basedOn w:val="Normal"/>
    <w:link w:val="BalloonTextChar"/>
    <w:uiPriority w:val="99"/>
    <w:semiHidden/>
    <w:unhideWhenUsed/>
    <w:rsid w:val="003E1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E48"/>
    <w:rPr>
      <w:rFonts w:ascii="Tahoma" w:hAnsi="Tahoma" w:cs="Tahoma"/>
      <w:sz w:val="16"/>
      <w:szCs w:val="16"/>
    </w:rPr>
  </w:style>
  <w:style w:type="character" w:customStyle="1" w:styleId="Heading1Char">
    <w:name w:val="Heading 1 Char"/>
    <w:basedOn w:val="DefaultParagraphFont"/>
    <w:link w:val="Heading1"/>
    <w:uiPriority w:val="9"/>
    <w:rsid w:val="00085225"/>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B81A7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52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56A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1210"/>
    <w:rPr>
      <w:color w:val="0000FF"/>
      <w:u w:val="single"/>
    </w:rPr>
  </w:style>
  <w:style w:type="character" w:customStyle="1" w:styleId="author">
    <w:name w:val="author"/>
    <w:basedOn w:val="DefaultParagraphFont"/>
    <w:rsid w:val="006F1210"/>
  </w:style>
  <w:style w:type="character" w:customStyle="1" w:styleId="hlfld-contribauthor">
    <w:name w:val="hlfld-contribauthor"/>
    <w:basedOn w:val="DefaultParagraphFont"/>
    <w:rsid w:val="006F1210"/>
  </w:style>
  <w:style w:type="character" w:customStyle="1" w:styleId="Heading2Char">
    <w:name w:val="Heading 2 Char"/>
    <w:basedOn w:val="DefaultParagraphFont"/>
    <w:link w:val="Heading2"/>
    <w:uiPriority w:val="9"/>
    <w:rsid w:val="00F56AA2"/>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41751C"/>
    <w:rPr>
      <w:b/>
      <w:bCs/>
    </w:rPr>
  </w:style>
  <w:style w:type="character" w:styleId="Emphasis">
    <w:name w:val="Emphasis"/>
    <w:basedOn w:val="DefaultParagraphFont"/>
    <w:uiPriority w:val="20"/>
    <w:qFormat/>
    <w:rsid w:val="0041751C"/>
    <w:rPr>
      <w:i/>
      <w:iCs/>
    </w:rPr>
  </w:style>
  <w:style w:type="paragraph" w:customStyle="1" w:styleId="Body">
    <w:name w:val="Body"/>
    <w:rsid w:val="0063080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styleId="Header">
    <w:name w:val="header"/>
    <w:basedOn w:val="Normal"/>
    <w:link w:val="HeaderChar"/>
    <w:uiPriority w:val="99"/>
    <w:semiHidden/>
    <w:unhideWhenUsed/>
    <w:rsid w:val="005E669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E669B"/>
  </w:style>
  <w:style w:type="paragraph" w:styleId="Footer">
    <w:name w:val="footer"/>
    <w:basedOn w:val="Normal"/>
    <w:link w:val="FooterChar"/>
    <w:uiPriority w:val="99"/>
    <w:unhideWhenUsed/>
    <w:rsid w:val="005E66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69B"/>
  </w:style>
  <w:style w:type="character" w:styleId="CommentReference">
    <w:name w:val="annotation reference"/>
    <w:basedOn w:val="DefaultParagraphFont"/>
    <w:uiPriority w:val="99"/>
    <w:semiHidden/>
    <w:unhideWhenUsed/>
    <w:rsid w:val="003E1E48"/>
    <w:rPr>
      <w:sz w:val="16"/>
      <w:szCs w:val="16"/>
    </w:rPr>
  </w:style>
  <w:style w:type="paragraph" w:styleId="CommentText">
    <w:name w:val="annotation text"/>
    <w:basedOn w:val="Normal"/>
    <w:link w:val="CommentTextChar"/>
    <w:uiPriority w:val="99"/>
    <w:semiHidden/>
    <w:unhideWhenUsed/>
    <w:rsid w:val="003E1E48"/>
    <w:pPr>
      <w:spacing w:line="240" w:lineRule="auto"/>
    </w:pPr>
    <w:rPr>
      <w:sz w:val="20"/>
      <w:szCs w:val="20"/>
    </w:rPr>
  </w:style>
  <w:style w:type="character" w:customStyle="1" w:styleId="CommentTextChar">
    <w:name w:val="Comment Text Char"/>
    <w:basedOn w:val="DefaultParagraphFont"/>
    <w:link w:val="CommentText"/>
    <w:uiPriority w:val="99"/>
    <w:semiHidden/>
    <w:rsid w:val="003E1E48"/>
    <w:rPr>
      <w:sz w:val="20"/>
      <w:szCs w:val="20"/>
    </w:rPr>
  </w:style>
  <w:style w:type="paragraph" w:styleId="CommentSubject">
    <w:name w:val="annotation subject"/>
    <w:basedOn w:val="CommentText"/>
    <w:next w:val="CommentText"/>
    <w:link w:val="CommentSubjectChar"/>
    <w:uiPriority w:val="99"/>
    <w:semiHidden/>
    <w:unhideWhenUsed/>
    <w:rsid w:val="003E1E48"/>
    <w:rPr>
      <w:b/>
      <w:bCs/>
    </w:rPr>
  </w:style>
  <w:style w:type="character" w:customStyle="1" w:styleId="CommentSubjectChar">
    <w:name w:val="Comment Subject Char"/>
    <w:basedOn w:val="CommentTextChar"/>
    <w:link w:val="CommentSubject"/>
    <w:uiPriority w:val="99"/>
    <w:semiHidden/>
    <w:rsid w:val="003E1E48"/>
    <w:rPr>
      <w:b/>
      <w:bCs/>
      <w:sz w:val="20"/>
      <w:szCs w:val="20"/>
    </w:rPr>
  </w:style>
  <w:style w:type="paragraph" w:styleId="BalloonText">
    <w:name w:val="Balloon Text"/>
    <w:basedOn w:val="Normal"/>
    <w:link w:val="BalloonTextChar"/>
    <w:uiPriority w:val="99"/>
    <w:semiHidden/>
    <w:unhideWhenUsed/>
    <w:rsid w:val="003E1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E48"/>
    <w:rPr>
      <w:rFonts w:ascii="Tahoma" w:hAnsi="Tahoma" w:cs="Tahoma"/>
      <w:sz w:val="16"/>
      <w:szCs w:val="16"/>
    </w:rPr>
  </w:style>
  <w:style w:type="character" w:customStyle="1" w:styleId="Heading1Char">
    <w:name w:val="Heading 1 Char"/>
    <w:basedOn w:val="DefaultParagraphFont"/>
    <w:link w:val="Heading1"/>
    <w:uiPriority w:val="9"/>
    <w:rsid w:val="0008522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15693265">
      <w:bodyDiv w:val="1"/>
      <w:marLeft w:val="0"/>
      <w:marRight w:val="0"/>
      <w:marTop w:val="0"/>
      <w:marBottom w:val="0"/>
      <w:divBdr>
        <w:top w:val="none" w:sz="0" w:space="0" w:color="auto"/>
        <w:left w:val="none" w:sz="0" w:space="0" w:color="auto"/>
        <w:bottom w:val="none" w:sz="0" w:space="0" w:color="auto"/>
        <w:right w:val="none" w:sz="0" w:space="0" w:color="auto"/>
      </w:divBdr>
    </w:div>
    <w:div w:id="1399279643">
      <w:bodyDiv w:val="1"/>
      <w:marLeft w:val="0"/>
      <w:marRight w:val="0"/>
      <w:marTop w:val="0"/>
      <w:marBottom w:val="0"/>
      <w:divBdr>
        <w:top w:val="none" w:sz="0" w:space="0" w:color="auto"/>
        <w:left w:val="none" w:sz="0" w:space="0" w:color="auto"/>
        <w:bottom w:val="none" w:sz="0" w:space="0" w:color="auto"/>
        <w:right w:val="none" w:sz="0" w:space="0" w:color="auto"/>
      </w:divBdr>
    </w:div>
    <w:div w:id="214083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9C05A-1050-4153-8E9F-EF2E7BA81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13</Pages>
  <Words>4950</Words>
  <Characters>28218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Hill</dc:creator>
  <cp:lastModifiedBy>Jennifer Hill</cp:lastModifiedBy>
  <cp:revision>43</cp:revision>
  <cp:lastPrinted>2015-12-24T11:18:00Z</cp:lastPrinted>
  <dcterms:created xsi:type="dcterms:W3CDTF">2016-01-04T15:33:00Z</dcterms:created>
  <dcterms:modified xsi:type="dcterms:W3CDTF">2016-01-15T09:14:00Z</dcterms:modified>
</cp:coreProperties>
</file>