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C431F6" w:rsidP="00FC2F5F">
      <w:pPr>
        <w:pStyle w:val="RSCM01ReceivedAccepted"/>
        <w:spacing w:line="240" w:lineRule="exact"/>
        <w:contextualSpacing w:val="0"/>
      </w:pPr>
      <w:r>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2C626D" w:rsidRDefault="002C626D" w:rsidP="001D411F">
                  <w:pPr>
                    <w:pStyle w:val="RSCF01FootnoteAuthorAddress"/>
                    <w:jc w:val="both"/>
                    <w:rPr>
                      <w:b/>
                      <w:lang w:val="en-US"/>
                    </w:rPr>
                  </w:pPr>
                  <w:r w:rsidRPr="009E1AF1">
                    <w:rPr>
                      <w:lang w:val="en-US"/>
                    </w:rPr>
                    <w:t>College of Sciences and Health, School of Biological Sciences, Dublin institute of Technology, Dublin 8, Ireland.</w:t>
                  </w:r>
                </w:p>
                <w:p w:rsidR="002C626D" w:rsidRDefault="002C626D" w:rsidP="001D411F">
                  <w:pPr>
                    <w:pStyle w:val="RSCF01FootnoteAuthorAddress"/>
                    <w:jc w:val="both"/>
                    <w:rPr>
                      <w:lang w:val="en-US"/>
                    </w:rPr>
                  </w:pPr>
                  <w:r w:rsidRPr="003D137F">
                    <w:rPr>
                      <w:lang w:val="en-US"/>
                    </w:rPr>
                    <w:t>School of Mathematics and Physics, Queen’s University Belfast, Belfast, BT7 1NN, Northern Ireland, UK.</w:t>
                  </w:r>
                </w:p>
                <w:p w:rsidR="002C626D" w:rsidRPr="002C626D" w:rsidRDefault="002C626D" w:rsidP="001D411F">
                  <w:pPr>
                    <w:pStyle w:val="RSCF01FootnoteAuthorAddress"/>
                    <w:jc w:val="both"/>
                    <w:rPr>
                      <w:lang w:val="en-US"/>
                    </w:rPr>
                  </w:pPr>
                  <w:r w:rsidRPr="00752088">
                    <w:t>Department</w:t>
                  </w:r>
                  <w:r>
                    <w:t xml:space="preserve"> </w:t>
                  </w:r>
                  <w:r w:rsidRPr="00752088">
                    <w:t>of Clinical and Experimental Medicine, Clinical Chemistry, Un</w:t>
                  </w:r>
                  <w:r>
                    <w:t>iversity of Linköping, Sweden.</w:t>
                  </w:r>
                </w:p>
                <w:p w:rsidR="002C626D" w:rsidRPr="002C626D" w:rsidRDefault="002C626D" w:rsidP="001D411F">
                  <w:pPr>
                    <w:pStyle w:val="RSCF01FootnoteAuthorAddress"/>
                    <w:jc w:val="both"/>
                    <w:rPr>
                      <w:lang w:val="en-US"/>
                    </w:rPr>
                  </w:pPr>
                  <w:r w:rsidRPr="00752088">
                    <w:rPr>
                      <w:lang w:val="en-US"/>
                    </w:rPr>
                    <w:t xml:space="preserve">Department of Applied Sciences, University of the West of England, </w:t>
                  </w:r>
                  <w:proofErr w:type="spellStart"/>
                  <w:r w:rsidRPr="00752088">
                    <w:rPr>
                      <w:lang w:val="en-US"/>
                    </w:rPr>
                    <w:t>Frenchay</w:t>
                  </w:r>
                  <w:proofErr w:type="spellEnd"/>
                  <w:r w:rsidRPr="00752088">
                    <w:rPr>
                      <w:lang w:val="en-US"/>
                    </w:rPr>
                    <w:t xml:space="preserve"> Campus, </w:t>
                  </w:r>
                  <w:proofErr w:type="spellStart"/>
                  <w:r w:rsidRPr="00752088">
                    <w:rPr>
                      <w:lang w:val="en-US"/>
                    </w:rPr>
                    <w:t>Coldharbour</w:t>
                  </w:r>
                  <w:proofErr w:type="spellEnd"/>
                  <w:r w:rsidRPr="00752088">
                    <w:rPr>
                      <w:lang w:val="en-US"/>
                    </w:rPr>
                    <w:t xml:space="preserve"> Lane, Bristol BS16 1QY, UK.</w:t>
                  </w:r>
                </w:p>
                <w:p w:rsidR="008C682F" w:rsidRPr="00241ACD" w:rsidRDefault="00126027" w:rsidP="001D411F">
                  <w:pPr>
                    <w:pStyle w:val="RSCF02FootnotestoTitleAuthors"/>
                  </w:pPr>
                  <w:r w:rsidRPr="002C626D">
                    <w:rPr>
                      <w:vertAlign w:val="superscript"/>
                    </w:rPr>
                    <w:t>†</w:t>
                  </w:r>
                  <w:r w:rsidRPr="00241ACD">
                    <w:t xml:space="preserve"> </w:t>
                  </w:r>
                  <w:r w:rsidR="002C626D" w:rsidRPr="002C626D">
                    <w:t>Corresponding A</w:t>
                  </w:r>
                  <w:r w:rsidR="001D411F">
                    <w:t xml:space="preserve">uthor: Prof. Anthony J. </w:t>
                  </w:r>
                  <w:proofErr w:type="spellStart"/>
                  <w:r w:rsidR="001D411F">
                    <w:t>Killard</w:t>
                  </w:r>
                  <w:proofErr w:type="spellEnd"/>
                  <w:r w:rsidR="001D411F">
                    <w:t xml:space="preserve">, Email: </w:t>
                  </w:r>
                  <w:hyperlink r:id="rId9" w:history="1">
                    <w:r w:rsidR="001D411F" w:rsidRPr="003762FD">
                      <w:rPr>
                        <w:rStyle w:val="Hyperlink"/>
                      </w:rPr>
                      <w:t>tony.killard@uwe.ac.uk</w:t>
                    </w:r>
                  </w:hyperlink>
                  <w:r w:rsidR="001D411F">
                    <w:t xml:space="preserve">; Tel: </w:t>
                  </w:r>
                  <w:r w:rsidR="001D411F" w:rsidRPr="001D411F">
                    <w:t>+ 00 44 1173282147</w:t>
                  </w:r>
                  <w:r w:rsidR="001D411F">
                    <w:t xml:space="preserve">; Fax: </w:t>
                  </w:r>
                  <w:r w:rsidR="001D411F" w:rsidRPr="001D411F">
                    <w:t>+ 00 44 1173442904</w:t>
                  </w:r>
                  <w:r w:rsidR="001D411F">
                    <w:t>.</w:t>
                  </w:r>
                </w:p>
                <w:p w:rsidR="00C405FD" w:rsidRPr="00241ACD" w:rsidRDefault="00C405FD" w:rsidP="001D411F">
                  <w:pPr>
                    <w:pStyle w:val="RSCF02FootnotestoTitleAuthors"/>
                  </w:pP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270DD5" w:rsidRDefault="00F62C8B" w:rsidP="00FC2F5F">
      <w:pPr>
        <w:pStyle w:val="RSCM01ReceivedAccepted"/>
        <w:spacing w:line="240" w:lineRule="exact"/>
        <w:contextualSpacing w:val="0"/>
      </w:pPr>
      <w:r w:rsidRPr="00270DD5">
        <w:t>Accepted 00th January 20</w:t>
      </w:r>
      <w:r w:rsidR="00F15F90" w:rsidRPr="00270DD5">
        <w:t>xx</w:t>
      </w:r>
    </w:p>
    <w:p w:rsidR="00F62C8B" w:rsidRPr="00794787" w:rsidRDefault="00F62C8B" w:rsidP="00FC2F5F">
      <w:pPr>
        <w:pStyle w:val="RSCM02DOI"/>
        <w:spacing w:line="240" w:lineRule="exact"/>
      </w:pPr>
      <w:r w:rsidRPr="00794787">
        <w:t>DOI: 10.1039/x0xx00000x</w:t>
      </w:r>
    </w:p>
    <w:p w:rsidR="00A9649E" w:rsidRPr="00794787" w:rsidRDefault="00A9649E" w:rsidP="00FC2F5F">
      <w:pPr>
        <w:pStyle w:val="RSCM03Website"/>
        <w:spacing w:line="240" w:lineRule="exact"/>
      </w:pPr>
      <w:r w:rsidRPr="00794787">
        <w:t>www.rsc.org/</w:t>
      </w:r>
    </w:p>
    <w:p w:rsidR="004414A5" w:rsidRPr="00C32EDF" w:rsidRDefault="00F62C8B" w:rsidP="00FC2F5F">
      <w:pPr>
        <w:pStyle w:val="RSCH01PaperTitle"/>
        <w:spacing w:line="240" w:lineRule="exact"/>
      </w:pPr>
      <w:r w:rsidRPr="004414A5">
        <w:br w:type="column"/>
      </w:r>
      <w:r w:rsidR="00ED7134" w:rsidRPr="00ED7134">
        <w:lastRenderedPageBreak/>
        <w:t>A fully integrated microfluidic device for point-of-care monitoring of antithrombotics</w:t>
      </w:r>
    </w:p>
    <w:p w:rsidR="00FA2DA2" w:rsidRDefault="00ED7134" w:rsidP="00FC2F5F">
      <w:pPr>
        <w:pStyle w:val="RSCH02PaperAuthorsandByline"/>
        <w:rPr>
          <w:vertAlign w:val="superscript"/>
        </w:rPr>
      </w:pPr>
      <w:r>
        <w:t>L. F</w:t>
      </w:r>
      <w:r w:rsidR="00CC7C64" w:rsidRPr="00F21465">
        <w:t xml:space="preserve">. </w:t>
      </w:r>
      <w:proofErr w:type="spellStart"/>
      <w:r>
        <w:t>Harris</w:t>
      </w:r>
      <w:proofErr w:type="gramStart"/>
      <w:r w:rsidR="00CC7C64" w:rsidRPr="00F21465">
        <w:t>,</w:t>
      </w:r>
      <w:r w:rsidR="00CC7C64" w:rsidRPr="00F21465">
        <w:rPr>
          <w:vertAlign w:val="superscript"/>
        </w:rPr>
        <w:t>a</w:t>
      </w:r>
      <w:proofErr w:type="spellEnd"/>
      <w:proofErr w:type="gramEnd"/>
      <w:r>
        <w:t xml:space="preserve"> P</w:t>
      </w:r>
      <w:r w:rsidR="00CC7C64" w:rsidRPr="00F21465">
        <w:t xml:space="preserve">. </w:t>
      </w:r>
      <w:proofErr w:type="spellStart"/>
      <w:r>
        <w:t>Rainey</w:t>
      </w:r>
      <w:r w:rsidR="00CC7C64" w:rsidRPr="00F21465">
        <w:rPr>
          <w:vertAlign w:val="superscript"/>
        </w:rPr>
        <w:t>b</w:t>
      </w:r>
      <w:proofErr w:type="spellEnd"/>
      <w:r>
        <w:rPr>
          <w:vertAlign w:val="superscript"/>
        </w:rPr>
        <w:t xml:space="preserve">, </w:t>
      </w:r>
      <w:r>
        <w:t xml:space="preserve"> T. L. </w:t>
      </w:r>
      <w:proofErr w:type="spellStart"/>
      <w:r>
        <w:t>Lindahl</w:t>
      </w:r>
      <w:r w:rsidRPr="00F21465">
        <w:rPr>
          <w:vertAlign w:val="superscript"/>
        </w:rPr>
        <w:t>c</w:t>
      </w:r>
      <w:proofErr w:type="spellEnd"/>
      <w:r>
        <w:t>, and A. J</w:t>
      </w:r>
      <w:r w:rsidR="00CC7C64" w:rsidRPr="00F21465">
        <w:t xml:space="preserve">. </w:t>
      </w:r>
      <w:proofErr w:type="spellStart"/>
      <w:r>
        <w:t>Killard</w:t>
      </w:r>
      <w:r>
        <w:rPr>
          <w:vertAlign w:val="superscript"/>
        </w:rPr>
        <w:t>d</w:t>
      </w:r>
      <w:proofErr w:type="spellEnd"/>
      <w:r w:rsidR="002C626D">
        <w:rPr>
          <w:vertAlign w:val="superscript"/>
        </w:rPr>
        <w:t>,</w:t>
      </w:r>
      <w:r w:rsidR="002C626D" w:rsidRPr="002C626D">
        <w:rPr>
          <w:vertAlign w:val="superscript"/>
        </w:rPr>
        <w:t>†</w:t>
      </w:r>
    </w:p>
    <w:p w:rsidR="00ED7134" w:rsidRDefault="0056354E" w:rsidP="00FC2F5F">
      <w:pPr>
        <w:pStyle w:val="RSCB01ARTAbstract"/>
      </w:pPr>
      <w:r w:rsidRPr="0056354E">
        <w:t xml:space="preserve">The simplicity and efficiency of point of care diagnostics have revolutionised patient care. Current methods for measuring hypercoagulability often require trained technicians, large blood volumes, and result in long turnaround times. Standard testing for hypercoagulable disorders is performed in the central laboratory using automated coagulation analysers. However the trend is moving towards the development and implementation of point of care testing, as a result of the ever increasing number of patients on antithrombotic therapy. </w:t>
      </w:r>
      <w:r w:rsidR="00ED7134" w:rsidRPr="00ED7134">
        <w:t>We present a novel microfluidic device and assay for monitoring the effect of two anticoagulants, unfractionated heparin (UFH) and low molecular weight heparin (LMWH). The assay is based on the anti-Xa assay principle but uses fluorescence detection. Our device is a disposable laminate microfluidic strip, fabricated from the cyclic polyolefin (COP), Zeonor®, which is extremely suitable for application to fluorescent device platforms. We present data on the execution of the anti-Xa assay in this microfluidic format, demonstrating that the assay can be used to measure both UFH and LMWH in human plasma samples from 0 to 1 U</w:t>
      </w:r>
      <w:r w:rsidR="00A7606E">
        <w:t>/mL</w:t>
      </w:r>
      <w:r w:rsidR="00ED7134" w:rsidRPr="00ED7134">
        <w:t xml:space="preserve">, with a rapid result obtained within 30-60 seconds. </w:t>
      </w:r>
    </w:p>
    <w:p w:rsidR="001D411F" w:rsidRPr="00FA2DA2" w:rsidRDefault="001D411F" w:rsidP="00FC2F5F">
      <w:pPr>
        <w:pStyle w:val="RSCB01ARTAbstract"/>
        <w:sectPr w:rsidR="001D411F" w:rsidRPr="00FA2DA2"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p>
    <w:p w:rsidR="00FA2DA2" w:rsidRDefault="00FA2DA2" w:rsidP="00FC2F5F">
      <w:pPr>
        <w:pStyle w:val="RSCB04AHeadingSection"/>
        <w:spacing w:line="240" w:lineRule="exact"/>
      </w:pPr>
      <w:r w:rsidRPr="00017239">
        <w:lastRenderedPageBreak/>
        <w:t>Introduction</w:t>
      </w:r>
    </w:p>
    <w:p w:rsidR="007632B7" w:rsidRPr="007632B7" w:rsidRDefault="007632B7" w:rsidP="00FC2F5F">
      <w:pPr>
        <w:pStyle w:val="RSCB06BHeadingSub-Section"/>
        <w:jc w:val="both"/>
        <w:rPr>
          <w:b w:val="0"/>
        </w:rPr>
      </w:pPr>
      <w:r w:rsidRPr="007632B7">
        <w:rPr>
          <w:b w:val="0"/>
        </w:rPr>
        <w:t>Antithrombotics are commonly administered for the treatment of arterial and venous thromboembolism. Unfractionated heparins and low molecular weight heparins are some of the traditional antithrombotics used in the treatment and prevention of such thromboembolic disorders.</w:t>
      </w:r>
      <w:r w:rsidR="008F45D5">
        <w:rPr>
          <w:b w:val="0"/>
          <w:vertAlign w:val="superscript"/>
        </w:rPr>
        <w:fldChar w:fldCharType="begin" w:fldLock="1"/>
      </w:r>
      <w:r w:rsidR="008F45D5">
        <w:rPr>
          <w:b w:val="0"/>
          <w:vertAlign w:val="superscript"/>
        </w:rPr>
        <w:instrText>ADDIN CSL_CITATION { "citationItems" : [ { "id" : "ITEM-1", "itemData" : { "ISBN" : "1082-801X", "abstract" : "Venous thromboembolism (VTE) is a debilitating and potentially fatal condition, often seen in the aging population. VTE results from clot formation in the venous circulation and presents as either deep-vein thrombosis (DVT) or pulmonary embolism (PE). A population-based study estimated that at least 201,000 new cases of VIE occur in the United States annually. Of these, 107,000 are DVT cases, while the remaining 94,000 present as PE. The goals for acute treatment of DVT are to prevent further clotting, prevent acute pulmonary emboli, reduce the risk of recurrent thrombosis, and to truncate the development of complications including venous insufficiency and post-thrombotic syndrome. Patients with acute DVT should be treated with one of several therapies. These include subcutaneous (SC) low-molecular-weight heparin, intravenous unfractionated heparin (UFH), SC UFH with monitoring, fixed-dose SC UFH, or SC fondaparinux, versus no treatment at all. (Formulary. 2010;45: 91-100.)", "author" : [ { "dropping-particle" : "", "family" : "Wood", "given" : "Bryan", "non-dropping-particle" : "", "parse-names" : false, "suffix" : "" }, { "dropping-particle" : "", "family" : "Fitzpatrick", "given" : "Lori", "non-dropping-particle" : "", "parse-names" : false, "suffix" : "" } ], "container-title" : "Formulary", "id" : "ITEM-1", "issue" : "3", "issued" : { "date-parts" : [ [ "2010", "3" ] ] }, "note" : "PT: J; UT: ISI:000276086500005", "page" : "91-100", "title" : "A review of the prevention and treatment of venous thromboembolism", "type" : "article-journal", "volume" : "45" }, "uris" : [ "http://www.mendeley.com/documents/?uuid=793c99b8-a7ff-408a-85dd-a334ba625295" ] } ], "mendeley" : { "formattedCitation" : "&lt;sup&gt;1&lt;/sup&gt;", "plainTextFormattedCitation" : "1", "previouslyFormattedCitation" : "&lt;sup&gt;1&lt;/sup&gt;" }, "properties" : { "noteIndex" : 0 }, "schema" : "https://github.com/citation-style-language/schema/raw/master/csl-citation.json" }</w:instrText>
      </w:r>
      <w:r w:rsidR="008F45D5">
        <w:rPr>
          <w:b w:val="0"/>
          <w:vertAlign w:val="superscript"/>
        </w:rPr>
        <w:fldChar w:fldCharType="separate"/>
      </w:r>
      <w:r w:rsidR="008F45D5" w:rsidRPr="008F45D5">
        <w:rPr>
          <w:b w:val="0"/>
          <w:noProof/>
          <w:vertAlign w:val="superscript"/>
        </w:rPr>
        <w:t>1</w:t>
      </w:r>
      <w:r w:rsidR="008F45D5">
        <w:rPr>
          <w:b w:val="0"/>
          <w:vertAlign w:val="superscript"/>
        </w:rPr>
        <w:fldChar w:fldCharType="end"/>
      </w:r>
      <w:r w:rsidRPr="007632B7">
        <w:rPr>
          <w:b w:val="0"/>
        </w:rPr>
        <w:t xml:space="preserve"> Low molecular weight heparin (LMWH) has a more defined and predicta</w:t>
      </w:r>
      <w:r w:rsidR="008C576F">
        <w:rPr>
          <w:b w:val="0"/>
        </w:rPr>
        <w:t xml:space="preserve">ble pharmacokinetic or </w:t>
      </w:r>
      <w:proofErr w:type="spellStart"/>
      <w:r w:rsidRPr="007632B7">
        <w:rPr>
          <w:b w:val="0"/>
        </w:rPr>
        <w:t>pharmacodynamic</w:t>
      </w:r>
      <w:proofErr w:type="spellEnd"/>
      <w:r w:rsidRPr="007632B7">
        <w:rPr>
          <w:b w:val="0"/>
        </w:rPr>
        <w:t xml:space="preserve"> profile over unfractionated heparin (UFH) and it also prefers </w:t>
      </w:r>
      <w:proofErr w:type="spellStart"/>
      <w:r w:rsidRPr="007632B7">
        <w:rPr>
          <w:b w:val="0"/>
        </w:rPr>
        <w:t>FXa</w:t>
      </w:r>
      <w:proofErr w:type="spellEnd"/>
      <w:r w:rsidRPr="007632B7">
        <w:rPr>
          <w:b w:val="0"/>
        </w:rPr>
        <w:t xml:space="preserve"> as a therapeutic target over thrombin.</w:t>
      </w:r>
      <w:r w:rsidR="008F45D5">
        <w:rPr>
          <w:b w:val="0"/>
        </w:rPr>
        <w:fldChar w:fldCharType="begin" w:fldLock="1"/>
      </w:r>
      <w:r w:rsidR="008F45D5">
        <w:rPr>
          <w:b w:val="0"/>
        </w:rPr>
        <w:instrText>ADDIN CSL_CITATION { "citationItems" : [ { "id" : "ITEM-1", "itemData" : { "DOI" : "10.1146/annurev-pharmtox-010611-134633", "ISSN" : "1545-4304", "PMID" : "21819239", "abstract" : "Since the discovery of heparin nearly a century ago, there have been large gaps in the development of anticoagulants. The discovery of warfarin was the first step toward using oral anticoagulants, but warfarin use has been associated with its own challenges from the perspectives of the prescribing physician and the patient. Warfarin, along with other coumarins, has a narrow therapeutic index, requires frequent monitoring, exhibits interindividual response variations, and is associated with several adverse effects. Frequent drug and food interactions contribute to potential safety and efficacy compromise. The indications for use of oral anticoagulants have increased, as these drugs are used not only for thrombosis management but also for cardiovascular indications, producing more challenges for oral anticoagulant use. Factor Xa and thrombin targeting has provided a rational approach to develop new oral anticoagulants with improvements over warfarin. In this review, the pharmacology of warfarin and the pharmacology of the newly developed oral anti-Xa and antithrombin agents are discussed.", "author" : [ { "dropping-particle" : "", "family" : "Fareed", "given" : "Jawed", "non-dropping-particle" : "", "parse-names" : false, "suffix" : "" }, { "dropping-particle" : "", "family" : "Thethi", "given" : "Indermohan", "non-dropping-particle" : "", "parse-names" : false, "suffix" : "" }, { "dropping-particle" : "", "family" : "Hoppensteadt", "given" : "Debra", "non-dropping-particle" : "", "parse-names" : false, "suffix" : "" } ], "container-title" : "Annu. Rev. Pharmacol. Toxicol.", "id" : "ITEM-1", "issued" : { "date-parts" : [ [ "2012", "2", "10" ] ] }, "page" : "79-99", "title" : "Old versus new oral anticoagulants: focus on pharmacology", "type" : "article-journal", "volume" : "52" }, "uris" : [ "http://www.mendeley.com/documents/?uuid=0902b9fc-a842-4d01-ad40-b94861b1c067" ] } ], "mendeley" : { "formattedCitation" : "&lt;sup&gt;2&lt;/sup&gt;", "plainTextFormattedCitation" : "2", "previouslyFormattedCitation" : "&lt;sup&gt;2&lt;/sup&gt;" }, "properties" : { "noteIndex" : 0 }, "schema" : "https://github.com/citation-style-language/schema/raw/master/csl-citation.json" }</w:instrText>
      </w:r>
      <w:r w:rsidR="008F45D5">
        <w:rPr>
          <w:b w:val="0"/>
        </w:rPr>
        <w:fldChar w:fldCharType="separate"/>
      </w:r>
      <w:r w:rsidR="008F45D5" w:rsidRPr="008F45D5">
        <w:rPr>
          <w:b w:val="0"/>
          <w:noProof/>
          <w:vertAlign w:val="superscript"/>
        </w:rPr>
        <w:t>2</w:t>
      </w:r>
      <w:r w:rsidR="008F45D5">
        <w:rPr>
          <w:b w:val="0"/>
        </w:rPr>
        <w:fldChar w:fldCharType="end"/>
      </w:r>
    </w:p>
    <w:p w:rsidR="007632B7" w:rsidRPr="007632B7" w:rsidRDefault="007632B7" w:rsidP="00FC2F5F">
      <w:pPr>
        <w:pStyle w:val="RSCB06BHeadingSub-Section"/>
        <w:jc w:val="both"/>
        <w:rPr>
          <w:b w:val="0"/>
        </w:rPr>
      </w:pPr>
      <w:r w:rsidRPr="007632B7">
        <w:rPr>
          <w:b w:val="0"/>
        </w:rPr>
        <w:t>Standard testing for coagulation disorders are usually based on the principle of clotting and are carried out on automated coagulometers.</w:t>
      </w:r>
      <w:r w:rsidR="008F45D5">
        <w:rPr>
          <w:b w:val="0"/>
          <w:vertAlign w:val="superscript"/>
        </w:rPr>
        <w:fldChar w:fldCharType="begin" w:fldLock="1"/>
      </w:r>
      <w:r w:rsidR="008F45D5">
        <w:rPr>
          <w:b w:val="0"/>
          <w:vertAlign w:val="superscript"/>
        </w:rPr>
        <w:instrText>ADDIN CSL_CITATION { "citationItems" : [ { "id" : "ITEM-1", "itemData" : { "author" : [ { "dropping-particle" : "", "family" : "Hirsh", "given" : "J", "non-dropping-particle" : "", "parse-names" : false, "suffix" : "" }, { "dropping-particle" : "", "family" : "Warkentin", "given" : "Theodore E", "non-dropping-particle" : "", "parse-names" : false, "suffix" : "" }, { "dropping-particle" : "", "family" : "Shaughnessy", "given" : "Stephen G", "non-dropping-particle" : "", "parse-names" : false, "suffix" : "" }, { "dropping-particle" : "", "family" : "Anand", "given" : "Sonia S", "non-dropping-particle" : "", "parse-names" : false, "suffix" : "" }, { "dropping-particle" : "", "family" : "Halperin", "given" : "Jonathan L", "non-dropping-particle" : "", "parse-names" : false, "suffix" : "" }, { "dropping-particle" : "", "family" : "Raschke", "given" : "R", "non-dropping-particle" : "", "parse-names" : false, "suffix" : "" }, { "dropping-particle" : "", "family" : "Granger", "given" : "C", "non-dropping-particle" : "", "parse-names" : false, "suffix" : "" }, { "dropping-particle" : "", "family" : "Ohman", "given" : "E Magnus", "non-dropping-particle" : "", "parse-names" : false, "suffix" : "" }, { "dropping-particle" : "", "family" : "Dalen", "given" : "James E", "non-dropping-particle" : "", "parse-names" : false, "suffix" : "" } ], "container-title" : "Chest", "id" : "ITEM-1", "issue" : "1", "issued" : { "date-parts" : [ [ "2001" ] ] }, "note" : "ID: 18; ID: 53", "page" : "64S-94S", "title" : "Heparin and Low-Molecular-Weight Heparin Mechanisms of Action, Pharmacokinetics, Dosing, Monitoring, Efficacy, and Safety", "type" : "article-journal", "volume" : "119" }, "uris" : [ "http://www.mendeley.com/documents/?uuid=4d914006-c319-4164-aac7-ad151910fd77" ] } ], "mendeley" : { "formattedCitation" : "&lt;sup&gt;3&lt;/sup&gt;", "plainTextFormattedCitation" : "3", "previouslyFormattedCitation" : "&lt;sup&gt;3&lt;/sup&gt;" }, "properties" : { "noteIndex" : 0 }, "schema" : "https://github.com/citation-style-language/schema/raw/master/csl-citation.json" }</w:instrText>
      </w:r>
      <w:r w:rsidR="008F45D5">
        <w:rPr>
          <w:b w:val="0"/>
          <w:vertAlign w:val="superscript"/>
        </w:rPr>
        <w:fldChar w:fldCharType="separate"/>
      </w:r>
      <w:r w:rsidR="008F45D5" w:rsidRPr="008F45D5">
        <w:rPr>
          <w:b w:val="0"/>
          <w:noProof/>
          <w:vertAlign w:val="superscript"/>
        </w:rPr>
        <w:t>3</w:t>
      </w:r>
      <w:r w:rsidR="008F45D5">
        <w:rPr>
          <w:b w:val="0"/>
          <w:vertAlign w:val="superscript"/>
        </w:rPr>
        <w:fldChar w:fldCharType="end"/>
      </w:r>
      <w:r w:rsidRPr="007632B7">
        <w:rPr>
          <w:b w:val="0"/>
        </w:rPr>
        <w:t xml:space="preserve"> However with the advent of point of care (POC) diagnostics, many of the standard clotting assays such as the </w:t>
      </w:r>
      <w:proofErr w:type="spellStart"/>
      <w:r w:rsidRPr="007632B7">
        <w:rPr>
          <w:b w:val="0"/>
        </w:rPr>
        <w:t>prothrombin</w:t>
      </w:r>
      <w:proofErr w:type="spellEnd"/>
      <w:r w:rsidRPr="007632B7">
        <w:rPr>
          <w:b w:val="0"/>
        </w:rPr>
        <w:t xml:space="preserve"> time (PT) and activated partial </w:t>
      </w:r>
      <w:proofErr w:type="spellStart"/>
      <w:r w:rsidRPr="007632B7">
        <w:rPr>
          <w:b w:val="0"/>
        </w:rPr>
        <w:t>thromboplastin</w:t>
      </w:r>
      <w:proofErr w:type="spellEnd"/>
      <w:r w:rsidRPr="007632B7">
        <w:rPr>
          <w:b w:val="0"/>
        </w:rPr>
        <w:t xml:space="preserve"> time (</w:t>
      </w:r>
      <w:proofErr w:type="spellStart"/>
      <w:r w:rsidRPr="007632B7">
        <w:rPr>
          <w:b w:val="0"/>
        </w:rPr>
        <w:t>aPTT</w:t>
      </w:r>
      <w:proofErr w:type="spellEnd"/>
      <w:r w:rsidRPr="007632B7">
        <w:rPr>
          <w:b w:val="0"/>
        </w:rPr>
        <w:t xml:space="preserve">) have been translated into miniaturised POC devices. Warfarin is commonly monitored using the </w:t>
      </w:r>
      <w:proofErr w:type="spellStart"/>
      <w:r w:rsidRPr="007632B7">
        <w:rPr>
          <w:b w:val="0"/>
        </w:rPr>
        <w:t>HemoSense</w:t>
      </w:r>
      <w:proofErr w:type="spellEnd"/>
      <w:r w:rsidRPr="007632B7">
        <w:rPr>
          <w:b w:val="0"/>
        </w:rPr>
        <w:t xml:space="preserve"> </w:t>
      </w:r>
      <w:proofErr w:type="spellStart"/>
      <w:r w:rsidRPr="007632B7">
        <w:rPr>
          <w:b w:val="0"/>
        </w:rPr>
        <w:t>INRatio</w:t>
      </w:r>
      <w:proofErr w:type="spellEnd"/>
      <w:r w:rsidRPr="007632B7">
        <w:rPr>
          <w:b w:val="0"/>
        </w:rPr>
        <w:t xml:space="preserve"> monitor (</w:t>
      </w:r>
      <w:proofErr w:type="spellStart"/>
      <w:r w:rsidRPr="007632B7">
        <w:rPr>
          <w:b w:val="0"/>
        </w:rPr>
        <w:t>HemoSense</w:t>
      </w:r>
      <w:proofErr w:type="spellEnd"/>
      <w:r w:rsidRPr="007632B7">
        <w:rPr>
          <w:b w:val="0"/>
        </w:rPr>
        <w:t xml:space="preserve"> Inc., USA) which was developed for determining the PT/INR of patients undergoing oral anticoagulation treatment. Testing for anticoagulant therapy is very diverse with numerous different tests available for assessing coagulation status, however diagnostics based on the traditional testing principles are </w:t>
      </w:r>
      <w:r w:rsidRPr="007632B7">
        <w:rPr>
          <w:b w:val="0"/>
        </w:rPr>
        <w:lastRenderedPageBreak/>
        <w:t>limited in terms of poor predictive value, poor quality and accuracy.</w:t>
      </w:r>
      <w:r w:rsidR="008F45D5">
        <w:rPr>
          <w:b w:val="0"/>
          <w:vertAlign w:val="superscript"/>
        </w:rPr>
        <w:fldChar w:fldCharType="begin" w:fldLock="1"/>
      </w:r>
      <w:r w:rsidR="008F45D5">
        <w:rPr>
          <w:b w:val="0"/>
          <w:vertAlign w:val="superscript"/>
        </w:rPr>
        <w:instrText>ADDIN CSL_CITATION { "citationItems" : [ { "id" : "ITEM-1", "itemData" : { "ISBN" : "0007-1048", "abstract" : "The guideline group was selected to be representative of UK-based medical experts. The drafting group met and communicated by e-mail. Draft guidelines were revised by consensus. Since the initial guideline published by the British Committee for Standards in Haematology (BCSH; Colvin &amp; Barrowcliffe, 1993) evidence-based guidelines on the use and monitoring of heparin have been included in the American College of Chest Physicians Consensus Conferences on Antithrombotic Therapy ( ACCP; Hirsh &amp; Raschke, 2004) and the Scottish Intercollegiate Guidelines Network ( SIGN; http://www.sign.ac.uk/guidelines/fulltext/36/section12.html). Reference to these guidelines is advised for a comprehensive review of the evidence. The recommendations in this BCSH guideline generally reflect those of the ACCP and SIGN and are updated where appropriate to encompass recent studies. The guideline was reviewed by a multidisciplinary sounding board, the BCSH and the British Society for Haematology (BSH) and comments incorporated where appropriate. Criteria used to quote levels and grades of evidence are as in Appendix 3 of the Procedure for Guidelines Commissioned by the BCSH (http://www.bcshguidelines.com). The target audience for this guideline is healthcare professionals involved in the management of patients receiving heparin.", "author" : [ { "dropping-particle" : "", "family" : "Baglin", "given" : "T", "non-dropping-particle" : "", "parse-names" : false, "suffix" : "" }, { "dropping-particle" : "", "family" : "Barrowcliffe", "given" : "T W", "non-dropping-particle" : "", "parse-names" : false, "suffix" : "" }, { "dropping-particle" : "", "family" : "Cohen", "given" : "A", "non-dropping-particle" : "", "parse-names" : false, "suffix" : "" }, { "dropping-particle" : "", "family" : "Greaves", "given" : "M", "non-dropping-particle" : "", "parse-names" : false, "suffix" : "" } ], "container-title" : "Br. J. Haematol.", "id" : "ITEM-1", "issue" : "1", "issued" : { "date-parts" : [ [ "2006", "4" ] ] }, "note" : "ID: 4; ID: 75; ID: 164; PT: J", "page" : "19-34", "title" : "Guidelines on the use and monitoring of heparin", "type" : "article-journal", "volume" : "133" }, "uris" : [ "http://www.mendeley.com/documents/?uuid=ef7e7f5a-66eb-48aa-84c6-b632f5088276" ] } ], "mendeley" : { "formattedCitation" : "&lt;sup&gt;4&lt;/sup&gt;", "plainTextFormattedCitation" : "4", "previouslyFormattedCitation" : "&lt;sup&gt;4&lt;/sup&gt;" }, "properties" : { "noteIndex" : 0 }, "schema" : "https://github.com/citation-style-language/schema/raw/master/csl-citation.json" }</w:instrText>
      </w:r>
      <w:r w:rsidR="008F45D5">
        <w:rPr>
          <w:b w:val="0"/>
          <w:vertAlign w:val="superscript"/>
        </w:rPr>
        <w:fldChar w:fldCharType="separate"/>
      </w:r>
      <w:r w:rsidR="008F45D5" w:rsidRPr="008F45D5">
        <w:rPr>
          <w:b w:val="0"/>
          <w:noProof/>
          <w:vertAlign w:val="superscript"/>
        </w:rPr>
        <w:t>4</w:t>
      </w:r>
      <w:r w:rsidR="008F45D5">
        <w:rPr>
          <w:b w:val="0"/>
          <w:vertAlign w:val="superscript"/>
        </w:rPr>
        <w:fldChar w:fldCharType="end"/>
      </w:r>
      <w:r w:rsidRPr="007632B7">
        <w:rPr>
          <w:b w:val="0"/>
        </w:rPr>
        <w:t xml:space="preserve"> As a result there is a drive for the standardization of current coagulation tests alongside a constant push for the development of a global test of haemostasis.</w:t>
      </w:r>
      <w:r w:rsidR="008F45D5">
        <w:rPr>
          <w:b w:val="0"/>
          <w:vertAlign w:val="superscript"/>
        </w:rPr>
        <w:fldChar w:fldCharType="begin" w:fldLock="1"/>
      </w:r>
      <w:r w:rsidR="008F45D5">
        <w:rPr>
          <w:b w:val="0"/>
          <w:vertAlign w:val="superscript"/>
        </w:rPr>
        <w:instrText>ADDIN CSL_CITATION { "citationItems" : [ { "id" : "ITEM-1", "itemData" : { "DOI" : "10.1002/ddr.21119", "ISSN" : "0272-4391", "PMID" : "24489427", "abstract" : "[Table: see text] There is an increasing need for the standardization of platelet function and coagulation testing for the assessment of antithrombotic therapies. Investigators continue to strive to identify ideal laboratory testing and monitoring procedures for acquired and inherited platelet function defects as well as for evaluating patient status when treated with existing or emerging antithrombotics. These therapies are used primarily in the treatment of ischemic complications. In patients receiving antithrombotic therapy, the balance between hemostasis and thrombosis is a challenge as there is an ongoing risk for bleeding when patients are receiving antiplatelet agents or anticoagulants to lessen their risk for secondary thrombotic events. There are several diverse tests for monitoring anticoagulant therapy; however, as new agents are developed, more specific tests will be required to directly assess these agents in relationship to overall coagulation status. Research in the platelet biology field is ongoing to provide point-of-care methodologies for the assessment of platelet reactivity in terms of both bleeding and thrombosis risk. Currently there are no instruments that reliably assess the risk of bleeding. The challenges that routinely faced are the complexity of physiology, the need for standardization of platelet testing methodology, and the necessity for appropriate interpretation of the test results.", "author" : [ { "dropping-particle" : "", "family" : "Jennings", "given" : "Lisa K", "non-dropping-particle" : "", "parse-names" : false, "suffix" : "" }, { "dropping-particle" : "", "family" : "Kotha", "given" : "Jayaprakash", "non-dropping-particle" : "", "parse-names" : false, "suffix" : "" } ], "container-title" : "Drug development research", "id" : "ITEM-1", "issue" : "8", "issued" : { "date-parts" : [ [ "2013", "12" ] ] }, "page" : "587-593", "publisher" : "WILEY-BLACKWELL, 111 RIVER ST, HOBOKEN 07030-5774, NJ USA", "title" : "The Utility of Platelet and Coagulation Testing of Antithrombotics: Fusing Science with Patient Care.", "type" : "article-journal", "volume" : "74" }, "uris" : [ "http://www.mendeley.com/documents/?uuid=0df6ad9e-5863-4727-8c8b-9b8314dfd15d" ] } ], "mendeley" : { "formattedCitation" : "&lt;sup&gt;5&lt;/sup&gt;", "plainTextFormattedCitation" : "5", "previouslyFormattedCitation" : "&lt;sup&gt;5&lt;/sup&gt;" }, "properties" : { "noteIndex" : 0 }, "schema" : "https://github.com/citation-style-language/schema/raw/master/csl-citation.json" }</w:instrText>
      </w:r>
      <w:r w:rsidR="008F45D5">
        <w:rPr>
          <w:b w:val="0"/>
          <w:vertAlign w:val="superscript"/>
        </w:rPr>
        <w:fldChar w:fldCharType="separate"/>
      </w:r>
      <w:r w:rsidR="008F45D5" w:rsidRPr="008F45D5">
        <w:rPr>
          <w:b w:val="0"/>
          <w:noProof/>
          <w:vertAlign w:val="superscript"/>
        </w:rPr>
        <w:t>5</w:t>
      </w:r>
      <w:r w:rsidR="008F45D5">
        <w:rPr>
          <w:b w:val="0"/>
          <w:vertAlign w:val="superscript"/>
        </w:rPr>
        <w:fldChar w:fldCharType="end"/>
      </w:r>
    </w:p>
    <w:p w:rsidR="007632B7" w:rsidRPr="007632B7" w:rsidRDefault="007632B7" w:rsidP="00FC2F5F">
      <w:pPr>
        <w:pStyle w:val="RSCB06BHeadingSub-Section"/>
        <w:jc w:val="both"/>
        <w:rPr>
          <w:b w:val="0"/>
        </w:rPr>
      </w:pPr>
      <w:r w:rsidRPr="007632B7">
        <w:rPr>
          <w:b w:val="0"/>
        </w:rPr>
        <w:t>The emergence of peptide substrates in the 1960s</w:t>
      </w:r>
      <w:r w:rsidR="008F45D5">
        <w:rPr>
          <w:b w:val="0"/>
          <w:vertAlign w:val="superscript"/>
        </w:rPr>
        <w:fldChar w:fldCharType="begin" w:fldLock="1"/>
      </w:r>
      <w:r w:rsidR="008F45D5">
        <w:rPr>
          <w:b w:val="0"/>
          <w:vertAlign w:val="superscript"/>
        </w:rPr>
        <w:instrText>ADDIN CSL_CITATION { "citationItems" : [ { "id" : "ITEM-1", "itemData" : { "ISBN" : "0049-3848 ER", "author" : [ { "dropping-particle" : "", "family" : "Teien", "given" : "A N", "non-dropping-particle" : "", "parse-names" : false, "suffix" : "" }, { "dropping-particle" : "", "family" : "Lie", "given" : "M", "non-dropping-particle" : "", "parse-names" : false, "suffix" : "" }, { "dropping-particle" : "", "family" : "Abildgaard", "given" : "U", "non-dropping-particle" : "", "parse-names" : false, "suffix" : "" } ], "container-title" : "Thrombosis research", "id" : "ITEM-1", "issue" : "3", "issued" : { "date-parts" : [ [ "1976" ] ] }, "note" : "ID: 94; ID: 119; PT: J; TC: 336", "page" : "413-416", "title" : "Assay of Heparin in Plasma using a Chromogenic Substrate for Activated Factor-10", "type" : "article-journal", "volume" : "8" }, "uris" : [ "http://www.mendeley.com/documents/?uuid=42d67153-90f1-4352-8d51-fd870458a5f1" ] } ], "mendeley" : { "formattedCitation" : "&lt;sup&gt;6&lt;/sup&gt;", "plainTextFormattedCitation" : "6", "previouslyFormattedCitation" : "&lt;sup&gt;6&lt;/sup&gt;" }, "properties" : { "noteIndex" : 0 }, "schema" : "https://github.com/citation-style-language/schema/raw/master/csl-citation.json" }</w:instrText>
      </w:r>
      <w:r w:rsidR="008F45D5">
        <w:rPr>
          <w:b w:val="0"/>
          <w:vertAlign w:val="superscript"/>
        </w:rPr>
        <w:fldChar w:fldCharType="separate"/>
      </w:r>
      <w:r w:rsidR="008F45D5" w:rsidRPr="008F45D5">
        <w:rPr>
          <w:b w:val="0"/>
          <w:noProof/>
          <w:vertAlign w:val="superscript"/>
        </w:rPr>
        <w:t>6</w:t>
      </w:r>
      <w:r w:rsidR="008F45D5">
        <w:rPr>
          <w:b w:val="0"/>
          <w:vertAlign w:val="superscript"/>
        </w:rPr>
        <w:fldChar w:fldCharType="end"/>
      </w:r>
      <w:r w:rsidRPr="007632B7">
        <w:rPr>
          <w:b w:val="0"/>
        </w:rPr>
        <w:t xml:space="preserve">, had a knock-on effect with the development of substrates specific for coagulation proteins. As a result, the chromogenic anti-factor </w:t>
      </w:r>
      <w:proofErr w:type="spellStart"/>
      <w:r w:rsidRPr="007632B7">
        <w:rPr>
          <w:b w:val="0"/>
        </w:rPr>
        <w:t>Xa</w:t>
      </w:r>
      <w:proofErr w:type="spellEnd"/>
      <w:r w:rsidRPr="007632B7">
        <w:rPr>
          <w:b w:val="0"/>
        </w:rPr>
        <w:t xml:space="preserve"> (anti-</w:t>
      </w:r>
      <w:proofErr w:type="spellStart"/>
      <w:r w:rsidRPr="007632B7">
        <w:rPr>
          <w:b w:val="0"/>
        </w:rPr>
        <w:t>FXa</w:t>
      </w:r>
      <w:proofErr w:type="spellEnd"/>
      <w:r w:rsidRPr="007632B7">
        <w:rPr>
          <w:b w:val="0"/>
        </w:rPr>
        <w:t>) assay emerged as the new standard for monitoring LMWH therapy in the central laboratory. The anti-</w:t>
      </w:r>
      <w:proofErr w:type="spellStart"/>
      <w:r w:rsidRPr="007632B7">
        <w:rPr>
          <w:b w:val="0"/>
        </w:rPr>
        <w:t>FXa</w:t>
      </w:r>
      <w:proofErr w:type="spellEnd"/>
      <w:r w:rsidRPr="007632B7">
        <w:rPr>
          <w:b w:val="0"/>
        </w:rPr>
        <w:t xml:space="preserve"> assay works on the principle of the addition of exogenous </w:t>
      </w:r>
      <w:proofErr w:type="spellStart"/>
      <w:r w:rsidRPr="007632B7">
        <w:rPr>
          <w:b w:val="0"/>
        </w:rPr>
        <w:t>FXa</w:t>
      </w:r>
      <w:proofErr w:type="spellEnd"/>
      <w:r w:rsidRPr="007632B7">
        <w:rPr>
          <w:b w:val="0"/>
        </w:rPr>
        <w:t xml:space="preserve"> to a heparinised plasma sample, which is incubated to allow the </w:t>
      </w:r>
      <w:proofErr w:type="spellStart"/>
      <w:r w:rsidRPr="007632B7">
        <w:rPr>
          <w:b w:val="0"/>
        </w:rPr>
        <w:t>antithrombin</w:t>
      </w:r>
      <w:proofErr w:type="spellEnd"/>
      <w:r w:rsidRPr="007632B7">
        <w:rPr>
          <w:b w:val="0"/>
        </w:rPr>
        <w:t xml:space="preserve"> (AT) in the sample to form a complex with the excess </w:t>
      </w:r>
      <w:proofErr w:type="spellStart"/>
      <w:r w:rsidRPr="007632B7">
        <w:rPr>
          <w:b w:val="0"/>
        </w:rPr>
        <w:t>FXa</w:t>
      </w:r>
      <w:proofErr w:type="spellEnd"/>
      <w:r w:rsidRPr="007632B7">
        <w:rPr>
          <w:b w:val="0"/>
        </w:rPr>
        <w:t xml:space="preserve"> and heparin. The formation of this complex allows AT to bind and </w:t>
      </w:r>
      <w:proofErr w:type="spellStart"/>
      <w:r w:rsidRPr="007632B7">
        <w:rPr>
          <w:b w:val="0"/>
        </w:rPr>
        <w:t>inihibit</w:t>
      </w:r>
      <w:proofErr w:type="spellEnd"/>
      <w:r w:rsidRPr="007632B7">
        <w:rPr>
          <w:b w:val="0"/>
        </w:rPr>
        <w:t xml:space="preserve"> thrombin and </w:t>
      </w:r>
      <w:proofErr w:type="spellStart"/>
      <w:r w:rsidRPr="007632B7">
        <w:rPr>
          <w:b w:val="0"/>
        </w:rPr>
        <w:t>FXa</w:t>
      </w:r>
      <w:proofErr w:type="spellEnd"/>
      <w:r w:rsidRPr="007632B7">
        <w:rPr>
          <w:b w:val="0"/>
        </w:rPr>
        <w:t xml:space="preserve"> more strongly. The concentration of free </w:t>
      </w:r>
      <w:proofErr w:type="spellStart"/>
      <w:r w:rsidRPr="007632B7">
        <w:rPr>
          <w:b w:val="0"/>
        </w:rPr>
        <w:t>FXa</w:t>
      </w:r>
      <w:proofErr w:type="spellEnd"/>
      <w:r w:rsidRPr="007632B7">
        <w:rPr>
          <w:b w:val="0"/>
        </w:rPr>
        <w:t xml:space="preserve"> can then be measured using a substrate that is selectively cleaved by the serine protease activity of FXa.</w:t>
      </w:r>
      <w:r w:rsidR="008F45D5">
        <w:rPr>
          <w:b w:val="0"/>
          <w:vertAlign w:val="superscript"/>
        </w:rPr>
        <w:fldChar w:fldCharType="begin" w:fldLock="1"/>
      </w:r>
      <w:r w:rsidR="008F45D5">
        <w:rPr>
          <w:b w:val="0"/>
          <w:vertAlign w:val="superscript"/>
        </w:rPr>
        <w:instrText>ADDIN CSL_CITATION { "citationItems" : [ { "id" : "ITEM-1", "itemData" : { "ISBN" : "0049-3848", "abstract" : "Anticoagulant therapy with heparin has been the cornerstone of treatment and prevention of thrombosis for many decades. The properties and indications of heparin, as well as the development of its derivates, the low-molecular-weight heparins, and ultimately the synthetically designed pentasaccharides, are reviewed from a clinical perspective. Unfractionated heparin is a heterogeneous mixture of polysaccharides and glycosaminoglycuronsulfate which for commercial preparations is generally extracted from bovine and sheep lungs and porcine intestinal mucosa. Low-molecular-weight heparins are fragments of unfractionated heparin produced by controlled enzymatic or chemical depolymerization processes with the main difference being in their relative inhibitory activity against factor Xa and thrombin. Pentasaccharides are synthetic drugs that accelerate the interaction between factor Xa and antithrombin but selectively inhibit factor Xa activity. Many clinical studies in the prevention and treatment of venous thromboembolism in several patient groups, as well as for arterial indications have been performed over the last decades. Low-molecular-weight heparins have proved to be more efficacious and safer than unfractionated heparin. Phase 3 trials have demonstrated similar or superior efficacy combined with superior safety for the short-acting pentasaccharide fondaparinux, as compared to low-molecular-weight heparin. Results of phase 3 trials of the long-acting pentasaccharide idraparinux which is being compared to vitamin K antagonists for long-term treatment are much awaited.", "author" : [ { "dropping-particle" : "", "family" : "Middeldorp", "given" : "S", "non-dropping-particle" : "", "parse-names" : false, "suffix" : "" } ], "container-title" : "Thrombosis research", "id" : "ITEM-1", "issue" : "6", "issued" : { "date-parts" : [ [ "2008" ] ] }, "note" : "ID: 29; ID: 155; ID: 113", "page" : "753-762", "title" : "Heparin: From animal organ extract to designer drug", "type" : "article-journal", "volume" : "122" }, "uris" : [ "http://www.mendeley.com/documents/?uuid=54345251-3d64-415f-83a4-29e475c65911" ] } ], "mendeley" : { "formattedCitation" : "&lt;sup&gt;7&lt;/sup&gt;", "plainTextFormattedCitation" : "7", "previouslyFormattedCitation" : "&lt;sup&gt;7&lt;/sup&gt;" }, "properties" : { "noteIndex" : 0 }, "schema" : "https://github.com/citation-style-language/schema/raw/master/csl-citation.json" }</w:instrText>
      </w:r>
      <w:r w:rsidR="008F45D5">
        <w:rPr>
          <w:b w:val="0"/>
          <w:vertAlign w:val="superscript"/>
        </w:rPr>
        <w:fldChar w:fldCharType="separate"/>
      </w:r>
      <w:r w:rsidR="008F45D5" w:rsidRPr="008F45D5">
        <w:rPr>
          <w:b w:val="0"/>
          <w:noProof/>
          <w:vertAlign w:val="superscript"/>
        </w:rPr>
        <w:t>7</w:t>
      </w:r>
      <w:r w:rsidR="008F45D5">
        <w:rPr>
          <w:b w:val="0"/>
          <w:vertAlign w:val="superscript"/>
        </w:rPr>
        <w:fldChar w:fldCharType="end"/>
      </w:r>
      <w:r w:rsidRPr="007632B7">
        <w:rPr>
          <w:b w:val="0"/>
        </w:rPr>
        <w:t xml:space="preserve"> Once cleaved, the peptide substrate will release a chromophore that can be detected colorimetrically.</w:t>
      </w:r>
    </w:p>
    <w:p w:rsidR="008C576F" w:rsidRDefault="007632B7" w:rsidP="000D3DDE">
      <w:pPr>
        <w:pStyle w:val="RSCB06BHeadingSub-Section"/>
        <w:jc w:val="both"/>
        <w:rPr>
          <w:b w:val="0"/>
        </w:rPr>
      </w:pPr>
      <w:r w:rsidRPr="007632B7">
        <w:rPr>
          <w:b w:val="0"/>
        </w:rPr>
        <w:t xml:space="preserve">As the field of microfluidics has advanced, POC technologies have also developed and improved. Methods in </w:t>
      </w:r>
      <w:proofErr w:type="spellStart"/>
      <w:r w:rsidRPr="007632B7">
        <w:rPr>
          <w:b w:val="0"/>
        </w:rPr>
        <w:t>microfabrication</w:t>
      </w:r>
      <w:proofErr w:type="spellEnd"/>
      <w:r w:rsidRPr="007632B7">
        <w:rPr>
          <w:b w:val="0"/>
        </w:rPr>
        <w:t xml:space="preserve"> and microfluidics have progressed so much in the last few years that POC devices can be fabricated  at low cost, they are easy to use, portable and can generate rapid results.</w:t>
      </w:r>
      <w:r w:rsidR="000A2E92">
        <w:rPr>
          <w:b w:val="0"/>
        </w:rPr>
        <w:fldChar w:fldCharType="begin" w:fldLock="1"/>
      </w:r>
      <w:r w:rsidR="00371808">
        <w:rPr>
          <w:b w:val="0"/>
        </w:rPr>
        <w:instrText>ADDIN CSL_CITATION { "citationItems" : [ { "id" : "ITEM-1", "itemData" : { "ISBN" : "0028-0836", "abstract" : "The manipulation of fluids in channels with dimensions of tens of micrometres - microfluidics - has emerged as a distinct new field. Microfluidics has the potential to influence subject areas from chemical synthesis and biological analysis to optics and information technology. But the field is still at an early stage of development. Even as the basic science and technological demonstrations develop, other problems must be addressed: choosing and focusing on initial applications, and developing strategies to complete the cycle of development, including commercialization. The solutions to these problems will require imagination and ingenuity.", "author" : [ { "dropping-particle" : "", "family" : "Whitesides", "given" : "George M", "non-dropping-particle" : "", "parse-names" : false, "suffix" : "" } ], "container-title" : "Nature", "id" : "ITEM-1", "issue" : "7101", "issued" : { "date-parts" : [ [ "2006", "7" ] ] }, "note" : "PT: J; UT: ISI:000239278900028", "page" : "368-373", "title" : "The origins and the future of microfluidics", "type" : "article-journal", "volume" : "442" }, "uris" : [ "http://www.mendeley.com/documents/?uuid=cd27c6f7-59eb-4024-9263-6bae0a45adc5" ] }, { "id" : "ITEM-2", "itemData" : { "ISBN" : "0003-2654; 0003-2654", "abstract" : "Microfluidic devices have been long advertised as a key candidate to revolutionize point-of-care (POC) diagnostics. Recent advances in this field have addressed some of the most important issues, which limited the deployment of microfluidic devices outside of clinical laboratories. This contribution discusses important technical and economic constraints that microfluidic products must overcome to be adopted by healthcare systems. Two sets of technologies are described which comply with the constraints of the POC environment. As such, these technologies illustrate a possible route for the development of microfluidic devices, which could fulfil the needs of clinicians for disease staging and monitoring.", "author" : [ { "dropping-particle" : "", "family" : "Linder", "given" : "V", "non-dropping-particle" : "", "parse-names" : false, "suffix" : "" } ], "container-title" : "Analyst", "id" : "ITEM-2", "issue" : "12", "issued" : { "date-parts" : [ [ "2007", "12" ] ] }, "note" : "JID: 0372652; ppublish", "page" : "1186-1192", "title" : "Microfluidics at the crossroad with point-of-care diagnostics", "type" : "article-journal", "volume" : "132" }, "uris" : [ "http://www.mendeley.com/documents/?uuid=85c88536-8d99-4588-af3c-9842c27ce765" ] } ], "mendeley" : { "formattedCitation" : "&lt;sup&gt;8,9&lt;/sup&gt;", "plainTextFormattedCitation" : "8,9", "previouslyFormattedCitation" : "&lt;sup&gt;8,9&lt;/sup&gt;" }, "properties" : { "noteIndex" : 0 }, "schema" : "https://github.com/citation-style-language/schema/raw/master/csl-citation.json" }</w:instrText>
      </w:r>
      <w:r w:rsidR="000A2E92">
        <w:rPr>
          <w:b w:val="0"/>
        </w:rPr>
        <w:fldChar w:fldCharType="separate"/>
      </w:r>
      <w:r w:rsidR="000A2E92" w:rsidRPr="000A2E92">
        <w:rPr>
          <w:b w:val="0"/>
          <w:noProof/>
          <w:vertAlign w:val="superscript"/>
        </w:rPr>
        <w:t>8,9</w:t>
      </w:r>
      <w:r w:rsidR="000A2E92">
        <w:rPr>
          <w:b w:val="0"/>
        </w:rPr>
        <w:fldChar w:fldCharType="end"/>
      </w:r>
      <w:r w:rsidRPr="007632B7">
        <w:rPr>
          <w:b w:val="0"/>
        </w:rPr>
        <w:t xml:space="preserve"> Silicon, glass, and polymers are often the substrates of choice in the manufacture of microfluidic devices as their chemical and physical properties are well characterized. Silicon and glass can pose issues due to costly fabrication processes, while polymers are low cost. Polymer-based materials are highly versatile in that they suit many modes of fabrication, are suitable for modification with surface chemistries and are also highly reproducible.</w:t>
      </w:r>
      <w:r w:rsidR="008F45D5">
        <w:rPr>
          <w:b w:val="0"/>
          <w:vertAlign w:val="superscript"/>
        </w:rPr>
        <w:fldChar w:fldCharType="begin" w:fldLock="1"/>
      </w:r>
      <w:r w:rsidR="00371808">
        <w:rPr>
          <w:b w:val="0"/>
          <w:vertAlign w:val="superscript"/>
        </w:rPr>
        <w:instrText>ADDIN CSL_CITATION { "citationItems" : [ { "id" : "ITEM-1", "itemData" : { "DOI" : "10.1016/j.aca.2008.01.064", "ISSN" : "1873-4324", "PMID" : "18298963", "abstract" : "This review accounts for the current development in microfluidic immunosensing chips. The basic knowledge of immunoassay in relation to its microfluidic material substrate, fluid handling and detection mode are briefly discussed. Here, we mainly focused on the surface modification, antibody immobilization, detection, signal enhancement and multiple analyte sensing. Some of the clinically important currently implemented on the microfluidic immunoassay chips are C-reactive protein (CRP), prostate specific antigen (PSA), ferritin, vascular endothelial growth factor (VEGF), myoglobin (Myo), cardiac troponin T (cTnT), cardiac troponin I (cTnI), and creatine kinase-cardiac muscle isoform (CK-MB). The emerging microfludic immunosensor technology may be a promising prospect that can propel the improvement of clinical and medical diagnosis.", "author" : [ { "dropping-particle" : "", "family" : "Henares", "given" : "Terence G", "non-dropping-particle" : "", "parse-names" : false, "suffix" : "" }, { "dropping-particle" : "", "family" : "Mizutani", "given" : "Fumio", "non-dropping-particle" : "", "parse-names" : false, "suffix" : "" }, { "dropping-particle" : "", "family" : "Hisamoto", "given" : "Hideaki", "non-dropping-particle" : "", "parse-names" : false, "suffix" : "" } ], "container-title" : "Analytica chimica acta", "id" : "ITEM-1", "issue" : "1", "issued" : { "date-parts" : [ [ "2008", "3", "17" ] ] }, "page" : "17-30", "title" : "Current development in microfluidic immunosensing chip.", "type" : "article-journal", "volume" : "611" }, "uris" : [ "http://www.mendeley.com/documents/?uuid=04b403f4-3111-4951-bf7e-eb29ee50c028" ] } ], "mendeley" : { "formattedCitation" : "&lt;sup&gt;10&lt;/sup&gt;", "plainTextFormattedCitation" : "10", "previouslyFormattedCitation" : "&lt;sup&gt;10&lt;/sup&gt;" }, "properties" : { "noteIndex" : 0 }, "schema" : "https://github.com/citation-style-language/schema/raw/master/csl-citation.json" }</w:instrText>
      </w:r>
      <w:r w:rsidR="008F45D5">
        <w:rPr>
          <w:b w:val="0"/>
          <w:vertAlign w:val="superscript"/>
        </w:rPr>
        <w:fldChar w:fldCharType="separate"/>
      </w:r>
      <w:r w:rsidR="000A2E92" w:rsidRPr="000A2E92">
        <w:rPr>
          <w:b w:val="0"/>
          <w:noProof/>
          <w:vertAlign w:val="superscript"/>
        </w:rPr>
        <w:t>10</w:t>
      </w:r>
      <w:r w:rsidR="008F45D5">
        <w:rPr>
          <w:b w:val="0"/>
          <w:vertAlign w:val="superscript"/>
        </w:rPr>
        <w:fldChar w:fldCharType="end"/>
      </w:r>
      <w:r w:rsidRPr="007632B7">
        <w:rPr>
          <w:b w:val="0"/>
        </w:rPr>
        <w:t xml:space="preserve"> In the current study we have used cyclic </w:t>
      </w:r>
      <w:proofErr w:type="spellStart"/>
      <w:r w:rsidRPr="007632B7">
        <w:rPr>
          <w:b w:val="0"/>
        </w:rPr>
        <w:t>polyolefins</w:t>
      </w:r>
      <w:proofErr w:type="spellEnd"/>
      <w:r w:rsidRPr="007632B7">
        <w:rPr>
          <w:b w:val="0"/>
        </w:rPr>
        <w:t xml:space="preserve"> (COPs) which belong to a class of polymers employed due to their compatibility with biological materials, low </w:t>
      </w:r>
      <w:proofErr w:type="spellStart"/>
      <w:r w:rsidRPr="007632B7">
        <w:rPr>
          <w:b w:val="0"/>
        </w:rPr>
        <w:lastRenderedPageBreak/>
        <w:t>autofluorescence</w:t>
      </w:r>
      <w:proofErr w:type="spellEnd"/>
      <w:r w:rsidRPr="007632B7">
        <w:rPr>
          <w:b w:val="0"/>
        </w:rPr>
        <w:t>, long shelf life and suitability for surf</w:t>
      </w:r>
      <w:r w:rsidR="008F45D5">
        <w:rPr>
          <w:b w:val="0"/>
        </w:rPr>
        <w:t>ace modification amongst others.</w:t>
      </w:r>
      <w:r w:rsidR="008F45D5">
        <w:rPr>
          <w:b w:val="0"/>
        </w:rPr>
        <w:fldChar w:fldCharType="begin" w:fldLock="1"/>
      </w:r>
      <w:r w:rsidR="00371808">
        <w:rPr>
          <w:b w:val="0"/>
        </w:rPr>
        <w:instrText>ADDIN CSL_CITATION { "citationItems" : [ { "id" : "ITEM-1", "itemData" : { "ISBN" : "1473-0197", "abstract" : "The prognosis for patients suffering from cardiovascular and many other diseases can be substantially improved if diagnosed at an early stage. High performance diagnostic testing using disposable microfluidic chips can provide a platform for realizing this vision. Amic AB ( Uppsala, Sweden) has developed a new microfluidic test chip for sandwich immunoassays fabricated by injection molding of the cycloolefin-copolymer Zeonor (TM). A highly ordered array of micropillars within the fluidic chip distributes the sample solution by capillary action. Since wetting of the pillar array surface is the only driving force for liquid distribution precise control of the surface chemistry is crucial. In this work we demonstrate a novel protocol for surface hydrophilization and antibody immobilization on cycloolefin-copolymer test chips, based on direct silanisation of the thermoplastic substrate. Dextran is subsequently covalently coupled to amino groups, thus providing a coating with a low contact angle suitable for antibody immobilization. The contact angle of dextran coated chips is stable for at least two months, which enables production of large batches that can be stored for extended periods of time. We demonstrate the utility of the presented platform and surface chemistry in a C-reactive protein assay with a detection limit of 2.6 ng ml(-1), a dynamic range of 10(2) and a coefficient of variance of 15%.", "author" : [ { "dropping-particle" : "", "family" : "Jonsson", "given" : "Christina", "non-dropping-particle" : "", "parse-names" : false, "suffix" : "" }, { "dropping-particle" : "", "family" : "Aronsson", "given" : "Magnus", "non-dropping-particle" : "", "parse-names" : false, "suffix" : "" }, { "dropping-particle" : "", "family" : "Rundstroem", "given" : "Gerd", "non-dropping-particle" : "", "parse-names" : false, "suffix" : "" }, { "dropping-particle" : "", "family" : "Pettersson", "given" : "Christer", "non-dropping-particle" : "", "parse-names" : false, "suffix" : "" }, { "dropping-particle" : "", "family" : "Mendel-Hartvig", "given" : "Ib", "non-dropping-particle" : "", "parse-names" : false, "suffix" : "" }, { "dropping-particle" : "", "family" : "Bakker", "given" : "Jimmy", "non-dropping-particle" : "", "parse-names" : false, "suffix" : "" }, { "dropping-particle" : "", "family" : "Martinsson", "given" : "Erik", "non-dropping-particle" : "", "parse-names" : false, "suffix" : "" }, { "dropping-particle" : "", "family" : "Liedberg", "given" : "Bo", "non-dropping-particle" : "", "parse-names" : false, "suffix" : "" }, { "dropping-particle" : "", "family" : "MacCraith", "given" : "Brian", "non-dropping-particle" : "", "parse-names" : false, "suffix" : "" }, { "dropping-particle" : "", "family" : "Oehman", "given" : "Ove", "non-dropping-particle" : "", "parse-names" : false, "suffix" : "" }, { "dropping-particle" : "", "family" : "Melin", "given" : "Jonas", "non-dropping-particle" : "", "parse-names" : false, "suffix" : "" } ], "container-title" : "Lab Chip", "id" : "ITEM-1", "issue" : "7", "issued" : { "date-parts" : [ [ "2008" ] ] }, "note" : "PT: J; UT: WOS:000257236900028", "page" : "1191-1197", "title" : "Silane-dextran chemistry on lateral flow polymer chips for immunoassays", "type" : "article-journal", "volume" : "8" }, "uris" : [ "http://www.mendeley.com/documents/?uuid=5522bfd0-e001-4786-b35b-daa7675de11a" ] }, { "id" : "ITEM-2", "itemData" : { "DOI" : "10.1002/ppap.200900053", "ISSN" : "16128850", "author" : [ { "dropping-particle" : "", "family" : "Dudek", "given" : "Magdalena M.", "non-dropping-particle" : "", "parse-names" : false, "suffix" : "" }, { "dropping-particle" : "", "family" : "Gandhiraman", "given" : "R. P.", "non-dropping-particle" : "", "parse-names" : false, "suffix" : "" }, { "dropping-particle" : "", "family" : "Volcke", "given" : "C.", "non-dropping-particle" : "", "parse-names" : false, "suffix" : "" }, { "dropping-particle" : "", "family" : "Daniels", "given" : "Stephen", "non-dropping-particle" : "", "parse-names" : false, "suffix" : "" }, { "dropping-particle" : "", "family" : "Killard", "given" : "Anthony J.", "non-dropping-particle" : "", "parse-names" : false, "suffix" : "" } ], "container-title" : "Plasma Process Polym.", "id" : "ITEM-2", "issue" : "10", "issued" : { "date-parts" : [ [ "2009", "10", "14" ] ] }, "page" : "620-630", "title" : "Evaluation of a range of surface modifications for the enhancement of lateral flow assays on cyclic polyolefin micropillar devices", "type" : "article-journal", "volume" : "6" }, "uris" : [ "http://www.mendeley.com/documents/?uuid=e045c4d1-460b-471a-9064-bd250125fcda" ] } ], "mendeley" : { "formattedCitation" : "&lt;sup&gt;11,12&lt;/sup&gt;", "plainTextFormattedCitation" : "11,12", "previouslyFormattedCitation" : "&lt;sup&gt;11,12&lt;/sup&gt;" }, "properties" : { "noteIndex" : 0 }, "schema" : "https://github.com/citation-style-language/schema/raw/master/csl-citation.json" }</w:instrText>
      </w:r>
      <w:r w:rsidR="008F45D5">
        <w:rPr>
          <w:b w:val="0"/>
        </w:rPr>
        <w:fldChar w:fldCharType="separate"/>
      </w:r>
      <w:r w:rsidR="000A2E92" w:rsidRPr="000A2E92">
        <w:rPr>
          <w:b w:val="0"/>
          <w:noProof/>
          <w:vertAlign w:val="superscript"/>
        </w:rPr>
        <w:t>11,12</w:t>
      </w:r>
      <w:r w:rsidR="008F45D5">
        <w:rPr>
          <w:b w:val="0"/>
        </w:rPr>
        <w:fldChar w:fldCharType="end"/>
      </w:r>
      <w:r w:rsidR="00371808">
        <w:rPr>
          <w:b w:val="0"/>
        </w:rPr>
        <w:t xml:space="preserve"> Multilayer alignment fabrication methodologies are commonly used to d</w:t>
      </w:r>
      <w:r w:rsidR="007F4431">
        <w:rPr>
          <w:b w:val="0"/>
        </w:rPr>
        <w:t>evelop functional microdevices</w:t>
      </w:r>
      <w:r w:rsidR="007F4431">
        <w:rPr>
          <w:b w:val="0"/>
        </w:rPr>
        <w:fldChar w:fldCharType="begin" w:fldLock="1"/>
      </w:r>
      <w:r w:rsidR="000D3DDE">
        <w:rPr>
          <w:b w:val="0"/>
        </w:rPr>
        <w:instrText>ADDIN CSL_CITATION { "citationItems" : [ { "id" : "ITEM-1", "itemData" : { "DOI" : "10.1038/nprot.2015.051", "ISSN" : "1754-2189", "author" : [ { "dropping-particle" : "", "family" : "Thompson", "given" : "Brandon L", "non-dropping-particle" : "", "parse-names" : false, "suffix" : "" }, { "dropping-particle" : "", "family" : "Ouyang", "given" : "Yiwen", "non-dropping-particle" : "", "parse-names" : false, "suffix" : "" }, { "dropping-particle" : "", "family" : "Duarte", "given" : "Gabriela R M", "non-dropping-particle" : "", "parse-names" : false, "suffix" : "" }, { "dropping-particle" : "", "family" : "Carrilho", "given" : "Emanuel", "non-dropping-particle" : "", "parse-names" : false, "suffix" : "" }, { "dropping-particle" : "", "family" : "Krauss", "given" : "Shannon T", "non-dropping-particle" : "", "parse-names" : false, "suffix" : "" }, { "dropping-particle" : "", "family" : "Landers", "given" : "James P", "non-dropping-particle" : "", "parse-names" : false, "suffix" : "" } ], "container-title" : "Nature Protocols", "id" : "ITEM-1", "issue" : "6", "issued" : { "date-parts" : [ [ "2015", "5", "14" ] ] }, "page" : "875-886", "publisher" : "Nature Publishing Group", "title" : "Inexpensive, rapid prototyping of microfluidic devices using overhead transparencies and a laser print, cut and laminate fabrication method", "type" : "article-journal", "volume" : "10" }, "uris" : [ "http://www.mendeley.com/documents/?uuid=105b1f88-e81c-30ff-8016-823e0202dd40" ] }, { "id" : "ITEM-2", "itemData" : { "DOI" : "10.1002/elps.201400006", "ISSN" : "01730835", "author" : [ { "dropping-particle" : "", "family" : "Tomazelli Coltro", "given" : "Wendell Karlos", "non-dropping-particle" : "", "parse-names" : false, "suffix" : "" }, { "dropping-particle" : "", "family" : "Cheng", "given" : "Chao-Min", "non-dropping-particle" : "", "parse-names" : false, "suffix" : "" }, { "dropping-particle" : "", "family" : "Carrilho", "given" : "Emanuel", "non-dropping-particle" : "", "parse-names" : false, "suffix" : "" }, { "dropping-particle" : "", "family" : "Jesus", "given" : "Dosil Pereira", "non-dropping-particle" : "de", "parse-names" : false, "suffix" : "" } ], "container-title" : "ELECTROPHORESIS", "id" : "ITEM-2", "issue" : "16", "issued" : { "date-parts" : [ [ "2014", "8" ] ] }, "page" : "2309-2324", "title" : "Recent advances in low-cost microfluidic platforms for diagnostic applications", "type" : "article-journal", "volume" : "35" }, "uris" : [ "http://www.mendeley.com/documents/?uuid=6b8b573f-c106-3609-93b4-3f21467049c5" ] } ], "mendeley" : { "formattedCitation" : "&lt;sup&gt;13,14&lt;/sup&gt;", "plainTextFormattedCitation" : "13,14", "previouslyFormattedCitation" : "&lt;sup&gt;13,14&lt;/sup&gt;" }, "properties" : { "noteIndex" : 0 }, "schema" : "https://github.com/citation-style-language/schema/raw/master/csl-citation.json" }</w:instrText>
      </w:r>
      <w:r w:rsidR="007F4431">
        <w:rPr>
          <w:b w:val="0"/>
        </w:rPr>
        <w:fldChar w:fldCharType="separate"/>
      </w:r>
      <w:r w:rsidR="007F4431" w:rsidRPr="007F4431">
        <w:rPr>
          <w:b w:val="0"/>
          <w:noProof/>
          <w:vertAlign w:val="superscript"/>
        </w:rPr>
        <w:t>13,14</w:t>
      </w:r>
      <w:r w:rsidR="007F4431">
        <w:rPr>
          <w:b w:val="0"/>
        </w:rPr>
        <w:fldChar w:fldCharType="end"/>
      </w:r>
      <w:r w:rsidR="007F4431">
        <w:rPr>
          <w:b w:val="0"/>
        </w:rPr>
        <w:t xml:space="preserve">, </w:t>
      </w:r>
      <w:r w:rsidR="000D3DDE">
        <w:rPr>
          <w:b w:val="0"/>
        </w:rPr>
        <w:t>as l</w:t>
      </w:r>
      <w:r w:rsidR="007F4431" w:rsidRPr="007F4431">
        <w:rPr>
          <w:b w:val="0"/>
        </w:rPr>
        <w:t>amination of p</w:t>
      </w:r>
      <w:r w:rsidR="000D3DDE">
        <w:rPr>
          <w:b w:val="0"/>
        </w:rPr>
        <w:t>olymer layers offers greater</w:t>
      </w:r>
      <w:r w:rsidR="007F4431" w:rsidRPr="007F4431">
        <w:rPr>
          <w:b w:val="0"/>
        </w:rPr>
        <w:t xml:space="preserve"> versatility and low cost.</w:t>
      </w:r>
      <w:r w:rsidR="007F4431">
        <w:rPr>
          <w:b w:val="0"/>
        </w:rPr>
        <w:t xml:space="preserve"> </w:t>
      </w:r>
      <w:proofErr w:type="spellStart"/>
      <w:r w:rsidR="00371808">
        <w:rPr>
          <w:b w:val="0"/>
        </w:rPr>
        <w:t>Zeonor</w:t>
      </w:r>
      <w:proofErr w:type="spellEnd"/>
      <w:r w:rsidR="000D3DDE" w:rsidRPr="007632B7">
        <w:rPr>
          <w:b w:val="0"/>
        </w:rPr>
        <w:t>®</w:t>
      </w:r>
      <w:r w:rsidR="00371808">
        <w:rPr>
          <w:b w:val="0"/>
        </w:rPr>
        <w:t xml:space="preserve"> was chosen for this study</w:t>
      </w:r>
      <w:r w:rsidR="000D3DDE">
        <w:rPr>
          <w:b w:val="0"/>
        </w:rPr>
        <w:t xml:space="preserve">, in conjunction with </w:t>
      </w:r>
      <w:r w:rsidR="000D3DDE" w:rsidRPr="007632B7">
        <w:rPr>
          <w:b w:val="0"/>
        </w:rPr>
        <w:t>PSA (pressure sensitive adhesive)</w:t>
      </w:r>
      <w:r w:rsidR="000D3DDE">
        <w:rPr>
          <w:b w:val="0"/>
        </w:rPr>
        <w:t xml:space="preserve">, as both are </w:t>
      </w:r>
      <w:r w:rsidR="00371808">
        <w:rPr>
          <w:b w:val="0"/>
        </w:rPr>
        <w:t>suitable material</w:t>
      </w:r>
      <w:r w:rsidR="000D3DDE">
        <w:rPr>
          <w:b w:val="0"/>
        </w:rPr>
        <w:t>s</w:t>
      </w:r>
      <w:r w:rsidR="00371808">
        <w:rPr>
          <w:b w:val="0"/>
        </w:rPr>
        <w:t xml:space="preserve"> for simple fabrication and lamination methodologies.</w:t>
      </w:r>
      <w:r w:rsidR="000D3DDE">
        <w:rPr>
          <w:b w:val="0"/>
        </w:rPr>
        <w:fldChar w:fldCharType="begin" w:fldLock="1"/>
      </w:r>
      <w:r w:rsidR="00EC7032">
        <w:rPr>
          <w:b w:val="0"/>
        </w:rPr>
        <w:instrText>ADDIN CSL_CITATION { "citationItems" : [ { "id" : "ITEM-1", "itemData" : { "DOI" : "10.1007/s10439-010-0213-1", "ISSN" : "1573-9686", "PMID" : "21152984", "abstract" : "The potential of rapid, quantitative, and sensitive diagnosis has led to many innovative 'lab on chip' technologies for point of care diagnostic applications. Because these chips must be designed within strict cost constraints to be widely deployable, recent research in this area has produced extremely novel non-conventional micro- and nano-fabrication innovations. These advances can be leveraged for other biological assays as well, including for custom assay development and academic prototyping. The technologies reviewed here leverage extremely low-cost substrates and easily adoptable ways to pattern both structural and biological materials at high resolution in unprecedented ways. These new approaches offer the promise of more rapid prototyping with less investment in capital equipment as well as greater flexibility in design. Though still in their infancy, these technologies hold potential to improve upon the resolution, sensitivity, flexibility, and cost-savings over more traditional approaches.", "author" : [ { "dropping-particle" : "", "family" : "Sharma", "given" : "Himanshu", "non-dropping-particle" : "", "parse-names" : false, "suffix" : "" }, { "dropping-particle" : "", "family" : "Nguyen", "given" : "Diep", "non-dropping-particle" : "", "parse-names" : false, "suffix" : "" }, { "dropping-particle" : "", "family" : "Chen", "given" : "Aaron", "non-dropping-particle" : "", "parse-names" : false, "suffix" : "" }, { "dropping-particle" : "", "family" : "Lew", "given" : "Valerie", "non-dropping-particle" : "", "parse-names" : false, "suffix" : "" }, { "dropping-particle" : "", "family" : "Khine", "given" : "Michelle", "non-dropping-particle" : "", "parse-names" : false, "suffix" : "" } ], "container-title" : "Annals of biomedical engineering", "id" : "ITEM-1", "issue" : "4", "issued" : { "date-parts" : [ [ "2011", "4" ] ] }, "page" : "1313-27", "title" : "Unconventional low-cost fabrication and patterning techniques for point of care diagnostics.", "type" : "article-journal", "volume" : "39" }, "uris" : [ "http://www.mendeley.com/documents/?uuid=aacfb297-6a62-30bc-87c7-f9c99d1432c3" ] } ], "mendeley" : { "formattedCitation" : "&lt;sup&gt;15&lt;/sup&gt;", "plainTextFormattedCitation" : "15", "previouslyFormattedCitation" : "&lt;sup&gt;15&lt;/sup&gt;" }, "properties" : { "noteIndex" : 0 }, "schema" : "https://github.com/citation-style-language/schema/raw/master/csl-citation.json" }</w:instrText>
      </w:r>
      <w:r w:rsidR="000D3DDE">
        <w:rPr>
          <w:b w:val="0"/>
        </w:rPr>
        <w:fldChar w:fldCharType="separate"/>
      </w:r>
      <w:r w:rsidR="000D3DDE" w:rsidRPr="000D3DDE">
        <w:rPr>
          <w:b w:val="0"/>
          <w:noProof/>
          <w:vertAlign w:val="superscript"/>
        </w:rPr>
        <w:t>15</w:t>
      </w:r>
      <w:r w:rsidR="000D3DDE">
        <w:rPr>
          <w:b w:val="0"/>
        </w:rPr>
        <w:fldChar w:fldCharType="end"/>
      </w:r>
      <w:r w:rsidR="007F4431">
        <w:rPr>
          <w:b w:val="0"/>
        </w:rPr>
        <w:t xml:space="preserve"> </w:t>
      </w:r>
    </w:p>
    <w:p w:rsidR="00FA2DA2" w:rsidRDefault="007632B7" w:rsidP="00FC2F5F">
      <w:pPr>
        <w:pStyle w:val="RSCB06BHeadingSub-Section"/>
        <w:jc w:val="both"/>
        <w:rPr>
          <w:b w:val="0"/>
        </w:rPr>
      </w:pPr>
      <w:r w:rsidRPr="007632B7">
        <w:rPr>
          <w:b w:val="0"/>
        </w:rPr>
        <w:t xml:space="preserve">In our study we have developed a low cost, disposable, miniaturised POC device. We have developed a three layered hybrid chip, comprised of native hydrophobic </w:t>
      </w:r>
      <w:proofErr w:type="spellStart"/>
      <w:r w:rsidRPr="007632B7">
        <w:rPr>
          <w:b w:val="0"/>
        </w:rPr>
        <w:t>Zeonor</w:t>
      </w:r>
      <w:proofErr w:type="spellEnd"/>
      <w:r w:rsidRPr="007632B7">
        <w:rPr>
          <w:b w:val="0"/>
        </w:rPr>
        <w:t xml:space="preserve">®, treated hydrophilic </w:t>
      </w:r>
      <w:proofErr w:type="spellStart"/>
      <w:r w:rsidRPr="007632B7">
        <w:rPr>
          <w:b w:val="0"/>
        </w:rPr>
        <w:t>Zeonor</w:t>
      </w:r>
      <w:proofErr w:type="spellEnd"/>
      <w:r w:rsidRPr="007632B7">
        <w:rPr>
          <w:b w:val="0"/>
        </w:rPr>
        <w:t>® and a</w:t>
      </w:r>
      <w:r w:rsidR="000D3DDE">
        <w:rPr>
          <w:b w:val="0"/>
        </w:rPr>
        <w:t xml:space="preserve"> PSA</w:t>
      </w:r>
      <w:r w:rsidRPr="007632B7">
        <w:rPr>
          <w:b w:val="0"/>
        </w:rPr>
        <w:t xml:space="preserve"> spacer that forms the channel.</w:t>
      </w:r>
      <w:r w:rsidR="00EC7032">
        <w:rPr>
          <w:b w:val="0"/>
        </w:rPr>
        <w:fldChar w:fldCharType="begin" w:fldLock="1"/>
      </w:r>
      <w:r w:rsidR="00EC7032">
        <w:rPr>
          <w:b w:val="0"/>
        </w:rPr>
        <w:instrText>ADDIN CSL_CITATION { "citationItems" : [ { "id" : "ITEM-1", "itemData" : { "DOI" : "10.1039/c3an00401e", "ISSN" : "1364-5528", "PMID" : "23666610", "abstract" : "The development of new point of care coagulation assay devices is necessary due to the increasing number of patients requiring long-term anticoagulation in addition to the desire for appropriate, targeted anticoagulant therapy and a more rapid response to optimization of treatment. The majority of point of care devices currently available for hemostasis testing rely on clot-based endpoints which are variable, unreliable and limited to measuring only certain portions of the coagulation pathway. Here we present a novel fluorescence-based anti-Factor Xa (FXa) microfluidic assay device for monitoring the effect of anticoagulant therapy at the point of care. The device is a disposable, laminated polymer microfluidic strip fabricated from a combination of hydrophobic and hydrophilic cyclic polyolefins to allow reagent deposition in addition to effective capillary fill. Zeonor was the polymer of choice resulting in low background fluorescence (208.5 AU), suitable contact angles (17.5\u00b0\u00b1 0.9\u00b0) and capillary fill times (20.3 \u00b1 2.1 s). The device was capable of measuring unfractionated heparin and tinzaparin from 0-0.8 U ml(-1) and enoxaparin from 0-0.6 U ml(-1) with average CVs &lt; 10%. A linear correlation was observed between the device and the fluorescent assay in the plate for plasma samples spiked with UFH, with an R(2) value of 0.99, while correlations with tinzaparin and enoxaparin resulted in sigmoidal responses (R(2) = 0.99). Plasma samples containing UFH resulted in a linear correlation between the device and a standard chromogenic assay with an R(2) value of 0.98, with both LMWHs resulting in sigmoidal relationships (R(2) = 0.99).", "author" : [ { "dropping-particle" : "", "family" : "Harris", "given" : "Leanne F", "non-dropping-particle" : "", "parse-names" : false, "suffix" : "" }, { "dropping-particle" : "", "family" : "Rainey", "given" : "Paul", "non-dropping-particle" : "", "parse-names" : false, "suffix" : "" }, { "dropping-particle" : "", "family" : "Castro-L\u00f3pez", "given" : "Vanessa", "non-dropping-particle" : "", "parse-names" : false, "suffix" : "" }, { "dropping-particle" : "", "family" : "O'Donnell", "given" : "James S", "non-dropping-particle" : "", "parse-names" : false, "suffix" : "" }, { "dropping-particle" : "", "family" : "Killard", "given" : "Anthony J", "non-dropping-particle" : "", "parse-names" : false, "suffix" : "" } ], "container-title" : "The Analyst", "id" : "ITEM-1", "issue" : "17", "issued" : { "date-parts" : [ [ "2013", "9", "7" ] ] }, "page" : "4769-76", "title" : "A microfluidic anti-Factor Xa assay device for point of care monitoring of anticoagulation therapy.", "type" : "article-journal", "volume" : "138" }, "uris" : [ "http://www.mendeley.com/documents/?uuid=58762432-566a-4ed2-b092-f9f196b70cf9" ] } ], "mendeley" : { "formattedCitation" : "&lt;sup&gt;16&lt;/sup&gt;", "plainTextFormattedCitation" : "16" }, "properties" : { "noteIndex" : 0 }, "schema" : "https://github.com/citation-style-language/schema/raw/master/csl-citation.json" }</w:instrText>
      </w:r>
      <w:r w:rsidR="00EC7032">
        <w:rPr>
          <w:b w:val="0"/>
        </w:rPr>
        <w:fldChar w:fldCharType="separate"/>
      </w:r>
      <w:r w:rsidR="00EC7032" w:rsidRPr="00EC7032">
        <w:rPr>
          <w:b w:val="0"/>
          <w:noProof/>
          <w:vertAlign w:val="superscript"/>
        </w:rPr>
        <w:t>16</w:t>
      </w:r>
      <w:r w:rsidR="00EC7032">
        <w:rPr>
          <w:b w:val="0"/>
        </w:rPr>
        <w:fldChar w:fldCharType="end"/>
      </w:r>
      <w:r w:rsidRPr="007632B7">
        <w:rPr>
          <w:b w:val="0"/>
        </w:rPr>
        <w:t xml:space="preserve"> The assay is incorporated onto the chip and works on the basis of the anti-</w:t>
      </w:r>
      <w:proofErr w:type="spellStart"/>
      <w:r w:rsidRPr="007632B7">
        <w:rPr>
          <w:b w:val="0"/>
        </w:rPr>
        <w:t>Xa</w:t>
      </w:r>
      <w:proofErr w:type="spellEnd"/>
      <w:r w:rsidRPr="007632B7">
        <w:rPr>
          <w:b w:val="0"/>
        </w:rPr>
        <w:t xml:space="preserve"> principle outlined above. Using fluorescence as the method of detection, the assay is capable of measuring therapeutic concentrations of heparin in calibration plasmas from 0-1 U</w:t>
      </w:r>
      <w:r w:rsidR="00A7606E">
        <w:rPr>
          <w:b w:val="0"/>
        </w:rPr>
        <w:t>/mL</w:t>
      </w:r>
      <w:r w:rsidRPr="007632B7">
        <w:rPr>
          <w:b w:val="0"/>
        </w:rPr>
        <w:t xml:space="preserve"> and in plasma samples from patients on heparin therapy.</w:t>
      </w:r>
    </w:p>
    <w:p w:rsidR="007632B7" w:rsidRDefault="007632B7" w:rsidP="00FC2F5F">
      <w:pPr>
        <w:pStyle w:val="RSCB04AHeadingSection"/>
        <w:spacing w:line="240" w:lineRule="exact"/>
      </w:pPr>
      <w:r>
        <w:t>Experimental</w:t>
      </w:r>
    </w:p>
    <w:p w:rsidR="00FA2DA2" w:rsidRDefault="007632B7" w:rsidP="00FC2F5F">
      <w:pPr>
        <w:pStyle w:val="RSCB06BHeadingSub-Section"/>
      </w:pPr>
      <w:r>
        <w:t>Reagents</w:t>
      </w:r>
    </w:p>
    <w:p w:rsidR="007632B7" w:rsidRPr="007632B7" w:rsidRDefault="007632B7" w:rsidP="00FC2F5F">
      <w:pPr>
        <w:pStyle w:val="RSCB08CHeadingIn-line"/>
        <w:spacing w:line="240" w:lineRule="exact"/>
        <w:jc w:val="both"/>
        <w:rPr>
          <w:b w:val="0"/>
        </w:rPr>
      </w:pPr>
      <w:r w:rsidRPr="007632B7">
        <w:rPr>
          <w:b w:val="0"/>
        </w:rPr>
        <w:t xml:space="preserve">Water (ACS reagent) and HEPES (minimum 99.5% titration) were purchased from Sigma-Aldrich (Dublin, Ireland). Filtered HEPES was prepared at a concentration of 0.01 </w:t>
      </w:r>
      <w:proofErr w:type="spellStart"/>
      <w:r w:rsidRPr="007632B7">
        <w:rPr>
          <w:b w:val="0"/>
        </w:rPr>
        <w:t>mM</w:t>
      </w:r>
      <w:proofErr w:type="spellEnd"/>
      <w:r w:rsidRPr="007632B7">
        <w:rPr>
          <w:b w:val="0"/>
        </w:rPr>
        <w:t xml:space="preserve"> (pH 7.4). A 100 </w:t>
      </w:r>
      <w:proofErr w:type="spellStart"/>
      <w:r w:rsidRPr="007632B7">
        <w:rPr>
          <w:b w:val="0"/>
        </w:rPr>
        <w:t>mM</w:t>
      </w:r>
      <w:proofErr w:type="spellEnd"/>
      <w:r w:rsidRPr="007632B7">
        <w:rPr>
          <w:b w:val="0"/>
        </w:rPr>
        <w:t xml:space="preserve"> filtered stock solution of CaCl2 from </w:t>
      </w:r>
      <w:proofErr w:type="spellStart"/>
      <w:r w:rsidRPr="007632B7">
        <w:rPr>
          <w:b w:val="0"/>
        </w:rPr>
        <w:t>Fluka</w:t>
      </w:r>
      <w:proofErr w:type="spellEnd"/>
      <w:r w:rsidRPr="007632B7">
        <w:rPr>
          <w:b w:val="0"/>
        </w:rPr>
        <w:t xml:space="preserve"> </w:t>
      </w:r>
      <w:proofErr w:type="spellStart"/>
      <w:r w:rsidRPr="007632B7">
        <w:rPr>
          <w:b w:val="0"/>
        </w:rPr>
        <w:t>BioChemika</w:t>
      </w:r>
      <w:proofErr w:type="spellEnd"/>
      <w:r w:rsidRPr="007632B7">
        <w:rPr>
          <w:b w:val="0"/>
        </w:rPr>
        <w:t xml:space="preserve"> (</w:t>
      </w:r>
      <w:proofErr w:type="spellStart"/>
      <w:r w:rsidRPr="007632B7">
        <w:rPr>
          <w:b w:val="0"/>
        </w:rPr>
        <w:t>Buchs</w:t>
      </w:r>
      <w:proofErr w:type="spellEnd"/>
      <w:r w:rsidRPr="007632B7">
        <w:rPr>
          <w:b w:val="0"/>
        </w:rPr>
        <w:t>, Switzerland) was prepared from a 1 M CaCl2 solution.</w:t>
      </w:r>
    </w:p>
    <w:p w:rsidR="007632B7" w:rsidRPr="007632B7" w:rsidRDefault="007632B7" w:rsidP="00FC2F5F">
      <w:pPr>
        <w:pStyle w:val="RSCB08CHeadingIn-line"/>
        <w:spacing w:line="240" w:lineRule="exact"/>
        <w:jc w:val="both"/>
        <w:rPr>
          <w:b w:val="0"/>
        </w:rPr>
      </w:pPr>
      <w:r w:rsidRPr="007632B7">
        <w:rPr>
          <w:b w:val="0"/>
        </w:rPr>
        <w:t>The fluorogenic substrate methylsulfonyl-D-cyclohexylalanyl-glycyl-arginine-7-amino-4-methylcoumarin acetate (</w:t>
      </w:r>
      <w:proofErr w:type="spellStart"/>
      <w:r w:rsidRPr="007632B7">
        <w:rPr>
          <w:b w:val="0"/>
        </w:rPr>
        <w:t>Pefafluor</w:t>
      </w:r>
      <w:proofErr w:type="spellEnd"/>
      <w:r w:rsidRPr="007632B7">
        <w:rPr>
          <w:b w:val="0"/>
        </w:rPr>
        <w:t xml:space="preserve">™ </w:t>
      </w:r>
      <w:proofErr w:type="spellStart"/>
      <w:r w:rsidRPr="007632B7">
        <w:rPr>
          <w:b w:val="0"/>
        </w:rPr>
        <w:t>FXa</w:t>
      </w:r>
      <w:proofErr w:type="spellEnd"/>
      <w:r w:rsidRPr="007632B7">
        <w:rPr>
          <w:b w:val="0"/>
        </w:rPr>
        <w:t xml:space="preserve">) was purchased from </w:t>
      </w:r>
      <w:proofErr w:type="spellStart"/>
      <w:r w:rsidRPr="007632B7">
        <w:rPr>
          <w:b w:val="0"/>
        </w:rPr>
        <w:t>Pentapharm</w:t>
      </w:r>
      <w:proofErr w:type="spellEnd"/>
      <w:r w:rsidRPr="007632B7">
        <w:rPr>
          <w:b w:val="0"/>
        </w:rPr>
        <w:t xml:space="preserve"> (Basel, Switzerland). It was reconstituted in 1 ml of water having a stock concentration of 10 </w:t>
      </w:r>
      <w:proofErr w:type="spellStart"/>
      <w:r w:rsidRPr="007632B7">
        <w:rPr>
          <w:b w:val="0"/>
        </w:rPr>
        <w:t>mM</w:t>
      </w:r>
      <w:proofErr w:type="spellEnd"/>
      <w:r w:rsidRPr="007632B7">
        <w:rPr>
          <w:b w:val="0"/>
        </w:rPr>
        <w:t xml:space="preserve">, </w:t>
      </w:r>
      <w:proofErr w:type="spellStart"/>
      <w:r w:rsidRPr="007632B7">
        <w:rPr>
          <w:b w:val="0"/>
        </w:rPr>
        <w:t>aliquoted</w:t>
      </w:r>
      <w:proofErr w:type="spellEnd"/>
      <w:r w:rsidRPr="007632B7">
        <w:rPr>
          <w:b w:val="0"/>
        </w:rPr>
        <w:t xml:space="preserve">, covered with </w:t>
      </w:r>
      <w:proofErr w:type="spellStart"/>
      <w:r w:rsidRPr="007632B7">
        <w:rPr>
          <w:b w:val="0"/>
        </w:rPr>
        <w:t>aluminum</w:t>
      </w:r>
      <w:proofErr w:type="spellEnd"/>
      <w:r w:rsidRPr="007632B7">
        <w:rPr>
          <w:b w:val="0"/>
        </w:rPr>
        <w:t xml:space="preserve"> foil to protect from exposure to light, and stored at -20 °C. Purified human </w:t>
      </w:r>
      <w:proofErr w:type="spellStart"/>
      <w:r w:rsidRPr="007632B7">
        <w:rPr>
          <w:b w:val="0"/>
        </w:rPr>
        <w:t>FXa</w:t>
      </w:r>
      <w:proofErr w:type="spellEnd"/>
      <w:r w:rsidRPr="007632B7">
        <w:rPr>
          <w:b w:val="0"/>
        </w:rPr>
        <w:t xml:space="preserve"> (serine </w:t>
      </w:r>
      <w:proofErr w:type="spellStart"/>
      <w:r w:rsidRPr="007632B7">
        <w:rPr>
          <w:b w:val="0"/>
        </w:rPr>
        <w:t>endopeptidase</w:t>
      </w:r>
      <w:proofErr w:type="spellEnd"/>
      <w:r w:rsidRPr="007632B7">
        <w:rPr>
          <w:b w:val="0"/>
        </w:rPr>
        <w:t xml:space="preserve">; code number: EC 3.4.21.6) was obtained from HYPHEN </w:t>
      </w:r>
      <w:proofErr w:type="spellStart"/>
      <w:r w:rsidRPr="007632B7">
        <w:rPr>
          <w:b w:val="0"/>
        </w:rPr>
        <w:t>BioMed</w:t>
      </w:r>
      <w:proofErr w:type="spellEnd"/>
      <w:r w:rsidRPr="007632B7">
        <w:rPr>
          <w:b w:val="0"/>
        </w:rPr>
        <w:t xml:space="preserve"> (</w:t>
      </w:r>
      <w:proofErr w:type="spellStart"/>
      <w:r w:rsidRPr="007632B7">
        <w:rPr>
          <w:b w:val="0"/>
        </w:rPr>
        <w:t>Neuville</w:t>
      </w:r>
      <w:proofErr w:type="spellEnd"/>
      <w:r w:rsidRPr="007632B7">
        <w:rPr>
          <w:b w:val="0"/>
        </w:rPr>
        <w:t xml:space="preserve">-Sur-Oise, France) and was reconstituted in 500 µl of PCR grade water to give a stock concentration of 4400 </w:t>
      </w:r>
      <w:proofErr w:type="spellStart"/>
      <w:r w:rsidRPr="007632B7">
        <w:rPr>
          <w:b w:val="0"/>
        </w:rPr>
        <w:t>nM</w:t>
      </w:r>
      <w:proofErr w:type="spellEnd"/>
      <w:r w:rsidRPr="007632B7">
        <w:rPr>
          <w:b w:val="0"/>
        </w:rPr>
        <w:t xml:space="preserve">. Unfractionated heparin (UFH) (sodium salt of heparin derived from bovine intestinal mucosa, H0777) was sourced from Sigma-Aldrich (Dublin, Ireland). Low molecular weight heparin </w:t>
      </w:r>
      <w:proofErr w:type="spellStart"/>
      <w:r w:rsidRPr="007632B7">
        <w:rPr>
          <w:b w:val="0"/>
        </w:rPr>
        <w:t>tinzaparin</w:t>
      </w:r>
      <w:proofErr w:type="spellEnd"/>
      <w:r w:rsidRPr="007632B7">
        <w:rPr>
          <w:b w:val="0"/>
        </w:rPr>
        <w:t xml:space="preserve"> (</w:t>
      </w:r>
      <w:proofErr w:type="spellStart"/>
      <w:r w:rsidRPr="007632B7">
        <w:rPr>
          <w:b w:val="0"/>
        </w:rPr>
        <w:t>Innohep</w:t>
      </w:r>
      <w:proofErr w:type="spellEnd"/>
      <w:r w:rsidRPr="007632B7">
        <w:rPr>
          <w:b w:val="0"/>
        </w:rPr>
        <w:t xml:space="preserve">®) was obtained from Leo </w:t>
      </w:r>
      <w:proofErr w:type="spellStart"/>
      <w:r w:rsidRPr="007632B7">
        <w:rPr>
          <w:b w:val="0"/>
        </w:rPr>
        <w:t>Pharma</w:t>
      </w:r>
      <w:proofErr w:type="spellEnd"/>
      <w:r w:rsidRPr="007632B7">
        <w:rPr>
          <w:b w:val="0"/>
        </w:rPr>
        <w:t xml:space="preserve"> (</w:t>
      </w:r>
      <w:proofErr w:type="spellStart"/>
      <w:r w:rsidRPr="007632B7">
        <w:rPr>
          <w:b w:val="0"/>
        </w:rPr>
        <w:t>Ballerup</w:t>
      </w:r>
      <w:proofErr w:type="spellEnd"/>
      <w:r w:rsidRPr="007632B7">
        <w:rPr>
          <w:b w:val="0"/>
        </w:rPr>
        <w:t>, Denmark). Human pooled plasma was purchased from Helena Biosciences Europe (Tyne and Wear, UK). Lyophilized plasma was reconstituted in 1 ml of water and left to stabilise for at least 20 min at room temperature prior to use.</w:t>
      </w:r>
    </w:p>
    <w:p w:rsidR="007632B7" w:rsidRPr="007632B7" w:rsidRDefault="007632B7" w:rsidP="00FC2F5F">
      <w:pPr>
        <w:pStyle w:val="RSCB08CHeadingIn-line"/>
        <w:spacing w:line="240" w:lineRule="exact"/>
        <w:jc w:val="both"/>
        <w:rPr>
          <w:b w:val="0"/>
        </w:rPr>
      </w:pPr>
      <w:r w:rsidRPr="007632B7">
        <w:rPr>
          <w:b w:val="0"/>
        </w:rPr>
        <w:t>Rolls of 188 µm thick cyclic polyolefin polymer (</w:t>
      </w:r>
      <w:proofErr w:type="spellStart"/>
      <w:r w:rsidRPr="007632B7">
        <w:rPr>
          <w:b w:val="0"/>
        </w:rPr>
        <w:t>Zeonor</w:t>
      </w:r>
      <w:proofErr w:type="spellEnd"/>
      <w:r w:rsidRPr="007632B7">
        <w:rPr>
          <w:b w:val="0"/>
        </w:rPr>
        <w:t xml:space="preserve">®) were purchased from IBIDI GmbH (Munich, Germany). </w:t>
      </w:r>
      <w:proofErr w:type="spellStart"/>
      <w:r w:rsidRPr="007632B7">
        <w:rPr>
          <w:b w:val="0"/>
        </w:rPr>
        <w:t>ARcare</w:t>
      </w:r>
      <w:proofErr w:type="spellEnd"/>
      <w:r w:rsidRPr="007632B7">
        <w:rPr>
          <w:b w:val="0"/>
        </w:rPr>
        <w:t xml:space="preserve">® 92712 50 µm double sided pressure sensitive adhesive (PSA) and HY10-coated </w:t>
      </w:r>
      <w:proofErr w:type="spellStart"/>
      <w:r w:rsidRPr="007632B7">
        <w:rPr>
          <w:b w:val="0"/>
        </w:rPr>
        <w:t>Zeonor</w:t>
      </w:r>
      <w:proofErr w:type="spellEnd"/>
      <w:r w:rsidRPr="007632B7">
        <w:rPr>
          <w:b w:val="0"/>
        </w:rPr>
        <w:t xml:space="preserve">® was purchased from Adhesives Research (Limerick, Ireland). Sheets of 188 µm </w:t>
      </w:r>
      <w:proofErr w:type="spellStart"/>
      <w:r w:rsidRPr="007632B7">
        <w:rPr>
          <w:b w:val="0"/>
        </w:rPr>
        <w:t>Zeonor</w:t>
      </w:r>
      <w:proofErr w:type="spellEnd"/>
      <w:r w:rsidRPr="007632B7">
        <w:rPr>
          <w:b w:val="0"/>
        </w:rPr>
        <w:t xml:space="preserve">® was treated with a hydrophilic coating from </w:t>
      </w:r>
      <w:proofErr w:type="spellStart"/>
      <w:r w:rsidRPr="007632B7">
        <w:rPr>
          <w:b w:val="0"/>
        </w:rPr>
        <w:t>Hydromer</w:t>
      </w:r>
      <w:proofErr w:type="spellEnd"/>
      <w:r w:rsidRPr="007632B7">
        <w:rPr>
          <w:b w:val="0"/>
        </w:rPr>
        <w:t xml:space="preserve"> Inc. (NJ, USA). Conjugate pads (CP) Type 8301 </w:t>
      </w:r>
      <w:proofErr w:type="spellStart"/>
      <w:r w:rsidRPr="007632B7">
        <w:rPr>
          <w:b w:val="0"/>
        </w:rPr>
        <w:t>p/n</w:t>
      </w:r>
      <w:proofErr w:type="spellEnd"/>
      <w:r w:rsidRPr="007632B7">
        <w:rPr>
          <w:b w:val="0"/>
        </w:rPr>
        <w:t xml:space="preserve"> SMCONO1 were sourced from Pall Europe Ltd. (Portsmouth, England). Strip materials were cut using a Graphtec Vinyl Cutter, Model CE5000-40-CRP from Graphtec GB Limited (Wrexham, UK). Contact angle measurements were carried out using an FTA 200 analyser from First Ten Angstroms, Inc. (Virginia, USA).</w:t>
      </w:r>
    </w:p>
    <w:p w:rsidR="00FA2DA2" w:rsidRDefault="007632B7" w:rsidP="00FC2F5F">
      <w:pPr>
        <w:pStyle w:val="RSCB08CHeadingIn-line"/>
        <w:spacing w:line="240" w:lineRule="exact"/>
        <w:jc w:val="both"/>
        <w:rPr>
          <w:b w:val="0"/>
        </w:rPr>
      </w:pPr>
      <w:r w:rsidRPr="007632B7">
        <w:rPr>
          <w:b w:val="0"/>
        </w:rPr>
        <w:lastRenderedPageBreak/>
        <w:t xml:space="preserve">All fluorescent measurements were carried out at 37°C using an Olympus IX81 motorised fluorescent microscope sourced from Olympus Europa GmbH (Hamburg, Germany) housed within an incubation chamber with an attached Hamamatsu Orca ER digital camera, Model C4742-80-12AG from Hamamatsu Photonics (Hertfordshire, UK). Fluorescence was monitored according to the following settings: magnification ×10; excitation at 342 nm and emission at 440 nm; exposure time of 20 </w:t>
      </w:r>
      <w:proofErr w:type="spellStart"/>
      <w:r w:rsidRPr="007632B7">
        <w:rPr>
          <w:b w:val="0"/>
        </w:rPr>
        <w:t>ms.</w:t>
      </w:r>
      <w:proofErr w:type="spellEnd"/>
      <w:r w:rsidRPr="007632B7">
        <w:rPr>
          <w:b w:val="0"/>
        </w:rPr>
        <w:t xml:space="preserve"> </w:t>
      </w:r>
      <w:proofErr w:type="gramStart"/>
      <w:r w:rsidRPr="007632B7">
        <w:rPr>
          <w:b w:val="0"/>
        </w:rPr>
        <w:t>All</w:t>
      </w:r>
      <w:proofErr w:type="gramEnd"/>
      <w:r w:rsidRPr="007632B7">
        <w:rPr>
          <w:b w:val="0"/>
        </w:rPr>
        <w:t xml:space="preserve"> values of fluorescence are reported as arbitrary fluorescence units (AU). All measurements were </w:t>
      </w:r>
      <w:proofErr w:type="spellStart"/>
      <w:r w:rsidRPr="007632B7">
        <w:rPr>
          <w:b w:val="0"/>
        </w:rPr>
        <w:t>analyzed</w:t>
      </w:r>
      <w:proofErr w:type="spellEnd"/>
      <w:r w:rsidRPr="007632B7">
        <w:rPr>
          <w:b w:val="0"/>
        </w:rPr>
        <w:t xml:space="preserve"> using the </w:t>
      </w:r>
      <w:proofErr w:type="spellStart"/>
      <w:r w:rsidRPr="007632B7">
        <w:rPr>
          <w:b w:val="0"/>
        </w:rPr>
        <w:t>CellˆR</w:t>
      </w:r>
      <w:proofErr w:type="spellEnd"/>
      <w:r w:rsidRPr="007632B7">
        <w:rPr>
          <w:b w:val="0"/>
        </w:rPr>
        <w:t xml:space="preserve"> </w:t>
      </w:r>
      <w:proofErr w:type="spellStart"/>
      <w:r w:rsidRPr="007632B7">
        <w:rPr>
          <w:b w:val="0"/>
        </w:rPr>
        <w:t>realtime</w:t>
      </w:r>
      <w:proofErr w:type="spellEnd"/>
      <w:r w:rsidRPr="007632B7">
        <w:rPr>
          <w:b w:val="0"/>
        </w:rPr>
        <w:t xml:space="preserve"> imaging software from Mason Technology (Dublin, Ireland) with subsequent data exportation into Excel, </w:t>
      </w:r>
      <w:proofErr w:type="spellStart"/>
      <w:r w:rsidRPr="007632B7">
        <w:rPr>
          <w:b w:val="0"/>
        </w:rPr>
        <w:t>SigmaPlot</w:t>
      </w:r>
      <w:proofErr w:type="spellEnd"/>
      <w:r w:rsidRPr="007632B7">
        <w:rPr>
          <w:b w:val="0"/>
        </w:rPr>
        <w:t xml:space="preserve"> 8.0, and SPSS 22.0 for analysis.</w:t>
      </w:r>
    </w:p>
    <w:p w:rsidR="00DB6B4C" w:rsidRPr="007632B7" w:rsidRDefault="00DB6B4C" w:rsidP="00FC2F5F">
      <w:pPr>
        <w:pStyle w:val="RSCB08CHeadingIn-line"/>
        <w:spacing w:line="240" w:lineRule="exact"/>
        <w:jc w:val="both"/>
        <w:rPr>
          <w:b w:val="0"/>
        </w:rPr>
      </w:pPr>
    </w:p>
    <w:p w:rsidR="007632B7" w:rsidRDefault="007632B7" w:rsidP="00FC2F5F">
      <w:pPr>
        <w:pStyle w:val="RSCB06BHeadingSub-Section"/>
      </w:pPr>
      <w:r>
        <w:t>Microfluidic Assay and Device Development</w:t>
      </w:r>
    </w:p>
    <w:p w:rsidR="007632B7" w:rsidRDefault="007632B7" w:rsidP="00FC2F5F">
      <w:pPr>
        <w:pStyle w:val="RSCB06BHeadingSub-Section"/>
        <w:jc w:val="both"/>
        <w:rPr>
          <w:b w:val="0"/>
        </w:rPr>
      </w:pPr>
      <w:r w:rsidRPr="007632B7">
        <w:rPr>
          <w:b w:val="0"/>
        </w:rPr>
        <w:t xml:space="preserve">Development of the microfluidic chip was divided into two stages. In the first stage the fluorogenic substrate was deposited within the microfluidic channel, while the </w:t>
      </w:r>
      <w:proofErr w:type="spellStart"/>
      <w:r w:rsidRPr="007632B7">
        <w:rPr>
          <w:b w:val="0"/>
        </w:rPr>
        <w:t>FXa</w:t>
      </w:r>
      <w:proofErr w:type="spellEnd"/>
      <w:r w:rsidRPr="007632B7">
        <w:rPr>
          <w:b w:val="0"/>
        </w:rPr>
        <w:t xml:space="preserve"> reagent was incubated externally with plasma prior to its application on-chip. The results of this study have been published previously.</w:t>
      </w:r>
      <w:r w:rsidR="008F45D5">
        <w:rPr>
          <w:b w:val="0"/>
          <w:vertAlign w:val="superscript"/>
        </w:rPr>
        <w:fldChar w:fldCharType="begin" w:fldLock="1"/>
      </w:r>
      <w:r w:rsidR="000D3DDE">
        <w:rPr>
          <w:b w:val="0"/>
          <w:vertAlign w:val="superscript"/>
        </w:rPr>
        <w:instrText>ADDIN CSL_CITATION { "citationItems" : [ { "id" : "ITEM-1", "itemData" : { "DOI" : "10.1039/c3an00401e", "ISSN" : "1364-5528", "PMID" : "23666610", "abstract" : "The development of new point of care coagulation assay devices is necessary due to the increasing number of patients requiring long-term anticoagulation in addition to the desire for appropriate, targeted anticoagulant therapy and a more rapid response to optimization of treatment. The majority of point of care devices currently available for hemostasis testing rely on clot-based endpoints which are variable, unreliable and limited to measuring only certain portions of the coagulation pathway. Here we present a novel fluorescence-based anti-Factor Xa (FXa) microfluidic assay device for monitoring the effect of anticoagulant therapy at the point of care. The device is a disposable, laminated polymer microfluidic strip fabricated from a combination of hydrophobic and hydrophilic cyclic polyolefins to allow reagent deposition in addition to effective capillary fill. Zeonor was the polymer of choice resulting in low background fluorescence (208.5 AU), suitable contact angles (17.5\u00b0\u00b1 0.9\u00b0) and capillary fill times (20.3 \u00b1 2.1 s). The device was capable of measuring unfractionated heparin and tinzaparin from 0-0.8 U ml(-1) and enoxaparin from 0-0.6 U ml(-1) with average CVs &lt; 10%. A linear correlation was observed between the device and the fluorescent assay in the plate for plasma samples spiked with UFH, with an R(2) value of 0.99, while correlations with tinzaparin and enoxaparin resulted in sigmoidal responses (R(2) = 0.99). Plasma samples containing UFH resulted in a linear correlation between the device and a standard chromogenic assay with an R(2) value of 0.98, with both LMWHs resulting in sigmoidal relationships (R(2) = 0.99).", "author" : [ { "dropping-particle" : "", "family" : "Harris", "given" : "Leanne F", "non-dropping-particle" : "", "parse-names" : false, "suffix" : "" }, { "dropping-particle" : "", "family" : "Rainey", "given" : "Paul", "non-dropping-particle" : "", "parse-names" : false, "suffix" : "" }, { "dropping-particle" : "", "family" : "Castro-L\u00f3pez", "given" : "Vanessa", "non-dropping-particle" : "", "parse-names" : false, "suffix" : "" }, { "dropping-particle" : "", "family" : "O'Donnell", "given" : "James S", "non-dropping-particle" : "", "parse-names" : false, "suffix" : "" }, { "dropping-particle" : "", "family" : "Killard", "given" : "Anthony J", "non-dropping-particle" : "", "parse-names" : false, "suffix" : "" } ], "container-title" : "The Analyst", "id" : "ITEM-1", "issue" : "17", "issued" : { "date-parts" : [ [ "2013", "9", "7" ] ] }, "page" : "4769-76", "title" : "A microfluidic anti-Factor Xa assay device for point of care monitoring of anticoagulation therapy.", "type" : "article-journal", "volume" : "138" }, "uris" : [ "http://www.mendeley.com/documents/?uuid=58762432-566a-4ed2-b092-f9f196b70cf9" ] } ], "mendeley" : { "formattedCitation" : "&lt;sup&gt;16&lt;/sup&gt;", "plainTextFormattedCitation" : "16", "previouslyFormattedCitation" : "&lt;sup&gt;16&lt;/sup&gt;" }, "properties" : { "noteIndex" : 0 }, "schema" : "https://github.com/citation-style-language/schema/raw/master/csl-citation.json" }</w:instrText>
      </w:r>
      <w:r w:rsidR="008F45D5">
        <w:rPr>
          <w:b w:val="0"/>
          <w:vertAlign w:val="superscript"/>
        </w:rPr>
        <w:fldChar w:fldCharType="separate"/>
      </w:r>
      <w:r w:rsidR="000D3DDE" w:rsidRPr="000D3DDE">
        <w:rPr>
          <w:b w:val="0"/>
          <w:noProof/>
          <w:vertAlign w:val="superscript"/>
        </w:rPr>
        <w:t>16</w:t>
      </w:r>
      <w:r w:rsidR="008F45D5">
        <w:rPr>
          <w:b w:val="0"/>
          <w:vertAlign w:val="superscript"/>
        </w:rPr>
        <w:fldChar w:fldCharType="end"/>
      </w:r>
      <w:r w:rsidRPr="007632B7">
        <w:rPr>
          <w:b w:val="0"/>
        </w:rPr>
        <w:t xml:space="preserve"> In the second stage of development, the aim was to develop a fully integrated device with all reagents incorporated on chip.</w:t>
      </w:r>
    </w:p>
    <w:p w:rsidR="00DB6B4C" w:rsidRDefault="00DB6B4C" w:rsidP="00FC2F5F">
      <w:pPr>
        <w:pStyle w:val="RSCB06BHeadingSub-Section"/>
        <w:jc w:val="both"/>
        <w:rPr>
          <w:b w:val="0"/>
        </w:rPr>
      </w:pPr>
    </w:p>
    <w:p w:rsidR="007632B7" w:rsidRPr="007632B7" w:rsidRDefault="007632B7" w:rsidP="00FC2F5F">
      <w:pPr>
        <w:pStyle w:val="RSCB06BHeadingSub-Section"/>
        <w:jc w:val="both"/>
        <w:rPr>
          <w:b w:val="0"/>
        </w:rPr>
      </w:pPr>
      <w:r>
        <w:t>Integrated Strip Development</w:t>
      </w:r>
    </w:p>
    <w:p w:rsidR="007632B7" w:rsidRPr="007632B7" w:rsidRDefault="007632B7" w:rsidP="00FC2F5F">
      <w:pPr>
        <w:pStyle w:val="RSCB08CHeadingIn-line"/>
        <w:spacing w:line="240" w:lineRule="exact"/>
        <w:jc w:val="both"/>
        <w:rPr>
          <w:b w:val="0"/>
        </w:rPr>
      </w:pPr>
      <w:r w:rsidRPr="007632B7">
        <w:rPr>
          <w:b w:val="0"/>
        </w:rPr>
        <w:t>For the development of the integrated strip</w:t>
      </w:r>
      <w:r w:rsidR="001055B0">
        <w:rPr>
          <w:b w:val="0"/>
        </w:rPr>
        <w:t xml:space="preserve"> (Fig. 1)</w:t>
      </w:r>
      <w:r w:rsidRPr="007632B7">
        <w:rPr>
          <w:b w:val="0"/>
        </w:rPr>
        <w:t xml:space="preserve">, </w:t>
      </w:r>
      <w:proofErr w:type="spellStart"/>
      <w:r w:rsidRPr="007632B7">
        <w:rPr>
          <w:b w:val="0"/>
        </w:rPr>
        <w:t>Zeonor</w:t>
      </w:r>
      <w:proofErr w:type="spellEnd"/>
      <w:r w:rsidRPr="007632B7">
        <w:rPr>
          <w:b w:val="0"/>
        </w:rPr>
        <w:t>® and PSA were cut into multichannel sheets (13 strips) using the G</w:t>
      </w:r>
      <w:r w:rsidR="00CB0FDC">
        <w:rPr>
          <w:b w:val="0"/>
        </w:rPr>
        <w:t>raphtec Vinyl Cutter (Fig.</w:t>
      </w:r>
      <w:r w:rsidR="004502A6">
        <w:rPr>
          <w:b w:val="0"/>
        </w:rPr>
        <w:t xml:space="preserve"> </w:t>
      </w:r>
      <w:r w:rsidR="001055B0">
        <w:rPr>
          <w:b w:val="0"/>
        </w:rPr>
        <w:t>2</w:t>
      </w:r>
      <w:r w:rsidRPr="007632B7">
        <w:rPr>
          <w:b w:val="0"/>
        </w:rPr>
        <w:t xml:space="preserve">) from drawings designed using AutoCAD® 2007. The </w:t>
      </w:r>
      <w:proofErr w:type="spellStart"/>
      <w:r w:rsidRPr="007632B7">
        <w:rPr>
          <w:b w:val="0"/>
        </w:rPr>
        <w:t>Zeonor</w:t>
      </w:r>
      <w:proofErr w:type="spellEnd"/>
      <w:r w:rsidRPr="007632B7">
        <w:rPr>
          <w:b w:val="0"/>
        </w:rPr>
        <w:t>® lid was cut with thirteen elliptical sample inlets of 4 mm diameter and rectangular outlets of 4 x 1.5 mm to allow air to escape from inside the channels. The PSA channels were 50 mm long x 2 mm wide, with an additional area cut across the channels at the inlet end, which measured 15 mm</w:t>
      </w:r>
      <w:r w:rsidR="00CB0FDC">
        <w:rPr>
          <w:b w:val="0"/>
        </w:rPr>
        <w:t xml:space="preserve"> in length by 5 mm width (</w:t>
      </w:r>
      <w:r w:rsidR="004502A6">
        <w:rPr>
          <w:b w:val="0"/>
        </w:rPr>
        <w:t>Fig. 2</w:t>
      </w:r>
      <w:r w:rsidRPr="007632B7">
        <w:rPr>
          <w:b w:val="0"/>
        </w:rPr>
        <w:t>). All 3 layers contain alignment marks for easy assembly.</w:t>
      </w:r>
    </w:p>
    <w:p w:rsidR="007632B7" w:rsidRPr="007632B7" w:rsidRDefault="007632B7" w:rsidP="00FC2F5F">
      <w:pPr>
        <w:pStyle w:val="RSCB08CHeadingIn-line"/>
        <w:spacing w:line="240" w:lineRule="exact"/>
        <w:jc w:val="both"/>
        <w:rPr>
          <w:b w:val="0"/>
        </w:rPr>
      </w:pPr>
      <w:r w:rsidRPr="007632B7">
        <w:rPr>
          <w:b w:val="0"/>
        </w:rPr>
        <w:t>The CP was also cut to the same dimensions of 15 cm in length and 5 mm wide</w:t>
      </w:r>
      <w:r w:rsidR="004502A6">
        <w:rPr>
          <w:b w:val="0"/>
        </w:rPr>
        <w:t xml:space="preserve"> (Fig. 2)</w:t>
      </w:r>
      <w:r w:rsidRPr="007632B7">
        <w:rPr>
          <w:b w:val="0"/>
        </w:rPr>
        <w:t xml:space="preserve">. Each CP was dip coated in 200 µl of </w:t>
      </w:r>
      <w:proofErr w:type="spellStart"/>
      <w:r w:rsidRPr="007632B7">
        <w:rPr>
          <w:b w:val="0"/>
        </w:rPr>
        <w:t>FXa</w:t>
      </w:r>
      <w:proofErr w:type="spellEnd"/>
      <w:r w:rsidRPr="007632B7">
        <w:rPr>
          <w:b w:val="0"/>
        </w:rPr>
        <w:t xml:space="preserve"> and left to dry for 2 hours in a desiccator at 19°C and 10% RH. Dip coating of the conjugate pad took place in a “</w:t>
      </w:r>
      <w:proofErr w:type="spellStart"/>
      <w:r w:rsidRPr="007632B7">
        <w:rPr>
          <w:b w:val="0"/>
        </w:rPr>
        <w:t>microdip</w:t>
      </w:r>
      <w:proofErr w:type="spellEnd"/>
      <w:r w:rsidRPr="007632B7">
        <w:rPr>
          <w:b w:val="0"/>
        </w:rPr>
        <w:t xml:space="preserve"> tank vessel”. A scalpel was used to cut the bulb and nozzle from a disposable pipette. The trough created from the bulb is used to contain the </w:t>
      </w:r>
      <w:proofErr w:type="spellStart"/>
      <w:r w:rsidRPr="007632B7">
        <w:rPr>
          <w:b w:val="0"/>
        </w:rPr>
        <w:t>FXa</w:t>
      </w:r>
      <w:proofErr w:type="spellEnd"/>
      <w:r w:rsidRPr="007632B7">
        <w:rPr>
          <w:b w:val="0"/>
        </w:rPr>
        <w:t>. The pipette tip is placed over the needle, to provide a roller which attempts to mimic a standard dip tank coating procedure, while avoiding metal contamination from the needle. Both parts are disposed of after use to avoid cross contamination with future batches.</w:t>
      </w:r>
    </w:p>
    <w:p w:rsidR="007632B7" w:rsidRPr="007632B7" w:rsidRDefault="007632B7" w:rsidP="00FC2F5F">
      <w:pPr>
        <w:pStyle w:val="RSCB08CHeadingIn-line"/>
        <w:spacing w:line="240" w:lineRule="exact"/>
        <w:jc w:val="both"/>
        <w:rPr>
          <w:b w:val="0"/>
        </w:rPr>
      </w:pPr>
      <w:r w:rsidRPr="007632B7">
        <w:rPr>
          <w:b w:val="0"/>
        </w:rPr>
        <w:t xml:space="preserve">The PSA layer was bonded to the </w:t>
      </w:r>
      <w:proofErr w:type="spellStart"/>
      <w:r w:rsidRPr="007632B7">
        <w:rPr>
          <w:b w:val="0"/>
        </w:rPr>
        <w:t>Zeonor</w:t>
      </w:r>
      <w:proofErr w:type="spellEnd"/>
      <w:r w:rsidRPr="007632B7">
        <w:rPr>
          <w:b w:val="0"/>
        </w:rPr>
        <w:t xml:space="preserve">® lid layer using the alignment marks and 2 µl of </w:t>
      </w:r>
      <w:proofErr w:type="spellStart"/>
      <w:r w:rsidRPr="007632B7">
        <w:rPr>
          <w:b w:val="0"/>
        </w:rPr>
        <w:t>Pefafluor</w:t>
      </w:r>
      <w:proofErr w:type="spellEnd"/>
      <w:r w:rsidRPr="007632B7">
        <w:rPr>
          <w:b w:val="0"/>
        </w:rPr>
        <w:t xml:space="preserve">™ </w:t>
      </w:r>
      <w:proofErr w:type="spellStart"/>
      <w:r w:rsidRPr="007632B7">
        <w:rPr>
          <w:b w:val="0"/>
        </w:rPr>
        <w:t>FXa</w:t>
      </w:r>
      <w:proofErr w:type="spellEnd"/>
      <w:r w:rsidRPr="007632B7">
        <w:rPr>
          <w:b w:val="0"/>
        </w:rPr>
        <w:t xml:space="preserve"> </w:t>
      </w:r>
      <w:proofErr w:type="spellStart"/>
      <w:r w:rsidRPr="007632B7">
        <w:rPr>
          <w:b w:val="0"/>
        </w:rPr>
        <w:t>fluorogenic</w:t>
      </w:r>
      <w:proofErr w:type="spellEnd"/>
      <w:r w:rsidRPr="007632B7">
        <w:rPr>
          <w:b w:val="0"/>
        </w:rPr>
        <w:t xml:space="preserve"> substrate was deposited with a pipette within each channel as four 0.5 µl droplets onto the hydrophobic </w:t>
      </w:r>
      <w:proofErr w:type="spellStart"/>
      <w:r w:rsidRPr="007632B7">
        <w:rPr>
          <w:b w:val="0"/>
        </w:rPr>
        <w:t>Zeonor</w:t>
      </w:r>
      <w:proofErr w:type="spellEnd"/>
      <w:r w:rsidRPr="007632B7">
        <w:rPr>
          <w:b w:val="0"/>
        </w:rPr>
        <w:t xml:space="preserve">® at a distance of 1.5 mm from the outlet. Sheets were dried for 2 hours in a glass desiccator with silica at 19°C and 10% RH. After drying, the CP was inserted into the cut rectangular area on the PSA and bonded to the hydrophilic </w:t>
      </w:r>
      <w:proofErr w:type="spellStart"/>
      <w:r w:rsidRPr="007632B7">
        <w:rPr>
          <w:b w:val="0"/>
        </w:rPr>
        <w:t>Zeonor</w:t>
      </w:r>
      <w:proofErr w:type="spellEnd"/>
      <w:r w:rsidRPr="007632B7">
        <w:rPr>
          <w:b w:val="0"/>
        </w:rPr>
        <w:t xml:space="preserve">® base layer using pressure lamination. </w:t>
      </w:r>
    </w:p>
    <w:p w:rsidR="008C576F" w:rsidRDefault="008C576F" w:rsidP="00FC2F5F">
      <w:pPr>
        <w:pStyle w:val="RSCB08CHeadingIn-line"/>
        <w:spacing w:line="240" w:lineRule="exact"/>
        <w:jc w:val="both"/>
        <w:rPr>
          <w:b w:val="0"/>
        </w:rPr>
      </w:pPr>
      <w:r w:rsidRPr="007632B7">
        <w:rPr>
          <w:b w:val="0"/>
        </w:rPr>
        <w:t xml:space="preserve">Once the strip was assembled, 20 µl of re-calcified plasma (44 µl heparinized plasma + 6 µl 100 </w:t>
      </w:r>
      <w:proofErr w:type="spellStart"/>
      <w:r w:rsidRPr="007632B7">
        <w:rPr>
          <w:b w:val="0"/>
        </w:rPr>
        <w:t>mM</w:t>
      </w:r>
      <w:proofErr w:type="spellEnd"/>
      <w:r w:rsidRPr="007632B7">
        <w:rPr>
          <w:b w:val="0"/>
        </w:rPr>
        <w:t xml:space="preserve"> CaCl2) was immediately applied to the inlet of the assay strip. Plasma samples were spiked with </w:t>
      </w:r>
      <w:r w:rsidRPr="007632B7">
        <w:rPr>
          <w:b w:val="0"/>
        </w:rPr>
        <w:lastRenderedPageBreak/>
        <w:t>pharmacologically relevant concentrations (0–1 U</w:t>
      </w:r>
      <w:r w:rsidR="00A7606E">
        <w:rPr>
          <w:b w:val="0"/>
        </w:rPr>
        <w:t>/mL</w:t>
      </w:r>
      <w:r w:rsidRPr="007632B7">
        <w:rPr>
          <w:b w:val="0"/>
        </w:rPr>
        <w:t>) of UFH and LMWH.</w:t>
      </w:r>
    </w:p>
    <w:p w:rsidR="001055B0" w:rsidRDefault="001055B0" w:rsidP="00FC2F5F">
      <w:pPr>
        <w:pStyle w:val="RSCB08CHeadingIn-line"/>
        <w:spacing w:line="240" w:lineRule="exact"/>
        <w:jc w:val="both"/>
        <w:rPr>
          <w:b w:val="0"/>
        </w:rPr>
      </w:pPr>
    </w:p>
    <w:p w:rsidR="001055B0" w:rsidRDefault="001055B0" w:rsidP="00FC2F5F">
      <w:pPr>
        <w:pStyle w:val="RSCB08CHeadingIn-line"/>
        <w:spacing w:line="240" w:lineRule="exact"/>
        <w:jc w:val="both"/>
        <w:rPr>
          <w:b w:val="0"/>
        </w:rPr>
      </w:pPr>
      <w:r w:rsidRPr="009712EF">
        <w:rPr>
          <w:b w:val="0"/>
          <w:lang w:val="en-IE"/>
        </w:rPr>
        <w:drawing>
          <wp:anchor distT="0" distB="0" distL="114300" distR="114300" simplePos="0" relativeHeight="251664384" behindDoc="0" locked="0" layoutInCell="1" allowOverlap="1" wp14:anchorId="5646A3D3" wp14:editId="6F07A6CC">
            <wp:simplePos x="0" y="0"/>
            <wp:positionH relativeFrom="margin">
              <wp:posOffset>53975</wp:posOffset>
            </wp:positionH>
            <wp:positionV relativeFrom="margin">
              <wp:posOffset>513715</wp:posOffset>
            </wp:positionV>
            <wp:extent cx="2971800" cy="2226945"/>
            <wp:effectExtent l="19050" t="19050" r="0" b="1905"/>
            <wp:wrapSquare wrapText="bothSides"/>
            <wp:docPr id="13314" name="Picture 4" descr="EXaC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EXaCT_v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222694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1055B0" w:rsidRDefault="001055B0" w:rsidP="001055B0">
      <w:pPr>
        <w:pStyle w:val="RSCB08CHeadingIn-line"/>
        <w:spacing w:line="240" w:lineRule="exact"/>
        <w:jc w:val="both"/>
        <w:rPr>
          <w:b w:val="0"/>
        </w:rPr>
      </w:pPr>
      <w:proofErr w:type="gramStart"/>
      <w:r>
        <w:rPr>
          <w:b w:val="0"/>
        </w:rPr>
        <w:t>Fig. 1</w:t>
      </w:r>
      <w:r>
        <w:rPr>
          <w:b w:val="0"/>
        </w:rPr>
        <w:t>.</w:t>
      </w:r>
      <w:proofErr w:type="gramEnd"/>
      <w:r>
        <w:rPr>
          <w:b w:val="0"/>
        </w:rPr>
        <w:t xml:space="preserve"> Schematic of the</w:t>
      </w:r>
      <w:r>
        <w:rPr>
          <w:b w:val="0"/>
        </w:rPr>
        <w:t xml:space="preserve"> microfluidic chip highlighting the</w:t>
      </w:r>
      <w:r>
        <w:rPr>
          <w:b w:val="0"/>
        </w:rPr>
        <w:t xml:space="preserve"> hydrophobic</w:t>
      </w:r>
      <w:r w:rsidRPr="00CB0FDC">
        <w:rPr>
          <w:b w:val="0"/>
        </w:rPr>
        <w:t xml:space="preserve"> </w:t>
      </w:r>
      <w:proofErr w:type="spellStart"/>
      <w:r w:rsidRPr="00CB0FDC">
        <w:rPr>
          <w:b w:val="0"/>
        </w:rPr>
        <w:t>Zeonor</w:t>
      </w:r>
      <w:proofErr w:type="spellEnd"/>
      <w:r w:rsidRPr="00CB0FDC">
        <w:rPr>
          <w:b w:val="0"/>
        </w:rPr>
        <w:t xml:space="preserve">® lid layer (with </w:t>
      </w:r>
      <w:r>
        <w:rPr>
          <w:b w:val="0"/>
        </w:rPr>
        <w:t xml:space="preserve">inlet and outlet), </w:t>
      </w:r>
      <w:r w:rsidRPr="00CB0FDC">
        <w:rPr>
          <w:b w:val="0"/>
        </w:rPr>
        <w:t xml:space="preserve">the PSA </w:t>
      </w:r>
      <w:proofErr w:type="spellStart"/>
      <w:r>
        <w:rPr>
          <w:b w:val="0"/>
        </w:rPr>
        <w:t>micro</w:t>
      </w:r>
      <w:r w:rsidRPr="00CB0FDC">
        <w:rPr>
          <w:b w:val="0"/>
        </w:rPr>
        <w:t>channel</w:t>
      </w:r>
      <w:proofErr w:type="spellEnd"/>
      <w:r w:rsidRPr="00CB0FDC">
        <w:rPr>
          <w:b w:val="0"/>
        </w:rPr>
        <w:t xml:space="preserve"> layer and the </w:t>
      </w:r>
      <w:r>
        <w:rPr>
          <w:b w:val="0"/>
        </w:rPr>
        <w:t xml:space="preserve">hydrophilic </w:t>
      </w:r>
      <w:proofErr w:type="spellStart"/>
      <w:r>
        <w:rPr>
          <w:b w:val="0"/>
        </w:rPr>
        <w:t>Zeonor</w:t>
      </w:r>
      <w:proofErr w:type="spellEnd"/>
      <w:r>
        <w:rPr>
          <w:b w:val="0"/>
        </w:rPr>
        <w:t xml:space="preserve"> base layer with deposited reagents</w:t>
      </w:r>
      <w:r w:rsidRPr="00CB0FDC">
        <w:rPr>
          <w:b w:val="0"/>
        </w:rPr>
        <w:t xml:space="preserve">. </w:t>
      </w:r>
      <w:r>
        <w:rPr>
          <w:b w:val="0"/>
        </w:rPr>
        <w:t xml:space="preserve">The image to the right incorporates the </w:t>
      </w:r>
      <w:proofErr w:type="spellStart"/>
      <w:r>
        <w:rPr>
          <w:b w:val="0"/>
        </w:rPr>
        <w:t>microdevice</w:t>
      </w:r>
      <w:proofErr w:type="spellEnd"/>
      <w:r>
        <w:rPr>
          <w:b w:val="0"/>
        </w:rPr>
        <w:t xml:space="preserve"> with a miniaturised detection system.</w:t>
      </w:r>
    </w:p>
    <w:p w:rsidR="001055B0" w:rsidRDefault="001055B0" w:rsidP="00FC2F5F">
      <w:pPr>
        <w:pStyle w:val="RSCB08CHeadingIn-line"/>
        <w:spacing w:line="240" w:lineRule="exact"/>
        <w:jc w:val="both"/>
        <w:rPr>
          <w:b w:val="0"/>
        </w:rPr>
      </w:pPr>
    </w:p>
    <w:p w:rsidR="001055B0" w:rsidRDefault="001055B0" w:rsidP="00FC2F5F">
      <w:pPr>
        <w:pStyle w:val="RSCB08CHeadingIn-line"/>
        <w:spacing w:line="240" w:lineRule="exact"/>
        <w:jc w:val="both"/>
        <w:rPr>
          <w:b w:val="0"/>
        </w:rPr>
      </w:pPr>
      <w:r w:rsidRPr="008C576F">
        <w:rPr>
          <w:b w:val="0"/>
          <w:noProof/>
          <w:lang w:val="en-IE" w:eastAsia="en-IE"/>
        </w:rPr>
        <w:drawing>
          <wp:anchor distT="0" distB="0" distL="114300" distR="114300" simplePos="0" relativeHeight="251653120" behindDoc="0" locked="0" layoutInCell="1" allowOverlap="1" wp14:anchorId="594828CA" wp14:editId="4051AFEA">
            <wp:simplePos x="0" y="0"/>
            <wp:positionH relativeFrom="margin">
              <wp:posOffset>125730</wp:posOffset>
            </wp:positionH>
            <wp:positionV relativeFrom="margin">
              <wp:posOffset>3910965</wp:posOffset>
            </wp:positionV>
            <wp:extent cx="2721610" cy="1800225"/>
            <wp:effectExtent l="0" t="0" r="0" b="0"/>
            <wp:wrapSquare wrapText="bothSides"/>
            <wp:docPr id="4"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7" cstate="print">
                      <a:extLst>
                        <a:ext uri="{28A0092B-C50C-407E-A947-70E740481C1C}">
                          <a14:useLocalDpi xmlns:a14="http://schemas.microsoft.com/office/drawing/2010/main" val="0"/>
                        </a:ext>
                      </a:extLst>
                    </a:blip>
                    <a:srcRect l="1535" t="1656" r="1973" b="1987"/>
                    <a:stretch>
                      <a:fillRect/>
                    </a:stretch>
                  </pic:blipFill>
                  <pic:spPr bwMode="auto">
                    <a:xfrm>
                      <a:off x="0" y="0"/>
                      <a:ext cx="2721610" cy="1800225"/>
                    </a:xfrm>
                    <a:prstGeom prst="rect">
                      <a:avLst/>
                    </a:prstGeom>
                    <a:noFill/>
                    <a:ln>
                      <a:noFill/>
                    </a:ln>
                  </pic:spPr>
                </pic:pic>
              </a:graphicData>
            </a:graphic>
          </wp:anchor>
        </w:drawing>
      </w:r>
    </w:p>
    <w:p w:rsidR="00126140" w:rsidRDefault="001055B0" w:rsidP="00126140">
      <w:pPr>
        <w:pStyle w:val="RSCB08CHeadingIn-line"/>
        <w:spacing w:line="240" w:lineRule="exact"/>
        <w:jc w:val="both"/>
        <w:rPr>
          <w:b w:val="0"/>
        </w:rPr>
      </w:pPr>
      <w:proofErr w:type="gramStart"/>
      <w:r>
        <w:rPr>
          <w:b w:val="0"/>
        </w:rPr>
        <w:t>F</w:t>
      </w:r>
      <w:r w:rsidR="00126140">
        <w:rPr>
          <w:b w:val="0"/>
        </w:rPr>
        <w:t>ig.</w:t>
      </w:r>
      <w:r w:rsidR="00126140" w:rsidRPr="00CB0FDC">
        <w:rPr>
          <w:b w:val="0"/>
        </w:rPr>
        <w:t xml:space="preserve"> </w:t>
      </w:r>
      <w:r>
        <w:rPr>
          <w:b w:val="0"/>
        </w:rPr>
        <w:t>2</w:t>
      </w:r>
      <w:r w:rsidR="00126140" w:rsidRPr="00CB0FDC">
        <w:rPr>
          <w:b w:val="0"/>
        </w:rPr>
        <w:t>.</w:t>
      </w:r>
      <w:proofErr w:type="gramEnd"/>
      <w:r w:rsidR="00126140" w:rsidRPr="00CB0FDC">
        <w:rPr>
          <w:b w:val="0"/>
        </w:rPr>
        <w:t xml:space="preserve"> Multichannel </w:t>
      </w:r>
      <w:proofErr w:type="spellStart"/>
      <w:r w:rsidR="00126140" w:rsidRPr="00CB0FDC">
        <w:rPr>
          <w:b w:val="0"/>
        </w:rPr>
        <w:t>Zeonor</w:t>
      </w:r>
      <w:proofErr w:type="spellEnd"/>
      <w:r w:rsidR="00126140" w:rsidRPr="00CB0FDC">
        <w:rPr>
          <w:b w:val="0"/>
        </w:rPr>
        <w:t>® lid layer (A), PSA channel layer (B) and CP</w:t>
      </w:r>
      <w:r w:rsidR="007D0FC6">
        <w:rPr>
          <w:b w:val="0"/>
        </w:rPr>
        <w:t xml:space="preserve"> containing the </w:t>
      </w:r>
      <w:proofErr w:type="spellStart"/>
      <w:r w:rsidR="007D0FC6">
        <w:rPr>
          <w:b w:val="0"/>
        </w:rPr>
        <w:t>FXa</w:t>
      </w:r>
      <w:proofErr w:type="spellEnd"/>
      <w:r w:rsidR="007D0FC6">
        <w:rPr>
          <w:b w:val="0"/>
        </w:rPr>
        <w:t xml:space="preserve"> reagent</w:t>
      </w:r>
      <w:r w:rsidR="00126140" w:rsidRPr="00CB0FDC">
        <w:rPr>
          <w:b w:val="0"/>
        </w:rPr>
        <w:t xml:space="preserve"> (C). </w:t>
      </w:r>
      <w:r w:rsidR="007D0FC6">
        <w:rPr>
          <w:b w:val="0"/>
        </w:rPr>
        <w:t>The PSA layer</w:t>
      </w:r>
      <w:r w:rsidR="00E604A8">
        <w:rPr>
          <w:b w:val="0"/>
        </w:rPr>
        <w:t xml:space="preserve"> containing the CP in the inlet </w:t>
      </w:r>
      <w:proofErr w:type="gramStart"/>
      <w:r w:rsidR="00E604A8">
        <w:rPr>
          <w:b w:val="0"/>
        </w:rPr>
        <w:t>area,</w:t>
      </w:r>
      <w:proofErr w:type="gramEnd"/>
      <w:r w:rsidR="007D0FC6">
        <w:rPr>
          <w:b w:val="0"/>
        </w:rPr>
        <w:t xml:space="preserve"> was sandwiched between the hydrophilic </w:t>
      </w:r>
      <w:proofErr w:type="spellStart"/>
      <w:r w:rsidR="007D0FC6">
        <w:rPr>
          <w:b w:val="0"/>
        </w:rPr>
        <w:t>Zeonor</w:t>
      </w:r>
      <w:proofErr w:type="spellEnd"/>
      <w:r w:rsidR="007D0FC6" w:rsidRPr="00CB0FDC">
        <w:rPr>
          <w:b w:val="0"/>
        </w:rPr>
        <w:t>®</w:t>
      </w:r>
      <w:r w:rsidR="007D0FC6">
        <w:rPr>
          <w:b w:val="0"/>
        </w:rPr>
        <w:t xml:space="preserve"> lid layer and a hydrophobic </w:t>
      </w:r>
      <w:proofErr w:type="spellStart"/>
      <w:r w:rsidR="007D0FC6">
        <w:rPr>
          <w:b w:val="0"/>
        </w:rPr>
        <w:t>Zeonor</w:t>
      </w:r>
      <w:proofErr w:type="spellEnd"/>
      <w:r w:rsidR="007D0FC6" w:rsidRPr="00CB0FDC">
        <w:rPr>
          <w:b w:val="0"/>
        </w:rPr>
        <w:t>®</w:t>
      </w:r>
      <w:r w:rsidR="007D0FC6">
        <w:rPr>
          <w:b w:val="0"/>
        </w:rPr>
        <w:t xml:space="preserve"> base layer.</w:t>
      </w:r>
    </w:p>
    <w:p w:rsidR="008C576F" w:rsidRDefault="008C576F" w:rsidP="00FC2F5F">
      <w:pPr>
        <w:pStyle w:val="RSCB08CHeadingIn-line"/>
        <w:spacing w:line="240" w:lineRule="exact"/>
        <w:jc w:val="both"/>
        <w:rPr>
          <w:b w:val="0"/>
        </w:rPr>
      </w:pPr>
    </w:p>
    <w:p w:rsidR="00CB0FDC" w:rsidRPr="007632B7" w:rsidRDefault="00C431F6" w:rsidP="00FC2F5F">
      <w:pPr>
        <w:pStyle w:val="RSCB08CHeadingIn-line"/>
        <w:spacing w:line="240" w:lineRule="exact"/>
        <w:jc w:val="both"/>
        <w:rPr>
          <w:b w:val="0"/>
        </w:rPr>
      </w:pPr>
      <w:r>
        <w:rPr>
          <w:rFonts w:ascii="Myriad Pro" w:hAnsi="Myriad Pro" w:cs="Times New Roman"/>
          <w:b w:val="0"/>
          <w:i/>
          <w:w w:val="108"/>
          <w:szCs w:val="18"/>
          <w:vertAlign w:val="superscript"/>
        </w:rPr>
        <w:pict>
          <v:rect id="_x0000_i1025" style="width:248.7pt;height:1.5pt" o:hrstd="t" o:hrnoshade="t" o:hr="t" fillcolor="#a0a0a0" stroked="f"/>
        </w:pict>
      </w:r>
    </w:p>
    <w:p w:rsidR="00CB0FDC" w:rsidRPr="00CB0FDC" w:rsidRDefault="00CB0FDC" w:rsidP="00FC2F5F">
      <w:pPr>
        <w:pStyle w:val="RSCB06BHeadingSub-Section"/>
        <w:jc w:val="both"/>
      </w:pPr>
      <w:r w:rsidRPr="00CB0FDC">
        <w:t>Patient Samples</w:t>
      </w:r>
    </w:p>
    <w:p w:rsidR="00CB0FDC" w:rsidRDefault="001D411F" w:rsidP="00FC2F5F">
      <w:pPr>
        <w:pStyle w:val="RSCB08CHeadingIn-line"/>
        <w:spacing w:line="240" w:lineRule="exact"/>
        <w:jc w:val="both"/>
        <w:rPr>
          <w:b w:val="0"/>
        </w:rPr>
      </w:pPr>
      <w:r>
        <w:rPr>
          <w:b w:val="0"/>
        </w:rPr>
        <w:t xml:space="preserve">A small preliminary study using patient samples was carried out. </w:t>
      </w:r>
      <w:r w:rsidR="00CB0FDC" w:rsidRPr="00CB0FDC">
        <w:rPr>
          <w:b w:val="0"/>
        </w:rPr>
        <w:t xml:space="preserve">Plasma samples from patients on UFH were kindly donated by Tomas </w:t>
      </w:r>
      <w:proofErr w:type="spellStart"/>
      <w:r w:rsidR="00CB0FDC" w:rsidRPr="00CB0FDC">
        <w:rPr>
          <w:b w:val="0"/>
        </w:rPr>
        <w:t>Lindahl</w:t>
      </w:r>
      <w:proofErr w:type="spellEnd"/>
      <w:r w:rsidR="00CB0FDC" w:rsidRPr="00CB0FDC">
        <w:rPr>
          <w:b w:val="0"/>
        </w:rPr>
        <w:t xml:space="preserve"> based in the Linköping University Hospital, Sweden. </w:t>
      </w:r>
      <w:r>
        <w:rPr>
          <w:b w:val="0"/>
        </w:rPr>
        <w:t>T</w:t>
      </w:r>
      <w:r w:rsidR="00CB0FDC" w:rsidRPr="00CB0FDC">
        <w:rPr>
          <w:b w:val="0"/>
        </w:rPr>
        <w:t>en pla</w:t>
      </w:r>
      <w:r>
        <w:rPr>
          <w:b w:val="0"/>
        </w:rPr>
        <w:t>sma samples from patients on UF</w:t>
      </w:r>
      <w:r w:rsidR="00CB0FDC" w:rsidRPr="00CB0FDC">
        <w:rPr>
          <w:b w:val="0"/>
        </w:rPr>
        <w:t xml:space="preserve">H were collected and tested on our microfluidic device platform. Correlations were performed with the assay standard, </w:t>
      </w:r>
      <w:proofErr w:type="spellStart"/>
      <w:r w:rsidR="00CB0FDC" w:rsidRPr="00CB0FDC">
        <w:rPr>
          <w:b w:val="0"/>
        </w:rPr>
        <w:t>aPTT</w:t>
      </w:r>
      <w:proofErr w:type="spellEnd"/>
      <w:r w:rsidR="00CB0FDC" w:rsidRPr="00CB0FDC">
        <w:rPr>
          <w:b w:val="0"/>
        </w:rPr>
        <w:t xml:space="preserve"> for UFH.</w:t>
      </w:r>
      <w:r>
        <w:rPr>
          <w:b w:val="0"/>
        </w:rPr>
        <w:t xml:space="preserve"> </w:t>
      </w:r>
      <w:r w:rsidR="00CB0FDC" w:rsidRPr="00CB0FDC">
        <w:rPr>
          <w:b w:val="0"/>
        </w:rPr>
        <w:t>Patient samples were thawed at 37 °C in a water bath for 5 min and inverted for 5 min before testing on the anti-</w:t>
      </w:r>
      <w:proofErr w:type="spellStart"/>
      <w:r w:rsidR="00CB0FDC" w:rsidRPr="00CB0FDC">
        <w:rPr>
          <w:b w:val="0"/>
        </w:rPr>
        <w:t>FXa</w:t>
      </w:r>
      <w:proofErr w:type="spellEnd"/>
      <w:r w:rsidR="00CB0FDC" w:rsidRPr="00CB0FDC">
        <w:rPr>
          <w:b w:val="0"/>
        </w:rPr>
        <w:t xml:space="preserve"> microfluidic device. All measurements were carried out in triplicate.</w:t>
      </w:r>
    </w:p>
    <w:p w:rsidR="00771529" w:rsidRPr="00A61D3E" w:rsidRDefault="00771529" w:rsidP="00FC2F5F">
      <w:pPr>
        <w:pStyle w:val="RSCB04AHeadingSection"/>
        <w:spacing w:line="240" w:lineRule="exact"/>
      </w:pPr>
      <w:r>
        <w:lastRenderedPageBreak/>
        <w:t>Result</w:t>
      </w:r>
      <w:r w:rsidRPr="00A61D3E">
        <w:t>s</w:t>
      </w:r>
      <w:r>
        <w:t xml:space="preserve"> and Discussion</w:t>
      </w:r>
    </w:p>
    <w:p w:rsidR="00771529" w:rsidRDefault="00FC2F5F" w:rsidP="00FC2F5F">
      <w:pPr>
        <w:pStyle w:val="RSCB08CHeadingIn-line"/>
        <w:spacing w:line="240" w:lineRule="exact"/>
        <w:jc w:val="both"/>
      </w:pPr>
      <w:r w:rsidRPr="00FC2F5F">
        <w:t>Strip materials characterisation and selection</w:t>
      </w:r>
    </w:p>
    <w:p w:rsidR="00FC2F5F" w:rsidRDefault="00FC2F5F" w:rsidP="00FC2F5F">
      <w:pPr>
        <w:pStyle w:val="RSCB08CHeadingIn-line"/>
        <w:spacing w:line="240" w:lineRule="exact"/>
        <w:jc w:val="both"/>
        <w:rPr>
          <w:b w:val="0"/>
        </w:rPr>
      </w:pPr>
      <w:proofErr w:type="spellStart"/>
      <w:r w:rsidRPr="00FC2F5F">
        <w:rPr>
          <w:b w:val="0"/>
        </w:rPr>
        <w:t>Zeonor</w:t>
      </w:r>
      <w:proofErr w:type="spellEnd"/>
      <w:r w:rsidRPr="00FC2F5F">
        <w:rPr>
          <w:b w:val="0"/>
        </w:rPr>
        <w:t xml:space="preserve">® was selected as the polymer of choice for microfluidic chip development due to excellent optical characteristics for fluorescence measurements. A range of surface modifications were tested to render the hydrophobic </w:t>
      </w:r>
      <w:proofErr w:type="spellStart"/>
      <w:r w:rsidRPr="00FC2F5F">
        <w:rPr>
          <w:b w:val="0"/>
        </w:rPr>
        <w:t>Zeonor</w:t>
      </w:r>
      <w:proofErr w:type="spellEnd"/>
      <w:r w:rsidRPr="00FC2F5F">
        <w:rPr>
          <w:b w:val="0"/>
        </w:rPr>
        <w:t xml:space="preserve">® surface hydrophilic. This allowed for capillary fill of the microfluidic chip. A range of materials were tested in terms of </w:t>
      </w:r>
      <w:proofErr w:type="spellStart"/>
      <w:r w:rsidRPr="00FC2F5F">
        <w:rPr>
          <w:b w:val="0"/>
        </w:rPr>
        <w:t>autofluorescence</w:t>
      </w:r>
      <w:proofErr w:type="spellEnd"/>
      <w:r w:rsidRPr="00FC2F5F">
        <w:rPr>
          <w:b w:val="0"/>
        </w:rPr>
        <w:t>, capillary fill, and contact angle (Table 1).</w:t>
      </w:r>
    </w:p>
    <w:p w:rsidR="00FC2F5F" w:rsidRDefault="00FC2F5F" w:rsidP="00FC2F5F">
      <w:pPr>
        <w:pStyle w:val="RSCB08CHeadingIn-line"/>
        <w:spacing w:line="240" w:lineRule="exact"/>
        <w:jc w:val="both"/>
        <w:rPr>
          <w:b w:val="0"/>
        </w:rPr>
      </w:pPr>
    </w:p>
    <w:p w:rsidR="00FC2F5F" w:rsidRDefault="00FC2F5F" w:rsidP="001D411F">
      <w:pPr>
        <w:pStyle w:val="RSCB08CHeadingIn-line"/>
        <w:spacing w:line="240" w:lineRule="exact"/>
        <w:jc w:val="both"/>
        <w:rPr>
          <w:b w:val="0"/>
        </w:rPr>
      </w:pPr>
      <w:r w:rsidRPr="00FC2F5F">
        <w:rPr>
          <w:b w:val="0"/>
        </w:rPr>
        <w:t>Table 1: Comparison of commercial hydrophilic surfaces in terms of fluorescence, capillary fill, contact angle and the variability associated with each measurement parameter (n=3).</w:t>
      </w:r>
    </w:p>
    <w:p w:rsidR="00FC2F5F" w:rsidRDefault="007D0FC6" w:rsidP="001D411F">
      <w:pPr>
        <w:pStyle w:val="RSCB02ArticleText"/>
      </w:pPr>
      <w:r>
        <w:rPr>
          <w:noProof/>
          <w:lang w:val="en-IE" w:eastAsia="en-IE"/>
        </w:rPr>
        <w:drawing>
          <wp:anchor distT="0" distB="0" distL="114300" distR="114300" simplePos="0" relativeHeight="251654144" behindDoc="0" locked="0" layoutInCell="1" allowOverlap="1" wp14:anchorId="0558F5C7" wp14:editId="40D97A68">
            <wp:simplePos x="0" y="0"/>
            <wp:positionH relativeFrom="margin">
              <wp:posOffset>3304540</wp:posOffset>
            </wp:positionH>
            <wp:positionV relativeFrom="margin">
              <wp:posOffset>2156460</wp:posOffset>
            </wp:positionV>
            <wp:extent cx="3168015" cy="513080"/>
            <wp:effectExtent l="0" t="0" r="0" b="0"/>
            <wp:wrapSquare wrapText="bothSides"/>
            <wp:docPr id="2" name="Picture 2" descr="E:\Laptop Backups\Leanne Harris EXaCT\IP1_Papers\IntegratedDevice_Paper\Analytical Methods\Graphics\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aptop Backups\Leanne Harris EXaCT\IP1_Papers\IntegratedDevice_Paper\Analytical Methods\Graphics\Table 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015" cy="513080"/>
                    </a:xfrm>
                    <a:prstGeom prst="rect">
                      <a:avLst/>
                    </a:prstGeom>
                    <a:noFill/>
                    <a:ln>
                      <a:noFill/>
                    </a:ln>
                  </pic:spPr>
                </pic:pic>
              </a:graphicData>
            </a:graphic>
          </wp:anchor>
        </w:drawing>
      </w:r>
    </w:p>
    <w:p w:rsidR="00DB6B4C" w:rsidRDefault="00DB6B4C" w:rsidP="001D411F">
      <w:pPr>
        <w:pStyle w:val="RSCB02ArticleText"/>
      </w:pPr>
    </w:p>
    <w:p w:rsidR="00DB6B4C" w:rsidRPr="00DB6B4C" w:rsidRDefault="00C431F6" w:rsidP="001D411F">
      <w:pPr>
        <w:spacing w:line="240" w:lineRule="exact"/>
        <w:jc w:val="both"/>
        <w:rPr>
          <w:rFonts w:ascii="Myriad Pro" w:hAnsi="Myriad Pro" w:cs="Times New Roman"/>
          <w:i/>
          <w:w w:val="108"/>
          <w:szCs w:val="18"/>
          <w:vertAlign w:val="superscript"/>
        </w:rPr>
      </w:pPr>
      <w:r>
        <w:rPr>
          <w:rFonts w:ascii="Myriad Pro" w:hAnsi="Myriad Pro" w:cs="Times New Roman"/>
          <w:i/>
          <w:w w:val="108"/>
          <w:szCs w:val="18"/>
          <w:vertAlign w:val="superscript"/>
        </w:rPr>
        <w:pict>
          <v:rect id="_x0000_i1026" style="width:248.7pt;height:1.5pt" o:hrstd="t" o:hrnoshade="t" o:hr="t" fillcolor="#a0a0a0" stroked="f"/>
        </w:pict>
      </w:r>
    </w:p>
    <w:p w:rsidR="001D411F" w:rsidRDefault="00FC2F5F" w:rsidP="001D411F">
      <w:pPr>
        <w:spacing w:line="240" w:lineRule="exact"/>
        <w:jc w:val="both"/>
        <w:rPr>
          <w:sz w:val="18"/>
          <w:szCs w:val="18"/>
        </w:rPr>
      </w:pPr>
      <w:r w:rsidRPr="001D411F">
        <w:rPr>
          <w:sz w:val="18"/>
          <w:szCs w:val="18"/>
        </w:rPr>
        <w:t xml:space="preserve">The HY10 treatment was not selected owing to its significant contribution to background fluorescence (640.9 AU ± 2.3). Fluorescence readings from the IBIDI </w:t>
      </w:r>
      <w:proofErr w:type="spellStart"/>
      <w:r w:rsidRPr="001D411F">
        <w:rPr>
          <w:sz w:val="18"/>
          <w:szCs w:val="18"/>
        </w:rPr>
        <w:t>Zeonor</w:t>
      </w:r>
      <w:proofErr w:type="spellEnd"/>
      <w:r w:rsidRPr="001D411F">
        <w:rPr>
          <w:sz w:val="18"/>
          <w:szCs w:val="18"/>
        </w:rPr>
        <w:t xml:space="preserve">® and the </w:t>
      </w:r>
      <w:proofErr w:type="spellStart"/>
      <w:r w:rsidRPr="001D411F">
        <w:rPr>
          <w:sz w:val="18"/>
          <w:szCs w:val="18"/>
        </w:rPr>
        <w:t>Hydromer</w:t>
      </w:r>
      <w:proofErr w:type="spellEnd"/>
      <w:r w:rsidRPr="001D411F">
        <w:rPr>
          <w:sz w:val="18"/>
          <w:szCs w:val="18"/>
        </w:rPr>
        <w:t xml:space="preserve"> </w:t>
      </w:r>
      <w:proofErr w:type="spellStart"/>
      <w:r w:rsidRPr="001D411F">
        <w:rPr>
          <w:sz w:val="18"/>
          <w:szCs w:val="18"/>
        </w:rPr>
        <w:t>Zeonor</w:t>
      </w:r>
      <w:proofErr w:type="spellEnd"/>
      <w:r w:rsidRPr="001D411F">
        <w:rPr>
          <w:sz w:val="18"/>
          <w:szCs w:val="18"/>
        </w:rPr>
        <w:t xml:space="preserve">® were comparable, but the wettability of the IBIDI treatment was poor by comparison with contact angles of 63.4º ± 2.8. As a result the </w:t>
      </w:r>
      <w:proofErr w:type="spellStart"/>
      <w:r w:rsidRPr="001D411F">
        <w:rPr>
          <w:sz w:val="18"/>
          <w:szCs w:val="18"/>
        </w:rPr>
        <w:t>Hydromer</w:t>
      </w:r>
      <w:proofErr w:type="spellEnd"/>
      <w:r w:rsidRPr="001D411F">
        <w:rPr>
          <w:sz w:val="18"/>
          <w:szCs w:val="18"/>
        </w:rPr>
        <w:t xml:space="preserve"> treated </w:t>
      </w:r>
      <w:proofErr w:type="spellStart"/>
      <w:r w:rsidRPr="001D411F">
        <w:rPr>
          <w:sz w:val="18"/>
          <w:szCs w:val="18"/>
        </w:rPr>
        <w:t>Zeonor</w:t>
      </w:r>
      <w:proofErr w:type="spellEnd"/>
      <w:r w:rsidRPr="001D411F">
        <w:rPr>
          <w:sz w:val="18"/>
          <w:szCs w:val="18"/>
        </w:rPr>
        <w:t xml:space="preserve">® was selected with a low </w:t>
      </w:r>
      <w:proofErr w:type="spellStart"/>
      <w:r w:rsidRPr="001D411F">
        <w:rPr>
          <w:sz w:val="18"/>
          <w:szCs w:val="18"/>
        </w:rPr>
        <w:t>autofluorescence</w:t>
      </w:r>
      <w:proofErr w:type="spellEnd"/>
      <w:r w:rsidRPr="001D411F">
        <w:rPr>
          <w:sz w:val="18"/>
          <w:szCs w:val="18"/>
        </w:rPr>
        <w:t xml:space="preserve"> (208.5 AU) in the UV spectrum, low contact angles (17.5º ± 0.9) and capillary fill times of 20.3s ± 2.1.</w:t>
      </w:r>
    </w:p>
    <w:p w:rsidR="00FC2F5F" w:rsidRPr="001D411F" w:rsidRDefault="00FC2F5F" w:rsidP="001D411F">
      <w:pPr>
        <w:spacing w:line="240" w:lineRule="exact"/>
        <w:jc w:val="both"/>
        <w:rPr>
          <w:sz w:val="18"/>
          <w:szCs w:val="18"/>
        </w:rPr>
      </w:pPr>
      <w:r w:rsidRPr="001D411F">
        <w:rPr>
          <w:sz w:val="18"/>
          <w:szCs w:val="18"/>
        </w:rPr>
        <w:t xml:space="preserve">A hybrid microfluidic device was developed by combining unmodified </w:t>
      </w:r>
      <w:proofErr w:type="spellStart"/>
      <w:r w:rsidRPr="001D411F">
        <w:rPr>
          <w:sz w:val="18"/>
          <w:szCs w:val="18"/>
        </w:rPr>
        <w:t>Zeonor</w:t>
      </w:r>
      <w:proofErr w:type="spellEnd"/>
      <w:r w:rsidRPr="001D411F">
        <w:rPr>
          <w:sz w:val="18"/>
          <w:szCs w:val="18"/>
        </w:rPr>
        <w:t xml:space="preserve">® with </w:t>
      </w:r>
      <w:proofErr w:type="spellStart"/>
      <w:r w:rsidRPr="001D411F">
        <w:rPr>
          <w:sz w:val="18"/>
          <w:szCs w:val="18"/>
        </w:rPr>
        <w:t>Hydromer</w:t>
      </w:r>
      <w:proofErr w:type="spellEnd"/>
      <w:r w:rsidRPr="001D411F">
        <w:rPr>
          <w:sz w:val="18"/>
          <w:szCs w:val="18"/>
        </w:rPr>
        <w:t xml:space="preserve">-coated </w:t>
      </w:r>
      <w:proofErr w:type="spellStart"/>
      <w:r w:rsidRPr="001D411F">
        <w:rPr>
          <w:sz w:val="18"/>
          <w:szCs w:val="18"/>
        </w:rPr>
        <w:t>Zeonor</w:t>
      </w:r>
      <w:proofErr w:type="spellEnd"/>
      <w:r w:rsidRPr="001D411F">
        <w:rPr>
          <w:sz w:val="18"/>
          <w:szCs w:val="18"/>
        </w:rPr>
        <w:t xml:space="preserve">®. This allowed for deposition of reagent onto the hydrophobic film, while the hydrophilic film served to induce capillary fill. The final assay configuration was a three layer laminate chip comprising a 188 µm thick hydrophilic base, a 50 µm PSA spacer with a channel, into which the conjugate pad was inserted and a 188 µm thick hydrophobic </w:t>
      </w:r>
      <w:proofErr w:type="spellStart"/>
      <w:r w:rsidRPr="001D411F">
        <w:rPr>
          <w:sz w:val="18"/>
          <w:szCs w:val="18"/>
        </w:rPr>
        <w:t>Zeonor</w:t>
      </w:r>
      <w:proofErr w:type="spellEnd"/>
      <w:r w:rsidRPr="001D411F">
        <w:rPr>
          <w:sz w:val="18"/>
          <w:szCs w:val="18"/>
        </w:rPr>
        <w:t>® lid.</w:t>
      </w:r>
    </w:p>
    <w:p w:rsidR="00FC2F5F" w:rsidRDefault="00FC2F5F" w:rsidP="00FC2F5F">
      <w:pPr>
        <w:pStyle w:val="RSCB08CHeadingIn-line"/>
        <w:spacing w:line="240" w:lineRule="exact"/>
        <w:jc w:val="both"/>
      </w:pPr>
      <w:r>
        <w:t>Assay Optimisation and Development</w:t>
      </w:r>
    </w:p>
    <w:p w:rsidR="00DB6B4C" w:rsidRDefault="00DB6B4C" w:rsidP="00FC2F5F">
      <w:pPr>
        <w:pStyle w:val="RSCB08CHeadingIn-line"/>
        <w:spacing w:line="240" w:lineRule="exact"/>
        <w:jc w:val="both"/>
      </w:pPr>
    </w:p>
    <w:p w:rsidR="00FC2F5F" w:rsidRDefault="00FC2F5F" w:rsidP="00FC2F5F">
      <w:pPr>
        <w:pStyle w:val="RSCB08CHeadingIn-line"/>
        <w:spacing w:line="240" w:lineRule="exact"/>
        <w:jc w:val="both"/>
        <w:rPr>
          <w:b w:val="0"/>
        </w:rPr>
      </w:pPr>
      <w:r w:rsidRPr="00FC2F5F">
        <w:rPr>
          <w:b w:val="0"/>
        </w:rPr>
        <w:t xml:space="preserve">For the microfluidic chip developed, </w:t>
      </w:r>
      <w:proofErr w:type="spellStart"/>
      <w:r w:rsidRPr="00FC2F5F">
        <w:rPr>
          <w:b w:val="0"/>
        </w:rPr>
        <w:t>FXa</w:t>
      </w:r>
      <w:proofErr w:type="spellEnd"/>
      <w:r w:rsidRPr="00FC2F5F">
        <w:rPr>
          <w:b w:val="0"/>
        </w:rPr>
        <w:t xml:space="preserve"> and </w:t>
      </w:r>
      <w:proofErr w:type="spellStart"/>
      <w:r w:rsidRPr="00FC2F5F">
        <w:rPr>
          <w:b w:val="0"/>
        </w:rPr>
        <w:t>Pefafluor</w:t>
      </w:r>
      <w:proofErr w:type="spellEnd"/>
      <w:r w:rsidRPr="00FC2F5F">
        <w:rPr>
          <w:b w:val="0"/>
        </w:rPr>
        <w:t xml:space="preserve"> </w:t>
      </w:r>
      <w:proofErr w:type="spellStart"/>
      <w:r w:rsidRPr="00FC2F5F">
        <w:rPr>
          <w:b w:val="0"/>
        </w:rPr>
        <w:t>FXa</w:t>
      </w:r>
      <w:proofErr w:type="spellEnd"/>
      <w:r w:rsidRPr="00FC2F5F">
        <w:rPr>
          <w:b w:val="0"/>
        </w:rPr>
        <w:t xml:space="preserve">™ fluorogenic substrate were titrated within the range of 560-760 </w:t>
      </w:r>
      <w:proofErr w:type="spellStart"/>
      <w:r w:rsidRPr="00FC2F5F">
        <w:rPr>
          <w:b w:val="0"/>
        </w:rPr>
        <w:t>nM</w:t>
      </w:r>
      <w:proofErr w:type="spellEnd"/>
      <w:r w:rsidRPr="00FC2F5F">
        <w:rPr>
          <w:b w:val="0"/>
        </w:rPr>
        <w:t xml:space="preserve"> and</w:t>
      </w:r>
      <w:r w:rsidR="00661111">
        <w:rPr>
          <w:b w:val="0"/>
        </w:rPr>
        <w:t xml:space="preserve"> 100-400 µM respectively. Fig.</w:t>
      </w:r>
      <w:r w:rsidRPr="00FC2F5F">
        <w:rPr>
          <w:b w:val="0"/>
        </w:rPr>
        <w:t xml:space="preserve"> 3 (a) shows the typical fluorescence profiles of a fixed concentration of 600nM </w:t>
      </w:r>
      <w:proofErr w:type="spellStart"/>
      <w:r w:rsidRPr="00FC2F5F">
        <w:rPr>
          <w:b w:val="0"/>
        </w:rPr>
        <w:t>FXa</w:t>
      </w:r>
      <w:proofErr w:type="spellEnd"/>
      <w:r w:rsidRPr="00FC2F5F">
        <w:rPr>
          <w:b w:val="0"/>
        </w:rPr>
        <w:t xml:space="preserve"> to varying concentrations of </w:t>
      </w:r>
      <w:proofErr w:type="spellStart"/>
      <w:r w:rsidRPr="00FC2F5F">
        <w:rPr>
          <w:b w:val="0"/>
        </w:rPr>
        <w:t>Pef</w:t>
      </w:r>
      <w:r w:rsidR="00661111">
        <w:rPr>
          <w:b w:val="0"/>
        </w:rPr>
        <w:t>afluor</w:t>
      </w:r>
      <w:proofErr w:type="spellEnd"/>
      <w:r w:rsidR="00661111">
        <w:rPr>
          <w:b w:val="0"/>
        </w:rPr>
        <w:t xml:space="preserve">™ </w:t>
      </w:r>
      <w:proofErr w:type="spellStart"/>
      <w:r w:rsidR="00661111">
        <w:rPr>
          <w:b w:val="0"/>
        </w:rPr>
        <w:t>FXa</w:t>
      </w:r>
      <w:proofErr w:type="spellEnd"/>
      <w:r w:rsidR="00661111">
        <w:rPr>
          <w:b w:val="0"/>
        </w:rPr>
        <w:t xml:space="preserve"> substrate and Fig.</w:t>
      </w:r>
      <w:r w:rsidRPr="00FC2F5F">
        <w:rPr>
          <w:b w:val="0"/>
        </w:rPr>
        <w:t xml:space="preserve"> 3 (b) shows the fluorescence responses at 60 s for 560-700 </w:t>
      </w:r>
      <w:proofErr w:type="spellStart"/>
      <w:r w:rsidRPr="00FC2F5F">
        <w:rPr>
          <w:b w:val="0"/>
        </w:rPr>
        <w:t>nM</w:t>
      </w:r>
      <w:proofErr w:type="spellEnd"/>
      <w:r w:rsidRPr="00FC2F5F">
        <w:rPr>
          <w:b w:val="0"/>
        </w:rPr>
        <w:t xml:space="preserve"> </w:t>
      </w:r>
      <w:proofErr w:type="spellStart"/>
      <w:r w:rsidRPr="00FC2F5F">
        <w:rPr>
          <w:b w:val="0"/>
        </w:rPr>
        <w:t>FXa</w:t>
      </w:r>
      <w:proofErr w:type="spellEnd"/>
      <w:r w:rsidRPr="00FC2F5F">
        <w:rPr>
          <w:b w:val="0"/>
        </w:rPr>
        <w:t xml:space="preserve"> and a fixed concentration of 300 µM </w:t>
      </w:r>
      <w:proofErr w:type="spellStart"/>
      <w:r w:rsidRPr="00FC2F5F">
        <w:rPr>
          <w:b w:val="0"/>
        </w:rPr>
        <w:t>Pefafluor</w:t>
      </w:r>
      <w:proofErr w:type="spellEnd"/>
      <w:r w:rsidRPr="00FC2F5F">
        <w:rPr>
          <w:b w:val="0"/>
        </w:rPr>
        <w:t xml:space="preserve">™ </w:t>
      </w:r>
      <w:proofErr w:type="spellStart"/>
      <w:r w:rsidRPr="00FC2F5F">
        <w:rPr>
          <w:b w:val="0"/>
        </w:rPr>
        <w:t>FXa</w:t>
      </w:r>
      <w:proofErr w:type="spellEnd"/>
      <w:r w:rsidRPr="00FC2F5F">
        <w:rPr>
          <w:b w:val="0"/>
        </w:rPr>
        <w:t xml:space="preserve"> in plasma at concentrations of 0, 0.5 and 1 U</w:t>
      </w:r>
      <w:r w:rsidR="00A7606E">
        <w:rPr>
          <w:b w:val="0"/>
        </w:rPr>
        <w:t>/mL</w:t>
      </w:r>
      <w:r w:rsidRPr="00FC2F5F">
        <w:rPr>
          <w:b w:val="0"/>
        </w:rPr>
        <w:t xml:space="preserve"> UFH. The optimal fluorogenic substrate concentration was selected at a concentration that did not limit the conversion of the substrate to product</w:t>
      </w:r>
      <w:r w:rsidR="00421222">
        <w:rPr>
          <w:b w:val="0"/>
        </w:rPr>
        <w:t xml:space="preserve">, which was 660nM returning an </w:t>
      </w:r>
      <w:r w:rsidR="00421222">
        <w:rPr>
          <w:b w:val="0"/>
        </w:rPr>
        <w:t>R</w:t>
      </w:r>
      <w:r w:rsidR="00421222" w:rsidRPr="00421222">
        <w:rPr>
          <w:b w:val="0"/>
          <w:vertAlign w:val="superscript"/>
        </w:rPr>
        <w:t>2</w:t>
      </w:r>
      <w:r w:rsidR="00421222">
        <w:rPr>
          <w:b w:val="0"/>
        </w:rPr>
        <w:t xml:space="preserve"> of 0.98.</w:t>
      </w:r>
    </w:p>
    <w:p w:rsidR="00B07930" w:rsidRDefault="00B07930" w:rsidP="00FC2F5F">
      <w:pPr>
        <w:pStyle w:val="RSCB08CHeadingIn-line"/>
        <w:spacing w:line="240" w:lineRule="exact"/>
        <w:jc w:val="both"/>
        <w:rPr>
          <w:b w:val="0"/>
        </w:rPr>
      </w:pPr>
    </w:p>
    <w:p w:rsidR="00FC2F5F" w:rsidRDefault="00FC2F5F" w:rsidP="00FC2F5F">
      <w:pPr>
        <w:pStyle w:val="RSCB08CHeadingIn-line"/>
        <w:spacing w:line="240" w:lineRule="exact"/>
        <w:jc w:val="both"/>
        <w:rPr>
          <w:b w:val="0"/>
        </w:rPr>
      </w:pPr>
    </w:p>
    <w:p w:rsidR="00FC2F5F" w:rsidRDefault="00FC2F5F" w:rsidP="00FC2F5F">
      <w:pPr>
        <w:pStyle w:val="RSCB08CHeadingIn-line"/>
        <w:spacing w:line="240" w:lineRule="exact"/>
        <w:jc w:val="both"/>
        <w:rPr>
          <w:b w:val="0"/>
        </w:rPr>
      </w:pPr>
    </w:p>
    <w:p w:rsidR="00FC2F5F" w:rsidRPr="00FC2F5F" w:rsidRDefault="00FC2F5F" w:rsidP="00FC2F5F">
      <w:pPr>
        <w:pStyle w:val="RSCB08CHeadingIn-line"/>
        <w:spacing w:line="240" w:lineRule="exact"/>
        <w:jc w:val="both"/>
        <w:rPr>
          <w:b w:val="0"/>
        </w:rPr>
      </w:pPr>
    </w:p>
    <w:p w:rsidR="00FC2F5F" w:rsidRDefault="00FC2F5F" w:rsidP="00FC2F5F">
      <w:pPr>
        <w:pStyle w:val="RSCB08CHeadingIn-line"/>
        <w:spacing w:line="240" w:lineRule="exact"/>
        <w:jc w:val="both"/>
      </w:pPr>
    </w:p>
    <w:p w:rsidR="00FC2F5F" w:rsidRDefault="00FC2F5F" w:rsidP="00FC2F5F">
      <w:pPr>
        <w:pStyle w:val="RSCB08CHeadingIn-line"/>
        <w:spacing w:line="240" w:lineRule="exact"/>
        <w:jc w:val="both"/>
      </w:pPr>
    </w:p>
    <w:p w:rsidR="00FC2F5F" w:rsidRDefault="009F52C8" w:rsidP="00FC2F5F">
      <w:pPr>
        <w:pStyle w:val="RSCB08CHeadingIn-line"/>
        <w:spacing w:line="240" w:lineRule="exact"/>
        <w:jc w:val="both"/>
        <w:rPr>
          <w:b w:val="0"/>
        </w:rPr>
      </w:pPr>
      <w:r>
        <w:rPr>
          <w:noProof/>
          <w:lang w:val="en-IE" w:eastAsia="en-IE"/>
        </w:rPr>
        <w:drawing>
          <wp:anchor distT="0" distB="0" distL="114300" distR="114300" simplePos="0" relativeHeight="251666432" behindDoc="0" locked="0" layoutInCell="1" allowOverlap="1" wp14:anchorId="04686B26" wp14:editId="34E342EF">
            <wp:simplePos x="0" y="0"/>
            <wp:positionH relativeFrom="margin">
              <wp:posOffset>8255</wp:posOffset>
            </wp:positionH>
            <wp:positionV relativeFrom="margin">
              <wp:posOffset>2085975</wp:posOffset>
            </wp:positionV>
            <wp:extent cx="3093720" cy="2133600"/>
            <wp:effectExtent l="0" t="0" r="0" b="0"/>
            <wp:wrapSquare wrapText="bothSides"/>
            <wp:docPr id="5" name="Picture 5" descr="C:\Users\Leanne\Desktop\DCU_Files\Leanne Harris EXaCT\IP1_Papers\IntegratedDevice_Paper\Analytical Methods\Graphics\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Leanne\Desktop\DCU_Files\Leanne Harris EXaCT\IP1_Papers\IntegratedDevice_Paper\Analytical Methods\Graphics\Fig. 3b.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94">
        <w:rPr>
          <w:b w:val="0"/>
          <w:noProof/>
          <w:lang w:val="en-IE" w:eastAsia="en-IE"/>
        </w:rPr>
        <w:drawing>
          <wp:anchor distT="0" distB="0" distL="114300" distR="114300" simplePos="0" relativeHeight="251665408" behindDoc="0" locked="0" layoutInCell="1" allowOverlap="1" wp14:anchorId="00FAFBAF" wp14:editId="3796172E">
            <wp:simplePos x="541020" y="-891540"/>
            <wp:positionH relativeFrom="margin">
              <wp:align>left</wp:align>
            </wp:positionH>
            <wp:positionV relativeFrom="margin">
              <wp:align>top</wp:align>
            </wp:positionV>
            <wp:extent cx="3489960" cy="2011680"/>
            <wp:effectExtent l="0" t="0" r="0" b="0"/>
            <wp:wrapSquare wrapText="bothSides"/>
            <wp:docPr id="1" name="Picture 1" descr="C:\Users\Leanne\Desktop\DCU_Files\Leanne Harris EXaCT\IP1_Papers\IntegratedDevice_Paper\Analytical Methods\Graphics\Fig.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Leanne\Desktop\DCU_Files\Leanne Harris EXaCT\IP1_Papers\IntegratedDevice_Paper\Analytical Methods\Graphics\Fig. 3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5468" cy="2014855"/>
                    </a:xfrm>
                    <a:prstGeom prst="rect">
                      <a:avLst/>
                    </a:prstGeom>
                    <a:noFill/>
                    <a:ln>
                      <a:noFill/>
                    </a:ln>
                  </pic:spPr>
                </pic:pic>
              </a:graphicData>
            </a:graphic>
            <wp14:sizeRelH relativeFrom="margin">
              <wp14:pctWidth>0</wp14:pctWidth>
            </wp14:sizeRelH>
          </wp:anchor>
        </w:drawing>
      </w:r>
      <w:proofErr w:type="gramStart"/>
      <w:r w:rsidR="00B07930">
        <w:rPr>
          <w:b w:val="0"/>
        </w:rPr>
        <w:t>Fig.</w:t>
      </w:r>
      <w:r w:rsidR="00FC2F5F">
        <w:rPr>
          <w:b w:val="0"/>
        </w:rPr>
        <w:t xml:space="preserve"> 3.</w:t>
      </w:r>
      <w:proofErr w:type="gramEnd"/>
      <w:r w:rsidR="00256235">
        <w:rPr>
          <w:b w:val="0"/>
        </w:rPr>
        <w:t xml:space="preserve"> </w:t>
      </w:r>
      <w:r w:rsidR="00256235" w:rsidRPr="00FC2F5F">
        <w:rPr>
          <w:b w:val="0"/>
        </w:rPr>
        <w:t>(a) Typical profiles of the anti-</w:t>
      </w:r>
      <w:proofErr w:type="spellStart"/>
      <w:r w:rsidR="00256235" w:rsidRPr="00FC2F5F">
        <w:rPr>
          <w:b w:val="0"/>
        </w:rPr>
        <w:t>Xa</w:t>
      </w:r>
      <w:proofErr w:type="spellEnd"/>
      <w:r w:rsidR="00256235" w:rsidRPr="00FC2F5F">
        <w:rPr>
          <w:b w:val="0"/>
        </w:rPr>
        <w:t xml:space="preserve"> assay at a fixed concentration of 660 </w:t>
      </w:r>
      <w:proofErr w:type="spellStart"/>
      <w:r w:rsidR="00256235" w:rsidRPr="00FC2F5F">
        <w:rPr>
          <w:b w:val="0"/>
        </w:rPr>
        <w:t>nM</w:t>
      </w:r>
      <w:proofErr w:type="spellEnd"/>
      <w:r w:rsidR="00256235" w:rsidRPr="00FC2F5F">
        <w:rPr>
          <w:b w:val="0"/>
        </w:rPr>
        <w:t xml:space="preserve"> </w:t>
      </w:r>
      <w:proofErr w:type="spellStart"/>
      <w:r w:rsidR="00256235" w:rsidRPr="00FC2F5F">
        <w:rPr>
          <w:b w:val="0"/>
        </w:rPr>
        <w:t>FXa</w:t>
      </w:r>
      <w:proofErr w:type="spellEnd"/>
      <w:r w:rsidR="00256235" w:rsidRPr="00FC2F5F">
        <w:rPr>
          <w:b w:val="0"/>
        </w:rPr>
        <w:t xml:space="preserve"> and varying c</w:t>
      </w:r>
      <w:r w:rsidR="00256235">
        <w:rPr>
          <w:b w:val="0"/>
        </w:rPr>
        <w:t xml:space="preserve">oncentrations of </w:t>
      </w:r>
      <w:proofErr w:type="spellStart"/>
      <w:r w:rsidR="00256235">
        <w:rPr>
          <w:b w:val="0"/>
        </w:rPr>
        <w:t>Pefafluor</w:t>
      </w:r>
      <w:proofErr w:type="spellEnd"/>
      <w:r w:rsidR="00256235">
        <w:rPr>
          <w:b w:val="0"/>
        </w:rPr>
        <w:t xml:space="preserve">™ </w:t>
      </w:r>
      <w:proofErr w:type="spellStart"/>
      <w:r w:rsidR="00256235">
        <w:rPr>
          <w:b w:val="0"/>
        </w:rPr>
        <w:t>FXa</w:t>
      </w:r>
      <w:proofErr w:type="spellEnd"/>
      <w:r w:rsidR="00256235">
        <w:rPr>
          <w:b w:val="0"/>
        </w:rPr>
        <w:t>.</w:t>
      </w:r>
      <w:r w:rsidR="00FC2F5F" w:rsidRPr="00FC2F5F">
        <w:rPr>
          <w:b w:val="0"/>
        </w:rPr>
        <w:t xml:space="preserve"> (b) Fluorescence responses at 30 s for a range of </w:t>
      </w:r>
      <w:proofErr w:type="spellStart"/>
      <w:r w:rsidR="00FC2F5F" w:rsidRPr="00FC2F5F">
        <w:rPr>
          <w:b w:val="0"/>
        </w:rPr>
        <w:t>FXa</w:t>
      </w:r>
      <w:proofErr w:type="spellEnd"/>
      <w:r w:rsidR="00FC2F5F" w:rsidRPr="00FC2F5F">
        <w:rPr>
          <w:b w:val="0"/>
        </w:rPr>
        <w:t xml:space="preserve"> concentrations and a fixed concentration of 300 µM </w:t>
      </w:r>
      <w:proofErr w:type="spellStart"/>
      <w:r w:rsidR="00FC2F5F" w:rsidRPr="00FC2F5F">
        <w:rPr>
          <w:b w:val="0"/>
        </w:rPr>
        <w:t>Pefafluor</w:t>
      </w:r>
      <w:proofErr w:type="spellEnd"/>
      <w:r w:rsidR="00FC2F5F" w:rsidRPr="00FC2F5F">
        <w:rPr>
          <w:b w:val="0"/>
        </w:rPr>
        <w:t xml:space="preserve">™ </w:t>
      </w:r>
      <w:proofErr w:type="spellStart"/>
      <w:r w:rsidR="00FC2F5F" w:rsidRPr="00FC2F5F">
        <w:rPr>
          <w:b w:val="0"/>
        </w:rPr>
        <w:t>FXa</w:t>
      </w:r>
      <w:proofErr w:type="spellEnd"/>
      <w:r w:rsidR="00FC2F5F" w:rsidRPr="00FC2F5F">
        <w:rPr>
          <w:b w:val="0"/>
        </w:rPr>
        <w:t xml:space="preserve"> at 0, 0.5, and 1 U</w:t>
      </w:r>
      <w:r w:rsidR="00A7606E">
        <w:rPr>
          <w:b w:val="0"/>
        </w:rPr>
        <w:t>/mL</w:t>
      </w:r>
      <w:r w:rsidR="00FC2F5F" w:rsidRPr="00FC2F5F">
        <w:rPr>
          <w:b w:val="0"/>
        </w:rPr>
        <w:t xml:space="preserve"> UFH (n=3).</w:t>
      </w:r>
      <w:r w:rsidR="00256235" w:rsidRPr="00256235">
        <w:rPr>
          <w:rFonts w:ascii="Myriad Pro" w:hAnsi="Myriad Pro" w:cs="Times New Roman"/>
          <w:b w:val="0"/>
          <w:i/>
          <w:w w:val="108"/>
          <w:szCs w:val="18"/>
          <w:vertAlign w:val="superscript"/>
        </w:rPr>
        <w:t xml:space="preserve"> </w:t>
      </w:r>
    </w:p>
    <w:p w:rsidR="00256235" w:rsidRDefault="00256235" w:rsidP="00FC2F5F">
      <w:pPr>
        <w:pStyle w:val="RSCB08CHeadingIn-line"/>
        <w:spacing w:line="240" w:lineRule="exact"/>
        <w:jc w:val="both"/>
        <w:rPr>
          <w:b w:val="0"/>
        </w:rPr>
      </w:pPr>
    </w:p>
    <w:p w:rsidR="00FC2F5F" w:rsidRPr="00FC2F5F" w:rsidRDefault="00C431F6" w:rsidP="00FC2F5F">
      <w:pPr>
        <w:pStyle w:val="RSCB08CHeadingIn-line"/>
        <w:spacing w:line="240" w:lineRule="exact"/>
        <w:jc w:val="both"/>
        <w:rPr>
          <w:b w:val="0"/>
        </w:rPr>
      </w:pPr>
      <w:r>
        <w:rPr>
          <w:rFonts w:ascii="Myriad Pro" w:hAnsi="Myriad Pro" w:cs="Times New Roman"/>
          <w:b w:val="0"/>
          <w:i/>
          <w:w w:val="108"/>
          <w:szCs w:val="18"/>
          <w:vertAlign w:val="superscript"/>
        </w:rPr>
        <w:pict>
          <v:rect id="_x0000_i1027" style="width:248.7pt;height:1.5pt" o:hrstd="t" o:hrnoshade="t" o:hr="t" fillcolor="#a0a0a0" stroked="f"/>
        </w:pict>
      </w:r>
    </w:p>
    <w:p w:rsidR="00B07930" w:rsidRDefault="00FC2F5F" w:rsidP="00B07930">
      <w:pPr>
        <w:pStyle w:val="RSCB08CHeadingIn-line"/>
        <w:spacing w:line="240" w:lineRule="exact"/>
        <w:jc w:val="both"/>
        <w:rPr>
          <w:b w:val="0"/>
        </w:rPr>
      </w:pPr>
      <w:r w:rsidRPr="00FC2F5F">
        <w:rPr>
          <w:b w:val="0"/>
        </w:rPr>
        <w:t xml:space="preserve">To select the optimal </w:t>
      </w:r>
      <w:proofErr w:type="spellStart"/>
      <w:r w:rsidRPr="00FC2F5F">
        <w:rPr>
          <w:b w:val="0"/>
        </w:rPr>
        <w:t>FXa</w:t>
      </w:r>
      <w:proofErr w:type="spellEnd"/>
      <w:r w:rsidRPr="00FC2F5F">
        <w:rPr>
          <w:b w:val="0"/>
        </w:rPr>
        <w:t xml:space="preserve"> concentration, the effect of heparin was analyzed u</w:t>
      </w:r>
      <w:r w:rsidR="00B07930">
        <w:rPr>
          <w:b w:val="0"/>
        </w:rPr>
        <w:t>sing regression analysis (Fig.</w:t>
      </w:r>
      <w:r w:rsidRPr="00FC2F5F">
        <w:rPr>
          <w:b w:val="0"/>
        </w:rPr>
        <w:t xml:space="preserve"> 4). The optimal concentration of </w:t>
      </w:r>
      <w:proofErr w:type="spellStart"/>
      <w:r w:rsidRPr="00FC2F5F">
        <w:rPr>
          <w:b w:val="0"/>
        </w:rPr>
        <w:t>FXa</w:t>
      </w:r>
      <w:proofErr w:type="spellEnd"/>
      <w:r w:rsidRPr="00FC2F5F">
        <w:rPr>
          <w:b w:val="0"/>
        </w:rPr>
        <w:t xml:space="preserve"> was selected that resulted in a wider signal range than other concentrations, small error and an R</w:t>
      </w:r>
      <w:r w:rsidRPr="00B07930">
        <w:rPr>
          <w:b w:val="0"/>
          <w:vertAlign w:val="superscript"/>
        </w:rPr>
        <w:t>2</w:t>
      </w:r>
      <w:r w:rsidRPr="00FC2F5F">
        <w:rPr>
          <w:b w:val="0"/>
        </w:rPr>
        <w:t xml:space="preserve"> value close to 0.99. The optimal concentrations were selected as 300 µM </w:t>
      </w:r>
      <w:proofErr w:type="spellStart"/>
      <w:r w:rsidRPr="00FC2F5F">
        <w:rPr>
          <w:b w:val="0"/>
        </w:rPr>
        <w:t>Pefafluor</w:t>
      </w:r>
      <w:proofErr w:type="spellEnd"/>
      <w:r w:rsidRPr="00FC2F5F">
        <w:rPr>
          <w:b w:val="0"/>
        </w:rPr>
        <w:t xml:space="preserve">™ </w:t>
      </w:r>
      <w:proofErr w:type="spellStart"/>
      <w:r w:rsidRPr="00FC2F5F">
        <w:rPr>
          <w:b w:val="0"/>
        </w:rPr>
        <w:t>FXa</w:t>
      </w:r>
      <w:proofErr w:type="spellEnd"/>
      <w:r w:rsidRPr="00FC2F5F">
        <w:rPr>
          <w:b w:val="0"/>
        </w:rPr>
        <w:t xml:space="preserve"> substrate and 660 </w:t>
      </w:r>
      <w:proofErr w:type="spellStart"/>
      <w:r w:rsidRPr="00FC2F5F">
        <w:rPr>
          <w:b w:val="0"/>
        </w:rPr>
        <w:t>nM</w:t>
      </w:r>
      <w:proofErr w:type="spellEnd"/>
      <w:r w:rsidRPr="00FC2F5F">
        <w:rPr>
          <w:b w:val="0"/>
        </w:rPr>
        <w:t xml:space="preserve"> </w:t>
      </w:r>
      <w:proofErr w:type="spellStart"/>
      <w:r w:rsidRPr="00FC2F5F">
        <w:rPr>
          <w:b w:val="0"/>
        </w:rPr>
        <w:t>FXa</w:t>
      </w:r>
      <w:proofErr w:type="spellEnd"/>
      <w:r w:rsidRPr="00FC2F5F">
        <w:rPr>
          <w:b w:val="0"/>
        </w:rPr>
        <w:t xml:space="preserve"> for the final assay deve</w:t>
      </w:r>
      <w:r w:rsidR="00B07930">
        <w:rPr>
          <w:b w:val="0"/>
        </w:rPr>
        <w:t>lopment of the UFH assay (Fig.</w:t>
      </w:r>
      <w:r w:rsidRPr="00FC2F5F">
        <w:rPr>
          <w:b w:val="0"/>
        </w:rPr>
        <w:t xml:space="preserve"> 4a). The </w:t>
      </w:r>
      <w:proofErr w:type="spellStart"/>
      <w:r w:rsidRPr="00FC2F5F">
        <w:rPr>
          <w:b w:val="0"/>
        </w:rPr>
        <w:t>FXa</w:t>
      </w:r>
      <w:proofErr w:type="spellEnd"/>
      <w:r w:rsidRPr="00FC2F5F">
        <w:rPr>
          <w:b w:val="0"/>
        </w:rPr>
        <w:t xml:space="preserve"> and </w:t>
      </w:r>
      <w:proofErr w:type="spellStart"/>
      <w:r w:rsidRPr="00FC2F5F">
        <w:rPr>
          <w:b w:val="0"/>
        </w:rPr>
        <w:t>Pefafluor</w:t>
      </w:r>
      <w:proofErr w:type="spellEnd"/>
      <w:r w:rsidRPr="00FC2F5F">
        <w:rPr>
          <w:b w:val="0"/>
        </w:rPr>
        <w:t xml:space="preserve">™ </w:t>
      </w:r>
      <w:proofErr w:type="spellStart"/>
      <w:r w:rsidRPr="00FC2F5F">
        <w:rPr>
          <w:b w:val="0"/>
        </w:rPr>
        <w:t>FXa</w:t>
      </w:r>
      <w:proofErr w:type="spellEnd"/>
      <w:r w:rsidRPr="00FC2F5F">
        <w:rPr>
          <w:b w:val="0"/>
        </w:rPr>
        <w:t xml:space="preserve"> fluorogenic substrate concentrations for the LMWH assay were optimized as previously u</w:t>
      </w:r>
      <w:r w:rsidR="00B07930">
        <w:rPr>
          <w:b w:val="0"/>
        </w:rPr>
        <w:t>sing regression analysis (Fig.</w:t>
      </w:r>
      <w:r w:rsidRPr="00FC2F5F">
        <w:rPr>
          <w:b w:val="0"/>
        </w:rPr>
        <w:t xml:space="preserve"> 4b). Final concentrations were selected as 650 </w:t>
      </w:r>
      <w:proofErr w:type="spellStart"/>
      <w:r w:rsidRPr="00FC2F5F">
        <w:rPr>
          <w:b w:val="0"/>
        </w:rPr>
        <w:t>nM</w:t>
      </w:r>
      <w:proofErr w:type="spellEnd"/>
      <w:r w:rsidRPr="00FC2F5F">
        <w:rPr>
          <w:b w:val="0"/>
        </w:rPr>
        <w:t xml:space="preserve"> </w:t>
      </w:r>
      <w:proofErr w:type="spellStart"/>
      <w:r w:rsidRPr="00FC2F5F">
        <w:rPr>
          <w:b w:val="0"/>
        </w:rPr>
        <w:t>FXa</w:t>
      </w:r>
      <w:proofErr w:type="spellEnd"/>
      <w:r w:rsidRPr="00FC2F5F">
        <w:rPr>
          <w:b w:val="0"/>
        </w:rPr>
        <w:t xml:space="preserve"> and 600 µM </w:t>
      </w:r>
      <w:proofErr w:type="spellStart"/>
      <w:r w:rsidRPr="00FC2F5F">
        <w:rPr>
          <w:b w:val="0"/>
        </w:rPr>
        <w:t>Pefafluor</w:t>
      </w:r>
      <w:proofErr w:type="spellEnd"/>
      <w:r w:rsidRPr="00FC2F5F">
        <w:rPr>
          <w:b w:val="0"/>
        </w:rPr>
        <w:t xml:space="preserve">™ </w:t>
      </w:r>
      <w:proofErr w:type="spellStart"/>
      <w:r w:rsidRPr="00FC2F5F">
        <w:rPr>
          <w:b w:val="0"/>
        </w:rPr>
        <w:t>FXa</w:t>
      </w:r>
      <w:proofErr w:type="spellEnd"/>
      <w:r w:rsidRPr="00FC2F5F">
        <w:rPr>
          <w:b w:val="0"/>
        </w:rPr>
        <w:t xml:space="preserve"> </w:t>
      </w:r>
      <w:proofErr w:type="spellStart"/>
      <w:r w:rsidRPr="00FC2F5F">
        <w:rPr>
          <w:b w:val="0"/>
        </w:rPr>
        <w:t>fluorogenic</w:t>
      </w:r>
      <w:proofErr w:type="spellEnd"/>
      <w:r w:rsidRPr="00FC2F5F">
        <w:rPr>
          <w:b w:val="0"/>
        </w:rPr>
        <w:t xml:space="preserve"> substrate.</w:t>
      </w:r>
    </w:p>
    <w:p w:rsidR="00B07930" w:rsidRDefault="00B07930" w:rsidP="00B07930">
      <w:pPr>
        <w:pStyle w:val="RSCB08CHeadingIn-line"/>
        <w:spacing w:line="240" w:lineRule="exact"/>
        <w:jc w:val="both"/>
        <w:rPr>
          <w:b w:val="0"/>
        </w:rPr>
      </w:pPr>
    </w:p>
    <w:p w:rsidR="00B07930" w:rsidRDefault="00B07930"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256235" w:rsidRDefault="00256235" w:rsidP="00B07930">
      <w:pPr>
        <w:pStyle w:val="RSCB08CHeadingIn-line"/>
        <w:spacing w:line="240" w:lineRule="exact"/>
        <w:jc w:val="both"/>
        <w:rPr>
          <w:b w:val="0"/>
        </w:rPr>
      </w:pPr>
    </w:p>
    <w:p w:rsidR="00112694" w:rsidRDefault="00112694" w:rsidP="00B07930">
      <w:pPr>
        <w:pStyle w:val="RSCB08CHeadingIn-line"/>
        <w:spacing w:line="240" w:lineRule="exact"/>
        <w:jc w:val="both"/>
        <w:rPr>
          <w:b w:val="0"/>
        </w:rPr>
      </w:pPr>
    </w:p>
    <w:p w:rsidR="00B07930" w:rsidRDefault="009F52C8" w:rsidP="00B07930">
      <w:pPr>
        <w:pStyle w:val="RSCB08CHeadingIn-line"/>
        <w:spacing w:line="240" w:lineRule="exact"/>
        <w:jc w:val="both"/>
        <w:rPr>
          <w:b w:val="0"/>
        </w:rPr>
      </w:pPr>
      <w:r>
        <w:rPr>
          <w:b w:val="0"/>
          <w:noProof/>
          <w:lang w:val="en-IE" w:eastAsia="en-IE"/>
        </w:rPr>
        <w:drawing>
          <wp:anchor distT="0" distB="0" distL="114300" distR="114300" simplePos="0" relativeHeight="251668480" behindDoc="0" locked="0" layoutInCell="1" allowOverlap="1" wp14:anchorId="19CAB4C9" wp14:editId="10863BE5">
            <wp:simplePos x="0" y="0"/>
            <wp:positionH relativeFrom="margin">
              <wp:posOffset>3315335</wp:posOffset>
            </wp:positionH>
            <wp:positionV relativeFrom="margin">
              <wp:posOffset>2085975</wp:posOffset>
            </wp:positionV>
            <wp:extent cx="3230880" cy="2133600"/>
            <wp:effectExtent l="0" t="0" r="0" b="0"/>
            <wp:wrapSquare wrapText="bothSides"/>
            <wp:docPr id="7" name="Picture 7" descr="C:\Users\Leanne\Desktop\DCU_Files\Leanne Harris EXaCT\IP1_Papers\IntegratedDevice_Paper\Analytical Methods\Graphics\Fig.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Leanne\Desktop\DCU_Files\Leanne Harris EXaCT\IP1_Papers\IntegratedDevice_Paper\Analytical Methods\Graphics\Fig. 4b.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88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val="en-IE" w:eastAsia="en-IE"/>
        </w:rPr>
        <w:drawing>
          <wp:anchor distT="0" distB="0" distL="114300" distR="114300" simplePos="0" relativeHeight="251667456" behindDoc="0" locked="0" layoutInCell="1" allowOverlap="1" wp14:anchorId="11F92C80" wp14:editId="1F2CEE9D">
            <wp:simplePos x="0" y="0"/>
            <wp:positionH relativeFrom="margin">
              <wp:posOffset>3315335</wp:posOffset>
            </wp:positionH>
            <wp:positionV relativeFrom="margin">
              <wp:posOffset>-1905</wp:posOffset>
            </wp:positionV>
            <wp:extent cx="3162300" cy="2011680"/>
            <wp:effectExtent l="0" t="0" r="0" b="0"/>
            <wp:wrapSquare wrapText="bothSides"/>
            <wp:docPr id="6" name="Picture 6" descr="C:\Users\Leanne\Desktop\DCU_Files\Leanne Harris EXaCT\IP1_Papers\IntegratedDevice_Paper\Analytical Methods\Graphics\Fig.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Leanne\Desktop\DCU_Files\Leanne Harris EXaCT\IP1_Papers\IntegratedDevice_Paper\Analytical Methods\Graphics\Fig. 4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2011680"/>
                    </a:xfrm>
                    <a:prstGeom prst="rect">
                      <a:avLst/>
                    </a:prstGeom>
                    <a:noFill/>
                    <a:ln>
                      <a:noFill/>
                    </a:ln>
                  </pic:spPr>
                </pic:pic>
              </a:graphicData>
            </a:graphic>
            <wp14:sizeRelV relativeFrom="margin">
              <wp14:pctHeight>0</wp14:pctHeight>
            </wp14:sizeRelV>
          </wp:anchor>
        </w:drawing>
      </w:r>
      <w:r w:rsidR="00B07930">
        <w:rPr>
          <w:b w:val="0"/>
        </w:rPr>
        <w:t>Fig.</w:t>
      </w:r>
      <w:r w:rsidR="00B07930" w:rsidRPr="00F86035">
        <w:rPr>
          <w:b w:val="0"/>
        </w:rPr>
        <w:t xml:space="preserve"> 4: Linear regression analysis of fluorescent responses at 30, 60 and 90 seconds for (a) UFH and (b) LMWH. The fluorescence value @ 30 seconds was selected as the most appropriate parameter for measuring UFH, while the fluorescence value at 60 seconds was the most appropriate measurement parameter for LMWH.</w:t>
      </w:r>
    </w:p>
    <w:p w:rsidR="00B07930" w:rsidRDefault="00B07930" w:rsidP="00B07930">
      <w:pPr>
        <w:pStyle w:val="RSCB08CHeadingIn-line"/>
        <w:spacing w:line="240" w:lineRule="exact"/>
        <w:jc w:val="both"/>
        <w:rPr>
          <w:b w:val="0"/>
        </w:rPr>
      </w:pPr>
    </w:p>
    <w:p w:rsidR="00B07930" w:rsidRDefault="00C431F6" w:rsidP="0016464A">
      <w:pPr>
        <w:pStyle w:val="RSCB08CHeadingIn-line"/>
        <w:spacing w:line="240" w:lineRule="exact"/>
        <w:jc w:val="both"/>
        <w:rPr>
          <w:b w:val="0"/>
        </w:rPr>
      </w:pPr>
      <w:r>
        <w:rPr>
          <w:rFonts w:ascii="Myriad Pro" w:hAnsi="Myriad Pro" w:cs="Times New Roman"/>
          <w:b w:val="0"/>
          <w:i/>
          <w:w w:val="108"/>
          <w:szCs w:val="18"/>
          <w:vertAlign w:val="superscript"/>
        </w:rPr>
        <w:pict>
          <v:rect id="_x0000_i1028" style="width:248.7pt;height:1.5pt" o:hrstd="t" o:hrnoshade="t" o:hr="t" fillcolor="#a0a0a0" stroked="f"/>
        </w:pict>
      </w:r>
    </w:p>
    <w:p w:rsidR="0016464A" w:rsidRPr="0016464A" w:rsidRDefault="0016464A" w:rsidP="0016464A">
      <w:pPr>
        <w:pStyle w:val="RSCB08CHeadingIn-line"/>
        <w:spacing w:line="240" w:lineRule="exact"/>
        <w:jc w:val="both"/>
        <w:rPr>
          <w:b w:val="0"/>
        </w:rPr>
      </w:pPr>
      <w:r w:rsidRPr="0016464A">
        <w:rPr>
          <w:b w:val="0"/>
        </w:rPr>
        <w:t>The fluorescence responses of the optimized assay conditions were tested over a rang</w:t>
      </w:r>
      <w:r w:rsidR="00941A82">
        <w:rPr>
          <w:b w:val="0"/>
        </w:rPr>
        <w:t>e of UFH and LMWH concentration. T</w:t>
      </w:r>
      <w:r w:rsidRPr="0016464A">
        <w:rPr>
          <w:b w:val="0"/>
        </w:rPr>
        <w:t>he concentration of heparin is inversely proportional to the rate of fluorescence formation. As the concentration of drug increases, the rate of fluorescence pro</w:t>
      </w:r>
      <w:r w:rsidR="00B07930">
        <w:rPr>
          <w:b w:val="0"/>
        </w:rPr>
        <w:t>duct formation decreases. Fig.</w:t>
      </w:r>
      <w:r w:rsidR="00941A82">
        <w:rPr>
          <w:b w:val="0"/>
        </w:rPr>
        <w:t xml:space="preserve"> 5</w:t>
      </w:r>
      <w:r w:rsidRPr="0016464A">
        <w:rPr>
          <w:b w:val="0"/>
        </w:rPr>
        <w:t xml:space="preserve"> outlines the dose response curves of human plasma spiked with UFH and LMWH in the anti-</w:t>
      </w:r>
      <w:proofErr w:type="spellStart"/>
      <w:r w:rsidRPr="0016464A">
        <w:rPr>
          <w:b w:val="0"/>
        </w:rPr>
        <w:t>Xa</w:t>
      </w:r>
      <w:proofErr w:type="spellEnd"/>
      <w:r w:rsidRPr="0016464A">
        <w:rPr>
          <w:b w:val="0"/>
        </w:rPr>
        <w:t xml:space="preserve"> device. Various methods were investigated for optimal data analysis and extraction, but the fluorescence value at 30 sec was most appropriate for UFH returning an R</w:t>
      </w:r>
      <w:r w:rsidRPr="00B07930">
        <w:rPr>
          <w:b w:val="0"/>
          <w:vertAlign w:val="superscript"/>
        </w:rPr>
        <w:t>2</w:t>
      </w:r>
      <w:r w:rsidRPr="0016464A">
        <w:rPr>
          <w:b w:val="0"/>
        </w:rPr>
        <w:t xml:space="preserve"> value of 0.98 (y = -4309.3x + 4061.1) (Pearson = 0.99). The fluorescence value at 60 sec was selected as the most appropriate value for LMWH giving an R</w:t>
      </w:r>
      <w:r w:rsidRPr="00B07930">
        <w:rPr>
          <w:b w:val="0"/>
          <w:vertAlign w:val="superscript"/>
        </w:rPr>
        <w:t>2</w:t>
      </w:r>
      <w:r w:rsidR="00421222">
        <w:rPr>
          <w:b w:val="0"/>
        </w:rPr>
        <w:t xml:space="preserve"> value of 0.97</w:t>
      </w:r>
      <w:bookmarkStart w:id="0" w:name="_GoBack"/>
      <w:bookmarkEnd w:id="0"/>
      <w:r w:rsidRPr="0016464A">
        <w:rPr>
          <w:b w:val="0"/>
        </w:rPr>
        <w:t xml:space="preserve"> (y = -3630x + 4053.8) (Pearson = 0.99). Assay reproducibility was good with average CVs of &lt;12% with one exception at 0.25 U</w:t>
      </w:r>
      <w:r w:rsidR="00A7606E">
        <w:rPr>
          <w:b w:val="0"/>
        </w:rPr>
        <w:t>/mL</w:t>
      </w:r>
      <w:r w:rsidRPr="0016464A">
        <w:rPr>
          <w:b w:val="0"/>
        </w:rPr>
        <w:t xml:space="preserve"> for both the UFH and LMWH assays. Variability at 0.25 U</w:t>
      </w:r>
      <w:r w:rsidR="00A7606E">
        <w:rPr>
          <w:b w:val="0"/>
        </w:rPr>
        <w:t>/mL</w:t>
      </w:r>
      <w:r w:rsidRPr="0016464A">
        <w:rPr>
          <w:b w:val="0"/>
        </w:rPr>
        <w:t xml:space="preserve"> was 35% for UFH and 19% for LMWH assay. </w:t>
      </w:r>
    </w:p>
    <w:p w:rsidR="00256235" w:rsidRDefault="0016464A" w:rsidP="0016464A">
      <w:pPr>
        <w:pStyle w:val="RSCB08CHeadingIn-line"/>
        <w:spacing w:line="240" w:lineRule="exact"/>
        <w:jc w:val="both"/>
        <w:rPr>
          <w:b w:val="0"/>
        </w:rPr>
      </w:pPr>
      <w:r w:rsidRPr="0016464A">
        <w:rPr>
          <w:b w:val="0"/>
        </w:rPr>
        <w:t xml:space="preserve">Statistical analysis returned significant differences in the variances with the </w:t>
      </w:r>
      <w:proofErr w:type="spellStart"/>
      <w:r w:rsidRPr="0016464A">
        <w:rPr>
          <w:b w:val="0"/>
        </w:rPr>
        <w:t>Levene’s</w:t>
      </w:r>
      <w:proofErr w:type="spellEnd"/>
      <w:r w:rsidRPr="0016464A">
        <w:rPr>
          <w:b w:val="0"/>
        </w:rPr>
        <w:t xml:space="preserve"> test for the UFH assay (p = 0.007) and the LMWH assay (p = 0.009), so one-way ANOVA could not be applied. When equal variances were not assumed, the </w:t>
      </w:r>
      <w:proofErr w:type="spellStart"/>
      <w:r w:rsidRPr="0016464A">
        <w:rPr>
          <w:b w:val="0"/>
        </w:rPr>
        <w:t>Tamhane</w:t>
      </w:r>
      <w:proofErr w:type="spellEnd"/>
      <w:r w:rsidRPr="0016464A">
        <w:rPr>
          <w:b w:val="0"/>
        </w:rPr>
        <w:t xml:space="preserve"> test returned significant differences, however UFH at a concentration of 0.25 U</w:t>
      </w:r>
      <w:r w:rsidR="00A7606E">
        <w:rPr>
          <w:b w:val="0"/>
        </w:rPr>
        <w:t>/mL</w:t>
      </w:r>
      <w:r w:rsidRPr="0016464A">
        <w:rPr>
          <w:b w:val="0"/>
        </w:rPr>
        <w:t xml:space="preserve"> resulted in significant error as a result of one outlier causing </w:t>
      </w:r>
      <w:r w:rsidRPr="0016464A">
        <w:rPr>
          <w:b w:val="0"/>
        </w:rPr>
        <w:lastRenderedPageBreak/>
        <w:t>insignificant differences between 0.25 U</w:t>
      </w:r>
      <w:r w:rsidR="00A7606E">
        <w:rPr>
          <w:b w:val="0"/>
        </w:rPr>
        <w:t>/mL</w:t>
      </w:r>
      <w:r w:rsidRPr="0016464A">
        <w:rPr>
          <w:b w:val="0"/>
        </w:rPr>
        <w:t xml:space="preserve"> and all other concentrations of UFH. The UFH assay had a statistically significant </w:t>
      </w:r>
    </w:p>
    <w:p w:rsidR="00C1468A" w:rsidRDefault="00112694" w:rsidP="002B20A2">
      <w:pPr>
        <w:pStyle w:val="RSCB08CHeadingIn-line"/>
        <w:spacing w:line="240" w:lineRule="exact"/>
        <w:jc w:val="both"/>
        <w:rPr>
          <w:b w:val="0"/>
          <w:noProof/>
          <w:lang w:val="en-IE" w:eastAsia="en-IE"/>
        </w:rPr>
      </w:pPr>
      <w:r>
        <w:rPr>
          <w:b w:val="0"/>
          <w:noProof/>
          <w:lang w:val="en-IE" w:eastAsia="en-IE"/>
        </w:rPr>
        <w:drawing>
          <wp:anchor distT="0" distB="0" distL="114300" distR="114300" simplePos="0" relativeHeight="251669504" behindDoc="0" locked="0" layoutInCell="1" allowOverlap="1" wp14:anchorId="6FAC5766" wp14:editId="41A1C563">
            <wp:simplePos x="0" y="0"/>
            <wp:positionH relativeFrom="margin">
              <wp:posOffset>-85725</wp:posOffset>
            </wp:positionH>
            <wp:positionV relativeFrom="margin">
              <wp:posOffset>451485</wp:posOffset>
            </wp:positionV>
            <wp:extent cx="3168015" cy="2217420"/>
            <wp:effectExtent l="0" t="0" r="0" b="0"/>
            <wp:wrapSquare wrapText="bothSides"/>
            <wp:docPr id="10" name="Picture 10" descr="C:\Users\Leanne\Desktop\DCU_Files\Leanne Harris EXaCT\IP1_Papers\IntegratedDevice_Paper\Analytical Methods\Graphic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Leanne\Desktop\DCU_Files\Leanne Harris EXaCT\IP1_Papers\IntegratedDevice_Paper\Analytical Methods\Graphics\Fig. 5.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2217420"/>
                    </a:xfrm>
                    <a:prstGeom prst="rect">
                      <a:avLst/>
                    </a:prstGeom>
                    <a:noFill/>
                    <a:ln>
                      <a:noFill/>
                    </a:ln>
                  </pic:spPr>
                </pic:pic>
              </a:graphicData>
            </a:graphic>
          </wp:anchor>
        </w:drawing>
      </w:r>
    </w:p>
    <w:p w:rsidR="002B20A2" w:rsidRDefault="002B20A2" w:rsidP="002B20A2">
      <w:pPr>
        <w:pStyle w:val="RSCB08CHeadingIn-line"/>
        <w:spacing w:line="240" w:lineRule="exact"/>
        <w:jc w:val="both"/>
        <w:rPr>
          <w:b w:val="0"/>
        </w:rPr>
      </w:pPr>
      <w:proofErr w:type="gramStart"/>
      <w:r>
        <w:rPr>
          <w:b w:val="0"/>
        </w:rPr>
        <w:t>Fig.</w:t>
      </w:r>
      <w:r w:rsidRPr="0016464A">
        <w:rPr>
          <w:b w:val="0"/>
        </w:rPr>
        <w:t xml:space="preserve"> 5.</w:t>
      </w:r>
      <w:proofErr w:type="gramEnd"/>
      <w:r w:rsidRPr="0016464A">
        <w:rPr>
          <w:b w:val="0"/>
        </w:rPr>
        <w:t xml:space="preserve"> Dose response curve of human plasma spiked with UFH from 0 – 1 U</w:t>
      </w:r>
      <w:r w:rsidR="00A7606E">
        <w:rPr>
          <w:b w:val="0"/>
        </w:rPr>
        <w:t>/mL</w:t>
      </w:r>
      <w:r w:rsidR="00421222">
        <w:rPr>
          <w:b w:val="0"/>
        </w:rPr>
        <w:t xml:space="preserve"> (R</w:t>
      </w:r>
      <w:r w:rsidR="00421222" w:rsidRPr="00421222">
        <w:rPr>
          <w:b w:val="0"/>
          <w:vertAlign w:val="superscript"/>
        </w:rPr>
        <w:t>2</w:t>
      </w:r>
      <w:r w:rsidR="00421222">
        <w:rPr>
          <w:b w:val="0"/>
        </w:rPr>
        <w:t xml:space="preserve"> = 0.97)</w:t>
      </w:r>
      <w:r w:rsidRPr="0016464A">
        <w:rPr>
          <w:b w:val="0"/>
        </w:rPr>
        <w:t xml:space="preserve"> and LMWH from 0-1 U</w:t>
      </w:r>
      <w:r w:rsidR="00A7606E">
        <w:rPr>
          <w:b w:val="0"/>
        </w:rPr>
        <w:t>/mL</w:t>
      </w:r>
      <w:r w:rsidRPr="0016464A">
        <w:rPr>
          <w:b w:val="0"/>
        </w:rPr>
        <w:t xml:space="preserve"> </w:t>
      </w:r>
      <w:r w:rsidR="00421222">
        <w:rPr>
          <w:b w:val="0"/>
        </w:rPr>
        <w:t>(R</w:t>
      </w:r>
      <w:r w:rsidR="00421222" w:rsidRPr="00421222">
        <w:rPr>
          <w:b w:val="0"/>
          <w:vertAlign w:val="superscript"/>
        </w:rPr>
        <w:t>2</w:t>
      </w:r>
      <w:r w:rsidR="00421222">
        <w:rPr>
          <w:b w:val="0"/>
        </w:rPr>
        <w:t xml:space="preserve"> = 0.99</w:t>
      </w:r>
      <w:r w:rsidR="00421222">
        <w:rPr>
          <w:b w:val="0"/>
        </w:rPr>
        <w:t>)</w:t>
      </w:r>
      <w:r w:rsidR="00421222">
        <w:rPr>
          <w:b w:val="0"/>
        </w:rPr>
        <w:t xml:space="preserve"> </w:t>
      </w:r>
      <w:r w:rsidRPr="0016464A">
        <w:rPr>
          <w:b w:val="0"/>
        </w:rPr>
        <w:t>in the anti-</w:t>
      </w:r>
      <w:proofErr w:type="spellStart"/>
      <w:r w:rsidRPr="0016464A">
        <w:rPr>
          <w:b w:val="0"/>
        </w:rPr>
        <w:t>Xa</w:t>
      </w:r>
      <w:proofErr w:type="spellEnd"/>
      <w:r w:rsidRPr="0016464A">
        <w:rPr>
          <w:b w:val="0"/>
        </w:rPr>
        <w:t xml:space="preserve"> device (n=3).</w:t>
      </w:r>
    </w:p>
    <w:p w:rsidR="00256235" w:rsidRDefault="00256235" w:rsidP="0016464A">
      <w:pPr>
        <w:pStyle w:val="RSCB08CHeadingIn-line"/>
        <w:spacing w:line="240" w:lineRule="exact"/>
        <w:jc w:val="both"/>
        <w:rPr>
          <w:b w:val="0"/>
        </w:rPr>
      </w:pPr>
    </w:p>
    <w:p w:rsidR="00256235" w:rsidRDefault="00C431F6" w:rsidP="0016464A">
      <w:pPr>
        <w:pStyle w:val="RSCB08CHeadingIn-line"/>
        <w:spacing w:line="240" w:lineRule="exact"/>
        <w:jc w:val="both"/>
        <w:rPr>
          <w:b w:val="0"/>
        </w:rPr>
      </w:pPr>
      <w:r>
        <w:rPr>
          <w:rFonts w:ascii="Myriad Pro" w:hAnsi="Myriad Pro" w:cs="Times New Roman"/>
          <w:b w:val="0"/>
          <w:i/>
          <w:w w:val="108"/>
          <w:szCs w:val="18"/>
          <w:vertAlign w:val="superscript"/>
        </w:rPr>
        <w:pict>
          <v:rect id="_x0000_i1029" style="width:248.7pt;height:1.5pt" o:hrstd="t" o:hrnoshade="t" o:hr="t" fillcolor="#a0a0a0" stroked="f"/>
        </w:pict>
      </w:r>
    </w:p>
    <w:p w:rsidR="0016464A" w:rsidRPr="0016464A" w:rsidRDefault="0016464A" w:rsidP="0016464A">
      <w:pPr>
        <w:pStyle w:val="RSCB08CHeadingIn-line"/>
        <w:spacing w:line="240" w:lineRule="exact"/>
        <w:jc w:val="both"/>
        <w:rPr>
          <w:b w:val="0"/>
        </w:rPr>
      </w:pPr>
      <w:proofErr w:type="gramStart"/>
      <w:r w:rsidRPr="0016464A">
        <w:rPr>
          <w:b w:val="0"/>
        </w:rPr>
        <w:t>range</w:t>
      </w:r>
      <w:proofErr w:type="gramEnd"/>
      <w:r w:rsidRPr="0016464A">
        <w:rPr>
          <w:b w:val="0"/>
        </w:rPr>
        <w:t xml:space="preserve"> from 0 – 0.75 U</w:t>
      </w:r>
      <w:r w:rsidR="00A7606E">
        <w:rPr>
          <w:b w:val="0"/>
        </w:rPr>
        <w:t>/</w:t>
      </w:r>
      <w:proofErr w:type="spellStart"/>
      <w:r w:rsidR="00A7606E">
        <w:rPr>
          <w:b w:val="0"/>
        </w:rPr>
        <w:t>mL</w:t>
      </w:r>
      <w:r w:rsidRPr="0016464A">
        <w:rPr>
          <w:b w:val="0"/>
        </w:rPr>
        <w:t>.</w:t>
      </w:r>
      <w:proofErr w:type="spellEnd"/>
      <w:r w:rsidRPr="0016464A">
        <w:rPr>
          <w:b w:val="0"/>
        </w:rPr>
        <w:t xml:space="preserve"> The same pattern was also observed with the LMWH assay where 0.25 U</w:t>
      </w:r>
      <w:r w:rsidR="00A7606E">
        <w:rPr>
          <w:b w:val="0"/>
        </w:rPr>
        <w:t>/mL</w:t>
      </w:r>
      <w:r w:rsidRPr="0016464A">
        <w:rPr>
          <w:b w:val="0"/>
        </w:rPr>
        <w:t xml:space="preserve"> did not appear significantly different from 0 and 0.5 U</w:t>
      </w:r>
      <w:r w:rsidR="00A7606E">
        <w:rPr>
          <w:b w:val="0"/>
        </w:rPr>
        <w:t>/mL</w:t>
      </w:r>
      <w:r w:rsidRPr="0016464A">
        <w:rPr>
          <w:b w:val="0"/>
        </w:rPr>
        <w:t xml:space="preserve"> LMWH and 0.5 U</w:t>
      </w:r>
      <w:r w:rsidR="00A7606E">
        <w:rPr>
          <w:b w:val="0"/>
        </w:rPr>
        <w:t>/mL</w:t>
      </w:r>
      <w:r w:rsidRPr="0016464A">
        <w:rPr>
          <w:b w:val="0"/>
        </w:rPr>
        <w:t xml:space="preserve"> was not significantly different from 0.75 U</w:t>
      </w:r>
      <w:r w:rsidR="00A7606E">
        <w:rPr>
          <w:b w:val="0"/>
        </w:rPr>
        <w:t>/</w:t>
      </w:r>
      <w:proofErr w:type="spellStart"/>
      <w:r w:rsidR="00A7606E">
        <w:rPr>
          <w:b w:val="0"/>
        </w:rPr>
        <w:t>mL</w:t>
      </w:r>
      <w:r w:rsidRPr="0016464A">
        <w:rPr>
          <w:b w:val="0"/>
        </w:rPr>
        <w:t>.</w:t>
      </w:r>
      <w:proofErr w:type="spellEnd"/>
      <w:r w:rsidRPr="0016464A">
        <w:rPr>
          <w:b w:val="0"/>
        </w:rPr>
        <w:t xml:space="preserve"> This again could be attributed to the significant outlier encountered at 0.25 U</w:t>
      </w:r>
      <w:r w:rsidR="00A7606E">
        <w:rPr>
          <w:b w:val="0"/>
        </w:rPr>
        <w:t>/mL</w:t>
      </w:r>
      <w:r w:rsidRPr="0016464A">
        <w:rPr>
          <w:b w:val="0"/>
        </w:rPr>
        <w:t xml:space="preserve"> which resulted in a CV of 19%. Variability of 12% was also observed at 0.75 U</w:t>
      </w:r>
      <w:r w:rsidR="00A7606E">
        <w:rPr>
          <w:b w:val="0"/>
        </w:rPr>
        <w:t>/</w:t>
      </w:r>
      <w:proofErr w:type="spellStart"/>
      <w:r w:rsidR="00A7606E">
        <w:rPr>
          <w:b w:val="0"/>
        </w:rPr>
        <w:t>mL</w:t>
      </w:r>
      <w:r w:rsidRPr="0016464A">
        <w:rPr>
          <w:b w:val="0"/>
        </w:rPr>
        <w:t>.</w:t>
      </w:r>
      <w:proofErr w:type="spellEnd"/>
      <w:r w:rsidRPr="0016464A">
        <w:rPr>
          <w:b w:val="0"/>
        </w:rPr>
        <w:t xml:space="preserve"> The LMWH assay had a statistically significant range from 0 – 1 U</w:t>
      </w:r>
      <w:r w:rsidR="00A7606E">
        <w:rPr>
          <w:b w:val="0"/>
        </w:rPr>
        <w:t>/</w:t>
      </w:r>
      <w:proofErr w:type="spellStart"/>
      <w:r w:rsidR="00A7606E">
        <w:rPr>
          <w:b w:val="0"/>
        </w:rPr>
        <w:t>mL</w:t>
      </w:r>
      <w:r w:rsidRPr="0016464A">
        <w:rPr>
          <w:b w:val="0"/>
        </w:rPr>
        <w:t>.</w:t>
      </w:r>
      <w:proofErr w:type="spellEnd"/>
    </w:p>
    <w:p w:rsidR="00F86035" w:rsidRDefault="00F86035" w:rsidP="00FC2F5F">
      <w:pPr>
        <w:pStyle w:val="RSCB08CHeadingIn-line"/>
        <w:spacing w:line="240" w:lineRule="exact"/>
        <w:jc w:val="both"/>
        <w:rPr>
          <w:b w:val="0"/>
        </w:rPr>
      </w:pPr>
    </w:p>
    <w:p w:rsidR="002B20A2" w:rsidRPr="0016464A" w:rsidRDefault="002B20A2" w:rsidP="002B20A2">
      <w:pPr>
        <w:pStyle w:val="RSCB08CHeadingIn-line"/>
        <w:spacing w:line="240" w:lineRule="exact"/>
        <w:jc w:val="both"/>
      </w:pPr>
      <w:r w:rsidRPr="0016464A">
        <w:t>Patient Analysis</w:t>
      </w:r>
    </w:p>
    <w:p w:rsidR="002B20A2" w:rsidRDefault="002B20A2" w:rsidP="002B20A2">
      <w:pPr>
        <w:pStyle w:val="RSCB08CHeadingIn-line"/>
        <w:spacing w:line="240" w:lineRule="exact"/>
        <w:jc w:val="both"/>
        <w:rPr>
          <w:b w:val="0"/>
        </w:rPr>
      </w:pPr>
      <w:r w:rsidRPr="0016464A">
        <w:rPr>
          <w:b w:val="0"/>
        </w:rPr>
        <w:t>To evaluate the integrated device, 10 plasma samples from patients on UFH therapy were tested in the device. For the</w:t>
      </w:r>
      <w:r>
        <w:rPr>
          <w:b w:val="0"/>
        </w:rPr>
        <w:t>se</w:t>
      </w:r>
      <w:r w:rsidRPr="0016464A">
        <w:rPr>
          <w:b w:val="0"/>
        </w:rPr>
        <w:t xml:space="preserve"> patients on UFH therapy, the fluorescence responses from all patients were converted into U</w:t>
      </w:r>
      <w:r w:rsidR="00A7606E">
        <w:rPr>
          <w:b w:val="0"/>
        </w:rPr>
        <w:t>/mL</w:t>
      </w:r>
      <w:r w:rsidRPr="0016464A">
        <w:rPr>
          <w:b w:val="0"/>
        </w:rPr>
        <w:t xml:space="preserve"> and correlated with the corresponding </w:t>
      </w:r>
      <w:proofErr w:type="spellStart"/>
      <w:r w:rsidRPr="0016464A">
        <w:rPr>
          <w:b w:val="0"/>
        </w:rPr>
        <w:t>aPTT</w:t>
      </w:r>
      <w:proofErr w:type="spellEnd"/>
      <w:r w:rsidRPr="0016464A">
        <w:rPr>
          <w:b w:val="0"/>
        </w:rPr>
        <w:t xml:space="preserve"> value from the hospital laboratory. The correl</w:t>
      </w:r>
      <w:r>
        <w:rPr>
          <w:b w:val="0"/>
        </w:rPr>
        <w:t>ation can be seen in Fig. 6</w:t>
      </w:r>
      <w:r w:rsidRPr="0016464A">
        <w:rPr>
          <w:b w:val="0"/>
        </w:rPr>
        <w:t>.</w:t>
      </w:r>
    </w:p>
    <w:p w:rsidR="00C1468A" w:rsidRDefault="00C1468A" w:rsidP="002B20A2">
      <w:pPr>
        <w:pStyle w:val="RSCB08CHeadingIn-line"/>
        <w:spacing w:line="240" w:lineRule="exact"/>
        <w:jc w:val="both"/>
        <w:rPr>
          <w:b w:val="0"/>
        </w:rPr>
      </w:pPr>
    </w:p>
    <w:p w:rsidR="00C1468A" w:rsidRDefault="00C431F6" w:rsidP="002B20A2">
      <w:pPr>
        <w:pStyle w:val="RSCB08CHeadingIn-line"/>
        <w:spacing w:line="240" w:lineRule="exact"/>
        <w:jc w:val="both"/>
        <w:rPr>
          <w:b w:val="0"/>
        </w:rPr>
      </w:pPr>
      <w:r>
        <w:rPr>
          <w:rFonts w:ascii="Myriad Pro" w:hAnsi="Myriad Pro" w:cs="Times New Roman"/>
          <w:b w:val="0"/>
          <w:i/>
          <w:w w:val="108"/>
          <w:szCs w:val="18"/>
          <w:vertAlign w:val="superscript"/>
        </w:rPr>
        <w:pict>
          <v:rect id="_x0000_i1030" style="width:248.7pt;height:1.5pt" o:hrstd="t" o:hrnoshade="t" o:hr="t" fillcolor="#a0a0a0" stroked="f"/>
        </w:pict>
      </w:r>
    </w:p>
    <w:p w:rsidR="00C1468A" w:rsidRDefault="00C1468A" w:rsidP="002B20A2">
      <w:pPr>
        <w:pStyle w:val="RSCB08CHeadingIn-line"/>
        <w:spacing w:line="240" w:lineRule="exact"/>
        <w:jc w:val="both"/>
        <w:rPr>
          <w:b w:val="0"/>
        </w:rPr>
      </w:pPr>
    </w:p>
    <w:p w:rsidR="00C1468A" w:rsidRDefault="00C1468A" w:rsidP="00C1468A">
      <w:pPr>
        <w:pStyle w:val="RSCB08CHeadingIn-line"/>
        <w:spacing w:line="240" w:lineRule="exact"/>
        <w:jc w:val="both"/>
        <w:rPr>
          <w:b w:val="0"/>
        </w:rPr>
      </w:pPr>
      <w:r>
        <w:rPr>
          <w:b w:val="0"/>
        </w:rPr>
        <w:lastRenderedPageBreak/>
        <w:t xml:space="preserve">Fig. 6: </w:t>
      </w:r>
      <w:r w:rsidRPr="0016464A">
        <w:rPr>
          <w:b w:val="0"/>
        </w:rPr>
        <w:t>UFH correlation: Anti-</w:t>
      </w:r>
      <w:proofErr w:type="spellStart"/>
      <w:r w:rsidRPr="0016464A">
        <w:rPr>
          <w:b w:val="0"/>
        </w:rPr>
        <w:t>Xa</w:t>
      </w:r>
      <w:proofErr w:type="spellEnd"/>
      <w:r>
        <w:rPr>
          <w:b w:val="0"/>
        </w:rPr>
        <w:t xml:space="preserve"> device and hospital </w:t>
      </w:r>
      <w:proofErr w:type="spellStart"/>
      <w:r>
        <w:rPr>
          <w:b w:val="0"/>
        </w:rPr>
        <w:t>aPTT</w:t>
      </w:r>
      <w:proofErr w:type="spellEnd"/>
      <w:r>
        <w:rPr>
          <w:b w:val="0"/>
        </w:rPr>
        <w:t xml:space="preserve"> assay.</w:t>
      </w:r>
    </w:p>
    <w:p w:rsidR="002B20A2" w:rsidRDefault="002B20A2" w:rsidP="0016464A">
      <w:pPr>
        <w:pStyle w:val="RSCB08CHeadingIn-line"/>
        <w:spacing w:line="240" w:lineRule="exact"/>
        <w:jc w:val="both"/>
        <w:rPr>
          <w:b w:val="0"/>
        </w:rPr>
      </w:pPr>
      <w:r>
        <w:rPr>
          <w:b w:val="0"/>
        </w:rPr>
        <w:t>T</w:t>
      </w:r>
      <w:r w:rsidRPr="0016464A">
        <w:rPr>
          <w:b w:val="0"/>
        </w:rPr>
        <w:t>he fluorescence intensity value at 30 seconds was calculated for all UFH patient samples. From the data presented in</w:t>
      </w:r>
      <w:r w:rsidR="00661111">
        <w:rPr>
          <w:b w:val="0"/>
        </w:rPr>
        <w:t xml:space="preserve"> Fig.</w:t>
      </w:r>
      <w:r>
        <w:rPr>
          <w:b w:val="0"/>
        </w:rPr>
        <w:t xml:space="preserve"> 6</w:t>
      </w:r>
      <w:r w:rsidRPr="0016464A">
        <w:rPr>
          <w:b w:val="0"/>
        </w:rPr>
        <w:t xml:space="preserve"> it can be seen that UFH generates a good correlation with a Pearson coefficient of 0.88. The trend observed is that with increasing fluorescence, the </w:t>
      </w:r>
      <w:proofErr w:type="spellStart"/>
      <w:r w:rsidRPr="0016464A">
        <w:rPr>
          <w:b w:val="0"/>
        </w:rPr>
        <w:t>aPTT</w:t>
      </w:r>
      <w:proofErr w:type="spellEnd"/>
      <w:r w:rsidRPr="0016464A">
        <w:rPr>
          <w:b w:val="0"/>
        </w:rPr>
        <w:t xml:space="preserve"> value decreases which is reflective of decreasing heparin concentrations.</w:t>
      </w:r>
    </w:p>
    <w:p w:rsidR="0016464A" w:rsidRPr="0016464A" w:rsidRDefault="0016464A" w:rsidP="0016464A">
      <w:pPr>
        <w:pStyle w:val="RSCB08CHeadingIn-line"/>
        <w:spacing w:line="240" w:lineRule="exact"/>
        <w:jc w:val="both"/>
        <w:rPr>
          <w:b w:val="0"/>
        </w:rPr>
      </w:pPr>
      <w:r w:rsidRPr="0016464A">
        <w:rPr>
          <w:b w:val="0"/>
        </w:rPr>
        <w:t xml:space="preserve">Quite a share of the POC market is occupied by coagulation monitoring devices. Many of these POC diagnostics are based on traditional methods and testing principles, such as clotting time determined by PT, </w:t>
      </w:r>
      <w:proofErr w:type="spellStart"/>
      <w:r w:rsidRPr="0016464A">
        <w:rPr>
          <w:b w:val="0"/>
        </w:rPr>
        <w:t>aPTT</w:t>
      </w:r>
      <w:proofErr w:type="spellEnd"/>
      <w:r w:rsidRPr="0016464A">
        <w:rPr>
          <w:b w:val="0"/>
        </w:rPr>
        <w:t xml:space="preserve"> or ACT (activated clotting time). The adaptation of many of these assays to POC devices was instigated by the significant need for more rapid analysis of coagulation stat</w:t>
      </w:r>
      <w:r w:rsidR="000A2E92">
        <w:rPr>
          <w:b w:val="0"/>
        </w:rPr>
        <w:t>us in emergency room settings.</w:t>
      </w:r>
      <w:r w:rsidR="000A2E92">
        <w:rPr>
          <w:b w:val="0"/>
        </w:rPr>
        <w:fldChar w:fldCharType="begin" w:fldLock="1"/>
      </w:r>
      <w:r w:rsidR="000D3DDE">
        <w:rPr>
          <w:b w:val="0"/>
        </w:rPr>
        <w:instrText>ADDIN CSL_CITATION { "citationItems" : [ { "id" : "ITEM-1", "itemData" : { "DOI" : "10.1039/c3an00401e", "ISSN" : "1364-5528", "PMID" : "23666610", "abstract" : "The development of new point of care coagulation assay devices is necessary due to the increasing number of patients requiring long-term anticoagulation in addition to the desire for appropriate, targeted anticoagulant therapy and a more rapid response to optimization of treatment. The majority of point of care devices currently available for hemostasis testing rely on clot-based endpoints which are variable, unreliable and limited to measuring only certain portions of the coagulation pathway. Here we present a novel fluorescence-based anti-Factor Xa (FXa) microfluidic assay device for monitoring the effect of anticoagulant therapy at the point of care. The device is a disposable, laminated polymer microfluidic strip fabricated from a combination of hydrophobic and hydrophilic cyclic polyolefins to allow reagent deposition in addition to effective capillary fill. Zeonor was the polymer of choice resulting in low background fluorescence (208.5 AU), suitable contact angles (17.5\u00b0\u00b1 0.9\u00b0) and capillary fill times (20.3 \u00b1 2.1 s). The device was capable of measuring unfractionated heparin and tinzaparin from 0-0.8 U ml(-1) and enoxaparin from 0-0.6 U ml(-1) with average CVs &lt; 10%. A linear correlation was observed between the device and the fluorescent assay in the plate for plasma samples spiked with UFH, with an R(2) value of 0.99, while correlations with tinzaparin and enoxaparin resulted in sigmoidal responses (R(2) = 0.99). Plasma samples containing UFH resulted in a linear correlation between the device and a standard chromogenic assay with an R(2) value of 0.98, with both LMWHs resulting in sigmoidal relationships (R(2) = 0.99).", "author" : [ { "dropping-particle" : "", "family" : "Harris", "given" : "Leanne F", "non-dropping-particle" : "", "parse-names" : false, "suffix" : "" }, { "dropping-particle" : "", "family" : "Rainey", "given" : "Paul", "non-dropping-particle" : "", "parse-names" : false, "suffix" : "" }, { "dropping-particle" : "", "family" : "Castro-L\u00f3pez", "given" : "Vanessa", "non-dropping-particle" : "", "parse-names" : false, "suffix" : "" }, { "dropping-particle" : "", "family" : "O'Donnell", "given" : "James S", "non-dropping-particle" : "", "parse-names" : false, "suffix" : "" }, { "dropping-particle" : "", "family" : "Killard", "given" : "Anthony J", "non-dropping-particle" : "", "parse-names" : false, "suffix" : "" } ], "container-title" : "The Analyst", "id" : "ITEM-1", "issue" : "17", "issued" : { "date-parts" : [ [ "2013", "9", "7" ] ] }, "page" : "4769-76", "title" : "A microfluidic anti-Factor Xa assay device for point of care monitoring of anticoagulation therapy.", "type" : "article-journal", "volume" : "138" }, "uris" : [ "http://www.mendeley.com/documents/?uuid=58762432-566a-4ed2-b092-f9f196b70cf9" ] } ], "mendeley" : { "formattedCitation" : "&lt;sup&gt;16&lt;/sup&gt;", "plainTextFormattedCitation" : "16", "previouslyFormattedCitation" : "&lt;sup&gt;16&lt;/sup&gt;" }, "properties" : { "noteIndex" : 0 }, "schema" : "https://github.com/citation-style-language/schema/raw/master/csl-citation.json" }</w:instrText>
      </w:r>
      <w:r w:rsidR="000A2E92">
        <w:rPr>
          <w:b w:val="0"/>
        </w:rPr>
        <w:fldChar w:fldCharType="separate"/>
      </w:r>
      <w:r w:rsidR="000D3DDE" w:rsidRPr="000D3DDE">
        <w:rPr>
          <w:b w:val="0"/>
          <w:noProof/>
          <w:vertAlign w:val="superscript"/>
        </w:rPr>
        <w:t>16</w:t>
      </w:r>
      <w:r w:rsidR="000A2E92">
        <w:rPr>
          <w:b w:val="0"/>
        </w:rPr>
        <w:fldChar w:fldCharType="end"/>
      </w:r>
      <w:r w:rsidRPr="0016464A">
        <w:rPr>
          <w:b w:val="0"/>
        </w:rPr>
        <w:t xml:space="preserve"> While these devices are commonly used and there is a demand for them, there is certainly scope for the development of novel devices that could improve upon conventional testing methods.</w:t>
      </w:r>
    </w:p>
    <w:p w:rsidR="0016464A" w:rsidRPr="0016464A" w:rsidRDefault="0016464A" w:rsidP="0016464A">
      <w:pPr>
        <w:pStyle w:val="RSCB08CHeadingIn-line"/>
        <w:spacing w:line="240" w:lineRule="exact"/>
        <w:jc w:val="both"/>
        <w:rPr>
          <w:b w:val="0"/>
        </w:rPr>
      </w:pPr>
      <w:r w:rsidRPr="0016464A">
        <w:rPr>
          <w:b w:val="0"/>
        </w:rPr>
        <w:t>The first move away from standard clot-based testing began in the 1960s with the development and introduction of peptide substrates specific for coagulation proteins such as thrombin and plasmin.</w:t>
      </w:r>
      <w:r w:rsidR="000A2E92">
        <w:rPr>
          <w:b w:val="0"/>
          <w:vertAlign w:val="superscript"/>
        </w:rPr>
        <w:fldChar w:fldCharType="begin" w:fldLock="1"/>
      </w:r>
      <w:r w:rsidR="000D3DDE">
        <w:rPr>
          <w:b w:val="0"/>
          <w:vertAlign w:val="superscript"/>
        </w:rPr>
        <w:instrText>ADDIN CSL_CITATION { "citationItems" : [ { "id" : "ITEM-1", "itemData" : { "ISBN" : "0009-9147", "author" : [ { "dropping-particle" : "", "family" : "Fareed", "given" : "J", "non-dropping-particle" : "", "parse-names" : false, "suffix" : "" }, { "dropping-particle" : "", "family" : "Messmore", "given" : "H L", "non-dropping-particle" : "", "parse-names" : false, "suffix" : "" }, { "dropping-particle" : "", "family" : "Bermes", "given" : "E W", "non-dropping-particle" : "", "parse-names" : false, "suffix" : "" } ], "container-title" : "Clinical chemistry", "id" : "ITEM-1", "issue" : "10", "issued" : { "date-parts" : [ [ "1980" ] ] }, "note" : "ID: 83; ID: 721; PT: J; UT: ISI:A1980KH86100002", "page" : "1380-1391", "title" : "New Perspectives in Coagulation-Testing", "type" : "article-journal", "volume" : "26" }, "uris" : [ "http://www.mendeley.com/documents/?uuid=6ea24d68-5969-4950-a34c-ba4a424f40ab" ] }, { "id" : "ITEM-2", "itemData" : { "ISBN" : "007-8923 ER", "author" : [ { "dropping-particle" : "", "family" : "Messmore", "given" : "H L Jr", "non-dropping-particle" : "", "parse-names" : false, "suffix" : "" }, { "dropping-particle" : "", "family" : "Fareed", "given" : "J", "non-dropping-particle" : "", "parse-names" : false, "suffix" : "" }, { "dropping-particle" : "", "family" : "Kniffin", "given" : "J", "non-dropping-particle" : "", "parse-names" : false, "suffix" : "" }, { "dropping-particle" : "", "family" : "Squillaci", "given" : "G", "non-dropping-particle" : "", "parse-names" : false, "suffix" : "" }, { "dropping-particle" : "", "family" : "Walenga", "given" : "J", "non-dropping-particle" : "", "parse-names" : false, "suffix" : "" } ], "container-title" : "Annals of the New York Academy of Sciences", "id" : "ITEM-2", "issued" : { "date-parts" : [ [ "1981" ] ] }, "note" : "PT: J; TC: 0", "page" : "785-797", "title" : "Synthetic Substrate Assays of the Coagulation Enzymes and their Inhibitors Comparison with Clotting and Immunologic Methods for Clinical and Experimental Usage", "type" : "article-journal" }, "uris" : [ "http://www.mendeley.com/documents/?uuid=7d00c348-80f9-4eef-a9f3-b6271aefc82f" ] } ], "mendeley" : { "formattedCitation" : "&lt;sup&gt;17,18&lt;/sup&gt;", "plainTextFormattedCitation" : "17,18", "previouslyFormattedCitation" : "&lt;sup&gt;17,18&lt;/sup&gt;" }, "properties" : { "noteIndex" : 0 }, "schema" : "https://github.com/citation-style-language/schema/raw/master/csl-citation.json" }</w:instrText>
      </w:r>
      <w:r w:rsidR="000A2E92">
        <w:rPr>
          <w:b w:val="0"/>
          <w:vertAlign w:val="superscript"/>
        </w:rPr>
        <w:fldChar w:fldCharType="separate"/>
      </w:r>
      <w:r w:rsidR="000D3DDE" w:rsidRPr="000D3DDE">
        <w:rPr>
          <w:b w:val="0"/>
          <w:noProof/>
          <w:vertAlign w:val="superscript"/>
        </w:rPr>
        <w:t>17,18</w:t>
      </w:r>
      <w:r w:rsidR="000A2E92">
        <w:rPr>
          <w:b w:val="0"/>
          <w:vertAlign w:val="superscript"/>
        </w:rPr>
        <w:fldChar w:fldCharType="end"/>
      </w:r>
      <w:r w:rsidRPr="0016464A">
        <w:rPr>
          <w:b w:val="0"/>
        </w:rPr>
        <w:t xml:space="preserve"> Factor </w:t>
      </w:r>
      <w:proofErr w:type="spellStart"/>
      <w:r w:rsidRPr="0016464A">
        <w:rPr>
          <w:b w:val="0"/>
        </w:rPr>
        <w:t>Xa</w:t>
      </w:r>
      <w:proofErr w:type="spellEnd"/>
      <w:r w:rsidRPr="0016464A">
        <w:rPr>
          <w:b w:val="0"/>
        </w:rPr>
        <w:t xml:space="preserve"> was then identified as a significant protein in the coagulation cascade, occupying a pivotal position that could be targeted when monitoring anticoagulant therapy.</w:t>
      </w:r>
      <w:r w:rsidR="000A2E92">
        <w:rPr>
          <w:b w:val="0"/>
          <w:vertAlign w:val="superscript"/>
        </w:rPr>
        <w:fldChar w:fldCharType="begin" w:fldLock="1"/>
      </w:r>
      <w:r w:rsidR="000D3DDE">
        <w:rPr>
          <w:b w:val="0"/>
          <w:vertAlign w:val="superscript"/>
        </w:rPr>
        <w:instrText>ADDIN CSL_CITATION { "citationItems" : [ { "id" : "ITEM-1", "itemData" : { "ISBN" : "1538-7933 ER", "abstract" : "Existing vitamin K antagonists (VKAs) have drawbacks that limit their effectiveness, safety, and overall frequency of use. Oral anticoagulants in development with targeted action against individual coagulation factors, specifically direct factor (F) Xa and IIa inhibitors, appear to have pharmacokinetic and pharmacodynamic properties that overcome the limitations of the VKAs. Based on the theory of how coagulation factors interact, on the results of in vitro studies, and on clinical outcomes, there is accumulating evidence that FXa may represent a better target for inhibition than FIIa. This is based on an understanding of the amplified nature of coagulation factor interactions and fibrin formation, the need for smaller doses of an anticoagulant to block coagulation progression earlier in the sequence of reactions, the evidence for incomplete suppression of thrombin generation with direct thrombin inhibitors, evidence for rebound hypercoagulability with thrombin inhibitors, and clinical results with the indirect, parenteral, FXa inhibitor (fondaparinux), as well as early phase II results of new oral Xa and IIa inhibitors compared with enoxaparin. The latter studies, although not comparative, provide some evidence for the effectiveness and safety of Xa inhibitors at a range of doses not seen with the direct IIa inhibitors.", "author" : [ { "dropping-particle" : "", "family" : "Ansell", "given" : "J", "non-dropping-particle" : "", "parse-names" : false, "suffix" : "" } ], "container-title" : "Journal of Thrombosis and Haemostasis", "id" : "ITEM-1", "issued" : { "date-parts" : [ [ "2007" ] ] }, "note" : "PT: J; CT: 22nd Congress of the International-Society-on Thrombosis-and-Haemostasis; CY: JUL 06-12, 2007; CL: Geneva, SWITZERLAND; TC: 14; UT: WOS:000247890900011", "page" : "60-64", "title" : "Factor Xa or thrombin: is factor Xa a better target?", "type" : "article-journal", "volume" : "5" }, "uris" : [ "http://www.mendeley.com/documents/?uuid=0ab98e3b-f50b-4524-be0b-612093483e88" ] } ], "mendeley" : { "formattedCitation" : "&lt;sup&gt;19&lt;/sup&gt;", "plainTextFormattedCitation" : "19", "previouslyFormattedCitation" : "&lt;sup&gt;19&lt;/sup&gt;" }, "properties" : { "noteIndex" : 0 }, "schema" : "https://github.com/citation-style-language/schema/raw/master/csl-citation.json" }</w:instrText>
      </w:r>
      <w:r w:rsidR="000A2E92">
        <w:rPr>
          <w:b w:val="0"/>
          <w:vertAlign w:val="superscript"/>
        </w:rPr>
        <w:fldChar w:fldCharType="separate"/>
      </w:r>
      <w:r w:rsidR="000D3DDE" w:rsidRPr="000D3DDE">
        <w:rPr>
          <w:b w:val="0"/>
          <w:noProof/>
          <w:vertAlign w:val="superscript"/>
        </w:rPr>
        <w:t>19</w:t>
      </w:r>
      <w:r w:rsidR="000A2E92">
        <w:rPr>
          <w:b w:val="0"/>
          <w:vertAlign w:val="superscript"/>
        </w:rPr>
        <w:fldChar w:fldCharType="end"/>
      </w:r>
      <w:r w:rsidR="00D00197">
        <w:rPr>
          <w:b w:val="0"/>
        </w:rPr>
        <w:t xml:space="preserve"> </w:t>
      </w:r>
      <w:r w:rsidRPr="0016464A">
        <w:rPr>
          <w:b w:val="0"/>
        </w:rPr>
        <w:t xml:space="preserve">The development of a </w:t>
      </w:r>
      <w:proofErr w:type="spellStart"/>
      <w:r w:rsidRPr="0016464A">
        <w:rPr>
          <w:b w:val="0"/>
        </w:rPr>
        <w:t>FXa</w:t>
      </w:r>
      <w:proofErr w:type="spellEnd"/>
      <w:r w:rsidRPr="0016464A">
        <w:rPr>
          <w:b w:val="0"/>
        </w:rPr>
        <w:t xml:space="preserve"> specific peptide substrate resulted in the emergence of the anti-</w:t>
      </w:r>
      <w:proofErr w:type="spellStart"/>
      <w:r w:rsidRPr="0016464A">
        <w:rPr>
          <w:b w:val="0"/>
        </w:rPr>
        <w:t>Xa</w:t>
      </w:r>
      <w:proofErr w:type="spellEnd"/>
      <w:r w:rsidRPr="0016464A">
        <w:rPr>
          <w:b w:val="0"/>
        </w:rPr>
        <w:t xml:space="preserve"> colorimetric assay in 1976 which was used to monitor heparin therapy.</w:t>
      </w:r>
      <w:r w:rsidR="000A2E92">
        <w:rPr>
          <w:b w:val="0"/>
          <w:vertAlign w:val="superscript"/>
        </w:rPr>
        <w:fldChar w:fldCharType="begin" w:fldLock="1"/>
      </w:r>
      <w:r w:rsidR="000A2E92">
        <w:rPr>
          <w:b w:val="0"/>
          <w:vertAlign w:val="superscript"/>
        </w:rPr>
        <w:instrText>ADDIN CSL_CITATION { "citationItems" : [ { "id" : "ITEM-1", "itemData" : { "ISBN" : "0049-3848 ER", "author" : [ { "dropping-particle" : "", "family" : "Teien", "given" : "A N", "non-dropping-particle" : "", "parse-names" : false, "suffix" : "" }, { "dropping-particle" : "", "family" : "Lie", "given" : "M", "non-dropping-particle" : "", "parse-names" : false, "suffix" : "" }, { "dropping-particle" : "", "family" : "Abildgaard", "given" : "U", "non-dropping-particle" : "", "parse-names" : false, "suffix" : "" } ], "container-title" : "Thrombosis research", "id" : "ITEM-1", "issue" : "3", "issued" : { "date-parts" : [ [ "1976" ] ] }, "note" : "ID: 94; ID: 119; PT: J; TC: 336", "page" : "413-416", "title" : "Assay of Heparin in Plasma using a Chromogenic Substrate for Activated Factor-10", "type" : "article-journal", "volume" : "8" }, "uris" : [ "http://www.mendeley.com/documents/?uuid=42d67153-90f1-4352-8d51-fd870458a5f1" ] } ], "mendeley" : { "formattedCitation" : "&lt;sup&gt;6&lt;/sup&gt;", "plainTextFormattedCitation" : "6", "previouslyFormattedCitation" : "&lt;sup&gt;6&lt;/sup&gt;" }, "properties" : { "noteIndex" : 0 }, "schema" : "https://github.com/citation-style-language/schema/raw/master/csl-citation.json" }</w:instrText>
      </w:r>
      <w:r w:rsidR="000A2E92">
        <w:rPr>
          <w:b w:val="0"/>
          <w:vertAlign w:val="superscript"/>
        </w:rPr>
        <w:fldChar w:fldCharType="separate"/>
      </w:r>
      <w:r w:rsidR="000A2E92" w:rsidRPr="000A2E92">
        <w:rPr>
          <w:b w:val="0"/>
          <w:noProof/>
          <w:vertAlign w:val="superscript"/>
        </w:rPr>
        <w:t>6</w:t>
      </w:r>
      <w:r w:rsidR="000A2E92">
        <w:rPr>
          <w:b w:val="0"/>
          <w:vertAlign w:val="superscript"/>
        </w:rPr>
        <w:fldChar w:fldCharType="end"/>
      </w:r>
      <w:r w:rsidRPr="0016464A">
        <w:rPr>
          <w:b w:val="0"/>
        </w:rPr>
        <w:t xml:space="preserve"> Central diagnostic laboratories refer to the </w:t>
      </w:r>
      <w:proofErr w:type="spellStart"/>
      <w:r w:rsidRPr="0016464A">
        <w:rPr>
          <w:b w:val="0"/>
        </w:rPr>
        <w:t>the</w:t>
      </w:r>
      <w:proofErr w:type="spellEnd"/>
      <w:r w:rsidRPr="0016464A">
        <w:rPr>
          <w:b w:val="0"/>
        </w:rPr>
        <w:t xml:space="preserve"> anti-</w:t>
      </w:r>
      <w:proofErr w:type="spellStart"/>
      <w:r w:rsidRPr="0016464A">
        <w:rPr>
          <w:b w:val="0"/>
        </w:rPr>
        <w:t>Xa</w:t>
      </w:r>
      <w:proofErr w:type="spellEnd"/>
      <w:r w:rsidRPr="0016464A">
        <w:rPr>
          <w:b w:val="0"/>
        </w:rPr>
        <w:t xml:space="preserve"> assay as the ‘gold standard’ assay for measuring heparin anticoagulant therapy. Despite its popularity, it has not yet been translated into a POC device.</w:t>
      </w:r>
    </w:p>
    <w:p w:rsidR="0016464A" w:rsidRPr="0016464A" w:rsidRDefault="00C1468A" w:rsidP="0016464A">
      <w:pPr>
        <w:pStyle w:val="RSCB08CHeadingIn-line"/>
        <w:spacing w:line="240" w:lineRule="exact"/>
        <w:jc w:val="both"/>
        <w:rPr>
          <w:b w:val="0"/>
        </w:rPr>
      </w:pPr>
      <w:r>
        <w:rPr>
          <w:b w:val="0"/>
          <w:noProof/>
          <w:lang w:val="en-IE" w:eastAsia="en-IE"/>
        </w:rPr>
        <w:drawing>
          <wp:anchor distT="0" distB="0" distL="114300" distR="114300" simplePos="0" relativeHeight="251661312" behindDoc="0" locked="0" layoutInCell="1" allowOverlap="1" wp14:anchorId="3A82DFA0" wp14:editId="49C9DBD6">
            <wp:simplePos x="0" y="0"/>
            <wp:positionH relativeFrom="margin">
              <wp:posOffset>-88900</wp:posOffset>
            </wp:positionH>
            <wp:positionV relativeFrom="margin">
              <wp:posOffset>6105525</wp:posOffset>
            </wp:positionV>
            <wp:extent cx="3168015" cy="2097405"/>
            <wp:effectExtent l="0" t="0" r="0" b="0"/>
            <wp:wrapSquare wrapText="bothSides"/>
            <wp:docPr id="18" name="Picture 18" descr="E:\Laptop Backups\Leanne Harris EXaCT\IP1_Papers\IntegratedDevice_Paper\Analytical Methods\Graphic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aptop Backups\Leanne Harris EXaCT\IP1_Papers\IntegratedDevice_Paper\Analytical Methods\Graphics\Fig. 6.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8015" cy="2097405"/>
                    </a:xfrm>
                    <a:prstGeom prst="rect">
                      <a:avLst/>
                    </a:prstGeom>
                    <a:noFill/>
                    <a:ln>
                      <a:noFill/>
                    </a:ln>
                  </pic:spPr>
                </pic:pic>
              </a:graphicData>
            </a:graphic>
          </wp:anchor>
        </w:drawing>
      </w:r>
      <w:r w:rsidR="0016464A" w:rsidRPr="0016464A">
        <w:rPr>
          <w:b w:val="0"/>
        </w:rPr>
        <w:t>The work presented here focuses on the development of a POC device for monitoring anticoagulant therapy in cardiac patients that operates on the anti-</w:t>
      </w:r>
      <w:proofErr w:type="spellStart"/>
      <w:r w:rsidR="0016464A" w:rsidRPr="0016464A">
        <w:rPr>
          <w:b w:val="0"/>
        </w:rPr>
        <w:t>Xa</w:t>
      </w:r>
      <w:proofErr w:type="spellEnd"/>
      <w:r w:rsidR="0016464A" w:rsidRPr="0016464A">
        <w:rPr>
          <w:b w:val="0"/>
        </w:rPr>
        <w:t xml:space="preserve"> assay principle. Our initial aim was to develop a simple disposable chip that incorporates the anti-</w:t>
      </w:r>
      <w:proofErr w:type="spellStart"/>
      <w:r w:rsidR="0016464A" w:rsidRPr="0016464A">
        <w:rPr>
          <w:b w:val="0"/>
        </w:rPr>
        <w:t>Xa</w:t>
      </w:r>
      <w:proofErr w:type="spellEnd"/>
      <w:r w:rsidR="0016464A" w:rsidRPr="0016464A">
        <w:rPr>
          <w:b w:val="0"/>
        </w:rPr>
        <w:t xml:space="preserve"> assay. The simplicity of the chip is achieved through the mechanism of capillary fill, so there is no integration of complex, sophisticated, and costly instrumentation such as pumps or valves into the device. The chip was fabricated from 188 µm </w:t>
      </w:r>
      <w:proofErr w:type="spellStart"/>
      <w:r w:rsidR="0016464A" w:rsidRPr="0016464A">
        <w:rPr>
          <w:b w:val="0"/>
        </w:rPr>
        <w:t>Zeonor</w:t>
      </w:r>
      <w:proofErr w:type="spellEnd"/>
      <w:r w:rsidR="0016464A" w:rsidRPr="0016464A">
        <w:rPr>
          <w:b w:val="0"/>
        </w:rPr>
        <w:t>® which is easily manipulated during manufacture on the Graphtec Vinyl Cutter. Other microfluidic techniques such as laser ablation or hot embossing can be costly to operate and often require skilled operators, compared to cutting plotters which are user friendly and low cost alternatives.</w:t>
      </w:r>
    </w:p>
    <w:p w:rsidR="0016464A" w:rsidRPr="0016464A" w:rsidRDefault="0016464A" w:rsidP="0016464A">
      <w:pPr>
        <w:pStyle w:val="RSCB08CHeadingIn-line"/>
        <w:spacing w:line="240" w:lineRule="exact"/>
        <w:jc w:val="both"/>
        <w:rPr>
          <w:b w:val="0"/>
        </w:rPr>
      </w:pPr>
      <w:r w:rsidRPr="0016464A">
        <w:rPr>
          <w:b w:val="0"/>
        </w:rPr>
        <w:t>As aforementioned, COP was chosen as the substrate material for this chip design as it offers additional advantages over polymers such as polycarbonate (PC) and polyethylene terephthalate (PET) in terms of its excellent optical clarity, high UV transmission, easy modification of its surface and suitability for disposable POC devices.</w:t>
      </w:r>
      <w:r w:rsidR="000A2E92">
        <w:rPr>
          <w:b w:val="0"/>
          <w:vertAlign w:val="superscript"/>
        </w:rPr>
        <w:fldChar w:fldCharType="begin" w:fldLock="1"/>
      </w:r>
      <w:r w:rsidR="000D3DDE">
        <w:rPr>
          <w:b w:val="0"/>
          <w:vertAlign w:val="superscript"/>
        </w:rPr>
        <w:instrText>ADDIN CSL_CITATION { "citationItems" : [ { "id" : "ITEM-1", "itemData" : { "DOI" : "10.1039/b512179e", "ISSN" : "1473-0197", "PMID" : "16372071", "abstract" : "The fabrication of polymer microchips allows inexpensive, durable, high-throughput and disposable devices to be made. Poly(methylmethacrylate) (PMMA) microchips have been fabricated by hot embossing microstructures into the substrate followed by bonding a cover plate. Different surface modifications have been examined to enhance substrate and cover plate adhesion, including: air plasma treatment, and both acid catalyzed hydrolysis and aminolysis of the acrylate to yield carboxyl and amine-terminated PMMA surfaces. Unmodified PMMA surfaces were also studied. The substrate and cover plate adhesion strengths were found to increase with the hydrophilicity of the PMMA surface and reached a peak at 600 kN m(-2) for plasma treated PMMA. A solvent assisted system has also been designed to soften less than 50 nm of the surface of PMMA during bonding, while still maintaining microchannel integrity. The extent to which both surface modifications and solvent treatment affected the adhesion of the substrate to the cover plate was examined using nanoindentation methods. The solvent bonding system greatly increased the adhesion strengths for both unmodified and modified PMMA, with a maximum adhesion force of 5500 kN m(-2) achieved for unmodified PMMA substrates. The bond strength decreased with increasing surface hydrophilicity after solvent bonding, a trend that was opposite to what was observed for non-solvent thermal bonding.", "author" : [ { "dropping-particle" : "", "family" : "Brown", "given" : "Laurie", "non-dropping-particle" : "", "parse-names" : false, "suffix" : "" }, { "dropping-particle" : "", "family" : "Koerner", "given" : "Terry", "non-dropping-particle" : "", "parse-names" : false, "suffix" : "" }, { "dropping-particle" : "", "family" : "Horton", "given" : "J Hugh", "non-dropping-particle" : "", "parse-names" : false, "suffix" : "" }, { "dropping-particle" : "", "family" : "Oleschuk", "given" : "Richard D", "non-dropping-particle" : "", "parse-names" : false, "suffix" : "" } ], "container-title" : "Lab Chip", "id" : "ITEM-1", "issue" : "1", "issued" : { "date-parts" : [ [ "2006", "1" ] ] }, "page" : "66-73", "title" : "Fabrication and characterization of poly(methylmethacrylate) microfluidic devices bonded using surface modifications and solvents", "type" : "article-journal", "volume" : "6" }, "uris" : [ "http://www.mendeley.com/documents/?uuid=61e85708-2d2e-477b-9a21-3bcac4b2d5dc" ] }, { "id" : "ITEM-2", "itemData" : { "DOI" : "10.1021/ac2030199", "ISSN" : "1520-6882", "PMID" : "22221172", "author" : [ { "dropping-particle" : "", "family" : "Gubala", "given" : "Vladimir", "non-dropping-particle" : "", "parse-names" : false, "suffix" : "" }, { "dropping-particle" : "", "family" : "Harris", "given" : "Leanne F", "non-dropping-particle" : "", "parse-names" : false, "suffix" : "" }, { "dropping-particle" : "", "family" : "Ricco", "given" : "Antonio J", "non-dropping-particle" : "", "parse-names" : false, "suffix" : "" }, { "dropping-particle" : "", "family" : "Tan", "given" : "Ming X", "non-dropping-particle" : "", "parse-names" : false, "suffix" : "" }, { "dropping-particle" : "", "family" : "Williams", "given" : "David E", "non-dropping-particle" : "", "parse-names" : false, "suffix" : "" } ], "container-title" : "Anal. Chem.", "id" : "ITEM-2", "issue" : "2", "issued" : { "date-parts" : [ [ "2012", "1", "17" ] ] }, "page" : "487-515", "title" : "Point of care diagnostics: status and future", "type" : "article-journal", "volume" : "84" }, "uris" : [ "http://www.mendeley.com/documents/?uuid=619aebb0-9763-43a6-bffd-8dfc3aee5fd8" ] }, { "id" : "ITEM-3", "itemData" : { "ISBN" : "0003-2700", "abstract" : "A polymeric microfluidic device for solid-phase extraction (SPE)-based isolation of nucleic acids is demonstrated. The plastic chip can function as a disposable sample preparation system for different biological and diagnostic applications. The chip was fabricated in a cyclic polyolefin by hot-embossing with a master mold. The solid phase consisted of a porous monolithic polymer column impregnated with silica particles. The extraction was achieved due to the binding of nucleic acids to the silica particles in the monolith. The solid phase was formed within the channels of the device by in situ photoinitiated polymerization of a mixture of methacrylate and dimethacrylate monomers, UV-sensitive free-radical initiator, and porogenic solvents. The channel surfaces were pretreated via photografting to covalently attach the monolith to the channel walls. The solid phase prepared by this method allowed for successful extraction and elution of nucleic acids in the polymeric microchip.", "author" : [ { "dropping-particle" : "", "family" : "Bhattacharyya", "given" : "A", "non-dropping-particle" : "", "parse-names" : false, "suffix" : "" }, { "dropping-particle" : "", "family" : "Klapperich", "given" : "C M", "non-dropping-particle" : "", "parse-names" : false, "suffix" : "" } ], "container-title" : "Anal. Chem.", "id" : "ITEM-3", "issue" : "3", "issued" : { "date-parts" : [ [ "2006", "2" ] ] }, "note" : "PT: J; UT: WOS:000235195200034", "page" : "788-792", "title" : "Thermoplastic microfluidic device for on-chip purification of nucleic acids for disposable diagnostics", "type" : "article-journal", "volume" : "78" }, "uris" : [ "http://www.mendeley.com/documents/?uuid=1aea43a4-7b75-4dc7-8217-32d41cd28eb3" ] } ], "mendeley" : { "formattedCitation" : "&lt;sup&gt;20\u201322&lt;/sup&gt;", "plainTextFormattedCitation" : "20\u201322", "previouslyFormattedCitation" : "&lt;sup&gt;20\u201322&lt;/sup&gt;" }, "properties" : { "noteIndex" : 0 }, "schema" : "https://github.com/citation-style-language/schema/raw/master/csl-citation.json" }</w:instrText>
      </w:r>
      <w:r w:rsidR="000A2E92">
        <w:rPr>
          <w:b w:val="0"/>
          <w:vertAlign w:val="superscript"/>
        </w:rPr>
        <w:fldChar w:fldCharType="separate"/>
      </w:r>
      <w:r w:rsidR="000D3DDE" w:rsidRPr="000D3DDE">
        <w:rPr>
          <w:b w:val="0"/>
          <w:noProof/>
          <w:vertAlign w:val="superscript"/>
        </w:rPr>
        <w:t>20–22</w:t>
      </w:r>
      <w:r w:rsidR="000A2E92">
        <w:rPr>
          <w:b w:val="0"/>
          <w:vertAlign w:val="superscript"/>
        </w:rPr>
        <w:fldChar w:fldCharType="end"/>
      </w:r>
      <w:r w:rsidRPr="0016464A">
        <w:rPr>
          <w:b w:val="0"/>
        </w:rPr>
        <w:t xml:space="preserve"> </w:t>
      </w:r>
    </w:p>
    <w:p w:rsidR="0016464A" w:rsidRPr="0016464A" w:rsidRDefault="0016464A" w:rsidP="0016464A">
      <w:pPr>
        <w:pStyle w:val="RSCB08CHeadingIn-line"/>
        <w:spacing w:line="240" w:lineRule="exact"/>
        <w:jc w:val="both"/>
        <w:rPr>
          <w:b w:val="0"/>
        </w:rPr>
      </w:pPr>
      <w:r w:rsidRPr="0016464A">
        <w:rPr>
          <w:b w:val="0"/>
        </w:rPr>
        <w:t>The concept of capillary force has long been used in lateral flow tests which are the most commercially successful POC platforms due to their simplicity.</w:t>
      </w:r>
      <w:r w:rsidR="000A2E92">
        <w:rPr>
          <w:b w:val="0"/>
          <w:vertAlign w:val="superscript"/>
        </w:rPr>
        <w:fldChar w:fldCharType="begin" w:fldLock="1"/>
      </w:r>
      <w:r w:rsidR="000D3DDE">
        <w:rPr>
          <w:b w:val="0"/>
          <w:vertAlign w:val="superscript"/>
        </w:rPr>
        <w:instrText>ADDIN CSL_CITATION { "citationItems" : [ { "id" : "ITEM-1", "itemData" : { "ISBN" : "0306-0012", "abstract" : "This critical review summarizes developments in microfluidic platforms that enable the miniaturization, integration, automation and parallelization of (bio-)chemical assays (see S. Haeberle and R. Zengerle, Lab Chip, 2007, 7, 1094-1110, for an earlier review). In contrast to isolated application-specific solutions, a microfluidic platform provides a set of fluidic unit operations, which are designed for easy combination within a well-defined fabrication technology. This allows the easy, fast, and cost-efficient implementation of different application-specific (bio-)chemical processes. In our review we focus on recent developments from the last decade (2000s). We start with a brief introduction into technical advances, major market segments and promising applications. We continue with a detailed characterization of different microfluidic platforms, comprising a short definition, the functional principle, microfluidic unit operations, application examples as well as strengths and limitations of every platform. The microfluidic platforms in focus are lateral flow tests, linear actuated devices, pressure driven laminar flow, microfluidic large scale integration, segmented flow microfluidics, centrifugal microfluidics, electrokinetics, electrowetting, surface acoustic waves, and dedicated systems for massively parallel analysis. This review concludes with the attempt to provide a selection scheme for microfluidic platforms which is based on their characteristics according to key requirements of different applications and market segments. Applied selection criteria comprise portability, costs of instrument and disposability, sample throughput, number of parameters per sample, reagent consumption, precision, diversity of microfluidic unit operations and the flexibility in programming different liquid handling protocols (295 references).", "author" : [ { "dropping-particle" : "", "family" : "Mark", "given" : "Daniel", "non-dropping-particle" : "", "parse-names" : false, "suffix" : "" }, { "dropping-particle" : "", "family" : "Haeberle", "given" : "Stefan", "non-dropping-particle" : "", "parse-names" : false, "suffix" : "" }, { "dropping-particle" : "", "family" : "Roth", "given" : "Guenter", "non-dropping-particle" : "", "parse-names" : false, "suffix" : "" }, { "dropping-particle" : "", "family" : "Stetten", "given" : "Felix", "non-dropping-particle" : "von", "parse-names" : false, "suffix" : "" }, { "dropping-particle" : "", "family" : "Zengerle", "given" : "Roland", "non-dropping-particle" : "", "parse-names" : false, "suffix" : "" } ], "container-title" : "Chem. Soc. Rev.", "id" : "ITEM-1", "issue" : "3", "issued" : { "date-parts" : [ [ "2010" ] ] }, "note" : "PT: J; NR: 286; TC: 60; J9: CHEM SOC REV; PG: 30; GA: 560RR; UT: WOS:000274920300019", "page" : "1153-1182", "title" : "Microfluidic lab-on-a-chip platforms: requirements, characteristics and applications", "type" : "article-journal", "volume" : "39" }, "uris" : [ "http://www.mendeley.com/documents/?uuid=dd40d337-c5d3-4ed7-978f-44b8dc89496b" ] } ], "mendeley" : { "formattedCitation" : "&lt;sup&gt;23&lt;/sup&gt;", "plainTextFormattedCitation" : "23", "previouslyFormattedCitation" : "&lt;sup&gt;23&lt;/sup&gt;" }, "properties" : { "noteIndex" : 0 }, "schema" : "https://github.com/citation-style-language/schema/raw/master/csl-citation.json" }</w:instrText>
      </w:r>
      <w:r w:rsidR="000A2E92">
        <w:rPr>
          <w:b w:val="0"/>
          <w:vertAlign w:val="superscript"/>
        </w:rPr>
        <w:fldChar w:fldCharType="separate"/>
      </w:r>
      <w:r w:rsidR="000D3DDE" w:rsidRPr="000D3DDE">
        <w:rPr>
          <w:b w:val="0"/>
          <w:noProof/>
          <w:vertAlign w:val="superscript"/>
        </w:rPr>
        <w:t>23</w:t>
      </w:r>
      <w:r w:rsidR="000A2E92">
        <w:rPr>
          <w:b w:val="0"/>
          <w:vertAlign w:val="superscript"/>
        </w:rPr>
        <w:fldChar w:fldCharType="end"/>
      </w:r>
      <w:r w:rsidRPr="0016464A">
        <w:rPr>
          <w:b w:val="0"/>
        </w:rPr>
        <w:t xml:space="preserve"> Native </w:t>
      </w:r>
      <w:proofErr w:type="spellStart"/>
      <w:r w:rsidRPr="0016464A">
        <w:rPr>
          <w:b w:val="0"/>
        </w:rPr>
        <w:t>Zeonor</w:t>
      </w:r>
      <w:proofErr w:type="spellEnd"/>
      <w:r w:rsidRPr="0016464A">
        <w:rPr>
          <w:b w:val="0"/>
        </w:rPr>
        <w:t xml:space="preserve">® is highly hydrophobic which is suitable for reagent deposition but it becomes problematic when working with devices using capillary fill as it prevents flow. To render the </w:t>
      </w:r>
      <w:proofErr w:type="spellStart"/>
      <w:r w:rsidRPr="0016464A">
        <w:rPr>
          <w:b w:val="0"/>
        </w:rPr>
        <w:t>Zeonor</w:t>
      </w:r>
      <w:proofErr w:type="spellEnd"/>
      <w:r w:rsidRPr="0016464A">
        <w:rPr>
          <w:b w:val="0"/>
        </w:rPr>
        <w:t xml:space="preserve">® surface hydrophilic, three surface chemistries were analyzed to modify the polymer. From the results obtained, the </w:t>
      </w:r>
      <w:proofErr w:type="spellStart"/>
      <w:r w:rsidRPr="0016464A">
        <w:rPr>
          <w:b w:val="0"/>
        </w:rPr>
        <w:t>Hydromer</w:t>
      </w:r>
      <w:proofErr w:type="spellEnd"/>
      <w:r w:rsidRPr="0016464A">
        <w:rPr>
          <w:b w:val="0"/>
        </w:rPr>
        <w:t xml:space="preserve">-modified </w:t>
      </w:r>
      <w:proofErr w:type="spellStart"/>
      <w:r w:rsidRPr="0016464A">
        <w:rPr>
          <w:b w:val="0"/>
        </w:rPr>
        <w:t>Zeonor</w:t>
      </w:r>
      <w:proofErr w:type="spellEnd"/>
      <w:r w:rsidRPr="0016464A">
        <w:rPr>
          <w:b w:val="0"/>
        </w:rPr>
        <w:t xml:space="preserve">® with low water contact angles of 17.5° ± 0.9, produced the most reproducible capillary fill times of </w:t>
      </w:r>
      <w:r w:rsidRPr="0016464A">
        <w:rPr>
          <w:b w:val="0"/>
        </w:rPr>
        <w:lastRenderedPageBreak/>
        <w:t xml:space="preserve">20.3 s ± 2.1. The device was based on a joint hydrophilic/hydrophobic design to incorporate both the reagent deposition and capillary fill components of the device. The method of detection for this device is based on fluorescence, so </w:t>
      </w:r>
      <w:proofErr w:type="spellStart"/>
      <w:r w:rsidRPr="0016464A">
        <w:rPr>
          <w:b w:val="0"/>
        </w:rPr>
        <w:t>Zeonor</w:t>
      </w:r>
      <w:proofErr w:type="spellEnd"/>
      <w:r w:rsidRPr="0016464A">
        <w:rPr>
          <w:b w:val="0"/>
        </w:rPr>
        <w:t>® was selected, as it resulted in low background fluorescence at wavelengths of 342 nm. Treatment with the HY10 coating resulted in responses of 640.9 ± 2.3 AU, which were too high in terms of background fluorescence.</w:t>
      </w:r>
    </w:p>
    <w:p w:rsidR="0016464A" w:rsidRPr="0016464A" w:rsidRDefault="0016464A" w:rsidP="0016464A">
      <w:pPr>
        <w:pStyle w:val="RSCB08CHeadingIn-line"/>
        <w:spacing w:line="240" w:lineRule="exact"/>
        <w:jc w:val="both"/>
        <w:rPr>
          <w:b w:val="0"/>
        </w:rPr>
      </w:pPr>
      <w:r w:rsidRPr="0016464A">
        <w:rPr>
          <w:b w:val="0"/>
        </w:rPr>
        <w:t>The fully integrated device developed showed sensitivity in the therapeutic ranges for UFH (0 – 0.75 U</w:t>
      </w:r>
      <w:r w:rsidR="00A7606E">
        <w:rPr>
          <w:b w:val="0"/>
        </w:rPr>
        <w:t>/mL</w:t>
      </w:r>
      <w:r w:rsidRPr="0016464A">
        <w:rPr>
          <w:b w:val="0"/>
        </w:rPr>
        <w:t>) and LMWH (0 – 1 U</w:t>
      </w:r>
      <w:r w:rsidR="00A7606E">
        <w:rPr>
          <w:b w:val="0"/>
        </w:rPr>
        <w:t>/mL</w:t>
      </w:r>
      <w:r w:rsidRPr="0016464A">
        <w:rPr>
          <w:b w:val="0"/>
        </w:rPr>
        <w:t xml:space="preserve">). </w:t>
      </w:r>
      <w:r w:rsidR="00461A05">
        <w:rPr>
          <w:b w:val="0"/>
        </w:rPr>
        <w:t>Average CVs were &lt;11%, despite high CVs at 0.25U</w:t>
      </w:r>
      <w:r w:rsidR="00A7606E">
        <w:rPr>
          <w:b w:val="0"/>
        </w:rPr>
        <w:t>/mL</w:t>
      </w:r>
      <w:r w:rsidR="00461A05">
        <w:rPr>
          <w:b w:val="0"/>
        </w:rPr>
        <w:t xml:space="preserve"> which would be reduced with further device development.</w:t>
      </w:r>
    </w:p>
    <w:p w:rsidR="0016464A" w:rsidRPr="0016464A" w:rsidRDefault="0016464A" w:rsidP="0016464A">
      <w:pPr>
        <w:pStyle w:val="RSCB08CHeadingIn-line"/>
        <w:spacing w:line="240" w:lineRule="exact"/>
        <w:jc w:val="both"/>
        <w:rPr>
          <w:b w:val="0"/>
        </w:rPr>
      </w:pPr>
      <w:r w:rsidRPr="0016464A">
        <w:rPr>
          <w:b w:val="0"/>
        </w:rPr>
        <w:t xml:space="preserve">Comparisons on levels of sensitivity and precision can only be drawn with clot-based devices for heparin measurement currently on the market, as an optical POC system for anticoagulant monitoring is not currently available. Comparisons can be drawn with the </w:t>
      </w:r>
      <w:proofErr w:type="spellStart"/>
      <w:r w:rsidRPr="0016464A">
        <w:rPr>
          <w:b w:val="0"/>
        </w:rPr>
        <w:t>Hemochron</w:t>
      </w:r>
      <w:proofErr w:type="spellEnd"/>
      <w:r w:rsidRPr="0016464A">
        <w:rPr>
          <w:b w:val="0"/>
        </w:rPr>
        <w:t xml:space="preserve">® systems which are some of the most commonly used POC coagulation devices on the market. </w:t>
      </w:r>
      <w:proofErr w:type="spellStart"/>
      <w:r w:rsidRPr="0016464A">
        <w:rPr>
          <w:b w:val="0"/>
        </w:rPr>
        <w:t>Hemochron</w:t>
      </w:r>
      <w:proofErr w:type="spellEnd"/>
      <w:r w:rsidRPr="0016464A">
        <w:rPr>
          <w:b w:val="0"/>
        </w:rPr>
        <w:t xml:space="preserve">® </w:t>
      </w:r>
      <w:proofErr w:type="spellStart"/>
      <w:r w:rsidRPr="0016464A">
        <w:rPr>
          <w:b w:val="0"/>
        </w:rPr>
        <w:t>aPTT</w:t>
      </w:r>
      <w:proofErr w:type="spellEnd"/>
      <w:r w:rsidRPr="0016464A">
        <w:rPr>
          <w:b w:val="0"/>
        </w:rPr>
        <w:t xml:space="preserve"> measurements report linearity with heparin up to 1.5 U</w:t>
      </w:r>
      <w:r w:rsidR="00A7606E">
        <w:rPr>
          <w:b w:val="0"/>
        </w:rPr>
        <w:t>/mL</w:t>
      </w:r>
      <w:r w:rsidRPr="0016464A">
        <w:rPr>
          <w:b w:val="0"/>
        </w:rPr>
        <w:t>, at intervals of 0.25 U</w:t>
      </w:r>
      <w:r w:rsidR="00A7606E">
        <w:rPr>
          <w:b w:val="0"/>
        </w:rPr>
        <w:t>/mL</w:t>
      </w:r>
      <w:r w:rsidRPr="0016464A">
        <w:rPr>
          <w:b w:val="0"/>
        </w:rPr>
        <w:t xml:space="preserve"> and CVs of &lt;14%. Our system is also outperforming other POC diagnostics in terms of volume and turnaround times. The anti-</w:t>
      </w:r>
      <w:proofErr w:type="spellStart"/>
      <w:r w:rsidRPr="0016464A">
        <w:rPr>
          <w:b w:val="0"/>
        </w:rPr>
        <w:t>Xa</w:t>
      </w:r>
      <w:proofErr w:type="spellEnd"/>
      <w:r w:rsidRPr="0016464A">
        <w:rPr>
          <w:b w:val="0"/>
        </w:rPr>
        <w:t xml:space="preserve"> assay and device requires a small sample volume of 20 µl and results processed within 30 or 60 seconds. This correlates with devices such as the </w:t>
      </w:r>
      <w:proofErr w:type="spellStart"/>
      <w:r w:rsidRPr="0016464A">
        <w:rPr>
          <w:b w:val="0"/>
        </w:rPr>
        <w:t>CoaguCheck</w:t>
      </w:r>
      <w:proofErr w:type="spellEnd"/>
      <w:r w:rsidRPr="0016464A">
        <w:rPr>
          <w:b w:val="0"/>
        </w:rPr>
        <w:t xml:space="preserve"> (Roche Diagnostics, UK), yet significantly lower than the 50 µl sample volume required for the </w:t>
      </w:r>
      <w:proofErr w:type="spellStart"/>
      <w:r w:rsidRPr="0016464A">
        <w:rPr>
          <w:b w:val="0"/>
        </w:rPr>
        <w:t>Hemochron</w:t>
      </w:r>
      <w:proofErr w:type="spellEnd"/>
      <w:r w:rsidRPr="0016464A">
        <w:rPr>
          <w:b w:val="0"/>
        </w:rPr>
        <w:t>® systems.</w:t>
      </w:r>
    </w:p>
    <w:p w:rsidR="00F86035" w:rsidRDefault="00F86035" w:rsidP="00FC2F5F">
      <w:pPr>
        <w:pStyle w:val="RSCB08CHeadingIn-line"/>
        <w:spacing w:line="240" w:lineRule="exact"/>
        <w:jc w:val="both"/>
        <w:rPr>
          <w:b w:val="0"/>
        </w:rPr>
      </w:pPr>
    </w:p>
    <w:p w:rsidR="00FC2F5F" w:rsidRPr="009F42F1" w:rsidRDefault="0016464A" w:rsidP="00FC2F5F">
      <w:pPr>
        <w:pStyle w:val="RSCB08CHeadingIn-line"/>
        <w:spacing w:line="240" w:lineRule="exact"/>
        <w:jc w:val="both"/>
        <w:rPr>
          <w:sz w:val="24"/>
          <w:szCs w:val="24"/>
        </w:rPr>
      </w:pPr>
      <w:r w:rsidRPr="009F42F1">
        <w:rPr>
          <w:sz w:val="24"/>
          <w:szCs w:val="24"/>
        </w:rPr>
        <w:t>C</w:t>
      </w:r>
      <w:r w:rsidR="009F42F1">
        <w:rPr>
          <w:sz w:val="24"/>
          <w:szCs w:val="24"/>
        </w:rPr>
        <w:t>onclusion</w:t>
      </w:r>
    </w:p>
    <w:p w:rsidR="00D00197" w:rsidRDefault="00D00197" w:rsidP="00D00197">
      <w:pPr>
        <w:pStyle w:val="RSCB08CHeadingIn-line"/>
        <w:spacing w:line="240" w:lineRule="exact"/>
        <w:jc w:val="both"/>
        <w:rPr>
          <w:b w:val="0"/>
        </w:rPr>
      </w:pPr>
      <w:r w:rsidRPr="0016464A">
        <w:rPr>
          <w:b w:val="0"/>
        </w:rPr>
        <w:t>In terms of patient analysis, plasma samples from patients on UFH were tested on the device and a Pearson correlation of 0.88 was achieved by comparing fluorescence with clotting time. With low heparin concentrations, fluorescence intensities are high and clotting times are short. Here we present preliminary results of a POC anti-</w:t>
      </w:r>
      <w:proofErr w:type="spellStart"/>
      <w:r w:rsidRPr="0016464A">
        <w:rPr>
          <w:b w:val="0"/>
        </w:rPr>
        <w:t>Xa</w:t>
      </w:r>
      <w:proofErr w:type="spellEnd"/>
      <w:r w:rsidRPr="0016464A">
        <w:rPr>
          <w:b w:val="0"/>
        </w:rPr>
        <w:t xml:space="preserve"> device but with further development, the </w:t>
      </w:r>
      <w:proofErr w:type="spellStart"/>
      <w:r w:rsidRPr="0016464A">
        <w:rPr>
          <w:b w:val="0"/>
        </w:rPr>
        <w:t>fluorogenic</w:t>
      </w:r>
      <w:proofErr w:type="spellEnd"/>
      <w:r w:rsidRPr="0016464A">
        <w:rPr>
          <w:b w:val="0"/>
        </w:rPr>
        <w:t xml:space="preserve"> anti-</w:t>
      </w:r>
      <w:proofErr w:type="spellStart"/>
      <w:r w:rsidRPr="0016464A">
        <w:rPr>
          <w:b w:val="0"/>
        </w:rPr>
        <w:t>Xa</w:t>
      </w:r>
      <w:proofErr w:type="spellEnd"/>
      <w:r w:rsidRPr="0016464A">
        <w:rPr>
          <w:b w:val="0"/>
        </w:rPr>
        <w:t xml:space="preserve"> assay and device could prove successful for near-patient monitoring of antithrombotics with the knock-on effect of improving the health of patients on anticoagulant drugs.</w:t>
      </w:r>
    </w:p>
    <w:p w:rsidR="00FA2DA2" w:rsidRDefault="00FA2DA2" w:rsidP="00FC2F5F">
      <w:pPr>
        <w:pStyle w:val="RSCB04AHeadingSection"/>
        <w:spacing w:line="240" w:lineRule="exact"/>
      </w:pPr>
      <w:r>
        <w:t>Acknowledgements</w:t>
      </w:r>
    </w:p>
    <w:p w:rsidR="00FA2DA2" w:rsidRPr="00A61D3E" w:rsidRDefault="00F714CA" w:rsidP="00FC2F5F">
      <w:pPr>
        <w:pStyle w:val="RSCB02ArticleText"/>
      </w:pPr>
      <w:r w:rsidRPr="00F714CA">
        <w:t>This work was supported by Enterprise Ireland under Grant No. TD/2009/0124</w:t>
      </w:r>
      <w:r>
        <w:t>.</w:t>
      </w:r>
      <w:r w:rsidR="00FA2DA2" w:rsidRPr="00702742">
        <w:t xml:space="preserve"> </w:t>
      </w:r>
    </w:p>
    <w:p w:rsidR="00D010E8" w:rsidRPr="00EF6BD4" w:rsidRDefault="004F0847" w:rsidP="00FC2F5F">
      <w:pPr>
        <w:pStyle w:val="RSCB04AHeadingSection"/>
        <w:spacing w:line="240" w:lineRule="exact"/>
      </w:pPr>
      <w:r>
        <w:t>R</w:t>
      </w:r>
      <w:r w:rsidR="00E61949" w:rsidRPr="00EF6BD4">
        <w:t>eferences</w:t>
      </w:r>
    </w:p>
    <w:p w:rsidR="00EC7032" w:rsidRPr="00EC7032" w:rsidRDefault="00C66284"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C66284">
        <w:rPr>
          <w:rFonts w:eastAsia="Times New Roman"/>
          <w:b/>
          <w:sz w:val="18"/>
          <w:szCs w:val="18"/>
          <w:lang w:eastAsia="en-GB"/>
        </w:rPr>
        <w:fldChar w:fldCharType="begin" w:fldLock="1"/>
      </w:r>
      <w:r w:rsidRPr="00C66284">
        <w:rPr>
          <w:b/>
          <w:sz w:val="18"/>
          <w:szCs w:val="18"/>
        </w:rPr>
        <w:instrText xml:space="preserve">ADDIN Mendeley Bibliography CSL_BIBLIOGRAPHY </w:instrText>
      </w:r>
      <w:r w:rsidRPr="00C66284">
        <w:rPr>
          <w:rFonts w:eastAsia="Times New Roman"/>
          <w:b/>
          <w:sz w:val="18"/>
          <w:szCs w:val="18"/>
          <w:lang w:eastAsia="en-GB"/>
        </w:rPr>
        <w:fldChar w:fldCharType="separate"/>
      </w:r>
      <w:r w:rsidR="00EC7032" w:rsidRPr="00EC7032">
        <w:rPr>
          <w:rFonts w:ascii="Calibri" w:hAnsi="Calibri" w:cs="Times New Roman"/>
          <w:noProof/>
          <w:sz w:val="18"/>
          <w:szCs w:val="24"/>
        </w:rPr>
        <w:t>1</w:t>
      </w:r>
      <w:r w:rsidR="00EC7032" w:rsidRPr="00EC7032">
        <w:rPr>
          <w:rFonts w:ascii="Calibri" w:hAnsi="Calibri" w:cs="Times New Roman"/>
          <w:noProof/>
          <w:sz w:val="18"/>
          <w:szCs w:val="24"/>
        </w:rPr>
        <w:tab/>
        <w:t xml:space="preserve">B. Wood and L. Fitzpatrick, </w:t>
      </w:r>
      <w:r w:rsidR="00EC7032" w:rsidRPr="00EC7032">
        <w:rPr>
          <w:rFonts w:ascii="Calibri" w:hAnsi="Calibri" w:cs="Times New Roman"/>
          <w:i/>
          <w:iCs/>
          <w:noProof/>
          <w:sz w:val="18"/>
          <w:szCs w:val="24"/>
        </w:rPr>
        <w:t>Formulary</w:t>
      </w:r>
      <w:r w:rsidR="00EC7032" w:rsidRPr="00EC7032">
        <w:rPr>
          <w:rFonts w:ascii="Calibri" w:hAnsi="Calibri" w:cs="Times New Roman"/>
          <w:noProof/>
          <w:sz w:val="18"/>
          <w:szCs w:val="24"/>
        </w:rPr>
        <w:t xml:space="preserve">, 2010, </w:t>
      </w:r>
      <w:r w:rsidR="00EC7032" w:rsidRPr="00EC7032">
        <w:rPr>
          <w:rFonts w:ascii="Calibri" w:hAnsi="Calibri" w:cs="Times New Roman"/>
          <w:b/>
          <w:bCs/>
          <w:noProof/>
          <w:sz w:val="18"/>
          <w:szCs w:val="24"/>
        </w:rPr>
        <w:t>45</w:t>
      </w:r>
      <w:r w:rsidR="00EC7032" w:rsidRPr="00EC7032">
        <w:rPr>
          <w:rFonts w:ascii="Calibri" w:hAnsi="Calibri" w:cs="Times New Roman"/>
          <w:noProof/>
          <w:sz w:val="18"/>
          <w:szCs w:val="24"/>
        </w:rPr>
        <w:t>, 91–100.</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2</w:t>
      </w:r>
      <w:r w:rsidRPr="00EC7032">
        <w:rPr>
          <w:rFonts w:ascii="Calibri" w:hAnsi="Calibri" w:cs="Times New Roman"/>
          <w:noProof/>
          <w:sz w:val="18"/>
          <w:szCs w:val="24"/>
        </w:rPr>
        <w:tab/>
        <w:t xml:space="preserve">J. Fareed, I. Thethi and D. Hoppensteadt, </w:t>
      </w:r>
      <w:r w:rsidRPr="00EC7032">
        <w:rPr>
          <w:rFonts w:ascii="Calibri" w:hAnsi="Calibri" w:cs="Times New Roman"/>
          <w:i/>
          <w:iCs/>
          <w:noProof/>
          <w:sz w:val="18"/>
          <w:szCs w:val="24"/>
        </w:rPr>
        <w:t>Annu. Rev. Pharmacol. Toxicol.</w:t>
      </w:r>
      <w:r w:rsidRPr="00EC7032">
        <w:rPr>
          <w:rFonts w:ascii="Calibri" w:hAnsi="Calibri" w:cs="Times New Roman"/>
          <w:noProof/>
          <w:sz w:val="18"/>
          <w:szCs w:val="24"/>
        </w:rPr>
        <w:t xml:space="preserve">, 2012, </w:t>
      </w:r>
      <w:r w:rsidRPr="00EC7032">
        <w:rPr>
          <w:rFonts w:ascii="Calibri" w:hAnsi="Calibri" w:cs="Times New Roman"/>
          <w:b/>
          <w:bCs/>
          <w:noProof/>
          <w:sz w:val="18"/>
          <w:szCs w:val="24"/>
        </w:rPr>
        <w:t>52</w:t>
      </w:r>
      <w:r w:rsidRPr="00EC7032">
        <w:rPr>
          <w:rFonts w:ascii="Calibri" w:hAnsi="Calibri" w:cs="Times New Roman"/>
          <w:noProof/>
          <w:sz w:val="18"/>
          <w:szCs w:val="24"/>
        </w:rPr>
        <w:t>, 79–99.</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3</w:t>
      </w:r>
      <w:r w:rsidRPr="00EC7032">
        <w:rPr>
          <w:rFonts w:ascii="Calibri" w:hAnsi="Calibri" w:cs="Times New Roman"/>
          <w:noProof/>
          <w:sz w:val="18"/>
          <w:szCs w:val="24"/>
        </w:rPr>
        <w:tab/>
        <w:t xml:space="preserve">J. Hirsh, T. E. Warkentin, S. G. Shaughnessy, S. S. Anand, J. L. Halperin, R. Raschke, C. Granger, E. M. Ohman and J. E. Dalen, </w:t>
      </w:r>
      <w:r w:rsidRPr="00EC7032">
        <w:rPr>
          <w:rFonts w:ascii="Calibri" w:hAnsi="Calibri" w:cs="Times New Roman"/>
          <w:i/>
          <w:iCs/>
          <w:noProof/>
          <w:sz w:val="18"/>
          <w:szCs w:val="24"/>
        </w:rPr>
        <w:t>Chest</w:t>
      </w:r>
      <w:r w:rsidRPr="00EC7032">
        <w:rPr>
          <w:rFonts w:ascii="Calibri" w:hAnsi="Calibri" w:cs="Times New Roman"/>
          <w:noProof/>
          <w:sz w:val="18"/>
          <w:szCs w:val="24"/>
        </w:rPr>
        <w:t xml:space="preserve">, 2001, </w:t>
      </w:r>
      <w:r w:rsidRPr="00EC7032">
        <w:rPr>
          <w:rFonts w:ascii="Calibri" w:hAnsi="Calibri" w:cs="Times New Roman"/>
          <w:b/>
          <w:bCs/>
          <w:noProof/>
          <w:sz w:val="18"/>
          <w:szCs w:val="24"/>
        </w:rPr>
        <w:t>119</w:t>
      </w:r>
      <w:r w:rsidRPr="00EC7032">
        <w:rPr>
          <w:rFonts w:ascii="Calibri" w:hAnsi="Calibri" w:cs="Times New Roman"/>
          <w:noProof/>
          <w:sz w:val="18"/>
          <w:szCs w:val="24"/>
        </w:rPr>
        <w:t>, 64S–94S.</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4</w:t>
      </w:r>
      <w:r w:rsidRPr="00EC7032">
        <w:rPr>
          <w:rFonts w:ascii="Calibri" w:hAnsi="Calibri" w:cs="Times New Roman"/>
          <w:noProof/>
          <w:sz w:val="18"/>
          <w:szCs w:val="24"/>
        </w:rPr>
        <w:tab/>
        <w:t xml:space="preserve">T. Baglin, T. W. Barrowcliffe, A. Cohen and M. Greaves, </w:t>
      </w:r>
      <w:r w:rsidRPr="00EC7032">
        <w:rPr>
          <w:rFonts w:ascii="Calibri" w:hAnsi="Calibri" w:cs="Times New Roman"/>
          <w:i/>
          <w:iCs/>
          <w:noProof/>
          <w:sz w:val="18"/>
          <w:szCs w:val="24"/>
        </w:rPr>
        <w:t>Br. J. Haematol.</w:t>
      </w:r>
      <w:r w:rsidRPr="00EC7032">
        <w:rPr>
          <w:rFonts w:ascii="Calibri" w:hAnsi="Calibri" w:cs="Times New Roman"/>
          <w:noProof/>
          <w:sz w:val="18"/>
          <w:szCs w:val="24"/>
        </w:rPr>
        <w:t xml:space="preserve">, 2006, </w:t>
      </w:r>
      <w:r w:rsidRPr="00EC7032">
        <w:rPr>
          <w:rFonts w:ascii="Calibri" w:hAnsi="Calibri" w:cs="Times New Roman"/>
          <w:b/>
          <w:bCs/>
          <w:noProof/>
          <w:sz w:val="18"/>
          <w:szCs w:val="24"/>
        </w:rPr>
        <w:t>133</w:t>
      </w:r>
      <w:r w:rsidRPr="00EC7032">
        <w:rPr>
          <w:rFonts w:ascii="Calibri" w:hAnsi="Calibri" w:cs="Times New Roman"/>
          <w:noProof/>
          <w:sz w:val="18"/>
          <w:szCs w:val="24"/>
        </w:rPr>
        <w:t>, 19–34.</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5</w:t>
      </w:r>
      <w:r w:rsidRPr="00EC7032">
        <w:rPr>
          <w:rFonts w:ascii="Calibri" w:hAnsi="Calibri" w:cs="Times New Roman"/>
          <w:noProof/>
          <w:sz w:val="18"/>
          <w:szCs w:val="24"/>
        </w:rPr>
        <w:tab/>
        <w:t xml:space="preserve">L. K. Jennings and J. Kotha, </w:t>
      </w:r>
      <w:r w:rsidRPr="00EC7032">
        <w:rPr>
          <w:rFonts w:ascii="Calibri" w:hAnsi="Calibri" w:cs="Times New Roman"/>
          <w:i/>
          <w:iCs/>
          <w:noProof/>
          <w:sz w:val="18"/>
          <w:szCs w:val="24"/>
        </w:rPr>
        <w:t>Drug Dev. Res.</w:t>
      </w:r>
      <w:r w:rsidRPr="00EC7032">
        <w:rPr>
          <w:rFonts w:ascii="Calibri" w:hAnsi="Calibri" w:cs="Times New Roman"/>
          <w:noProof/>
          <w:sz w:val="18"/>
          <w:szCs w:val="24"/>
        </w:rPr>
        <w:t xml:space="preserve">, 2013, </w:t>
      </w:r>
      <w:r w:rsidRPr="00EC7032">
        <w:rPr>
          <w:rFonts w:ascii="Calibri" w:hAnsi="Calibri" w:cs="Times New Roman"/>
          <w:b/>
          <w:bCs/>
          <w:noProof/>
          <w:sz w:val="18"/>
          <w:szCs w:val="24"/>
        </w:rPr>
        <w:t>74</w:t>
      </w:r>
      <w:r w:rsidRPr="00EC7032">
        <w:rPr>
          <w:rFonts w:ascii="Calibri" w:hAnsi="Calibri" w:cs="Times New Roman"/>
          <w:noProof/>
          <w:sz w:val="18"/>
          <w:szCs w:val="24"/>
        </w:rPr>
        <w:t>, 587–593.</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6</w:t>
      </w:r>
      <w:r w:rsidRPr="00EC7032">
        <w:rPr>
          <w:rFonts w:ascii="Calibri" w:hAnsi="Calibri" w:cs="Times New Roman"/>
          <w:noProof/>
          <w:sz w:val="18"/>
          <w:szCs w:val="24"/>
        </w:rPr>
        <w:tab/>
        <w:t xml:space="preserve">A. N. Teien, M. Lie and U. Abildgaard, </w:t>
      </w:r>
      <w:r w:rsidRPr="00EC7032">
        <w:rPr>
          <w:rFonts w:ascii="Calibri" w:hAnsi="Calibri" w:cs="Times New Roman"/>
          <w:i/>
          <w:iCs/>
          <w:noProof/>
          <w:sz w:val="18"/>
          <w:szCs w:val="24"/>
        </w:rPr>
        <w:t>Thromb. Res.</w:t>
      </w:r>
      <w:r w:rsidRPr="00EC7032">
        <w:rPr>
          <w:rFonts w:ascii="Calibri" w:hAnsi="Calibri" w:cs="Times New Roman"/>
          <w:noProof/>
          <w:sz w:val="18"/>
          <w:szCs w:val="24"/>
        </w:rPr>
        <w:t xml:space="preserve">, 1976, </w:t>
      </w:r>
      <w:r w:rsidRPr="00EC7032">
        <w:rPr>
          <w:rFonts w:ascii="Calibri" w:hAnsi="Calibri" w:cs="Times New Roman"/>
          <w:b/>
          <w:bCs/>
          <w:noProof/>
          <w:sz w:val="18"/>
          <w:szCs w:val="24"/>
        </w:rPr>
        <w:t>8</w:t>
      </w:r>
      <w:r w:rsidRPr="00EC7032">
        <w:rPr>
          <w:rFonts w:ascii="Calibri" w:hAnsi="Calibri" w:cs="Times New Roman"/>
          <w:noProof/>
          <w:sz w:val="18"/>
          <w:szCs w:val="24"/>
        </w:rPr>
        <w:t>, 413–416.</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7</w:t>
      </w:r>
      <w:r w:rsidRPr="00EC7032">
        <w:rPr>
          <w:rFonts w:ascii="Calibri" w:hAnsi="Calibri" w:cs="Times New Roman"/>
          <w:noProof/>
          <w:sz w:val="18"/>
          <w:szCs w:val="24"/>
        </w:rPr>
        <w:tab/>
        <w:t xml:space="preserve">S. Middeldorp, </w:t>
      </w:r>
      <w:r w:rsidRPr="00EC7032">
        <w:rPr>
          <w:rFonts w:ascii="Calibri" w:hAnsi="Calibri" w:cs="Times New Roman"/>
          <w:i/>
          <w:iCs/>
          <w:noProof/>
          <w:sz w:val="18"/>
          <w:szCs w:val="24"/>
        </w:rPr>
        <w:t>Thromb. Res.</w:t>
      </w:r>
      <w:r w:rsidRPr="00EC7032">
        <w:rPr>
          <w:rFonts w:ascii="Calibri" w:hAnsi="Calibri" w:cs="Times New Roman"/>
          <w:noProof/>
          <w:sz w:val="18"/>
          <w:szCs w:val="24"/>
        </w:rPr>
        <w:t xml:space="preserve">, 2008, </w:t>
      </w:r>
      <w:r w:rsidRPr="00EC7032">
        <w:rPr>
          <w:rFonts w:ascii="Calibri" w:hAnsi="Calibri" w:cs="Times New Roman"/>
          <w:b/>
          <w:bCs/>
          <w:noProof/>
          <w:sz w:val="18"/>
          <w:szCs w:val="24"/>
        </w:rPr>
        <w:t>122</w:t>
      </w:r>
      <w:r w:rsidRPr="00EC7032">
        <w:rPr>
          <w:rFonts w:ascii="Calibri" w:hAnsi="Calibri" w:cs="Times New Roman"/>
          <w:noProof/>
          <w:sz w:val="18"/>
          <w:szCs w:val="24"/>
        </w:rPr>
        <w:t>, 753–762.</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8</w:t>
      </w:r>
      <w:r w:rsidRPr="00EC7032">
        <w:rPr>
          <w:rFonts w:ascii="Calibri" w:hAnsi="Calibri" w:cs="Times New Roman"/>
          <w:noProof/>
          <w:sz w:val="18"/>
          <w:szCs w:val="24"/>
        </w:rPr>
        <w:tab/>
        <w:t xml:space="preserve">G. M. Whitesides, </w:t>
      </w:r>
      <w:r w:rsidRPr="00EC7032">
        <w:rPr>
          <w:rFonts w:ascii="Calibri" w:hAnsi="Calibri" w:cs="Times New Roman"/>
          <w:i/>
          <w:iCs/>
          <w:noProof/>
          <w:sz w:val="18"/>
          <w:szCs w:val="24"/>
        </w:rPr>
        <w:t>Nature</w:t>
      </w:r>
      <w:r w:rsidRPr="00EC7032">
        <w:rPr>
          <w:rFonts w:ascii="Calibri" w:hAnsi="Calibri" w:cs="Times New Roman"/>
          <w:noProof/>
          <w:sz w:val="18"/>
          <w:szCs w:val="24"/>
        </w:rPr>
        <w:t xml:space="preserve">, 2006, </w:t>
      </w:r>
      <w:r w:rsidRPr="00EC7032">
        <w:rPr>
          <w:rFonts w:ascii="Calibri" w:hAnsi="Calibri" w:cs="Times New Roman"/>
          <w:b/>
          <w:bCs/>
          <w:noProof/>
          <w:sz w:val="18"/>
          <w:szCs w:val="24"/>
        </w:rPr>
        <w:t>442</w:t>
      </w:r>
      <w:r w:rsidRPr="00EC7032">
        <w:rPr>
          <w:rFonts w:ascii="Calibri" w:hAnsi="Calibri" w:cs="Times New Roman"/>
          <w:noProof/>
          <w:sz w:val="18"/>
          <w:szCs w:val="24"/>
        </w:rPr>
        <w:t>, 368–373.</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lastRenderedPageBreak/>
        <w:t>9</w:t>
      </w:r>
      <w:r w:rsidRPr="00EC7032">
        <w:rPr>
          <w:rFonts w:ascii="Calibri" w:hAnsi="Calibri" w:cs="Times New Roman"/>
          <w:noProof/>
          <w:sz w:val="18"/>
          <w:szCs w:val="24"/>
        </w:rPr>
        <w:tab/>
        <w:t xml:space="preserve">V. Linder, </w:t>
      </w:r>
      <w:r w:rsidRPr="00EC7032">
        <w:rPr>
          <w:rFonts w:ascii="Calibri" w:hAnsi="Calibri" w:cs="Times New Roman"/>
          <w:i/>
          <w:iCs/>
          <w:noProof/>
          <w:sz w:val="18"/>
          <w:szCs w:val="24"/>
        </w:rPr>
        <w:t>Analyst</w:t>
      </w:r>
      <w:r w:rsidRPr="00EC7032">
        <w:rPr>
          <w:rFonts w:ascii="Calibri" w:hAnsi="Calibri" w:cs="Times New Roman"/>
          <w:noProof/>
          <w:sz w:val="18"/>
          <w:szCs w:val="24"/>
        </w:rPr>
        <w:t xml:space="preserve">, 2007, </w:t>
      </w:r>
      <w:r w:rsidRPr="00EC7032">
        <w:rPr>
          <w:rFonts w:ascii="Calibri" w:hAnsi="Calibri" w:cs="Times New Roman"/>
          <w:b/>
          <w:bCs/>
          <w:noProof/>
          <w:sz w:val="18"/>
          <w:szCs w:val="24"/>
        </w:rPr>
        <w:t>132</w:t>
      </w:r>
      <w:r w:rsidRPr="00EC7032">
        <w:rPr>
          <w:rFonts w:ascii="Calibri" w:hAnsi="Calibri" w:cs="Times New Roman"/>
          <w:noProof/>
          <w:sz w:val="18"/>
          <w:szCs w:val="24"/>
        </w:rPr>
        <w:t>, 1186–1192.</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10</w:t>
      </w:r>
      <w:r w:rsidRPr="00EC7032">
        <w:rPr>
          <w:rFonts w:ascii="Calibri" w:hAnsi="Calibri" w:cs="Times New Roman"/>
          <w:noProof/>
          <w:sz w:val="18"/>
          <w:szCs w:val="24"/>
        </w:rPr>
        <w:tab/>
        <w:t xml:space="preserve">T. G. Henares, F. Mizutani and H. Hisamoto, </w:t>
      </w:r>
      <w:r w:rsidRPr="00EC7032">
        <w:rPr>
          <w:rFonts w:ascii="Calibri" w:hAnsi="Calibri" w:cs="Times New Roman"/>
          <w:i/>
          <w:iCs/>
          <w:noProof/>
          <w:sz w:val="18"/>
          <w:szCs w:val="24"/>
        </w:rPr>
        <w:t>Anal. Chim. Acta</w:t>
      </w:r>
      <w:r w:rsidRPr="00EC7032">
        <w:rPr>
          <w:rFonts w:ascii="Calibri" w:hAnsi="Calibri" w:cs="Times New Roman"/>
          <w:noProof/>
          <w:sz w:val="18"/>
          <w:szCs w:val="24"/>
        </w:rPr>
        <w:t xml:space="preserve">, 2008, </w:t>
      </w:r>
      <w:r w:rsidRPr="00EC7032">
        <w:rPr>
          <w:rFonts w:ascii="Calibri" w:hAnsi="Calibri" w:cs="Times New Roman"/>
          <w:b/>
          <w:bCs/>
          <w:noProof/>
          <w:sz w:val="18"/>
          <w:szCs w:val="24"/>
        </w:rPr>
        <w:t>611</w:t>
      </w:r>
      <w:r w:rsidRPr="00EC7032">
        <w:rPr>
          <w:rFonts w:ascii="Calibri" w:hAnsi="Calibri" w:cs="Times New Roman"/>
          <w:noProof/>
          <w:sz w:val="18"/>
          <w:szCs w:val="24"/>
        </w:rPr>
        <w:t>, 17–30.</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11</w:t>
      </w:r>
      <w:r w:rsidRPr="00EC7032">
        <w:rPr>
          <w:rFonts w:ascii="Calibri" w:hAnsi="Calibri" w:cs="Times New Roman"/>
          <w:noProof/>
          <w:sz w:val="18"/>
          <w:szCs w:val="24"/>
        </w:rPr>
        <w:tab/>
        <w:t xml:space="preserve">C. Jonsson, M. Aronsson, G. Rundstroem, C. Pettersson, I. Mendel-Hartvig, J. Bakker, E. Martinsson, B. Liedberg, B. MacCraith, O. Oehman and J. Melin, </w:t>
      </w:r>
      <w:r w:rsidRPr="00EC7032">
        <w:rPr>
          <w:rFonts w:ascii="Calibri" w:hAnsi="Calibri" w:cs="Times New Roman"/>
          <w:i/>
          <w:iCs/>
          <w:noProof/>
          <w:sz w:val="18"/>
          <w:szCs w:val="24"/>
        </w:rPr>
        <w:t>Lab Chip</w:t>
      </w:r>
      <w:r w:rsidRPr="00EC7032">
        <w:rPr>
          <w:rFonts w:ascii="Calibri" w:hAnsi="Calibri" w:cs="Times New Roman"/>
          <w:noProof/>
          <w:sz w:val="18"/>
          <w:szCs w:val="24"/>
        </w:rPr>
        <w:t xml:space="preserve">, 2008, </w:t>
      </w:r>
      <w:r w:rsidRPr="00EC7032">
        <w:rPr>
          <w:rFonts w:ascii="Calibri" w:hAnsi="Calibri" w:cs="Times New Roman"/>
          <w:b/>
          <w:bCs/>
          <w:noProof/>
          <w:sz w:val="18"/>
          <w:szCs w:val="24"/>
        </w:rPr>
        <w:t>8</w:t>
      </w:r>
      <w:r w:rsidRPr="00EC7032">
        <w:rPr>
          <w:rFonts w:ascii="Calibri" w:hAnsi="Calibri" w:cs="Times New Roman"/>
          <w:noProof/>
          <w:sz w:val="18"/>
          <w:szCs w:val="24"/>
        </w:rPr>
        <w:t>, 1191–1197.</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12</w:t>
      </w:r>
      <w:r w:rsidRPr="00EC7032">
        <w:rPr>
          <w:rFonts w:ascii="Calibri" w:hAnsi="Calibri" w:cs="Times New Roman"/>
          <w:noProof/>
          <w:sz w:val="18"/>
          <w:szCs w:val="24"/>
        </w:rPr>
        <w:tab/>
        <w:t xml:space="preserve">M. M. Dudek, R. P. Gandhiraman, C. Volcke, S. Daniels and A. J. Killard, </w:t>
      </w:r>
      <w:r w:rsidRPr="00EC7032">
        <w:rPr>
          <w:rFonts w:ascii="Calibri" w:hAnsi="Calibri" w:cs="Times New Roman"/>
          <w:i/>
          <w:iCs/>
          <w:noProof/>
          <w:sz w:val="18"/>
          <w:szCs w:val="24"/>
        </w:rPr>
        <w:t>Plasma Process Polym.</w:t>
      </w:r>
      <w:r w:rsidRPr="00EC7032">
        <w:rPr>
          <w:rFonts w:ascii="Calibri" w:hAnsi="Calibri" w:cs="Times New Roman"/>
          <w:noProof/>
          <w:sz w:val="18"/>
          <w:szCs w:val="24"/>
        </w:rPr>
        <w:t xml:space="preserve">, 2009, </w:t>
      </w:r>
      <w:r w:rsidRPr="00EC7032">
        <w:rPr>
          <w:rFonts w:ascii="Calibri" w:hAnsi="Calibri" w:cs="Times New Roman"/>
          <w:b/>
          <w:bCs/>
          <w:noProof/>
          <w:sz w:val="18"/>
          <w:szCs w:val="24"/>
        </w:rPr>
        <w:t>6</w:t>
      </w:r>
      <w:r w:rsidRPr="00EC7032">
        <w:rPr>
          <w:rFonts w:ascii="Calibri" w:hAnsi="Calibri" w:cs="Times New Roman"/>
          <w:noProof/>
          <w:sz w:val="18"/>
          <w:szCs w:val="24"/>
        </w:rPr>
        <w:t>, 620–630.</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13</w:t>
      </w:r>
      <w:r w:rsidRPr="00EC7032">
        <w:rPr>
          <w:rFonts w:ascii="Calibri" w:hAnsi="Calibri" w:cs="Times New Roman"/>
          <w:noProof/>
          <w:sz w:val="18"/>
          <w:szCs w:val="24"/>
        </w:rPr>
        <w:tab/>
        <w:t xml:space="preserve">B. L. Thompson, Y. Ouyang, G. R. M. Duarte, E. Carrilho, S. T. Krauss and J. P. Landers, </w:t>
      </w:r>
      <w:r w:rsidRPr="00EC7032">
        <w:rPr>
          <w:rFonts w:ascii="Calibri" w:hAnsi="Calibri" w:cs="Times New Roman"/>
          <w:i/>
          <w:iCs/>
          <w:noProof/>
          <w:sz w:val="18"/>
          <w:szCs w:val="24"/>
        </w:rPr>
        <w:t>Nat. Protoc.</w:t>
      </w:r>
      <w:r w:rsidRPr="00EC7032">
        <w:rPr>
          <w:rFonts w:ascii="Calibri" w:hAnsi="Calibri" w:cs="Times New Roman"/>
          <w:noProof/>
          <w:sz w:val="18"/>
          <w:szCs w:val="24"/>
        </w:rPr>
        <w:t xml:space="preserve">, 2015, </w:t>
      </w:r>
      <w:r w:rsidRPr="00EC7032">
        <w:rPr>
          <w:rFonts w:ascii="Calibri" w:hAnsi="Calibri" w:cs="Times New Roman"/>
          <w:b/>
          <w:bCs/>
          <w:noProof/>
          <w:sz w:val="18"/>
          <w:szCs w:val="24"/>
        </w:rPr>
        <w:t>10</w:t>
      </w:r>
      <w:r w:rsidRPr="00EC7032">
        <w:rPr>
          <w:rFonts w:ascii="Calibri" w:hAnsi="Calibri" w:cs="Times New Roman"/>
          <w:noProof/>
          <w:sz w:val="18"/>
          <w:szCs w:val="24"/>
        </w:rPr>
        <w:t>, 875–886.</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14</w:t>
      </w:r>
      <w:r w:rsidRPr="00EC7032">
        <w:rPr>
          <w:rFonts w:ascii="Calibri" w:hAnsi="Calibri" w:cs="Times New Roman"/>
          <w:noProof/>
          <w:sz w:val="18"/>
          <w:szCs w:val="24"/>
        </w:rPr>
        <w:tab/>
        <w:t xml:space="preserve">W. K. Tomazelli Coltro, C.-M. Cheng, E. Carrilho and D. P. de Jesus, </w:t>
      </w:r>
      <w:r w:rsidRPr="00EC7032">
        <w:rPr>
          <w:rFonts w:ascii="Calibri" w:hAnsi="Calibri" w:cs="Times New Roman"/>
          <w:i/>
          <w:iCs/>
          <w:noProof/>
          <w:sz w:val="18"/>
          <w:szCs w:val="24"/>
        </w:rPr>
        <w:t>Electrophoresis</w:t>
      </w:r>
      <w:r w:rsidRPr="00EC7032">
        <w:rPr>
          <w:rFonts w:ascii="Calibri" w:hAnsi="Calibri" w:cs="Times New Roman"/>
          <w:noProof/>
          <w:sz w:val="18"/>
          <w:szCs w:val="24"/>
        </w:rPr>
        <w:t xml:space="preserve">, 2014, </w:t>
      </w:r>
      <w:r w:rsidRPr="00EC7032">
        <w:rPr>
          <w:rFonts w:ascii="Calibri" w:hAnsi="Calibri" w:cs="Times New Roman"/>
          <w:b/>
          <w:bCs/>
          <w:noProof/>
          <w:sz w:val="18"/>
          <w:szCs w:val="24"/>
        </w:rPr>
        <w:t>35</w:t>
      </w:r>
      <w:r w:rsidRPr="00EC7032">
        <w:rPr>
          <w:rFonts w:ascii="Calibri" w:hAnsi="Calibri" w:cs="Times New Roman"/>
          <w:noProof/>
          <w:sz w:val="18"/>
          <w:szCs w:val="24"/>
        </w:rPr>
        <w:t>, 2309–2324.</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15</w:t>
      </w:r>
      <w:r w:rsidRPr="00EC7032">
        <w:rPr>
          <w:rFonts w:ascii="Calibri" w:hAnsi="Calibri" w:cs="Times New Roman"/>
          <w:noProof/>
          <w:sz w:val="18"/>
          <w:szCs w:val="24"/>
        </w:rPr>
        <w:tab/>
        <w:t xml:space="preserve">H. Sharma, D. Nguyen, A. Chen, V. Lew and M. Khine, </w:t>
      </w:r>
      <w:r w:rsidRPr="00EC7032">
        <w:rPr>
          <w:rFonts w:ascii="Calibri" w:hAnsi="Calibri" w:cs="Times New Roman"/>
          <w:i/>
          <w:iCs/>
          <w:noProof/>
          <w:sz w:val="18"/>
          <w:szCs w:val="24"/>
        </w:rPr>
        <w:t>Ann. Biomed. Eng.</w:t>
      </w:r>
      <w:r w:rsidRPr="00EC7032">
        <w:rPr>
          <w:rFonts w:ascii="Calibri" w:hAnsi="Calibri" w:cs="Times New Roman"/>
          <w:noProof/>
          <w:sz w:val="18"/>
          <w:szCs w:val="24"/>
        </w:rPr>
        <w:t xml:space="preserve">, 2011, </w:t>
      </w:r>
      <w:r w:rsidRPr="00EC7032">
        <w:rPr>
          <w:rFonts w:ascii="Calibri" w:hAnsi="Calibri" w:cs="Times New Roman"/>
          <w:b/>
          <w:bCs/>
          <w:noProof/>
          <w:sz w:val="18"/>
          <w:szCs w:val="24"/>
        </w:rPr>
        <w:t>39</w:t>
      </w:r>
      <w:r w:rsidRPr="00EC7032">
        <w:rPr>
          <w:rFonts w:ascii="Calibri" w:hAnsi="Calibri" w:cs="Times New Roman"/>
          <w:noProof/>
          <w:sz w:val="18"/>
          <w:szCs w:val="24"/>
        </w:rPr>
        <w:t>, 1313–27.</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16</w:t>
      </w:r>
      <w:r w:rsidRPr="00EC7032">
        <w:rPr>
          <w:rFonts w:ascii="Calibri" w:hAnsi="Calibri" w:cs="Times New Roman"/>
          <w:noProof/>
          <w:sz w:val="18"/>
          <w:szCs w:val="24"/>
        </w:rPr>
        <w:tab/>
        <w:t xml:space="preserve">L. F. Harris, P. Rainey, V. Castro-López, J. S. O’Donnell and A. J. Killard, </w:t>
      </w:r>
      <w:r w:rsidRPr="00EC7032">
        <w:rPr>
          <w:rFonts w:ascii="Calibri" w:hAnsi="Calibri" w:cs="Times New Roman"/>
          <w:i/>
          <w:iCs/>
          <w:noProof/>
          <w:sz w:val="18"/>
          <w:szCs w:val="24"/>
        </w:rPr>
        <w:t>Analyst</w:t>
      </w:r>
      <w:r w:rsidRPr="00EC7032">
        <w:rPr>
          <w:rFonts w:ascii="Calibri" w:hAnsi="Calibri" w:cs="Times New Roman"/>
          <w:noProof/>
          <w:sz w:val="18"/>
          <w:szCs w:val="24"/>
        </w:rPr>
        <w:t xml:space="preserve">, 2013, </w:t>
      </w:r>
      <w:r w:rsidRPr="00EC7032">
        <w:rPr>
          <w:rFonts w:ascii="Calibri" w:hAnsi="Calibri" w:cs="Times New Roman"/>
          <w:b/>
          <w:bCs/>
          <w:noProof/>
          <w:sz w:val="18"/>
          <w:szCs w:val="24"/>
        </w:rPr>
        <w:t>138</w:t>
      </w:r>
      <w:r w:rsidRPr="00EC7032">
        <w:rPr>
          <w:rFonts w:ascii="Calibri" w:hAnsi="Calibri" w:cs="Times New Roman"/>
          <w:noProof/>
          <w:sz w:val="18"/>
          <w:szCs w:val="24"/>
        </w:rPr>
        <w:t>, 4769–76.</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17</w:t>
      </w:r>
      <w:r w:rsidRPr="00EC7032">
        <w:rPr>
          <w:rFonts w:ascii="Calibri" w:hAnsi="Calibri" w:cs="Times New Roman"/>
          <w:noProof/>
          <w:sz w:val="18"/>
          <w:szCs w:val="24"/>
        </w:rPr>
        <w:tab/>
        <w:t xml:space="preserve">J. Fareed, H. L. Messmore and E. W. Bermes, </w:t>
      </w:r>
      <w:r w:rsidRPr="00EC7032">
        <w:rPr>
          <w:rFonts w:ascii="Calibri" w:hAnsi="Calibri" w:cs="Times New Roman"/>
          <w:i/>
          <w:iCs/>
          <w:noProof/>
          <w:sz w:val="18"/>
          <w:szCs w:val="24"/>
        </w:rPr>
        <w:t>Clin. Chem.</w:t>
      </w:r>
      <w:r w:rsidRPr="00EC7032">
        <w:rPr>
          <w:rFonts w:ascii="Calibri" w:hAnsi="Calibri" w:cs="Times New Roman"/>
          <w:noProof/>
          <w:sz w:val="18"/>
          <w:szCs w:val="24"/>
        </w:rPr>
        <w:t xml:space="preserve">, 1980, </w:t>
      </w:r>
      <w:r w:rsidRPr="00EC7032">
        <w:rPr>
          <w:rFonts w:ascii="Calibri" w:hAnsi="Calibri" w:cs="Times New Roman"/>
          <w:b/>
          <w:bCs/>
          <w:noProof/>
          <w:sz w:val="18"/>
          <w:szCs w:val="24"/>
        </w:rPr>
        <w:t>26</w:t>
      </w:r>
      <w:r w:rsidRPr="00EC7032">
        <w:rPr>
          <w:rFonts w:ascii="Calibri" w:hAnsi="Calibri" w:cs="Times New Roman"/>
          <w:noProof/>
          <w:sz w:val="18"/>
          <w:szCs w:val="24"/>
        </w:rPr>
        <w:t>, 1380–1391.</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18</w:t>
      </w:r>
      <w:r w:rsidRPr="00EC7032">
        <w:rPr>
          <w:rFonts w:ascii="Calibri" w:hAnsi="Calibri" w:cs="Times New Roman"/>
          <w:noProof/>
          <w:sz w:val="18"/>
          <w:szCs w:val="24"/>
        </w:rPr>
        <w:tab/>
        <w:t xml:space="preserve">H. L. J. Messmore, J. Fareed, J. Kniffin, G. Squillaci and J. Walenga, </w:t>
      </w:r>
      <w:r w:rsidRPr="00EC7032">
        <w:rPr>
          <w:rFonts w:ascii="Calibri" w:hAnsi="Calibri" w:cs="Times New Roman"/>
          <w:i/>
          <w:iCs/>
          <w:noProof/>
          <w:sz w:val="18"/>
          <w:szCs w:val="24"/>
        </w:rPr>
        <w:t>Ann. N. Y. Acad. Sci.</w:t>
      </w:r>
      <w:r w:rsidRPr="00EC7032">
        <w:rPr>
          <w:rFonts w:ascii="Calibri" w:hAnsi="Calibri" w:cs="Times New Roman"/>
          <w:noProof/>
          <w:sz w:val="18"/>
          <w:szCs w:val="24"/>
        </w:rPr>
        <w:t>, 1981, 785–797.</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19</w:t>
      </w:r>
      <w:r w:rsidRPr="00EC7032">
        <w:rPr>
          <w:rFonts w:ascii="Calibri" w:hAnsi="Calibri" w:cs="Times New Roman"/>
          <w:noProof/>
          <w:sz w:val="18"/>
          <w:szCs w:val="24"/>
        </w:rPr>
        <w:tab/>
        <w:t xml:space="preserve">J. Ansell, </w:t>
      </w:r>
      <w:r w:rsidRPr="00EC7032">
        <w:rPr>
          <w:rFonts w:ascii="Calibri" w:hAnsi="Calibri" w:cs="Times New Roman"/>
          <w:i/>
          <w:iCs/>
          <w:noProof/>
          <w:sz w:val="18"/>
          <w:szCs w:val="24"/>
        </w:rPr>
        <w:t>J. Thromb. Haemost.</w:t>
      </w:r>
      <w:r w:rsidRPr="00EC7032">
        <w:rPr>
          <w:rFonts w:ascii="Calibri" w:hAnsi="Calibri" w:cs="Times New Roman"/>
          <w:noProof/>
          <w:sz w:val="18"/>
          <w:szCs w:val="24"/>
        </w:rPr>
        <w:t xml:space="preserve">, 2007, </w:t>
      </w:r>
      <w:r w:rsidRPr="00EC7032">
        <w:rPr>
          <w:rFonts w:ascii="Calibri" w:hAnsi="Calibri" w:cs="Times New Roman"/>
          <w:b/>
          <w:bCs/>
          <w:noProof/>
          <w:sz w:val="18"/>
          <w:szCs w:val="24"/>
        </w:rPr>
        <w:t>5</w:t>
      </w:r>
      <w:r w:rsidRPr="00EC7032">
        <w:rPr>
          <w:rFonts w:ascii="Calibri" w:hAnsi="Calibri" w:cs="Times New Roman"/>
          <w:noProof/>
          <w:sz w:val="18"/>
          <w:szCs w:val="24"/>
        </w:rPr>
        <w:t>, 60–64.</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20</w:t>
      </w:r>
      <w:r w:rsidRPr="00EC7032">
        <w:rPr>
          <w:rFonts w:ascii="Calibri" w:hAnsi="Calibri" w:cs="Times New Roman"/>
          <w:noProof/>
          <w:sz w:val="18"/>
          <w:szCs w:val="24"/>
        </w:rPr>
        <w:tab/>
        <w:t xml:space="preserve">L. Brown, T. Koerner, J. H. Horton and R. D. Oleschuk, </w:t>
      </w:r>
      <w:r w:rsidRPr="00EC7032">
        <w:rPr>
          <w:rFonts w:ascii="Calibri" w:hAnsi="Calibri" w:cs="Times New Roman"/>
          <w:i/>
          <w:iCs/>
          <w:noProof/>
          <w:sz w:val="18"/>
          <w:szCs w:val="24"/>
        </w:rPr>
        <w:t>Lab Chip</w:t>
      </w:r>
      <w:r w:rsidRPr="00EC7032">
        <w:rPr>
          <w:rFonts w:ascii="Calibri" w:hAnsi="Calibri" w:cs="Times New Roman"/>
          <w:noProof/>
          <w:sz w:val="18"/>
          <w:szCs w:val="24"/>
        </w:rPr>
        <w:t xml:space="preserve">, 2006, </w:t>
      </w:r>
      <w:r w:rsidRPr="00EC7032">
        <w:rPr>
          <w:rFonts w:ascii="Calibri" w:hAnsi="Calibri" w:cs="Times New Roman"/>
          <w:b/>
          <w:bCs/>
          <w:noProof/>
          <w:sz w:val="18"/>
          <w:szCs w:val="24"/>
        </w:rPr>
        <w:t>6</w:t>
      </w:r>
      <w:r w:rsidRPr="00EC7032">
        <w:rPr>
          <w:rFonts w:ascii="Calibri" w:hAnsi="Calibri" w:cs="Times New Roman"/>
          <w:noProof/>
          <w:sz w:val="18"/>
          <w:szCs w:val="24"/>
        </w:rPr>
        <w:t>, 66–73.</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21</w:t>
      </w:r>
      <w:r w:rsidRPr="00EC7032">
        <w:rPr>
          <w:rFonts w:ascii="Calibri" w:hAnsi="Calibri" w:cs="Times New Roman"/>
          <w:noProof/>
          <w:sz w:val="18"/>
          <w:szCs w:val="24"/>
        </w:rPr>
        <w:tab/>
        <w:t xml:space="preserve">V. Gubala, L. F. Harris, A. J. Ricco, M. X. Tan and D. E. Williams, </w:t>
      </w:r>
      <w:r w:rsidRPr="00EC7032">
        <w:rPr>
          <w:rFonts w:ascii="Calibri" w:hAnsi="Calibri" w:cs="Times New Roman"/>
          <w:i/>
          <w:iCs/>
          <w:noProof/>
          <w:sz w:val="18"/>
          <w:szCs w:val="24"/>
        </w:rPr>
        <w:t>Anal. Chem.</w:t>
      </w:r>
      <w:r w:rsidRPr="00EC7032">
        <w:rPr>
          <w:rFonts w:ascii="Calibri" w:hAnsi="Calibri" w:cs="Times New Roman"/>
          <w:noProof/>
          <w:sz w:val="18"/>
          <w:szCs w:val="24"/>
        </w:rPr>
        <w:t xml:space="preserve">, 2012, </w:t>
      </w:r>
      <w:r w:rsidRPr="00EC7032">
        <w:rPr>
          <w:rFonts w:ascii="Calibri" w:hAnsi="Calibri" w:cs="Times New Roman"/>
          <w:b/>
          <w:bCs/>
          <w:noProof/>
          <w:sz w:val="18"/>
          <w:szCs w:val="24"/>
        </w:rPr>
        <w:t>84</w:t>
      </w:r>
      <w:r w:rsidRPr="00EC7032">
        <w:rPr>
          <w:rFonts w:ascii="Calibri" w:hAnsi="Calibri" w:cs="Times New Roman"/>
          <w:noProof/>
          <w:sz w:val="18"/>
          <w:szCs w:val="24"/>
        </w:rPr>
        <w:t>, 487–515.</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cs="Times New Roman"/>
          <w:noProof/>
          <w:sz w:val="18"/>
          <w:szCs w:val="24"/>
        </w:rPr>
      </w:pPr>
      <w:r w:rsidRPr="00EC7032">
        <w:rPr>
          <w:rFonts w:ascii="Calibri" w:hAnsi="Calibri" w:cs="Times New Roman"/>
          <w:noProof/>
          <w:sz w:val="18"/>
          <w:szCs w:val="24"/>
        </w:rPr>
        <w:t>22</w:t>
      </w:r>
      <w:r w:rsidRPr="00EC7032">
        <w:rPr>
          <w:rFonts w:ascii="Calibri" w:hAnsi="Calibri" w:cs="Times New Roman"/>
          <w:noProof/>
          <w:sz w:val="18"/>
          <w:szCs w:val="24"/>
        </w:rPr>
        <w:tab/>
        <w:t xml:space="preserve">A. Bhattacharyya and C. M. Klapperich, </w:t>
      </w:r>
      <w:r w:rsidRPr="00EC7032">
        <w:rPr>
          <w:rFonts w:ascii="Calibri" w:hAnsi="Calibri" w:cs="Times New Roman"/>
          <w:i/>
          <w:iCs/>
          <w:noProof/>
          <w:sz w:val="18"/>
          <w:szCs w:val="24"/>
        </w:rPr>
        <w:t>Anal. Chem.</w:t>
      </w:r>
      <w:r w:rsidRPr="00EC7032">
        <w:rPr>
          <w:rFonts w:ascii="Calibri" w:hAnsi="Calibri" w:cs="Times New Roman"/>
          <w:noProof/>
          <w:sz w:val="18"/>
          <w:szCs w:val="24"/>
        </w:rPr>
        <w:t xml:space="preserve">, 2006, </w:t>
      </w:r>
      <w:r w:rsidRPr="00EC7032">
        <w:rPr>
          <w:rFonts w:ascii="Calibri" w:hAnsi="Calibri" w:cs="Times New Roman"/>
          <w:b/>
          <w:bCs/>
          <w:noProof/>
          <w:sz w:val="18"/>
          <w:szCs w:val="24"/>
        </w:rPr>
        <w:t>78</w:t>
      </w:r>
      <w:r w:rsidRPr="00EC7032">
        <w:rPr>
          <w:rFonts w:ascii="Calibri" w:hAnsi="Calibri" w:cs="Times New Roman"/>
          <w:noProof/>
          <w:sz w:val="18"/>
          <w:szCs w:val="24"/>
        </w:rPr>
        <w:t>, 788–792.</w:t>
      </w:r>
    </w:p>
    <w:p w:rsidR="00EC7032" w:rsidRPr="00EC7032" w:rsidRDefault="00EC7032" w:rsidP="006E5E8B">
      <w:pPr>
        <w:widowControl w:val="0"/>
        <w:autoSpaceDE w:val="0"/>
        <w:autoSpaceDN w:val="0"/>
        <w:adjustRightInd w:val="0"/>
        <w:spacing w:before="100" w:after="100" w:line="240" w:lineRule="auto"/>
        <w:contextualSpacing/>
        <w:jc w:val="both"/>
        <w:rPr>
          <w:rFonts w:ascii="Calibri" w:hAnsi="Calibri"/>
          <w:noProof/>
          <w:sz w:val="18"/>
        </w:rPr>
      </w:pPr>
      <w:r w:rsidRPr="00EC7032">
        <w:rPr>
          <w:rFonts w:ascii="Calibri" w:hAnsi="Calibri" w:cs="Times New Roman"/>
          <w:noProof/>
          <w:sz w:val="18"/>
          <w:szCs w:val="24"/>
        </w:rPr>
        <w:t>23</w:t>
      </w:r>
      <w:r w:rsidRPr="00EC7032">
        <w:rPr>
          <w:rFonts w:ascii="Calibri" w:hAnsi="Calibri" w:cs="Times New Roman"/>
          <w:noProof/>
          <w:sz w:val="18"/>
          <w:szCs w:val="24"/>
        </w:rPr>
        <w:tab/>
        <w:t xml:space="preserve">D. Mark, S. Haeberle, G. Roth, F. von Stetten and R. Zengerle, </w:t>
      </w:r>
      <w:r w:rsidRPr="00EC7032">
        <w:rPr>
          <w:rFonts w:ascii="Calibri" w:hAnsi="Calibri" w:cs="Times New Roman"/>
          <w:i/>
          <w:iCs/>
          <w:noProof/>
          <w:sz w:val="18"/>
          <w:szCs w:val="24"/>
        </w:rPr>
        <w:t>Chem. Soc. Rev.</w:t>
      </w:r>
      <w:r w:rsidRPr="00EC7032">
        <w:rPr>
          <w:rFonts w:ascii="Calibri" w:hAnsi="Calibri" w:cs="Times New Roman"/>
          <w:noProof/>
          <w:sz w:val="18"/>
          <w:szCs w:val="24"/>
        </w:rPr>
        <w:t xml:space="preserve">, 2010, </w:t>
      </w:r>
      <w:r w:rsidRPr="00EC7032">
        <w:rPr>
          <w:rFonts w:ascii="Calibri" w:hAnsi="Calibri" w:cs="Times New Roman"/>
          <w:b/>
          <w:bCs/>
          <w:noProof/>
          <w:sz w:val="18"/>
          <w:szCs w:val="24"/>
        </w:rPr>
        <w:t>39</w:t>
      </w:r>
      <w:r w:rsidRPr="00EC7032">
        <w:rPr>
          <w:rFonts w:ascii="Calibri" w:hAnsi="Calibri" w:cs="Times New Roman"/>
          <w:noProof/>
          <w:sz w:val="18"/>
          <w:szCs w:val="24"/>
        </w:rPr>
        <w:t>, 1153–1182.</w:t>
      </w:r>
    </w:p>
    <w:p w:rsidR="00F157DD" w:rsidRPr="00241ACD" w:rsidRDefault="00C66284" w:rsidP="006E5E8B">
      <w:pPr>
        <w:widowControl w:val="0"/>
        <w:autoSpaceDE w:val="0"/>
        <w:autoSpaceDN w:val="0"/>
        <w:adjustRightInd w:val="0"/>
        <w:spacing w:before="100" w:after="100" w:line="240" w:lineRule="auto"/>
        <w:contextualSpacing/>
        <w:jc w:val="both"/>
      </w:pPr>
      <w:r w:rsidRPr="00C66284">
        <w:rPr>
          <w:b/>
        </w:rP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1F6" w:rsidRDefault="00C431F6" w:rsidP="00E547DB">
      <w:pPr>
        <w:spacing w:after="0" w:line="240" w:lineRule="auto"/>
      </w:pPr>
      <w:r>
        <w:separator/>
      </w:r>
    </w:p>
    <w:p w:rsidR="00C431F6" w:rsidRDefault="00C431F6"/>
    <w:p w:rsidR="00C431F6" w:rsidRDefault="00C431F6"/>
    <w:p w:rsidR="00C431F6" w:rsidRDefault="00C431F6"/>
    <w:p w:rsidR="00C431F6" w:rsidRDefault="00C431F6"/>
    <w:p w:rsidR="00C431F6" w:rsidRDefault="00C431F6"/>
  </w:endnote>
  <w:endnote w:type="continuationSeparator" w:id="0">
    <w:p w:rsidR="00C431F6" w:rsidRDefault="00C431F6" w:rsidP="00E547DB">
      <w:pPr>
        <w:spacing w:after="0" w:line="240" w:lineRule="auto"/>
      </w:pPr>
      <w:r>
        <w:continuationSeparator/>
      </w:r>
    </w:p>
    <w:p w:rsidR="00C431F6" w:rsidRDefault="00C431F6"/>
    <w:p w:rsidR="00C431F6" w:rsidRDefault="00C431F6"/>
    <w:p w:rsidR="00C431F6" w:rsidRDefault="00C431F6"/>
    <w:p w:rsidR="00C431F6" w:rsidRDefault="00C431F6"/>
    <w:p w:rsidR="00C431F6" w:rsidRDefault="00C43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60A32D9-0035-4383-9DAF-115A359A44C6}"/>
    <w:embedBold r:id="rId2" w:fontKey="{EC05F00C-16DA-4E68-A936-BF0C53160FD0}"/>
    <w:embedItalic r:id="rId3" w:fontKey="{AB51EF81-DA60-4543-8F02-9E56ABCE86F6}"/>
    <w:embedBoldItalic r:id="rId4" w:fontKey="{BDE9DD19-2F4A-4320-8D9A-244C659C4BAA}"/>
  </w:font>
  <w:font w:name="Tahoma">
    <w:panose1 w:val="020B0604030504040204"/>
    <w:charset w:val="00"/>
    <w:family w:val="swiss"/>
    <w:pitch w:val="variable"/>
    <w:sig w:usb0="E1002EFF" w:usb1="C000605B" w:usb2="00000029" w:usb3="00000000" w:csb0="000101FF" w:csb1="00000000"/>
    <w:embedRegular r:id="rId5" w:fontKey="{D12D5407-2ABA-4629-BC3E-08DCF444F84D}"/>
  </w:font>
  <w:font w:name="Myriad Pro">
    <w:altName w:val="Corbe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embedRegular r:id="rId6" w:fontKey="{89F2967B-83C8-4D55-90AA-3906D6095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FC57C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00E70DCE" w:rsidRPr="006602F1">
      <w:rPr>
        <w:b/>
        <w:spacing w:val="10"/>
        <w:sz w:val="16"/>
        <w:szCs w:val="16"/>
      </w:rPr>
      <w:instrText xml:space="preserve"> PAGE   \* MERGEFORMAT </w:instrText>
    </w:r>
    <w:r w:rsidRPr="006602F1">
      <w:rPr>
        <w:b/>
        <w:spacing w:val="10"/>
        <w:sz w:val="16"/>
        <w:szCs w:val="16"/>
      </w:rPr>
      <w:fldChar w:fldCharType="separate"/>
    </w:r>
    <w:r w:rsidR="00421222">
      <w:rPr>
        <w:b/>
        <w:noProof/>
        <w:spacing w:val="10"/>
        <w:sz w:val="16"/>
        <w:szCs w:val="16"/>
      </w:rPr>
      <w:t>6</w:t>
    </w:r>
    <w:r w:rsidRPr="006602F1">
      <w:rPr>
        <w:b/>
        <w:noProof/>
        <w:spacing w:val="10"/>
        <w:sz w:val="16"/>
        <w:szCs w:val="16"/>
      </w:rPr>
      <w:fldChar w:fldCharType="end"/>
    </w:r>
    <w:r w:rsidR="00E70DCE" w:rsidRPr="006602F1">
      <w:rPr>
        <w:noProof/>
        <w:spacing w:val="10"/>
        <w:sz w:val="16"/>
        <w:szCs w:val="16"/>
      </w:rPr>
      <w:t xml:space="preserve"> | </w:t>
    </w:r>
    <w:r w:rsidR="00672928">
      <w:rPr>
        <w:i/>
        <w:noProof/>
        <w:spacing w:val="10"/>
        <w:sz w:val="16"/>
        <w:szCs w:val="16"/>
      </w:rPr>
      <w:t>J</w:t>
    </w:r>
    <w:r w:rsidR="00E70DCE" w:rsidRPr="006602F1">
      <w:rPr>
        <w:i/>
        <w:noProof/>
        <w:spacing w:val="10"/>
        <w:sz w:val="16"/>
        <w:szCs w:val="16"/>
      </w:rPr>
      <w:t xml:space="preserve">. </w:t>
    </w:r>
    <w:r w:rsidR="00672928">
      <w:rPr>
        <w:i/>
        <w:noProof/>
        <w:spacing w:val="10"/>
        <w:sz w:val="16"/>
        <w:szCs w:val="16"/>
      </w:rPr>
      <w:t>Name</w:t>
    </w:r>
    <w:r w:rsidR="00E70DCE" w:rsidRPr="006602F1">
      <w:rPr>
        <w:noProof/>
        <w:spacing w:val="10"/>
        <w:sz w:val="16"/>
        <w:szCs w:val="16"/>
      </w:rPr>
      <w:t xml:space="preserve">., 2012, </w:t>
    </w:r>
    <w:r w:rsidR="00E70DCE" w:rsidRPr="006602F1">
      <w:rPr>
        <w:b/>
        <w:noProof/>
        <w:spacing w:val="10"/>
        <w:sz w:val="16"/>
        <w:szCs w:val="16"/>
      </w:rPr>
      <w:t>00</w:t>
    </w:r>
    <w:r w:rsidR="00E70DCE"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FC57C4" w:rsidRPr="008C1387">
      <w:rPr>
        <w:b/>
        <w:spacing w:val="10"/>
        <w:sz w:val="16"/>
        <w:szCs w:val="16"/>
      </w:rPr>
      <w:fldChar w:fldCharType="begin"/>
    </w:r>
    <w:r w:rsidRPr="008C1387">
      <w:rPr>
        <w:b/>
        <w:spacing w:val="10"/>
        <w:sz w:val="16"/>
        <w:szCs w:val="16"/>
      </w:rPr>
      <w:instrText xml:space="preserve"> PAGE   \* MERGEFORMAT </w:instrText>
    </w:r>
    <w:r w:rsidR="00FC57C4" w:rsidRPr="008C1387">
      <w:rPr>
        <w:b/>
        <w:spacing w:val="10"/>
        <w:sz w:val="16"/>
        <w:szCs w:val="16"/>
      </w:rPr>
      <w:fldChar w:fldCharType="separate"/>
    </w:r>
    <w:r w:rsidR="00421222">
      <w:rPr>
        <w:b/>
        <w:noProof/>
        <w:spacing w:val="10"/>
        <w:sz w:val="16"/>
        <w:szCs w:val="16"/>
      </w:rPr>
      <w:t>5</w:t>
    </w:r>
    <w:r w:rsidR="00FC57C4"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C431F6" w:rsidP="00D45ADF">
    <w:pPr>
      <w:pStyle w:val="Footer"/>
      <w:tabs>
        <w:tab w:val="clear" w:pos="4513"/>
        <w:tab w:val="clear" w:pos="9026"/>
        <w:tab w:val="right" w:pos="10206"/>
      </w:tabs>
      <w:spacing w:before="480"/>
      <w:rPr>
        <w:sz w:val="16"/>
        <w:szCs w:val="16"/>
      </w:rPr>
    </w:pPr>
    <w:r>
      <w:rPr>
        <w:noProof/>
        <w:lang w:eastAsia="en-GB"/>
      </w:rPr>
      <w:pict>
        <v:shapetype id="_x0000_t202" coordsize="21600,21600" o:spt="202" path="m,l,21600r21600,l21600,xe">
          <v:stroke joinstyle="miter"/>
          <v:path gradientshapeok="t" o:connecttype="rect"/>
        </v:shapetype>
        <v:shape id="_x0000_s2049" type="#_x0000_t202" style="position:absolute;margin-left:0;margin-top:0;width:606.35pt;height:31.2pt;z-index:251664384;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style="mso-next-textbox:#_x0000_s2049">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1D411F">
      <w:rPr>
        <w:i/>
        <w:noProof/>
        <w:spacing w:val="10"/>
        <w:sz w:val="16"/>
        <w:szCs w:val="16"/>
      </w:rPr>
      <w:t>Anal. Methods</w:t>
    </w:r>
    <w:r w:rsidR="00E70DCE" w:rsidRPr="002C0803">
      <w:rPr>
        <w:noProof/>
        <w:spacing w:val="10"/>
        <w:sz w:val="16"/>
        <w:szCs w:val="16"/>
      </w:rPr>
      <w:t>, 201</w:t>
    </w:r>
    <w:r w:rsidR="001D411F">
      <w:rPr>
        <w:noProof/>
        <w:spacing w:val="10"/>
        <w:sz w:val="16"/>
        <w:szCs w:val="16"/>
      </w:rPr>
      <w:t>6</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FC57C4" w:rsidRPr="008C1387">
      <w:rPr>
        <w:b/>
        <w:spacing w:val="10"/>
        <w:sz w:val="16"/>
        <w:szCs w:val="16"/>
      </w:rPr>
      <w:fldChar w:fldCharType="begin"/>
    </w:r>
    <w:r w:rsidR="00E70DCE" w:rsidRPr="008C1387">
      <w:rPr>
        <w:b/>
        <w:spacing w:val="10"/>
        <w:sz w:val="16"/>
        <w:szCs w:val="16"/>
      </w:rPr>
      <w:instrText xml:space="preserve"> PAGE   \* MERGEFORMAT </w:instrText>
    </w:r>
    <w:r w:rsidR="00FC57C4" w:rsidRPr="008C1387">
      <w:rPr>
        <w:b/>
        <w:spacing w:val="10"/>
        <w:sz w:val="16"/>
        <w:szCs w:val="16"/>
      </w:rPr>
      <w:fldChar w:fldCharType="separate"/>
    </w:r>
    <w:r w:rsidR="009F52C8">
      <w:rPr>
        <w:b/>
        <w:noProof/>
        <w:spacing w:val="10"/>
        <w:sz w:val="16"/>
        <w:szCs w:val="16"/>
      </w:rPr>
      <w:t>1</w:t>
    </w:r>
    <w:r w:rsidR="00FC57C4"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1F6" w:rsidRDefault="00C431F6" w:rsidP="00E547DB">
      <w:pPr>
        <w:spacing w:after="0" w:line="240" w:lineRule="auto"/>
      </w:pPr>
      <w:r>
        <w:separator/>
      </w:r>
    </w:p>
    <w:p w:rsidR="00C431F6" w:rsidRDefault="00C431F6"/>
    <w:p w:rsidR="00C431F6" w:rsidRDefault="00C431F6"/>
    <w:p w:rsidR="00C431F6" w:rsidRDefault="00C431F6"/>
    <w:p w:rsidR="00C431F6" w:rsidRDefault="00C431F6"/>
    <w:p w:rsidR="00C431F6" w:rsidRDefault="00C431F6"/>
  </w:footnote>
  <w:footnote w:type="continuationSeparator" w:id="0">
    <w:p w:rsidR="00C431F6" w:rsidRDefault="00C431F6" w:rsidP="00E547DB">
      <w:pPr>
        <w:spacing w:after="0" w:line="240" w:lineRule="auto"/>
      </w:pPr>
      <w:r>
        <w:continuationSeparator/>
      </w:r>
    </w:p>
    <w:p w:rsidR="00C431F6" w:rsidRDefault="00C431F6"/>
    <w:p w:rsidR="00C431F6" w:rsidRDefault="00C431F6"/>
    <w:p w:rsidR="00C431F6" w:rsidRDefault="00C431F6"/>
    <w:p w:rsidR="00C431F6" w:rsidRDefault="00C431F6"/>
    <w:p w:rsidR="00C431F6" w:rsidRDefault="00C431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E70DCE" w:rsidRDefault="00C431F6" w:rsidP="00D45ADF">
    <w:pPr>
      <w:pStyle w:val="Header"/>
      <w:tabs>
        <w:tab w:val="clear" w:pos="4513"/>
        <w:tab w:val="clear" w:pos="9026"/>
        <w:tab w:val="right" w:pos="10206"/>
      </w:tabs>
      <w:spacing w:after="240"/>
      <w:rPr>
        <w:rFonts w:cstheme="minorHAnsi"/>
        <w:color w:val="999999"/>
        <w:sz w:val="20"/>
        <w:szCs w:val="20"/>
      </w:rPr>
    </w:pPr>
    <w:r>
      <w:rPr>
        <w:noProof/>
        <w:lang w:eastAsia="en-GB"/>
      </w:rPr>
      <w:pict>
        <v:shapetype id="_x0000_t202" coordsize="21600,21600" o:spt="202" path="m,l,21600r21600,l21600,xe">
          <v:stroke joinstyle="miter"/>
          <v:path gradientshapeok="t" o:connecttype="rect"/>
        </v:shapetype>
        <v:shape id="_x0000_s2054" type="#_x0000_t202" style="position:absolute;margin-left:0;margin-top:0;width:606.35pt;height:31.2pt;z-index:251668480;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style="mso-next-textbox:#_x0000_s2054">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noProof/>
        <w:lang w:eastAsia="en-GB"/>
      </w:rPr>
      <w:pict>
        <v:shape id="_x0000_s2053" type="#_x0000_t202" style="position:absolute;margin-left:0;margin-top:0;width:606.35pt;height:31.2pt;z-index:251666432;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style="mso-next-textbox:#_x0000_s2053">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9316A6" w:rsidRDefault="00C431F6" w:rsidP="00D45ADF">
    <w:pPr>
      <w:pStyle w:val="Header"/>
      <w:tabs>
        <w:tab w:val="clear" w:pos="4513"/>
        <w:tab w:val="clear" w:pos="9026"/>
        <w:tab w:val="right" w:pos="10206"/>
      </w:tabs>
      <w:spacing w:after="240"/>
      <w:rPr>
        <w:rFonts w:cstheme="minorHAnsi"/>
        <w:b/>
        <w:color w:val="999999"/>
        <w:sz w:val="20"/>
        <w:szCs w:val="20"/>
      </w:rPr>
    </w:pPr>
    <w:r>
      <w:rPr>
        <w:noProof/>
        <w:lang w:eastAsia="en-GB"/>
      </w:rPr>
      <w:pict>
        <v:shapetype id="_x0000_t202" coordsize="21600,21600" o:spt="202" path="m,l,21600r21600,l21600,xe">
          <v:stroke joinstyle="miter"/>
          <v:path gradientshapeok="t" o:connecttype="rect"/>
        </v:shapetype>
        <v:shape id="_x0000_s2052"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style="mso-next-textbox:#_x0000_s2052">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46BDF">
      <w:rPr>
        <w:rFonts w:cstheme="minorHAnsi"/>
        <w:b/>
        <w:color w:val="999999"/>
        <w:sz w:val="20"/>
        <w:szCs w:val="20"/>
      </w:rPr>
      <w:t>Journal Name</w:t>
    </w:r>
    <w:r>
      <w:rPr>
        <w:noProof/>
        <w:lang w:eastAsia="en-GB"/>
      </w:rPr>
      <w:pict>
        <v:shape id="_x0000_s2051"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style="mso-next-textbox:#_x0000_s2051">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BE" w:rsidRDefault="00C431F6"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w:pict>
        <v:shapetype id="_x0000_t202" coordsize="21600,21600" o:spt="202" path="m,l,21600r21600,l21600,xe">
          <v:stroke joinstyle="miter"/>
          <v:path gradientshapeok="t" o:connecttype="rect"/>
        </v:shapetype>
        <v:shape id="_x0000_s2050" type="#_x0000_t202" style="position:absolute;margin-left:0;margin-top:0;width:606.35pt;height:31.45pt;z-index:251662336;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style="mso-next-textbox:#_x0000_s2050">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8C1CD0">
      <w:rPr>
        <w:b/>
        <w:sz w:val="32"/>
        <w:szCs w:val="32"/>
      </w:rPr>
      <w:t>Analytical Methods</w:t>
    </w:r>
    <w:r w:rsidR="00180ABE">
      <w:rPr>
        <w:b/>
        <w:sz w:val="32"/>
        <w:szCs w:val="32"/>
      </w:rPr>
      <w:tab/>
    </w:r>
    <w:r w:rsidR="00180ABE">
      <w:rPr>
        <w:b/>
        <w:noProof/>
        <w:sz w:val="32"/>
        <w:szCs w:val="32"/>
        <w:lang w:val="en-IE" w:eastAsia="en-IE"/>
      </w:rPr>
      <w:drawing>
        <wp:inline distT="0" distB="0" distL="0" distR="0" wp14:anchorId="335AF470" wp14:editId="43603AEA">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attachedTemplate r:id="rId1"/>
  <w:stylePaneSortMethod w:val="0000"/>
  <w:defaultTabStop w:val="284"/>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E5AE0"/>
    <w:rsid w:val="00005B8A"/>
    <w:rsid w:val="00022D8A"/>
    <w:rsid w:val="00031314"/>
    <w:rsid w:val="00050EC3"/>
    <w:rsid w:val="00057913"/>
    <w:rsid w:val="000622D1"/>
    <w:rsid w:val="00071E41"/>
    <w:rsid w:val="00073639"/>
    <w:rsid w:val="000A2670"/>
    <w:rsid w:val="000A2E92"/>
    <w:rsid w:val="000C0A9D"/>
    <w:rsid w:val="000D2FAC"/>
    <w:rsid w:val="000D3DDE"/>
    <w:rsid w:val="000D5891"/>
    <w:rsid w:val="000D6963"/>
    <w:rsid w:val="000E7A32"/>
    <w:rsid w:val="000F0959"/>
    <w:rsid w:val="000F3A41"/>
    <w:rsid w:val="001055B0"/>
    <w:rsid w:val="00112694"/>
    <w:rsid w:val="00120227"/>
    <w:rsid w:val="00126027"/>
    <w:rsid w:val="00126140"/>
    <w:rsid w:val="001508E9"/>
    <w:rsid w:val="001633D9"/>
    <w:rsid w:val="0016464A"/>
    <w:rsid w:val="00180ABE"/>
    <w:rsid w:val="001923AB"/>
    <w:rsid w:val="001C1EB8"/>
    <w:rsid w:val="001D411F"/>
    <w:rsid w:val="001F2BD8"/>
    <w:rsid w:val="001F2C19"/>
    <w:rsid w:val="00206A82"/>
    <w:rsid w:val="00214BEC"/>
    <w:rsid w:val="00226321"/>
    <w:rsid w:val="00237C8A"/>
    <w:rsid w:val="00241ACD"/>
    <w:rsid w:val="00253551"/>
    <w:rsid w:val="00256235"/>
    <w:rsid w:val="00270DD5"/>
    <w:rsid w:val="00271235"/>
    <w:rsid w:val="00272D6F"/>
    <w:rsid w:val="002A5421"/>
    <w:rsid w:val="002B20A2"/>
    <w:rsid w:val="002B7475"/>
    <w:rsid w:val="002C0803"/>
    <w:rsid w:val="002C251C"/>
    <w:rsid w:val="002C3D7C"/>
    <w:rsid w:val="002C4D92"/>
    <w:rsid w:val="002C626D"/>
    <w:rsid w:val="002E5B1D"/>
    <w:rsid w:val="002F52C3"/>
    <w:rsid w:val="00352AA4"/>
    <w:rsid w:val="00354579"/>
    <w:rsid w:val="00356F00"/>
    <w:rsid w:val="00371808"/>
    <w:rsid w:val="00377481"/>
    <w:rsid w:val="00385965"/>
    <w:rsid w:val="003963AA"/>
    <w:rsid w:val="003A7E95"/>
    <w:rsid w:val="003B2ED7"/>
    <w:rsid w:val="003B739C"/>
    <w:rsid w:val="003C6313"/>
    <w:rsid w:val="003D4ECA"/>
    <w:rsid w:val="003D6715"/>
    <w:rsid w:val="003E55B2"/>
    <w:rsid w:val="00421222"/>
    <w:rsid w:val="0043180D"/>
    <w:rsid w:val="004414A5"/>
    <w:rsid w:val="0044700B"/>
    <w:rsid w:val="004502A6"/>
    <w:rsid w:val="00461A05"/>
    <w:rsid w:val="00467C80"/>
    <w:rsid w:val="00474052"/>
    <w:rsid w:val="004877C8"/>
    <w:rsid w:val="004901D3"/>
    <w:rsid w:val="004B5EA4"/>
    <w:rsid w:val="004C531E"/>
    <w:rsid w:val="004C6C90"/>
    <w:rsid w:val="004F0847"/>
    <w:rsid w:val="005037CD"/>
    <w:rsid w:val="00504795"/>
    <w:rsid w:val="00514CBA"/>
    <w:rsid w:val="0052630A"/>
    <w:rsid w:val="0053177A"/>
    <w:rsid w:val="00533EA1"/>
    <w:rsid w:val="0056354E"/>
    <w:rsid w:val="005771C3"/>
    <w:rsid w:val="00577B54"/>
    <w:rsid w:val="00590F6D"/>
    <w:rsid w:val="005A5A6D"/>
    <w:rsid w:val="005A5ED7"/>
    <w:rsid w:val="005C1A41"/>
    <w:rsid w:val="005C4565"/>
    <w:rsid w:val="005E05CD"/>
    <w:rsid w:val="005E5AE0"/>
    <w:rsid w:val="0061572F"/>
    <w:rsid w:val="00641030"/>
    <w:rsid w:val="00645D52"/>
    <w:rsid w:val="0065133B"/>
    <w:rsid w:val="006556AC"/>
    <w:rsid w:val="006602F1"/>
    <w:rsid w:val="00661111"/>
    <w:rsid w:val="00670ED4"/>
    <w:rsid w:val="00672928"/>
    <w:rsid w:val="00674A86"/>
    <w:rsid w:val="006A69C8"/>
    <w:rsid w:val="006D6163"/>
    <w:rsid w:val="006E58B1"/>
    <w:rsid w:val="006E5E8B"/>
    <w:rsid w:val="006F01C4"/>
    <w:rsid w:val="006F487B"/>
    <w:rsid w:val="006F740B"/>
    <w:rsid w:val="00744A41"/>
    <w:rsid w:val="007632B7"/>
    <w:rsid w:val="00771529"/>
    <w:rsid w:val="00780A41"/>
    <w:rsid w:val="00794787"/>
    <w:rsid w:val="00796CE0"/>
    <w:rsid w:val="007A37D8"/>
    <w:rsid w:val="007C3D03"/>
    <w:rsid w:val="007C563A"/>
    <w:rsid w:val="007D0FC6"/>
    <w:rsid w:val="007D1EFA"/>
    <w:rsid w:val="007D5FE4"/>
    <w:rsid w:val="007F4431"/>
    <w:rsid w:val="008560DE"/>
    <w:rsid w:val="0088525A"/>
    <w:rsid w:val="008A0D60"/>
    <w:rsid w:val="008C1387"/>
    <w:rsid w:val="008C1CD0"/>
    <w:rsid w:val="008C576F"/>
    <w:rsid w:val="008C682F"/>
    <w:rsid w:val="008E509B"/>
    <w:rsid w:val="008F45D5"/>
    <w:rsid w:val="008F4811"/>
    <w:rsid w:val="008F525A"/>
    <w:rsid w:val="009026D4"/>
    <w:rsid w:val="00913176"/>
    <w:rsid w:val="0092763E"/>
    <w:rsid w:val="009316A6"/>
    <w:rsid w:val="00936114"/>
    <w:rsid w:val="009400E9"/>
    <w:rsid w:val="00941A82"/>
    <w:rsid w:val="00946830"/>
    <w:rsid w:val="00962779"/>
    <w:rsid w:val="009654EC"/>
    <w:rsid w:val="009712EF"/>
    <w:rsid w:val="009918D9"/>
    <w:rsid w:val="009A392D"/>
    <w:rsid w:val="009D17C3"/>
    <w:rsid w:val="009D47C2"/>
    <w:rsid w:val="009E51F8"/>
    <w:rsid w:val="009F2649"/>
    <w:rsid w:val="009F42F1"/>
    <w:rsid w:val="009F52C8"/>
    <w:rsid w:val="00A074D7"/>
    <w:rsid w:val="00A17D23"/>
    <w:rsid w:val="00A208E1"/>
    <w:rsid w:val="00A215D4"/>
    <w:rsid w:val="00A521AB"/>
    <w:rsid w:val="00A56CD0"/>
    <w:rsid w:val="00A61D3E"/>
    <w:rsid w:val="00A7606E"/>
    <w:rsid w:val="00A7643E"/>
    <w:rsid w:val="00A9649E"/>
    <w:rsid w:val="00AA1341"/>
    <w:rsid w:val="00AB16D0"/>
    <w:rsid w:val="00AB2C1B"/>
    <w:rsid w:val="00AC3BF2"/>
    <w:rsid w:val="00AD5483"/>
    <w:rsid w:val="00AF0249"/>
    <w:rsid w:val="00AF150F"/>
    <w:rsid w:val="00AF4737"/>
    <w:rsid w:val="00B02367"/>
    <w:rsid w:val="00B0470A"/>
    <w:rsid w:val="00B07930"/>
    <w:rsid w:val="00B16217"/>
    <w:rsid w:val="00B163DC"/>
    <w:rsid w:val="00B2364D"/>
    <w:rsid w:val="00B53582"/>
    <w:rsid w:val="00B6239D"/>
    <w:rsid w:val="00B67630"/>
    <w:rsid w:val="00B67727"/>
    <w:rsid w:val="00B70B18"/>
    <w:rsid w:val="00B722DE"/>
    <w:rsid w:val="00B80DDB"/>
    <w:rsid w:val="00B81EE1"/>
    <w:rsid w:val="00B9392D"/>
    <w:rsid w:val="00BA761E"/>
    <w:rsid w:val="00BB3FBE"/>
    <w:rsid w:val="00BC603D"/>
    <w:rsid w:val="00C03CE1"/>
    <w:rsid w:val="00C1468A"/>
    <w:rsid w:val="00C178DF"/>
    <w:rsid w:val="00C3016F"/>
    <w:rsid w:val="00C31922"/>
    <w:rsid w:val="00C32EDF"/>
    <w:rsid w:val="00C405FD"/>
    <w:rsid w:val="00C42573"/>
    <w:rsid w:val="00C431F6"/>
    <w:rsid w:val="00C5024A"/>
    <w:rsid w:val="00C57107"/>
    <w:rsid w:val="00C62C2D"/>
    <w:rsid w:val="00C66284"/>
    <w:rsid w:val="00C9227C"/>
    <w:rsid w:val="00CA2740"/>
    <w:rsid w:val="00CA468D"/>
    <w:rsid w:val="00CB0FDC"/>
    <w:rsid w:val="00CC12E6"/>
    <w:rsid w:val="00CC2E25"/>
    <w:rsid w:val="00CC7C64"/>
    <w:rsid w:val="00CD0B47"/>
    <w:rsid w:val="00CF5F1A"/>
    <w:rsid w:val="00D00197"/>
    <w:rsid w:val="00D010E8"/>
    <w:rsid w:val="00D02C04"/>
    <w:rsid w:val="00D138E8"/>
    <w:rsid w:val="00D20259"/>
    <w:rsid w:val="00D208BA"/>
    <w:rsid w:val="00D21668"/>
    <w:rsid w:val="00D216BC"/>
    <w:rsid w:val="00D42F8F"/>
    <w:rsid w:val="00D45ADF"/>
    <w:rsid w:val="00DA07F1"/>
    <w:rsid w:val="00DB6B4C"/>
    <w:rsid w:val="00DD06F4"/>
    <w:rsid w:val="00DD500F"/>
    <w:rsid w:val="00DF53E4"/>
    <w:rsid w:val="00E2136E"/>
    <w:rsid w:val="00E25AF8"/>
    <w:rsid w:val="00E31A6A"/>
    <w:rsid w:val="00E46BDF"/>
    <w:rsid w:val="00E547DB"/>
    <w:rsid w:val="00E555BF"/>
    <w:rsid w:val="00E604A8"/>
    <w:rsid w:val="00E61949"/>
    <w:rsid w:val="00E70DCE"/>
    <w:rsid w:val="00EA446A"/>
    <w:rsid w:val="00EA7DC1"/>
    <w:rsid w:val="00EB5BA2"/>
    <w:rsid w:val="00EB5C28"/>
    <w:rsid w:val="00EC7032"/>
    <w:rsid w:val="00ED7134"/>
    <w:rsid w:val="00EE3AFB"/>
    <w:rsid w:val="00EF0D19"/>
    <w:rsid w:val="00EF1577"/>
    <w:rsid w:val="00EF6BD4"/>
    <w:rsid w:val="00F157DD"/>
    <w:rsid w:val="00F15F90"/>
    <w:rsid w:val="00F21465"/>
    <w:rsid w:val="00F27B4A"/>
    <w:rsid w:val="00F6065C"/>
    <w:rsid w:val="00F61EB1"/>
    <w:rsid w:val="00F62C8B"/>
    <w:rsid w:val="00F714CA"/>
    <w:rsid w:val="00F802D4"/>
    <w:rsid w:val="00F86035"/>
    <w:rsid w:val="00F91982"/>
    <w:rsid w:val="00FA2DA2"/>
    <w:rsid w:val="00FA311A"/>
    <w:rsid w:val="00FC1AAD"/>
    <w:rsid w:val="00FC2F5F"/>
    <w:rsid w:val="00FC57C4"/>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BodyText2">
    <w:name w:val="Body Text 2"/>
    <w:basedOn w:val="Normal"/>
    <w:link w:val="BodyText2Char"/>
    <w:uiPriority w:val="99"/>
    <w:rsid w:val="002C626D"/>
    <w:pPr>
      <w:spacing w:line="480" w:lineRule="auto"/>
      <w:jc w:val="both"/>
    </w:pPr>
    <w:rPr>
      <w:rFonts w:ascii="Times New Roman" w:eastAsia="Calibri" w:hAnsi="Times New Roman" w:cs="Times New Roman"/>
      <w:b/>
      <w:sz w:val="24"/>
      <w:szCs w:val="24"/>
      <w:lang w:val="en-IE"/>
    </w:rPr>
  </w:style>
  <w:style w:type="character" w:customStyle="1" w:styleId="BodyText2Char">
    <w:name w:val="Body Text 2 Char"/>
    <w:basedOn w:val="DefaultParagraphFont"/>
    <w:link w:val="BodyText2"/>
    <w:uiPriority w:val="99"/>
    <w:rsid w:val="002C626D"/>
    <w:rPr>
      <w:rFonts w:ascii="Times New Roman" w:eastAsia="Calibri" w:hAnsi="Times New Roman" w:cs="Times New Roman"/>
      <w:b/>
      <w:sz w:val="24"/>
      <w:szCs w:val="24"/>
      <w:lang w:val="en-IE"/>
    </w:rPr>
  </w:style>
  <w:style w:type="paragraph" w:customStyle="1" w:styleId="SPIEbodytext">
    <w:name w:val="SPIE body text"/>
    <w:basedOn w:val="Normal"/>
    <w:link w:val="SPIEbodytextCharChar"/>
    <w:rsid w:val="00FC2F5F"/>
    <w:pPr>
      <w:spacing w:after="120" w:line="240" w:lineRule="auto"/>
      <w:jc w:val="both"/>
    </w:pPr>
    <w:rPr>
      <w:rFonts w:ascii="Times New Roman" w:eastAsia="Times New Roman" w:hAnsi="Times New Roman" w:cs="Times New Roman"/>
      <w:sz w:val="20"/>
      <w:szCs w:val="24"/>
      <w:lang w:val="en-US"/>
    </w:rPr>
  </w:style>
  <w:style w:type="character" w:customStyle="1" w:styleId="SPIEbodytextCharChar">
    <w:name w:val="SPIE body text Char Char"/>
    <w:link w:val="SPIEbodytext"/>
    <w:rsid w:val="00FC2F5F"/>
    <w:rPr>
      <w:rFonts w:ascii="Times New Roman" w:eastAsia="Times New Roman" w:hAnsi="Times New Roman" w:cs="Times New Roman"/>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tif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tiff"/><Relationship Id="rId10" Type="http://schemas.openxmlformats.org/officeDocument/2006/relationships/header" Target="header1.xml"/><Relationship Id="rId19" Type="http://schemas.openxmlformats.org/officeDocument/2006/relationships/image" Target="media/image5.tiff"/><Relationship Id="rId4" Type="http://schemas.microsoft.com/office/2007/relationships/stylesWithEffects" Target="stylesWithEffects.xml"/><Relationship Id="rId9" Type="http://schemas.openxmlformats.org/officeDocument/2006/relationships/hyperlink" Target="mailto:tony.killard@uwe.ac.uk" TargetMode="External"/><Relationship Id="rId14" Type="http://schemas.openxmlformats.org/officeDocument/2006/relationships/header" Target="header3.xml"/><Relationship Id="rId22" Type="http://schemas.openxmlformats.org/officeDocument/2006/relationships/image" Target="media/image8.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anne.harris\My%20Documents\Downloads\art-template-1.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2F1F9-8342-45A7-A654-81C847EE9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 (1)</Template>
  <TotalTime>416</TotalTime>
  <Pages>6</Pages>
  <Words>12263</Words>
  <Characters>69903</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dc:creator>
  <cp:lastModifiedBy>Leanne Harris</cp:lastModifiedBy>
  <cp:revision>42</cp:revision>
  <cp:lastPrinted>2014-10-09T15:34:00Z</cp:lastPrinted>
  <dcterms:created xsi:type="dcterms:W3CDTF">2016-05-31T13:20:00Z</dcterms:created>
  <dcterms:modified xsi:type="dcterms:W3CDTF">2016-07-14T14:23:00Z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harris.leanne@gmail.com@www.mendeley.com</vt:lpwstr>
  </property>
  <property fmtid="{D5CDD505-2E9C-101B-9397-08002B2CF9AE}" pid="4" name="Mendeley Citation Style_1">
    <vt:lpwstr>http://www.zotero.org/styles/analytical-methods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http://www.zotero.org/styles/analytical-methods</vt:lpwstr>
  </property>
  <property fmtid="{D5CDD505-2E9C-101B-9397-08002B2CF9AE}" pid="10" name="Mendeley Recent Style Name 2_1">
    <vt:lpwstr>Analytical Methods</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16th edition (note)</vt:lpwstr>
  </property>
  <property fmtid="{D5CDD505-2E9C-101B-9397-08002B2CF9AE}" pid="13" name="Mendeley Recent Style Id 4_1">
    <vt:lpwstr>http://www.zotero.org/styles/elsevier-harvard</vt:lpwstr>
  </property>
  <property fmtid="{D5CDD505-2E9C-101B-9397-08002B2CF9AE}" pid="14" name="Mendeley Recent Style Name 4_1">
    <vt:lpwstr>Elsevier Harvard (with titles)</vt:lpwstr>
  </property>
  <property fmtid="{D5CDD505-2E9C-101B-9397-08002B2CF9AE}" pid="15" name="Mendeley Recent Style Id 5_1">
    <vt:lpwstr>http://www.zotero.org/styles/harvard-dundalk-institute-of-technology</vt:lpwstr>
  </property>
  <property fmtid="{D5CDD505-2E9C-101B-9397-08002B2CF9AE}" pid="16" name="Mendeley Recent Style Name 5_1">
    <vt:lpwstr>Harvard - Dundalk Institute of Technology</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http://www.zotero.org/styles/journal-of-infection-and-public-health</vt:lpwstr>
  </property>
  <property fmtid="{D5CDD505-2E9C-101B-9397-08002B2CF9AE}" pid="20" name="Mendeley Recent Style Name 7_1">
    <vt:lpwstr>Journal of Infection and Public Health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