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0D" w:rsidRPr="00245D0D" w:rsidRDefault="00245D0D" w:rsidP="00245D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5D0D">
        <w:rPr>
          <w:rFonts w:ascii="Arial" w:hAnsi="Arial" w:cs="Arial"/>
          <w:b/>
          <w:sz w:val="24"/>
          <w:szCs w:val="24"/>
        </w:rPr>
        <w:t>THE FEASIBILITY OF USING SONOELASTOGRAPHY TO</w:t>
      </w:r>
      <w:r w:rsidRPr="00245D0D">
        <w:rPr>
          <w:rFonts w:ascii="Arial" w:hAnsi="Arial" w:cs="Arial"/>
          <w:b/>
          <w:sz w:val="24"/>
          <w:szCs w:val="24"/>
        </w:rPr>
        <w:t xml:space="preserve"> </w:t>
      </w:r>
      <w:r w:rsidRPr="00245D0D">
        <w:rPr>
          <w:rFonts w:ascii="Arial" w:hAnsi="Arial" w:cs="Arial"/>
          <w:b/>
          <w:sz w:val="24"/>
          <w:szCs w:val="24"/>
        </w:rPr>
        <w:t>IDENTIFY THE EFFECT OF JOINT HYPERMOBILITY</w:t>
      </w:r>
      <w:r w:rsidRPr="00245D0D">
        <w:rPr>
          <w:rFonts w:ascii="Arial" w:hAnsi="Arial" w:cs="Arial"/>
          <w:b/>
          <w:sz w:val="24"/>
          <w:szCs w:val="24"/>
        </w:rPr>
        <w:t xml:space="preserve"> </w:t>
      </w:r>
      <w:r w:rsidRPr="00245D0D">
        <w:rPr>
          <w:rFonts w:ascii="Arial" w:hAnsi="Arial" w:cs="Arial"/>
          <w:b/>
          <w:sz w:val="24"/>
          <w:szCs w:val="24"/>
        </w:rPr>
        <w:t>SYNDROME ON ELASTICITY OF GASTROCNEMIUS MUSCLE</w:t>
      </w:r>
    </w:p>
    <w:p w:rsidR="00245D0D" w:rsidRPr="00245D0D" w:rsidRDefault="00245D0D" w:rsidP="00245D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5D0D" w:rsidRPr="00245D0D" w:rsidRDefault="00245D0D" w:rsidP="00245D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5D0D">
        <w:rPr>
          <w:rFonts w:ascii="Arial" w:hAnsi="Arial" w:cs="Arial"/>
          <w:sz w:val="24"/>
          <w:szCs w:val="24"/>
        </w:rPr>
        <w:t>Najla F. Al-Sirri</w:t>
      </w:r>
      <w:r w:rsidRPr="00245D0D">
        <w:rPr>
          <w:rFonts w:ascii="Arial" w:hAnsi="Arial" w:cs="Arial"/>
          <w:sz w:val="24"/>
          <w:szCs w:val="24"/>
          <w:vertAlign w:val="superscript"/>
        </w:rPr>
        <w:t>1</w:t>
      </w:r>
      <w:r w:rsidRPr="00245D0D">
        <w:rPr>
          <w:rFonts w:ascii="Arial" w:hAnsi="Arial" w:cs="Arial"/>
          <w:sz w:val="24"/>
          <w:szCs w:val="24"/>
        </w:rPr>
        <w:t>, Mary Cramp</w:t>
      </w:r>
      <w:r w:rsidRPr="00245D0D">
        <w:rPr>
          <w:rFonts w:ascii="Arial" w:hAnsi="Arial" w:cs="Arial"/>
          <w:sz w:val="24"/>
          <w:szCs w:val="24"/>
          <w:vertAlign w:val="superscript"/>
        </w:rPr>
        <w:t>1</w:t>
      </w:r>
      <w:r w:rsidRPr="00245D0D">
        <w:rPr>
          <w:rFonts w:ascii="Arial" w:hAnsi="Arial" w:cs="Arial"/>
          <w:sz w:val="24"/>
          <w:szCs w:val="24"/>
        </w:rPr>
        <w:t xml:space="preserve">, Sue </w:t>
      </w:r>
      <w:bookmarkStart w:id="0" w:name="_GoBack"/>
      <w:bookmarkEnd w:id="0"/>
      <w:r w:rsidRPr="00245D0D">
        <w:rPr>
          <w:rFonts w:ascii="Arial" w:hAnsi="Arial" w:cs="Arial"/>
          <w:sz w:val="24"/>
          <w:szCs w:val="24"/>
        </w:rPr>
        <w:t>Barnett</w:t>
      </w:r>
      <w:r w:rsidRPr="00245D0D">
        <w:rPr>
          <w:rFonts w:ascii="Arial" w:hAnsi="Arial" w:cs="Arial"/>
          <w:sz w:val="24"/>
          <w:szCs w:val="24"/>
          <w:vertAlign w:val="superscript"/>
        </w:rPr>
        <w:t>1</w:t>
      </w:r>
      <w:r w:rsidRPr="00245D0D">
        <w:rPr>
          <w:rFonts w:ascii="Arial" w:hAnsi="Arial" w:cs="Arial"/>
          <w:sz w:val="24"/>
          <w:szCs w:val="24"/>
        </w:rPr>
        <w:t xml:space="preserve">, </w:t>
      </w:r>
      <w:r w:rsidRPr="00245D0D">
        <w:rPr>
          <w:rFonts w:ascii="Arial" w:hAnsi="Arial" w:cs="Arial"/>
          <w:sz w:val="24"/>
          <w:szCs w:val="24"/>
        </w:rPr>
        <w:t>Shea Palmer</w:t>
      </w:r>
      <w:r w:rsidRPr="00245D0D">
        <w:rPr>
          <w:rFonts w:ascii="Arial" w:hAnsi="Arial" w:cs="Arial"/>
          <w:sz w:val="24"/>
          <w:szCs w:val="24"/>
          <w:vertAlign w:val="superscript"/>
        </w:rPr>
        <w:t>1</w:t>
      </w:r>
    </w:p>
    <w:p w:rsidR="00245D0D" w:rsidRPr="00245D0D" w:rsidRDefault="00245D0D" w:rsidP="00245D0D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245D0D" w:rsidRPr="00245D0D" w:rsidRDefault="00245D0D" w:rsidP="00245D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5D0D">
        <w:rPr>
          <w:rFonts w:ascii="Arial" w:hAnsi="Arial" w:cs="Arial"/>
          <w:sz w:val="24"/>
          <w:szCs w:val="24"/>
          <w:vertAlign w:val="superscript"/>
        </w:rPr>
        <w:t>1</w:t>
      </w:r>
      <w:r w:rsidRPr="00245D0D">
        <w:rPr>
          <w:rFonts w:ascii="Arial" w:hAnsi="Arial" w:cs="Arial"/>
          <w:sz w:val="24"/>
          <w:szCs w:val="24"/>
        </w:rPr>
        <w:t>Health and Applied Sciences, University of the West of England,</w:t>
      </w:r>
      <w:r w:rsidRPr="00245D0D">
        <w:rPr>
          <w:rFonts w:ascii="Arial" w:hAnsi="Arial" w:cs="Arial"/>
          <w:sz w:val="24"/>
          <w:szCs w:val="24"/>
        </w:rPr>
        <w:t xml:space="preserve"> </w:t>
      </w:r>
      <w:r w:rsidRPr="00245D0D">
        <w:rPr>
          <w:rFonts w:ascii="Arial" w:hAnsi="Arial" w:cs="Arial"/>
          <w:sz w:val="24"/>
          <w:szCs w:val="24"/>
        </w:rPr>
        <w:t>Bristol, UK</w:t>
      </w:r>
    </w:p>
    <w:p w:rsidR="00245D0D" w:rsidRPr="00245D0D" w:rsidRDefault="00245D0D" w:rsidP="00245D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5D0D" w:rsidRPr="00245D0D" w:rsidRDefault="00245D0D" w:rsidP="00245D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5D0D">
        <w:rPr>
          <w:rFonts w:ascii="Arial" w:hAnsi="Arial" w:cs="Arial"/>
          <w:b/>
          <w:sz w:val="24"/>
          <w:szCs w:val="24"/>
        </w:rPr>
        <w:t>Background:</w:t>
      </w:r>
      <w:r w:rsidRPr="00245D0D">
        <w:rPr>
          <w:rFonts w:ascii="Arial" w:hAnsi="Arial" w:cs="Arial"/>
          <w:sz w:val="24"/>
          <w:szCs w:val="24"/>
        </w:rPr>
        <w:t xml:space="preserve"> Joint hypermobility syndrome (JHS) is a heritable</w:t>
      </w:r>
      <w:r w:rsidRPr="00245D0D">
        <w:rPr>
          <w:rFonts w:ascii="Arial" w:hAnsi="Arial" w:cs="Arial"/>
          <w:sz w:val="24"/>
          <w:szCs w:val="24"/>
        </w:rPr>
        <w:t xml:space="preserve"> </w:t>
      </w:r>
      <w:r w:rsidRPr="00245D0D">
        <w:rPr>
          <w:rFonts w:ascii="Arial" w:hAnsi="Arial" w:cs="Arial"/>
          <w:sz w:val="24"/>
          <w:szCs w:val="24"/>
        </w:rPr>
        <w:t>connective tissue disorder in which multiple synovial joints demonstrate</w:t>
      </w:r>
      <w:r w:rsidRPr="00245D0D">
        <w:rPr>
          <w:rFonts w:ascii="Arial" w:hAnsi="Arial" w:cs="Arial"/>
          <w:sz w:val="24"/>
          <w:szCs w:val="24"/>
        </w:rPr>
        <w:t xml:space="preserve"> </w:t>
      </w:r>
      <w:r w:rsidRPr="00245D0D">
        <w:rPr>
          <w:rFonts w:ascii="Arial" w:hAnsi="Arial" w:cs="Arial"/>
          <w:sz w:val="24"/>
          <w:szCs w:val="24"/>
        </w:rPr>
        <w:t>a painful and extraordinary range of motion. Genetically there</w:t>
      </w:r>
      <w:r w:rsidRPr="00245D0D">
        <w:rPr>
          <w:rFonts w:ascii="Arial" w:hAnsi="Arial" w:cs="Arial"/>
          <w:sz w:val="24"/>
          <w:szCs w:val="24"/>
        </w:rPr>
        <w:t xml:space="preserve"> </w:t>
      </w:r>
      <w:r w:rsidRPr="00245D0D">
        <w:rPr>
          <w:rFonts w:ascii="Arial" w:hAnsi="Arial" w:cs="Arial"/>
          <w:sz w:val="24"/>
          <w:szCs w:val="24"/>
        </w:rPr>
        <w:t>are abnormal changes in the connective tissue matrix in people with</w:t>
      </w:r>
      <w:r w:rsidRPr="00245D0D">
        <w:rPr>
          <w:rFonts w:ascii="Arial" w:hAnsi="Arial" w:cs="Arial"/>
          <w:sz w:val="24"/>
          <w:szCs w:val="24"/>
        </w:rPr>
        <w:t xml:space="preserve"> </w:t>
      </w:r>
      <w:r w:rsidRPr="00245D0D">
        <w:rPr>
          <w:rFonts w:ascii="Arial" w:hAnsi="Arial" w:cs="Arial"/>
          <w:sz w:val="24"/>
          <w:szCs w:val="24"/>
        </w:rPr>
        <w:t>JHS, and that may alter the viscoelasticity of their muscular tissue.</w:t>
      </w:r>
      <w:r w:rsidRPr="00245D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5D0D">
        <w:rPr>
          <w:rFonts w:ascii="Arial" w:hAnsi="Arial" w:cs="Arial"/>
          <w:sz w:val="24"/>
          <w:szCs w:val="24"/>
        </w:rPr>
        <w:t>Sonoelastography</w:t>
      </w:r>
      <w:proofErr w:type="spellEnd"/>
      <w:r w:rsidRPr="00245D0D">
        <w:rPr>
          <w:rFonts w:ascii="Arial" w:hAnsi="Arial" w:cs="Arial"/>
          <w:sz w:val="24"/>
          <w:szCs w:val="24"/>
        </w:rPr>
        <w:t xml:space="preserve"> (SEG) is a new technology in musculoskeletal</w:t>
      </w:r>
      <w:r w:rsidRPr="00245D0D">
        <w:rPr>
          <w:rFonts w:ascii="Arial" w:hAnsi="Arial" w:cs="Arial"/>
          <w:sz w:val="24"/>
          <w:szCs w:val="24"/>
        </w:rPr>
        <w:t xml:space="preserve"> </w:t>
      </w:r>
      <w:r w:rsidRPr="00245D0D">
        <w:rPr>
          <w:rFonts w:ascii="Arial" w:hAnsi="Arial" w:cs="Arial"/>
          <w:sz w:val="24"/>
          <w:szCs w:val="24"/>
        </w:rPr>
        <w:t>practice for assessing tissue elasticity. This study aimed to determine</w:t>
      </w:r>
      <w:r w:rsidRPr="00245D0D">
        <w:rPr>
          <w:rFonts w:ascii="Arial" w:hAnsi="Arial" w:cs="Arial"/>
          <w:sz w:val="24"/>
          <w:szCs w:val="24"/>
        </w:rPr>
        <w:t xml:space="preserve"> </w:t>
      </w:r>
      <w:r w:rsidRPr="00245D0D">
        <w:rPr>
          <w:rFonts w:ascii="Arial" w:hAnsi="Arial" w:cs="Arial"/>
          <w:sz w:val="24"/>
          <w:szCs w:val="24"/>
        </w:rPr>
        <w:t>the feasibility of using SEG to distinguish between those with and</w:t>
      </w:r>
      <w:r w:rsidRPr="00245D0D">
        <w:rPr>
          <w:rFonts w:ascii="Arial" w:hAnsi="Arial" w:cs="Arial"/>
          <w:sz w:val="24"/>
          <w:szCs w:val="24"/>
        </w:rPr>
        <w:t xml:space="preserve"> </w:t>
      </w:r>
      <w:r w:rsidRPr="00245D0D">
        <w:rPr>
          <w:rFonts w:ascii="Arial" w:hAnsi="Arial" w:cs="Arial"/>
          <w:sz w:val="24"/>
          <w:szCs w:val="24"/>
        </w:rPr>
        <w:t>without a diagnosis of JHS. Gastrocnemius muscle (GM) elasticity was</w:t>
      </w:r>
      <w:r w:rsidRPr="00245D0D">
        <w:rPr>
          <w:rFonts w:ascii="Arial" w:hAnsi="Arial" w:cs="Arial"/>
          <w:sz w:val="24"/>
          <w:szCs w:val="24"/>
        </w:rPr>
        <w:t xml:space="preserve"> </w:t>
      </w:r>
      <w:r w:rsidRPr="00245D0D">
        <w:rPr>
          <w:rFonts w:ascii="Arial" w:hAnsi="Arial" w:cs="Arial"/>
          <w:sz w:val="24"/>
          <w:szCs w:val="24"/>
        </w:rPr>
        <w:t>examined, as it is essential for balance and walking.</w:t>
      </w:r>
      <w:r w:rsidRPr="00245D0D">
        <w:rPr>
          <w:rFonts w:ascii="Arial" w:hAnsi="Arial" w:cs="Arial"/>
          <w:sz w:val="24"/>
          <w:szCs w:val="24"/>
        </w:rPr>
        <w:t xml:space="preserve"> </w:t>
      </w:r>
    </w:p>
    <w:p w:rsidR="00245D0D" w:rsidRDefault="00245D0D" w:rsidP="00245D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5D0D" w:rsidRPr="00245D0D" w:rsidRDefault="00245D0D" w:rsidP="00245D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5D0D">
        <w:rPr>
          <w:rFonts w:ascii="Arial" w:hAnsi="Arial" w:cs="Arial"/>
          <w:b/>
          <w:sz w:val="24"/>
          <w:szCs w:val="24"/>
        </w:rPr>
        <w:t>Methods:</w:t>
      </w:r>
      <w:r w:rsidRPr="00245D0D">
        <w:rPr>
          <w:rFonts w:ascii="Arial" w:hAnsi="Arial" w:cs="Arial"/>
          <w:sz w:val="24"/>
          <w:szCs w:val="24"/>
        </w:rPr>
        <w:t xml:space="preserve"> Twenty participants were examined in a cross-sectional</w:t>
      </w:r>
      <w:r w:rsidRPr="00245D0D">
        <w:rPr>
          <w:rFonts w:ascii="Arial" w:hAnsi="Arial" w:cs="Arial"/>
          <w:sz w:val="24"/>
          <w:szCs w:val="24"/>
        </w:rPr>
        <w:t xml:space="preserve"> </w:t>
      </w:r>
      <w:r w:rsidRPr="00245D0D">
        <w:rPr>
          <w:rFonts w:ascii="Arial" w:hAnsi="Arial" w:cs="Arial"/>
          <w:sz w:val="24"/>
          <w:szCs w:val="24"/>
        </w:rPr>
        <w:t>feasibility study: 10 participants diagnosed with JHS and 10 age- and</w:t>
      </w:r>
      <w:r w:rsidRPr="00245D0D">
        <w:rPr>
          <w:rFonts w:ascii="Arial" w:hAnsi="Arial" w:cs="Arial"/>
          <w:sz w:val="24"/>
          <w:szCs w:val="24"/>
        </w:rPr>
        <w:t xml:space="preserve"> </w:t>
      </w:r>
      <w:r w:rsidRPr="00245D0D">
        <w:rPr>
          <w:rFonts w:ascii="Arial" w:hAnsi="Arial" w:cs="Arial"/>
          <w:sz w:val="24"/>
          <w:szCs w:val="24"/>
        </w:rPr>
        <w:t>gender-matched healthy controls. The dominant GM was scanned</w:t>
      </w:r>
      <w:r w:rsidRPr="00245D0D">
        <w:rPr>
          <w:rFonts w:ascii="Arial" w:hAnsi="Arial" w:cs="Arial"/>
          <w:sz w:val="24"/>
          <w:szCs w:val="24"/>
        </w:rPr>
        <w:t xml:space="preserve"> </w:t>
      </w:r>
      <w:r w:rsidRPr="00245D0D">
        <w:rPr>
          <w:rFonts w:ascii="Arial" w:hAnsi="Arial" w:cs="Arial"/>
          <w:sz w:val="24"/>
          <w:szCs w:val="24"/>
        </w:rPr>
        <w:t>three times using SEG. The colours of the SEG images indicate soft</w:t>
      </w:r>
      <w:r w:rsidRPr="00245D0D">
        <w:rPr>
          <w:rFonts w:ascii="Arial" w:hAnsi="Arial" w:cs="Arial"/>
          <w:sz w:val="24"/>
          <w:szCs w:val="24"/>
        </w:rPr>
        <w:t xml:space="preserve"> </w:t>
      </w:r>
      <w:r w:rsidRPr="00245D0D">
        <w:rPr>
          <w:rFonts w:ascii="Arial" w:hAnsi="Arial" w:cs="Arial"/>
          <w:sz w:val="24"/>
          <w:szCs w:val="24"/>
        </w:rPr>
        <w:t>(red), intermediate (green) and hard (blue) tissues. ImageJ software</w:t>
      </w:r>
      <w:r w:rsidRPr="00245D0D">
        <w:rPr>
          <w:rFonts w:ascii="Arial" w:hAnsi="Arial" w:cs="Arial"/>
          <w:sz w:val="24"/>
          <w:szCs w:val="24"/>
        </w:rPr>
        <w:t xml:space="preserve"> </w:t>
      </w:r>
      <w:r w:rsidRPr="00245D0D">
        <w:rPr>
          <w:rFonts w:ascii="Arial" w:hAnsi="Arial" w:cs="Arial"/>
          <w:sz w:val="24"/>
          <w:szCs w:val="24"/>
        </w:rPr>
        <w:t>was used to analyse the images by identifying the mean percentage of</w:t>
      </w:r>
      <w:r w:rsidRPr="00245D0D">
        <w:rPr>
          <w:rFonts w:ascii="Arial" w:hAnsi="Arial" w:cs="Arial"/>
          <w:sz w:val="24"/>
          <w:szCs w:val="24"/>
        </w:rPr>
        <w:t xml:space="preserve"> </w:t>
      </w:r>
      <w:r w:rsidRPr="00245D0D">
        <w:rPr>
          <w:rFonts w:ascii="Arial" w:hAnsi="Arial" w:cs="Arial"/>
          <w:sz w:val="24"/>
          <w:szCs w:val="24"/>
        </w:rPr>
        <w:t>pixels of each colour.</w:t>
      </w:r>
    </w:p>
    <w:p w:rsidR="00245D0D" w:rsidRDefault="00245D0D" w:rsidP="00245D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5D0D" w:rsidRPr="00245D0D" w:rsidRDefault="00245D0D" w:rsidP="00245D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5D0D">
        <w:rPr>
          <w:rFonts w:ascii="Arial" w:hAnsi="Arial" w:cs="Arial"/>
          <w:b/>
          <w:sz w:val="24"/>
          <w:szCs w:val="24"/>
        </w:rPr>
        <w:t>Results:</w:t>
      </w:r>
      <w:r w:rsidRPr="00245D0D">
        <w:rPr>
          <w:rFonts w:ascii="Arial" w:hAnsi="Arial" w:cs="Arial"/>
          <w:sz w:val="24"/>
          <w:szCs w:val="24"/>
        </w:rPr>
        <w:t xml:space="preserve"> For the JHS group, nine females and one male were</w:t>
      </w:r>
      <w:r w:rsidRPr="00245D0D">
        <w:rPr>
          <w:rFonts w:ascii="Arial" w:hAnsi="Arial" w:cs="Arial"/>
          <w:sz w:val="24"/>
          <w:szCs w:val="24"/>
        </w:rPr>
        <w:t xml:space="preserve"> </w:t>
      </w:r>
      <w:r w:rsidRPr="00245D0D">
        <w:rPr>
          <w:rFonts w:ascii="Arial" w:hAnsi="Arial" w:cs="Arial"/>
          <w:sz w:val="24"/>
          <w:szCs w:val="24"/>
        </w:rPr>
        <w:t>examined, with a mean age of 38.9 years (S.D. 15.53). Similarly, for</w:t>
      </w:r>
      <w:r w:rsidRPr="00245D0D">
        <w:rPr>
          <w:rFonts w:ascii="Arial" w:hAnsi="Arial" w:cs="Arial"/>
          <w:sz w:val="24"/>
          <w:szCs w:val="24"/>
        </w:rPr>
        <w:t xml:space="preserve"> </w:t>
      </w:r>
      <w:r w:rsidRPr="00245D0D">
        <w:rPr>
          <w:rFonts w:ascii="Arial" w:hAnsi="Arial" w:cs="Arial"/>
          <w:sz w:val="24"/>
          <w:szCs w:val="24"/>
        </w:rPr>
        <w:t>the non-JHS group, nine females and one male were examined, with a</w:t>
      </w:r>
      <w:r w:rsidRPr="00245D0D">
        <w:rPr>
          <w:rFonts w:ascii="Arial" w:hAnsi="Arial" w:cs="Arial"/>
          <w:sz w:val="24"/>
          <w:szCs w:val="24"/>
        </w:rPr>
        <w:t xml:space="preserve"> </w:t>
      </w:r>
      <w:r w:rsidRPr="00245D0D">
        <w:rPr>
          <w:rFonts w:ascii="Arial" w:hAnsi="Arial" w:cs="Arial"/>
          <w:sz w:val="24"/>
          <w:szCs w:val="24"/>
        </w:rPr>
        <w:t>mean age of 38.9 years (S.D. 12.37). The groups were comparable in</w:t>
      </w:r>
      <w:r w:rsidRPr="00245D0D">
        <w:rPr>
          <w:rFonts w:ascii="Arial" w:hAnsi="Arial" w:cs="Arial"/>
          <w:sz w:val="24"/>
          <w:szCs w:val="24"/>
        </w:rPr>
        <w:t xml:space="preserve"> </w:t>
      </w:r>
      <w:r w:rsidRPr="00245D0D">
        <w:rPr>
          <w:rFonts w:ascii="Arial" w:hAnsi="Arial" w:cs="Arial"/>
          <w:sz w:val="24"/>
          <w:szCs w:val="24"/>
        </w:rPr>
        <w:t>terms of age, gender and BMI (P</w:t>
      </w:r>
      <w:r w:rsidRPr="00245D0D">
        <w:rPr>
          <w:rFonts w:ascii="Arial" w:hAnsi="Arial" w:cs="Arial"/>
          <w:sz w:val="24"/>
          <w:szCs w:val="24"/>
        </w:rPr>
        <w:t>=</w:t>
      </w:r>
      <w:r w:rsidRPr="00245D0D">
        <w:rPr>
          <w:rFonts w:ascii="Arial" w:hAnsi="Arial" w:cs="Arial"/>
          <w:sz w:val="24"/>
          <w:szCs w:val="24"/>
        </w:rPr>
        <w:t>1.00, 1.00, and 0.77, respectively).</w:t>
      </w:r>
      <w:r w:rsidRPr="00245D0D">
        <w:rPr>
          <w:rFonts w:ascii="Arial" w:hAnsi="Arial" w:cs="Arial"/>
          <w:sz w:val="24"/>
          <w:szCs w:val="24"/>
        </w:rPr>
        <w:t xml:space="preserve"> </w:t>
      </w:r>
      <w:r w:rsidRPr="00245D0D">
        <w:rPr>
          <w:rFonts w:ascii="Arial" w:hAnsi="Arial" w:cs="Arial"/>
          <w:sz w:val="24"/>
          <w:szCs w:val="24"/>
        </w:rPr>
        <w:t>The JHS group had a significantly higher percentage of blue (hard</w:t>
      </w:r>
      <w:r w:rsidRPr="00245D0D">
        <w:rPr>
          <w:rFonts w:ascii="Arial" w:hAnsi="Arial" w:cs="Arial"/>
          <w:sz w:val="24"/>
          <w:szCs w:val="24"/>
        </w:rPr>
        <w:t xml:space="preserve"> </w:t>
      </w:r>
      <w:r w:rsidRPr="00245D0D">
        <w:rPr>
          <w:rFonts w:ascii="Arial" w:hAnsi="Arial" w:cs="Arial"/>
          <w:sz w:val="24"/>
          <w:szCs w:val="24"/>
        </w:rPr>
        <w:t>tissue) pixels when compared with the control group (P</w:t>
      </w:r>
      <w:r w:rsidRPr="00245D0D">
        <w:rPr>
          <w:rFonts w:ascii="Arial" w:hAnsi="Arial" w:cs="Arial"/>
          <w:sz w:val="24"/>
          <w:szCs w:val="24"/>
        </w:rPr>
        <w:t>=</w:t>
      </w:r>
      <w:r w:rsidRPr="00245D0D">
        <w:rPr>
          <w:rFonts w:ascii="Arial" w:hAnsi="Arial" w:cs="Arial"/>
          <w:sz w:val="24"/>
          <w:szCs w:val="24"/>
        </w:rPr>
        <w:t>0.035). No</w:t>
      </w:r>
      <w:r w:rsidRPr="00245D0D">
        <w:rPr>
          <w:rFonts w:ascii="Arial" w:hAnsi="Arial" w:cs="Arial"/>
          <w:sz w:val="24"/>
          <w:szCs w:val="24"/>
        </w:rPr>
        <w:t xml:space="preserve"> </w:t>
      </w:r>
      <w:r w:rsidRPr="00245D0D">
        <w:rPr>
          <w:rFonts w:ascii="Arial" w:hAnsi="Arial" w:cs="Arial"/>
          <w:sz w:val="24"/>
          <w:szCs w:val="24"/>
        </w:rPr>
        <w:t>significant differences were found in the mean percentage of green</w:t>
      </w:r>
      <w:r w:rsidRPr="00245D0D">
        <w:rPr>
          <w:rFonts w:ascii="Arial" w:hAnsi="Arial" w:cs="Arial"/>
          <w:sz w:val="24"/>
          <w:szCs w:val="24"/>
        </w:rPr>
        <w:t xml:space="preserve"> </w:t>
      </w:r>
      <w:r w:rsidRPr="00245D0D">
        <w:rPr>
          <w:rFonts w:ascii="Arial" w:hAnsi="Arial" w:cs="Arial"/>
          <w:sz w:val="24"/>
          <w:szCs w:val="24"/>
        </w:rPr>
        <w:t>(intermediate) and red (soft) pixels (P</w:t>
      </w:r>
      <w:r w:rsidRPr="00245D0D">
        <w:rPr>
          <w:rFonts w:ascii="Arial" w:hAnsi="Arial" w:cs="Arial"/>
          <w:sz w:val="24"/>
          <w:szCs w:val="24"/>
        </w:rPr>
        <w:t>=</w:t>
      </w:r>
      <w:r w:rsidRPr="00245D0D">
        <w:rPr>
          <w:rFonts w:ascii="Arial" w:hAnsi="Arial" w:cs="Arial"/>
          <w:sz w:val="24"/>
          <w:szCs w:val="24"/>
        </w:rPr>
        <w:t>0.55 and P</w:t>
      </w:r>
      <w:r w:rsidRPr="00245D0D">
        <w:rPr>
          <w:rFonts w:ascii="Arial" w:hAnsi="Arial" w:cs="Arial"/>
          <w:sz w:val="24"/>
          <w:szCs w:val="24"/>
        </w:rPr>
        <w:t>=</w:t>
      </w:r>
      <w:r w:rsidRPr="00245D0D">
        <w:rPr>
          <w:rFonts w:ascii="Arial" w:hAnsi="Arial" w:cs="Arial"/>
          <w:sz w:val="24"/>
          <w:szCs w:val="24"/>
        </w:rPr>
        <w:t>0.051, respectively).</w:t>
      </w:r>
      <w:r w:rsidRPr="00245D0D">
        <w:rPr>
          <w:rFonts w:ascii="Arial" w:hAnsi="Arial" w:cs="Arial"/>
          <w:sz w:val="24"/>
          <w:szCs w:val="24"/>
        </w:rPr>
        <w:t xml:space="preserve"> </w:t>
      </w:r>
      <w:r w:rsidRPr="00245D0D">
        <w:rPr>
          <w:rFonts w:ascii="Arial" w:hAnsi="Arial" w:cs="Arial"/>
          <w:sz w:val="24"/>
          <w:szCs w:val="24"/>
        </w:rPr>
        <w:t>SEG required a reasonable amount of training for clinicians with</w:t>
      </w:r>
      <w:r w:rsidRPr="00245D0D">
        <w:rPr>
          <w:rFonts w:ascii="Arial" w:hAnsi="Arial" w:cs="Arial"/>
          <w:sz w:val="24"/>
          <w:szCs w:val="24"/>
        </w:rPr>
        <w:t xml:space="preserve"> </w:t>
      </w:r>
      <w:r w:rsidRPr="00245D0D">
        <w:rPr>
          <w:rFonts w:ascii="Arial" w:hAnsi="Arial" w:cs="Arial"/>
          <w:sz w:val="24"/>
          <w:szCs w:val="24"/>
        </w:rPr>
        <w:t xml:space="preserve">sufficient background in musculoskeletal anatomy, </w:t>
      </w:r>
      <w:r w:rsidRPr="00245D0D">
        <w:rPr>
          <w:rFonts w:ascii="Arial" w:hAnsi="Arial" w:cs="Arial"/>
          <w:sz w:val="24"/>
          <w:szCs w:val="24"/>
        </w:rPr>
        <w:sym w:font="Symbol" w:char="F07E"/>
      </w:r>
      <w:r w:rsidRPr="00245D0D">
        <w:rPr>
          <w:rFonts w:ascii="Arial" w:hAnsi="Arial" w:cs="Arial"/>
          <w:sz w:val="24"/>
          <w:szCs w:val="24"/>
        </w:rPr>
        <w:t>4 h of observation</w:t>
      </w:r>
      <w:r w:rsidRPr="00245D0D">
        <w:rPr>
          <w:rFonts w:ascii="Arial" w:hAnsi="Arial" w:cs="Arial"/>
          <w:sz w:val="24"/>
          <w:szCs w:val="24"/>
        </w:rPr>
        <w:t xml:space="preserve"> </w:t>
      </w:r>
      <w:r w:rsidRPr="00245D0D">
        <w:rPr>
          <w:rFonts w:ascii="Arial" w:hAnsi="Arial" w:cs="Arial"/>
          <w:sz w:val="24"/>
          <w:szCs w:val="24"/>
        </w:rPr>
        <w:t>and practical training. The examination was completed in</w:t>
      </w:r>
      <w:r w:rsidRPr="00245D0D">
        <w:rPr>
          <w:rFonts w:ascii="Arial" w:hAnsi="Arial" w:cs="Arial"/>
          <w:sz w:val="24"/>
          <w:szCs w:val="24"/>
        </w:rPr>
        <w:t xml:space="preserve"> </w:t>
      </w:r>
      <w:r w:rsidRPr="00245D0D">
        <w:rPr>
          <w:rFonts w:ascii="Arial" w:hAnsi="Arial" w:cs="Arial"/>
          <w:sz w:val="24"/>
          <w:szCs w:val="24"/>
        </w:rPr>
        <w:t>&lt;5 min, so it</w:t>
      </w:r>
      <w:r w:rsidRPr="00245D0D">
        <w:rPr>
          <w:rFonts w:ascii="Arial" w:hAnsi="Arial" w:cs="Arial"/>
          <w:sz w:val="24"/>
          <w:szCs w:val="24"/>
        </w:rPr>
        <w:t xml:space="preserve"> </w:t>
      </w:r>
      <w:r w:rsidRPr="00245D0D">
        <w:rPr>
          <w:rFonts w:ascii="Arial" w:hAnsi="Arial" w:cs="Arial"/>
          <w:sz w:val="24"/>
          <w:szCs w:val="24"/>
        </w:rPr>
        <w:t>may be reasonable for use in clinical practice, and it was well tolerated</w:t>
      </w:r>
      <w:r w:rsidRPr="00245D0D">
        <w:rPr>
          <w:rFonts w:ascii="Arial" w:hAnsi="Arial" w:cs="Arial"/>
          <w:sz w:val="24"/>
          <w:szCs w:val="24"/>
        </w:rPr>
        <w:t xml:space="preserve"> </w:t>
      </w:r>
      <w:r w:rsidRPr="00245D0D">
        <w:rPr>
          <w:rFonts w:ascii="Arial" w:hAnsi="Arial" w:cs="Arial"/>
          <w:sz w:val="24"/>
          <w:szCs w:val="24"/>
        </w:rPr>
        <w:t>by patients. The SEG image was analysed in</w:t>
      </w:r>
      <w:r w:rsidRPr="00245D0D">
        <w:rPr>
          <w:rFonts w:ascii="Arial" w:hAnsi="Arial" w:cs="Arial"/>
          <w:sz w:val="24"/>
          <w:szCs w:val="24"/>
        </w:rPr>
        <w:t xml:space="preserve"> </w:t>
      </w:r>
      <w:r w:rsidRPr="00245D0D">
        <w:rPr>
          <w:rFonts w:ascii="Arial" w:hAnsi="Arial" w:cs="Arial"/>
          <w:sz w:val="24"/>
          <w:szCs w:val="24"/>
        </w:rPr>
        <w:t>&lt;5 minutes.</w:t>
      </w:r>
    </w:p>
    <w:p w:rsidR="00245D0D" w:rsidRDefault="00245D0D" w:rsidP="00245D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5D0D" w:rsidRPr="00245D0D" w:rsidRDefault="00245D0D" w:rsidP="00245D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5D0D">
        <w:rPr>
          <w:rFonts w:ascii="Arial" w:hAnsi="Arial" w:cs="Arial"/>
          <w:b/>
          <w:sz w:val="24"/>
          <w:szCs w:val="24"/>
        </w:rPr>
        <w:t>Conclusion:</w:t>
      </w:r>
      <w:r w:rsidRPr="00245D0D">
        <w:rPr>
          <w:rFonts w:ascii="Arial" w:hAnsi="Arial" w:cs="Arial"/>
          <w:sz w:val="24"/>
          <w:szCs w:val="24"/>
        </w:rPr>
        <w:t xml:space="preserve"> The results indicate that the GM in people with JHS had</w:t>
      </w:r>
      <w:r w:rsidRPr="00245D0D">
        <w:rPr>
          <w:rFonts w:ascii="Arial" w:hAnsi="Arial" w:cs="Arial"/>
          <w:sz w:val="24"/>
          <w:szCs w:val="24"/>
        </w:rPr>
        <w:t xml:space="preserve"> </w:t>
      </w:r>
      <w:r w:rsidRPr="00245D0D">
        <w:rPr>
          <w:rFonts w:ascii="Arial" w:hAnsi="Arial" w:cs="Arial"/>
          <w:sz w:val="24"/>
          <w:szCs w:val="24"/>
        </w:rPr>
        <w:t>more areas of hard tissue when compared with the control group,</w:t>
      </w:r>
      <w:r w:rsidRPr="00245D0D">
        <w:rPr>
          <w:rFonts w:ascii="Arial" w:hAnsi="Arial" w:cs="Arial"/>
          <w:sz w:val="24"/>
          <w:szCs w:val="24"/>
        </w:rPr>
        <w:t xml:space="preserve"> </w:t>
      </w:r>
      <w:r w:rsidRPr="00245D0D">
        <w:rPr>
          <w:rFonts w:ascii="Arial" w:hAnsi="Arial" w:cs="Arial"/>
          <w:sz w:val="24"/>
          <w:szCs w:val="24"/>
        </w:rPr>
        <w:t>contradicting the expected results. However, GM hyperactivity has</w:t>
      </w:r>
      <w:r w:rsidRPr="00245D0D">
        <w:rPr>
          <w:rFonts w:ascii="Arial" w:hAnsi="Arial" w:cs="Arial"/>
          <w:sz w:val="24"/>
          <w:szCs w:val="24"/>
        </w:rPr>
        <w:t xml:space="preserve"> </w:t>
      </w:r>
      <w:r w:rsidRPr="00245D0D">
        <w:rPr>
          <w:rFonts w:ascii="Arial" w:hAnsi="Arial" w:cs="Arial"/>
          <w:sz w:val="24"/>
          <w:szCs w:val="24"/>
        </w:rPr>
        <w:t>been identified during walking in people with JHS, and increased</w:t>
      </w:r>
      <w:r w:rsidRPr="00245D0D">
        <w:rPr>
          <w:rFonts w:ascii="Arial" w:hAnsi="Arial" w:cs="Arial"/>
          <w:sz w:val="24"/>
          <w:szCs w:val="24"/>
        </w:rPr>
        <w:t xml:space="preserve"> </w:t>
      </w:r>
      <w:r w:rsidRPr="00245D0D">
        <w:rPr>
          <w:rFonts w:ascii="Arial" w:hAnsi="Arial" w:cs="Arial"/>
          <w:sz w:val="24"/>
          <w:szCs w:val="24"/>
        </w:rPr>
        <w:t>muscle tone might therefore explain the findings. The findings need to</w:t>
      </w:r>
      <w:r w:rsidRPr="00245D0D">
        <w:rPr>
          <w:rFonts w:ascii="Arial" w:hAnsi="Arial" w:cs="Arial"/>
          <w:sz w:val="24"/>
          <w:szCs w:val="24"/>
        </w:rPr>
        <w:t xml:space="preserve"> </w:t>
      </w:r>
      <w:r w:rsidRPr="00245D0D">
        <w:rPr>
          <w:rFonts w:ascii="Arial" w:hAnsi="Arial" w:cs="Arial"/>
          <w:sz w:val="24"/>
          <w:szCs w:val="24"/>
        </w:rPr>
        <w:t>be verified in a much larger future study. The SEG seems a feasible</w:t>
      </w:r>
      <w:r w:rsidRPr="00245D0D">
        <w:rPr>
          <w:rFonts w:ascii="Arial" w:hAnsi="Arial" w:cs="Arial"/>
          <w:sz w:val="24"/>
          <w:szCs w:val="24"/>
        </w:rPr>
        <w:t xml:space="preserve"> </w:t>
      </w:r>
      <w:r w:rsidRPr="00245D0D">
        <w:rPr>
          <w:rFonts w:ascii="Arial" w:hAnsi="Arial" w:cs="Arial"/>
          <w:sz w:val="24"/>
          <w:szCs w:val="24"/>
        </w:rPr>
        <w:t>tool for quantifying muscular tissue elasticity in JHS.</w:t>
      </w:r>
    </w:p>
    <w:sectPr w:rsidR="00245D0D" w:rsidRPr="00245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0D"/>
    <w:rsid w:val="00245D0D"/>
    <w:rsid w:val="00D1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D2B42-26EF-4BB6-AF97-6EDE88C4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 Palmer</dc:creator>
  <cp:keywords/>
  <dc:description/>
  <cp:lastModifiedBy>Shea Palmer</cp:lastModifiedBy>
  <cp:revision>1</cp:revision>
  <dcterms:created xsi:type="dcterms:W3CDTF">2016-05-25T13:42:00Z</dcterms:created>
  <dcterms:modified xsi:type="dcterms:W3CDTF">2016-05-25T13:52:00Z</dcterms:modified>
</cp:coreProperties>
</file>