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people.xml" ContentType="application/vnd.openxmlformats-officedocument.wordprocessingml.peopl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46" w:rsidRDefault="00824246" w:rsidP="00824246">
      <w:pPr>
        <w:spacing w:line="360" w:lineRule="auto"/>
        <w:jc w:val="both"/>
        <w:rPr>
          <w:b/>
        </w:rPr>
      </w:pPr>
      <w:r>
        <w:rPr>
          <w:b/>
        </w:rPr>
        <w:t>Title:</w:t>
      </w:r>
    </w:p>
    <w:p w:rsidR="0056266D" w:rsidRDefault="0056266D" w:rsidP="00824246">
      <w:pPr>
        <w:spacing w:line="360" w:lineRule="auto"/>
        <w:jc w:val="both"/>
      </w:pPr>
      <w:r w:rsidRPr="0056266D">
        <w:t>Innovative real estate development finance – evidence from Europe</w:t>
      </w:r>
    </w:p>
    <w:p w:rsidR="00386E73" w:rsidRDefault="00386E73">
      <w:pPr>
        <w:rPr>
          <w:b/>
        </w:rPr>
      </w:pPr>
    </w:p>
    <w:p w:rsidR="001A65FE" w:rsidRDefault="001A65FE">
      <w:pPr>
        <w:rPr>
          <w:b/>
        </w:rPr>
      </w:pPr>
      <w:r>
        <w:rPr>
          <w:b/>
        </w:rPr>
        <w:t>Structured Abstract</w:t>
      </w:r>
      <w:r w:rsidR="00DC0060">
        <w:rPr>
          <w:b/>
        </w:rPr>
        <w:t>:</w:t>
      </w:r>
    </w:p>
    <w:p w:rsidR="001A65FE" w:rsidRDefault="001A65FE">
      <w:pPr>
        <w:rPr>
          <w:b/>
        </w:rPr>
      </w:pPr>
    </w:p>
    <w:p w:rsidR="00000000" w:rsidRDefault="00C56C7C">
      <w:pPr>
        <w:jc w:val="both"/>
        <w:rPr>
          <w:rFonts w:cstheme="minorHAnsi"/>
          <w:b/>
        </w:rPr>
      </w:pPr>
      <w:r w:rsidRPr="00C56C7C">
        <w:rPr>
          <w:rFonts w:cstheme="minorHAnsi"/>
          <w:b/>
        </w:rPr>
        <w:t>Purpose:</w:t>
      </w:r>
    </w:p>
    <w:p w:rsidR="00000000" w:rsidRDefault="00C316F9">
      <w:pPr>
        <w:jc w:val="both"/>
        <w:rPr>
          <w:rFonts w:cstheme="minorHAnsi"/>
        </w:rPr>
      </w:pPr>
      <w:r w:rsidRPr="00C316F9">
        <w:rPr>
          <w:rFonts w:cstheme="minorHAnsi"/>
        </w:rPr>
        <w:t>This research provides insight into large-scale real estate projects in Europe and how they are using a more innovative blend of finance.</w:t>
      </w:r>
    </w:p>
    <w:p w:rsidR="00000000" w:rsidRDefault="00B936F5">
      <w:pPr>
        <w:jc w:val="both"/>
        <w:rPr>
          <w:rFonts w:cstheme="minorHAnsi"/>
        </w:rPr>
      </w:pPr>
    </w:p>
    <w:p w:rsidR="00000000" w:rsidRDefault="00C316F9">
      <w:pPr>
        <w:jc w:val="both"/>
        <w:rPr>
          <w:rFonts w:cstheme="minorHAnsi"/>
          <w:b/>
        </w:rPr>
      </w:pPr>
      <w:r w:rsidRPr="00C316F9">
        <w:rPr>
          <w:rFonts w:cstheme="minorHAnsi"/>
          <w:b/>
        </w:rPr>
        <w:t> Design/methodology/approach</w:t>
      </w:r>
      <w:r w:rsidR="00C56C7C">
        <w:rPr>
          <w:rFonts w:cstheme="minorHAnsi"/>
          <w:b/>
        </w:rPr>
        <w:t>:</w:t>
      </w:r>
    </w:p>
    <w:p w:rsidR="00000000" w:rsidRDefault="00C56C7C">
      <w:pPr>
        <w:jc w:val="both"/>
        <w:rPr>
          <w:rFonts w:cstheme="minorHAnsi"/>
        </w:rPr>
      </w:pPr>
      <w:r w:rsidRPr="00C56C7C">
        <w:rPr>
          <w:rFonts w:cstheme="minorHAnsi"/>
        </w:rPr>
        <w:t>The methodology involved a mix of desk-based study, interviews and case studies. Interviews were held with financiers, policy makers, developers, investors, fund managers and academics. The specific case projects were Battersea Power Station Development in London; Leipziger Platz site in Berlin; and the Lammenschans site in the city of Leiden, Netherlands.</w:t>
      </w:r>
    </w:p>
    <w:p w:rsidR="00000000" w:rsidRDefault="00B936F5">
      <w:pPr>
        <w:jc w:val="both"/>
        <w:rPr>
          <w:rFonts w:cstheme="minorHAnsi"/>
        </w:rPr>
      </w:pPr>
    </w:p>
    <w:p w:rsidR="00000000" w:rsidRDefault="00C316F9">
      <w:pPr>
        <w:jc w:val="both"/>
        <w:rPr>
          <w:rFonts w:cstheme="minorHAnsi"/>
          <w:b/>
        </w:rPr>
      </w:pPr>
      <w:r w:rsidRPr="00C316F9">
        <w:rPr>
          <w:rFonts w:cstheme="minorHAnsi"/>
          <w:b/>
        </w:rPr>
        <w:t>Findings:</w:t>
      </w:r>
    </w:p>
    <w:p w:rsidR="00000000" w:rsidRDefault="00C56C7C">
      <w:pPr>
        <w:jc w:val="both"/>
        <w:rPr>
          <w:rFonts w:cstheme="minorHAnsi"/>
        </w:rPr>
      </w:pPr>
      <w:r w:rsidRPr="00C56C7C">
        <w:rPr>
          <w:rFonts w:cstheme="minorHAnsi"/>
        </w:rPr>
        <w:t xml:space="preserve">The research found that there is growth in the blend of financial products used in real estate development within large-scale mixed-use projects. This new blend is set with greater equity financing, often from domestic and foreign consortiums generating institutional funds </w:t>
      </w:r>
      <w:r>
        <w:rPr>
          <w:rFonts w:cstheme="minorHAnsi"/>
        </w:rPr>
        <w:t>—</w:t>
      </w:r>
      <w:r w:rsidRPr="00C56C7C">
        <w:rPr>
          <w:rFonts w:cstheme="minorHAnsi"/>
        </w:rPr>
        <w:t xml:space="preserve"> alongside private debt financing that utilise a mix of large-scale multi-bank finance.</w:t>
      </w:r>
    </w:p>
    <w:p w:rsidR="00000000" w:rsidRDefault="00B936F5">
      <w:pPr>
        <w:jc w:val="both"/>
        <w:rPr>
          <w:rFonts w:cstheme="minorHAnsi"/>
          <w:b/>
        </w:rPr>
      </w:pPr>
    </w:p>
    <w:p w:rsidR="00000000" w:rsidRDefault="00C316F9">
      <w:pPr>
        <w:jc w:val="both"/>
        <w:rPr>
          <w:rFonts w:cstheme="minorHAnsi"/>
          <w:b/>
        </w:rPr>
      </w:pPr>
      <w:r w:rsidRPr="00C316F9">
        <w:rPr>
          <w:rFonts w:cstheme="minorHAnsi"/>
          <w:b/>
        </w:rPr>
        <w:t>Practical Implications:</w:t>
      </w:r>
    </w:p>
    <w:p w:rsidR="00000000" w:rsidRDefault="00C56C7C">
      <w:pPr>
        <w:jc w:val="both"/>
        <w:rPr>
          <w:rFonts w:cstheme="minorHAnsi"/>
        </w:rPr>
      </w:pPr>
      <w:r w:rsidRPr="00C56C7C">
        <w:rPr>
          <w:rFonts w:cstheme="minorHAnsi"/>
        </w:rPr>
        <w:t>The scale of the challenge in financing real estate development allied with capital budget constraints has meant that the appetite for innovative finance mechanisms has gained considerable momentum in practice and policy. This research investigates current examples in development finance and provides a discussion of the opinion of key multi-stakeholder participants in the individual cases, and trends more strategically at a broader level.</w:t>
      </w:r>
    </w:p>
    <w:p w:rsidR="00000000" w:rsidRDefault="00B936F5">
      <w:pPr>
        <w:jc w:val="both"/>
        <w:rPr>
          <w:rFonts w:cstheme="minorHAnsi"/>
        </w:rPr>
      </w:pPr>
    </w:p>
    <w:p w:rsidR="00000000" w:rsidRDefault="00C316F9">
      <w:pPr>
        <w:jc w:val="both"/>
        <w:rPr>
          <w:rFonts w:cstheme="minorHAnsi"/>
          <w:b/>
        </w:rPr>
      </w:pPr>
      <w:r w:rsidRPr="00C316F9">
        <w:rPr>
          <w:rFonts w:cstheme="minorHAnsi"/>
          <w:b/>
        </w:rPr>
        <w:t> Originality/value</w:t>
      </w:r>
      <w:r w:rsidR="00C56C7C">
        <w:rPr>
          <w:rFonts w:cstheme="minorHAnsi"/>
          <w:b/>
        </w:rPr>
        <w:t>:</w:t>
      </w:r>
    </w:p>
    <w:p w:rsidR="00000000" w:rsidRDefault="00C56C7C">
      <w:pPr>
        <w:jc w:val="both"/>
        <w:rPr>
          <w:rFonts w:cstheme="minorHAnsi"/>
        </w:rPr>
      </w:pPr>
      <w:r w:rsidRPr="00C56C7C">
        <w:rPr>
          <w:rFonts w:cstheme="minorHAnsi"/>
        </w:rPr>
        <w:t>This detailed study of three major development sites and at a more broader strategic level is significant, in that it provides a better understanding of the differing blends of finance that are being used.</w:t>
      </w:r>
    </w:p>
    <w:p w:rsidR="00C56C7C" w:rsidRPr="00C56C7C" w:rsidRDefault="00C56C7C"/>
    <w:p w:rsidR="00C56C7C" w:rsidRDefault="00C56C7C">
      <w:pPr>
        <w:rPr>
          <w:b/>
        </w:rPr>
      </w:pPr>
    </w:p>
    <w:p w:rsidR="001A65FE" w:rsidRDefault="001A65FE">
      <w:pPr>
        <w:rPr>
          <w:b/>
        </w:rPr>
      </w:pPr>
    </w:p>
    <w:p w:rsidR="00DE0EAB" w:rsidRPr="00467BAE" w:rsidRDefault="00DE0EAB" w:rsidP="00DE0EAB">
      <w:pPr>
        <w:pStyle w:val="ListParagraph"/>
        <w:numPr>
          <w:ilvl w:val="0"/>
          <w:numId w:val="12"/>
        </w:numPr>
        <w:spacing w:line="360" w:lineRule="auto"/>
        <w:jc w:val="both"/>
        <w:rPr>
          <w:b/>
        </w:rPr>
      </w:pPr>
      <w:r w:rsidRPr="00467BAE">
        <w:rPr>
          <w:b/>
        </w:rPr>
        <w:t>Introduction</w:t>
      </w:r>
    </w:p>
    <w:p w:rsidR="00BE6F87" w:rsidRPr="00467BAE" w:rsidRDefault="00BE6F87" w:rsidP="00DE0EAB">
      <w:pPr>
        <w:spacing w:line="360" w:lineRule="auto"/>
        <w:jc w:val="both"/>
        <w:rPr>
          <w:b/>
        </w:rPr>
      </w:pPr>
    </w:p>
    <w:p w:rsidR="00955114" w:rsidRDefault="00724B1B" w:rsidP="001C22F7">
      <w:pPr>
        <w:widowControl w:val="0"/>
        <w:autoSpaceDE w:val="0"/>
        <w:autoSpaceDN w:val="0"/>
        <w:adjustRightInd w:val="0"/>
        <w:spacing w:line="360" w:lineRule="auto"/>
        <w:jc w:val="both"/>
        <w:rPr>
          <w:rFonts w:cstheme="minorHAnsi"/>
        </w:rPr>
      </w:pPr>
      <w:r w:rsidRPr="00467BAE">
        <w:rPr>
          <w:rFonts w:cstheme="minorHAnsi"/>
        </w:rPr>
        <w:t>Real Estate plays a pivotal role in the economy</w:t>
      </w:r>
      <w:r w:rsidR="000B3CCF">
        <w:rPr>
          <w:rFonts w:cstheme="minorHAnsi"/>
        </w:rPr>
        <w:t>,</w:t>
      </w:r>
      <w:r w:rsidRPr="00467BAE">
        <w:rPr>
          <w:rFonts w:cstheme="minorHAnsi"/>
        </w:rPr>
        <w:t xml:space="preserve"> and how it is financed has come under close scrutiny following the </w:t>
      </w:r>
      <w:r w:rsidR="00DA7260" w:rsidRPr="00467BAE">
        <w:rPr>
          <w:rFonts w:cstheme="minorHAnsi"/>
        </w:rPr>
        <w:t>Global Financial Crisis (GFC)</w:t>
      </w:r>
      <w:r w:rsidRPr="00467BAE">
        <w:rPr>
          <w:rFonts w:cstheme="minorHAnsi"/>
        </w:rPr>
        <w:t xml:space="preserve"> in 200</w:t>
      </w:r>
      <w:r w:rsidR="009E09E2">
        <w:rPr>
          <w:rFonts w:cstheme="minorHAnsi"/>
        </w:rPr>
        <w:t>7-08</w:t>
      </w:r>
      <w:r w:rsidR="002D0039" w:rsidRPr="00467BAE">
        <w:rPr>
          <w:rFonts w:cstheme="minorHAnsi"/>
        </w:rPr>
        <w:t xml:space="preserve">. </w:t>
      </w:r>
      <w:r w:rsidRPr="00467BAE">
        <w:rPr>
          <w:rFonts w:cstheme="minorHAnsi"/>
        </w:rPr>
        <w:t>Sin</w:t>
      </w:r>
      <w:r w:rsidR="00226D56" w:rsidRPr="00467BAE">
        <w:rPr>
          <w:rFonts w:cstheme="minorHAnsi"/>
        </w:rPr>
        <w:t>c</w:t>
      </w:r>
      <w:r w:rsidR="002D0039" w:rsidRPr="00467BAE">
        <w:rPr>
          <w:rFonts w:cstheme="minorHAnsi"/>
        </w:rPr>
        <w:t>e 2008</w:t>
      </w:r>
      <w:r w:rsidR="00226D56" w:rsidRPr="00467BAE">
        <w:rPr>
          <w:rFonts w:cstheme="minorHAnsi"/>
        </w:rPr>
        <w:t>, government</w:t>
      </w:r>
      <w:r w:rsidR="006E347F" w:rsidRPr="00467BAE">
        <w:rPr>
          <w:rFonts w:cstheme="minorHAnsi"/>
        </w:rPr>
        <w:t>s</w:t>
      </w:r>
      <w:r w:rsidR="00DB5391" w:rsidRPr="00467BAE">
        <w:rPr>
          <w:rFonts w:cstheme="minorHAnsi"/>
        </w:rPr>
        <w:t>, regulator</w:t>
      </w:r>
      <w:r w:rsidR="006E347F" w:rsidRPr="00467BAE">
        <w:rPr>
          <w:rFonts w:cstheme="minorHAnsi"/>
        </w:rPr>
        <w:t>s</w:t>
      </w:r>
      <w:r w:rsidR="00AB5D9F">
        <w:rPr>
          <w:rFonts w:cstheme="minorHAnsi"/>
        </w:rPr>
        <w:t>,</w:t>
      </w:r>
      <w:r w:rsidR="00226D56" w:rsidRPr="00467BAE">
        <w:rPr>
          <w:rFonts w:cstheme="minorHAnsi"/>
        </w:rPr>
        <w:t xml:space="preserve"> and industry attention has been focused on the roles of lending institutions, the correct debt to equity mix, the pricing of risk</w:t>
      </w:r>
      <w:r w:rsidR="00AC4271" w:rsidRPr="00467BAE">
        <w:rPr>
          <w:rFonts w:cstheme="minorHAnsi"/>
        </w:rPr>
        <w:t xml:space="preserve">, </w:t>
      </w:r>
      <w:r w:rsidR="00226D56" w:rsidRPr="00467BAE">
        <w:rPr>
          <w:rFonts w:cstheme="minorHAnsi"/>
        </w:rPr>
        <w:t>return requirements</w:t>
      </w:r>
      <w:r w:rsidR="00AB5D9F">
        <w:rPr>
          <w:rFonts w:cstheme="minorHAnsi"/>
        </w:rPr>
        <w:t>,</w:t>
      </w:r>
      <w:r w:rsidR="00AC4271" w:rsidRPr="00467BAE">
        <w:rPr>
          <w:rFonts w:cstheme="minorHAnsi"/>
        </w:rPr>
        <w:t xml:space="preserve"> and </w:t>
      </w:r>
      <w:r w:rsidR="00786226" w:rsidRPr="00467BAE">
        <w:rPr>
          <w:rFonts w:cstheme="minorHAnsi"/>
        </w:rPr>
        <w:t xml:space="preserve">the nature of </w:t>
      </w:r>
      <w:r w:rsidR="002D0039" w:rsidRPr="00467BAE">
        <w:rPr>
          <w:rFonts w:cstheme="minorHAnsi"/>
        </w:rPr>
        <w:t xml:space="preserve">the </w:t>
      </w:r>
      <w:r w:rsidR="00AC4271" w:rsidRPr="00467BAE">
        <w:rPr>
          <w:rFonts w:cstheme="minorHAnsi"/>
        </w:rPr>
        <w:t xml:space="preserve">partnership </w:t>
      </w:r>
      <w:r w:rsidR="00266632" w:rsidRPr="00467BAE">
        <w:rPr>
          <w:rFonts w:cstheme="minorHAnsi"/>
        </w:rPr>
        <w:t>structures</w:t>
      </w:r>
      <w:r w:rsidR="00AC4271" w:rsidRPr="00467BAE">
        <w:rPr>
          <w:rFonts w:cstheme="minorHAnsi"/>
        </w:rPr>
        <w:t xml:space="preserve"> between the public and private sectors</w:t>
      </w:r>
      <w:r w:rsidR="00467BAE" w:rsidRPr="00467BAE">
        <w:rPr>
          <w:rFonts w:cstheme="minorHAnsi"/>
        </w:rPr>
        <w:t xml:space="preserve"> (Adair</w:t>
      </w:r>
      <w:r w:rsidR="00467BAE" w:rsidRPr="00467BAE">
        <w:rPr>
          <w:rFonts w:cstheme="minorHAnsi"/>
          <w:i/>
        </w:rPr>
        <w:t xml:space="preserve"> et al.</w:t>
      </w:r>
      <w:r w:rsidR="00467BAE">
        <w:rPr>
          <w:rFonts w:cstheme="minorHAnsi"/>
        </w:rPr>
        <w:t xml:space="preserve">, </w:t>
      </w:r>
      <w:r w:rsidR="00467BAE" w:rsidRPr="00467BAE">
        <w:rPr>
          <w:rFonts w:cstheme="minorHAnsi"/>
        </w:rPr>
        <w:t>2011).</w:t>
      </w:r>
      <w:r w:rsidR="00266632" w:rsidRPr="00467BAE">
        <w:rPr>
          <w:rFonts w:cstheme="minorHAnsi"/>
        </w:rPr>
        <w:t xml:space="preserve"> </w:t>
      </w:r>
      <w:r w:rsidR="00AB5D9F">
        <w:rPr>
          <w:rFonts w:cstheme="minorHAnsi"/>
        </w:rPr>
        <w:t>T</w:t>
      </w:r>
      <w:r w:rsidR="00266632" w:rsidRPr="00467BAE">
        <w:rPr>
          <w:rFonts w:cstheme="minorHAnsi"/>
        </w:rPr>
        <w:t>he financing of real estate</w:t>
      </w:r>
      <w:r w:rsidR="00786226" w:rsidRPr="00467BAE">
        <w:rPr>
          <w:rFonts w:cstheme="minorHAnsi"/>
        </w:rPr>
        <w:t xml:space="preserve"> development </w:t>
      </w:r>
      <w:r w:rsidRPr="00467BAE">
        <w:t xml:space="preserve">activity is </w:t>
      </w:r>
      <w:r w:rsidR="00AB5D9F">
        <w:t xml:space="preserve">often </w:t>
      </w:r>
      <w:r w:rsidRPr="00467BAE">
        <w:t>higher up the risk curve</w:t>
      </w:r>
      <w:r w:rsidR="00AB5D9F">
        <w:t xml:space="preserve"> for investors, and thus the rationale for this study is to discover what innovative real estate development finance mechanisms are currently </w:t>
      </w:r>
      <w:r w:rsidR="002F28AE">
        <w:t>available</w:t>
      </w:r>
      <w:r w:rsidR="00AB5D9F">
        <w:t>.</w:t>
      </w:r>
      <w:r w:rsidR="00955114">
        <w:t xml:space="preserve"> </w:t>
      </w:r>
      <w:r w:rsidR="002F28AE">
        <w:rPr>
          <w:rFonts w:cstheme="minorHAnsi"/>
        </w:rPr>
        <w:t>T</w:t>
      </w:r>
      <w:r w:rsidR="00E165FC" w:rsidRPr="00467BAE">
        <w:rPr>
          <w:rFonts w:cstheme="minorHAnsi"/>
        </w:rPr>
        <w:t xml:space="preserve">he scale of the challenge in financing real estate development </w:t>
      </w:r>
      <w:r w:rsidR="00AB5D9F">
        <w:rPr>
          <w:rFonts w:cstheme="minorHAnsi"/>
        </w:rPr>
        <w:t xml:space="preserve">is </w:t>
      </w:r>
      <w:r w:rsidR="00CC4124">
        <w:rPr>
          <w:rFonts w:cstheme="minorHAnsi"/>
        </w:rPr>
        <w:t>significant; especially</w:t>
      </w:r>
      <w:r w:rsidR="00AB5D9F">
        <w:rPr>
          <w:rFonts w:cstheme="minorHAnsi"/>
        </w:rPr>
        <w:t xml:space="preserve"> as </w:t>
      </w:r>
      <w:r w:rsidR="00E165FC" w:rsidRPr="00467BAE">
        <w:rPr>
          <w:rFonts w:cstheme="minorHAnsi"/>
        </w:rPr>
        <w:t>capital budget constraints ha</w:t>
      </w:r>
      <w:r w:rsidR="00955114">
        <w:rPr>
          <w:rFonts w:cstheme="minorHAnsi"/>
        </w:rPr>
        <w:t>ve</w:t>
      </w:r>
      <w:r w:rsidR="00E165FC" w:rsidRPr="00467BAE">
        <w:rPr>
          <w:rFonts w:cstheme="minorHAnsi"/>
        </w:rPr>
        <w:t xml:space="preserve"> meant that the appetite for </w:t>
      </w:r>
      <w:r w:rsidR="00AB5D9F">
        <w:rPr>
          <w:rFonts w:cstheme="minorHAnsi"/>
        </w:rPr>
        <w:t xml:space="preserve">financial </w:t>
      </w:r>
      <w:r w:rsidR="00E165FC" w:rsidRPr="00467BAE">
        <w:rPr>
          <w:rFonts w:cstheme="minorHAnsi"/>
        </w:rPr>
        <w:t>innovati</w:t>
      </w:r>
      <w:r w:rsidR="00AB5D9F">
        <w:rPr>
          <w:rFonts w:cstheme="minorHAnsi"/>
        </w:rPr>
        <w:t>on</w:t>
      </w:r>
      <w:r w:rsidR="00E165FC" w:rsidRPr="00467BAE">
        <w:rPr>
          <w:rFonts w:cstheme="minorHAnsi"/>
        </w:rPr>
        <w:t xml:space="preserve"> </w:t>
      </w:r>
      <w:r w:rsidR="00955114">
        <w:rPr>
          <w:rFonts w:cstheme="minorHAnsi"/>
        </w:rPr>
        <w:t>in</w:t>
      </w:r>
      <w:r w:rsidR="00AB5D9F">
        <w:rPr>
          <w:rFonts w:cstheme="minorHAnsi"/>
        </w:rPr>
        <w:t xml:space="preserve"> real estate development </w:t>
      </w:r>
      <w:r w:rsidR="00E165FC" w:rsidRPr="00467BAE">
        <w:rPr>
          <w:rFonts w:cstheme="minorHAnsi"/>
        </w:rPr>
        <w:t>has gained considerable momentum</w:t>
      </w:r>
      <w:r w:rsidR="00336B47">
        <w:rPr>
          <w:rFonts w:cstheme="minorHAnsi"/>
        </w:rPr>
        <w:t xml:space="preserve"> </w:t>
      </w:r>
      <w:r w:rsidR="00336B47" w:rsidRPr="00F3038F">
        <w:rPr>
          <w:rFonts w:ascii="Cambria" w:hAnsi="Cambria" w:cs="Arial"/>
        </w:rPr>
        <w:t>(Bartke, 2013)</w:t>
      </w:r>
      <w:r w:rsidR="00E165FC" w:rsidRPr="00467BAE">
        <w:rPr>
          <w:rFonts w:cstheme="minorHAnsi"/>
        </w:rPr>
        <w:t xml:space="preserve">. </w:t>
      </w:r>
      <w:r w:rsidR="009E09E2" w:rsidRPr="00467BAE">
        <w:rPr>
          <w:rFonts w:cstheme="minorHAnsi"/>
        </w:rPr>
        <w:t>In 2011</w:t>
      </w:r>
      <w:r w:rsidR="002F28AE">
        <w:rPr>
          <w:rFonts w:cstheme="minorHAnsi"/>
        </w:rPr>
        <w:t xml:space="preserve"> </w:t>
      </w:r>
      <w:r w:rsidR="002F28AE" w:rsidRPr="00467BAE">
        <w:rPr>
          <w:rFonts w:cstheme="minorHAnsi"/>
        </w:rPr>
        <w:t>(Thomas, 2015)</w:t>
      </w:r>
      <w:r w:rsidR="009E09E2" w:rsidRPr="00467BAE">
        <w:rPr>
          <w:rFonts w:cstheme="minorHAnsi"/>
        </w:rPr>
        <w:t xml:space="preserve">, the commercial property sector directly contributed </w:t>
      </w:r>
      <w:r w:rsidR="002F28AE">
        <w:rPr>
          <w:rFonts w:cstheme="minorHAnsi"/>
        </w:rPr>
        <w:t>$310 USD</w:t>
      </w:r>
      <w:r w:rsidR="009E09E2" w:rsidRPr="00467BAE">
        <w:rPr>
          <w:rFonts w:cstheme="minorHAnsi"/>
        </w:rPr>
        <w:t xml:space="preserve"> billion to the European economy</w:t>
      </w:r>
      <w:r w:rsidR="009E09E2">
        <w:rPr>
          <w:rFonts w:cstheme="minorHAnsi"/>
        </w:rPr>
        <w:t xml:space="preserve">. </w:t>
      </w:r>
      <w:r w:rsidR="006F17F0">
        <w:rPr>
          <w:rFonts w:cstheme="minorHAnsi"/>
        </w:rPr>
        <w:t xml:space="preserve">Moreover, </w:t>
      </w:r>
      <w:r w:rsidR="006F17F0" w:rsidRPr="00A661F7">
        <w:t>intense pressures from accelerating growth worldwide require innovative funding to support sustainable redevelopment (</w:t>
      </w:r>
      <w:r w:rsidR="006F17F0">
        <w:t xml:space="preserve">Medda et al., </w:t>
      </w:r>
      <w:r w:rsidR="006F17F0" w:rsidRPr="00A661F7">
        <w:t>2011)</w:t>
      </w:r>
      <w:r w:rsidR="004A1DDB">
        <w:t>, and more considered international approaches to real estate development (</w:t>
      </w:r>
      <w:r w:rsidR="004A1DDB">
        <w:rPr>
          <w:rFonts w:ascii="Cambria" w:hAnsi="Cambria"/>
        </w:rPr>
        <w:t xml:space="preserve">Squires and Heurkens, 2015; </w:t>
      </w:r>
      <w:r w:rsidR="004A1DDB" w:rsidRPr="00961074">
        <w:rPr>
          <w:rFonts w:ascii="Cambria" w:hAnsi="Cambria"/>
        </w:rPr>
        <w:t>2016)</w:t>
      </w:r>
      <w:r w:rsidR="006F17F0" w:rsidRPr="00A661F7">
        <w:t>.</w:t>
      </w:r>
    </w:p>
    <w:p w:rsidR="00955114" w:rsidRDefault="00955114" w:rsidP="001C22F7">
      <w:pPr>
        <w:widowControl w:val="0"/>
        <w:autoSpaceDE w:val="0"/>
        <w:autoSpaceDN w:val="0"/>
        <w:adjustRightInd w:val="0"/>
        <w:spacing w:line="360" w:lineRule="auto"/>
        <w:jc w:val="both"/>
        <w:rPr>
          <w:rFonts w:cstheme="minorHAnsi"/>
        </w:rPr>
      </w:pPr>
    </w:p>
    <w:p w:rsidR="002F28AE" w:rsidRDefault="00BE6F87" w:rsidP="001C22F7">
      <w:pPr>
        <w:widowControl w:val="0"/>
        <w:autoSpaceDE w:val="0"/>
        <w:autoSpaceDN w:val="0"/>
        <w:adjustRightInd w:val="0"/>
        <w:spacing w:line="360" w:lineRule="auto"/>
        <w:jc w:val="both"/>
        <w:rPr>
          <w:rFonts w:cstheme="minorHAnsi"/>
        </w:rPr>
      </w:pPr>
      <w:r w:rsidRPr="00467BAE">
        <w:rPr>
          <w:rFonts w:cstheme="minorHAnsi"/>
        </w:rPr>
        <w:t xml:space="preserve">The study anchors around a single </w:t>
      </w:r>
      <w:r w:rsidR="00955114">
        <w:rPr>
          <w:rFonts w:cstheme="minorHAnsi"/>
        </w:rPr>
        <w:t xml:space="preserve">research premise </w:t>
      </w:r>
      <w:r w:rsidR="00BA596F">
        <w:rPr>
          <w:rFonts w:cstheme="minorHAnsi"/>
        </w:rPr>
        <w:t xml:space="preserve">to formulate </w:t>
      </w:r>
      <w:r w:rsidR="002F28AE">
        <w:rPr>
          <w:rFonts w:cstheme="minorHAnsi"/>
        </w:rPr>
        <w:t>its</w:t>
      </w:r>
      <w:r w:rsidR="00BA596F">
        <w:rPr>
          <w:rFonts w:cstheme="minorHAnsi"/>
        </w:rPr>
        <w:t xml:space="preserve"> argument </w:t>
      </w:r>
      <w:r w:rsidR="00955114">
        <w:rPr>
          <w:rFonts w:cstheme="minorHAnsi"/>
        </w:rPr>
        <w:t>-</w:t>
      </w:r>
      <w:r w:rsidR="00E165FC" w:rsidRPr="00467BAE">
        <w:rPr>
          <w:rFonts w:cstheme="minorHAnsi"/>
        </w:rPr>
        <w:t xml:space="preserve"> that</w:t>
      </w:r>
      <w:r w:rsidR="00B54355" w:rsidRPr="00467BAE">
        <w:rPr>
          <w:rFonts w:cstheme="minorHAnsi"/>
        </w:rPr>
        <w:t xml:space="preserve"> </w:t>
      </w:r>
      <w:r w:rsidR="00955114" w:rsidRPr="00467BAE">
        <w:rPr>
          <w:rFonts w:cstheme="minorHAnsi"/>
        </w:rPr>
        <w:t>large-scale real estate projects</w:t>
      </w:r>
      <w:r w:rsidR="00955114">
        <w:rPr>
          <w:rFonts w:cstheme="minorHAnsi"/>
        </w:rPr>
        <w:t xml:space="preserve"> in Europe are using a more innovative blend of finance</w:t>
      </w:r>
      <w:r w:rsidR="00B54355" w:rsidRPr="00467BAE">
        <w:rPr>
          <w:rFonts w:cstheme="minorHAnsi"/>
        </w:rPr>
        <w:t xml:space="preserve">. </w:t>
      </w:r>
      <w:r w:rsidR="00A817E4">
        <w:rPr>
          <w:rFonts w:cstheme="minorHAnsi"/>
        </w:rPr>
        <w:t xml:space="preserve">As such, the aim is to understand this blended characteristic of innovative finance in real estate development projects. </w:t>
      </w:r>
      <w:r w:rsidR="00E165FC" w:rsidRPr="00467BAE">
        <w:rPr>
          <w:rFonts w:cstheme="minorHAnsi"/>
        </w:rPr>
        <w:t>T</w:t>
      </w:r>
      <w:r w:rsidR="00B54355" w:rsidRPr="00467BAE">
        <w:rPr>
          <w:rFonts w:cstheme="minorHAnsi"/>
        </w:rPr>
        <w:t xml:space="preserve">his type of financing will be </w:t>
      </w:r>
      <w:r w:rsidR="00E165FC" w:rsidRPr="00467BAE">
        <w:rPr>
          <w:rFonts w:cstheme="minorHAnsi"/>
        </w:rPr>
        <w:t xml:space="preserve">referred to as ‘innovative development finance’ in the </w:t>
      </w:r>
      <w:r w:rsidR="00467BAE" w:rsidRPr="00467BAE">
        <w:rPr>
          <w:rFonts w:cstheme="minorHAnsi"/>
        </w:rPr>
        <w:t xml:space="preserve">proceeding </w:t>
      </w:r>
      <w:r w:rsidR="002F28AE">
        <w:rPr>
          <w:rFonts w:cstheme="minorHAnsi"/>
        </w:rPr>
        <w:t>narrative</w:t>
      </w:r>
      <w:r w:rsidR="007345FE" w:rsidRPr="00467BAE">
        <w:rPr>
          <w:rFonts w:cstheme="minorHAnsi"/>
        </w:rPr>
        <w:t>.</w:t>
      </w:r>
      <w:r w:rsidR="00955114">
        <w:t xml:space="preserve"> </w:t>
      </w:r>
      <w:r w:rsidR="002F28AE">
        <w:rPr>
          <w:rFonts w:cstheme="minorHAnsi"/>
        </w:rPr>
        <w:t>O</w:t>
      </w:r>
      <w:r w:rsidR="00A817E4">
        <w:rPr>
          <w:rFonts w:cstheme="minorHAnsi"/>
        </w:rPr>
        <w:t>bjectives</w:t>
      </w:r>
      <w:r w:rsidRPr="00467BAE">
        <w:rPr>
          <w:rFonts w:cstheme="minorHAnsi"/>
        </w:rPr>
        <w:t xml:space="preserve"> of the </w:t>
      </w:r>
      <w:r w:rsidR="005C1839" w:rsidRPr="00467BAE">
        <w:rPr>
          <w:rFonts w:cstheme="minorHAnsi"/>
        </w:rPr>
        <w:t>research</w:t>
      </w:r>
      <w:r w:rsidRPr="00467BAE">
        <w:rPr>
          <w:rFonts w:cstheme="minorHAnsi"/>
        </w:rPr>
        <w:t xml:space="preserve"> </w:t>
      </w:r>
      <w:r w:rsidR="00A817E4">
        <w:rPr>
          <w:rFonts w:cstheme="minorHAnsi"/>
        </w:rPr>
        <w:t>are</w:t>
      </w:r>
      <w:r w:rsidRPr="00467BAE">
        <w:rPr>
          <w:rFonts w:cstheme="minorHAnsi"/>
        </w:rPr>
        <w:t xml:space="preserve"> to</w:t>
      </w:r>
      <w:r w:rsidR="009E09E2">
        <w:rPr>
          <w:rFonts w:cstheme="minorHAnsi"/>
        </w:rPr>
        <w:t>:</w:t>
      </w:r>
      <w:r w:rsidRPr="00467BAE">
        <w:rPr>
          <w:rFonts w:cstheme="minorHAnsi"/>
        </w:rPr>
        <w:t xml:space="preserve"> provide a critical review of innovative </w:t>
      </w:r>
      <w:r w:rsidR="00955114">
        <w:rPr>
          <w:rFonts w:cstheme="minorHAnsi"/>
        </w:rPr>
        <w:t>development finance</w:t>
      </w:r>
      <w:r w:rsidRPr="00467BAE">
        <w:rPr>
          <w:rFonts w:cstheme="minorHAnsi"/>
        </w:rPr>
        <w:t xml:space="preserve"> </w:t>
      </w:r>
      <w:r w:rsidR="00677418" w:rsidRPr="00467BAE">
        <w:rPr>
          <w:rFonts w:cstheme="minorHAnsi"/>
        </w:rPr>
        <w:t>mechanisms</w:t>
      </w:r>
      <w:r w:rsidR="00A817E4">
        <w:rPr>
          <w:rFonts w:cstheme="minorHAnsi"/>
        </w:rPr>
        <w:t>;</w:t>
      </w:r>
      <w:r w:rsidR="00CC4124">
        <w:rPr>
          <w:rFonts w:cstheme="minorHAnsi"/>
        </w:rPr>
        <w:t xml:space="preserve"> </w:t>
      </w:r>
      <w:r w:rsidR="00A817E4">
        <w:rPr>
          <w:rFonts w:cstheme="minorHAnsi"/>
        </w:rPr>
        <w:t xml:space="preserve">profile findings of such </w:t>
      </w:r>
      <w:r w:rsidR="00145B55">
        <w:rPr>
          <w:rFonts w:cstheme="minorHAnsi"/>
        </w:rPr>
        <w:t xml:space="preserve">innovative finance </w:t>
      </w:r>
      <w:r w:rsidR="00A817E4">
        <w:rPr>
          <w:rFonts w:cstheme="minorHAnsi"/>
        </w:rPr>
        <w:t xml:space="preserve">blending </w:t>
      </w:r>
      <w:r w:rsidR="00CC4124">
        <w:rPr>
          <w:rFonts w:cstheme="minorHAnsi"/>
        </w:rPr>
        <w:t>within large-scale sites</w:t>
      </w:r>
      <w:r w:rsidR="00EC1858" w:rsidRPr="00467BAE">
        <w:rPr>
          <w:rFonts w:cstheme="minorHAnsi"/>
        </w:rPr>
        <w:t xml:space="preserve"> </w:t>
      </w:r>
      <w:r w:rsidR="00CC4124">
        <w:rPr>
          <w:rFonts w:cstheme="minorHAnsi"/>
        </w:rPr>
        <w:t>in</w:t>
      </w:r>
      <w:r w:rsidRPr="00467BAE">
        <w:rPr>
          <w:rFonts w:cstheme="minorHAnsi"/>
        </w:rPr>
        <w:t xml:space="preserve"> Europe</w:t>
      </w:r>
      <w:r w:rsidR="00A817E4">
        <w:rPr>
          <w:rFonts w:cstheme="minorHAnsi"/>
        </w:rPr>
        <w:t>; and provide a discussion more generally on the characteristics of blending in innovative finance development</w:t>
      </w:r>
      <w:r w:rsidRPr="00467BAE">
        <w:rPr>
          <w:rFonts w:cstheme="minorHAnsi"/>
        </w:rPr>
        <w:t xml:space="preserve">. </w:t>
      </w:r>
      <w:r w:rsidR="002F28AE">
        <w:rPr>
          <w:rFonts w:cstheme="minorHAnsi"/>
        </w:rPr>
        <w:t xml:space="preserve">It is the intention of the paper to draw greater understanding in teaching and learning in what development finance mechanisms have and are being used more innovatively. Developing this tacit knowledge can be applied in policy and practice, for improved environmental place-making and quality of life in society. </w:t>
      </w:r>
    </w:p>
    <w:p w:rsidR="002F28AE" w:rsidRDefault="002F28AE" w:rsidP="001C22F7">
      <w:pPr>
        <w:widowControl w:val="0"/>
        <w:autoSpaceDE w:val="0"/>
        <w:autoSpaceDN w:val="0"/>
        <w:adjustRightInd w:val="0"/>
        <w:spacing w:line="360" w:lineRule="auto"/>
        <w:jc w:val="both"/>
        <w:rPr>
          <w:rFonts w:cstheme="minorHAnsi"/>
        </w:rPr>
      </w:pPr>
    </w:p>
    <w:p w:rsidR="00000000" w:rsidRDefault="00E5595F">
      <w:pPr>
        <w:widowControl w:val="0"/>
        <w:autoSpaceDE w:val="0"/>
        <w:autoSpaceDN w:val="0"/>
        <w:adjustRightInd w:val="0"/>
        <w:spacing w:line="360" w:lineRule="auto"/>
        <w:jc w:val="both"/>
        <w:rPr>
          <w:rFonts w:cstheme="minorHAnsi"/>
          <w:b/>
        </w:rPr>
      </w:pPr>
      <w:r w:rsidRPr="00467BAE">
        <w:rPr>
          <w:rFonts w:cstheme="minorHAnsi"/>
        </w:rPr>
        <w:t xml:space="preserve">The </w:t>
      </w:r>
      <w:r w:rsidR="00917A7F">
        <w:rPr>
          <w:rFonts w:cstheme="minorHAnsi"/>
        </w:rPr>
        <w:t>study</w:t>
      </w:r>
      <w:r w:rsidRPr="00467BAE">
        <w:rPr>
          <w:rFonts w:cstheme="minorHAnsi"/>
        </w:rPr>
        <w:t xml:space="preserve"> </w:t>
      </w:r>
      <w:r w:rsidR="002F28AE">
        <w:rPr>
          <w:rFonts w:cstheme="minorHAnsi"/>
        </w:rPr>
        <w:t>is based on</w:t>
      </w:r>
      <w:r w:rsidRPr="00467BAE">
        <w:rPr>
          <w:rFonts w:cstheme="minorHAnsi"/>
        </w:rPr>
        <w:t xml:space="preserve"> two main </w:t>
      </w:r>
      <w:r w:rsidR="001A32D1">
        <w:rPr>
          <w:rFonts w:cstheme="minorHAnsi"/>
        </w:rPr>
        <w:t xml:space="preserve">research methods involving desk-based study </w:t>
      </w:r>
      <w:r w:rsidRPr="00467BAE">
        <w:rPr>
          <w:rFonts w:cstheme="minorHAnsi"/>
        </w:rPr>
        <w:t xml:space="preserve">and </w:t>
      </w:r>
      <w:r w:rsidR="00382046" w:rsidRPr="00467BAE">
        <w:rPr>
          <w:rFonts w:cstheme="minorHAnsi"/>
        </w:rPr>
        <w:t>semi-structured interviews</w:t>
      </w:r>
      <w:r w:rsidR="00E165FC" w:rsidRPr="00467BAE">
        <w:rPr>
          <w:rFonts w:cstheme="minorHAnsi"/>
        </w:rPr>
        <w:t xml:space="preserve"> carried out in 2014</w:t>
      </w:r>
      <w:r w:rsidR="002D0039" w:rsidRPr="00467BAE">
        <w:rPr>
          <w:rFonts w:cstheme="minorHAnsi"/>
        </w:rPr>
        <w:t xml:space="preserve">, </w:t>
      </w:r>
      <w:r w:rsidR="00E165FC" w:rsidRPr="00467BAE">
        <w:rPr>
          <w:rFonts w:cstheme="minorHAnsi"/>
        </w:rPr>
        <w:t xml:space="preserve">combined with detailed case studies. </w:t>
      </w:r>
      <w:r w:rsidR="00BC5C78" w:rsidRPr="00467BAE">
        <w:rPr>
          <w:rFonts w:cstheme="minorHAnsi"/>
        </w:rPr>
        <w:t xml:space="preserve">Interview findings are drawn from informed experts on </w:t>
      </w:r>
      <w:r w:rsidR="00C27096" w:rsidRPr="00467BAE">
        <w:rPr>
          <w:rFonts w:cstheme="minorHAnsi"/>
        </w:rPr>
        <w:t>innovative development finance</w:t>
      </w:r>
      <w:r w:rsidR="00BC5C78" w:rsidRPr="00467BAE">
        <w:rPr>
          <w:rFonts w:cstheme="minorHAnsi"/>
        </w:rPr>
        <w:t xml:space="preserve"> – particularly with regards to </w:t>
      </w:r>
      <w:r w:rsidR="008B31EB">
        <w:rPr>
          <w:rFonts w:cstheme="minorHAnsi"/>
        </w:rPr>
        <w:t>the</w:t>
      </w:r>
      <w:r w:rsidR="002F28AE">
        <w:rPr>
          <w:rFonts w:cstheme="minorHAnsi"/>
        </w:rPr>
        <w:t>ir</w:t>
      </w:r>
      <w:r w:rsidR="008B31EB">
        <w:rPr>
          <w:rFonts w:cstheme="minorHAnsi"/>
        </w:rPr>
        <w:t xml:space="preserve"> </w:t>
      </w:r>
      <w:r w:rsidR="00A817E4">
        <w:rPr>
          <w:rFonts w:cstheme="minorHAnsi"/>
        </w:rPr>
        <w:t xml:space="preserve">financial </w:t>
      </w:r>
      <w:r w:rsidR="008B31EB">
        <w:rPr>
          <w:rFonts w:cstheme="minorHAnsi"/>
        </w:rPr>
        <w:t xml:space="preserve">mechanism </w:t>
      </w:r>
      <w:r w:rsidR="008B31EB">
        <w:t>characteristics</w:t>
      </w:r>
      <w:r w:rsidR="00BC5C78" w:rsidRPr="00467BAE">
        <w:rPr>
          <w:rFonts w:cstheme="minorHAnsi"/>
        </w:rPr>
        <w:t xml:space="preserve">. </w:t>
      </w:r>
      <w:r w:rsidR="00145B55">
        <w:rPr>
          <w:rFonts w:cstheme="minorHAnsi"/>
        </w:rPr>
        <w:t xml:space="preserve">Further methodological detail is </w:t>
      </w:r>
      <w:r w:rsidR="002F28AE">
        <w:rPr>
          <w:rFonts w:cstheme="minorHAnsi"/>
        </w:rPr>
        <w:t>explained</w:t>
      </w:r>
      <w:r w:rsidR="00145B55">
        <w:rPr>
          <w:rFonts w:cstheme="minorHAnsi"/>
        </w:rPr>
        <w:t xml:space="preserve"> in the methodology section.</w:t>
      </w:r>
      <w:r w:rsidR="002F28AE">
        <w:rPr>
          <w:rFonts w:cstheme="minorHAnsi"/>
          <w:lang w:val="en-US"/>
        </w:rPr>
        <w:t xml:space="preserve"> </w:t>
      </w:r>
      <w:r w:rsidR="00E60D07" w:rsidRPr="00467BAE">
        <w:rPr>
          <w:rFonts w:cstheme="minorHAnsi"/>
          <w:lang w:val="en-US"/>
        </w:rPr>
        <w:t xml:space="preserve">The paper is structured </w:t>
      </w:r>
      <w:r w:rsidR="002F28AE">
        <w:rPr>
          <w:rFonts w:cstheme="minorHAnsi"/>
          <w:lang w:val="en-US"/>
        </w:rPr>
        <w:t xml:space="preserve">as follows. </w:t>
      </w:r>
      <w:r w:rsidR="00CC4124">
        <w:rPr>
          <w:rFonts w:cstheme="minorHAnsi"/>
        </w:rPr>
        <w:t>S</w:t>
      </w:r>
      <w:r w:rsidR="00CC4124" w:rsidRPr="00467BAE">
        <w:rPr>
          <w:rFonts w:cstheme="minorHAnsi"/>
        </w:rPr>
        <w:t>ection</w:t>
      </w:r>
      <w:r w:rsidR="00E60D07" w:rsidRPr="00467BAE">
        <w:rPr>
          <w:rFonts w:cstheme="minorHAnsi"/>
        </w:rPr>
        <w:t xml:space="preserve"> 2 </w:t>
      </w:r>
      <w:r w:rsidR="002F28AE" w:rsidRPr="00467BAE">
        <w:rPr>
          <w:rFonts w:cstheme="minorHAnsi"/>
        </w:rPr>
        <w:t>provid</w:t>
      </w:r>
      <w:r w:rsidR="002F28AE">
        <w:rPr>
          <w:rFonts w:cstheme="minorHAnsi"/>
        </w:rPr>
        <w:t>es a</w:t>
      </w:r>
      <w:r w:rsidR="002F28AE" w:rsidRPr="00467BAE">
        <w:rPr>
          <w:rFonts w:cstheme="minorHAnsi"/>
        </w:rPr>
        <w:t xml:space="preserve"> </w:t>
      </w:r>
      <w:r w:rsidR="00336B47">
        <w:rPr>
          <w:rFonts w:cstheme="minorHAnsi"/>
        </w:rPr>
        <w:t>literature review</w:t>
      </w:r>
      <w:r w:rsidR="00E60D07" w:rsidRPr="00467BAE">
        <w:rPr>
          <w:rFonts w:cstheme="minorHAnsi"/>
        </w:rPr>
        <w:t xml:space="preserve"> on the scope </w:t>
      </w:r>
      <w:r w:rsidR="001A32D1">
        <w:rPr>
          <w:rFonts w:cstheme="minorHAnsi"/>
        </w:rPr>
        <w:t xml:space="preserve">and characteristics </w:t>
      </w:r>
      <w:r w:rsidR="00E60D07" w:rsidRPr="00467BAE">
        <w:rPr>
          <w:rFonts w:cstheme="minorHAnsi"/>
        </w:rPr>
        <w:t xml:space="preserve">of innovative development finance.  </w:t>
      </w:r>
      <w:r w:rsidR="00E60D07" w:rsidRPr="00467BAE">
        <w:rPr>
          <w:rFonts w:cstheme="minorHAnsi"/>
          <w:lang w:val="en-US"/>
        </w:rPr>
        <w:t>Section 3</w:t>
      </w:r>
      <w:r w:rsidR="00E60D07" w:rsidRPr="00467BAE">
        <w:rPr>
          <w:rFonts w:cstheme="minorHAnsi"/>
        </w:rPr>
        <w:t xml:space="preserve"> explains </w:t>
      </w:r>
      <w:r w:rsidR="002F28AE">
        <w:rPr>
          <w:rFonts w:cstheme="minorHAnsi"/>
        </w:rPr>
        <w:t xml:space="preserve">in </w:t>
      </w:r>
      <w:r w:rsidR="00CC4124">
        <w:rPr>
          <w:rFonts w:cstheme="minorHAnsi"/>
        </w:rPr>
        <w:t xml:space="preserve">more detail </w:t>
      </w:r>
      <w:r w:rsidR="00E60D07" w:rsidRPr="00467BAE">
        <w:rPr>
          <w:rFonts w:cstheme="minorHAnsi"/>
        </w:rPr>
        <w:t>the methodology adopted in the research</w:t>
      </w:r>
      <w:r w:rsidR="00CC4124">
        <w:rPr>
          <w:rFonts w:cstheme="minorHAnsi"/>
        </w:rPr>
        <w:t>,</w:t>
      </w:r>
      <w:r w:rsidR="00E60D07" w:rsidRPr="00467BAE">
        <w:rPr>
          <w:rFonts w:cstheme="minorHAnsi"/>
        </w:rPr>
        <w:t xml:space="preserve"> while Section 4 outlines the three case studies from the UK, Germany</w:t>
      </w:r>
      <w:r w:rsidR="00CC4124">
        <w:rPr>
          <w:rFonts w:cstheme="minorHAnsi"/>
        </w:rPr>
        <w:t>,</w:t>
      </w:r>
      <w:r w:rsidR="00E60D07" w:rsidRPr="00467BAE">
        <w:rPr>
          <w:rFonts w:cstheme="minorHAnsi"/>
        </w:rPr>
        <w:t xml:space="preserve"> and the Netherlands. Section 5 considers the results of the interviews</w:t>
      </w:r>
      <w:r w:rsidR="009E09E2">
        <w:rPr>
          <w:rFonts w:cstheme="minorHAnsi"/>
        </w:rPr>
        <w:t>,</w:t>
      </w:r>
      <w:r w:rsidR="00E60D07" w:rsidRPr="00467BAE">
        <w:rPr>
          <w:rFonts w:cstheme="minorHAnsi"/>
        </w:rPr>
        <w:t xml:space="preserve"> and </w:t>
      </w:r>
      <w:r w:rsidR="00B67E39" w:rsidRPr="00467BAE">
        <w:rPr>
          <w:rFonts w:cstheme="minorHAnsi"/>
        </w:rPr>
        <w:t xml:space="preserve">reflects on </w:t>
      </w:r>
      <w:r w:rsidR="00E60D07" w:rsidRPr="00467BAE">
        <w:rPr>
          <w:rFonts w:cstheme="minorHAnsi"/>
        </w:rPr>
        <w:t>the</w:t>
      </w:r>
      <w:r w:rsidR="002F28AE">
        <w:rPr>
          <w:rFonts w:cstheme="minorHAnsi"/>
        </w:rPr>
        <w:t>ir</w:t>
      </w:r>
      <w:r w:rsidR="00E60D07" w:rsidRPr="00467BAE">
        <w:rPr>
          <w:rFonts w:cstheme="minorHAnsi"/>
        </w:rPr>
        <w:t xml:space="preserve"> relationship with the literature. Section 6 offers conclusions and recommendations.</w:t>
      </w:r>
      <w:r w:rsidR="00BA596F">
        <w:rPr>
          <w:rFonts w:cstheme="minorHAnsi"/>
        </w:rPr>
        <w:t xml:space="preserve"> </w:t>
      </w:r>
    </w:p>
    <w:p w:rsidR="00D03133" w:rsidRPr="00D03133" w:rsidRDefault="00D03133" w:rsidP="00BE6F87">
      <w:pPr>
        <w:spacing w:line="360" w:lineRule="auto"/>
        <w:jc w:val="both"/>
      </w:pPr>
    </w:p>
    <w:p w:rsidR="00BE6F87" w:rsidRPr="0056266D" w:rsidRDefault="00BE6F87" w:rsidP="00BE6F87">
      <w:pPr>
        <w:pStyle w:val="ListParagraph"/>
        <w:numPr>
          <w:ilvl w:val="0"/>
          <w:numId w:val="12"/>
        </w:numPr>
        <w:spacing w:line="360" w:lineRule="auto"/>
        <w:jc w:val="both"/>
        <w:rPr>
          <w:b/>
        </w:rPr>
      </w:pPr>
      <w:r w:rsidRPr="00BE6F87">
        <w:rPr>
          <w:b/>
        </w:rPr>
        <w:t xml:space="preserve">Literature </w:t>
      </w:r>
      <w:r w:rsidR="002F28AE">
        <w:rPr>
          <w:b/>
        </w:rPr>
        <w:t>Review:</w:t>
      </w:r>
      <w:r w:rsidRPr="00BE6F87">
        <w:rPr>
          <w:b/>
        </w:rPr>
        <w:t xml:space="preserve"> </w:t>
      </w:r>
      <w:r w:rsidR="00AE0576">
        <w:rPr>
          <w:b/>
        </w:rPr>
        <w:t xml:space="preserve">Mechanisms in </w:t>
      </w:r>
      <w:r w:rsidR="0056266D" w:rsidRPr="0056266D">
        <w:rPr>
          <w:b/>
        </w:rPr>
        <w:t xml:space="preserve">Innovative </w:t>
      </w:r>
      <w:r w:rsidR="00AE0576">
        <w:rPr>
          <w:b/>
        </w:rPr>
        <w:t>R</w:t>
      </w:r>
      <w:r w:rsidR="0056266D" w:rsidRPr="0056266D">
        <w:rPr>
          <w:b/>
        </w:rPr>
        <w:t xml:space="preserve">eal </w:t>
      </w:r>
      <w:r w:rsidR="00AE0576">
        <w:rPr>
          <w:b/>
        </w:rPr>
        <w:t>E</w:t>
      </w:r>
      <w:r w:rsidR="0056266D" w:rsidRPr="0056266D">
        <w:rPr>
          <w:b/>
        </w:rPr>
        <w:t xml:space="preserve">state </w:t>
      </w:r>
      <w:r w:rsidR="00AE0576">
        <w:rPr>
          <w:b/>
        </w:rPr>
        <w:t>D</w:t>
      </w:r>
      <w:r w:rsidR="0056266D" w:rsidRPr="0056266D">
        <w:rPr>
          <w:b/>
        </w:rPr>
        <w:t xml:space="preserve">evelopment </w:t>
      </w:r>
      <w:r w:rsidR="00AE0576">
        <w:rPr>
          <w:b/>
        </w:rPr>
        <w:t>F</w:t>
      </w:r>
      <w:r w:rsidR="0056266D" w:rsidRPr="0056266D">
        <w:rPr>
          <w:b/>
        </w:rPr>
        <w:t>inance</w:t>
      </w:r>
    </w:p>
    <w:p w:rsidR="00BE6F87" w:rsidRPr="00BE6F87" w:rsidRDefault="00BE6F87" w:rsidP="00BE6F87">
      <w:pPr>
        <w:spacing w:line="360" w:lineRule="auto"/>
        <w:jc w:val="both"/>
        <w:rPr>
          <w:b/>
        </w:rPr>
      </w:pPr>
    </w:p>
    <w:p w:rsidR="00BE6F87" w:rsidRDefault="00BE6F87" w:rsidP="00BE6F87">
      <w:pPr>
        <w:spacing w:line="360" w:lineRule="auto"/>
        <w:jc w:val="both"/>
      </w:pPr>
      <w:r w:rsidRPr="00715BC6">
        <w:t>The literature review explore</w:t>
      </w:r>
      <w:r>
        <w:t>s</w:t>
      </w:r>
      <w:r w:rsidRPr="00715BC6">
        <w:t xml:space="preserve"> </w:t>
      </w:r>
      <w:r>
        <w:t xml:space="preserve">the </w:t>
      </w:r>
      <w:r w:rsidR="004E24CB">
        <w:t xml:space="preserve">key </w:t>
      </w:r>
      <w:r w:rsidR="001A32D1">
        <w:t>characteristics</w:t>
      </w:r>
      <w:r w:rsidR="004E24CB">
        <w:t xml:space="preserve"> </w:t>
      </w:r>
      <w:r w:rsidR="005C1839">
        <w:t xml:space="preserve">of </w:t>
      </w:r>
      <w:r w:rsidR="00C27096">
        <w:rPr>
          <w:rFonts w:cstheme="minorHAnsi"/>
        </w:rPr>
        <w:t>innovative development finance</w:t>
      </w:r>
      <w:r w:rsidR="00C27096">
        <w:t xml:space="preserve"> </w:t>
      </w:r>
      <w:r w:rsidR="005C1839">
        <w:t>mechanisms</w:t>
      </w:r>
      <w:r w:rsidR="00AE0576">
        <w:t xml:space="preserve"> </w:t>
      </w:r>
      <w:r w:rsidR="00D32253">
        <w:t xml:space="preserve">– largely </w:t>
      </w:r>
      <w:r>
        <w:t xml:space="preserve">in a pan-European context. </w:t>
      </w:r>
      <w:r w:rsidR="00AE0576">
        <w:t>Consideration of innovation underpinning many of the more nuanced finance approaches to development is put forward</w:t>
      </w:r>
      <w:r>
        <w:t xml:space="preserve">. </w:t>
      </w:r>
      <w:r w:rsidR="004E24CB">
        <w:t xml:space="preserve">Furthermore, </w:t>
      </w:r>
      <w:r w:rsidR="00D32253">
        <w:t>the literature review</w:t>
      </w:r>
      <w:r w:rsidR="004E24CB">
        <w:t xml:space="preserve"> </w:t>
      </w:r>
      <w:r w:rsidR="00D32253">
        <w:t>expresses</w:t>
      </w:r>
      <w:r w:rsidR="00AE0576">
        <w:t xml:space="preserve"> the important workings</w:t>
      </w:r>
      <w:r w:rsidR="004E24CB">
        <w:t xml:space="preserve"> of </w:t>
      </w:r>
      <w:r w:rsidR="00A312CD">
        <w:t>mechanisms</w:t>
      </w:r>
      <w:r w:rsidR="004E24CB">
        <w:t xml:space="preserve"> that enable innovative </w:t>
      </w:r>
      <w:r w:rsidR="00D32253">
        <w:t xml:space="preserve">development </w:t>
      </w:r>
      <w:r w:rsidR="004E24CB">
        <w:t>finance to flourish.</w:t>
      </w:r>
    </w:p>
    <w:p w:rsidR="00BE6F87" w:rsidRDefault="00BE6F87" w:rsidP="00BE6F87">
      <w:pPr>
        <w:spacing w:line="360" w:lineRule="auto"/>
        <w:jc w:val="both"/>
        <w:rPr>
          <w:b/>
          <w:i/>
        </w:rPr>
      </w:pPr>
    </w:p>
    <w:p w:rsidR="00BE6F87" w:rsidRPr="00336B47" w:rsidRDefault="00ED4EA3" w:rsidP="00BE6F87">
      <w:pPr>
        <w:spacing w:line="360" w:lineRule="auto"/>
        <w:jc w:val="both"/>
      </w:pPr>
      <w:r>
        <w:t>Mechanisms of development finance</w:t>
      </w:r>
      <w:r w:rsidR="00D120B3">
        <w:t xml:space="preserve"> have</w:t>
      </w:r>
      <w:r w:rsidR="00BE6F87">
        <w:t xml:space="preserve"> gained international significance</w:t>
      </w:r>
      <w:r w:rsidR="00D120B3">
        <w:t>,</w:t>
      </w:r>
      <w:r w:rsidR="00BE6F87">
        <w:t xml:space="preserve"> and </w:t>
      </w:r>
      <w:r w:rsidR="005D3A1E">
        <w:t>can be</w:t>
      </w:r>
      <w:r w:rsidR="005D3A1E" w:rsidRPr="00A661F7">
        <w:t xml:space="preserve"> </w:t>
      </w:r>
      <w:r>
        <w:t>innovative</w:t>
      </w:r>
      <w:r w:rsidR="00BE6F87" w:rsidRPr="00A661F7">
        <w:t xml:space="preserve"> at both global and European levels (Sandor et al., 2009).</w:t>
      </w:r>
      <w:r w:rsidR="00BE6F87">
        <w:t xml:space="preserve"> </w:t>
      </w:r>
      <w:r w:rsidR="00BE6F87" w:rsidRPr="00A661F7">
        <w:t xml:space="preserve">The World Bank broadly defines </w:t>
      </w:r>
      <w:r w:rsidR="00BE6F87">
        <w:t>innovative finance for real estate development</w:t>
      </w:r>
      <w:r w:rsidR="00BE6F87" w:rsidRPr="00A661F7">
        <w:t xml:space="preserve"> as </w:t>
      </w:r>
      <w:r w:rsidR="005D3A1E">
        <w:t xml:space="preserve">that </w:t>
      </w:r>
      <w:r w:rsidR="00BE6F87" w:rsidRPr="00A661F7">
        <w:t>involving non-traditional forms of funding through private mechanisms, solidarity mechanisms, public-private partnership mechanisms</w:t>
      </w:r>
      <w:r w:rsidR="00BE6F87">
        <w:t>,</w:t>
      </w:r>
      <w:r w:rsidR="00BE6F87" w:rsidRPr="00A661F7">
        <w:t xml:space="preserve"> and catalytic mechanism</w:t>
      </w:r>
      <w:r w:rsidR="00BE6F87">
        <w:t xml:space="preserve">s (Grishankar, 2009). However, innovative </w:t>
      </w:r>
      <w:r w:rsidR="004A4070">
        <w:t xml:space="preserve">development </w:t>
      </w:r>
      <w:r w:rsidR="00BE6F87">
        <w:t xml:space="preserve">finance </w:t>
      </w:r>
      <w:r w:rsidR="00BE6F87" w:rsidRPr="00A661F7">
        <w:t xml:space="preserve">is not to be viewed as an alternative to traditional forms of finance, </w:t>
      </w:r>
      <w:r w:rsidR="00BE6F87">
        <w:t>but</w:t>
      </w:r>
      <w:r w:rsidR="00BE6F87" w:rsidRPr="00A661F7">
        <w:t xml:space="preserve"> should been seen as compl</w:t>
      </w:r>
      <w:r w:rsidR="00BE6F87">
        <w:t>e</w:t>
      </w:r>
      <w:r w:rsidR="00BE6F87" w:rsidRPr="00A661F7">
        <w:t xml:space="preserve">mentary. </w:t>
      </w:r>
      <w:r w:rsidR="00BE6F87">
        <w:t>T</w:t>
      </w:r>
      <w:r w:rsidR="00BE6F87" w:rsidRPr="00A661F7">
        <w:t xml:space="preserve">he </w:t>
      </w:r>
      <w:r w:rsidR="00BE6F87">
        <w:t>European Union (</w:t>
      </w:r>
      <w:r w:rsidR="00BE6F87" w:rsidRPr="00A661F7">
        <w:t>EU</w:t>
      </w:r>
      <w:r w:rsidR="00BE6F87">
        <w:t>) defines innovative</w:t>
      </w:r>
      <w:r w:rsidR="004A4070">
        <w:t xml:space="preserve"> development </w:t>
      </w:r>
      <w:r w:rsidR="00BE6F87">
        <w:t xml:space="preserve">financing </w:t>
      </w:r>
      <w:r w:rsidR="00BE6F87" w:rsidRPr="00A661F7">
        <w:t>as those measures providing financial support to address one or more policy objectives through the use of loans, guarantees, equity or quasi-equity investme</w:t>
      </w:r>
      <w:r w:rsidR="00BE6F87">
        <w:t xml:space="preserve">nt, or other risk-bearing tools – that </w:t>
      </w:r>
      <w:r w:rsidR="00BE6F87" w:rsidRPr="00A661F7">
        <w:t xml:space="preserve">can be combined with grants </w:t>
      </w:r>
      <w:r w:rsidR="00BE6F87">
        <w:t>and involve r</w:t>
      </w:r>
      <w:r w:rsidR="00BE6F87" w:rsidRPr="00A661F7">
        <w:t>isk-sharing with financial institutions to boost investment in</w:t>
      </w:r>
      <w:r w:rsidR="00BE6F87">
        <w:t xml:space="preserve"> large infrastructure projects </w:t>
      </w:r>
      <w:r w:rsidR="00BE6F87" w:rsidRPr="00A661F7">
        <w:t>(Spence et al., 2012).</w:t>
      </w:r>
      <w:r w:rsidR="00336B47">
        <w:t xml:space="preserve"> </w:t>
      </w:r>
      <w:r w:rsidR="00BE6F87">
        <w:rPr>
          <w:rFonts w:ascii="Cambria" w:hAnsi="Cambria"/>
        </w:rPr>
        <w:t xml:space="preserve">To deal with a more complex economic condition, the reality in financing real estate development </w:t>
      </w:r>
      <w:r w:rsidR="005C1839">
        <w:rPr>
          <w:rFonts w:ascii="Cambria" w:hAnsi="Cambria"/>
        </w:rPr>
        <w:t xml:space="preserve">mechanisms </w:t>
      </w:r>
      <w:r w:rsidR="00BE6F87">
        <w:rPr>
          <w:rFonts w:ascii="Cambria" w:hAnsi="Cambria"/>
        </w:rPr>
        <w:t xml:space="preserve">has typically been a </w:t>
      </w:r>
      <w:r w:rsidR="00BE6F87">
        <w:t>b</w:t>
      </w:r>
      <w:r w:rsidR="00BE6F87" w:rsidRPr="00F3038F">
        <w:t xml:space="preserve">lending </w:t>
      </w:r>
      <w:r w:rsidR="00BE6F87">
        <w:t>of loans and g</w:t>
      </w:r>
      <w:r w:rsidR="00BE6F87" w:rsidRPr="00F3038F">
        <w:t>rants (Bilal and Kratke, 2013)</w:t>
      </w:r>
      <w:r w:rsidR="00BE6F87">
        <w:t>.</w:t>
      </w:r>
      <w:r w:rsidR="00BE6F87">
        <w:rPr>
          <w:color w:val="FF0000"/>
        </w:rPr>
        <w:t xml:space="preserve"> </w:t>
      </w:r>
      <w:r w:rsidR="00BE6F87">
        <w:rPr>
          <w:rFonts w:ascii="Cambria" w:hAnsi="Cambria"/>
        </w:rPr>
        <w:t>Innovative finance, in part, is intended to share risk</w:t>
      </w:r>
      <w:r w:rsidR="00BE6F87" w:rsidRPr="00F3038F">
        <w:rPr>
          <w:rFonts w:ascii="Cambria" w:hAnsi="Cambria"/>
        </w:rPr>
        <w:t>, and potentially provides greater flexibility (Carter, 200</w:t>
      </w:r>
      <w:r w:rsidR="00BE6F87">
        <w:rPr>
          <w:rFonts w:ascii="Cambria" w:hAnsi="Cambria"/>
        </w:rPr>
        <w:t>6).</w:t>
      </w:r>
    </w:p>
    <w:p w:rsidR="00BE6F87" w:rsidRPr="00F3038F" w:rsidRDefault="00BE6F87" w:rsidP="00BE6F87">
      <w:pPr>
        <w:spacing w:line="360" w:lineRule="auto"/>
        <w:jc w:val="both"/>
        <w:rPr>
          <w:color w:val="FF0000"/>
        </w:rPr>
      </w:pPr>
    </w:p>
    <w:p w:rsidR="00C7784E" w:rsidRDefault="00C27096" w:rsidP="00BE6F87">
      <w:pPr>
        <w:spacing w:line="360" w:lineRule="auto"/>
        <w:jc w:val="both"/>
        <w:rPr>
          <w:rFonts w:ascii="Cambria" w:hAnsi="Cambria"/>
        </w:rPr>
      </w:pPr>
      <w:r>
        <w:rPr>
          <w:rFonts w:cstheme="minorHAnsi"/>
        </w:rPr>
        <w:t>Innovative development finance</w:t>
      </w:r>
      <w:r>
        <w:rPr>
          <w:rFonts w:ascii="Cambria" w:hAnsi="Cambria"/>
        </w:rPr>
        <w:t xml:space="preserve"> </w:t>
      </w:r>
      <w:r w:rsidR="00C7784E">
        <w:rPr>
          <w:rFonts w:ascii="Cambria" w:hAnsi="Cambria"/>
        </w:rPr>
        <w:t>can often be</w:t>
      </w:r>
      <w:r w:rsidR="00BE6F87">
        <w:rPr>
          <w:rFonts w:ascii="Cambria" w:hAnsi="Cambria"/>
        </w:rPr>
        <w:t xml:space="preserve"> </w:t>
      </w:r>
      <w:r w:rsidR="00BE6F87" w:rsidRPr="00F3038F">
        <w:rPr>
          <w:rFonts w:ascii="Cambria" w:hAnsi="Cambria"/>
        </w:rPr>
        <w:t>in the form of</w:t>
      </w:r>
      <w:r w:rsidR="00BE6F87">
        <w:rPr>
          <w:rFonts w:ascii="Cambria" w:hAnsi="Cambria"/>
        </w:rPr>
        <w:t xml:space="preserve"> developer contributions and planning gain – these could be</w:t>
      </w:r>
      <w:r w:rsidR="00BE6F87" w:rsidRPr="00F3038F">
        <w:rPr>
          <w:rFonts w:ascii="Cambria" w:hAnsi="Cambria"/>
        </w:rPr>
        <w:t xml:space="preserve"> ‘development charges’ such as impact fees</w:t>
      </w:r>
      <w:r w:rsidR="00BE6F87">
        <w:rPr>
          <w:rFonts w:ascii="Cambria" w:hAnsi="Cambria"/>
        </w:rPr>
        <w:t xml:space="preserve"> or infrastructure </w:t>
      </w:r>
      <w:r w:rsidR="00BE6F87" w:rsidRPr="00E017CE">
        <w:rPr>
          <w:rFonts w:ascii="Cambria" w:hAnsi="Cambria"/>
        </w:rPr>
        <w:t>levies</w:t>
      </w:r>
      <w:r w:rsidR="00EA0532">
        <w:rPr>
          <w:rFonts w:ascii="Cambria" w:hAnsi="Cambria"/>
        </w:rPr>
        <w:t xml:space="preserve"> such as a Community Infrastructure Levy (CIL)</w:t>
      </w:r>
      <w:r w:rsidR="00BE6F87">
        <w:rPr>
          <w:rFonts w:ascii="Cambria" w:hAnsi="Cambria"/>
        </w:rPr>
        <w:t xml:space="preserve"> (Lord, 2009)</w:t>
      </w:r>
      <w:r w:rsidR="00BE6F87" w:rsidRPr="00F3038F">
        <w:rPr>
          <w:rFonts w:ascii="Cambria" w:hAnsi="Cambria"/>
        </w:rPr>
        <w:t xml:space="preserve">. Business rate supplements </w:t>
      </w:r>
      <w:r w:rsidR="00BE6F87">
        <w:rPr>
          <w:rFonts w:ascii="Cambria" w:hAnsi="Cambria"/>
        </w:rPr>
        <w:t>are</w:t>
      </w:r>
      <w:r w:rsidR="00BE6F87" w:rsidRPr="00F3038F">
        <w:rPr>
          <w:rFonts w:ascii="Cambria" w:hAnsi="Cambria"/>
        </w:rPr>
        <w:t xml:space="preserve"> a</w:t>
      </w:r>
      <w:r w:rsidR="00BE6F87">
        <w:rPr>
          <w:rFonts w:ascii="Cambria" w:hAnsi="Cambria"/>
        </w:rPr>
        <w:t>nother</w:t>
      </w:r>
      <w:r w:rsidR="00BE6F87" w:rsidRPr="00F3038F">
        <w:rPr>
          <w:rFonts w:ascii="Cambria" w:hAnsi="Cambria"/>
        </w:rPr>
        <w:t xml:space="preserve"> </w:t>
      </w:r>
      <w:r w:rsidR="009C0467">
        <w:rPr>
          <w:rFonts w:ascii="Cambria" w:hAnsi="Cambria"/>
        </w:rPr>
        <w:t xml:space="preserve">innovative </w:t>
      </w:r>
      <w:r w:rsidR="00BE6F87" w:rsidRPr="00F3038F">
        <w:rPr>
          <w:rFonts w:ascii="Cambria" w:hAnsi="Cambria"/>
        </w:rPr>
        <w:t>mechanism enabling cities to generate funding for infrastructure projects through a tax levied on businesses, in addition to the national business rate (Ha</w:t>
      </w:r>
      <w:r w:rsidR="00983574">
        <w:rPr>
          <w:rFonts w:ascii="Cambria" w:hAnsi="Cambria"/>
        </w:rPr>
        <w:t>rrison and Marshall, 2007). The</w:t>
      </w:r>
      <w:r w:rsidR="00BE6F87" w:rsidRPr="00F3038F">
        <w:rPr>
          <w:rFonts w:ascii="Cambria" w:hAnsi="Cambria"/>
        </w:rPr>
        <w:t xml:space="preserve"> funds are retained locally and used to raise finance for investment in specific </w:t>
      </w:r>
      <w:r w:rsidR="00C7784E">
        <w:rPr>
          <w:rFonts w:ascii="Cambria" w:hAnsi="Cambria"/>
        </w:rPr>
        <w:t>development</w:t>
      </w:r>
      <w:r w:rsidR="00BE6F87" w:rsidRPr="00F3038F">
        <w:rPr>
          <w:rFonts w:ascii="Cambria" w:hAnsi="Cambria"/>
        </w:rPr>
        <w:t xml:space="preserve"> projects, jointly identified by local authorities and local businesses.</w:t>
      </w:r>
      <w:r w:rsidR="00BE6F87">
        <w:rPr>
          <w:rFonts w:ascii="Cambria" w:hAnsi="Cambria"/>
        </w:rPr>
        <w:t xml:space="preserve"> </w:t>
      </w:r>
    </w:p>
    <w:p w:rsidR="00C7784E" w:rsidRDefault="00C7784E" w:rsidP="00BE6F87">
      <w:pPr>
        <w:spacing w:line="360" w:lineRule="auto"/>
        <w:jc w:val="both"/>
        <w:rPr>
          <w:rFonts w:ascii="Cambria" w:hAnsi="Cambria"/>
        </w:rPr>
      </w:pPr>
    </w:p>
    <w:p w:rsidR="005C1839" w:rsidRDefault="009C0467" w:rsidP="00874E21">
      <w:pPr>
        <w:spacing w:line="360" w:lineRule="auto"/>
        <w:jc w:val="both"/>
      </w:pPr>
      <w:r>
        <w:rPr>
          <w:rFonts w:ascii="Cambria" w:hAnsi="Cambria"/>
        </w:rPr>
        <w:t>Innovative value</w:t>
      </w:r>
      <w:r w:rsidR="00C7784E">
        <w:rPr>
          <w:rFonts w:ascii="Cambria" w:hAnsi="Cambria"/>
        </w:rPr>
        <w:t>-</w:t>
      </w:r>
      <w:r w:rsidR="00BE6F87" w:rsidRPr="00F3038F">
        <w:rPr>
          <w:rFonts w:ascii="Cambria" w:hAnsi="Cambria"/>
        </w:rPr>
        <w:t>capture</w:t>
      </w:r>
      <w:r w:rsidR="00512DDC">
        <w:rPr>
          <w:rFonts w:ascii="Cambria" w:hAnsi="Cambria"/>
        </w:rPr>
        <w:t xml:space="preserve"> mechanisms </w:t>
      </w:r>
      <w:r w:rsidR="00475356">
        <w:rPr>
          <w:rFonts w:ascii="Cambria" w:hAnsi="Cambria"/>
        </w:rPr>
        <w:t xml:space="preserve">based on the uplift in </w:t>
      </w:r>
      <w:r w:rsidR="00BE6F87" w:rsidRPr="00F3038F">
        <w:rPr>
          <w:rFonts w:ascii="Cambria" w:hAnsi="Cambria"/>
        </w:rPr>
        <w:t xml:space="preserve">real estate </w:t>
      </w:r>
      <w:r w:rsidR="00BE6F87">
        <w:rPr>
          <w:rFonts w:ascii="Cambria" w:hAnsi="Cambria"/>
        </w:rPr>
        <w:t xml:space="preserve">are being increasingly adapted at the core of </w:t>
      </w:r>
      <w:r w:rsidR="004C0520">
        <w:rPr>
          <w:rFonts w:ascii="Cambria" w:hAnsi="Cambria"/>
        </w:rPr>
        <w:t>development</w:t>
      </w:r>
      <w:r w:rsidR="00C7784E">
        <w:rPr>
          <w:rFonts w:ascii="Cambria" w:hAnsi="Cambria"/>
        </w:rPr>
        <w:t xml:space="preserve"> (Merk et al., 2012)</w:t>
      </w:r>
      <w:r w:rsidR="00BE6F87">
        <w:rPr>
          <w:rFonts w:ascii="Cambria" w:hAnsi="Cambria"/>
        </w:rPr>
        <w:t>.</w:t>
      </w:r>
      <w:r w:rsidR="00C7784E">
        <w:rPr>
          <w:rFonts w:ascii="Cambria" w:hAnsi="Cambria"/>
        </w:rPr>
        <w:t xml:space="preserve"> </w:t>
      </w:r>
      <w:r w:rsidR="00BE6F87" w:rsidRPr="00F3038F">
        <w:rPr>
          <w:rFonts w:ascii="Cambria" w:hAnsi="Cambria"/>
        </w:rPr>
        <w:t xml:space="preserve">Land value finance </w:t>
      </w:r>
      <w:r w:rsidR="00BE6F87">
        <w:rPr>
          <w:rFonts w:ascii="Cambria" w:hAnsi="Cambria"/>
        </w:rPr>
        <w:t xml:space="preserve">is used </w:t>
      </w:r>
      <w:r w:rsidR="00BE6F87" w:rsidRPr="00F3038F">
        <w:rPr>
          <w:rFonts w:ascii="Cambria" w:hAnsi="Cambria"/>
        </w:rPr>
        <w:t xml:space="preserve">to recover the capital cost of </w:t>
      </w:r>
      <w:r w:rsidR="00C27096">
        <w:rPr>
          <w:rFonts w:cstheme="minorHAnsi"/>
        </w:rPr>
        <w:t>development</w:t>
      </w:r>
      <w:r w:rsidR="00C27096" w:rsidRPr="00F3038F">
        <w:rPr>
          <w:rFonts w:ascii="Cambria" w:hAnsi="Cambria"/>
        </w:rPr>
        <w:t xml:space="preserve"> </w:t>
      </w:r>
      <w:r w:rsidR="00BE6F87" w:rsidRPr="00F3038F">
        <w:rPr>
          <w:rFonts w:ascii="Cambria" w:hAnsi="Cambria"/>
        </w:rPr>
        <w:t>by capturing some or all of the increments in land valu</w:t>
      </w:r>
      <w:r w:rsidR="00BE6F87">
        <w:rPr>
          <w:rFonts w:ascii="Cambria" w:hAnsi="Cambria"/>
        </w:rPr>
        <w:t>e resulting from the initial outlay</w:t>
      </w:r>
      <w:r w:rsidR="00BE6F87" w:rsidRPr="00F3038F">
        <w:rPr>
          <w:rFonts w:ascii="Cambria" w:hAnsi="Cambria"/>
        </w:rPr>
        <w:t xml:space="preserve"> (</w:t>
      </w:r>
      <w:r w:rsidR="00BE6F87">
        <w:rPr>
          <w:rFonts w:ascii="Cambria" w:hAnsi="Cambria"/>
        </w:rPr>
        <w:t xml:space="preserve">Medda and </w:t>
      </w:r>
      <w:r w:rsidR="00BE6F87" w:rsidRPr="001F1C8F">
        <w:rPr>
          <w:rFonts w:ascii="Cambria" w:hAnsi="Cambria"/>
        </w:rPr>
        <w:t>Modelewska</w:t>
      </w:r>
      <w:r w:rsidR="00BE6F87">
        <w:rPr>
          <w:rFonts w:ascii="Cambria" w:hAnsi="Cambria"/>
        </w:rPr>
        <w:t xml:space="preserve">, 2009; </w:t>
      </w:r>
      <w:r w:rsidR="00BE6F87" w:rsidRPr="00F3038F">
        <w:rPr>
          <w:rFonts w:ascii="Cambria" w:hAnsi="Cambria"/>
        </w:rPr>
        <w:t xml:space="preserve">Medda et al., 2012). </w:t>
      </w:r>
      <w:r w:rsidR="00BE6F87">
        <w:rPr>
          <w:rFonts w:ascii="Cambria" w:hAnsi="Cambria"/>
        </w:rPr>
        <w:t>Land value capture finance,</w:t>
      </w:r>
      <w:r w:rsidR="00BE6F87" w:rsidRPr="00F3038F">
        <w:rPr>
          <w:rFonts w:ascii="Cambria" w:hAnsi="Cambria"/>
        </w:rPr>
        <w:t xml:space="preserve"> to fund public goods</w:t>
      </w:r>
      <w:r w:rsidR="00BE6F87">
        <w:rPr>
          <w:rFonts w:ascii="Cambria" w:hAnsi="Cambria"/>
        </w:rPr>
        <w:t xml:space="preserve"> by capitalizing on land rents, </w:t>
      </w:r>
      <w:r w:rsidR="00BE6F87" w:rsidRPr="00F3038F">
        <w:rPr>
          <w:rFonts w:ascii="Cambria" w:hAnsi="Cambria"/>
        </w:rPr>
        <w:t>has a long traditio</w:t>
      </w:r>
      <w:r w:rsidR="00BE6F87">
        <w:rPr>
          <w:rFonts w:ascii="Cambria" w:hAnsi="Cambria"/>
        </w:rPr>
        <w:t xml:space="preserve">n in public finance, as </w:t>
      </w:r>
      <w:r w:rsidR="00C7784E">
        <w:rPr>
          <w:rFonts w:ascii="Cambria" w:hAnsi="Cambria"/>
        </w:rPr>
        <w:t>value capture</w:t>
      </w:r>
      <w:r w:rsidR="00BE6F87" w:rsidRPr="00F3038F">
        <w:rPr>
          <w:rFonts w:ascii="Cambria" w:hAnsi="Cambria"/>
        </w:rPr>
        <w:t xml:space="preserve"> can stimula</w:t>
      </w:r>
      <w:r w:rsidR="00BE6F87">
        <w:rPr>
          <w:rFonts w:ascii="Cambria" w:hAnsi="Cambria"/>
        </w:rPr>
        <w:t xml:space="preserve">te further land development, </w:t>
      </w:r>
      <w:r w:rsidR="00BE6F87" w:rsidRPr="00F3038F">
        <w:rPr>
          <w:rFonts w:ascii="Cambria" w:hAnsi="Cambria"/>
        </w:rPr>
        <w:t>economic growth</w:t>
      </w:r>
      <w:r w:rsidR="00BE6F87">
        <w:rPr>
          <w:rFonts w:ascii="Cambria" w:hAnsi="Cambria"/>
        </w:rPr>
        <w:t>, and increasing</w:t>
      </w:r>
      <w:r w:rsidR="00BE6F87" w:rsidRPr="00F3038F">
        <w:rPr>
          <w:rFonts w:ascii="Cambria" w:hAnsi="Cambria"/>
        </w:rPr>
        <w:t xml:space="preserve"> property values (Starrett, 1981</w:t>
      </w:r>
      <w:r w:rsidR="00BE6F87">
        <w:rPr>
          <w:rFonts w:ascii="Cambria" w:hAnsi="Cambria"/>
        </w:rPr>
        <w:t xml:space="preserve">; </w:t>
      </w:r>
      <w:r w:rsidR="00BE6F87" w:rsidRPr="00F3038F">
        <w:rPr>
          <w:rFonts w:ascii="Cambria" w:hAnsi="Cambria"/>
        </w:rPr>
        <w:t>Roukouni and Medda, 2012).</w:t>
      </w:r>
      <w:r w:rsidR="00BE6F87">
        <w:t xml:space="preserve"> </w:t>
      </w:r>
    </w:p>
    <w:p w:rsidR="005C1839" w:rsidRDefault="005C1839" w:rsidP="00874E21">
      <w:pPr>
        <w:spacing w:line="360" w:lineRule="auto"/>
        <w:jc w:val="both"/>
      </w:pPr>
    </w:p>
    <w:p w:rsidR="00BE6F87" w:rsidRPr="00AE0576" w:rsidRDefault="00BC156C" w:rsidP="00BE6F87">
      <w:pPr>
        <w:spacing w:line="360" w:lineRule="auto"/>
        <w:jc w:val="both"/>
        <w:rPr>
          <w:rFonts w:ascii="Cambria" w:hAnsi="Cambria"/>
        </w:rPr>
      </w:pPr>
      <w:r>
        <w:rPr>
          <w:rFonts w:ascii="Cambria" w:hAnsi="Cambria"/>
        </w:rPr>
        <w:t>B</w:t>
      </w:r>
      <w:r w:rsidR="00AE0576">
        <w:rPr>
          <w:rFonts w:ascii="Cambria" w:hAnsi="Cambria"/>
        </w:rPr>
        <w:t xml:space="preserve">ond </w:t>
      </w:r>
      <w:r w:rsidR="009C0467">
        <w:rPr>
          <w:rFonts w:ascii="Cambria" w:hAnsi="Cambria"/>
        </w:rPr>
        <w:t>innovati</w:t>
      </w:r>
      <w:r>
        <w:rPr>
          <w:rFonts w:ascii="Cambria" w:hAnsi="Cambria"/>
        </w:rPr>
        <w:t xml:space="preserve">ons </w:t>
      </w:r>
      <w:r w:rsidR="00BE6F87" w:rsidRPr="00F3038F">
        <w:rPr>
          <w:rFonts w:ascii="Cambria" w:hAnsi="Cambria"/>
        </w:rPr>
        <w:t xml:space="preserve">for tapping into </w:t>
      </w:r>
      <w:r w:rsidR="00AE0576">
        <w:rPr>
          <w:rFonts w:ascii="Cambria" w:hAnsi="Cambria"/>
        </w:rPr>
        <w:t>real estate development</w:t>
      </w:r>
      <w:r w:rsidR="00BE6F87">
        <w:rPr>
          <w:rFonts w:ascii="Cambria" w:hAnsi="Cambria"/>
        </w:rPr>
        <w:t xml:space="preserve"> </w:t>
      </w:r>
      <w:r>
        <w:rPr>
          <w:rFonts w:ascii="Cambria" w:hAnsi="Cambria"/>
        </w:rPr>
        <w:t xml:space="preserve">include </w:t>
      </w:r>
      <w:r w:rsidR="00BE6F87">
        <w:rPr>
          <w:rFonts w:ascii="Cambria" w:hAnsi="Cambria"/>
        </w:rPr>
        <w:t>those such as</w:t>
      </w:r>
      <w:r w:rsidR="00BE6F87" w:rsidRPr="00F3038F">
        <w:rPr>
          <w:rFonts w:ascii="Cambria" w:hAnsi="Cambria"/>
        </w:rPr>
        <w:t xml:space="preserve"> </w:t>
      </w:r>
      <w:r w:rsidR="00C7784E">
        <w:rPr>
          <w:rFonts w:ascii="Cambria" w:hAnsi="Cambria"/>
        </w:rPr>
        <w:t>Tax Increment Financing (</w:t>
      </w:r>
      <w:r w:rsidR="00BE6F87" w:rsidRPr="00F3038F">
        <w:rPr>
          <w:rFonts w:ascii="Cambria" w:hAnsi="Cambria"/>
        </w:rPr>
        <w:t>TIF</w:t>
      </w:r>
      <w:r w:rsidR="00BE6F87">
        <w:rPr>
          <w:rFonts w:ascii="Cambria" w:hAnsi="Cambria"/>
        </w:rPr>
        <w:t>s</w:t>
      </w:r>
      <w:r w:rsidR="00C7784E">
        <w:rPr>
          <w:rFonts w:ascii="Cambria" w:hAnsi="Cambria"/>
        </w:rPr>
        <w:t>)</w:t>
      </w:r>
      <w:r w:rsidR="00BE6F87" w:rsidRPr="00F3038F">
        <w:rPr>
          <w:rFonts w:ascii="Cambria" w:hAnsi="Cambria"/>
        </w:rPr>
        <w:t xml:space="preserve"> and </w:t>
      </w:r>
      <w:r w:rsidR="00BE6F87">
        <w:rPr>
          <w:rFonts w:ascii="Cambria" w:hAnsi="Cambria"/>
        </w:rPr>
        <w:t>Accelerated Development Zones (</w:t>
      </w:r>
      <w:r w:rsidR="00BE6F87" w:rsidRPr="00F3038F">
        <w:rPr>
          <w:rFonts w:ascii="Cambria" w:hAnsi="Cambria"/>
        </w:rPr>
        <w:t>ADZ</w:t>
      </w:r>
      <w:r w:rsidR="00BE6F87">
        <w:rPr>
          <w:rFonts w:ascii="Cambria" w:hAnsi="Cambria"/>
        </w:rPr>
        <w:t xml:space="preserve">s). These have </w:t>
      </w:r>
      <w:r w:rsidR="00BE6F87" w:rsidRPr="00F3038F">
        <w:rPr>
          <w:rFonts w:ascii="Cambria" w:hAnsi="Cambria"/>
        </w:rPr>
        <w:t>be</w:t>
      </w:r>
      <w:r w:rsidR="00BE6F87">
        <w:rPr>
          <w:rFonts w:ascii="Cambria" w:hAnsi="Cambria"/>
        </w:rPr>
        <w:t>come significant to</w:t>
      </w:r>
      <w:r w:rsidR="00BE6F87" w:rsidRPr="00F3038F">
        <w:rPr>
          <w:rFonts w:ascii="Cambria" w:hAnsi="Cambria"/>
        </w:rPr>
        <w:t xml:space="preserve"> funding infrastructure projects (</w:t>
      </w:r>
      <w:r w:rsidR="00BE6F87">
        <w:rPr>
          <w:rFonts w:ascii="Cambria" w:hAnsi="Cambria"/>
        </w:rPr>
        <w:t xml:space="preserve">BPF, 2008; </w:t>
      </w:r>
      <w:r w:rsidR="00BE6F87" w:rsidRPr="00F3038F">
        <w:rPr>
          <w:rFonts w:ascii="Cambria" w:hAnsi="Cambria"/>
        </w:rPr>
        <w:t xml:space="preserve">Webber, 2010). </w:t>
      </w:r>
      <w:r w:rsidR="00874E21" w:rsidRPr="001D0916">
        <w:t>Previous research (</w:t>
      </w:r>
      <w:r w:rsidR="00874E21">
        <w:t>Hutchison et al.</w:t>
      </w:r>
      <w:r w:rsidR="00874E21" w:rsidRPr="001D0916">
        <w:t>, 2012</w:t>
      </w:r>
      <w:r w:rsidR="00EA0532">
        <w:t>; Squires and Hutchison, 2014</w:t>
      </w:r>
      <w:r w:rsidR="00874E21" w:rsidRPr="001D0916">
        <w:t>)</w:t>
      </w:r>
      <w:r w:rsidR="00874E21">
        <w:t xml:space="preserve"> has </w:t>
      </w:r>
      <w:r w:rsidR="00874E21" w:rsidRPr="001D0916">
        <w:t xml:space="preserve">critically examined the TIF models that are operational in the US to identify lessons </w:t>
      </w:r>
      <w:r w:rsidR="00874E21">
        <w:t xml:space="preserve">for </w:t>
      </w:r>
      <w:r>
        <w:t xml:space="preserve">their </w:t>
      </w:r>
      <w:r w:rsidR="00874E21" w:rsidRPr="001D0916">
        <w:t xml:space="preserve">possible adoption in the UK.  Research by Squires and Lord (2012) and Squires (2012) also </w:t>
      </w:r>
      <w:r w:rsidR="00874E21">
        <w:t xml:space="preserve">reflected on </w:t>
      </w:r>
      <w:r w:rsidR="00874E21" w:rsidRPr="001D0916">
        <w:t>the extensive use of TIF approaches in the US</w:t>
      </w:r>
      <w:r w:rsidR="00874E21">
        <w:t xml:space="preserve"> </w:t>
      </w:r>
      <w:r>
        <w:t>for similar reasons</w:t>
      </w:r>
      <w:r w:rsidR="00874E21" w:rsidRPr="001D0916">
        <w:t>.</w:t>
      </w:r>
      <w:r w:rsidR="00AE0576">
        <w:rPr>
          <w:rFonts w:ascii="Cambria" w:hAnsi="Cambria"/>
        </w:rPr>
        <w:t xml:space="preserve"> </w:t>
      </w:r>
      <w:r w:rsidR="00BE6F87">
        <w:rPr>
          <w:rFonts w:ascii="Cambria" w:hAnsi="Cambria"/>
        </w:rPr>
        <w:t>Loan and</w:t>
      </w:r>
      <w:r w:rsidR="00BE6F87" w:rsidRPr="00F3038F">
        <w:rPr>
          <w:rFonts w:ascii="Cambria" w:hAnsi="Cambria"/>
        </w:rPr>
        <w:t xml:space="preserve"> bond </w:t>
      </w:r>
      <w:r w:rsidR="00677418">
        <w:rPr>
          <w:rFonts w:ascii="Cambria" w:hAnsi="Cambria"/>
        </w:rPr>
        <w:t>mechanisms</w:t>
      </w:r>
      <w:r w:rsidR="00BE6F87">
        <w:rPr>
          <w:rFonts w:ascii="Cambria" w:hAnsi="Cambria"/>
        </w:rPr>
        <w:t xml:space="preserve">, whether in value capture or otherwise, </w:t>
      </w:r>
      <w:r w:rsidR="00BE6F87" w:rsidRPr="00F3038F">
        <w:rPr>
          <w:rFonts w:ascii="Cambria" w:hAnsi="Cambria"/>
        </w:rPr>
        <w:t xml:space="preserve">are </w:t>
      </w:r>
      <w:r w:rsidR="00BE6F87">
        <w:rPr>
          <w:rFonts w:ascii="Cambria" w:hAnsi="Cambria"/>
        </w:rPr>
        <w:t xml:space="preserve">more often </w:t>
      </w:r>
      <w:r w:rsidR="00BE6F87" w:rsidRPr="00F3038F">
        <w:rPr>
          <w:rFonts w:ascii="Cambria" w:hAnsi="Cambria"/>
        </w:rPr>
        <w:t xml:space="preserve">used </w:t>
      </w:r>
      <w:r w:rsidR="00BE6F87">
        <w:rPr>
          <w:rFonts w:ascii="Cambria" w:hAnsi="Cambria"/>
        </w:rPr>
        <w:t xml:space="preserve">in real estate development </w:t>
      </w:r>
      <w:r w:rsidR="00BE6F87" w:rsidRPr="00F3038F">
        <w:rPr>
          <w:rFonts w:ascii="Cambria" w:hAnsi="Cambria"/>
        </w:rPr>
        <w:t>to</w:t>
      </w:r>
      <w:r w:rsidR="00BE6F87">
        <w:rPr>
          <w:rFonts w:ascii="Cambria" w:hAnsi="Cambria"/>
        </w:rPr>
        <w:t xml:space="preserve"> attract private investment in </w:t>
      </w:r>
      <w:r w:rsidR="00BE6F87" w:rsidRPr="00F3038F">
        <w:rPr>
          <w:rFonts w:ascii="Cambria" w:hAnsi="Cambria"/>
        </w:rPr>
        <w:t>w</w:t>
      </w:r>
      <w:r w:rsidR="00BE6F87">
        <w:rPr>
          <w:rFonts w:ascii="Cambria" w:hAnsi="Cambria"/>
        </w:rPr>
        <w:t>ell-functioning capital markets, with b</w:t>
      </w:r>
      <w:r w:rsidR="00BE6F87" w:rsidRPr="00F3038F">
        <w:rPr>
          <w:rFonts w:ascii="Cambria" w:hAnsi="Cambria"/>
        </w:rPr>
        <w:t>onds provid</w:t>
      </w:r>
      <w:r w:rsidR="00BE6F87">
        <w:rPr>
          <w:rFonts w:ascii="Cambria" w:hAnsi="Cambria"/>
        </w:rPr>
        <w:t>ing</w:t>
      </w:r>
      <w:r w:rsidR="00BE6F87" w:rsidRPr="00F3038F">
        <w:rPr>
          <w:rFonts w:ascii="Cambria" w:hAnsi="Cambria"/>
        </w:rPr>
        <w:t xml:space="preserve"> institutional investors</w:t>
      </w:r>
      <w:r w:rsidR="00BE6F87">
        <w:rPr>
          <w:rFonts w:ascii="Cambria" w:hAnsi="Cambria"/>
        </w:rPr>
        <w:t xml:space="preserve">, such as pension funds with </w:t>
      </w:r>
      <w:r w:rsidR="00BE6F87" w:rsidRPr="00F3038F">
        <w:rPr>
          <w:rFonts w:ascii="Cambria" w:hAnsi="Cambria"/>
        </w:rPr>
        <w:t>both</w:t>
      </w:r>
      <w:r w:rsidR="00BE6F87">
        <w:rPr>
          <w:rFonts w:ascii="Cambria" w:hAnsi="Cambria"/>
        </w:rPr>
        <w:t xml:space="preserve"> limited risk and</w:t>
      </w:r>
      <w:r w:rsidR="00BE6F87" w:rsidRPr="00F3038F">
        <w:rPr>
          <w:rFonts w:ascii="Cambria" w:hAnsi="Cambria"/>
        </w:rPr>
        <w:t xml:space="preserve"> stable yields (Merk et al., 2012</w:t>
      </w:r>
      <w:r w:rsidR="00741B6A">
        <w:rPr>
          <w:rFonts w:ascii="Cambria" w:hAnsi="Cambria"/>
        </w:rPr>
        <w:t xml:space="preserve">; </w:t>
      </w:r>
      <w:r w:rsidR="00BB5E07">
        <w:rPr>
          <w:rFonts w:ascii="Cambria" w:hAnsi="Cambria"/>
        </w:rPr>
        <w:t xml:space="preserve">Squires and Moate, 2012; </w:t>
      </w:r>
      <w:r w:rsidR="00741B6A" w:rsidRPr="00741B6A">
        <w:rPr>
          <w:rFonts w:ascii="Cambria" w:hAnsi="Cambria"/>
        </w:rPr>
        <w:t xml:space="preserve">Ellison, </w:t>
      </w:r>
      <w:r w:rsidR="00741B6A">
        <w:rPr>
          <w:rFonts w:ascii="Cambria" w:hAnsi="Cambria"/>
        </w:rPr>
        <w:t xml:space="preserve">et al, </w:t>
      </w:r>
      <w:r w:rsidR="00741B6A" w:rsidRPr="00741B6A">
        <w:rPr>
          <w:rFonts w:ascii="Cambria" w:hAnsi="Cambria"/>
        </w:rPr>
        <w:t>2015</w:t>
      </w:r>
      <w:r w:rsidR="00BE6F87" w:rsidRPr="00F3038F">
        <w:rPr>
          <w:rFonts w:ascii="Cambria" w:hAnsi="Cambria"/>
        </w:rPr>
        <w:t xml:space="preserve">). </w:t>
      </w:r>
      <w:r w:rsidR="00BE6F87">
        <w:rPr>
          <w:rFonts w:ascii="Cambria" w:hAnsi="Cambria"/>
        </w:rPr>
        <w:t>Some government loans, such as t</w:t>
      </w:r>
      <w:r w:rsidR="00BE6F87" w:rsidRPr="00F3038F">
        <w:rPr>
          <w:rFonts w:ascii="Cambria" w:hAnsi="Cambria"/>
        </w:rPr>
        <w:t>he subordinated loan</w:t>
      </w:r>
      <w:r w:rsidR="00BE6F87">
        <w:rPr>
          <w:rFonts w:ascii="Cambria" w:hAnsi="Cambria"/>
        </w:rPr>
        <w:t>, can fill</w:t>
      </w:r>
      <w:r w:rsidR="00BE6F87" w:rsidRPr="00F3038F">
        <w:rPr>
          <w:rFonts w:ascii="Cambria" w:hAnsi="Cambria"/>
        </w:rPr>
        <w:t xml:space="preserve"> financial </w:t>
      </w:r>
      <w:r w:rsidR="00BE6F87">
        <w:rPr>
          <w:rFonts w:ascii="Cambria" w:hAnsi="Cambria"/>
        </w:rPr>
        <w:t>gaps formed</w:t>
      </w:r>
      <w:r w:rsidR="00BE6F87" w:rsidRPr="00F3038F">
        <w:rPr>
          <w:rFonts w:ascii="Cambria" w:hAnsi="Cambria"/>
        </w:rPr>
        <w:t xml:space="preserve"> between loans and equity. </w:t>
      </w:r>
      <w:r w:rsidR="00BE6F87">
        <w:rPr>
          <w:rFonts w:ascii="Cambria" w:hAnsi="Cambria"/>
        </w:rPr>
        <w:t xml:space="preserve">Subordinated loans can be repaid where project performance is as </w:t>
      </w:r>
      <w:r w:rsidR="00BE6F87" w:rsidRPr="00F3038F">
        <w:rPr>
          <w:rFonts w:ascii="Cambria" w:hAnsi="Cambria"/>
        </w:rPr>
        <w:t>expected</w:t>
      </w:r>
      <w:r w:rsidR="00BE6F87">
        <w:rPr>
          <w:rFonts w:ascii="Cambria" w:hAnsi="Cambria"/>
        </w:rPr>
        <w:t>,</w:t>
      </w:r>
      <w:r w:rsidR="00BE6F87" w:rsidRPr="00F3038F">
        <w:rPr>
          <w:rFonts w:ascii="Cambria" w:hAnsi="Cambria"/>
        </w:rPr>
        <w:t xml:space="preserve"> and </w:t>
      </w:r>
      <w:r w:rsidR="00BE6F87">
        <w:rPr>
          <w:rFonts w:ascii="Cambria" w:hAnsi="Cambria"/>
        </w:rPr>
        <w:t xml:space="preserve">the outcome </w:t>
      </w:r>
      <w:r w:rsidR="00512DDC">
        <w:rPr>
          <w:rFonts w:ascii="Cambria" w:hAnsi="Cambria"/>
        </w:rPr>
        <w:t xml:space="preserve">empowers </w:t>
      </w:r>
      <w:r w:rsidR="00BE6F87" w:rsidRPr="00F3038F">
        <w:rPr>
          <w:rFonts w:ascii="Cambria" w:hAnsi="Cambria"/>
        </w:rPr>
        <w:t>government to receive a share of on-going revenues as interest on the loans (PriceWaterhouseCoopers, 2011).</w:t>
      </w:r>
    </w:p>
    <w:p w:rsidR="00BE6F87" w:rsidRPr="00F3038F" w:rsidRDefault="00BE6F87" w:rsidP="00BE6F87">
      <w:pPr>
        <w:spacing w:line="360" w:lineRule="auto"/>
        <w:jc w:val="both"/>
        <w:rPr>
          <w:i/>
        </w:rPr>
      </w:pPr>
      <w:r w:rsidRPr="00F3038F">
        <w:rPr>
          <w:i/>
        </w:rPr>
        <w:tab/>
      </w:r>
    </w:p>
    <w:p w:rsidR="00F92F69" w:rsidRDefault="00BE6F87" w:rsidP="00874E21">
      <w:pPr>
        <w:spacing w:line="360" w:lineRule="auto"/>
        <w:jc w:val="both"/>
      </w:pPr>
      <w:r>
        <w:rPr>
          <w:rFonts w:ascii="Cambria" w:hAnsi="Cambria"/>
        </w:rPr>
        <w:t xml:space="preserve">Some tax incentives are viewed as innovative finance </w:t>
      </w:r>
      <w:r w:rsidR="00677418">
        <w:rPr>
          <w:rFonts w:ascii="Cambria" w:hAnsi="Cambria"/>
        </w:rPr>
        <w:t>mechanisms</w:t>
      </w:r>
      <w:r>
        <w:rPr>
          <w:rFonts w:ascii="Cambria" w:hAnsi="Cambria"/>
        </w:rPr>
        <w:t>, particularly</w:t>
      </w:r>
      <w:r w:rsidR="00BC156C">
        <w:rPr>
          <w:rFonts w:ascii="Cambria" w:hAnsi="Cambria"/>
        </w:rPr>
        <w:t>,</w:t>
      </w:r>
      <w:r>
        <w:rPr>
          <w:rFonts w:ascii="Cambria" w:hAnsi="Cambria"/>
        </w:rPr>
        <w:t xml:space="preserve"> if they progressively encourage </w:t>
      </w:r>
      <w:r w:rsidR="00C27096">
        <w:rPr>
          <w:rFonts w:ascii="Cambria" w:hAnsi="Cambria"/>
        </w:rPr>
        <w:t xml:space="preserve">a </w:t>
      </w:r>
      <w:r>
        <w:rPr>
          <w:rFonts w:ascii="Cambria" w:hAnsi="Cambria"/>
        </w:rPr>
        <w:t xml:space="preserve">finance mix in real estate development </w:t>
      </w:r>
      <w:r w:rsidRPr="00F3038F">
        <w:t>(Williams and Boyle, 2012)</w:t>
      </w:r>
      <w:r>
        <w:rPr>
          <w:rFonts w:ascii="Cambria" w:hAnsi="Cambria"/>
        </w:rPr>
        <w:t xml:space="preserve">. </w:t>
      </w:r>
      <w:r w:rsidRPr="00F3038F">
        <w:rPr>
          <w:rFonts w:ascii="Cambria" w:hAnsi="Cambria"/>
        </w:rPr>
        <w:t xml:space="preserve">Spatially targeted tax </w:t>
      </w:r>
      <w:r>
        <w:rPr>
          <w:rFonts w:ascii="Cambria" w:hAnsi="Cambria"/>
        </w:rPr>
        <w:t xml:space="preserve">breaks such as </w:t>
      </w:r>
      <w:r w:rsidR="00EA0532">
        <w:rPr>
          <w:rFonts w:ascii="Cambria" w:hAnsi="Cambria"/>
        </w:rPr>
        <w:t>Enterprise Zones (</w:t>
      </w:r>
      <w:r>
        <w:rPr>
          <w:rFonts w:ascii="Cambria" w:hAnsi="Cambria"/>
        </w:rPr>
        <w:t>EZs</w:t>
      </w:r>
      <w:r w:rsidR="00EA0532">
        <w:rPr>
          <w:rFonts w:ascii="Cambria" w:hAnsi="Cambria"/>
        </w:rPr>
        <w:t>)</w:t>
      </w:r>
      <w:r>
        <w:rPr>
          <w:rFonts w:ascii="Cambria" w:hAnsi="Cambria"/>
        </w:rPr>
        <w:t xml:space="preserve"> </w:t>
      </w:r>
      <w:r w:rsidRPr="00F3038F">
        <w:rPr>
          <w:rFonts w:ascii="Cambria" w:hAnsi="Cambria"/>
        </w:rPr>
        <w:t>offer incentives to both help start-up businesses and expand existing businesses (</w:t>
      </w:r>
      <w:r>
        <w:rPr>
          <w:rFonts w:ascii="Cambria" w:hAnsi="Cambria"/>
        </w:rPr>
        <w:t>Squires and Hall, 2013</w:t>
      </w:r>
      <w:r w:rsidR="009F4F90">
        <w:rPr>
          <w:rFonts w:ascii="Cambria" w:hAnsi="Cambria"/>
        </w:rPr>
        <w:t>b</w:t>
      </w:r>
      <w:r w:rsidR="005013C7">
        <w:rPr>
          <w:rFonts w:ascii="Cambria" w:hAnsi="Cambria"/>
        </w:rPr>
        <w:t xml:space="preserve">; Birch and Squires, </w:t>
      </w:r>
      <w:r w:rsidR="005013C7" w:rsidRPr="005013C7">
        <w:rPr>
          <w:rFonts w:ascii="Cambria" w:hAnsi="Cambria"/>
        </w:rPr>
        <w:t>2014</w:t>
      </w:r>
      <w:r>
        <w:rPr>
          <w:rFonts w:ascii="Cambria" w:hAnsi="Cambria"/>
        </w:rPr>
        <w:t>)</w:t>
      </w:r>
      <w:r w:rsidRPr="00F3038F">
        <w:rPr>
          <w:rFonts w:ascii="Cambria" w:hAnsi="Cambria"/>
        </w:rPr>
        <w:t xml:space="preserve">. </w:t>
      </w:r>
      <w:r>
        <w:rPr>
          <w:rFonts w:ascii="Cambria" w:hAnsi="Cambria"/>
        </w:rPr>
        <w:t>Financial i</w:t>
      </w:r>
      <w:r w:rsidRPr="00F3038F">
        <w:rPr>
          <w:rFonts w:ascii="Cambria" w:hAnsi="Cambria"/>
        </w:rPr>
        <w:t>ncentives range from business rate discounts to simplified local authority planning</w:t>
      </w:r>
      <w:r>
        <w:rPr>
          <w:rFonts w:ascii="Cambria" w:hAnsi="Cambria"/>
        </w:rPr>
        <w:t xml:space="preserve"> </w:t>
      </w:r>
      <w:r w:rsidR="00BC156C">
        <w:rPr>
          <w:rFonts w:ascii="Cambria" w:hAnsi="Cambria"/>
        </w:rPr>
        <w:t xml:space="preserve">procedures, designed </w:t>
      </w:r>
      <w:r>
        <w:rPr>
          <w:rFonts w:ascii="Cambria" w:hAnsi="Cambria"/>
        </w:rPr>
        <w:t>to reduce costs</w:t>
      </w:r>
      <w:r w:rsidRPr="00F3038F">
        <w:rPr>
          <w:rFonts w:ascii="Cambria" w:hAnsi="Cambria"/>
        </w:rPr>
        <w:t xml:space="preserve"> (</w:t>
      </w:r>
      <w:r w:rsidRPr="00656C0D">
        <w:rPr>
          <w:rFonts w:ascii="Cambria" w:hAnsi="Cambria"/>
        </w:rPr>
        <w:t>HMSO, 2014</w:t>
      </w:r>
      <w:r w:rsidRPr="00F3038F">
        <w:rPr>
          <w:rFonts w:ascii="Cambria" w:hAnsi="Cambria"/>
        </w:rPr>
        <w:t>)</w:t>
      </w:r>
      <w:r w:rsidRPr="00F3038F">
        <w:t xml:space="preserve">. </w:t>
      </w:r>
      <w:r w:rsidR="00475356">
        <w:t>Indeed, m</w:t>
      </w:r>
      <w:r w:rsidRPr="00F3038F">
        <w:t xml:space="preserve">any European municipalities compete for new investment by keeping land use taxes artificially low. Furthermore, selective tax waivers and other incentives aimed at </w:t>
      </w:r>
      <w:r>
        <w:t>investors, developers,</w:t>
      </w:r>
      <w:r w:rsidRPr="00F3038F">
        <w:t xml:space="preserve"> and residents</w:t>
      </w:r>
      <w:r>
        <w:t xml:space="preserve"> </w:t>
      </w:r>
      <w:r w:rsidRPr="00F3038F">
        <w:t xml:space="preserve">can </w:t>
      </w:r>
      <w:r w:rsidR="00BC156C">
        <w:t>play</w:t>
      </w:r>
      <w:r w:rsidR="00BC156C" w:rsidRPr="00F3038F">
        <w:t xml:space="preserve"> </w:t>
      </w:r>
      <w:r w:rsidRPr="00F3038F">
        <w:t xml:space="preserve">a </w:t>
      </w:r>
      <w:r>
        <w:t xml:space="preserve">pivotal </w:t>
      </w:r>
      <w:r w:rsidRPr="00F3038F">
        <w:t>role in improving a city’s physical and economic environment (Williams and Boyle, 2012). These tax-based measures must operate within clear planning, regulatory and budgetary frameworks</w:t>
      </w:r>
      <w:r>
        <w:t>,</w:t>
      </w:r>
      <w:r w:rsidRPr="00F3038F">
        <w:t xml:space="preserve"> </w:t>
      </w:r>
      <w:r>
        <w:t>particularly as</w:t>
      </w:r>
      <w:r w:rsidRPr="00F3038F">
        <w:t xml:space="preserve"> the ways in which these measures operate </w:t>
      </w:r>
      <w:r>
        <w:t>var</w:t>
      </w:r>
      <w:r w:rsidR="00475356">
        <w:t xml:space="preserve">ies </w:t>
      </w:r>
      <w:r>
        <w:t xml:space="preserve">depending upon </w:t>
      </w:r>
      <w:r w:rsidRPr="00F3038F">
        <w:t>national and local taxation structures</w:t>
      </w:r>
      <w:r w:rsidR="00C1426E">
        <w:t xml:space="preserve"> (Squires, 2013a)</w:t>
      </w:r>
      <w:r w:rsidR="00F92F69">
        <w:t>.</w:t>
      </w:r>
    </w:p>
    <w:p w:rsidR="00F92F69" w:rsidRDefault="00F92F69" w:rsidP="00874E21">
      <w:pPr>
        <w:spacing w:line="360" w:lineRule="auto"/>
        <w:jc w:val="both"/>
      </w:pPr>
    </w:p>
    <w:p w:rsidR="00F77CDF" w:rsidRDefault="00F77CDF" w:rsidP="00874E21">
      <w:pPr>
        <w:spacing w:line="360" w:lineRule="auto"/>
        <w:jc w:val="both"/>
      </w:pPr>
      <w:r>
        <w:rPr>
          <w:rFonts w:ascii="Cambria" w:hAnsi="Cambria"/>
        </w:rPr>
        <w:t>Partnership</w:t>
      </w:r>
      <w:r w:rsidRPr="00F3038F">
        <w:rPr>
          <w:rFonts w:ascii="Cambria" w:hAnsi="Cambria"/>
        </w:rPr>
        <w:t xml:space="preserve"> collaborations are considered one of the most </w:t>
      </w:r>
      <w:r>
        <w:rPr>
          <w:rFonts w:ascii="Cambria" w:hAnsi="Cambria"/>
        </w:rPr>
        <w:t>innovative</w:t>
      </w:r>
      <w:r w:rsidRPr="00F3038F">
        <w:rPr>
          <w:rFonts w:ascii="Cambria" w:hAnsi="Cambria"/>
        </w:rPr>
        <w:t xml:space="preserve"> ways of </w:t>
      </w:r>
      <w:r>
        <w:rPr>
          <w:rFonts w:ascii="Cambria" w:hAnsi="Cambria"/>
        </w:rPr>
        <w:t>financing</w:t>
      </w:r>
      <w:r w:rsidRPr="00F3038F">
        <w:rPr>
          <w:rFonts w:ascii="Cambria" w:hAnsi="Cambria"/>
        </w:rPr>
        <w:t xml:space="preserve"> </w:t>
      </w:r>
      <w:r>
        <w:rPr>
          <w:rFonts w:ascii="Cambria" w:hAnsi="Cambria"/>
        </w:rPr>
        <w:t xml:space="preserve">development. PPPs relieve </w:t>
      </w:r>
      <w:r w:rsidRPr="00F3038F">
        <w:rPr>
          <w:rFonts w:ascii="Cambria" w:hAnsi="Cambria"/>
        </w:rPr>
        <w:t xml:space="preserve">public budgetary constraints in addition to the improvement of the quality of public services, </w:t>
      </w:r>
      <w:r>
        <w:rPr>
          <w:rFonts w:ascii="Cambria" w:hAnsi="Cambria"/>
        </w:rPr>
        <w:t xml:space="preserve">whilst </w:t>
      </w:r>
      <w:r w:rsidRPr="00F3038F">
        <w:rPr>
          <w:rFonts w:ascii="Cambria" w:hAnsi="Cambria"/>
        </w:rPr>
        <w:t>encourag</w:t>
      </w:r>
      <w:r>
        <w:rPr>
          <w:rFonts w:ascii="Cambria" w:hAnsi="Cambria"/>
        </w:rPr>
        <w:t>ing</w:t>
      </w:r>
      <w:r w:rsidRPr="00F3038F">
        <w:rPr>
          <w:rFonts w:ascii="Cambria" w:hAnsi="Cambria"/>
        </w:rPr>
        <w:t xml:space="preserve"> innovation</w:t>
      </w:r>
      <w:r>
        <w:rPr>
          <w:rFonts w:ascii="Cambria" w:hAnsi="Cambria"/>
        </w:rPr>
        <w:t xml:space="preserve"> and </w:t>
      </w:r>
      <w:r w:rsidRPr="00F3038F">
        <w:rPr>
          <w:rFonts w:ascii="Cambria" w:hAnsi="Cambria"/>
        </w:rPr>
        <w:t>optimis</w:t>
      </w:r>
      <w:r>
        <w:rPr>
          <w:rFonts w:ascii="Cambria" w:hAnsi="Cambria"/>
        </w:rPr>
        <w:t>ing</w:t>
      </w:r>
      <w:r w:rsidRPr="00F3038F">
        <w:rPr>
          <w:rFonts w:ascii="Cambria" w:hAnsi="Cambria"/>
        </w:rPr>
        <w:t xml:space="preserve"> risk transfer (Liu and Wilkinson, 2014). PPPs</w:t>
      </w:r>
      <w:r>
        <w:rPr>
          <w:rFonts w:ascii="Cambria" w:hAnsi="Cambria"/>
        </w:rPr>
        <w:t xml:space="preserve"> incorporate a range of arrangements, </w:t>
      </w:r>
      <w:r w:rsidRPr="00F3038F">
        <w:rPr>
          <w:rFonts w:ascii="Cambria" w:hAnsi="Cambria"/>
        </w:rPr>
        <w:t xml:space="preserve">from </w:t>
      </w:r>
      <w:r>
        <w:rPr>
          <w:rFonts w:ascii="Cambria" w:hAnsi="Cambria"/>
        </w:rPr>
        <w:t>Private Finance Initiative (</w:t>
      </w:r>
      <w:r w:rsidRPr="00F3038F">
        <w:rPr>
          <w:rFonts w:ascii="Cambria" w:hAnsi="Cambria"/>
        </w:rPr>
        <w:t>PFI</w:t>
      </w:r>
      <w:r>
        <w:rPr>
          <w:rFonts w:ascii="Cambria" w:hAnsi="Cambria"/>
        </w:rPr>
        <w:t>),</w:t>
      </w:r>
      <w:r w:rsidRPr="00F3038F">
        <w:rPr>
          <w:rFonts w:ascii="Cambria" w:hAnsi="Cambria"/>
        </w:rPr>
        <w:t xml:space="preserve"> </w:t>
      </w:r>
      <w:r>
        <w:rPr>
          <w:rFonts w:ascii="Cambria" w:hAnsi="Cambria"/>
        </w:rPr>
        <w:t xml:space="preserve">and </w:t>
      </w:r>
      <w:r w:rsidRPr="00F3038F">
        <w:rPr>
          <w:rFonts w:ascii="Cambria" w:hAnsi="Cambria"/>
        </w:rPr>
        <w:t xml:space="preserve">joint ventures and concessions, to </w:t>
      </w:r>
      <w:r>
        <w:rPr>
          <w:rFonts w:ascii="Cambria" w:hAnsi="Cambria"/>
        </w:rPr>
        <w:t xml:space="preserve">outsourcing, and </w:t>
      </w:r>
      <w:r w:rsidRPr="00F3038F">
        <w:rPr>
          <w:rFonts w:ascii="Cambria" w:hAnsi="Cambria"/>
        </w:rPr>
        <w:t>equity stake sales (McQuaid and Scherrer, 2008)</w:t>
      </w:r>
      <w:r>
        <w:rPr>
          <w:rFonts w:ascii="Cambria" w:hAnsi="Cambria"/>
        </w:rPr>
        <w:t xml:space="preserve">. </w:t>
      </w:r>
      <w:r w:rsidRPr="00A153C8">
        <w:rPr>
          <w:rFonts w:ascii="Cambria" w:hAnsi="Cambria"/>
        </w:rPr>
        <w:t xml:space="preserve">The financing of PPPs as development </w:t>
      </w:r>
      <w:r>
        <w:rPr>
          <w:rFonts w:ascii="Cambria" w:hAnsi="Cambria"/>
        </w:rPr>
        <w:t xml:space="preserve">shaping is more commonly used </w:t>
      </w:r>
      <w:r w:rsidRPr="00F3038F">
        <w:rPr>
          <w:rFonts w:ascii="Cambria" w:hAnsi="Cambria"/>
        </w:rPr>
        <w:t>in countries with significant private-sector schemes having long-term liabilities that need to</w:t>
      </w:r>
      <w:r>
        <w:rPr>
          <w:rFonts w:ascii="Cambria" w:hAnsi="Cambria"/>
        </w:rPr>
        <w:t xml:space="preserve"> be matched to long-term assets.</w:t>
      </w:r>
      <w:r w:rsidRPr="00F3038F">
        <w:rPr>
          <w:rFonts w:ascii="Cambria" w:hAnsi="Cambria"/>
        </w:rPr>
        <w:t xml:space="preserve">  PPP initiatives funded by bonds</w:t>
      </w:r>
      <w:r>
        <w:rPr>
          <w:rFonts w:ascii="Cambria" w:hAnsi="Cambria"/>
        </w:rPr>
        <w:t xml:space="preserve"> are often</w:t>
      </w:r>
      <w:r w:rsidRPr="00F3038F">
        <w:rPr>
          <w:rFonts w:ascii="Cambria" w:hAnsi="Cambria"/>
        </w:rPr>
        <w:t xml:space="preserve"> index-linked</w:t>
      </w:r>
      <w:r>
        <w:rPr>
          <w:rFonts w:ascii="Cambria" w:hAnsi="Cambria"/>
        </w:rPr>
        <w:t xml:space="preserve">, known as </w:t>
      </w:r>
      <w:r w:rsidRPr="00F3038F">
        <w:rPr>
          <w:rFonts w:ascii="Cambria" w:hAnsi="Cambria"/>
        </w:rPr>
        <w:t>index-linked debt</w:t>
      </w:r>
      <w:r>
        <w:rPr>
          <w:rFonts w:ascii="Cambria" w:hAnsi="Cambria"/>
        </w:rPr>
        <w:t xml:space="preserve">, and expose procurers </w:t>
      </w:r>
      <w:r w:rsidRPr="00F3038F">
        <w:rPr>
          <w:rFonts w:ascii="Cambria" w:hAnsi="Cambria"/>
        </w:rPr>
        <w:t>to potentially higher inflation risk</w:t>
      </w:r>
      <w:r>
        <w:rPr>
          <w:rFonts w:ascii="Cambria" w:hAnsi="Cambria"/>
        </w:rPr>
        <w:t xml:space="preserve"> </w:t>
      </w:r>
      <w:r w:rsidRPr="00F3038F">
        <w:rPr>
          <w:rFonts w:ascii="Cambria" w:hAnsi="Cambria"/>
        </w:rPr>
        <w:t>(</w:t>
      </w:r>
      <w:r>
        <w:rPr>
          <w:rFonts w:ascii="Cambria" w:hAnsi="Cambria"/>
        </w:rPr>
        <w:t>EPEC, 2010)</w:t>
      </w:r>
      <w:r w:rsidRPr="00F3038F">
        <w:rPr>
          <w:rFonts w:ascii="Cambria" w:hAnsi="Cambria"/>
        </w:rPr>
        <w:t>.</w:t>
      </w:r>
      <w:r>
        <w:rPr>
          <w:i/>
          <w:color w:val="0000FF"/>
        </w:rPr>
        <w:t xml:space="preserve"> </w:t>
      </w:r>
      <w:r>
        <w:t>Land readjustment finance and re-parcelling of land by a municipality to unlock fragmented potential sites in deadlock can help with regards to this type of partnership working (</w:t>
      </w:r>
      <w:r w:rsidRPr="00F9774F">
        <w:t xml:space="preserve">Van </w:t>
      </w:r>
      <w:r>
        <w:t xml:space="preserve">der Krabben and Heurkens, </w:t>
      </w:r>
      <w:r w:rsidRPr="00F9774F">
        <w:t>2015</w:t>
      </w:r>
      <w:r>
        <w:t>). This is discussed further in the case studies section later.</w:t>
      </w:r>
    </w:p>
    <w:p w:rsidR="00F77CDF" w:rsidRDefault="00F77CDF" w:rsidP="00874E21">
      <w:pPr>
        <w:spacing w:line="360" w:lineRule="auto"/>
        <w:jc w:val="both"/>
      </w:pPr>
    </w:p>
    <w:p w:rsidR="00874E21" w:rsidRPr="00F92F69" w:rsidRDefault="00475356" w:rsidP="00874E21">
      <w:pPr>
        <w:spacing w:line="360" w:lineRule="auto"/>
        <w:jc w:val="both"/>
        <w:rPr>
          <w:rFonts w:ascii="Cambria" w:hAnsi="Cambria"/>
        </w:rPr>
      </w:pPr>
      <w:r>
        <w:rPr>
          <w:rFonts w:ascii="Cambria" w:hAnsi="Cambria"/>
        </w:rPr>
        <w:t xml:space="preserve">The application of the </w:t>
      </w:r>
      <w:r w:rsidR="00F92F69">
        <w:rPr>
          <w:rFonts w:ascii="Cambria" w:hAnsi="Cambria"/>
        </w:rPr>
        <w:t xml:space="preserve">Private Financing Initiative (PFI) </w:t>
      </w:r>
      <w:r w:rsidR="00474CEE">
        <w:rPr>
          <w:rFonts w:ascii="Cambria" w:hAnsi="Cambria"/>
        </w:rPr>
        <w:t xml:space="preserve">as </w:t>
      </w:r>
      <w:r w:rsidR="00AE0576">
        <w:rPr>
          <w:rFonts w:ascii="Cambria" w:hAnsi="Cambria"/>
        </w:rPr>
        <w:t>a</w:t>
      </w:r>
      <w:r w:rsidR="009C0467">
        <w:rPr>
          <w:rFonts w:ascii="Cambria" w:hAnsi="Cambria"/>
        </w:rPr>
        <w:t>n innovative</w:t>
      </w:r>
      <w:r w:rsidR="00AE0576">
        <w:rPr>
          <w:rFonts w:ascii="Cambria" w:hAnsi="Cambria"/>
        </w:rPr>
        <w:t xml:space="preserve"> mechanism</w:t>
      </w:r>
      <w:r w:rsidR="00474CEE">
        <w:rPr>
          <w:rFonts w:ascii="Cambria" w:hAnsi="Cambria"/>
        </w:rPr>
        <w:t xml:space="preserve"> has been</w:t>
      </w:r>
      <w:r w:rsidR="009D3EAE">
        <w:rPr>
          <w:rFonts w:ascii="Cambria" w:hAnsi="Cambria"/>
        </w:rPr>
        <w:t xml:space="preserve"> contentious</w:t>
      </w:r>
      <w:r w:rsidR="00453AEC">
        <w:rPr>
          <w:rFonts w:ascii="Cambria" w:hAnsi="Cambria"/>
        </w:rPr>
        <w:t>.</w:t>
      </w:r>
      <w:r w:rsidR="009D3EAE">
        <w:rPr>
          <w:rFonts w:ascii="Cambria" w:hAnsi="Cambria"/>
        </w:rPr>
        <w:t xml:space="preserve"> </w:t>
      </w:r>
      <w:r w:rsidR="00F92F69">
        <w:rPr>
          <w:rFonts w:ascii="Cambria" w:hAnsi="Cambria"/>
        </w:rPr>
        <w:t xml:space="preserve">PFI involves </w:t>
      </w:r>
      <w:r w:rsidR="00F92F69" w:rsidRPr="00F3038F">
        <w:rPr>
          <w:rFonts w:ascii="Cambria" w:hAnsi="Cambria"/>
        </w:rPr>
        <w:t>the transfer of substantial risk relating to construction and operation to the private sector</w:t>
      </w:r>
      <w:r w:rsidR="00F92F69">
        <w:rPr>
          <w:rFonts w:ascii="Cambria" w:hAnsi="Cambria"/>
        </w:rPr>
        <w:t xml:space="preserve"> </w:t>
      </w:r>
      <w:r w:rsidR="001166DA">
        <w:rPr>
          <w:rFonts w:ascii="em dash" w:hAnsi="em dash"/>
        </w:rPr>
        <w:t xml:space="preserve"> </w:t>
      </w:r>
      <w:r w:rsidR="001166DA">
        <w:rPr>
          <w:rFonts w:ascii="Cambria" w:hAnsi="Cambria"/>
        </w:rPr>
        <w:t xml:space="preserve">— </w:t>
      </w:r>
      <w:r w:rsidR="00F92F69">
        <w:rPr>
          <w:rFonts w:ascii="Cambria" w:hAnsi="Cambria"/>
        </w:rPr>
        <w:t>one argument being that</w:t>
      </w:r>
      <w:r w:rsidR="00F92F69" w:rsidRPr="00F3038F">
        <w:rPr>
          <w:rFonts w:ascii="Cambria" w:hAnsi="Cambria"/>
        </w:rPr>
        <w:t xml:space="preserve"> </w:t>
      </w:r>
      <w:r w:rsidR="00F92F69">
        <w:rPr>
          <w:rFonts w:ascii="Cambria" w:hAnsi="Cambria"/>
        </w:rPr>
        <w:t>the private sector is</w:t>
      </w:r>
      <w:r w:rsidR="00F92F69" w:rsidRPr="00F3038F">
        <w:rPr>
          <w:rFonts w:ascii="Cambria" w:hAnsi="Cambria"/>
        </w:rPr>
        <w:t xml:space="preserve"> bet</w:t>
      </w:r>
      <w:r w:rsidR="00F92F69">
        <w:rPr>
          <w:rFonts w:ascii="Cambria" w:hAnsi="Cambria"/>
        </w:rPr>
        <w:t xml:space="preserve">ter placed to manage </w:t>
      </w:r>
      <w:r w:rsidR="001166DA">
        <w:rPr>
          <w:rFonts w:ascii="Cambria" w:hAnsi="Cambria"/>
        </w:rPr>
        <w:t xml:space="preserve">that </w:t>
      </w:r>
      <w:r w:rsidR="00F92F69">
        <w:rPr>
          <w:rFonts w:ascii="Cambria" w:hAnsi="Cambria"/>
        </w:rPr>
        <w:t>risk</w:t>
      </w:r>
      <w:r w:rsidR="00F92F69" w:rsidRPr="00F3038F">
        <w:rPr>
          <w:rFonts w:ascii="Cambria" w:hAnsi="Cambria"/>
        </w:rPr>
        <w:t xml:space="preserve"> (</w:t>
      </w:r>
      <w:r w:rsidR="00F92F69">
        <w:rPr>
          <w:rFonts w:ascii="Cambria" w:hAnsi="Cambria"/>
        </w:rPr>
        <w:t>Adair et al, 2011</w:t>
      </w:r>
      <w:r w:rsidR="00F92F69" w:rsidRPr="00F3038F">
        <w:rPr>
          <w:rFonts w:ascii="Cambria" w:hAnsi="Cambria"/>
        </w:rPr>
        <w:t>)</w:t>
      </w:r>
      <w:r w:rsidR="00F92F69">
        <w:rPr>
          <w:rFonts w:ascii="Cambria" w:hAnsi="Cambria"/>
        </w:rPr>
        <w:t>.</w:t>
      </w:r>
      <w:r w:rsidR="00F92F69" w:rsidRPr="00F3038F">
        <w:rPr>
          <w:rFonts w:ascii="Cambria" w:hAnsi="Cambria"/>
        </w:rPr>
        <w:t xml:space="preserve"> Services are provided on a contractual basis between the </w:t>
      </w:r>
      <w:r w:rsidR="001166DA">
        <w:rPr>
          <w:rFonts w:ascii="Cambria" w:hAnsi="Cambria"/>
        </w:rPr>
        <w:t xml:space="preserve">private </w:t>
      </w:r>
      <w:r w:rsidR="00F92F69" w:rsidRPr="00F3038F">
        <w:rPr>
          <w:rFonts w:ascii="Cambria" w:hAnsi="Cambria"/>
        </w:rPr>
        <w:t>consortium and the relevant public body, with the contract being awarded following competitive bidding. Like PPP</w:t>
      </w:r>
      <w:r w:rsidR="005B6B5F">
        <w:rPr>
          <w:rFonts w:ascii="Cambria" w:hAnsi="Cambria"/>
        </w:rPr>
        <w:t xml:space="preserve"> (Public Private Partnerships)</w:t>
      </w:r>
      <w:r w:rsidR="00F92F69" w:rsidRPr="00F3038F">
        <w:rPr>
          <w:rFonts w:ascii="Cambria" w:hAnsi="Cambria"/>
        </w:rPr>
        <w:t>, PFI is meant to offer ‘va</w:t>
      </w:r>
      <w:r w:rsidR="00F92F69">
        <w:rPr>
          <w:rFonts w:ascii="Cambria" w:hAnsi="Cambria"/>
        </w:rPr>
        <w:t xml:space="preserve">lue for money’, allocated risk </w:t>
      </w:r>
      <w:r w:rsidR="00F92F69" w:rsidRPr="00F3038F">
        <w:rPr>
          <w:rFonts w:ascii="Cambria" w:hAnsi="Cambria"/>
        </w:rPr>
        <w:t>sharing</w:t>
      </w:r>
      <w:r w:rsidR="00F92F69">
        <w:rPr>
          <w:rFonts w:ascii="Cambria" w:hAnsi="Cambria"/>
        </w:rPr>
        <w:t>,</w:t>
      </w:r>
      <w:r w:rsidR="00F92F69" w:rsidRPr="00F3038F">
        <w:rPr>
          <w:rFonts w:ascii="Cambria" w:hAnsi="Cambria"/>
        </w:rPr>
        <w:t xml:space="preserve"> and </w:t>
      </w:r>
      <w:r w:rsidR="001166DA">
        <w:rPr>
          <w:rFonts w:ascii="Cambria" w:hAnsi="Cambria"/>
        </w:rPr>
        <w:t>improved</w:t>
      </w:r>
      <w:r w:rsidR="001166DA" w:rsidRPr="00F3038F">
        <w:rPr>
          <w:rFonts w:ascii="Cambria" w:hAnsi="Cambria"/>
        </w:rPr>
        <w:t xml:space="preserve"> </w:t>
      </w:r>
      <w:r w:rsidR="00F92F69" w:rsidRPr="00F3038F">
        <w:rPr>
          <w:rFonts w:ascii="Cambria" w:hAnsi="Cambria"/>
        </w:rPr>
        <w:t>general efficiency of the private sector (Wall and Connolly, 2009). PFI financing is structured to ensure the consortium receives a full return on costs</w:t>
      </w:r>
      <w:r w:rsidR="00F92F69">
        <w:rPr>
          <w:rFonts w:ascii="Cambria" w:hAnsi="Cambria"/>
        </w:rPr>
        <w:t>,</w:t>
      </w:r>
      <w:r w:rsidR="00F92F69" w:rsidRPr="00F3038F">
        <w:rPr>
          <w:rFonts w:ascii="Cambria" w:hAnsi="Cambria"/>
        </w:rPr>
        <w:t xml:space="preserve"> plus </w:t>
      </w:r>
      <w:r w:rsidR="00F92F69">
        <w:rPr>
          <w:rFonts w:ascii="Cambria" w:hAnsi="Cambria"/>
        </w:rPr>
        <w:t xml:space="preserve">payback of </w:t>
      </w:r>
      <w:r w:rsidR="00F92F69" w:rsidRPr="00F3038F">
        <w:rPr>
          <w:rFonts w:ascii="Cambria" w:hAnsi="Cambria"/>
        </w:rPr>
        <w:t>interest on borrowed capital</w:t>
      </w:r>
      <w:r w:rsidR="00F92F69">
        <w:rPr>
          <w:rFonts w:ascii="Cambria" w:hAnsi="Cambria"/>
        </w:rPr>
        <w:t>,</w:t>
      </w:r>
      <w:r w:rsidR="00F92F69" w:rsidRPr="00F3038F">
        <w:rPr>
          <w:rFonts w:ascii="Cambria" w:hAnsi="Cambria"/>
        </w:rPr>
        <w:t xml:space="preserve"> and a return on their investment (Greenhalgh and Squires, 2011). Despite </w:t>
      </w:r>
      <w:r w:rsidR="00F92F69">
        <w:rPr>
          <w:rFonts w:ascii="Cambria" w:hAnsi="Cambria"/>
        </w:rPr>
        <w:t>initial difficulties</w:t>
      </w:r>
      <w:r w:rsidR="00F92F69" w:rsidRPr="00F3038F">
        <w:rPr>
          <w:rFonts w:ascii="Cambria" w:hAnsi="Cambria"/>
        </w:rPr>
        <w:t xml:space="preserve"> </w:t>
      </w:r>
      <w:r w:rsidR="00F92F69">
        <w:rPr>
          <w:rFonts w:ascii="Cambria" w:hAnsi="Cambria"/>
        </w:rPr>
        <w:t xml:space="preserve">of PFI, </w:t>
      </w:r>
      <w:r w:rsidR="00F92F69" w:rsidRPr="00F3038F">
        <w:rPr>
          <w:rFonts w:ascii="Cambria" w:hAnsi="Cambria"/>
        </w:rPr>
        <w:t xml:space="preserve">such as insufficient flexibility during </w:t>
      </w:r>
      <w:r w:rsidR="00F92F69">
        <w:rPr>
          <w:rFonts w:ascii="Cambria" w:hAnsi="Cambria"/>
        </w:rPr>
        <w:t xml:space="preserve">the </w:t>
      </w:r>
      <w:r w:rsidR="00F92F69" w:rsidRPr="00F3038F">
        <w:rPr>
          <w:rFonts w:ascii="Cambria" w:hAnsi="Cambria"/>
        </w:rPr>
        <w:t xml:space="preserve">operational period, </w:t>
      </w:r>
      <w:r w:rsidR="00F92F69">
        <w:rPr>
          <w:rFonts w:ascii="Cambria" w:hAnsi="Cambria"/>
        </w:rPr>
        <w:t>g</w:t>
      </w:r>
      <w:r w:rsidR="00F92F69" w:rsidRPr="00F3038F">
        <w:rPr>
          <w:rFonts w:ascii="Cambria" w:hAnsi="Cambria"/>
        </w:rPr>
        <w:t>overnment</w:t>
      </w:r>
      <w:r w:rsidR="00F92F69">
        <w:rPr>
          <w:rFonts w:ascii="Cambria" w:hAnsi="Cambria"/>
        </w:rPr>
        <w:t>s</w:t>
      </w:r>
      <w:r w:rsidR="00F92F69" w:rsidRPr="00F3038F">
        <w:rPr>
          <w:rFonts w:ascii="Cambria" w:hAnsi="Cambria"/>
        </w:rPr>
        <w:t xml:space="preserve"> ha</w:t>
      </w:r>
      <w:r w:rsidR="00F92F69">
        <w:rPr>
          <w:rFonts w:ascii="Cambria" w:hAnsi="Cambria"/>
        </w:rPr>
        <w:t>ve</w:t>
      </w:r>
      <w:r w:rsidR="00F92F69" w:rsidRPr="00F3038F">
        <w:rPr>
          <w:rFonts w:ascii="Cambria" w:hAnsi="Cambria"/>
        </w:rPr>
        <w:t xml:space="preserve"> introduced changes to PFI to address some weaknesses (HM Treasury, 2012). This new generation of PFI is referred to as </w:t>
      </w:r>
      <w:r w:rsidR="001166DA">
        <w:rPr>
          <w:rFonts w:ascii="Cambria" w:hAnsi="Cambria"/>
        </w:rPr>
        <w:t>Private Finance 2 (</w:t>
      </w:r>
      <w:r w:rsidR="00F92F69" w:rsidRPr="00F3038F">
        <w:rPr>
          <w:rFonts w:ascii="Cambria" w:hAnsi="Cambria"/>
        </w:rPr>
        <w:t>PF2</w:t>
      </w:r>
      <w:r w:rsidR="001166DA">
        <w:rPr>
          <w:rFonts w:ascii="Cambria" w:hAnsi="Cambria"/>
        </w:rPr>
        <w:t>)</w:t>
      </w:r>
      <w:r w:rsidR="00F92F69" w:rsidRPr="00F3038F">
        <w:rPr>
          <w:rFonts w:ascii="Cambria" w:hAnsi="Cambria"/>
        </w:rPr>
        <w:t>.</w:t>
      </w:r>
      <w:r w:rsidR="00F92F69" w:rsidRPr="00F3038F">
        <w:t xml:space="preserve"> I</w:t>
      </w:r>
      <w:r w:rsidR="00F92F69">
        <w:rPr>
          <w:rFonts w:ascii="Cambria" w:hAnsi="Cambria"/>
        </w:rPr>
        <w:t xml:space="preserve">n Scotland, </w:t>
      </w:r>
      <w:r w:rsidR="00F92F69" w:rsidRPr="00F3038F">
        <w:rPr>
          <w:rFonts w:ascii="Cambria" w:hAnsi="Cambria"/>
        </w:rPr>
        <w:t>Non-Profit Distributin</w:t>
      </w:r>
      <w:r w:rsidR="00F92F69">
        <w:rPr>
          <w:rFonts w:ascii="Cambria" w:hAnsi="Cambria"/>
        </w:rPr>
        <w:t>g (NPD) has now superseded PFI</w:t>
      </w:r>
      <w:r w:rsidR="00F92F69" w:rsidRPr="00F3038F">
        <w:rPr>
          <w:rFonts w:ascii="Cambria" w:hAnsi="Cambria"/>
        </w:rPr>
        <w:t>. NPD is reported to have the additional benefits of capped returns; operational surpluses reinve</w:t>
      </w:r>
      <w:r w:rsidR="00F92F69">
        <w:rPr>
          <w:rFonts w:ascii="Cambria" w:hAnsi="Cambria"/>
        </w:rPr>
        <w:t xml:space="preserve">sted in the public sector; and </w:t>
      </w:r>
      <w:r w:rsidR="00F92F69" w:rsidRPr="00F3038F">
        <w:rPr>
          <w:rFonts w:ascii="Cambria" w:hAnsi="Cambria"/>
        </w:rPr>
        <w:t>public interest represented in the go</w:t>
      </w:r>
      <w:r w:rsidR="00F92F69">
        <w:rPr>
          <w:rFonts w:ascii="Cambria" w:hAnsi="Cambria"/>
        </w:rPr>
        <w:t>vernance of the NPD structure</w:t>
      </w:r>
      <w:r w:rsidR="00F92F69" w:rsidRPr="00F3038F">
        <w:rPr>
          <w:rFonts w:ascii="Cambria" w:hAnsi="Cambria"/>
        </w:rPr>
        <w:t xml:space="preserve"> (Scottish </w:t>
      </w:r>
      <w:r w:rsidR="00F92F69">
        <w:rPr>
          <w:rFonts w:ascii="Cambria" w:hAnsi="Cambria"/>
        </w:rPr>
        <w:t>Futures Trust, 2011</w:t>
      </w:r>
      <w:r w:rsidR="00F92F69" w:rsidRPr="00F3038F">
        <w:rPr>
          <w:rFonts w:ascii="Cambria" w:hAnsi="Cambria"/>
        </w:rPr>
        <w:t>).</w:t>
      </w:r>
    </w:p>
    <w:p w:rsidR="00BE6F87" w:rsidRPr="00BE6F87" w:rsidRDefault="00BE6F87" w:rsidP="00BE6F87">
      <w:pPr>
        <w:spacing w:line="360" w:lineRule="auto"/>
        <w:jc w:val="both"/>
      </w:pPr>
    </w:p>
    <w:p w:rsidR="00BE6F87" w:rsidRPr="00696AAB" w:rsidRDefault="00EA0532" w:rsidP="00BE6F87">
      <w:pPr>
        <w:spacing w:line="360" w:lineRule="auto"/>
        <w:jc w:val="both"/>
      </w:pPr>
      <w:r>
        <w:t>Innovative finance in l</w:t>
      </w:r>
      <w:r w:rsidR="00BE6F87" w:rsidRPr="00696AAB">
        <w:t>and</w:t>
      </w:r>
      <w:r w:rsidR="00BE6F87">
        <w:t xml:space="preserve"> </w:t>
      </w:r>
      <w:r w:rsidR="00BE6F87" w:rsidRPr="00696AAB">
        <w:t xml:space="preserve">ownership has been recognised as essential to </w:t>
      </w:r>
      <w:r w:rsidR="00BE6F87">
        <w:t>real estate development</w:t>
      </w:r>
      <w:r>
        <w:t xml:space="preserve">, </w:t>
      </w:r>
      <w:r w:rsidR="00BE6F87" w:rsidRPr="00696AAB">
        <w:t xml:space="preserve">and </w:t>
      </w:r>
      <w:r>
        <w:t>it can be argued</w:t>
      </w:r>
      <w:r w:rsidR="00BE6F87">
        <w:t xml:space="preserve"> that </w:t>
      </w:r>
      <w:r w:rsidR="00BE6F87" w:rsidRPr="00696AAB">
        <w:t xml:space="preserve">fragmented landownership hinders </w:t>
      </w:r>
      <w:r>
        <w:t xml:space="preserve">finance </w:t>
      </w:r>
      <w:r w:rsidR="005C1839">
        <w:t>development mechanisms</w:t>
      </w:r>
      <w:r w:rsidR="00BE6F87" w:rsidRPr="00696AAB">
        <w:t xml:space="preserve"> (Louw, 2008). </w:t>
      </w:r>
      <w:r w:rsidR="00BE6F87">
        <w:t xml:space="preserve"> For example, </w:t>
      </w:r>
      <w:r w:rsidR="00BE6F87" w:rsidRPr="00696AAB">
        <w:t>the</w:t>
      </w:r>
      <w:r w:rsidR="00BE6F87">
        <w:t>re</w:t>
      </w:r>
      <w:r w:rsidR="00BE6F87" w:rsidRPr="00696AAB">
        <w:t xml:space="preserve"> </w:t>
      </w:r>
      <w:r w:rsidR="00BE6F87">
        <w:t xml:space="preserve">can be </w:t>
      </w:r>
      <w:r w:rsidR="00BE6F87" w:rsidRPr="00696AAB">
        <w:t xml:space="preserve">complications </w:t>
      </w:r>
      <w:r w:rsidR="00BE6F87">
        <w:t xml:space="preserve">with </w:t>
      </w:r>
      <w:r w:rsidR="00C27096">
        <w:rPr>
          <w:rFonts w:cstheme="minorHAnsi"/>
        </w:rPr>
        <w:t>innovative development finance</w:t>
      </w:r>
      <w:r w:rsidR="00C27096">
        <w:t xml:space="preserve"> </w:t>
      </w:r>
      <w:r w:rsidR="00BE6F87">
        <w:t xml:space="preserve">due to the contestation over Compulsory Purchase Orders (CPO) (Biddulph, </w:t>
      </w:r>
      <w:r w:rsidR="00BE6F87" w:rsidRPr="00696AAB">
        <w:t>2011).</w:t>
      </w:r>
      <w:r w:rsidR="00BE6F87">
        <w:t xml:space="preserve"> </w:t>
      </w:r>
      <w:r w:rsidR="006D4C23">
        <w:t>Moreover</w:t>
      </w:r>
      <w:r w:rsidR="00BE6F87">
        <w:t>, the sale of s</w:t>
      </w:r>
      <w:r w:rsidR="00BE6F87" w:rsidRPr="00696AAB">
        <w:t xml:space="preserve">urplus sites by the public sector to the private sector can be </w:t>
      </w:r>
      <w:r w:rsidR="00BE6F87">
        <w:t>used to raise funds and</w:t>
      </w:r>
      <w:r w:rsidR="00BE6F87" w:rsidRPr="00696AAB">
        <w:t xml:space="preserve"> fulfil other </w:t>
      </w:r>
      <w:r w:rsidR="00BE6F87">
        <w:t>development</w:t>
      </w:r>
      <w:r w:rsidR="00BE6F87" w:rsidRPr="00696AAB">
        <w:t xml:space="preserve"> </w:t>
      </w:r>
      <w:r w:rsidR="00BE6F87">
        <w:t>objectives</w:t>
      </w:r>
      <w:r w:rsidR="006D4C23">
        <w:t>,</w:t>
      </w:r>
      <w:r w:rsidR="00BE6F87">
        <w:t xml:space="preserve"> but will often be contested </w:t>
      </w:r>
      <w:r w:rsidR="00BE6F87" w:rsidRPr="00696AAB">
        <w:t xml:space="preserve">(Fisher et al., 2007). </w:t>
      </w:r>
      <w:r w:rsidR="00BE6F87">
        <w:t>L</w:t>
      </w:r>
      <w:r w:rsidR="00BE6F87" w:rsidRPr="00696AAB">
        <w:t>and with development potentia</w:t>
      </w:r>
      <w:r w:rsidR="00BE6F87">
        <w:t>l can also be disposed of by issuing a public bon</w:t>
      </w:r>
      <w:r w:rsidR="00BE6F87" w:rsidRPr="00696AAB">
        <w:t>d</w:t>
      </w:r>
      <w:r w:rsidR="00BE6F87">
        <w:t xml:space="preserve"> rather than for a direct payment.</w:t>
      </w:r>
      <w:r w:rsidR="00BE6F87" w:rsidRPr="00696AAB">
        <w:t xml:space="preserve"> </w:t>
      </w:r>
      <w:r w:rsidR="00BE6F87">
        <w:t>W</w:t>
      </w:r>
      <w:r w:rsidR="00BE6F87" w:rsidRPr="00696AAB">
        <w:t xml:space="preserve">here contaminated </w:t>
      </w:r>
      <w:r w:rsidR="00414640">
        <w:t>b</w:t>
      </w:r>
      <w:r w:rsidR="00BE6F87" w:rsidRPr="00696AAB">
        <w:t>rownfield land is present, particularly in prime locations</w:t>
      </w:r>
      <w:r w:rsidR="00BE6F87">
        <w:t xml:space="preserve"> without</w:t>
      </w:r>
      <w:r w:rsidR="00BE6F87" w:rsidRPr="00696AAB">
        <w:t xml:space="preserve"> local government </w:t>
      </w:r>
      <w:r w:rsidR="00BE6F87">
        <w:t>ability to</w:t>
      </w:r>
      <w:r w:rsidR="00BE6F87" w:rsidRPr="00696AAB">
        <w:t xml:space="preserve"> remediate it, the public sector can offer land to the private sector at below market rates or in conjunction with other incentives</w:t>
      </w:r>
      <w:r w:rsidR="00BE6F87">
        <w:t xml:space="preserve">. This has given rise </w:t>
      </w:r>
      <w:r w:rsidR="00BE6F87" w:rsidRPr="00696AAB">
        <w:t xml:space="preserve">to </w:t>
      </w:r>
      <w:r w:rsidR="00BE6F87">
        <w:t>‘b</w:t>
      </w:r>
      <w:r w:rsidR="00BE6F87" w:rsidRPr="00696AAB">
        <w:t>rownfield entrepreneurs</w:t>
      </w:r>
      <w:r w:rsidR="00BE6F87">
        <w:t>’</w:t>
      </w:r>
      <w:r w:rsidR="00BE6F87" w:rsidRPr="00696AAB">
        <w:t xml:space="preserve"> who remediate such sites before they redevelop or market </w:t>
      </w:r>
      <w:r w:rsidR="00BE6F87">
        <w:t xml:space="preserve">them </w:t>
      </w:r>
      <w:r w:rsidR="00BE6F87" w:rsidRPr="00696AAB">
        <w:t>for redevelopment</w:t>
      </w:r>
      <w:r w:rsidR="00BE6F87">
        <w:t xml:space="preserve"> (Meyer and Lyons, 2000).</w:t>
      </w:r>
      <w:r>
        <w:t xml:space="preserve"> Further, </w:t>
      </w:r>
      <w:r w:rsidR="00874E21">
        <w:t>land ownership can be exemplified</w:t>
      </w:r>
      <w:r w:rsidR="00874E21" w:rsidRPr="007E30BE">
        <w:t xml:space="preserve"> in the Netherlands, </w:t>
      </w:r>
      <w:r w:rsidR="00874E21">
        <w:t xml:space="preserve">where </w:t>
      </w:r>
      <w:r w:rsidR="00874E21" w:rsidRPr="007E30BE">
        <w:t xml:space="preserve">alternatives for active public land development policies are confronted by </w:t>
      </w:r>
      <w:r>
        <w:t>barriers</w:t>
      </w:r>
      <w:r w:rsidR="00874E21" w:rsidRPr="007E30BE">
        <w:t xml:space="preserve"> such as a legal system based on common law</w:t>
      </w:r>
      <w:r w:rsidR="00874E21">
        <w:t xml:space="preserve"> and</w:t>
      </w:r>
      <w:r w:rsidR="00874E21" w:rsidRPr="007E30BE">
        <w:t xml:space="preserve"> one that has a limited local tax base (Van der Krabben, 2011).</w:t>
      </w:r>
    </w:p>
    <w:p w:rsidR="00BE6F87" w:rsidRPr="009B3A2B" w:rsidRDefault="00BE6F87" w:rsidP="00BE6F87">
      <w:pPr>
        <w:spacing w:line="360" w:lineRule="auto"/>
        <w:jc w:val="both"/>
        <w:rPr>
          <w:i/>
        </w:rPr>
      </w:pPr>
      <w:r w:rsidRPr="00F3038F">
        <w:rPr>
          <w:i/>
        </w:rPr>
        <w:tab/>
      </w:r>
    </w:p>
    <w:p w:rsidR="00BE6F87" w:rsidRPr="00474CEE" w:rsidRDefault="004C4178" w:rsidP="00BE6F87">
      <w:pPr>
        <w:spacing w:line="360" w:lineRule="auto"/>
        <w:jc w:val="both"/>
      </w:pPr>
      <w:r>
        <w:t xml:space="preserve">Risk is a key component in innovative development finance mechanisms. </w:t>
      </w:r>
      <w:r w:rsidR="00BE6F87" w:rsidRPr="00F3038F">
        <w:t xml:space="preserve">Despite the opportunities offered by </w:t>
      </w:r>
      <w:r w:rsidR="00C27096">
        <w:rPr>
          <w:rFonts w:cstheme="minorHAnsi"/>
        </w:rPr>
        <w:t>innovative development finance</w:t>
      </w:r>
      <w:r w:rsidR="00C27096">
        <w:t xml:space="preserve"> </w:t>
      </w:r>
      <w:r w:rsidR="005870BD">
        <w:t>of large-scale projects</w:t>
      </w:r>
      <w:r w:rsidR="00BE6F87">
        <w:t xml:space="preserve">, </w:t>
      </w:r>
      <w:r w:rsidR="005C1839">
        <w:t>development mechanisms inducing risk</w:t>
      </w:r>
      <w:r w:rsidR="00512DDC">
        <w:t>,</w:t>
      </w:r>
      <w:r w:rsidR="005C1839">
        <w:t xml:space="preserve"> need</w:t>
      </w:r>
      <w:r w:rsidR="00BE6F87">
        <w:t xml:space="preserve"> to be considered alongside the speculative financial returns on offer</w:t>
      </w:r>
      <w:r w:rsidR="00BE6F87" w:rsidRPr="00F3038F">
        <w:t xml:space="preserve">. </w:t>
      </w:r>
      <w:r w:rsidR="00BE6F87">
        <w:t xml:space="preserve">Many financial </w:t>
      </w:r>
      <w:r w:rsidR="005C1839">
        <w:t>mechanisms</w:t>
      </w:r>
      <w:r w:rsidR="00BE6F87">
        <w:t xml:space="preserve"> in real estate development such as value capture bond mechanisms take on i</w:t>
      </w:r>
      <w:r w:rsidR="00BE6F87" w:rsidRPr="00F3038F">
        <w:t>nnovation risk</w:t>
      </w:r>
      <w:r w:rsidR="00BE6F87">
        <w:t>s</w:t>
      </w:r>
      <w:r w:rsidR="00BE6F87" w:rsidRPr="00F3038F">
        <w:t xml:space="preserve"> </w:t>
      </w:r>
      <w:r w:rsidR="00BE6F87">
        <w:t>with some sense of prudence (Squires, 2012</w:t>
      </w:r>
      <w:r w:rsidR="00BE6F87" w:rsidRPr="00F3038F">
        <w:t>)</w:t>
      </w:r>
      <w:r w:rsidR="00BE6F87">
        <w:t xml:space="preserve">. </w:t>
      </w:r>
      <w:r w:rsidR="00BE6F87" w:rsidRPr="00F3038F">
        <w:t xml:space="preserve">Although </w:t>
      </w:r>
      <w:r w:rsidR="00BE6F87">
        <w:t>real estate</w:t>
      </w:r>
      <w:r w:rsidR="00BE6F87" w:rsidRPr="00F3038F">
        <w:t xml:space="preserve"> </w:t>
      </w:r>
      <w:r w:rsidR="00BE6F87">
        <w:t>development</w:t>
      </w:r>
      <w:r w:rsidR="00BE6F87" w:rsidRPr="00F3038F">
        <w:t xml:space="preserve"> </w:t>
      </w:r>
      <w:r w:rsidR="00512DDC">
        <w:t>on a large scale can be risky</w:t>
      </w:r>
      <w:r w:rsidR="00BE6F87">
        <w:t xml:space="preserve">, it can </w:t>
      </w:r>
      <w:r w:rsidR="00512DDC">
        <w:t>be mitigated by</w:t>
      </w:r>
      <w:r w:rsidR="00BE6F87">
        <w:t xml:space="preserve"> an increased diversification</w:t>
      </w:r>
      <w:r w:rsidR="00BE6F87" w:rsidRPr="00F3038F">
        <w:t xml:space="preserve"> </w:t>
      </w:r>
      <w:r w:rsidR="00512DDC">
        <w:t>of investment finance</w:t>
      </w:r>
      <w:r w:rsidR="00BE6F87" w:rsidRPr="00F3038F">
        <w:t xml:space="preserve"> (</w:t>
      </w:r>
      <w:r w:rsidR="00F57A72">
        <w:t>Ha</w:t>
      </w:r>
      <w:r w:rsidR="00BE6F87">
        <w:t>vard</w:t>
      </w:r>
      <w:r w:rsidR="00F62B7E">
        <w:t>,</w:t>
      </w:r>
      <w:r w:rsidR="00BE6F87">
        <w:t xml:space="preserve"> 2014</w:t>
      </w:r>
      <w:r w:rsidR="00BE6F87" w:rsidRPr="00F3038F">
        <w:t xml:space="preserve">). </w:t>
      </w:r>
      <w:r w:rsidR="00BE6F87">
        <w:t>Furthermore, the developer p</w:t>
      </w:r>
      <w:r w:rsidR="00BE6F87" w:rsidRPr="00F3038F">
        <w:t xml:space="preserve">rofit </w:t>
      </w:r>
      <w:r w:rsidR="00BE6F87">
        <w:t>motive will continue</w:t>
      </w:r>
      <w:r w:rsidR="00BE6F87" w:rsidRPr="00F3038F">
        <w:t xml:space="preserve"> </w:t>
      </w:r>
      <w:r w:rsidR="00BE6F87">
        <w:t>to drive development</w:t>
      </w:r>
      <w:r w:rsidR="006130CB">
        <w:t>,</w:t>
      </w:r>
      <w:r w:rsidR="00BE6F87">
        <w:t xml:space="preserve"> </w:t>
      </w:r>
      <w:r w:rsidR="00F77CDF">
        <w:t xml:space="preserve">whichever way </w:t>
      </w:r>
      <w:r w:rsidR="00BE6F87">
        <w:t xml:space="preserve">the risk is managed </w:t>
      </w:r>
      <w:r w:rsidR="00BE6F87" w:rsidRPr="00F3038F">
        <w:t>(Weber, 2002)</w:t>
      </w:r>
      <w:r w:rsidR="00BE6F87">
        <w:t xml:space="preserve">. </w:t>
      </w:r>
      <w:r w:rsidR="00512DDC">
        <w:t>As a result,</w:t>
      </w:r>
      <w:r w:rsidR="00BE6F87">
        <w:t xml:space="preserve"> long-term stable </w:t>
      </w:r>
      <w:r w:rsidR="00C27096">
        <w:rPr>
          <w:rFonts w:cstheme="minorHAnsi"/>
        </w:rPr>
        <w:t>innovative development finance</w:t>
      </w:r>
      <w:r w:rsidR="00C27096">
        <w:t xml:space="preserve"> </w:t>
      </w:r>
      <w:r w:rsidR="00BE6F87">
        <w:t xml:space="preserve">in </w:t>
      </w:r>
      <w:r w:rsidR="005870BD">
        <w:t>large-scale projects</w:t>
      </w:r>
      <w:r w:rsidR="00512DDC">
        <w:t xml:space="preserve"> need to be</w:t>
      </w:r>
      <w:r w:rsidR="00F92F69">
        <w:t xml:space="preserve"> </w:t>
      </w:r>
      <w:r w:rsidR="00C27096">
        <w:t>shaped</w:t>
      </w:r>
      <w:r w:rsidR="00F92F69">
        <w:t xml:space="preserve"> in an effective way</w:t>
      </w:r>
      <w:r w:rsidR="00512DDC">
        <w:t xml:space="preserve"> </w:t>
      </w:r>
      <w:r w:rsidR="00F77CDF">
        <w:t xml:space="preserve">— </w:t>
      </w:r>
      <w:r w:rsidR="00512DDC">
        <w:t>to channel the various drivers such as risk, reward, and profit</w:t>
      </w:r>
      <w:r w:rsidR="00BE6F87">
        <w:t>.</w:t>
      </w:r>
      <w:r w:rsidR="00BE6F87" w:rsidRPr="00F3038F">
        <w:rPr>
          <w:i/>
        </w:rPr>
        <w:tab/>
      </w:r>
      <w:r w:rsidR="00BE6F87" w:rsidRPr="00F3038F">
        <w:rPr>
          <w:i/>
        </w:rPr>
        <w:tab/>
      </w:r>
      <w:r w:rsidR="00BE6F87" w:rsidRPr="00F3038F">
        <w:rPr>
          <w:i/>
        </w:rPr>
        <w:tab/>
      </w:r>
    </w:p>
    <w:p w:rsidR="00DE0EAB" w:rsidRPr="0005300E" w:rsidRDefault="00BE6F87" w:rsidP="00DE0EAB">
      <w:pPr>
        <w:spacing w:line="360" w:lineRule="auto"/>
        <w:jc w:val="both"/>
        <w:rPr>
          <w:i/>
        </w:rPr>
      </w:pPr>
      <w:r w:rsidRPr="00F3038F">
        <w:rPr>
          <w:i/>
        </w:rPr>
        <w:tab/>
      </w:r>
    </w:p>
    <w:p w:rsidR="005771FD" w:rsidRPr="005771FD" w:rsidRDefault="00392C82" w:rsidP="005771FD">
      <w:pPr>
        <w:pStyle w:val="ListParagraph"/>
        <w:numPr>
          <w:ilvl w:val="0"/>
          <w:numId w:val="12"/>
        </w:numPr>
        <w:spacing w:line="360" w:lineRule="auto"/>
        <w:jc w:val="both"/>
        <w:rPr>
          <w:b/>
        </w:rPr>
      </w:pPr>
      <w:r w:rsidRPr="005771FD">
        <w:rPr>
          <w:b/>
        </w:rPr>
        <w:t>Methodology</w:t>
      </w:r>
    </w:p>
    <w:p w:rsidR="00392C82" w:rsidRPr="005771FD" w:rsidRDefault="00392C82" w:rsidP="005771FD">
      <w:pPr>
        <w:pStyle w:val="ListParagraph"/>
        <w:spacing w:line="360" w:lineRule="auto"/>
        <w:ind w:left="360"/>
        <w:jc w:val="both"/>
        <w:rPr>
          <w:b/>
        </w:rPr>
      </w:pPr>
    </w:p>
    <w:p w:rsidR="00AD367A" w:rsidRDefault="00AB3511" w:rsidP="00872042">
      <w:pPr>
        <w:spacing w:line="360" w:lineRule="auto"/>
        <w:jc w:val="both"/>
      </w:pPr>
      <w:r w:rsidRPr="0015161E">
        <w:rPr>
          <w:rFonts w:cstheme="minorHAnsi"/>
        </w:rPr>
        <w:t xml:space="preserve">The </w:t>
      </w:r>
      <w:r w:rsidR="00174BD2">
        <w:rPr>
          <w:rFonts w:cstheme="minorHAnsi"/>
        </w:rPr>
        <w:t xml:space="preserve">research involved </w:t>
      </w:r>
      <w:r w:rsidR="00B22C8C">
        <w:rPr>
          <w:rFonts w:cstheme="minorHAnsi"/>
        </w:rPr>
        <w:t xml:space="preserve">desk-based study </w:t>
      </w:r>
      <w:r w:rsidR="00B22C8C" w:rsidRPr="00467BAE">
        <w:rPr>
          <w:rFonts w:cstheme="minorHAnsi"/>
        </w:rPr>
        <w:t>and semi-structured interviews</w:t>
      </w:r>
      <w:r w:rsidR="00B22C8C">
        <w:rPr>
          <w:rFonts w:cstheme="minorHAnsi"/>
        </w:rPr>
        <w:t>.</w:t>
      </w:r>
      <w:r w:rsidR="00B22C8C" w:rsidDel="00B22C8C">
        <w:rPr>
          <w:rFonts w:cstheme="minorHAnsi"/>
        </w:rPr>
        <w:t xml:space="preserve"> </w:t>
      </w:r>
      <w:r w:rsidR="00174BD2">
        <w:t xml:space="preserve">All </w:t>
      </w:r>
      <w:r w:rsidR="00BA6DD8">
        <w:t xml:space="preserve">17 </w:t>
      </w:r>
      <w:r w:rsidR="00174BD2">
        <w:t>interviews were carried out with leading relevant organisations in the real estate and property industry (See Appendix 1)</w:t>
      </w:r>
      <w:r w:rsidR="00B22C8C">
        <w:t>. T</w:t>
      </w:r>
      <w:r w:rsidR="00BA6DD8">
        <w:t>hey include</w:t>
      </w:r>
      <w:r w:rsidR="00B22C8C">
        <w:t>d</w:t>
      </w:r>
      <w:r w:rsidR="00BA6DD8">
        <w:t xml:space="preserve"> professional groups of financiers, policy makers, developers, investors, fund managers and academics</w:t>
      </w:r>
      <w:r w:rsidR="00174BD2">
        <w:t xml:space="preserve">. </w:t>
      </w:r>
      <w:r w:rsidR="00097846">
        <w:t>The s</w:t>
      </w:r>
      <w:r w:rsidR="00872042">
        <w:t>emi-structured interviews</w:t>
      </w:r>
      <w:r w:rsidR="00097846">
        <w:t>,</w:t>
      </w:r>
      <w:r w:rsidR="00872042">
        <w:t xml:space="preserve"> </w:t>
      </w:r>
      <w:r w:rsidR="00B22C8C">
        <w:t xml:space="preserve">undertaken </w:t>
      </w:r>
      <w:r w:rsidR="00872042">
        <w:t>either by telephone or Skype</w:t>
      </w:r>
      <w:r w:rsidR="00097846">
        <w:t>,</w:t>
      </w:r>
      <w:r w:rsidR="00872042">
        <w:t xml:space="preserve"> were carried out during 2014. </w:t>
      </w:r>
      <w:r w:rsidR="00174BD2">
        <w:t xml:space="preserve">Separate questions were formulated for </w:t>
      </w:r>
      <w:r w:rsidR="00AD367A">
        <w:t>innovative</w:t>
      </w:r>
      <w:r w:rsidR="00174BD2">
        <w:t xml:space="preserve"> </w:t>
      </w:r>
      <w:r w:rsidR="00AD367A">
        <w:t>development</w:t>
      </w:r>
      <w:r w:rsidR="00174BD2">
        <w:t xml:space="preserve"> finance more generally (Appendix 2) and those </w:t>
      </w:r>
      <w:r w:rsidR="00AD367A">
        <w:t>more specifically aimed at the</w:t>
      </w:r>
      <w:r w:rsidR="00174BD2">
        <w:t xml:space="preserve"> case stud</w:t>
      </w:r>
      <w:r w:rsidR="00AD367A">
        <w:t>y sites</w:t>
      </w:r>
      <w:r w:rsidR="00174BD2">
        <w:t xml:space="preserve"> (Appendix 3). </w:t>
      </w:r>
      <w:r w:rsidR="00872042">
        <w:t xml:space="preserve">The selection of interviewees took the form of a snowball </w:t>
      </w:r>
      <w:r w:rsidR="00B22C8C">
        <w:t xml:space="preserve">sampling </w:t>
      </w:r>
      <w:r w:rsidR="00872042">
        <w:t xml:space="preserve">to enhance the number of </w:t>
      </w:r>
      <w:r w:rsidR="00B22C8C">
        <w:t>appropriate</w:t>
      </w:r>
      <w:r w:rsidR="00872042">
        <w:t xml:space="preserve"> interviewees (Denzin and Lincoln, 2007), with </w:t>
      </w:r>
      <w:r w:rsidR="00B22C8C">
        <w:t xml:space="preserve">interviewees being </w:t>
      </w:r>
      <w:r w:rsidR="00872042">
        <w:t>asked to recommend further contacts useful to the research</w:t>
      </w:r>
      <w:r w:rsidR="00BA6DD8">
        <w:t xml:space="preserve"> as a ‘retroductive’ process (Naoum, 2013; Mason, 2002).</w:t>
      </w:r>
      <w:r w:rsidR="00872042">
        <w:t xml:space="preserve">  </w:t>
      </w:r>
    </w:p>
    <w:p w:rsidR="00EF27D8" w:rsidRDefault="00EF27D8" w:rsidP="00872042">
      <w:pPr>
        <w:spacing w:line="360" w:lineRule="auto"/>
        <w:jc w:val="both"/>
      </w:pPr>
    </w:p>
    <w:p w:rsidR="00681A66" w:rsidRDefault="00872042" w:rsidP="00872042">
      <w:pPr>
        <w:spacing w:line="360" w:lineRule="auto"/>
        <w:jc w:val="both"/>
      </w:pPr>
      <w:r>
        <w:t xml:space="preserve">All interviewees were at a senior </w:t>
      </w:r>
      <w:r w:rsidR="00B22C8C">
        <w:t xml:space="preserve">company </w:t>
      </w:r>
      <w:r>
        <w:t xml:space="preserve">level with the majority of input from professional roles as </w:t>
      </w:r>
      <w:r w:rsidR="004E319E">
        <w:t>d</w:t>
      </w:r>
      <w:r>
        <w:t>irectors from their respect</w:t>
      </w:r>
      <w:r w:rsidR="00A1792B">
        <w:t xml:space="preserve">ive organisations. Bias from a </w:t>
      </w:r>
      <w:r>
        <w:t xml:space="preserve">director oriented ‘elite’ expertise and opinion was </w:t>
      </w:r>
      <w:r w:rsidR="00B668EF">
        <w:t>acknowledged</w:t>
      </w:r>
      <w:r>
        <w:t xml:space="preserve">, as was any </w:t>
      </w:r>
      <w:r w:rsidR="00453AEC">
        <w:t xml:space="preserve">bias from the </w:t>
      </w:r>
      <w:r>
        <w:t xml:space="preserve">snowball research </w:t>
      </w:r>
      <w:r w:rsidR="00B22C8C">
        <w:t xml:space="preserve">method </w:t>
      </w:r>
      <w:r>
        <w:t xml:space="preserve">(Bryman, 2012). Despite these biases, it was </w:t>
      </w:r>
      <w:r w:rsidR="00B22C8C">
        <w:t xml:space="preserve">felt </w:t>
      </w:r>
      <w:r>
        <w:t>that the greater informed professional expertise provided a rich qualitative understanding of the cases and subject matter when extracting information (Denzin and Lincoln, 2007).</w:t>
      </w:r>
    </w:p>
    <w:p w:rsidR="00681A66" w:rsidRDefault="00681A66" w:rsidP="00872042">
      <w:pPr>
        <w:spacing w:line="360" w:lineRule="auto"/>
        <w:jc w:val="both"/>
      </w:pPr>
    </w:p>
    <w:p w:rsidR="00681A66" w:rsidRPr="00572DE2" w:rsidRDefault="00681A66" w:rsidP="00681A66">
      <w:pPr>
        <w:spacing w:line="360" w:lineRule="auto"/>
        <w:jc w:val="both"/>
        <w:rPr>
          <w:rFonts w:ascii="Cambria" w:hAnsi="Cambria"/>
        </w:rPr>
      </w:pPr>
      <w:r>
        <w:t xml:space="preserve">A case study approach </w:t>
      </w:r>
      <w:r w:rsidR="00B22C8C">
        <w:t xml:space="preserve">(Yin, 2002) </w:t>
      </w:r>
      <w:r>
        <w:t>was</w:t>
      </w:r>
      <w:r w:rsidRPr="00982409">
        <w:t xml:space="preserve"> used to illuminate </w:t>
      </w:r>
      <w:r>
        <w:t xml:space="preserve">current practice in innovative development finance. Case </w:t>
      </w:r>
      <w:r w:rsidR="00B22C8C">
        <w:t>studies</w:t>
      </w:r>
      <w:r>
        <w:rPr>
          <w:rFonts w:ascii="Cambria" w:hAnsi="Cambria"/>
        </w:rPr>
        <w:t xml:space="preserve"> were chosen following consultation with interviewees </w:t>
      </w:r>
      <w:r w:rsidR="000547EF">
        <w:rPr>
          <w:rFonts w:ascii="Cambria" w:hAnsi="Cambria"/>
        </w:rPr>
        <w:t>who endorsed the cases</w:t>
      </w:r>
      <w:r>
        <w:rPr>
          <w:rFonts w:ascii="Cambria" w:hAnsi="Cambria"/>
        </w:rPr>
        <w:t xml:space="preserve"> as particularly interesting </w:t>
      </w:r>
      <w:r w:rsidR="00B22C8C">
        <w:rPr>
          <w:rFonts w:ascii="Cambria" w:hAnsi="Cambria"/>
        </w:rPr>
        <w:t>and relevant</w:t>
      </w:r>
      <w:r>
        <w:rPr>
          <w:rFonts w:ascii="Cambria" w:hAnsi="Cambria"/>
        </w:rPr>
        <w:t xml:space="preserve"> to </w:t>
      </w:r>
      <w:r w:rsidR="000547EF">
        <w:rPr>
          <w:rFonts w:ascii="Cambria" w:hAnsi="Cambria"/>
        </w:rPr>
        <w:t>innovative development finance</w:t>
      </w:r>
      <w:r>
        <w:t>. The specific case projects were</w:t>
      </w:r>
      <w:r w:rsidR="00B22C8C">
        <w:t>:</w:t>
      </w:r>
      <w:r>
        <w:t xml:space="preserve"> Battersea Power Station Development in London; Leipziger Platz site in Berlin; and the Lammenschans site in the city of Leiden, Netherlands. </w:t>
      </w:r>
      <w:r w:rsidR="00B64346">
        <w:t xml:space="preserve">Analysis was carried out by </w:t>
      </w:r>
      <w:r w:rsidR="00FF2217">
        <w:t xml:space="preserve">noting down by in tables the </w:t>
      </w:r>
      <w:r w:rsidR="00B64346">
        <w:t xml:space="preserve">intuitive </w:t>
      </w:r>
      <w:r w:rsidR="00FF2217">
        <w:t xml:space="preserve">groups of </w:t>
      </w:r>
      <w:r w:rsidR="00B64346">
        <w:t xml:space="preserve">key themes that were emerging as a consensus from the primary interviews and secondary literature. Furthermore, </w:t>
      </w:r>
      <w:r w:rsidR="00100309">
        <w:t xml:space="preserve">as commensurate with most small-scale research using qualitative analysis, </w:t>
      </w:r>
      <w:r w:rsidR="00B64346">
        <w:t>key interesting and (most) important points to best ‘answer’ the initial questions were selected</w:t>
      </w:r>
      <w:r w:rsidR="00A95476">
        <w:t xml:space="preserve"> </w:t>
      </w:r>
      <w:r w:rsidR="00FF2217">
        <w:t>—</w:t>
      </w:r>
      <w:r w:rsidR="00A95476">
        <w:t xml:space="preserve"> particularly looking for</w:t>
      </w:r>
      <w:r w:rsidR="00B64346">
        <w:t xml:space="preserve"> quot</w:t>
      </w:r>
      <w:r w:rsidR="00A95476">
        <w:t>es</w:t>
      </w:r>
      <w:r w:rsidR="00B64346">
        <w:t xml:space="preserve"> and paraphrasing</w:t>
      </w:r>
      <w:r w:rsidR="00A95476">
        <w:t xml:space="preserve"> that could link the literature </w:t>
      </w:r>
      <w:r w:rsidR="00B64346">
        <w:t>conceptual the</w:t>
      </w:r>
      <w:r w:rsidR="00A95476">
        <w:t>ory</w:t>
      </w:r>
      <w:r w:rsidR="00B64346">
        <w:t xml:space="preserve"> </w:t>
      </w:r>
      <w:r w:rsidR="00A95476">
        <w:t xml:space="preserve">on mechanisms </w:t>
      </w:r>
      <w:r w:rsidR="00B64346">
        <w:t>with the research findings</w:t>
      </w:r>
      <w:r w:rsidR="00100309">
        <w:t xml:space="preserve"> (Denscombe, 2014)</w:t>
      </w:r>
      <w:r w:rsidR="00B64346">
        <w:t>.</w:t>
      </w:r>
      <w:r w:rsidR="00572DE2">
        <w:t xml:space="preserve"> </w:t>
      </w:r>
      <w:r w:rsidR="00572DE2">
        <w:rPr>
          <w:rFonts w:ascii="Cambria" w:hAnsi="Cambria"/>
        </w:rPr>
        <w:t>Limitations of the study are recognised in that there is a reliance on high profile large mixed-use sites. Although the wide range of informed organisational interviews echoed the observations emerging from the cases.</w:t>
      </w:r>
    </w:p>
    <w:p w:rsidR="00AD78FB" w:rsidRDefault="00AD78FB" w:rsidP="00872042">
      <w:pPr>
        <w:spacing w:line="360" w:lineRule="auto"/>
        <w:jc w:val="both"/>
      </w:pPr>
    </w:p>
    <w:p w:rsidR="00872042" w:rsidRPr="00AD78FB" w:rsidRDefault="00AD78FB" w:rsidP="00872042">
      <w:pPr>
        <w:spacing w:line="360" w:lineRule="auto"/>
        <w:jc w:val="both"/>
        <w:rPr>
          <w:b/>
        </w:rPr>
      </w:pPr>
      <w:r w:rsidRPr="00AD78FB">
        <w:rPr>
          <w:b/>
        </w:rPr>
        <w:t>4. Findings: Evidence from the Case Studies</w:t>
      </w:r>
    </w:p>
    <w:p w:rsidR="001B5BD0" w:rsidRDefault="001B5BD0" w:rsidP="00392C82">
      <w:pPr>
        <w:spacing w:line="360" w:lineRule="auto"/>
        <w:jc w:val="both"/>
      </w:pPr>
    </w:p>
    <w:p w:rsidR="00245C7E" w:rsidRPr="001B5BD0" w:rsidRDefault="001B5BD0" w:rsidP="00392C82">
      <w:pPr>
        <w:spacing w:line="360" w:lineRule="auto"/>
        <w:jc w:val="both"/>
        <w:rPr>
          <w:i/>
        </w:rPr>
      </w:pPr>
      <w:r w:rsidRPr="001B5BD0">
        <w:rPr>
          <w:i/>
        </w:rPr>
        <w:t xml:space="preserve">4.1. </w:t>
      </w:r>
      <w:r>
        <w:rPr>
          <w:i/>
        </w:rPr>
        <w:t>Battersea Power Station Development, London</w:t>
      </w:r>
    </w:p>
    <w:p w:rsidR="001B5BD0" w:rsidRDefault="001B5BD0" w:rsidP="00392C82">
      <w:pPr>
        <w:spacing w:line="360" w:lineRule="auto"/>
        <w:jc w:val="both"/>
      </w:pPr>
    </w:p>
    <w:p w:rsidR="0034024D" w:rsidRPr="0034024D" w:rsidRDefault="001B5BD0" w:rsidP="00B26D65">
      <w:pPr>
        <w:spacing w:line="360" w:lineRule="auto"/>
        <w:jc w:val="both"/>
        <w:rPr>
          <w:rFonts w:cstheme="minorHAnsi"/>
        </w:rPr>
      </w:pPr>
      <w:r w:rsidRPr="00BE6F87">
        <w:rPr>
          <w:rFonts w:cstheme="minorHAnsi"/>
        </w:rPr>
        <w:t xml:space="preserve">The Battersea project, a mixed-use residential and commercial scheme, </w:t>
      </w:r>
      <w:r>
        <w:rPr>
          <w:rFonts w:cstheme="minorHAnsi"/>
        </w:rPr>
        <w:t>was selected to demonstrate</w:t>
      </w:r>
      <w:r w:rsidRPr="00BE6F87">
        <w:rPr>
          <w:rFonts w:cstheme="minorHAnsi"/>
        </w:rPr>
        <w:t xml:space="preserve"> debt-equity financing sourced from </w:t>
      </w:r>
      <w:r>
        <w:rPr>
          <w:rFonts w:cstheme="minorHAnsi"/>
        </w:rPr>
        <w:t>non-domestic</w:t>
      </w:r>
      <w:r w:rsidRPr="00BE6F87">
        <w:rPr>
          <w:rFonts w:cstheme="minorHAnsi"/>
        </w:rPr>
        <w:t xml:space="preserve"> investors and pension funds, along with inter</w:t>
      </w:r>
      <w:r>
        <w:rPr>
          <w:rFonts w:cstheme="minorHAnsi"/>
        </w:rPr>
        <w:t xml:space="preserve">national banks. Integral to </w:t>
      </w:r>
      <w:r w:rsidRPr="00BE6F87">
        <w:rPr>
          <w:rFonts w:cstheme="minorHAnsi"/>
        </w:rPr>
        <w:t xml:space="preserve">the project </w:t>
      </w:r>
      <w:r w:rsidR="00C67D92">
        <w:rPr>
          <w:rFonts w:cstheme="minorHAnsi"/>
        </w:rPr>
        <w:t xml:space="preserve">finance </w:t>
      </w:r>
      <w:r w:rsidR="0034024D">
        <w:rPr>
          <w:rFonts w:cstheme="minorHAnsi"/>
        </w:rPr>
        <w:t>was</w:t>
      </w:r>
      <w:r w:rsidRPr="00BE6F87">
        <w:rPr>
          <w:rFonts w:cstheme="minorHAnsi"/>
        </w:rPr>
        <w:t xml:space="preserve"> </w:t>
      </w:r>
      <w:r w:rsidR="00C67D92">
        <w:rPr>
          <w:rFonts w:cstheme="minorHAnsi"/>
        </w:rPr>
        <w:t xml:space="preserve">also </w:t>
      </w:r>
      <w:r w:rsidRPr="00BE6F87">
        <w:rPr>
          <w:rFonts w:cstheme="minorHAnsi"/>
        </w:rPr>
        <w:t xml:space="preserve">transport infrastructure and </w:t>
      </w:r>
      <w:r>
        <w:rPr>
          <w:rFonts w:cstheme="minorHAnsi"/>
        </w:rPr>
        <w:t>a</w:t>
      </w:r>
      <w:r w:rsidRPr="00BE6F87">
        <w:rPr>
          <w:rFonts w:cstheme="minorHAnsi"/>
        </w:rPr>
        <w:t xml:space="preserve"> partnership with the public sector. </w:t>
      </w:r>
      <w:r>
        <w:rPr>
          <w:rFonts w:ascii="Cambria" w:hAnsi="Cambria"/>
        </w:rPr>
        <w:t>The Battersea case study illustrate</w:t>
      </w:r>
      <w:r w:rsidR="0034024D">
        <w:rPr>
          <w:rFonts w:ascii="Cambria" w:hAnsi="Cambria"/>
        </w:rPr>
        <w:t>d</w:t>
      </w:r>
      <w:r>
        <w:rPr>
          <w:rFonts w:ascii="Cambria" w:hAnsi="Cambria"/>
        </w:rPr>
        <w:t xml:space="preserve"> </w:t>
      </w:r>
      <w:r w:rsidR="0034024D">
        <w:rPr>
          <w:rFonts w:ascii="Cambria" w:hAnsi="Cambria"/>
        </w:rPr>
        <w:t>a complex financial history</w:t>
      </w:r>
      <w:r>
        <w:rPr>
          <w:rFonts w:ascii="Cambria" w:hAnsi="Cambria"/>
        </w:rPr>
        <w:t xml:space="preserve"> of a former </w:t>
      </w:r>
      <w:r w:rsidR="00656A38">
        <w:rPr>
          <w:rFonts w:ascii="Cambria" w:hAnsi="Cambria"/>
        </w:rPr>
        <w:t xml:space="preserve">grade II listed </w:t>
      </w:r>
      <w:r w:rsidRPr="00345E00">
        <w:rPr>
          <w:rFonts w:ascii="Cambria" w:hAnsi="Cambria"/>
        </w:rPr>
        <w:t>Power Station</w:t>
      </w:r>
      <w:r>
        <w:rPr>
          <w:rFonts w:ascii="Cambria" w:hAnsi="Cambria"/>
        </w:rPr>
        <w:t xml:space="preserve"> c</w:t>
      </w:r>
      <w:r w:rsidRPr="00345E00">
        <w:rPr>
          <w:rFonts w:ascii="Cambria" w:hAnsi="Cambria"/>
        </w:rPr>
        <w:t>los</w:t>
      </w:r>
      <w:r>
        <w:rPr>
          <w:rFonts w:ascii="Cambria" w:hAnsi="Cambria"/>
        </w:rPr>
        <w:t>ed</w:t>
      </w:r>
      <w:r w:rsidRPr="00345E00">
        <w:rPr>
          <w:rFonts w:ascii="Cambria" w:hAnsi="Cambria"/>
        </w:rPr>
        <w:t xml:space="preserve"> in 1983. It has seen a succession of ownerships, insolvencies and receiverships</w:t>
      </w:r>
      <w:r w:rsidR="0034024D">
        <w:rPr>
          <w:rFonts w:ascii="Cambria" w:hAnsi="Cambria"/>
        </w:rPr>
        <w:t xml:space="preserve"> until </w:t>
      </w:r>
      <w:r w:rsidRPr="00345E00">
        <w:rPr>
          <w:rFonts w:ascii="Cambria" w:hAnsi="Cambria"/>
        </w:rPr>
        <w:t xml:space="preserve">2006 </w:t>
      </w:r>
      <w:r w:rsidR="0034024D">
        <w:rPr>
          <w:rFonts w:ascii="Cambria" w:hAnsi="Cambria"/>
        </w:rPr>
        <w:t xml:space="preserve">when </w:t>
      </w:r>
      <w:r w:rsidRPr="00345E00">
        <w:rPr>
          <w:rFonts w:ascii="Cambria" w:hAnsi="Cambria"/>
        </w:rPr>
        <w:t xml:space="preserve">the </w:t>
      </w:r>
      <w:r w:rsidR="00986977">
        <w:rPr>
          <w:rFonts w:ascii="Cambria" w:hAnsi="Cambria"/>
        </w:rPr>
        <w:t xml:space="preserve">750,000 square metre </w:t>
      </w:r>
      <w:r w:rsidRPr="00345E00">
        <w:rPr>
          <w:rFonts w:ascii="Cambria" w:hAnsi="Cambria"/>
        </w:rPr>
        <w:t>site</w:t>
      </w:r>
      <w:r w:rsidR="0034024D">
        <w:rPr>
          <w:rFonts w:ascii="Cambria" w:hAnsi="Cambria"/>
        </w:rPr>
        <w:t>,</w:t>
      </w:r>
      <w:r w:rsidRPr="00345E00">
        <w:rPr>
          <w:rFonts w:ascii="Cambria" w:hAnsi="Cambria"/>
        </w:rPr>
        <w:t xml:space="preserve"> </w:t>
      </w:r>
      <w:r w:rsidR="0034024D">
        <w:rPr>
          <w:rFonts w:ascii="Cambria" w:hAnsi="Cambria"/>
        </w:rPr>
        <w:t xml:space="preserve">providing </w:t>
      </w:r>
      <w:r w:rsidR="0034024D" w:rsidRPr="00345E00">
        <w:rPr>
          <w:rFonts w:ascii="Cambria" w:hAnsi="Cambria"/>
        </w:rPr>
        <w:t>600 affordable hous</w:t>
      </w:r>
      <w:r w:rsidR="0034024D">
        <w:rPr>
          <w:rFonts w:ascii="Cambria" w:hAnsi="Cambria"/>
        </w:rPr>
        <w:t>es and commercial space,</w:t>
      </w:r>
      <w:r w:rsidR="0034024D" w:rsidRPr="00345E00">
        <w:rPr>
          <w:rFonts w:ascii="Cambria" w:hAnsi="Cambria"/>
        </w:rPr>
        <w:t xml:space="preserve"> </w:t>
      </w:r>
      <w:r w:rsidRPr="00345E00">
        <w:rPr>
          <w:rFonts w:ascii="Cambria" w:hAnsi="Cambria"/>
        </w:rPr>
        <w:t>was sold for £400 million to the Irish development company, Treasur</w:t>
      </w:r>
      <w:r>
        <w:rPr>
          <w:rFonts w:ascii="Cambria" w:hAnsi="Cambria"/>
        </w:rPr>
        <w:t>y</w:t>
      </w:r>
      <w:r w:rsidRPr="00345E00">
        <w:rPr>
          <w:rFonts w:ascii="Cambria" w:hAnsi="Cambria"/>
        </w:rPr>
        <w:t xml:space="preserve"> Holdings.</w:t>
      </w:r>
      <w:r>
        <w:rPr>
          <w:rFonts w:cstheme="minorHAnsi"/>
        </w:rPr>
        <w:t xml:space="preserve"> </w:t>
      </w:r>
      <w:r w:rsidR="0034024D">
        <w:rPr>
          <w:rFonts w:ascii="Cambria" w:hAnsi="Cambria"/>
        </w:rPr>
        <w:t>T</w:t>
      </w:r>
      <w:r>
        <w:rPr>
          <w:rFonts w:ascii="Cambria" w:hAnsi="Cambria"/>
        </w:rPr>
        <w:t xml:space="preserve">he </w:t>
      </w:r>
      <w:r w:rsidRPr="00345E00">
        <w:rPr>
          <w:rFonts w:ascii="Cambria" w:hAnsi="Cambria"/>
        </w:rPr>
        <w:t xml:space="preserve">project was </w:t>
      </w:r>
      <w:r w:rsidR="0034024D">
        <w:rPr>
          <w:rFonts w:ascii="Cambria" w:hAnsi="Cambria"/>
        </w:rPr>
        <w:t xml:space="preserve">again </w:t>
      </w:r>
      <w:r w:rsidRPr="00345E00">
        <w:rPr>
          <w:rFonts w:ascii="Cambria" w:hAnsi="Cambria"/>
        </w:rPr>
        <w:t xml:space="preserve">terminated </w:t>
      </w:r>
      <w:r>
        <w:rPr>
          <w:rFonts w:ascii="Cambria" w:hAnsi="Cambria"/>
        </w:rPr>
        <w:t xml:space="preserve">in 2011 </w:t>
      </w:r>
      <w:r w:rsidRPr="00345E00">
        <w:rPr>
          <w:rFonts w:ascii="Cambria" w:hAnsi="Cambria"/>
        </w:rPr>
        <w:t>when Treasury Holdings went into administration</w:t>
      </w:r>
      <w:r w:rsidR="00C4589B">
        <w:rPr>
          <w:rFonts w:ascii="Cambria" w:hAnsi="Cambria"/>
        </w:rPr>
        <w:t xml:space="preserve"> leaving NAMA [</w:t>
      </w:r>
      <w:r>
        <w:rPr>
          <w:rFonts w:ascii="Cambria" w:hAnsi="Cambria"/>
        </w:rPr>
        <w:t>the National As</w:t>
      </w:r>
      <w:r w:rsidR="00C4589B">
        <w:rPr>
          <w:rFonts w:ascii="Cambria" w:hAnsi="Cambria"/>
        </w:rPr>
        <w:t>set Management Agency (Ireland)]</w:t>
      </w:r>
      <w:r>
        <w:rPr>
          <w:rFonts w:ascii="Cambria" w:hAnsi="Cambria"/>
        </w:rPr>
        <w:t xml:space="preserve"> as the effective owner of the site. Subsequent disposal by NAMA (September 2012) to a </w:t>
      </w:r>
      <w:r w:rsidRPr="00345E00">
        <w:rPr>
          <w:rFonts w:ascii="Cambria" w:hAnsi="Cambria"/>
        </w:rPr>
        <w:t>Malaysian consortium</w:t>
      </w:r>
      <w:r>
        <w:rPr>
          <w:rFonts w:ascii="Cambria" w:hAnsi="Cambria"/>
        </w:rPr>
        <w:t xml:space="preserve">, </w:t>
      </w:r>
      <w:r w:rsidRPr="00345E00">
        <w:rPr>
          <w:rFonts w:ascii="Cambria" w:hAnsi="Cambria"/>
        </w:rPr>
        <w:t xml:space="preserve">led by </w:t>
      </w:r>
      <w:r w:rsidR="00010D15">
        <w:rPr>
          <w:rFonts w:ascii="Cambria" w:hAnsi="Cambria"/>
        </w:rPr>
        <w:t>SP Setia</w:t>
      </w:r>
      <w:r>
        <w:rPr>
          <w:rFonts w:ascii="Cambria" w:hAnsi="Cambria"/>
        </w:rPr>
        <w:t>, provided new momentum</w:t>
      </w:r>
      <w:r w:rsidR="00FF2217">
        <w:rPr>
          <w:rFonts w:ascii="Cambria" w:hAnsi="Cambria"/>
        </w:rPr>
        <w:t xml:space="preserve"> for innovative financing mechanisms to emerge.</w:t>
      </w:r>
    </w:p>
    <w:p w:rsidR="0034024D" w:rsidRDefault="0034024D" w:rsidP="00B26D65">
      <w:pPr>
        <w:spacing w:line="360" w:lineRule="auto"/>
        <w:jc w:val="both"/>
        <w:rPr>
          <w:rFonts w:ascii="Cambria" w:hAnsi="Cambria"/>
        </w:rPr>
      </w:pPr>
    </w:p>
    <w:p w:rsidR="00B26D65" w:rsidRPr="00250096" w:rsidRDefault="001B5BD0" w:rsidP="00B26D65">
      <w:pPr>
        <w:spacing w:line="360" w:lineRule="auto"/>
        <w:jc w:val="both"/>
        <w:rPr>
          <w:rFonts w:cstheme="minorHAnsi"/>
        </w:rPr>
      </w:pPr>
      <w:r>
        <w:rPr>
          <w:rFonts w:ascii="Cambria" w:hAnsi="Cambria"/>
        </w:rPr>
        <w:t>With freehold ownership, the</w:t>
      </w:r>
      <w:r w:rsidRPr="00345E00">
        <w:rPr>
          <w:rFonts w:ascii="Cambria" w:hAnsi="Cambria"/>
        </w:rPr>
        <w:t xml:space="preserve"> </w:t>
      </w:r>
      <w:r w:rsidR="00FF2217">
        <w:rPr>
          <w:rFonts w:ascii="Cambria" w:hAnsi="Cambria"/>
        </w:rPr>
        <w:t xml:space="preserve">consortium </w:t>
      </w:r>
      <w:r w:rsidR="00010D15">
        <w:rPr>
          <w:rFonts w:ascii="Cambria" w:hAnsi="Cambria"/>
        </w:rPr>
        <w:t>led by SP Setia formed the</w:t>
      </w:r>
      <w:r w:rsidR="00FF2217">
        <w:rPr>
          <w:rFonts w:ascii="Cambria" w:hAnsi="Cambria"/>
        </w:rPr>
        <w:t xml:space="preserve"> </w:t>
      </w:r>
      <w:r w:rsidR="00250096" w:rsidRPr="00345E00">
        <w:rPr>
          <w:rFonts w:ascii="Cambria" w:hAnsi="Cambria"/>
        </w:rPr>
        <w:t xml:space="preserve">Battersea Power Station Development Company </w:t>
      </w:r>
      <w:r>
        <w:rPr>
          <w:rFonts w:ascii="Cambria" w:hAnsi="Cambria"/>
        </w:rPr>
        <w:t>to develop the site in a series of</w:t>
      </w:r>
      <w:r w:rsidRPr="00345E00">
        <w:rPr>
          <w:rFonts w:ascii="Cambria" w:hAnsi="Cambria"/>
        </w:rPr>
        <w:t xml:space="preserve"> phases over a 10 – 12 year period</w:t>
      </w:r>
      <w:r w:rsidR="0034024D">
        <w:rPr>
          <w:rFonts w:ascii="Cambria" w:hAnsi="Cambria"/>
        </w:rPr>
        <w:t xml:space="preserve"> with a</w:t>
      </w:r>
      <w:r>
        <w:rPr>
          <w:rFonts w:ascii="Cambria" w:hAnsi="Cambria"/>
        </w:rPr>
        <w:t xml:space="preserve"> </w:t>
      </w:r>
      <w:r w:rsidR="0034024D">
        <w:rPr>
          <w:rFonts w:ascii="Cambria" w:hAnsi="Cambria"/>
        </w:rPr>
        <w:t>(GDV) G</w:t>
      </w:r>
      <w:r w:rsidRPr="00345E00">
        <w:rPr>
          <w:rFonts w:ascii="Cambria" w:hAnsi="Cambria"/>
        </w:rPr>
        <w:t xml:space="preserve">ross </w:t>
      </w:r>
      <w:r w:rsidR="0034024D">
        <w:rPr>
          <w:rFonts w:ascii="Cambria" w:hAnsi="Cambria"/>
        </w:rPr>
        <w:t>D</w:t>
      </w:r>
      <w:r w:rsidRPr="00345E00">
        <w:rPr>
          <w:rFonts w:ascii="Cambria" w:hAnsi="Cambria"/>
        </w:rPr>
        <w:t xml:space="preserve">evelopment </w:t>
      </w:r>
      <w:r w:rsidR="0034024D">
        <w:rPr>
          <w:rFonts w:ascii="Cambria" w:hAnsi="Cambria"/>
        </w:rPr>
        <w:t>V</w:t>
      </w:r>
      <w:r w:rsidRPr="00345E00">
        <w:rPr>
          <w:rFonts w:ascii="Cambria" w:hAnsi="Cambria"/>
        </w:rPr>
        <w:t xml:space="preserve">alue </w:t>
      </w:r>
      <w:r w:rsidR="0034024D">
        <w:rPr>
          <w:rFonts w:ascii="Cambria" w:hAnsi="Cambria"/>
        </w:rPr>
        <w:t>of</w:t>
      </w:r>
      <w:r>
        <w:rPr>
          <w:rFonts w:ascii="Cambria" w:hAnsi="Cambria"/>
        </w:rPr>
        <w:t xml:space="preserve"> a</w:t>
      </w:r>
      <w:r w:rsidR="0034024D">
        <w:rPr>
          <w:rFonts w:ascii="Cambria" w:hAnsi="Cambria"/>
        </w:rPr>
        <w:t>pproximately £8 billion</w:t>
      </w:r>
      <w:r>
        <w:rPr>
          <w:rFonts w:ascii="Cambria" w:hAnsi="Cambria"/>
        </w:rPr>
        <w:t xml:space="preserve">. </w:t>
      </w:r>
      <w:r w:rsidR="00B26D65">
        <w:rPr>
          <w:rFonts w:ascii="Cambria" w:hAnsi="Cambria"/>
        </w:rPr>
        <w:t xml:space="preserve">In terms of </w:t>
      </w:r>
      <w:r w:rsidR="0034024D">
        <w:rPr>
          <w:rFonts w:ascii="Cambria" w:hAnsi="Cambria"/>
        </w:rPr>
        <w:t xml:space="preserve">blended finance </w:t>
      </w:r>
      <w:r w:rsidR="00B26D65">
        <w:rPr>
          <w:rFonts w:ascii="Cambria" w:hAnsi="Cambria"/>
        </w:rPr>
        <w:t>t</w:t>
      </w:r>
      <w:r w:rsidR="00B26D65" w:rsidRPr="00345E00">
        <w:rPr>
          <w:rFonts w:ascii="Cambria" w:hAnsi="Cambria"/>
        </w:rPr>
        <w:t>he</w:t>
      </w:r>
      <w:r w:rsidR="00B26D65">
        <w:rPr>
          <w:rFonts w:ascii="Cambria" w:hAnsi="Cambria"/>
        </w:rPr>
        <w:t xml:space="preserve"> </w:t>
      </w:r>
      <w:r w:rsidR="006525E7">
        <w:rPr>
          <w:rFonts w:ascii="Cambria" w:hAnsi="Cambria"/>
        </w:rPr>
        <w:t>project includes TIF,</w:t>
      </w:r>
      <w:r w:rsidR="00482FD6">
        <w:rPr>
          <w:rFonts w:ascii="Cambria" w:hAnsi="Cambria"/>
        </w:rPr>
        <w:t xml:space="preserve"> </w:t>
      </w:r>
      <w:r w:rsidR="00B26D65" w:rsidRPr="00345E00">
        <w:rPr>
          <w:rFonts w:ascii="Cambria" w:hAnsi="Cambria"/>
        </w:rPr>
        <w:t>as a mechanism for aligning costs and benefits</w:t>
      </w:r>
      <w:r w:rsidR="00B26D65">
        <w:rPr>
          <w:rFonts w:ascii="Cambria" w:hAnsi="Cambria"/>
        </w:rPr>
        <w:t xml:space="preserve"> through the uplift in property values </w:t>
      </w:r>
      <w:r w:rsidR="00B26D65" w:rsidRPr="00345E00">
        <w:rPr>
          <w:rFonts w:ascii="Cambria" w:hAnsi="Cambria"/>
        </w:rPr>
        <w:t xml:space="preserve">and </w:t>
      </w:r>
      <w:r w:rsidR="00B26D65">
        <w:rPr>
          <w:rFonts w:ascii="Cambria" w:hAnsi="Cambria"/>
        </w:rPr>
        <w:t xml:space="preserve">capturing </w:t>
      </w:r>
      <w:r w:rsidR="00250096">
        <w:rPr>
          <w:rFonts w:ascii="Cambria" w:hAnsi="Cambria"/>
        </w:rPr>
        <w:t>any betterment</w:t>
      </w:r>
      <w:r w:rsidR="00437919">
        <w:rPr>
          <w:rFonts w:ascii="Cambria" w:hAnsi="Cambria"/>
        </w:rPr>
        <w:t xml:space="preserve"> </w:t>
      </w:r>
      <w:r w:rsidR="007339E7" w:rsidRPr="00E3326D">
        <w:rPr>
          <w:rFonts w:ascii="Cambria" w:hAnsi="Cambria"/>
        </w:rPr>
        <w:t>(Interviewee 16).</w:t>
      </w:r>
      <w:r w:rsidR="00B26D65" w:rsidRPr="00345E00">
        <w:rPr>
          <w:rFonts w:ascii="Cambria" w:hAnsi="Cambria"/>
        </w:rPr>
        <w:t xml:space="preserve"> The </w:t>
      </w:r>
      <w:r w:rsidR="00F21B72">
        <w:rPr>
          <w:rFonts w:ascii="Cambria" w:hAnsi="Cambria"/>
        </w:rPr>
        <w:t xml:space="preserve">financial </w:t>
      </w:r>
      <w:r w:rsidR="00B26D65" w:rsidRPr="00345E00">
        <w:rPr>
          <w:rFonts w:ascii="Cambria" w:hAnsi="Cambria"/>
        </w:rPr>
        <w:t xml:space="preserve">model </w:t>
      </w:r>
      <w:r w:rsidR="00B26D65">
        <w:rPr>
          <w:rFonts w:ascii="Cambria" w:hAnsi="Cambria"/>
        </w:rPr>
        <w:t>employed</w:t>
      </w:r>
      <w:r w:rsidR="00B26D65" w:rsidRPr="00345E00">
        <w:rPr>
          <w:rFonts w:ascii="Cambria" w:hAnsi="Cambria"/>
        </w:rPr>
        <w:t xml:space="preserve"> </w:t>
      </w:r>
      <w:r w:rsidR="00B26D65">
        <w:rPr>
          <w:rFonts w:ascii="Cambria" w:hAnsi="Cambria"/>
        </w:rPr>
        <w:t xml:space="preserve">in </w:t>
      </w:r>
      <w:r w:rsidR="00B26D65" w:rsidRPr="00345E00">
        <w:rPr>
          <w:rFonts w:ascii="Cambria" w:hAnsi="Cambria"/>
        </w:rPr>
        <w:t>the</w:t>
      </w:r>
      <w:r w:rsidR="00B26D65">
        <w:rPr>
          <w:rFonts w:ascii="Cambria" w:hAnsi="Cambria"/>
        </w:rPr>
        <w:t xml:space="preserve"> Battersea project </w:t>
      </w:r>
      <w:r w:rsidR="00B26D65" w:rsidRPr="00345E00">
        <w:rPr>
          <w:rFonts w:ascii="Cambria" w:hAnsi="Cambria"/>
        </w:rPr>
        <w:t>is</w:t>
      </w:r>
      <w:r w:rsidR="00B26D65">
        <w:rPr>
          <w:rFonts w:ascii="Cambria" w:hAnsi="Cambria"/>
        </w:rPr>
        <w:t xml:space="preserve"> </w:t>
      </w:r>
      <w:r w:rsidR="00250096">
        <w:rPr>
          <w:rFonts w:ascii="Cambria" w:hAnsi="Cambria"/>
        </w:rPr>
        <w:t xml:space="preserve">largely </w:t>
      </w:r>
      <w:r w:rsidR="00B26D65">
        <w:rPr>
          <w:rFonts w:ascii="Cambria" w:hAnsi="Cambria"/>
        </w:rPr>
        <w:t>premised</w:t>
      </w:r>
      <w:r w:rsidR="00B26D65" w:rsidRPr="00345E00">
        <w:rPr>
          <w:rFonts w:ascii="Cambria" w:hAnsi="Cambria"/>
        </w:rPr>
        <w:t xml:space="preserve"> on the residential </w:t>
      </w:r>
      <w:r w:rsidR="00B26D65">
        <w:rPr>
          <w:rFonts w:ascii="Cambria" w:hAnsi="Cambria"/>
        </w:rPr>
        <w:t>component and the rollover of residential sales income</w:t>
      </w:r>
      <w:r w:rsidR="00B26D65" w:rsidRPr="00345E00">
        <w:rPr>
          <w:rFonts w:ascii="Cambria" w:hAnsi="Cambria"/>
        </w:rPr>
        <w:t xml:space="preserve"> to fund </w:t>
      </w:r>
      <w:r w:rsidR="00F6430C">
        <w:rPr>
          <w:rFonts w:ascii="Cambria" w:hAnsi="Cambria"/>
        </w:rPr>
        <w:t xml:space="preserve">later </w:t>
      </w:r>
      <w:r w:rsidR="00B26D65">
        <w:rPr>
          <w:rFonts w:ascii="Cambria" w:hAnsi="Cambria"/>
        </w:rPr>
        <w:t xml:space="preserve">phases of </w:t>
      </w:r>
      <w:r w:rsidR="00B26D65" w:rsidRPr="00345E00">
        <w:rPr>
          <w:rFonts w:ascii="Cambria" w:hAnsi="Cambria"/>
        </w:rPr>
        <w:t>the project.</w:t>
      </w:r>
      <w:r w:rsidR="00B26D65">
        <w:rPr>
          <w:rFonts w:ascii="Cambria" w:hAnsi="Cambria"/>
        </w:rPr>
        <w:t xml:space="preserve"> Currently </w:t>
      </w:r>
      <w:r w:rsidR="00B26D65" w:rsidRPr="00345E00">
        <w:rPr>
          <w:rFonts w:ascii="Cambria" w:hAnsi="Cambria"/>
        </w:rPr>
        <w:t xml:space="preserve">the residential aspect of the project </w:t>
      </w:r>
      <w:r w:rsidR="00B26D65">
        <w:rPr>
          <w:rFonts w:ascii="Cambria" w:hAnsi="Cambria"/>
        </w:rPr>
        <w:t xml:space="preserve">is benefitting from the buoyancy of </w:t>
      </w:r>
      <w:r w:rsidR="00B26D65" w:rsidRPr="00345E00">
        <w:rPr>
          <w:rFonts w:ascii="Cambria" w:hAnsi="Cambria"/>
        </w:rPr>
        <w:t>the London housing market.</w:t>
      </w:r>
      <w:r w:rsidR="00B26D65">
        <w:rPr>
          <w:rFonts w:ascii="Cambria" w:hAnsi="Cambria"/>
        </w:rPr>
        <w:t xml:space="preserve"> To </w:t>
      </w:r>
      <w:r w:rsidR="00250096">
        <w:rPr>
          <w:rFonts w:ascii="Cambria" w:hAnsi="Cambria"/>
        </w:rPr>
        <w:t>further blend</w:t>
      </w:r>
      <w:r w:rsidR="00B26D65">
        <w:rPr>
          <w:rFonts w:ascii="Cambria" w:hAnsi="Cambria"/>
        </w:rPr>
        <w:t xml:space="preserve"> financing, t</w:t>
      </w:r>
      <w:r w:rsidR="00B26D65" w:rsidRPr="00345E00">
        <w:rPr>
          <w:rFonts w:ascii="Cambria" w:hAnsi="Cambria"/>
        </w:rPr>
        <w:t>he Public Sector Loan</w:t>
      </w:r>
      <w:r w:rsidR="00B26D65">
        <w:rPr>
          <w:rFonts w:ascii="Cambria" w:hAnsi="Cambria"/>
        </w:rPr>
        <w:t>s</w:t>
      </w:r>
      <w:r w:rsidR="00B26D65" w:rsidRPr="00345E00">
        <w:rPr>
          <w:rFonts w:ascii="Cambria" w:hAnsi="Cambria"/>
        </w:rPr>
        <w:t xml:space="preserve"> Board guaranteed a loan of up to £1 billion </w:t>
      </w:r>
      <w:r w:rsidR="00250096">
        <w:rPr>
          <w:rFonts w:ascii="Cambria" w:hAnsi="Cambria"/>
        </w:rPr>
        <w:t>to</w:t>
      </w:r>
      <w:r w:rsidR="00B26D65" w:rsidRPr="00345E00">
        <w:rPr>
          <w:rFonts w:ascii="Cambria" w:hAnsi="Cambria"/>
        </w:rPr>
        <w:t xml:space="preserve"> </w:t>
      </w:r>
      <w:r w:rsidR="00B26D65">
        <w:rPr>
          <w:rFonts w:ascii="Cambria" w:hAnsi="Cambria"/>
        </w:rPr>
        <w:t>Transport for London (TfL)</w:t>
      </w:r>
      <w:r w:rsidR="00B26D65" w:rsidRPr="00345E00">
        <w:rPr>
          <w:rFonts w:ascii="Cambria" w:hAnsi="Cambria"/>
        </w:rPr>
        <w:t xml:space="preserve"> </w:t>
      </w:r>
      <w:r w:rsidR="00B26D65">
        <w:rPr>
          <w:rFonts w:ascii="Cambria" w:hAnsi="Cambria"/>
        </w:rPr>
        <w:t xml:space="preserve">to be </w:t>
      </w:r>
      <w:r w:rsidR="00B26D65" w:rsidRPr="00345E00">
        <w:rPr>
          <w:rFonts w:ascii="Cambria" w:hAnsi="Cambria"/>
        </w:rPr>
        <w:t xml:space="preserve">repaid through </w:t>
      </w:r>
      <w:r w:rsidR="00010D15">
        <w:rPr>
          <w:rFonts w:ascii="Cambria" w:hAnsi="Cambria"/>
        </w:rPr>
        <w:t xml:space="preserve">impact fees (known as </w:t>
      </w:r>
      <w:r w:rsidR="00B26D65">
        <w:rPr>
          <w:rFonts w:ascii="Cambria" w:hAnsi="Cambria"/>
        </w:rPr>
        <w:t>S</w:t>
      </w:r>
      <w:r w:rsidR="00B26D65" w:rsidRPr="00345E00">
        <w:rPr>
          <w:rFonts w:ascii="Cambria" w:hAnsi="Cambria"/>
        </w:rPr>
        <w:t>ection 106 contributions</w:t>
      </w:r>
      <w:r w:rsidR="00010D15">
        <w:rPr>
          <w:rFonts w:ascii="Cambria" w:hAnsi="Cambria"/>
        </w:rPr>
        <w:t>)</w:t>
      </w:r>
      <w:r w:rsidR="00250096">
        <w:rPr>
          <w:rFonts w:ascii="Cambria" w:hAnsi="Cambria"/>
        </w:rPr>
        <w:t xml:space="preserve"> in the project </w:t>
      </w:r>
      <w:r w:rsidR="00010D15">
        <w:rPr>
          <w:rFonts w:ascii="Cambria" w:hAnsi="Cambria"/>
        </w:rPr>
        <w:t>—</w:t>
      </w:r>
      <w:r w:rsidR="00250096">
        <w:rPr>
          <w:rFonts w:ascii="Cambria" w:hAnsi="Cambria"/>
        </w:rPr>
        <w:t xml:space="preserve"> this is to integrate the wider redevelopment of the Northern Line underground rail extension</w:t>
      </w:r>
      <w:r w:rsidR="00B26D65">
        <w:rPr>
          <w:rFonts w:ascii="Cambria" w:hAnsi="Cambria"/>
        </w:rPr>
        <w:t>. T</w:t>
      </w:r>
      <w:r w:rsidR="00B26D65" w:rsidRPr="00345E00">
        <w:rPr>
          <w:rFonts w:ascii="Cambria" w:hAnsi="Cambria"/>
        </w:rPr>
        <w:t xml:space="preserve">he Battersea project developers have </w:t>
      </w:r>
      <w:r w:rsidR="00C67D92">
        <w:rPr>
          <w:rFonts w:ascii="Cambria" w:hAnsi="Cambria"/>
        </w:rPr>
        <w:t xml:space="preserve">also </w:t>
      </w:r>
      <w:r w:rsidR="00B26D65" w:rsidRPr="00345E00">
        <w:rPr>
          <w:rFonts w:ascii="Cambria" w:hAnsi="Cambria"/>
        </w:rPr>
        <w:t xml:space="preserve">committed £210 million, paying a proportion to TfL at the start of each milestone </w:t>
      </w:r>
      <w:r w:rsidR="00B26D65">
        <w:rPr>
          <w:rFonts w:ascii="Cambria" w:hAnsi="Cambria"/>
        </w:rPr>
        <w:t>by</w:t>
      </w:r>
      <w:r w:rsidR="00B26D65" w:rsidRPr="00345E00">
        <w:rPr>
          <w:rFonts w:ascii="Cambria" w:hAnsi="Cambria"/>
        </w:rPr>
        <w:t xml:space="preserve"> capturing the business rates </w:t>
      </w:r>
      <w:r w:rsidR="00B26D65">
        <w:rPr>
          <w:rFonts w:ascii="Cambria" w:hAnsi="Cambria"/>
        </w:rPr>
        <w:t>uplift in</w:t>
      </w:r>
      <w:r w:rsidR="00B26D65" w:rsidRPr="00345E00">
        <w:rPr>
          <w:rFonts w:ascii="Cambria" w:hAnsi="Cambria"/>
        </w:rPr>
        <w:t xml:space="preserve"> of the area.</w:t>
      </w:r>
    </w:p>
    <w:p w:rsidR="00B26D65" w:rsidRPr="00345E00" w:rsidRDefault="00B26D65" w:rsidP="00B26D65">
      <w:pPr>
        <w:spacing w:line="360" w:lineRule="auto"/>
        <w:jc w:val="both"/>
        <w:rPr>
          <w:rFonts w:ascii="Cambria" w:hAnsi="Cambria"/>
        </w:rPr>
      </w:pPr>
    </w:p>
    <w:p w:rsidR="00B26D65" w:rsidRPr="00345E00" w:rsidRDefault="00B26D65" w:rsidP="00B26D65">
      <w:pPr>
        <w:spacing w:line="360" w:lineRule="auto"/>
        <w:jc w:val="both"/>
        <w:rPr>
          <w:rFonts w:ascii="Cambria" w:hAnsi="Cambria"/>
        </w:rPr>
      </w:pPr>
      <w:r>
        <w:rPr>
          <w:rFonts w:ascii="Cambria" w:hAnsi="Cambria"/>
        </w:rPr>
        <w:t>T</w:t>
      </w:r>
      <w:r w:rsidRPr="00345E00">
        <w:rPr>
          <w:rFonts w:ascii="Cambria" w:hAnsi="Cambria"/>
        </w:rPr>
        <w:t xml:space="preserve">he financing of each </w:t>
      </w:r>
      <w:r>
        <w:rPr>
          <w:rFonts w:ascii="Cambria" w:hAnsi="Cambria"/>
        </w:rPr>
        <w:t>phase</w:t>
      </w:r>
      <w:r w:rsidRPr="00345E00">
        <w:rPr>
          <w:rFonts w:ascii="Cambria" w:hAnsi="Cambria"/>
        </w:rPr>
        <w:t xml:space="preserve"> remains separate. </w:t>
      </w:r>
      <w:r>
        <w:rPr>
          <w:rFonts w:ascii="Cambria" w:hAnsi="Cambria"/>
        </w:rPr>
        <w:t xml:space="preserve">In phase 1, a </w:t>
      </w:r>
      <w:r w:rsidR="00C67D92">
        <w:rPr>
          <w:rFonts w:ascii="Cambria" w:hAnsi="Cambria"/>
        </w:rPr>
        <w:t xml:space="preserve">combined </w:t>
      </w:r>
      <w:r>
        <w:rPr>
          <w:rFonts w:ascii="Cambria" w:hAnsi="Cambria"/>
        </w:rPr>
        <w:t>debt</w:t>
      </w:r>
      <w:r w:rsidR="00C67D92">
        <w:rPr>
          <w:rFonts w:ascii="Cambria" w:hAnsi="Cambria"/>
        </w:rPr>
        <w:t xml:space="preserve"> and </w:t>
      </w:r>
      <w:r>
        <w:rPr>
          <w:rFonts w:ascii="Cambria" w:hAnsi="Cambria"/>
        </w:rPr>
        <w:t xml:space="preserve">equity </w:t>
      </w:r>
      <w:r w:rsidR="00C67D92">
        <w:rPr>
          <w:rFonts w:ascii="Cambria" w:hAnsi="Cambria"/>
        </w:rPr>
        <w:t xml:space="preserve">financial </w:t>
      </w:r>
      <w:r>
        <w:rPr>
          <w:rFonts w:ascii="Cambria" w:hAnsi="Cambria"/>
        </w:rPr>
        <w:t xml:space="preserve">model prevails with </w:t>
      </w:r>
      <w:r w:rsidR="00283B19">
        <w:rPr>
          <w:rFonts w:ascii="Cambria" w:hAnsi="Cambria"/>
        </w:rPr>
        <w:t xml:space="preserve">the development company consortium leaders </w:t>
      </w:r>
      <w:r w:rsidR="00010D15">
        <w:rPr>
          <w:rFonts w:ascii="Cambria" w:hAnsi="Cambria"/>
        </w:rPr>
        <w:t xml:space="preserve">SP Setia </w:t>
      </w:r>
      <w:r>
        <w:rPr>
          <w:rFonts w:ascii="Cambria" w:hAnsi="Cambria"/>
        </w:rPr>
        <w:t>h</w:t>
      </w:r>
      <w:r w:rsidRPr="00345E00">
        <w:rPr>
          <w:rFonts w:ascii="Cambria" w:hAnsi="Cambria"/>
        </w:rPr>
        <w:t>old</w:t>
      </w:r>
      <w:r>
        <w:rPr>
          <w:rFonts w:ascii="Cambria" w:hAnsi="Cambria"/>
        </w:rPr>
        <w:t xml:space="preserve">ing </w:t>
      </w:r>
      <w:r w:rsidRPr="00345E00">
        <w:rPr>
          <w:rFonts w:ascii="Cambria" w:hAnsi="Cambria"/>
        </w:rPr>
        <w:t xml:space="preserve">40% of the equity as </w:t>
      </w:r>
      <w:r>
        <w:rPr>
          <w:rFonts w:ascii="Cambria" w:hAnsi="Cambria"/>
        </w:rPr>
        <w:t xml:space="preserve">an </w:t>
      </w:r>
      <w:r w:rsidRPr="00345E00">
        <w:rPr>
          <w:rFonts w:ascii="Cambria" w:hAnsi="Cambria"/>
        </w:rPr>
        <w:t>operating partner</w:t>
      </w:r>
      <w:r w:rsidR="00283B19">
        <w:rPr>
          <w:rFonts w:ascii="Cambria" w:hAnsi="Cambria"/>
        </w:rPr>
        <w:t>,</w:t>
      </w:r>
      <w:r w:rsidR="00250096">
        <w:rPr>
          <w:rFonts w:ascii="Cambria" w:hAnsi="Cambria"/>
        </w:rPr>
        <w:t xml:space="preserve"> </w:t>
      </w:r>
      <w:r>
        <w:rPr>
          <w:rFonts w:ascii="Cambria" w:hAnsi="Cambria"/>
        </w:rPr>
        <w:t xml:space="preserve">and the </w:t>
      </w:r>
      <w:r w:rsidRPr="00345E00">
        <w:rPr>
          <w:rFonts w:ascii="Cambria" w:hAnsi="Cambria"/>
        </w:rPr>
        <w:t>Employees Provident Fund of Malaysia</w:t>
      </w:r>
      <w:r w:rsidR="00250096">
        <w:rPr>
          <w:rFonts w:ascii="Cambria" w:hAnsi="Cambria"/>
        </w:rPr>
        <w:t xml:space="preserve"> (</w:t>
      </w:r>
      <w:r w:rsidRPr="00345E00">
        <w:rPr>
          <w:rFonts w:ascii="Cambria" w:hAnsi="Cambria"/>
        </w:rPr>
        <w:t>the l</w:t>
      </w:r>
      <w:r w:rsidR="00250096">
        <w:rPr>
          <w:rFonts w:ascii="Cambria" w:hAnsi="Cambria"/>
        </w:rPr>
        <w:t>argest pension fund in Malaysia)</w:t>
      </w:r>
      <w:r w:rsidRPr="00345E00">
        <w:rPr>
          <w:rFonts w:ascii="Cambria" w:hAnsi="Cambria"/>
        </w:rPr>
        <w:t xml:space="preserve"> </w:t>
      </w:r>
      <w:r>
        <w:rPr>
          <w:rFonts w:ascii="Cambria" w:hAnsi="Cambria"/>
        </w:rPr>
        <w:t xml:space="preserve">as </w:t>
      </w:r>
      <w:r w:rsidRPr="00345E00">
        <w:rPr>
          <w:rFonts w:ascii="Cambria" w:hAnsi="Cambria"/>
        </w:rPr>
        <w:t>a 20%</w:t>
      </w:r>
      <w:r>
        <w:rPr>
          <w:rFonts w:ascii="Cambria" w:hAnsi="Cambria"/>
        </w:rPr>
        <w:t xml:space="preserve"> investment</w:t>
      </w:r>
      <w:r w:rsidRPr="00345E00">
        <w:rPr>
          <w:rFonts w:ascii="Cambria" w:hAnsi="Cambria"/>
        </w:rPr>
        <w:t xml:space="preserve"> partner. </w:t>
      </w:r>
      <w:r>
        <w:rPr>
          <w:rFonts w:ascii="Cambria" w:hAnsi="Cambria"/>
        </w:rPr>
        <w:t>The third</w:t>
      </w:r>
      <w:r w:rsidRPr="00345E00">
        <w:rPr>
          <w:rFonts w:ascii="Cambria" w:hAnsi="Cambria"/>
        </w:rPr>
        <w:t xml:space="preserve"> principal shareholder </w:t>
      </w:r>
      <w:r>
        <w:rPr>
          <w:rFonts w:ascii="Cambria" w:hAnsi="Cambria"/>
        </w:rPr>
        <w:t xml:space="preserve">is a </w:t>
      </w:r>
      <w:r w:rsidRPr="00345E00">
        <w:rPr>
          <w:rFonts w:ascii="Cambria" w:hAnsi="Cambria"/>
        </w:rPr>
        <w:t xml:space="preserve">group of five banks </w:t>
      </w:r>
      <w:r w:rsidR="00283B19">
        <w:rPr>
          <w:rFonts w:ascii="Cambria" w:hAnsi="Cambria"/>
        </w:rPr>
        <w:t>—</w:t>
      </w:r>
      <w:r w:rsidRPr="00345E00">
        <w:rPr>
          <w:rFonts w:ascii="Cambria" w:hAnsi="Cambria"/>
        </w:rPr>
        <w:t xml:space="preserve"> HSBC, CINB Malaysia, Maybank Malaysia, Standard Chartered Malaysia, and OCBC Singapore. </w:t>
      </w:r>
      <w:r>
        <w:rPr>
          <w:rFonts w:ascii="Cambria" w:hAnsi="Cambria"/>
        </w:rPr>
        <w:t>Subsequently t</w:t>
      </w:r>
      <w:r w:rsidRPr="00345E00">
        <w:rPr>
          <w:rFonts w:ascii="Cambria" w:hAnsi="Cambria"/>
        </w:rPr>
        <w:t>he develop</w:t>
      </w:r>
      <w:r w:rsidR="00250096">
        <w:rPr>
          <w:rFonts w:ascii="Cambria" w:hAnsi="Cambria"/>
        </w:rPr>
        <w:t xml:space="preserve">er secured £790 million of debt </w:t>
      </w:r>
      <w:r w:rsidRPr="00345E00">
        <w:rPr>
          <w:rFonts w:ascii="Cambria" w:hAnsi="Cambria"/>
        </w:rPr>
        <w:t xml:space="preserve">funding in October 2013 to refinance the loan </w:t>
      </w:r>
      <w:r w:rsidR="00250096">
        <w:rPr>
          <w:rFonts w:ascii="Cambria" w:hAnsi="Cambria"/>
        </w:rPr>
        <w:t xml:space="preserve">that </w:t>
      </w:r>
      <w:r w:rsidRPr="00345E00">
        <w:rPr>
          <w:rFonts w:ascii="Cambria" w:hAnsi="Cambria"/>
        </w:rPr>
        <w:t xml:space="preserve">shareholders originally took out from </w:t>
      </w:r>
      <w:r>
        <w:rPr>
          <w:rFonts w:ascii="Cambria" w:hAnsi="Cambria"/>
        </w:rPr>
        <w:t xml:space="preserve">the </w:t>
      </w:r>
      <w:r w:rsidRPr="00345E00">
        <w:rPr>
          <w:rFonts w:ascii="Cambria" w:hAnsi="Cambria"/>
        </w:rPr>
        <w:t>five banks when they purchased the site (</w:t>
      </w:r>
      <w:r w:rsidR="00250096">
        <w:rPr>
          <w:rFonts w:ascii="Cambria" w:hAnsi="Cambria"/>
        </w:rPr>
        <w:t xml:space="preserve">an </w:t>
      </w:r>
      <w:r w:rsidRPr="00345E00">
        <w:rPr>
          <w:rFonts w:ascii="Cambria" w:hAnsi="Cambria"/>
        </w:rPr>
        <w:t xml:space="preserve">acquisition </w:t>
      </w:r>
      <w:r w:rsidR="00250096">
        <w:rPr>
          <w:rFonts w:ascii="Cambria" w:hAnsi="Cambria"/>
        </w:rPr>
        <w:t xml:space="preserve">finance </w:t>
      </w:r>
      <w:r w:rsidRPr="00345E00">
        <w:rPr>
          <w:rFonts w:ascii="Cambria" w:hAnsi="Cambria"/>
        </w:rPr>
        <w:t>facility)</w:t>
      </w:r>
      <w:r w:rsidR="00250096">
        <w:rPr>
          <w:rFonts w:ascii="Cambria" w:hAnsi="Cambria"/>
        </w:rPr>
        <w:t xml:space="preserve">. The refinancing converted the acquisition loan </w:t>
      </w:r>
      <w:r w:rsidRPr="00345E00">
        <w:rPr>
          <w:rFonts w:ascii="Cambria" w:hAnsi="Cambria"/>
        </w:rPr>
        <w:t xml:space="preserve">into a 5-year </w:t>
      </w:r>
      <w:r w:rsidR="00250096">
        <w:rPr>
          <w:rFonts w:ascii="Cambria" w:hAnsi="Cambria"/>
        </w:rPr>
        <w:t xml:space="preserve">debt </w:t>
      </w:r>
      <w:r w:rsidRPr="00345E00">
        <w:rPr>
          <w:rFonts w:ascii="Cambria" w:hAnsi="Cambria"/>
        </w:rPr>
        <w:t>facility to fun</w:t>
      </w:r>
      <w:r w:rsidR="00250096">
        <w:rPr>
          <w:rFonts w:ascii="Cambria" w:hAnsi="Cambria"/>
        </w:rPr>
        <w:t>d the first construction phase.</w:t>
      </w:r>
    </w:p>
    <w:p w:rsidR="00B26D65" w:rsidRPr="00345E00" w:rsidRDefault="00B26D65" w:rsidP="00B26D65">
      <w:pPr>
        <w:spacing w:line="360" w:lineRule="auto"/>
        <w:jc w:val="both"/>
        <w:rPr>
          <w:rFonts w:ascii="Cambria" w:hAnsi="Cambria"/>
        </w:rPr>
      </w:pPr>
    </w:p>
    <w:p w:rsidR="001B5BD0" w:rsidRPr="00B26D65" w:rsidRDefault="00B26D65" w:rsidP="001B5BD0">
      <w:pPr>
        <w:spacing w:line="360" w:lineRule="auto"/>
        <w:jc w:val="both"/>
        <w:rPr>
          <w:rFonts w:ascii="Cambria" w:hAnsi="Cambria"/>
        </w:rPr>
      </w:pPr>
      <w:r>
        <w:rPr>
          <w:rFonts w:ascii="Cambria" w:hAnsi="Cambria"/>
        </w:rPr>
        <w:t>As discussed, phase one</w:t>
      </w:r>
      <w:r w:rsidRPr="00345E00">
        <w:rPr>
          <w:rFonts w:ascii="Cambria" w:hAnsi="Cambria"/>
        </w:rPr>
        <w:t xml:space="preserve"> is predominantly residential and therefore </w:t>
      </w:r>
      <w:r>
        <w:rPr>
          <w:rFonts w:ascii="Cambria" w:hAnsi="Cambria"/>
        </w:rPr>
        <w:t>constitutes</w:t>
      </w:r>
      <w:r w:rsidRPr="00345E00">
        <w:rPr>
          <w:rFonts w:ascii="Cambria" w:hAnsi="Cambria"/>
        </w:rPr>
        <w:t xml:space="preserve"> a relatively small proportion of investment</w:t>
      </w:r>
      <w:r>
        <w:rPr>
          <w:rFonts w:ascii="Cambria" w:hAnsi="Cambria"/>
        </w:rPr>
        <w:t xml:space="preserve"> in real terms</w:t>
      </w:r>
      <w:r w:rsidR="00C67D92">
        <w:rPr>
          <w:rFonts w:ascii="Cambria" w:hAnsi="Cambria"/>
        </w:rPr>
        <w:t>,</w:t>
      </w:r>
      <w:r>
        <w:rPr>
          <w:rFonts w:ascii="Cambria" w:hAnsi="Cambria"/>
        </w:rPr>
        <w:t xml:space="preserve"> whereas </w:t>
      </w:r>
      <w:r w:rsidR="00C25DF0">
        <w:rPr>
          <w:rFonts w:ascii="Cambria" w:hAnsi="Cambria"/>
        </w:rPr>
        <w:t>phase</w:t>
      </w:r>
      <w:r w:rsidRPr="00345E00">
        <w:rPr>
          <w:rFonts w:ascii="Cambria" w:hAnsi="Cambria"/>
        </w:rPr>
        <w:t xml:space="preserve"> two and three</w:t>
      </w:r>
      <w:r w:rsidR="00C25DF0">
        <w:rPr>
          <w:rFonts w:ascii="Cambria" w:hAnsi="Cambria"/>
        </w:rPr>
        <w:t>,</w:t>
      </w:r>
      <w:r w:rsidRPr="00345E00">
        <w:rPr>
          <w:rFonts w:ascii="Cambria" w:hAnsi="Cambria"/>
        </w:rPr>
        <w:t xml:space="preserve"> will reflect a significant shift in terms of refinancing the assets after completion. The financing pa</w:t>
      </w:r>
      <w:r>
        <w:rPr>
          <w:rFonts w:ascii="Cambria" w:hAnsi="Cambria"/>
        </w:rPr>
        <w:t>ckage for these next two phases</w:t>
      </w:r>
      <w:r w:rsidRPr="00345E00">
        <w:rPr>
          <w:rFonts w:ascii="Cambria" w:hAnsi="Cambria"/>
        </w:rPr>
        <w:t xml:space="preserve"> is </w:t>
      </w:r>
      <w:r>
        <w:rPr>
          <w:rFonts w:ascii="Cambria" w:hAnsi="Cambria"/>
        </w:rPr>
        <w:t xml:space="preserve">also </w:t>
      </w:r>
      <w:r w:rsidRPr="00345E00">
        <w:rPr>
          <w:rFonts w:ascii="Cambria" w:hAnsi="Cambria"/>
        </w:rPr>
        <w:t xml:space="preserve">intended to be a debt and equity package </w:t>
      </w:r>
      <w:r>
        <w:rPr>
          <w:rFonts w:ascii="Cambria" w:hAnsi="Cambria"/>
        </w:rPr>
        <w:t>arrangement</w:t>
      </w:r>
      <w:r w:rsidRPr="00345E00">
        <w:rPr>
          <w:rFonts w:ascii="Cambria" w:hAnsi="Cambria"/>
        </w:rPr>
        <w:t xml:space="preserve"> provided by the project sponsors and possibly a larger </w:t>
      </w:r>
      <w:r>
        <w:rPr>
          <w:rFonts w:ascii="Cambria" w:hAnsi="Cambria"/>
        </w:rPr>
        <w:t xml:space="preserve">consortium </w:t>
      </w:r>
      <w:r w:rsidRPr="00345E00">
        <w:rPr>
          <w:rFonts w:ascii="Cambria" w:hAnsi="Cambria"/>
        </w:rPr>
        <w:t xml:space="preserve">of </w:t>
      </w:r>
      <w:r>
        <w:rPr>
          <w:rFonts w:ascii="Cambria" w:hAnsi="Cambria"/>
        </w:rPr>
        <w:t xml:space="preserve">international </w:t>
      </w:r>
      <w:r w:rsidRPr="00345E00">
        <w:rPr>
          <w:rFonts w:ascii="Cambria" w:hAnsi="Cambria"/>
        </w:rPr>
        <w:t>banks. There is a</w:t>
      </w:r>
      <w:r>
        <w:rPr>
          <w:rFonts w:ascii="Cambria" w:hAnsi="Cambria"/>
        </w:rPr>
        <w:t>n intention</w:t>
      </w:r>
      <w:r w:rsidRPr="00345E00">
        <w:rPr>
          <w:rFonts w:ascii="Cambria" w:hAnsi="Cambria"/>
        </w:rPr>
        <w:t xml:space="preserve"> to </w:t>
      </w:r>
      <w:r>
        <w:rPr>
          <w:rFonts w:ascii="Cambria" w:hAnsi="Cambria"/>
        </w:rPr>
        <w:t xml:space="preserve">initially </w:t>
      </w:r>
      <w:r w:rsidRPr="00345E00">
        <w:rPr>
          <w:rFonts w:ascii="Cambria" w:hAnsi="Cambria"/>
        </w:rPr>
        <w:t xml:space="preserve">retain the commercial space </w:t>
      </w:r>
      <w:r>
        <w:rPr>
          <w:rFonts w:ascii="Cambria" w:hAnsi="Cambria"/>
        </w:rPr>
        <w:t>income flow</w:t>
      </w:r>
      <w:r w:rsidRPr="00345E00">
        <w:rPr>
          <w:rFonts w:ascii="Cambria" w:hAnsi="Cambria"/>
        </w:rPr>
        <w:t>. When the commercial space (shops, offices) has been tenanted</w:t>
      </w:r>
      <w:r>
        <w:rPr>
          <w:rFonts w:ascii="Cambria" w:hAnsi="Cambria"/>
        </w:rPr>
        <w:t xml:space="preserve"> and </w:t>
      </w:r>
      <w:r w:rsidRPr="00345E00">
        <w:rPr>
          <w:rFonts w:ascii="Cambria" w:hAnsi="Cambria"/>
        </w:rPr>
        <w:t xml:space="preserve">the </w:t>
      </w:r>
      <w:r>
        <w:rPr>
          <w:rFonts w:ascii="Cambria" w:hAnsi="Cambria"/>
        </w:rPr>
        <w:t>t</w:t>
      </w:r>
      <w:r w:rsidRPr="00345E00">
        <w:rPr>
          <w:rFonts w:ascii="Cambria" w:hAnsi="Cambria"/>
        </w:rPr>
        <w:t xml:space="preserve">ube </w:t>
      </w:r>
      <w:r>
        <w:rPr>
          <w:rFonts w:ascii="Cambria" w:hAnsi="Cambria"/>
        </w:rPr>
        <w:t>extension</w:t>
      </w:r>
      <w:r w:rsidRPr="00345E00">
        <w:rPr>
          <w:rFonts w:ascii="Cambria" w:hAnsi="Cambria"/>
        </w:rPr>
        <w:t xml:space="preserve"> in place</w:t>
      </w:r>
      <w:r w:rsidR="00C25DF0">
        <w:rPr>
          <w:rFonts w:ascii="Cambria" w:hAnsi="Cambria"/>
        </w:rPr>
        <w:t>, i</w:t>
      </w:r>
      <w:r>
        <w:rPr>
          <w:rFonts w:ascii="Cambria" w:hAnsi="Cambria"/>
        </w:rPr>
        <w:t xml:space="preserve">t is envisaged that </w:t>
      </w:r>
      <w:r w:rsidRPr="00345E00">
        <w:rPr>
          <w:rFonts w:ascii="Cambria" w:hAnsi="Cambria"/>
        </w:rPr>
        <w:t xml:space="preserve">there will not be a need to sell </w:t>
      </w:r>
      <w:r>
        <w:rPr>
          <w:rFonts w:ascii="Cambria" w:hAnsi="Cambria"/>
        </w:rPr>
        <w:t xml:space="preserve">or </w:t>
      </w:r>
      <w:r w:rsidRPr="00345E00">
        <w:rPr>
          <w:rFonts w:ascii="Cambria" w:hAnsi="Cambria"/>
        </w:rPr>
        <w:t>forward purchase</w:t>
      </w:r>
      <w:r>
        <w:rPr>
          <w:rFonts w:ascii="Cambria" w:hAnsi="Cambria"/>
        </w:rPr>
        <w:t xml:space="preserve">, </w:t>
      </w:r>
      <w:r w:rsidR="00283B19">
        <w:rPr>
          <w:rFonts w:ascii="Cambria" w:hAnsi="Cambria"/>
        </w:rPr>
        <w:t>because</w:t>
      </w:r>
      <w:r w:rsidR="00283B19" w:rsidRPr="00345E00">
        <w:rPr>
          <w:rFonts w:ascii="Cambria" w:hAnsi="Cambria"/>
        </w:rPr>
        <w:t xml:space="preserve"> </w:t>
      </w:r>
      <w:r w:rsidRPr="00345E00">
        <w:rPr>
          <w:rFonts w:ascii="Cambria" w:hAnsi="Cambria"/>
        </w:rPr>
        <w:t xml:space="preserve">the shareholders will retain and refinance the asset </w:t>
      </w:r>
      <w:r>
        <w:rPr>
          <w:rFonts w:ascii="Cambria" w:hAnsi="Cambria"/>
        </w:rPr>
        <w:t xml:space="preserve">by switching </w:t>
      </w:r>
      <w:r w:rsidRPr="00345E00">
        <w:rPr>
          <w:rFonts w:ascii="Cambria" w:hAnsi="Cambria"/>
        </w:rPr>
        <w:t xml:space="preserve">from a development asset to an investment facility </w:t>
      </w:r>
      <w:r w:rsidR="00F21B72">
        <w:rPr>
          <w:rFonts w:ascii="Cambria" w:hAnsi="Cambria"/>
        </w:rPr>
        <w:t>on completion</w:t>
      </w:r>
      <w:r>
        <w:rPr>
          <w:rFonts w:ascii="Cambria" w:hAnsi="Cambria"/>
        </w:rPr>
        <w:t>.</w:t>
      </w:r>
    </w:p>
    <w:p w:rsidR="001B5BD0" w:rsidRDefault="001B5BD0" w:rsidP="00392C82">
      <w:pPr>
        <w:spacing w:line="360" w:lineRule="auto"/>
        <w:jc w:val="both"/>
      </w:pPr>
    </w:p>
    <w:p w:rsidR="001915FD" w:rsidRPr="00F21B72" w:rsidRDefault="001B5BD0" w:rsidP="00392C82">
      <w:pPr>
        <w:spacing w:line="360" w:lineRule="auto"/>
        <w:jc w:val="both"/>
        <w:rPr>
          <w:i/>
        </w:rPr>
      </w:pPr>
      <w:r w:rsidRPr="00F21B72">
        <w:rPr>
          <w:i/>
        </w:rPr>
        <w:t>4.2. Leipzige</w:t>
      </w:r>
      <w:r w:rsidR="001915FD" w:rsidRPr="00F21B72">
        <w:rPr>
          <w:i/>
        </w:rPr>
        <w:t>r Platz, Berlin</w:t>
      </w:r>
    </w:p>
    <w:p w:rsidR="008731C1" w:rsidRDefault="008731C1" w:rsidP="00392C82">
      <w:pPr>
        <w:spacing w:line="360" w:lineRule="auto"/>
        <w:jc w:val="both"/>
      </w:pPr>
    </w:p>
    <w:p w:rsidR="00B62E95" w:rsidRDefault="008731C1" w:rsidP="00B62E95">
      <w:pPr>
        <w:spacing w:line="360" w:lineRule="auto"/>
        <w:jc w:val="both"/>
      </w:pPr>
      <w:r w:rsidRPr="00BE6F87">
        <w:rPr>
          <w:rFonts w:cstheme="minorHAnsi"/>
        </w:rPr>
        <w:t>The Leipziger Platz project</w:t>
      </w:r>
      <w:r>
        <w:rPr>
          <w:rFonts w:cstheme="minorHAnsi"/>
        </w:rPr>
        <w:t xml:space="preserve"> case</w:t>
      </w:r>
      <w:r w:rsidR="00F6430C">
        <w:rPr>
          <w:rFonts w:cstheme="minorHAnsi"/>
        </w:rPr>
        <w:t xml:space="preserve">, </w:t>
      </w:r>
      <w:r w:rsidR="00B62E95">
        <w:rPr>
          <w:rFonts w:cstheme="minorHAnsi"/>
        </w:rPr>
        <w:t xml:space="preserve">is </w:t>
      </w:r>
      <w:r w:rsidRPr="00BE6F87">
        <w:rPr>
          <w:rFonts w:cstheme="minorHAnsi"/>
        </w:rPr>
        <w:t xml:space="preserve">a </w:t>
      </w:r>
      <w:r>
        <w:rPr>
          <w:rFonts w:cstheme="minorHAnsi"/>
        </w:rPr>
        <w:t xml:space="preserve">large-scale </w:t>
      </w:r>
      <w:r w:rsidRPr="00BE6F87">
        <w:rPr>
          <w:rFonts w:cstheme="minorHAnsi"/>
        </w:rPr>
        <w:t>mixed–use commercial</w:t>
      </w:r>
      <w:r w:rsidR="00B62E95">
        <w:rPr>
          <w:rFonts w:cstheme="minorHAnsi"/>
        </w:rPr>
        <w:t xml:space="preserve"> retail (largest in Berlin)</w:t>
      </w:r>
      <w:r w:rsidRPr="00BE6F87">
        <w:rPr>
          <w:rFonts w:cstheme="minorHAnsi"/>
        </w:rPr>
        <w:t xml:space="preserve"> and residential de</w:t>
      </w:r>
      <w:r w:rsidR="00B62E95">
        <w:rPr>
          <w:rFonts w:cstheme="minorHAnsi"/>
        </w:rPr>
        <w:t xml:space="preserve">velopment </w:t>
      </w:r>
      <w:r w:rsidR="00B62E95">
        <w:t>occupying over 76,000 square metres</w:t>
      </w:r>
      <w:r w:rsidR="00B62E95">
        <w:rPr>
          <w:rFonts w:cstheme="minorHAnsi"/>
        </w:rPr>
        <w:t xml:space="preserve">. </w:t>
      </w:r>
      <w:r w:rsidR="00B62E95">
        <w:t>Approximately</w:t>
      </w:r>
      <w:r w:rsidR="00B62E95" w:rsidRPr="00657CA2">
        <w:t xml:space="preserve"> 80% of the total leasable space is new</w:t>
      </w:r>
      <w:r w:rsidR="00B62E95">
        <w:t>-build</w:t>
      </w:r>
      <w:r w:rsidR="00B62E95" w:rsidRPr="00657CA2">
        <w:t xml:space="preserve"> development </w:t>
      </w:r>
      <w:r w:rsidR="00B62E95">
        <w:t>that</w:t>
      </w:r>
      <w:r w:rsidR="00B62E95" w:rsidRPr="00657CA2">
        <w:t xml:space="preserve"> is integrated into the existing buildings on the site</w:t>
      </w:r>
      <w:r w:rsidR="00B62E95">
        <w:t>.</w:t>
      </w:r>
      <w:r w:rsidR="00B62E95">
        <w:rPr>
          <w:rFonts w:cstheme="minorHAnsi"/>
        </w:rPr>
        <w:t xml:space="preserve"> The development employed a mixed</w:t>
      </w:r>
      <w:r w:rsidR="00C25DF0">
        <w:rPr>
          <w:rFonts w:cstheme="minorHAnsi"/>
        </w:rPr>
        <w:t xml:space="preserve"> </w:t>
      </w:r>
      <w:r w:rsidR="00B62E95">
        <w:rPr>
          <w:rFonts w:cstheme="minorHAnsi"/>
        </w:rPr>
        <w:t xml:space="preserve">debt and </w:t>
      </w:r>
      <w:r w:rsidRPr="00BE6F87">
        <w:rPr>
          <w:rFonts w:cstheme="minorHAnsi"/>
        </w:rPr>
        <w:t>equity financing model</w:t>
      </w:r>
      <w:r w:rsidR="00B62E95">
        <w:rPr>
          <w:rFonts w:cstheme="minorHAnsi"/>
        </w:rPr>
        <w:t>, with l</w:t>
      </w:r>
      <w:r w:rsidRPr="00BE6F87">
        <w:rPr>
          <w:rFonts w:cstheme="minorHAnsi"/>
        </w:rPr>
        <w:t xml:space="preserve">and assembly financed primarily from a number of institutional investors </w:t>
      </w:r>
      <w:r w:rsidR="00283B19">
        <w:rPr>
          <w:rFonts w:ascii="Cambria" w:hAnsi="Cambria"/>
        </w:rPr>
        <w:t xml:space="preserve">— </w:t>
      </w:r>
      <w:r w:rsidRPr="00BE6F87">
        <w:rPr>
          <w:rFonts w:cstheme="minorHAnsi"/>
        </w:rPr>
        <w:t>one of the biggest financial deals in Germany following the GFC</w:t>
      </w:r>
      <w:r w:rsidR="00763FFC">
        <w:rPr>
          <w:rFonts w:cstheme="minorHAnsi"/>
        </w:rPr>
        <w:t xml:space="preserve"> (Global Financial Crisis)</w:t>
      </w:r>
      <w:r w:rsidR="00325B47">
        <w:rPr>
          <w:rFonts w:cstheme="minorHAnsi"/>
        </w:rPr>
        <w:t xml:space="preserve"> </w:t>
      </w:r>
      <w:r w:rsidR="00325B47" w:rsidRPr="00E3326D">
        <w:rPr>
          <w:rFonts w:cstheme="minorHAnsi"/>
        </w:rPr>
        <w:t>(</w:t>
      </w:r>
      <w:r w:rsidR="007339E7" w:rsidRPr="00E3326D">
        <w:rPr>
          <w:rFonts w:cstheme="minorHAnsi"/>
        </w:rPr>
        <w:t>Interviewee 13).</w:t>
      </w:r>
      <w:r w:rsidRPr="00BE6F87">
        <w:rPr>
          <w:rFonts w:cstheme="minorHAnsi"/>
        </w:rPr>
        <w:t xml:space="preserve"> </w:t>
      </w:r>
      <w:r w:rsidR="00B62E95" w:rsidRPr="00657CA2">
        <w:t>The complex is located close</w:t>
      </w:r>
      <w:r w:rsidR="00B62E95">
        <w:t xml:space="preserve"> to</w:t>
      </w:r>
      <w:r w:rsidR="00B62E95" w:rsidRPr="00657CA2">
        <w:t xml:space="preserve"> </w:t>
      </w:r>
      <w:r w:rsidR="00B62E95">
        <w:t xml:space="preserve">transport hubs and popular tourist and retail sites such as </w:t>
      </w:r>
      <w:r w:rsidR="00B62E95" w:rsidRPr="00657CA2">
        <w:t>the Brandenburg Gate, Potsdamer Platz</w:t>
      </w:r>
      <w:r w:rsidR="00B62E95">
        <w:t>,</w:t>
      </w:r>
      <w:r w:rsidR="00B62E95" w:rsidRPr="00657CA2">
        <w:t xml:space="preserve"> and the Reichstag.</w:t>
      </w:r>
      <w:r w:rsidR="00B62E95">
        <w:t xml:space="preserve"> </w:t>
      </w:r>
      <w:r w:rsidR="00B62E95" w:rsidRPr="00657CA2">
        <w:t xml:space="preserve">High Gain House Investments </w:t>
      </w:r>
      <w:r w:rsidR="00283B19">
        <w:t>(HGHI)</w:t>
      </w:r>
      <w:r w:rsidR="00B62E95" w:rsidRPr="00657CA2">
        <w:t xml:space="preserve">, a property development and investment company </w:t>
      </w:r>
      <w:r w:rsidR="00283B19">
        <w:t xml:space="preserve">(BNP Paribas REIM, 2014) </w:t>
      </w:r>
      <w:r w:rsidR="00B62E95" w:rsidRPr="00657CA2">
        <w:t xml:space="preserve">are undertaking the development of the project. </w:t>
      </w:r>
    </w:p>
    <w:p w:rsidR="00B62E95" w:rsidRDefault="00B62E95" w:rsidP="008731C1">
      <w:pPr>
        <w:spacing w:line="360" w:lineRule="auto"/>
        <w:jc w:val="both"/>
        <w:rPr>
          <w:rFonts w:cstheme="minorHAnsi"/>
        </w:rPr>
      </w:pPr>
    </w:p>
    <w:p w:rsidR="008731C1" w:rsidRPr="0069171A" w:rsidRDefault="00B62E95" w:rsidP="008731C1">
      <w:pPr>
        <w:spacing w:line="360" w:lineRule="auto"/>
        <w:jc w:val="both"/>
        <w:rPr>
          <w:rFonts w:cstheme="minorHAnsi"/>
        </w:rPr>
      </w:pPr>
      <w:r>
        <w:rPr>
          <w:rFonts w:cstheme="minorHAnsi"/>
        </w:rPr>
        <w:t>Project</w:t>
      </w:r>
      <w:r w:rsidR="008731C1" w:rsidRPr="00BE6F87">
        <w:rPr>
          <w:rFonts w:cstheme="minorHAnsi"/>
        </w:rPr>
        <w:t xml:space="preserve"> finance </w:t>
      </w:r>
      <w:r>
        <w:rPr>
          <w:rFonts w:cstheme="minorHAnsi"/>
        </w:rPr>
        <w:t xml:space="preserve">success </w:t>
      </w:r>
      <w:r w:rsidR="008731C1" w:rsidRPr="00BE6F87">
        <w:rPr>
          <w:rFonts w:cstheme="minorHAnsi"/>
        </w:rPr>
        <w:t>was due in part to a high level of occupational tenancies secured by pre-rental agreements</w:t>
      </w:r>
      <w:r w:rsidR="008731C1">
        <w:rPr>
          <w:rFonts w:cstheme="minorHAnsi"/>
        </w:rPr>
        <w:t>,</w:t>
      </w:r>
      <w:r w:rsidR="008731C1" w:rsidRPr="00BE6F87">
        <w:rPr>
          <w:rFonts w:cstheme="minorHAnsi"/>
        </w:rPr>
        <w:t xml:space="preserve"> and the perceived </w:t>
      </w:r>
      <w:r w:rsidR="008731C1">
        <w:rPr>
          <w:rFonts w:cstheme="minorHAnsi"/>
        </w:rPr>
        <w:t>favourable</w:t>
      </w:r>
      <w:r w:rsidR="008731C1" w:rsidRPr="00BE6F87">
        <w:rPr>
          <w:rFonts w:cstheme="minorHAnsi"/>
        </w:rPr>
        <w:t xml:space="preserve"> location in the centre of Berlin. </w:t>
      </w:r>
      <w:r w:rsidR="0069171A">
        <w:rPr>
          <w:rFonts w:cstheme="minorHAnsi"/>
        </w:rPr>
        <w:t xml:space="preserve">Interestingly as part of the finance blend, </w:t>
      </w:r>
      <w:r w:rsidR="00570298">
        <w:rPr>
          <w:rFonts w:cstheme="minorHAnsi"/>
        </w:rPr>
        <w:t>the financing was fully private</w:t>
      </w:r>
      <w:r w:rsidR="00482FD6">
        <w:rPr>
          <w:rFonts w:cstheme="minorHAnsi"/>
        </w:rPr>
        <w:t>,</w:t>
      </w:r>
      <w:r w:rsidR="00570298">
        <w:rPr>
          <w:rFonts w:cstheme="minorHAnsi"/>
        </w:rPr>
        <w:t xml:space="preserve"> </w:t>
      </w:r>
      <w:r w:rsidR="00482FD6">
        <w:rPr>
          <w:rFonts w:cstheme="minorHAnsi"/>
        </w:rPr>
        <w:t xml:space="preserve">with </w:t>
      </w:r>
      <w:r w:rsidR="008731C1" w:rsidRPr="00BE6F87">
        <w:rPr>
          <w:rFonts w:cstheme="minorHAnsi"/>
        </w:rPr>
        <w:t xml:space="preserve">no municipal authority involvement in the partnership or financing arrangements </w:t>
      </w:r>
      <w:r w:rsidR="0069171A">
        <w:rPr>
          <w:rFonts w:cstheme="minorHAnsi"/>
        </w:rPr>
        <w:t>(Interviewee 15)</w:t>
      </w:r>
      <w:r w:rsidR="00B26D65">
        <w:t xml:space="preserve">. </w:t>
      </w:r>
      <w:r w:rsidR="0069171A">
        <w:t>Further, a</w:t>
      </w:r>
      <w:r w:rsidR="00B26D65">
        <w:t xml:space="preserve">n Arabian investor purchased a 25% share in the development with an option to increase this holding, the remaining 75% of </w:t>
      </w:r>
      <w:r w:rsidR="00D42FD6">
        <w:t xml:space="preserve">shareholder </w:t>
      </w:r>
      <w:r w:rsidR="00B26D65">
        <w:t xml:space="preserve">equity is held by HGHI. Debt finance for </w:t>
      </w:r>
      <w:r w:rsidR="00C25DF0">
        <w:t xml:space="preserve">the </w:t>
      </w:r>
      <w:r w:rsidR="00B26D65">
        <w:t xml:space="preserve">project development was provided by a consortium of four banks led by </w:t>
      </w:r>
      <w:r w:rsidR="00D96FC3">
        <w:t>Deutsche Hypo</w:t>
      </w:r>
      <w:r w:rsidR="00B26D65" w:rsidRPr="00B111AD">
        <w:rPr>
          <w:rFonts w:eastAsiaTheme="minorHAnsi" w:cs="Verdana"/>
          <w:lang w:val="en-US" w:eastAsia="en-US"/>
        </w:rPr>
        <w:t xml:space="preserve">, </w:t>
      </w:r>
      <w:r w:rsidR="00D96FC3">
        <w:rPr>
          <w:rFonts w:eastAsiaTheme="minorHAnsi" w:cs="Verdana"/>
          <w:lang w:val="en-US" w:eastAsia="en-US"/>
        </w:rPr>
        <w:t>the other banks</w:t>
      </w:r>
      <w:r w:rsidR="00B26D65">
        <w:rPr>
          <w:rFonts w:eastAsiaTheme="minorHAnsi" w:cs="Verdana"/>
          <w:lang w:val="en-US" w:eastAsia="en-US"/>
        </w:rPr>
        <w:t xml:space="preserve"> being </w:t>
      </w:r>
      <w:r w:rsidR="00B26D65" w:rsidRPr="00B111AD">
        <w:rPr>
          <w:rFonts w:eastAsiaTheme="minorHAnsi" w:cs="Verdana"/>
          <w:lang w:val="en-US" w:eastAsia="en-US"/>
        </w:rPr>
        <w:t>Landesbank Hessen-Thüringen (Helab</w:t>
      </w:r>
      <w:r w:rsidR="00B26D65" w:rsidRPr="00911133">
        <w:rPr>
          <w:rFonts w:eastAsiaTheme="minorHAnsi" w:cs="Verdana"/>
          <w:lang w:val="en-US" w:eastAsia="en-US"/>
        </w:rPr>
        <w:t>a), Uni</w:t>
      </w:r>
      <w:r w:rsidR="00B26D65" w:rsidRPr="006067D3">
        <w:rPr>
          <w:rFonts w:eastAsiaTheme="minorHAnsi" w:cs="Verdana"/>
          <w:lang w:val="en-US" w:eastAsia="en-US"/>
        </w:rPr>
        <w:t>Credit Bank and Eurohypo</w:t>
      </w:r>
      <w:r w:rsidR="00B26D65">
        <w:rPr>
          <w:rFonts w:eastAsiaTheme="minorHAnsi" w:cs="Verdana"/>
          <w:lang w:val="en-US" w:eastAsia="en-US"/>
        </w:rPr>
        <w:t xml:space="preserve"> </w:t>
      </w:r>
      <w:r w:rsidR="00B26D65">
        <w:t>(BNP Paribas REIM, 2014)</w:t>
      </w:r>
      <w:r w:rsidR="00B26D65" w:rsidRPr="006067D3">
        <w:rPr>
          <w:rFonts w:eastAsiaTheme="minorHAnsi" w:cs="Verdana"/>
          <w:lang w:val="en-US" w:eastAsia="en-US"/>
        </w:rPr>
        <w:t>.</w:t>
      </w:r>
      <w:r w:rsidR="00B26D65" w:rsidRPr="00B111AD">
        <w:rPr>
          <w:rFonts w:eastAsiaTheme="minorHAnsi" w:cs="Verdana"/>
          <w:lang w:val="en-US" w:eastAsia="en-US"/>
        </w:rPr>
        <w:t> </w:t>
      </w:r>
      <w:r w:rsidR="00763FFC">
        <w:t>T</w:t>
      </w:r>
      <w:r w:rsidR="00B26D65">
        <w:t xml:space="preserve">he project was </w:t>
      </w:r>
      <w:r w:rsidR="00D96FC3">
        <w:t xml:space="preserve">equity </w:t>
      </w:r>
      <w:r w:rsidR="0069171A">
        <w:t>financed</w:t>
      </w:r>
      <w:r w:rsidR="00B26D65" w:rsidRPr="00657CA2">
        <w:t xml:space="preserve"> by</w:t>
      </w:r>
      <w:r w:rsidR="00B26D65">
        <w:t xml:space="preserve"> </w:t>
      </w:r>
      <w:r w:rsidR="00B26D65" w:rsidRPr="00657CA2">
        <w:t>a number institutional investors</w:t>
      </w:r>
      <w:r w:rsidR="00B26D65">
        <w:t xml:space="preserve">: </w:t>
      </w:r>
      <w:r w:rsidR="00B26D65" w:rsidRPr="00657CA2">
        <w:t>Bayerischer Versorgungskammer (BVK)</w:t>
      </w:r>
      <w:r w:rsidR="00954D9E">
        <w:t xml:space="preserve"> (</w:t>
      </w:r>
      <w:r w:rsidR="00954D9E" w:rsidRPr="00657CA2">
        <w:t>€</w:t>
      </w:r>
      <w:r w:rsidR="00954D9E">
        <w:t>450M);</w:t>
      </w:r>
      <w:r w:rsidR="00B26D65">
        <w:t xml:space="preserve"> </w:t>
      </w:r>
      <w:r w:rsidR="00B26D65" w:rsidRPr="00657CA2">
        <w:t>BNP Paribas REIM</w:t>
      </w:r>
      <w:r w:rsidR="00B26D65">
        <w:t xml:space="preserve"> </w:t>
      </w:r>
      <w:r w:rsidR="00954D9E">
        <w:t xml:space="preserve">(€150M) </w:t>
      </w:r>
      <w:r w:rsidR="0069171A">
        <w:t>and Deutsche Hypo</w:t>
      </w:r>
      <w:r w:rsidR="00954D9E">
        <w:t xml:space="preserve"> – lead agent</w:t>
      </w:r>
      <w:r w:rsidR="0069171A">
        <w:t xml:space="preserve"> (€80M)</w:t>
      </w:r>
      <w:r w:rsidR="00B26D65" w:rsidRPr="00657CA2">
        <w:t xml:space="preserve">. </w:t>
      </w:r>
      <w:r w:rsidR="00B26D65">
        <w:t>C</w:t>
      </w:r>
      <w:r w:rsidR="00B26D65" w:rsidRPr="00657CA2">
        <w:t xml:space="preserve">redit </w:t>
      </w:r>
      <w:r w:rsidR="00B26D65">
        <w:t xml:space="preserve">was provided </w:t>
      </w:r>
      <w:r w:rsidR="00B26D65" w:rsidRPr="00657CA2">
        <w:t>for 10 years</w:t>
      </w:r>
      <w:r w:rsidR="00B26D65">
        <w:t xml:space="preserve"> (BNP Paribas REIM, 2014)</w:t>
      </w:r>
      <w:r w:rsidR="00B26D65" w:rsidRPr="00657CA2">
        <w:t xml:space="preserve">. </w:t>
      </w:r>
    </w:p>
    <w:p w:rsidR="001915FD" w:rsidRDefault="001915FD" w:rsidP="00392C82">
      <w:pPr>
        <w:spacing w:line="360" w:lineRule="auto"/>
        <w:jc w:val="both"/>
      </w:pPr>
    </w:p>
    <w:p w:rsidR="001915FD" w:rsidRDefault="001915FD" w:rsidP="00392C82">
      <w:pPr>
        <w:spacing w:line="360" w:lineRule="auto"/>
        <w:jc w:val="both"/>
        <w:rPr>
          <w:i/>
        </w:rPr>
      </w:pPr>
      <w:r w:rsidRPr="001915FD">
        <w:rPr>
          <w:i/>
        </w:rPr>
        <w:t xml:space="preserve">4.3. </w:t>
      </w:r>
      <w:r w:rsidR="001B5BD0" w:rsidRPr="001915FD">
        <w:rPr>
          <w:i/>
        </w:rPr>
        <w:t>Lammenschans</w:t>
      </w:r>
      <w:r>
        <w:rPr>
          <w:i/>
        </w:rPr>
        <w:t>, City of Leiden, Netherlands</w:t>
      </w:r>
    </w:p>
    <w:p w:rsidR="008731C1" w:rsidRDefault="008731C1" w:rsidP="00392C82">
      <w:pPr>
        <w:spacing w:line="360" w:lineRule="auto"/>
        <w:jc w:val="both"/>
        <w:rPr>
          <w:i/>
        </w:rPr>
      </w:pPr>
    </w:p>
    <w:p w:rsidR="008731C1" w:rsidRDefault="00C25DF0" w:rsidP="008731C1">
      <w:pPr>
        <w:spacing w:line="360" w:lineRule="auto"/>
        <w:jc w:val="both"/>
      </w:pPr>
      <w:r>
        <w:t>Another interesting site case that demonstrated a new innovative blend of financing is</w:t>
      </w:r>
      <w:r w:rsidR="008731C1">
        <w:t xml:space="preserve"> Lammenschans development project</w:t>
      </w:r>
      <w:r w:rsidR="00FD2A92">
        <w:t>;</w:t>
      </w:r>
      <w:r w:rsidR="008731C1">
        <w:t xml:space="preserve"> located in the city of Leiden (120,000 inhabitants) in the west of the Netherlands. The development area is situated at </w:t>
      </w:r>
      <w:r w:rsidR="00482FD6">
        <w:t xml:space="preserve">the </w:t>
      </w:r>
      <w:r w:rsidR="008731C1">
        <w:t xml:space="preserve">southern borders of Leiden, adjacent to the railway station Leiden Lammenschans. The municipality determined a strategy </w:t>
      </w:r>
      <w:r>
        <w:t>that</w:t>
      </w:r>
      <w:r w:rsidR="008731C1">
        <w:t xml:space="preserve"> subdivided the area into different building envelopes wit</w:t>
      </w:r>
      <w:r>
        <w:t>h</w:t>
      </w:r>
      <w:r w:rsidR="008731C1">
        <w:t xml:space="preserve"> some land use planning restrictions. </w:t>
      </w:r>
      <w:r w:rsidR="008731C1" w:rsidRPr="00582EE1">
        <w:t>The redevelo</w:t>
      </w:r>
      <w:r w:rsidR="00F61C43">
        <w:t>pment involved</w:t>
      </w:r>
      <w:r>
        <w:t xml:space="preserve"> restructuring</w:t>
      </w:r>
      <w:r w:rsidR="008731C1">
        <w:t xml:space="preserve"> the </w:t>
      </w:r>
      <w:r>
        <w:t>site into a mixed-use area with several</w:t>
      </w:r>
      <w:r w:rsidR="008731C1">
        <w:t xml:space="preserve"> </w:t>
      </w:r>
      <w:r>
        <w:t>use</w:t>
      </w:r>
      <w:r w:rsidR="008731C1">
        <w:t xml:space="preserve">s </w:t>
      </w:r>
      <w:r w:rsidR="005D6FCA">
        <w:t>including a</w:t>
      </w:r>
      <w:r w:rsidR="008731C1">
        <w:t xml:space="preserve"> s</w:t>
      </w:r>
      <w:r w:rsidR="008731C1" w:rsidRPr="00582EE1">
        <w:t>chool</w:t>
      </w:r>
      <w:r w:rsidR="008731C1">
        <w:t>; housing (student, apartments); o</w:t>
      </w:r>
      <w:r w:rsidR="008731C1" w:rsidRPr="00582EE1">
        <w:t>ffices</w:t>
      </w:r>
      <w:r w:rsidR="008731C1">
        <w:t>; retail</w:t>
      </w:r>
      <w:r>
        <w:t xml:space="preserve"> centres</w:t>
      </w:r>
      <w:r w:rsidR="008731C1">
        <w:t>; p</w:t>
      </w:r>
      <w:r w:rsidR="008731C1" w:rsidRPr="00582EE1">
        <w:t xml:space="preserve">arks </w:t>
      </w:r>
      <w:r>
        <w:t>and</w:t>
      </w:r>
      <w:r w:rsidR="008731C1" w:rsidRPr="00582EE1">
        <w:t xml:space="preserve"> </w:t>
      </w:r>
      <w:r w:rsidR="008731C1">
        <w:t xml:space="preserve">squares; industrial </w:t>
      </w:r>
      <w:r>
        <w:t>buildings</w:t>
      </w:r>
      <w:r w:rsidR="00E22F88">
        <w:t xml:space="preserve">; </w:t>
      </w:r>
      <w:r>
        <w:t>and</w:t>
      </w:r>
      <w:r w:rsidR="008731C1">
        <w:t xml:space="preserve"> service</w:t>
      </w:r>
      <w:r>
        <w:t xml:space="preserve"> outlets</w:t>
      </w:r>
      <w:r w:rsidR="00437919">
        <w:t xml:space="preserve"> (</w:t>
      </w:r>
      <w:r w:rsidR="007339E7" w:rsidRPr="00E3326D">
        <w:t>Interviewee 9).</w:t>
      </w:r>
      <w:r w:rsidR="008731C1">
        <w:t xml:space="preserve"> </w:t>
      </w:r>
    </w:p>
    <w:p w:rsidR="008731C1" w:rsidRPr="003118E3" w:rsidRDefault="008731C1" w:rsidP="008731C1">
      <w:pPr>
        <w:spacing w:after="200" w:line="276" w:lineRule="auto"/>
      </w:pPr>
    </w:p>
    <w:p w:rsidR="00F61C43" w:rsidRDefault="005D6FCA" w:rsidP="00B26D65">
      <w:pPr>
        <w:spacing w:line="360" w:lineRule="auto"/>
        <w:jc w:val="both"/>
      </w:pPr>
      <w:r>
        <w:t>E</w:t>
      </w:r>
      <w:r w:rsidR="00C25DF0">
        <w:t>xisting land-</w:t>
      </w:r>
      <w:r w:rsidR="008731C1">
        <w:t xml:space="preserve">owners and potentially interested real estate development companies </w:t>
      </w:r>
      <w:r w:rsidR="00C25DF0">
        <w:t>were</w:t>
      </w:r>
      <w:r w:rsidR="008731C1">
        <w:t xml:space="preserve"> tak</w:t>
      </w:r>
      <w:r w:rsidR="00C25DF0">
        <w:t>ing</w:t>
      </w:r>
      <w:r w:rsidR="008731C1">
        <w:t xml:space="preserve"> the initiative in securing finance and negotiating land ownership boundaries for the real estate development.  </w:t>
      </w:r>
      <w:r w:rsidR="00B26D65">
        <w:t xml:space="preserve">Innovation in this case study lies in the use of </w:t>
      </w:r>
      <w:r w:rsidR="00B26D65" w:rsidRPr="00E772B1">
        <w:t>‘land readjustment financing’</w:t>
      </w:r>
      <w:r w:rsidR="00B26D65">
        <w:t xml:space="preserve"> or ‘urban land readjustment financing’ (</w:t>
      </w:r>
      <w:r w:rsidR="00B26D65" w:rsidRPr="00F9774F">
        <w:t>Van der Krabben</w:t>
      </w:r>
      <w:r w:rsidR="00B26D65">
        <w:rPr>
          <w:rFonts w:cs="ScalaSansPro-Regular"/>
          <w:lang w:val="nl-NL"/>
        </w:rPr>
        <w:t xml:space="preserve"> and Needham, 2008),</w:t>
      </w:r>
      <w:r w:rsidR="00B26D65">
        <w:t xml:space="preserve"> which is a public planning instrument tailored at de-risking real estate development and creating potential value gain for private property owners and developers (</w:t>
      </w:r>
      <w:r w:rsidR="00B26D65" w:rsidRPr="00F9774F">
        <w:t xml:space="preserve">Van </w:t>
      </w:r>
      <w:r w:rsidR="00B26D65">
        <w:t xml:space="preserve">der Krabben and Heurkens, </w:t>
      </w:r>
      <w:r w:rsidR="00B26D65" w:rsidRPr="00F9774F">
        <w:t>2015</w:t>
      </w:r>
      <w:r w:rsidR="00B26D65">
        <w:t xml:space="preserve">). </w:t>
      </w:r>
    </w:p>
    <w:p w:rsidR="00B26D65" w:rsidRDefault="00B26D65" w:rsidP="00B26D65">
      <w:pPr>
        <w:spacing w:line="360" w:lineRule="auto"/>
        <w:jc w:val="both"/>
      </w:pPr>
    </w:p>
    <w:p w:rsidR="00B26D65" w:rsidRDefault="00B26D65" w:rsidP="00392C82">
      <w:pPr>
        <w:spacing w:line="360" w:lineRule="auto"/>
        <w:jc w:val="both"/>
      </w:pPr>
      <w:r>
        <w:t xml:space="preserve">Based on this </w:t>
      </w:r>
      <w:r w:rsidR="00C25DF0">
        <w:t xml:space="preserve">finance blend </w:t>
      </w:r>
      <w:r w:rsidR="00F61C43">
        <w:t>mechanism</w:t>
      </w:r>
      <w:r>
        <w:t xml:space="preserve">, owners of </w:t>
      </w:r>
      <w:r w:rsidR="00C25DF0">
        <w:t xml:space="preserve">the </w:t>
      </w:r>
      <w:r>
        <w:t>land and property exchange</w:t>
      </w:r>
      <w:r w:rsidR="00C25DF0">
        <w:t>d</w:t>
      </w:r>
      <w:r w:rsidR="005B6B5F">
        <w:t xml:space="preserve"> ownership rights over land</w:t>
      </w:r>
      <w:r>
        <w:t xml:space="preserve"> to enable the re-parcelling of the lan</w:t>
      </w:r>
      <w:r w:rsidR="005B6B5F">
        <w:t>d into suitable building plots</w:t>
      </w:r>
      <w:r w:rsidR="00E22F88">
        <w:t xml:space="preserve"> —</w:t>
      </w:r>
      <w:r w:rsidR="005B6B5F">
        <w:t xml:space="preserve"> in </w:t>
      </w:r>
      <w:r>
        <w:t>accord</w:t>
      </w:r>
      <w:r w:rsidR="005B6B5F">
        <w:t>ance</w:t>
      </w:r>
      <w:r>
        <w:t xml:space="preserve"> to the propose</w:t>
      </w:r>
      <w:r w:rsidR="00C25DF0">
        <w:t>d re</w:t>
      </w:r>
      <w:r>
        <w:t xml:space="preserve">development of </w:t>
      </w:r>
      <w:r w:rsidR="00C25DF0">
        <w:t>the specific site</w:t>
      </w:r>
      <w:r>
        <w:t xml:space="preserve">. The temporary transfer of land rights </w:t>
      </w:r>
      <w:r w:rsidR="00C25DF0">
        <w:t xml:space="preserve">went </w:t>
      </w:r>
      <w:r>
        <w:t xml:space="preserve">to a self-governing body </w:t>
      </w:r>
      <w:r w:rsidR="00786D45">
        <w:t xml:space="preserve">that </w:t>
      </w:r>
      <w:r w:rsidR="005B6B5F">
        <w:t>enabled</w:t>
      </w:r>
      <w:r w:rsidR="00C25DF0">
        <w:t xml:space="preserve"> contributions to the several organisations for any cost recovery</w:t>
      </w:r>
      <w:r>
        <w:t xml:space="preserve">. </w:t>
      </w:r>
      <w:r w:rsidR="00786D45">
        <w:t>This particular financial innovation</w:t>
      </w:r>
      <w:r>
        <w:t xml:space="preserve"> </w:t>
      </w:r>
      <w:r w:rsidR="00786D45">
        <w:t>allows</w:t>
      </w:r>
      <w:r>
        <w:t xml:space="preserve"> property owners</w:t>
      </w:r>
      <w:r w:rsidR="00786D45">
        <w:t xml:space="preserve"> to have the initiative and lead with a publically controlled</w:t>
      </w:r>
      <w:r>
        <w:t xml:space="preserve"> st</w:t>
      </w:r>
      <w:r w:rsidR="00786D45">
        <w:t>rategic tool for redevelopment</w:t>
      </w:r>
      <w:r>
        <w:t xml:space="preserve">. The </w:t>
      </w:r>
      <w:r w:rsidR="00F61C43">
        <w:t xml:space="preserve">mechanism </w:t>
      </w:r>
      <w:r>
        <w:t xml:space="preserve">has been recently introduced into the Netherlands </w:t>
      </w:r>
      <w:r w:rsidR="00786D45">
        <w:t xml:space="preserve">more widely </w:t>
      </w:r>
      <w:r>
        <w:t>and is believed to be especially usef</w:t>
      </w:r>
      <w:r w:rsidR="00786D45">
        <w:t>ul for transformation projects</w:t>
      </w:r>
      <w:r w:rsidR="005B6B5F">
        <w:t>. Furthermore, the mechanism</w:t>
      </w:r>
      <w:r>
        <w:t xml:space="preserve"> fits well </w:t>
      </w:r>
      <w:r w:rsidR="00786D45">
        <w:t xml:space="preserve">for </w:t>
      </w:r>
      <w:r w:rsidR="00461BC5">
        <w:t>land-</w:t>
      </w:r>
      <w:r w:rsidR="00786D45">
        <w:t>owners and developers to kick-start stalling sites, given</w:t>
      </w:r>
      <w:r>
        <w:t xml:space="preserve"> the current tendency towards passive municipal land development strategies. </w:t>
      </w:r>
    </w:p>
    <w:p w:rsidR="00392C82" w:rsidRPr="009D42F8" w:rsidRDefault="00392C82" w:rsidP="00392C82">
      <w:pPr>
        <w:spacing w:line="360" w:lineRule="auto"/>
        <w:jc w:val="both"/>
        <w:rPr>
          <w:i/>
        </w:rPr>
      </w:pPr>
    </w:p>
    <w:p w:rsidR="003C2946" w:rsidRPr="003C2946" w:rsidRDefault="00CC14D4" w:rsidP="003C2946">
      <w:pPr>
        <w:pStyle w:val="ListParagraph"/>
        <w:numPr>
          <w:ilvl w:val="0"/>
          <w:numId w:val="29"/>
        </w:numPr>
        <w:spacing w:line="360" w:lineRule="auto"/>
        <w:jc w:val="both"/>
        <w:rPr>
          <w:b/>
        </w:rPr>
      </w:pPr>
      <w:r>
        <w:rPr>
          <w:b/>
        </w:rPr>
        <w:t xml:space="preserve">Analysis: </w:t>
      </w:r>
      <w:r w:rsidR="00AD78FB" w:rsidRPr="003C2946">
        <w:rPr>
          <w:b/>
        </w:rPr>
        <w:t>E</w:t>
      </w:r>
      <w:r w:rsidR="00A274E3" w:rsidRPr="003C2946">
        <w:rPr>
          <w:b/>
        </w:rPr>
        <w:t xml:space="preserve">vidence from the </w:t>
      </w:r>
      <w:r w:rsidR="00AF2D49">
        <w:rPr>
          <w:b/>
        </w:rPr>
        <w:t xml:space="preserve">Non-Case </w:t>
      </w:r>
      <w:r w:rsidR="00A274E3" w:rsidRPr="003C2946">
        <w:rPr>
          <w:b/>
        </w:rPr>
        <w:t>I</w:t>
      </w:r>
      <w:r w:rsidR="00AD78FB" w:rsidRPr="003C2946">
        <w:rPr>
          <w:b/>
        </w:rPr>
        <w:t>nterviewees</w:t>
      </w:r>
      <w:r w:rsidR="00B26D65" w:rsidRPr="003C2946">
        <w:rPr>
          <w:b/>
        </w:rPr>
        <w:t xml:space="preserve"> and Literature</w:t>
      </w:r>
    </w:p>
    <w:p w:rsidR="003C2946" w:rsidRPr="003C2946" w:rsidRDefault="003C2946" w:rsidP="003C2946">
      <w:pPr>
        <w:spacing w:line="360" w:lineRule="auto"/>
        <w:jc w:val="both"/>
        <w:rPr>
          <w:b/>
        </w:rPr>
      </w:pPr>
    </w:p>
    <w:p w:rsidR="00392C82" w:rsidRDefault="00B476ED" w:rsidP="00B15D0E">
      <w:pPr>
        <w:spacing w:line="360" w:lineRule="auto"/>
        <w:jc w:val="both"/>
      </w:pPr>
      <w:r>
        <w:t xml:space="preserve">From the </w:t>
      </w:r>
      <w:r w:rsidR="00C90DDA">
        <w:t xml:space="preserve">range of </w:t>
      </w:r>
      <w:r w:rsidR="005328A6">
        <w:t>interview</w:t>
      </w:r>
      <w:r>
        <w:t>s</w:t>
      </w:r>
      <w:r w:rsidR="005328A6">
        <w:t xml:space="preserve"> on </w:t>
      </w:r>
      <w:r w:rsidR="00C90DDA">
        <w:t>innovative development finance</w:t>
      </w:r>
      <w:r w:rsidR="005B6B5F">
        <w:t>,</w:t>
      </w:r>
      <w:r w:rsidR="00C90DDA">
        <w:t xml:space="preserve"> a </w:t>
      </w:r>
      <w:r w:rsidR="00DF3748">
        <w:t>complex innovative blend</w:t>
      </w:r>
      <w:r w:rsidR="001C0B41">
        <w:t xml:space="preserve"> wa</w:t>
      </w:r>
      <w:r w:rsidR="00C90DDA">
        <w:t xml:space="preserve">s presented. </w:t>
      </w:r>
      <w:r w:rsidR="00DF3748">
        <w:t xml:space="preserve">To unpack and understand this blend more deeply, finance provision </w:t>
      </w:r>
      <w:r w:rsidR="001C0B41">
        <w:t>was seen to be</w:t>
      </w:r>
      <w:r w:rsidR="00DF3748">
        <w:t xml:space="preserve"> moving</w:t>
      </w:r>
      <w:r w:rsidR="00392C82">
        <w:t xml:space="preserve"> towards </w:t>
      </w:r>
      <w:r w:rsidR="00DF3748">
        <w:t>partnerships such as those set within</w:t>
      </w:r>
      <w:r w:rsidR="0063268C">
        <w:t xml:space="preserve"> PPP </w:t>
      </w:r>
      <w:r w:rsidR="00DF3748">
        <w:t>(Public Private Partnerships)</w:t>
      </w:r>
      <w:r w:rsidR="00392C82">
        <w:t xml:space="preserve"> – </w:t>
      </w:r>
      <w:r w:rsidR="0017021B">
        <w:t>as well as</w:t>
      </w:r>
      <w:r w:rsidR="00392C82">
        <w:t xml:space="preserve"> </w:t>
      </w:r>
      <w:r w:rsidR="001C0B41">
        <w:t xml:space="preserve">partnerships involving </w:t>
      </w:r>
      <w:r w:rsidR="00DF3748">
        <w:t xml:space="preserve">private foreign </w:t>
      </w:r>
      <w:r w:rsidR="00392C82">
        <w:t xml:space="preserve">institutional </w:t>
      </w:r>
      <w:r w:rsidR="00DF3748">
        <w:t xml:space="preserve">equity funds </w:t>
      </w:r>
      <w:r w:rsidR="00392C82">
        <w:t>and private development loans</w:t>
      </w:r>
      <w:r w:rsidR="00C02D64">
        <w:t xml:space="preserve"> </w:t>
      </w:r>
      <w:r w:rsidR="007339E7" w:rsidRPr="00E3326D">
        <w:t>(Interviewee 14)</w:t>
      </w:r>
      <w:r w:rsidR="00392C82" w:rsidRPr="00E3326D">
        <w:t>.</w:t>
      </w:r>
      <w:r w:rsidR="00392C82">
        <w:t xml:space="preserve"> </w:t>
      </w:r>
      <w:r w:rsidR="00DF3748">
        <w:t>As examples of this partner finance, one interviewee in the provision of residential private renting described encouragement of more overseas institutional equity as part of the blend (Interviewee 2)</w:t>
      </w:r>
      <w:r w:rsidR="00DF3748" w:rsidRPr="006E0C07">
        <w:t>.</w:t>
      </w:r>
      <w:r w:rsidR="00DF3748">
        <w:t xml:space="preserve"> </w:t>
      </w:r>
      <w:r w:rsidR="001C0B41">
        <w:t>For</w:t>
      </w:r>
      <w:r w:rsidR="00DF3748">
        <w:t xml:space="preserve"> another example</w:t>
      </w:r>
      <w:r w:rsidR="001C0B41">
        <w:t>, partnerships encouraged a blending of infrastructure</w:t>
      </w:r>
      <w:r w:rsidR="00392C82">
        <w:t xml:space="preserve"> financ</w:t>
      </w:r>
      <w:r w:rsidR="00DF3748">
        <w:t xml:space="preserve">e as part of large-scale real estate development projects. </w:t>
      </w:r>
      <w:r w:rsidR="001C0B41">
        <w:t>Moreover,</w:t>
      </w:r>
      <w:r w:rsidR="00DF3748">
        <w:t xml:space="preserve"> the infrastructure component </w:t>
      </w:r>
      <w:r w:rsidR="005B6B5F">
        <w:t xml:space="preserve">of development finance </w:t>
      </w:r>
      <w:r w:rsidR="001C0B41">
        <w:t xml:space="preserve">was argued to </w:t>
      </w:r>
      <w:r w:rsidR="00DF3748">
        <w:t xml:space="preserve">be </w:t>
      </w:r>
      <w:r w:rsidR="00392C82" w:rsidRPr="0027291D">
        <w:t>a growing area of interest for institution</w:t>
      </w:r>
      <w:r w:rsidR="00DF3748">
        <w:t xml:space="preserve">al and unlisted fund investors - </w:t>
      </w:r>
      <w:r w:rsidR="00392C82" w:rsidRPr="0027291D">
        <w:t>with many institutions attracted to the asset class by the offer of stable, long-term and low-risk returns</w:t>
      </w:r>
      <w:r w:rsidR="00AC4606">
        <w:t xml:space="preserve">, uncorrelated with other asset classes. </w:t>
      </w:r>
    </w:p>
    <w:p w:rsidR="00392C82" w:rsidRDefault="00392C82" w:rsidP="00392C82">
      <w:pPr>
        <w:widowControl w:val="0"/>
        <w:autoSpaceDE w:val="0"/>
        <w:autoSpaceDN w:val="0"/>
        <w:adjustRightInd w:val="0"/>
        <w:spacing w:line="360" w:lineRule="auto"/>
        <w:jc w:val="both"/>
      </w:pPr>
    </w:p>
    <w:p w:rsidR="00392C82" w:rsidRDefault="00392C82" w:rsidP="00025F7F">
      <w:pPr>
        <w:widowControl w:val="0"/>
        <w:autoSpaceDE w:val="0"/>
        <w:autoSpaceDN w:val="0"/>
        <w:adjustRightInd w:val="0"/>
        <w:spacing w:line="360" w:lineRule="auto"/>
        <w:jc w:val="both"/>
      </w:pPr>
      <w:r>
        <w:t xml:space="preserve">Whether the real estate development cycle is rising or falling, </w:t>
      </w:r>
      <w:r w:rsidR="00957A22">
        <w:t>large-scale</w:t>
      </w:r>
      <w:r>
        <w:t xml:space="preserve"> projects tend to </w:t>
      </w:r>
      <w:r w:rsidR="00D761F3">
        <w:t xml:space="preserve">have </w:t>
      </w:r>
      <w:r>
        <w:t xml:space="preserve">longer </w:t>
      </w:r>
      <w:r w:rsidR="00025F7F">
        <w:t>phasing</w:t>
      </w:r>
      <w:r>
        <w:t xml:space="preserve"> – </w:t>
      </w:r>
      <w:r w:rsidR="00025F7F">
        <w:t>and</w:t>
      </w:r>
      <w:r>
        <w:t xml:space="preserve"> the market needs time to adjust via stimulus to its </w:t>
      </w:r>
      <w:r w:rsidR="00025F7F">
        <w:t xml:space="preserve">supply side market </w:t>
      </w:r>
      <w:r>
        <w:t xml:space="preserve">inefficiencies. Innovations in </w:t>
      </w:r>
      <w:r w:rsidR="005B6B5F">
        <w:t xml:space="preserve">development </w:t>
      </w:r>
      <w:r>
        <w:t xml:space="preserve">finance can fit this longer </w:t>
      </w:r>
      <w:r w:rsidR="00025F7F">
        <w:t xml:space="preserve">trajectory </w:t>
      </w:r>
      <w:r>
        <w:t xml:space="preserve">by blending new financial </w:t>
      </w:r>
      <w:r w:rsidR="0063268C">
        <w:t>mecha</w:t>
      </w:r>
      <w:r w:rsidR="00D761F3">
        <w:t>n</w:t>
      </w:r>
      <w:r w:rsidR="0063268C">
        <w:t>isms</w:t>
      </w:r>
      <w:r>
        <w:t xml:space="preserve"> </w:t>
      </w:r>
      <w:r w:rsidR="008069D4">
        <w:t>that lock into different phases of a project</w:t>
      </w:r>
      <w:r w:rsidR="00322C9E">
        <w:t xml:space="preserve"> – such as financing site acquisition, site assembly, and construction</w:t>
      </w:r>
      <w:r>
        <w:t xml:space="preserve">. </w:t>
      </w:r>
      <w:r w:rsidR="00322C9E">
        <w:t>It was argued that this finance blending over phases</w:t>
      </w:r>
      <w:r>
        <w:t xml:space="preserve"> is </w:t>
      </w:r>
      <w:r w:rsidR="00322C9E">
        <w:t xml:space="preserve">paramount to </w:t>
      </w:r>
      <w:r w:rsidR="00482FD6">
        <w:t xml:space="preserve">the </w:t>
      </w:r>
      <w:r>
        <w:t>long game</w:t>
      </w:r>
      <w:r w:rsidR="00322C9E">
        <w:t xml:space="preserve"> of large-scale real estate development projects,</w:t>
      </w:r>
      <w:r>
        <w:t xml:space="preserve"> and </w:t>
      </w:r>
      <w:r w:rsidR="00322C9E">
        <w:t xml:space="preserve">that this longer-term investment is more conducive to larger and more flexible funding ‘pots’ generated by </w:t>
      </w:r>
      <w:r>
        <w:t xml:space="preserve">institutional </w:t>
      </w:r>
      <w:r w:rsidR="00246109">
        <w:rPr>
          <w:rFonts w:cstheme="minorHAnsi"/>
        </w:rPr>
        <w:t>f</w:t>
      </w:r>
      <w:r w:rsidR="00322C9E">
        <w:rPr>
          <w:rFonts w:cstheme="minorHAnsi"/>
        </w:rPr>
        <w:t>unders</w:t>
      </w:r>
      <w:r>
        <w:t>. Indeed</w:t>
      </w:r>
      <w:r w:rsidR="00025F7F">
        <w:t>,</w:t>
      </w:r>
      <w:r>
        <w:t xml:space="preserve"> the shift to </w:t>
      </w:r>
      <w:r w:rsidRPr="00904035">
        <w:t xml:space="preserve">institutional </w:t>
      </w:r>
      <w:r w:rsidR="00322C9E">
        <w:t>funding</w:t>
      </w:r>
      <w:r w:rsidRPr="00904035">
        <w:t xml:space="preserve"> </w:t>
      </w:r>
      <w:r>
        <w:t xml:space="preserve">was seen to arise </w:t>
      </w:r>
      <w:r w:rsidR="00322C9E">
        <w:t>if the</w:t>
      </w:r>
      <w:r>
        <w:t xml:space="preserve"> </w:t>
      </w:r>
      <w:r w:rsidR="00322C9E">
        <w:t>relationships with banks</w:t>
      </w:r>
      <w:r>
        <w:t xml:space="preserve"> </w:t>
      </w:r>
      <w:r w:rsidRPr="00904035">
        <w:t>becom</w:t>
      </w:r>
      <w:r w:rsidR="00322C9E">
        <w:t>e more</w:t>
      </w:r>
      <w:r w:rsidRPr="00904035">
        <w:t xml:space="preserve"> difficult</w:t>
      </w:r>
      <w:r w:rsidR="00322C9E">
        <w:t>,</w:t>
      </w:r>
      <w:r>
        <w:t xml:space="preserve"> and</w:t>
      </w:r>
      <w:r w:rsidRPr="00904035">
        <w:t xml:space="preserve"> </w:t>
      </w:r>
      <w:r>
        <w:t xml:space="preserve">the long-term lending </w:t>
      </w:r>
      <w:r w:rsidRPr="00904035">
        <w:t xml:space="preserve">restrictions associated with </w:t>
      </w:r>
      <w:r w:rsidR="00025F7F">
        <w:t>borrowing</w:t>
      </w:r>
      <w:r w:rsidR="009B0C2B">
        <w:t xml:space="preserve"> become tigh</w:t>
      </w:r>
      <w:r w:rsidR="00322C9E">
        <w:t>ter</w:t>
      </w:r>
      <w:r w:rsidR="00025F7F">
        <w:t xml:space="preserve">. </w:t>
      </w:r>
      <w:r w:rsidR="00322C9E">
        <w:t xml:space="preserve">As such, it was argued that </w:t>
      </w:r>
      <w:r w:rsidR="00025F7F">
        <w:t>banks need</w:t>
      </w:r>
      <w:r w:rsidRPr="00904035">
        <w:t xml:space="preserve"> to lend on a long-term basis, </w:t>
      </w:r>
      <w:r w:rsidR="00025F7F">
        <w:t xml:space="preserve">or </w:t>
      </w:r>
      <w:r w:rsidRPr="00904035">
        <w:t xml:space="preserve">at least </w:t>
      </w:r>
      <w:r w:rsidR="00322C9E">
        <w:t>enable the developer to have</w:t>
      </w:r>
      <w:r w:rsidRPr="00904035">
        <w:t xml:space="preserve"> money in place for </w:t>
      </w:r>
      <w:r w:rsidR="00322C9E">
        <w:t>the start</w:t>
      </w:r>
      <w:r w:rsidRPr="00904035">
        <w:t xml:space="preserve"> of </w:t>
      </w:r>
      <w:r w:rsidR="00025F7F">
        <w:t>the project phases</w:t>
      </w:r>
      <w:r>
        <w:t xml:space="preserve"> </w:t>
      </w:r>
      <w:r w:rsidR="007339E7" w:rsidRPr="00E3326D">
        <w:t>(Interviewee 7</w:t>
      </w:r>
      <w:r w:rsidRPr="00E3326D">
        <w:t>).</w:t>
      </w:r>
    </w:p>
    <w:p w:rsidR="00392C82" w:rsidRDefault="00392C82" w:rsidP="00392C82">
      <w:pPr>
        <w:widowControl w:val="0"/>
        <w:autoSpaceDE w:val="0"/>
        <w:autoSpaceDN w:val="0"/>
        <w:adjustRightInd w:val="0"/>
        <w:spacing w:line="360" w:lineRule="auto"/>
        <w:jc w:val="both"/>
      </w:pPr>
    </w:p>
    <w:p w:rsidR="00ED6DE1" w:rsidRPr="00E3326D" w:rsidRDefault="00671D9D" w:rsidP="00DF50E3">
      <w:pPr>
        <w:widowControl w:val="0"/>
        <w:autoSpaceDE w:val="0"/>
        <w:autoSpaceDN w:val="0"/>
        <w:adjustRightInd w:val="0"/>
        <w:spacing w:line="360" w:lineRule="auto"/>
        <w:jc w:val="both"/>
      </w:pPr>
      <w:r>
        <w:t xml:space="preserve">As further </w:t>
      </w:r>
      <w:r w:rsidR="00482FD6">
        <w:t xml:space="preserve">evidence of </w:t>
      </w:r>
      <w:r>
        <w:t>the occurrence of innovative finance blends in development, i</w:t>
      </w:r>
      <w:r w:rsidR="00392C82">
        <w:t xml:space="preserve">t was </w:t>
      </w:r>
      <w:r w:rsidR="00482FD6">
        <w:t>argued</w:t>
      </w:r>
      <w:r w:rsidR="00392C82">
        <w:t xml:space="preserve"> that </w:t>
      </w:r>
      <w:r w:rsidR="00392C82" w:rsidRPr="00B750BA">
        <w:t xml:space="preserve">value capture </w:t>
      </w:r>
      <w:r w:rsidR="007E46A1">
        <w:t>would</w:t>
      </w:r>
      <w:r w:rsidR="00392C82">
        <w:t xml:space="preserve"> </w:t>
      </w:r>
      <w:r w:rsidR="00392C82" w:rsidRPr="00B750BA">
        <w:t xml:space="preserve">become a very important mechanism </w:t>
      </w:r>
      <w:r w:rsidR="00392C82">
        <w:t xml:space="preserve">as </w:t>
      </w:r>
      <w:r w:rsidR="00392C82" w:rsidRPr="00B750BA">
        <w:t xml:space="preserve">a way of securing </w:t>
      </w:r>
      <w:r>
        <w:t xml:space="preserve">financial </w:t>
      </w:r>
      <w:r w:rsidR="00392C82" w:rsidRPr="00B750BA">
        <w:t>advances for real estate development</w:t>
      </w:r>
      <w:r w:rsidR="00592664">
        <w:t xml:space="preserve"> </w:t>
      </w:r>
      <w:r w:rsidR="007339E7" w:rsidRPr="00E3326D">
        <w:t>(Interviewee 1).</w:t>
      </w:r>
      <w:r w:rsidR="00592664">
        <w:t xml:space="preserve"> </w:t>
      </w:r>
      <w:r>
        <w:t xml:space="preserve">In turn, the consequences of this part of the financial blend </w:t>
      </w:r>
      <w:r w:rsidR="00124787">
        <w:t xml:space="preserve">could place more pressure </w:t>
      </w:r>
      <w:r w:rsidR="00482FD6">
        <w:t xml:space="preserve">on </w:t>
      </w:r>
      <w:r w:rsidR="00592664">
        <w:t xml:space="preserve">the upward </w:t>
      </w:r>
      <w:r w:rsidR="00124787">
        <w:t>appreciation of asset value</w:t>
      </w:r>
      <w:r w:rsidR="00592664">
        <w:t>,</w:t>
      </w:r>
      <w:r w:rsidR="00392C82" w:rsidRPr="00B750BA">
        <w:t xml:space="preserve"> and </w:t>
      </w:r>
      <w:r w:rsidR="00124787">
        <w:t>highlight the need for the</w:t>
      </w:r>
      <w:r w:rsidR="00392C82" w:rsidRPr="00B750BA">
        <w:t xml:space="preserve"> public sector </w:t>
      </w:r>
      <w:r w:rsidR="00592664">
        <w:t>t</w:t>
      </w:r>
      <w:r w:rsidR="00124787">
        <w:t>o capture its share of the uplift</w:t>
      </w:r>
      <w:r w:rsidR="00592664">
        <w:t xml:space="preserve">. </w:t>
      </w:r>
      <w:r w:rsidR="00124787">
        <w:t>To further tap into any development value uplift</w:t>
      </w:r>
      <w:r w:rsidR="00392C82">
        <w:t xml:space="preserve">, </w:t>
      </w:r>
      <w:r w:rsidR="00124787">
        <w:t>further blending of finance</w:t>
      </w:r>
      <w:r w:rsidR="0063268C">
        <w:t xml:space="preserve"> </w:t>
      </w:r>
      <w:r w:rsidR="00124787">
        <w:t>could potentially lever-in</w:t>
      </w:r>
      <w:r w:rsidR="00392C82">
        <w:t xml:space="preserve"> </w:t>
      </w:r>
      <w:r w:rsidR="00124787">
        <w:t xml:space="preserve">greater </w:t>
      </w:r>
      <w:r w:rsidR="00392C82">
        <w:t>fees and contributions to the public authority</w:t>
      </w:r>
      <w:r w:rsidR="005E6900">
        <w:t xml:space="preserve"> </w:t>
      </w:r>
      <w:r w:rsidR="00E3326D" w:rsidRPr="00E3326D">
        <w:t>(I</w:t>
      </w:r>
      <w:r w:rsidR="007339E7" w:rsidRPr="00E3326D">
        <w:t>nterviewee 6).</w:t>
      </w:r>
    </w:p>
    <w:p w:rsidR="00ED6DE1" w:rsidRPr="00E3326D" w:rsidRDefault="00ED6DE1" w:rsidP="00DF50E3">
      <w:pPr>
        <w:widowControl w:val="0"/>
        <w:autoSpaceDE w:val="0"/>
        <w:autoSpaceDN w:val="0"/>
        <w:adjustRightInd w:val="0"/>
        <w:spacing w:line="360" w:lineRule="auto"/>
        <w:jc w:val="both"/>
      </w:pPr>
    </w:p>
    <w:p w:rsidR="000D3759" w:rsidRPr="00E3326D" w:rsidRDefault="008D19CC" w:rsidP="00834B9C">
      <w:pPr>
        <w:spacing w:line="360" w:lineRule="auto"/>
        <w:jc w:val="both"/>
        <w:rPr>
          <w:color w:val="008000"/>
        </w:rPr>
      </w:pPr>
      <w:r>
        <w:t>Blended i</w:t>
      </w:r>
      <w:r w:rsidR="00ED6DE1" w:rsidRPr="00E3326D">
        <w:t xml:space="preserve">nnovative financing mechanisms also involve </w:t>
      </w:r>
      <w:r>
        <w:t xml:space="preserve">the magnitude of the </w:t>
      </w:r>
      <w:r w:rsidR="00592664" w:rsidRPr="00E3326D">
        <w:t>cost, time,</w:t>
      </w:r>
      <w:r>
        <w:t xml:space="preserve"> and</w:t>
      </w:r>
      <w:r w:rsidR="00592664" w:rsidRPr="00E3326D">
        <w:t xml:space="preserve"> scale</w:t>
      </w:r>
      <w:r w:rsidR="00124787">
        <w:t xml:space="preserve"> </w:t>
      </w:r>
      <w:r>
        <w:t xml:space="preserve">of a development </w:t>
      </w:r>
      <w:r w:rsidR="00124787">
        <w:t xml:space="preserve">– with </w:t>
      </w:r>
      <w:r w:rsidR="00482FD6">
        <w:t xml:space="preserve">the </w:t>
      </w:r>
      <w:r>
        <w:t xml:space="preserve">financial </w:t>
      </w:r>
      <w:r w:rsidR="00124787">
        <w:t>risk</w:t>
      </w:r>
      <w:r>
        <w:t xml:space="preserve"> of these being mitigated</w:t>
      </w:r>
      <w:r w:rsidR="007339E7" w:rsidRPr="00E3326D">
        <w:t>.</w:t>
      </w:r>
      <w:r w:rsidR="00ED6DE1" w:rsidRPr="00E3326D">
        <w:t xml:space="preserve"> </w:t>
      </w:r>
      <w:r>
        <w:t>Financial r</w:t>
      </w:r>
      <w:r w:rsidR="00ED6DE1" w:rsidRPr="00E3326D">
        <w:t xml:space="preserve">isks in a </w:t>
      </w:r>
      <w:r>
        <w:t>development</w:t>
      </w:r>
      <w:r w:rsidR="00ED6DE1" w:rsidRPr="00E3326D">
        <w:t xml:space="preserve"> can be controlled for, provided all financial appraisal factors </w:t>
      </w:r>
      <w:r w:rsidR="00CA0229" w:rsidRPr="00E3326D">
        <w:t xml:space="preserve">and building performance </w:t>
      </w:r>
      <w:r>
        <w:t xml:space="preserve">indicators </w:t>
      </w:r>
      <w:r w:rsidR="00ED6DE1" w:rsidRPr="00E3326D">
        <w:t>have been considered</w:t>
      </w:r>
      <w:r w:rsidR="00CA0229" w:rsidRPr="00E3326D">
        <w:t xml:space="preserve"> </w:t>
      </w:r>
      <w:r w:rsidR="007339E7" w:rsidRPr="00E3326D">
        <w:t>(Interviewee 10).</w:t>
      </w:r>
      <w:r w:rsidR="00ED6DE1" w:rsidRPr="00E3326D">
        <w:t xml:space="preserve"> </w:t>
      </w:r>
      <w:r>
        <w:t>Furthermore, blended</w:t>
      </w:r>
      <w:r w:rsidR="00ED6DE1" w:rsidRPr="00E3326D">
        <w:t xml:space="preserve"> </w:t>
      </w:r>
      <w:r w:rsidR="00246109" w:rsidRPr="00E3326D">
        <w:rPr>
          <w:rFonts w:cstheme="minorHAnsi"/>
        </w:rPr>
        <w:t>innovative development finance</w:t>
      </w:r>
      <w:r w:rsidR="00ED6DE1" w:rsidRPr="00E3326D">
        <w:t xml:space="preserve"> can be accommodated based on strong financial appraisal methodologies. Appraisal depends on scale and it was argued that </w:t>
      </w:r>
      <w:r w:rsidR="00834B9C" w:rsidRPr="00E3326D">
        <w:t xml:space="preserve">appropriate </w:t>
      </w:r>
      <w:r w:rsidR="00ED6DE1" w:rsidRPr="00E3326D">
        <w:t>scale</w:t>
      </w:r>
      <w:r w:rsidR="00834B9C" w:rsidRPr="00E3326D">
        <w:t xml:space="preserve"> and sensible timeframe </w:t>
      </w:r>
      <w:r w:rsidR="00ED6DE1" w:rsidRPr="00E3326D">
        <w:t xml:space="preserve">can be at the root of </w:t>
      </w:r>
      <w:r w:rsidR="00834B9C" w:rsidRPr="00E3326D">
        <w:t>financial success</w:t>
      </w:r>
      <w:r w:rsidR="00ED6DE1" w:rsidRPr="00E3326D">
        <w:t xml:space="preserve"> in the development process </w:t>
      </w:r>
      <w:r w:rsidR="007339E7" w:rsidRPr="00E3326D">
        <w:t>(Interviewee 7).</w:t>
      </w:r>
      <w:r w:rsidR="00ED6DE1" w:rsidRPr="00E3326D">
        <w:t xml:space="preserve"> Diversity </w:t>
      </w:r>
      <w:r w:rsidR="009246C5">
        <w:t xml:space="preserve">of financial sources </w:t>
      </w:r>
      <w:r w:rsidR="00ED6DE1" w:rsidRPr="00E3326D">
        <w:t xml:space="preserve">is </w:t>
      </w:r>
      <w:r w:rsidR="00834B9C" w:rsidRPr="00E3326D">
        <w:t>also</w:t>
      </w:r>
      <w:r w:rsidR="00ED6DE1" w:rsidRPr="00E3326D">
        <w:t xml:space="preserve"> important for </w:t>
      </w:r>
      <w:r w:rsidR="009246C5">
        <w:t xml:space="preserve">risk strategies in </w:t>
      </w:r>
      <w:r w:rsidR="00ED6DE1" w:rsidRPr="00E3326D">
        <w:t>innovati</w:t>
      </w:r>
      <w:r w:rsidR="00834B9C" w:rsidRPr="00E3326D">
        <w:t>ve development finance</w:t>
      </w:r>
      <w:r w:rsidR="009246C5">
        <w:t>. P</w:t>
      </w:r>
      <w:r w:rsidR="00834B9C" w:rsidRPr="00E3326D">
        <w:t xml:space="preserve">articularly as </w:t>
      </w:r>
      <w:r w:rsidR="00ED6DE1" w:rsidRPr="00E3326D">
        <w:t xml:space="preserve">at the height of the last economic boom, 90% of funding was provided by a small number of banks </w:t>
      </w:r>
      <w:r w:rsidR="009246C5">
        <w:t xml:space="preserve">- </w:t>
      </w:r>
      <w:r w:rsidR="00ED6DE1" w:rsidRPr="00E3326D">
        <w:t>leaving</w:t>
      </w:r>
      <w:r w:rsidR="00D0633E" w:rsidRPr="00E3326D">
        <w:t xml:space="preserve"> borrowers and savers</w:t>
      </w:r>
      <w:r w:rsidR="00ED6DE1" w:rsidRPr="00E3326D">
        <w:t xml:space="preserve"> </w:t>
      </w:r>
      <w:r w:rsidR="009246C5">
        <w:t>highly exposed</w:t>
      </w:r>
      <w:r w:rsidR="00ED6DE1" w:rsidRPr="00E3326D">
        <w:t xml:space="preserve"> when the econom</w:t>
      </w:r>
      <w:r w:rsidR="00834B9C" w:rsidRPr="00E3326D">
        <w:t>y dipped</w:t>
      </w:r>
      <w:r w:rsidR="00ED6DE1" w:rsidRPr="00E3326D">
        <w:t xml:space="preserve"> </w:t>
      </w:r>
      <w:r w:rsidR="007339E7" w:rsidRPr="00E3326D">
        <w:t>(Interviewee 2).</w:t>
      </w:r>
    </w:p>
    <w:p w:rsidR="000D3759" w:rsidRPr="00E3326D" w:rsidRDefault="000D3759" w:rsidP="00392C82">
      <w:pPr>
        <w:spacing w:line="360" w:lineRule="auto"/>
        <w:jc w:val="both"/>
      </w:pPr>
    </w:p>
    <w:p w:rsidR="000D3759" w:rsidRDefault="009246C5" w:rsidP="00751AA2">
      <w:pPr>
        <w:spacing w:line="360" w:lineRule="auto"/>
        <w:jc w:val="both"/>
      </w:pPr>
      <w:r>
        <w:rPr>
          <w:rFonts w:cstheme="minorHAnsi"/>
        </w:rPr>
        <w:t>Good policy and good governance encourage the blend of innovative development finance</w:t>
      </w:r>
      <w:r w:rsidR="00392C82" w:rsidRPr="00E3326D">
        <w:t xml:space="preserve">. </w:t>
      </w:r>
      <w:r>
        <w:t xml:space="preserve">Policy has </w:t>
      </w:r>
      <w:r w:rsidR="00392C82" w:rsidRPr="00E3326D">
        <w:t>a guiding role in the financial blen</w:t>
      </w:r>
      <w:r>
        <w:t xml:space="preserve">d, for instance a policy that encourages </w:t>
      </w:r>
      <w:r w:rsidR="00392C82" w:rsidRPr="00E3326D">
        <w:t>developer</w:t>
      </w:r>
      <w:r>
        <w:t>s</w:t>
      </w:r>
      <w:r w:rsidR="00392C82" w:rsidRPr="00E3326D">
        <w:t xml:space="preserve"> </w:t>
      </w:r>
      <w:r>
        <w:t xml:space="preserve">to </w:t>
      </w:r>
      <w:r w:rsidR="00392C82" w:rsidRPr="00E3326D">
        <w:t xml:space="preserve">approach the local authority </w:t>
      </w:r>
      <w:r>
        <w:t xml:space="preserve">can in some instances </w:t>
      </w:r>
      <w:r w:rsidR="003A5BAA">
        <w:t>synergise and catalyse</w:t>
      </w:r>
      <w:r w:rsidR="00392C82" w:rsidRPr="00E3326D">
        <w:t xml:space="preserve"> site development</w:t>
      </w:r>
      <w:r>
        <w:t xml:space="preserve"> – rather than developers merely </w:t>
      </w:r>
      <w:r w:rsidR="00C968AF">
        <w:t>crowding-out</w:t>
      </w:r>
      <w:r>
        <w:t xml:space="preserve"> the public sector</w:t>
      </w:r>
      <w:r w:rsidR="00392C82" w:rsidRPr="00E3326D">
        <w:t xml:space="preserve">. </w:t>
      </w:r>
      <w:r w:rsidR="00301143">
        <w:t>For policy at an EU level, a number of</w:t>
      </w:r>
      <w:r w:rsidR="00301143" w:rsidRPr="00E3326D">
        <w:t xml:space="preserve"> interviewees stressed that the EU is keen to see its grant funding used more efficiently, especially as </w:t>
      </w:r>
      <w:r w:rsidR="00E22F88">
        <w:t>this</w:t>
      </w:r>
      <w:r w:rsidR="00301143" w:rsidRPr="00E3326D">
        <w:t xml:space="preserve"> is not going to increase significantly in the future</w:t>
      </w:r>
      <w:r w:rsidR="00301143">
        <w:t xml:space="preserve"> - </w:t>
      </w:r>
      <w:r w:rsidR="00301143" w:rsidRPr="00E3326D">
        <w:t xml:space="preserve">despite the number of projects seeking finance increasing significantly. To meet this gap in direct funding and finance needs, it was argued that innovation </w:t>
      </w:r>
      <w:r w:rsidR="00816A8C" w:rsidRPr="00E3326D">
        <w:t>would</w:t>
      </w:r>
      <w:r w:rsidR="00301143" w:rsidRPr="00E3326D">
        <w:t xml:space="preserve"> </w:t>
      </w:r>
      <w:r w:rsidR="00301143">
        <w:t xml:space="preserve">need </w:t>
      </w:r>
      <w:r w:rsidR="00301143" w:rsidRPr="00E3326D">
        <w:t>grants to leverage in additional sources of funding, such as EU national grants blending with EIB (European Investment Bank) loan products (Interviewee 1).</w:t>
      </w:r>
      <w:r w:rsidR="00301143">
        <w:t xml:space="preserve"> In addition to policy, g</w:t>
      </w:r>
      <w:r w:rsidR="00392C82" w:rsidRPr="00E3326D">
        <w:t xml:space="preserve">ood governance enables the </w:t>
      </w:r>
      <w:r w:rsidR="00C968AF">
        <w:t xml:space="preserve">real estate </w:t>
      </w:r>
      <w:r w:rsidR="00392C82" w:rsidRPr="00E3326D">
        <w:t>process to develop more efficiently</w:t>
      </w:r>
      <w:r w:rsidR="00C968AF">
        <w:t>,</w:t>
      </w:r>
      <w:r w:rsidR="00392C82" w:rsidRPr="00E3326D">
        <w:t xml:space="preserve"> but also with quality for all stakeholders concerned. The critical </w:t>
      </w:r>
      <w:r w:rsidR="00C968AF">
        <w:t xml:space="preserve">good governance </w:t>
      </w:r>
      <w:r w:rsidR="00392C82" w:rsidRPr="00E3326D">
        <w:t>guidance factors, such as good foresight and strategic vision</w:t>
      </w:r>
      <w:r w:rsidR="00C968AF">
        <w:t>,</w:t>
      </w:r>
      <w:r w:rsidR="00392C82" w:rsidRPr="00E3326D">
        <w:t xml:space="preserve"> provide the most significant benefit in terms of sound financial maximisation and design quality of the finished development project.</w:t>
      </w:r>
    </w:p>
    <w:p w:rsidR="00392C82" w:rsidRDefault="00392C82" w:rsidP="00392C82">
      <w:pPr>
        <w:spacing w:line="360" w:lineRule="auto"/>
        <w:jc w:val="both"/>
      </w:pPr>
    </w:p>
    <w:p w:rsidR="00392C82" w:rsidRDefault="00A34AFF" w:rsidP="00751AA2">
      <w:pPr>
        <w:spacing w:line="360" w:lineRule="auto"/>
        <w:jc w:val="both"/>
      </w:pPr>
      <w:r>
        <w:t xml:space="preserve">Planning </w:t>
      </w:r>
      <w:r w:rsidR="008B7451">
        <w:t xml:space="preserve">also </w:t>
      </w:r>
      <w:r w:rsidR="006B52FC">
        <w:t>plays a</w:t>
      </w:r>
      <w:r>
        <w:t xml:space="preserve"> part </w:t>
      </w:r>
      <w:r w:rsidR="006B52FC">
        <w:t>in</w:t>
      </w:r>
      <w:r>
        <w:t xml:space="preserve"> guiding</w:t>
      </w:r>
      <w:r w:rsidR="006B52FC">
        <w:t xml:space="preserve"> the blend of </w:t>
      </w:r>
      <w:r>
        <w:t xml:space="preserve">financial innovation in </w:t>
      </w:r>
      <w:r w:rsidR="008B7451">
        <w:t>large-scale development projects</w:t>
      </w:r>
      <w:r w:rsidR="006B52FC">
        <w:t>, and helps to frame and mediate the tensions that are generate</w:t>
      </w:r>
      <w:r>
        <w:t xml:space="preserve">d. </w:t>
      </w:r>
      <w:r w:rsidR="008B7451">
        <w:t>I</w:t>
      </w:r>
      <w:r>
        <w:t>t was viewed that all major European bank lending for major initiatives should be planning-led, whether that is a formally adopted plan, a non-statutory development strategy</w:t>
      </w:r>
      <w:r w:rsidR="003A5BAA">
        <w:t>,</w:t>
      </w:r>
      <w:r>
        <w:t xml:space="preserve"> or a coherent development plan. </w:t>
      </w:r>
      <w:r w:rsidR="00392C82">
        <w:t xml:space="preserve">One of the tensions </w:t>
      </w:r>
      <w:r w:rsidR="00751AA2">
        <w:t>during interviews was</w:t>
      </w:r>
      <w:r w:rsidR="00392C82">
        <w:t xml:space="preserve"> the view that planning ‘slows down’ development</w:t>
      </w:r>
      <w:r w:rsidR="00751AA2">
        <w:t xml:space="preserve">. </w:t>
      </w:r>
      <w:r w:rsidR="008B7451">
        <w:t>T</w:t>
      </w:r>
      <w:r w:rsidR="00751AA2">
        <w:t>he</w:t>
      </w:r>
      <w:r w:rsidR="00392C82">
        <w:t xml:space="preserve"> rebuttal </w:t>
      </w:r>
      <w:r w:rsidR="00482FD6">
        <w:t xml:space="preserve">being </w:t>
      </w:r>
      <w:r w:rsidR="00392C82">
        <w:t xml:space="preserve">that the point of good planning </w:t>
      </w:r>
      <w:r w:rsidR="00751AA2">
        <w:t xml:space="preserve">is </w:t>
      </w:r>
      <w:r w:rsidR="00392C82">
        <w:t>to cr</w:t>
      </w:r>
      <w:r w:rsidR="0063268C">
        <w:t>eate quality places for people</w:t>
      </w:r>
      <w:r w:rsidR="00751AA2">
        <w:t>,</w:t>
      </w:r>
      <w:r w:rsidR="0063268C">
        <w:t xml:space="preserve"> </w:t>
      </w:r>
      <w:r w:rsidR="00392C82">
        <w:t xml:space="preserve">not just </w:t>
      </w:r>
      <w:r w:rsidR="008B7451">
        <w:t xml:space="preserve">benefitting </w:t>
      </w:r>
      <w:r w:rsidR="00392C82">
        <w:t>disconnected investors</w:t>
      </w:r>
      <w:r w:rsidR="008B7451">
        <w:t xml:space="preserve"> who finance projects</w:t>
      </w:r>
      <w:r w:rsidR="0063268C">
        <w:t xml:space="preserve">. </w:t>
      </w:r>
      <w:r w:rsidR="008B7451">
        <w:t>Moreover, i</w:t>
      </w:r>
      <w:r w:rsidR="00246109">
        <w:rPr>
          <w:rFonts w:cstheme="minorHAnsi"/>
        </w:rPr>
        <w:t>nnovative development finance</w:t>
      </w:r>
      <w:r w:rsidR="00392C82">
        <w:t xml:space="preserve"> </w:t>
      </w:r>
      <w:r w:rsidR="008B7451">
        <w:t xml:space="preserve">in large-scale sites </w:t>
      </w:r>
      <w:r w:rsidR="00392C82">
        <w:t>take time</w:t>
      </w:r>
      <w:r w:rsidR="00246109">
        <w:t>,</w:t>
      </w:r>
      <w:r w:rsidR="00392C82">
        <w:t xml:space="preserve"> </w:t>
      </w:r>
      <w:r w:rsidR="008B7451">
        <w:t>therefore</w:t>
      </w:r>
      <w:r w:rsidR="00392C82">
        <w:t xml:space="preserve"> more resources </w:t>
      </w:r>
      <w:r w:rsidR="00246109">
        <w:t>for</w:t>
      </w:r>
      <w:r w:rsidR="00392C82">
        <w:t xml:space="preserve"> planning</w:t>
      </w:r>
      <w:r w:rsidR="0063268C">
        <w:t xml:space="preserve"> to deal with </w:t>
      </w:r>
      <w:r w:rsidR="00246109">
        <w:t>wider</w:t>
      </w:r>
      <w:r w:rsidR="0063268C">
        <w:t xml:space="preserve"> </w:t>
      </w:r>
      <w:r w:rsidR="00246109">
        <w:t>considerations</w:t>
      </w:r>
      <w:r w:rsidR="008B7451">
        <w:t xml:space="preserve"> are needed</w:t>
      </w:r>
      <w:r w:rsidR="0063268C">
        <w:t>, not less</w:t>
      </w:r>
      <w:r w:rsidR="00392C82">
        <w:t>. F</w:t>
      </w:r>
      <w:r w:rsidR="00751AA2">
        <w:t>urther</w:t>
      </w:r>
      <w:r w:rsidR="00392C82">
        <w:t xml:space="preserve"> interviewees </w:t>
      </w:r>
      <w:r w:rsidR="005C5409">
        <w:t>confirmed their</w:t>
      </w:r>
      <w:r w:rsidR="00751AA2">
        <w:t xml:space="preserve"> </w:t>
      </w:r>
      <w:r w:rsidR="008B7451">
        <w:t xml:space="preserve">frustrations </w:t>
      </w:r>
      <w:r w:rsidR="00322FD2">
        <w:t xml:space="preserve">with regards to </w:t>
      </w:r>
      <w:r w:rsidR="00751AA2">
        <w:t xml:space="preserve">the planning </w:t>
      </w:r>
      <w:r w:rsidR="008B7451">
        <w:t>timeline. For example</w:t>
      </w:r>
      <w:r w:rsidR="005C5409">
        <w:t>,</w:t>
      </w:r>
      <w:r w:rsidR="008B7451">
        <w:t xml:space="preserve"> there are often arguments</w:t>
      </w:r>
      <w:r w:rsidR="00751AA2">
        <w:t xml:space="preserve"> that there is limited </w:t>
      </w:r>
      <w:r w:rsidR="00392C82">
        <w:t xml:space="preserve">inward investment in </w:t>
      </w:r>
      <w:r w:rsidR="00751AA2">
        <w:t>development</w:t>
      </w:r>
      <w:r w:rsidR="00392C82">
        <w:t xml:space="preserve"> because it takes </w:t>
      </w:r>
      <w:r w:rsidR="008B7451">
        <w:t xml:space="preserve">a </w:t>
      </w:r>
      <w:r w:rsidR="00392C82">
        <w:t xml:space="preserve">long </w:t>
      </w:r>
      <w:r w:rsidR="008B7451">
        <w:t xml:space="preserve">time </w:t>
      </w:r>
      <w:r w:rsidR="00392C82">
        <w:t xml:space="preserve">to secure approval </w:t>
      </w:r>
      <w:r w:rsidR="00751AA2">
        <w:t xml:space="preserve">(Interviewee 5), </w:t>
      </w:r>
      <w:r w:rsidR="008B7451">
        <w:t>and</w:t>
      </w:r>
      <w:r w:rsidR="00751AA2">
        <w:t xml:space="preserve"> that </w:t>
      </w:r>
      <w:r w:rsidR="008B7451">
        <w:t>waiting</w:t>
      </w:r>
      <w:r w:rsidR="00392C82">
        <w:t xml:space="preserve"> </w:t>
      </w:r>
      <w:r w:rsidR="00751AA2">
        <w:t xml:space="preserve">for planning </w:t>
      </w:r>
      <w:r w:rsidR="008B7451">
        <w:t xml:space="preserve">approval reduces the potential financial </w:t>
      </w:r>
      <w:r w:rsidR="00392C82" w:rsidRPr="00DF0322">
        <w:t xml:space="preserve">return </w:t>
      </w:r>
      <w:r w:rsidR="00392C82">
        <w:t xml:space="preserve">(Interviewee 4). </w:t>
      </w:r>
      <w:r w:rsidR="00F66028">
        <w:t xml:space="preserve">These </w:t>
      </w:r>
      <w:r w:rsidR="00A243B3">
        <w:t xml:space="preserve">observations can be </w:t>
      </w:r>
      <w:r w:rsidR="001E5F1E">
        <w:t>dealt with</w:t>
      </w:r>
      <w:r w:rsidR="00A243B3">
        <w:t xml:space="preserve"> by </w:t>
      </w:r>
      <w:r w:rsidR="00751AA2">
        <w:t xml:space="preserve">development finance </w:t>
      </w:r>
      <w:r w:rsidR="00A243B3">
        <w:t>becoming more innovative through</w:t>
      </w:r>
      <w:r w:rsidR="00751AA2">
        <w:t xml:space="preserve"> </w:t>
      </w:r>
      <w:r w:rsidR="008B7451">
        <w:t xml:space="preserve">blended </w:t>
      </w:r>
      <w:r w:rsidR="00751AA2">
        <w:t>sophisticat</w:t>
      </w:r>
      <w:r w:rsidR="00A243B3">
        <w:t>ion</w:t>
      </w:r>
      <w:r w:rsidR="003A5BAA">
        <w:t>. For instance, by innovative finance engaging with both</w:t>
      </w:r>
      <w:r w:rsidR="00751AA2">
        <w:t xml:space="preserve"> the </w:t>
      </w:r>
      <w:r w:rsidR="00A243B3">
        <w:t>important outcomes of both ‘positive</w:t>
      </w:r>
      <w:r w:rsidR="00751AA2">
        <w:t xml:space="preserve">’ planning and </w:t>
      </w:r>
      <w:r w:rsidR="00A243B3">
        <w:t xml:space="preserve">‘quality’ </w:t>
      </w:r>
      <w:r w:rsidR="00751AA2">
        <w:t>development.</w:t>
      </w:r>
      <w:r>
        <w:t xml:space="preserve"> Partnerships are therefore key to the success of blended innovative development, where </w:t>
      </w:r>
      <w:r w:rsidR="00322FD2">
        <w:t xml:space="preserve">such </w:t>
      </w:r>
      <w:r>
        <w:t xml:space="preserve">encourage multiple funders </w:t>
      </w:r>
      <w:r w:rsidR="006B52FC">
        <w:t xml:space="preserve">to </w:t>
      </w:r>
      <w:r>
        <w:t>hav</w:t>
      </w:r>
      <w:r w:rsidR="006B52FC">
        <w:t>e a stakeholder</w:t>
      </w:r>
      <w:r>
        <w:t xml:space="preserve"> interest in making places more successful, and thus provide longer-term and larger aggregate </w:t>
      </w:r>
      <w:r w:rsidR="00322FD2">
        <w:t xml:space="preserve">non-financial </w:t>
      </w:r>
      <w:r>
        <w:t xml:space="preserve">benefits and returns </w:t>
      </w:r>
      <w:r w:rsidRPr="00E3326D">
        <w:t>(Interviewee 2).</w:t>
      </w:r>
    </w:p>
    <w:p w:rsidR="003F5923" w:rsidRDefault="003F5923" w:rsidP="00392C82">
      <w:pPr>
        <w:spacing w:line="360" w:lineRule="auto"/>
        <w:jc w:val="both"/>
        <w:rPr>
          <w:rFonts w:ascii="Cambria" w:hAnsi="Cambria"/>
        </w:rPr>
      </w:pPr>
    </w:p>
    <w:p w:rsidR="003F5923" w:rsidRPr="00AD78FB" w:rsidRDefault="00B26D65" w:rsidP="00AD78FB">
      <w:pPr>
        <w:pStyle w:val="ListParagraph"/>
        <w:numPr>
          <w:ilvl w:val="0"/>
          <w:numId w:val="28"/>
        </w:numPr>
        <w:spacing w:line="360" w:lineRule="auto"/>
        <w:jc w:val="both"/>
        <w:rPr>
          <w:rFonts w:ascii="Cambria" w:hAnsi="Cambria"/>
          <w:b/>
        </w:rPr>
      </w:pPr>
      <w:r>
        <w:rPr>
          <w:rFonts w:ascii="Cambria" w:hAnsi="Cambria"/>
          <w:b/>
        </w:rPr>
        <w:t>Conclusion</w:t>
      </w:r>
    </w:p>
    <w:p w:rsidR="00E31DD5" w:rsidRPr="00D543D8" w:rsidRDefault="00E31DD5" w:rsidP="00D543D8">
      <w:pPr>
        <w:spacing w:line="360" w:lineRule="auto"/>
        <w:jc w:val="both"/>
        <w:rPr>
          <w:rFonts w:ascii="Cambria" w:hAnsi="Cambria"/>
          <w:b/>
        </w:rPr>
      </w:pPr>
    </w:p>
    <w:p w:rsidR="009E7ED2" w:rsidRDefault="00D543D8" w:rsidP="007174A9">
      <w:pPr>
        <w:spacing w:line="360" w:lineRule="auto"/>
        <w:jc w:val="both"/>
      </w:pPr>
      <w:r>
        <w:rPr>
          <w:rFonts w:ascii="Cambria" w:hAnsi="Cambria"/>
        </w:rPr>
        <w:t>In an improving economic climate and upswing in real estate development, financial institutions</w:t>
      </w:r>
      <w:r w:rsidRPr="00345E00">
        <w:rPr>
          <w:rFonts w:ascii="Cambria" w:hAnsi="Cambria"/>
        </w:rPr>
        <w:t xml:space="preserve"> are </w:t>
      </w:r>
      <w:r>
        <w:rPr>
          <w:rFonts w:ascii="Cambria" w:hAnsi="Cambria"/>
        </w:rPr>
        <w:t xml:space="preserve">demonstrating a greater willingness to lend at more </w:t>
      </w:r>
      <w:r w:rsidRPr="00345E00">
        <w:rPr>
          <w:rFonts w:ascii="Cambria" w:hAnsi="Cambria"/>
        </w:rPr>
        <w:t>commercially attractive rates</w:t>
      </w:r>
      <w:r>
        <w:rPr>
          <w:rFonts w:ascii="Cambria" w:hAnsi="Cambria"/>
        </w:rPr>
        <w:t xml:space="preserve">. </w:t>
      </w:r>
      <w:r w:rsidRPr="00345E00">
        <w:rPr>
          <w:rFonts w:ascii="Cambria" w:hAnsi="Cambria"/>
        </w:rPr>
        <w:t>The traditional and current m</w:t>
      </w:r>
      <w:r>
        <w:rPr>
          <w:rFonts w:ascii="Cambria" w:hAnsi="Cambria"/>
        </w:rPr>
        <w:t>echanism</w:t>
      </w:r>
      <w:r w:rsidRPr="00345E00">
        <w:rPr>
          <w:rFonts w:ascii="Cambria" w:hAnsi="Cambria"/>
        </w:rPr>
        <w:t xml:space="preserve"> of development financing has not substantially altered</w:t>
      </w:r>
      <w:r>
        <w:rPr>
          <w:rFonts w:ascii="Cambria" w:hAnsi="Cambria"/>
        </w:rPr>
        <w:t xml:space="preserve"> – although the mechanisms have become more sophisticated </w:t>
      </w:r>
      <w:r w:rsidR="008B7451">
        <w:rPr>
          <w:rFonts w:ascii="Cambria" w:hAnsi="Cambria"/>
        </w:rPr>
        <w:t>in the</w:t>
      </w:r>
      <w:r w:rsidR="00EE7564">
        <w:rPr>
          <w:rFonts w:ascii="Cambria" w:hAnsi="Cambria"/>
        </w:rPr>
        <w:t>ir</w:t>
      </w:r>
      <w:r w:rsidR="008B7451">
        <w:rPr>
          <w:rFonts w:ascii="Cambria" w:hAnsi="Cambria"/>
        </w:rPr>
        <w:t xml:space="preserve"> financial blend. </w:t>
      </w:r>
      <w:r w:rsidRPr="00D543D8">
        <w:rPr>
          <w:rFonts w:ascii="Cambria" w:hAnsi="Cambria"/>
        </w:rPr>
        <w:t xml:space="preserve">Across Europe, there </w:t>
      </w:r>
      <w:r w:rsidR="008B7451">
        <w:rPr>
          <w:rFonts w:ascii="Cambria" w:hAnsi="Cambria"/>
        </w:rPr>
        <w:t xml:space="preserve">are examples of </w:t>
      </w:r>
      <w:r w:rsidRPr="00D543D8">
        <w:rPr>
          <w:rFonts w:ascii="Cambria" w:hAnsi="Cambria"/>
        </w:rPr>
        <w:t xml:space="preserve">growth in the blend of </w:t>
      </w:r>
      <w:r w:rsidR="00246109">
        <w:rPr>
          <w:rFonts w:cstheme="minorHAnsi"/>
        </w:rPr>
        <w:t>innovative development finance</w:t>
      </w:r>
      <w:r w:rsidR="006A60D5">
        <w:rPr>
          <w:rFonts w:ascii="Cambria" w:hAnsi="Cambria"/>
        </w:rPr>
        <w:t>, especially with</w:t>
      </w:r>
      <w:r w:rsidRPr="00D543D8">
        <w:rPr>
          <w:rFonts w:ascii="Cambria" w:hAnsi="Cambria"/>
        </w:rPr>
        <w:t xml:space="preserve"> a greater focus on equity financing </w:t>
      </w:r>
      <w:r w:rsidR="006A60D5">
        <w:rPr>
          <w:rFonts w:ascii="Cambria" w:hAnsi="Cambria"/>
        </w:rPr>
        <w:t>rather than</w:t>
      </w:r>
      <w:r w:rsidRPr="00D543D8">
        <w:rPr>
          <w:rFonts w:ascii="Cambria" w:hAnsi="Cambria"/>
        </w:rPr>
        <w:t xml:space="preserve"> debt financing. Equity financing in the form of institutional funds both domestically and from foreign consortiums appear </w:t>
      </w:r>
      <w:r w:rsidR="003C3487">
        <w:rPr>
          <w:rFonts w:ascii="Cambria" w:hAnsi="Cambria"/>
        </w:rPr>
        <w:t xml:space="preserve">as </w:t>
      </w:r>
      <w:r w:rsidRPr="00D543D8">
        <w:rPr>
          <w:rFonts w:ascii="Cambria" w:hAnsi="Cambria"/>
        </w:rPr>
        <w:t>part of the innovation picture that is emerging.</w:t>
      </w:r>
    </w:p>
    <w:p w:rsidR="001E5F1E" w:rsidRDefault="001E5F1E" w:rsidP="007174A9">
      <w:pPr>
        <w:spacing w:line="360" w:lineRule="auto"/>
        <w:jc w:val="both"/>
      </w:pPr>
    </w:p>
    <w:p w:rsidR="00784943" w:rsidRDefault="009E7ED2" w:rsidP="007174A9">
      <w:pPr>
        <w:spacing w:line="360" w:lineRule="auto"/>
        <w:jc w:val="both"/>
      </w:pPr>
      <w:r>
        <w:t xml:space="preserve">Key characteristics of innovations in finance </w:t>
      </w:r>
      <w:r w:rsidR="00EE7564">
        <w:t xml:space="preserve">have </w:t>
      </w:r>
      <w:r>
        <w:t>included a greater combination of both loans and grants</w:t>
      </w:r>
      <w:r w:rsidR="00493F2E">
        <w:t xml:space="preserve"> – for </w:t>
      </w:r>
      <w:r w:rsidR="001E5F1E">
        <w:t xml:space="preserve">adding value to </w:t>
      </w:r>
      <w:r w:rsidR="00493F2E">
        <w:t>both the land and buildings being developed</w:t>
      </w:r>
      <w:r>
        <w:t xml:space="preserve">. Contributions in the form of charges, levies, rates and fees could also form part of the financial blend to fund </w:t>
      </w:r>
      <w:r w:rsidR="00493F2E">
        <w:t xml:space="preserve">a development. Uplift in land value to pay off financing from loans and grants are also an attractive part of </w:t>
      </w:r>
      <w:bookmarkStart w:id="0" w:name="_GoBack"/>
      <w:bookmarkEnd w:id="0"/>
      <w:r w:rsidR="00493F2E">
        <w:t xml:space="preserve">innovative finance blending, as are tax incentives that </w:t>
      </w:r>
      <w:r w:rsidR="00EE7564">
        <w:t>offer</w:t>
      </w:r>
      <w:r w:rsidR="00493F2E">
        <w:t xml:space="preserve"> the promise of lower rates of tax</w:t>
      </w:r>
      <w:r w:rsidR="007B1707">
        <w:t xml:space="preserve"> for real estate developers and occupiers</w:t>
      </w:r>
      <w:r w:rsidR="00493F2E">
        <w:t xml:space="preserve">. Private financing both within partnership arrangements (such as PFI) and single organisations integrate with the </w:t>
      </w:r>
      <w:r w:rsidR="00522308">
        <w:t>blends, which demonstrate</w:t>
      </w:r>
      <w:r w:rsidR="00493F2E">
        <w:t xml:space="preserve"> the many aspects of </w:t>
      </w:r>
      <w:r w:rsidR="00522308">
        <w:t xml:space="preserve">financial </w:t>
      </w:r>
      <w:r w:rsidR="00493F2E">
        <w:t>risk that run throughout the</w:t>
      </w:r>
      <w:r w:rsidR="00EE7564">
        <w:t>m</w:t>
      </w:r>
      <w:r w:rsidR="00493F2E">
        <w:t>.</w:t>
      </w:r>
    </w:p>
    <w:p w:rsidR="00784943" w:rsidRPr="000128A0" w:rsidRDefault="00784943" w:rsidP="007174A9">
      <w:pPr>
        <w:spacing w:line="360" w:lineRule="auto"/>
        <w:jc w:val="both"/>
        <w:rPr>
          <w:rFonts w:ascii="Cambria" w:hAnsi="Cambria"/>
        </w:rPr>
      </w:pPr>
    </w:p>
    <w:p w:rsidR="000128A0" w:rsidRPr="000128A0" w:rsidRDefault="00784943" w:rsidP="000128A0">
      <w:pPr>
        <w:spacing w:line="360" w:lineRule="auto"/>
        <w:jc w:val="both"/>
        <w:rPr>
          <w:rFonts w:ascii="Cambria" w:hAnsi="Cambria"/>
        </w:rPr>
      </w:pPr>
      <w:r w:rsidRPr="000128A0">
        <w:rPr>
          <w:rFonts w:ascii="Cambria" w:hAnsi="Cambria"/>
        </w:rPr>
        <w:t>The Battersea case demonstrated a blend of financing sourced from non-domestic investors and pension funds, along with international banks. The integration of transport and land value capture were also part of the innovation blend</w:t>
      </w:r>
      <w:r w:rsidR="000128A0">
        <w:rPr>
          <w:rFonts w:ascii="Cambria" w:hAnsi="Cambria"/>
        </w:rPr>
        <w:t xml:space="preserve">. </w:t>
      </w:r>
      <w:r w:rsidR="007B1707">
        <w:rPr>
          <w:rFonts w:ascii="Cambria" w:hAnsi="Cambria"/>
        </w:rPr>
        <w:t>In addition was</w:t>
      </w:r>
      <w:r w:rsidRPr="000128A0">
        <w:rPr>
          <w:rFonts w:ascii="Cambria" w:hAnsi="Cambria"/>
        </w:rPr>
        <w:t xml:space="preserve"> an intricate refinancing approach to phases of the development</w:t>
      </w:r>
      <w:r w:rsidR="007B1707">
        <w:rPr>
          <w:rFonts w:ascii="Cambria" w:hAnsi="Cambria"/>
        </w:rPr>
        <w:t>,</w:t>
      </w:r>
      <w:r w:rsidR="000128A0" w:rsidRPr="000128A0">
        <w:rPr>
          <w:rFonts w:ascii="Cambria" w:hAnsi="Cambria"/>
        </w:rPr>
        <w:t xml:space="preserve"> secured by advance residential sales and commercial income</w:t>
      </w:r>
      <w:r w:rsidRPr="000128A0">
        <w:rPr>
          <w:rFonts w:ascii="Cambria" w:hAnsi="Cambria"/>
        </w:rPr>
        <w:t xml:space="preserve">. </w:t>
      </w:r>
      <w:r w:rsidR="000128A0">
        <w:rPr>
          <w:rFonts w:ascii="Cambria" w:hAnsi="Cambria"/>
        </w:rPr>
        <w:t>The Lei</w:t>
      </w:r>
      <w:r w:rsidR="00AA512E" w:rsidRPr="000128A0">
        <w:rPr>
          <w:rFonts w:ascii="Cambria" w:hAnsi="Cambria"/>
        </w:rPr>
        <w:t xml:space="preserve">pziger Platz case </w:t>
      </w:r>
      <w:r w:rsidR="004F665B" w:rsidRPr="000128A0">
        <w:rPr>
          <w:rFonts w:ascii="Cambria" w:hAnsi="Cambria"/>
        </w:rPr>
        <w:t xml:space="preserve">put forward a blend </w:t>
      </w:r>
      <w:r w:rsidR="000128A0">
        <w:rPr>
          <w:rFonts w:ascii="Cambria" w:hAnsi="Cambria"/>
        </w:rPr>
        <w:t>involving</w:t>
      </w:r>
      <w:r w:rsidR="004F665B" w:rsidRPr="000128A0">
        <w:rPr>
          <w:rFonts w:ascii="Cambria" w:hAnsi="Cambria"/>
        </w:rPr>
        <w:t xml:space="preserve"> </w:t>
      </w:r>
      <w:r w:rsidR="000128A0" w:rsidRPr="000128A0">
        <w:rPr>
          <w:rFonts w:ascii="Cambria" w:hAnsi="Cambria"/>
        </w:rPr>
        <w:t xml:space="preserve">a number of institutional investors </w:t>
      </w:r>
      <w:r w:rsidR="000128A0">
        <w:rPr>
          <w:rFonts w:ascii="Cambria" w:hAnsi="Cambria"/>
        </w:rPr>
        <w:t xml:space="preserve">and private bank lenders – again secured by a </w:t>
      </w:r>
      <w:r w:rsidR="000128A0" w:rsidRPr="000128A0">
        <w:rPr>
          <w:rFonts w:ascii="Cambria" w:hAnsi="Cambria"/>
        </w:rPr>
        <w:t>high level of pre-rental agreements</w:t>
      </w:r>
      <w:r w:rsidR="000128A0">
        <w:rPr>
          <w:rFonts w:ascii="Cambria" w:hAnsi="Cambria"/>
        </w:rPr>
        <w:t xml:space="preserve">. For </w:t>
      </w:r>
      <w:r w:rsidR="000128A0" w:rsidRPr="000128A0">
        <w:t>Lammenschans,</w:t>
      </w:r>
      <w:r w:rsidR="000128A0">
        <w:t xml:space="preserve"> innovation in finance centred on blending with regulatory powers </w:t>
      </w:r>
      <w:r w:rsidR="009E7ED2">
        <w:t>by</w:t>
      </w:r>
      <w:r w:rsidR="000128A0">
        <w:t xml:space="preserve"> </w:t>
      </w:r>
      <w:r w:rsidR="009E7ED2">
        <w:t>‘</w:t>
      </w:r>
      <w:r w:rsidR="000128A0">
        <w:t xml:space="preserve">land-readjustment </w:t>
      </w:r>
      <w:r w:rsidR="009E7ED2">
        <w:t xml:space="preserve">financing’ to unlock a stalled large-scale development site </w:t>
      </w:r>
      <w:r w:rsidR="000128A0">
        <w:t>– with the land-owner and developer engaging with the public municipality who would act as the legal redistributive body</w:t>
      </w:r>
      <w:r w:rsidR="009E7ED2">
        <w:t xml:space="preserve"> for any costs that a party may need recovering.</w:t>
      </w:r>
    </w:p>
    <w:p w:rsidR="00EE1492" w:rsidRDefault="00EE1492" w:rsidP="007174A9">
      <w:pPr>
        <w:spacing w:line="360" w:lineRule="auto"/>
        <w:jc w:val="both"/>
      </w:pPr>
    </w:p>
    <w:p w:rsidR="007174A9" w:rsidRPr="00C52ABE" w:rsidRDefault="00EE1492" w:rsidP="007174A9">
      <w:pPr>
        <w:spacing w:line="360" w:lineRule="auto"/>
        <w:jc w:val="both"/>
      </w:pPr>
      <w:r>
        <w:t xml:space="preserve">More generally, the innovation blend </w:t>
      </w:r>
      <w:r w:rsidR="00025519">
        <w:t xml:space="preserve">amongst the case studies </w:t>
      </w:r>
      <w:r>
        <w:t xml:space="preserve">highlighted several interesting and emerging features. </w:t>
      </w:r>
      <w:r w:rsidR="005E29EB">
        <w:t>There is an apparent rise in partnerships involving private foreign institutional equity funds and private development loans</w:t>
      </w:r>
      <w:r w:rsidR="00025519">
        <w:t xml:space="preserve">, </w:t>
      </w:r>
      <w:r w:rsidR="005E29EB">
        <w:t>particularly</w:t>
      </w:r>
      <w:r w:rsidR="00025519">
        <w:t>,</w:t>
      </w:r>
      <w:r w:rsidR="005E29EB">
        <w:t xml:space="preserve"> </w:t>
      </w:r>
      <w:r w:rsidR="007B1707">
        <w:t xml:space="preserve">in </w:t>
      </w:r>
      <w:r w:rsidR="005E29EB">
        <w:t>those large-scale site</w:t>
      </w:r>
      <w:r w:rsidR="007B1707">
        <w:t>s</w:t>
      </w:r>
      <w:r w:rsidR="005E29EB">
        <w:t xml:space="preserve"> engaging with wider infrastructure needs.</w:t>
      </w:r>
      <w:r w:rsidR="009B0C2B">
        <w:t xml:space="preserve"> Finance blending over phases was also found to be more conducive to larger and more flexible funding sources. Value-capture finance and tapping into any development value uplift was seen to be an affective contribution to the blend. Future uplift approaches to the finance blend carry risk, so mitigation of risk as part of the blending process is important, not just the sources of finance that are constituting the blend ingredients.</w:t>
      </w:r>
      <w:r w:rsidR="006911AA">
        <w:t xml:space="preserve"> Large-scale sites can also have an </w:t>
      </w:r>
      <w:r w:rsidR="00C52ABE">
        <w:t>improved blending</w:t>
      </w:r>
      <w:r w:rsidR="006911AA">
        <w:t xml:space="preserve"> process by using </w:t>
      </w:r>
      <w:r w:rsidR="001E5F1E">
        <w:t xml:space="preserve">partnerships, </w:t>
      </w:r>
      <w:r w:rsidR="006911AA">
        <w:t>good policy and gov</w:t>
      </w:r>
      <w:r w:rsidR="001E5F1E">
        <w:t>ernance, that guide</w:t>
      </w:r>
      <w:r w:rsidR="006911AA">
        <w:t xml:space="preserve"> the financial and development interest of all those </w:t>
      </w:r>
      <w:r w:rsidR="00C52ABE">
        <w:t>with a stake in the project</w:t>
      </w:r>
      <w:r w:rsidR="006911AA">
        <w:t>.</w:t>
      </w:r>
      <w:r w:rsidR="00C52ABE">
        <w:t xml:space="preserve"> Just as good planning helps to mediate and frame any tensions to encourage value-for-money and quality of place. Overall</w:t>
      </w:r>
      <w:r w:rsidR="00025519">
        <w:t>,</w:t>
      </w:r>
      <w:r w:rsidR="00BA596F">
        <w:t xml:space="preserve"> with respect to the initial research premise that </w:t>
      </w:r>
      <w:r w:rsidR="00BA596F" w:rsidRPr="00467BAE">
        <w:rPr>
          <w:rFonts w:cstheme="minorHAnsi"/>
        </w:rPr>
        <w:t>large-scale real estate projects</w:t>
      </w:r>
      <w:r w:rsidR="00BA596F">
        <w:rPr>
          <w:rFonts w:cstheme="minorHAnsi"/>
        </w:rPr>
        <w:t xml:space="preserve"> in Europe are using a more innovative blend of finance</w:t>
      </w:r>
      <w:r w:rsidR="00C52ABE">
        <w:t xml:space="preserve">, </w:t>
      </w:r>
      <w:r w:rsidR="00C52ABE">
        <w:rPr>
          <w:rFonts w:ascii="Cambria" w:hAnsi="Cambria"/>
        </w:rPr>
        <w:t>t</w:t>
      </w:r>
      <w:r w:rsidR="003C3487">
        <w:rPr>
          <w:rFonts w:ascii="Cambria" w:hAnsi="Cambria"/>
        </w:rPr>
        <w:t xml:space="preserve">he </w:t>
      </w:r>
      <w:r w:rsidR="007174A9">
        <w:rPr>
          <w:rFonts w:ascii="Cambria" w:hAnsi="Cambria"/>
        </w:rPr>
        <w:t xml:space="preserve">findings point towards a new </w:t>
      </w:r>
      <w:r w:rsidR="00BA596F">
        <w:rPr>
          <w:rFonts w:ascii="Cambria" w:hAnsi="Cambria"/>
        </w:rPr>
        <w:t xml:space="preserve">‘blended’ approach with </w:t>
      </w:r>
      <w:r w:rsidR="007174A9">
        <w:rPr>
          <w:rFonts w:ascii="Cambria" w:hAnsi="Cambria"/>
        </w:rPr>
        <w:t>intricate ‘phasing’ of development finance</w:t>
      </w:r>
      <w:r w:rsidR="00DE05BD">
        <w:rPr>
          <w:rFonts w:ascii="Cambria" w:hAnsi="Cambria"/>
        </w:rPr>
        <w:t>. A</w:t>
      </w:r>
      <w:r w:rsidR="007174A9">
        <w:rPr>
          <w:rFonts w:ascii="Cambria" w:hAnsi="Cambria"/>
        </w:rPr>
        <w:t xml:space="preserve"> strong proposition for future research</w:t>
      </w:r>
      <w:r w:rsidR="00DE05BD">
        <w:rPr>
          <w:rFonts w:ascii="Cambria" w:hAnsi="Cambria"/>
        </w:rPr>
        <w:t xml:space="preserve"> would be to </w:t>
      </w:r>
      <w:r w:rsidR="003D35C5">
        <w:rPr>
          <w:rFonts w:ascii="Cambria" w:hAnsi="Cambria"/>
        </w:rPr>
        <w:t>m</w:t>
      </w:r>
      <w:r w:rsidR="00D91025">
        <w:rPr>
          <w:rFonts w:ascii="Cambria" w:hAnsi="Cambria"/>
        </w:rPr>
        <w:t>odel</w:t>
      </w:r>
      <w:r w:rsidR="00DE05BD">
        <w:rPr>
          <w:rFonts w:ascii="Cambria" w:hAnsi="Cambria"/>
        </w:rPr>
        <w:t xml:space="preserve"> </w:t>
      </w:r>
      <w:r w:rsidR="003D35C5">
        <w:rPr>
          <w:rFonts w:ascii="Cambria" w:hAnsi="Cambria"/>
        </w:rPr>
        <w:t>what</w:t>
      </w:r>
      <w:r w:rsidR="00DE05BD">
        <w:rPr>
          <w:rFonts w:ascii="Cambria" w:hAnsi="Cambria"/>
        </w:rPr>
        <w:t xml:space="preserve"> these phase-blended finance </w:t>
      </w:r>
      <w:r w:rsidR="00DE05BD" w:rsidRPr="00DE05BD">
        <w:rPr>
          <w:rFonts w:ascii="Cambria" w:hAnsi="Cambria"/>
        </w:rPr>
        <w:t xml:space="preserve">mechanisms </w:t>
      </w:r>
      <w:r w:rsidR="003D35C5">
        <w:rPr>
          <w:rFonts w:ascii="Cambria" w:hAnsi="Cambria"/>
        </w:rPr>
        <w:t xml:space="preserve">look like, and how they </w:t>
      </w:r>
      <w:r w:rsidR="00DE05BD" w:rsidRPr="00DE05BD">
        <w:rPr>
          <w:rFonts w:ascii="Cambria" w:hAnsi="Cambria"/>
        </w:rPr>
        <w:t xml:space="preserve">can lead to better outcomes </w:t>
      </w:r>
      <w:r w:rsidR="00DB76C6">
        <w:rPr>
          <w:rFonts w:ascii="Cambria" w:hAnsi="Cambria"/>
        </w:rPr>
        <w:t>for those</w:t>
      </w:r>
      <w:r w:rsidR="00DE05BD">
        <w:rPr>
          <w:rFonts w:ascii="Cambria" w:hAnsi="Cambria"/>
        </w:rPr>
        <w:t xml:space="preserve"> sites and situations the</w:t>
      </w:r>
      <w:r w:rsidR="00DB76C6">
        <w:rPr>
          <w:rFonts w:ascii="Cambria" w:hAnsi="Cambria"/>
        </w:rPr>
        <w:t>y</w:t>
      </w:r>
      <w:r w:rsidR="00DE05BD">
        <w:rPr>
          <w:rFonts w:ascii="Cambria" w:hAnsi="Cambria"/>
        </w:rPr>
        <w:t xml:space="preserve"> are </w:t>
      </w:r>
      <w:r w:rsidR="00DB76C6">
        <w:rPr>
          <w:rFonts w:ascii="Cambria" w:hAnsi="Cambria"/>
        </w:rPr>
        <w:t>related to</w:t>
      </w:r>
      <w:r w:rsidR="007174A9">
        <w:rPr>
          <w:rFonts w:ascii="Cambria" w:hAnsi="Cambria"/>
        </w:rPr>
        <w:t>.</w:t>
      </w:r>
    </w:p>
    <w:p w:rsidR="009A02E6" w:rsidRPr="007174A9" w:rsidRDefault="009A02E6" w:rsidP="007174A9">
      <w:pPr>
        <w:spacing w:line="360" w:lineRule="auto"/>
        <w:jc w:val="both"/>
        <w:rPr>
          <w:rFonts w:ascii="Cambria" w:hAnsi="Cambria"/>
        </w:rPr>
      </w:pPr>
    </w:p>
    <w:p w:rsidR="00392C82" w:rsidRDefault="00B1471D" w:rsidP="00392C82">
      <w:pPr>
        <w:spacing w:line="360" w:lineRule="auto"/>
        <w:jc w:val="both"/>
        <w:rPr>
          <w:rFonts w:cs="Arial"/>
          <w:b/>
          <w:color w:val="3A3A3B"/>
        </w:rPr>
      </w:pPr>
      <w:r>
        <w:rPr>
          <w:rFonts w:cs="Arial"/>
          <w:b/>
          <w:color w:val="3A3A3B"/>
        </w:rPr>
        <w:t>7</w:t>
      </w:r>
      <w:r w:rsidR="00392C82">
        <w:rPr>
          <w:rFonts w:cs="Arial"/>
          <w:b/>
          <w:color w:val="3A3A3B"/>
        </w:rPr>
        <w:t>. References</w:t>
      </w:r>
    </w:p>
    <w:p w:rsidR="00392C82" w:rsidRPr="00D93306" w:rsidRDefault="00392C82" w:rsidP="00392C82">
      <w:pPr>
        <w:spacing w:line="360" w:lineRule="auto"/>
        <w:jc w:val="both"/>
        <w:rPr>
          <w:rFonts w:cs="Arial"/>
          <w:b/>
          <w:color w:val="3A3A3B"/>
        </w:rPr>
      </w:pPr>
    </w:p>
    <w:p w:rsidR="00392C82" w:rsidRDefault="00392C82" w:rsidP="00392C82">
      <w:pPr>
        <w:spacing w:after="200"/>
        <w:ind w:left="720" w:hanging="720"/>
        <w:rPr>
          <w:rFonts w:ascii="Cambria" w:hAnsi="Cambria"/>
        </w:rPr>
      </w:pPr>
      <w:r w:rsidRPr="001F1C8F">
        <w:rPr>
          <w:rFonts w:ascii="Cambria" w:hAnsi="Cambria"/>
        </w:rPr>
        <w:t xml:space="preserve">Adair, A., Berry, J., Hutchison, N. &amp; McGreal, S. (2007) Attracting Institutional Investment into Regeneration: Necessary Conditions for Effective Funding, </w:t>
      </w:r>
      <w:r w:rsidRPr="00F02648">
        <w:rPr>
          <w:rFonts w:ascii="Cambria" w:hAnsi="Cambria"/>
          <w:i/>
        </w:rPr>
        <w:t>Journal of Property Research</w:t>
      </w:r>
      <w:r w:rsidRPr="001F1C8F">
        <w:rPr>
          <w:rFonts w:ascii="Cambria" w:hAnsi="Cambria"/>
        </w:rPr>
        <w:t>, 24</w:t>
      </w:r>
      <w:r>
        <w:rPr>
          <w:rFonts w:ascii="Cambria" w:hAnsi="Cambria"/>
        </w:rPr>
        <w:t xml:space="preserve"> (</w:t>
      </w:r>
      <w:r w:rsidRPr="001F1C8F">
        <w:rPr>
          <w:rFonts w:ascii="Cambria" w:hAnsi="Cambria"/>
        </w:rPr>
        <w:t>3</w:t>
      </w:r>
      <w:r>
        <w:rPr>
          <w:rFonts w:ascii="Cambria" w:hAnsi="Cambria"/>
        </w:rPr>
        <w:t>),</w:t>
      </w:r>
      <w:r w:rsidRPr="001F1C8F">
        <w:rPr>
          <w:rFonts w:ascii="Cambria" w:hAnsi="Cambria"/>
        </w:rPr>
        <w:t xml:space="preserve"> 221-240</w:t>
      </w:r>
      <w:r>
        <w:rPr>
          <w:rFonts w:ascii="Cambria" w:hAnsi="Cambria"/>
        </w:rPr>
        <w:t>.</w:t>
      </w:r>
      <w:r w:rsidRPr="001F1C8F">
        <w:rPr>
          <w:rFonts w:ascii="Cambria" w:hAnsi="Cambria"/>
        </w:rPr>
        <w:t xml:space="preserve"> </w:t>
      </w:r>
    </w:p>
    <w:p w:rsidR="00392C82" w:rsidRDefault="00392C82" w:rsidP="00392C82">
      <w:pPr>
        <w:spacing w:after="200"/>
        <w:ind w:left="720" w:hanging="720"/>
        <w:rPr>
          <w:rFonts w:ascii="Cambria" w:hAnsi="Cambria"/>
        </w:rPr>
      </w:pPr>
      <w:r w:rsidRPr="001F1C8F">
        <w:rPr>
          <w:rFonts w:ascii="Cambria" w:hAnsi="Cambria"/>
        </w:rPr>
        <w:t xml:space="preserve">Adair, A., Bery, J., Gulati, M., Haran, M., Hutchison, N., Kashyap., McCord., McGreal, S., Oyedele, J., Tiwari, P. (2011) </w:t>
      </w:r>
      <w:r w:rsidRPr="00737BE8">
        <w:rPr>
          <w:rFonts w:ascii="Cambria" w:hAnsi="Cambria"/>
          <w:i/>
        </w:rPr>
        <w:t>The Future of Private Finance Initiative and Public Private Partnership</w:t>
      </w:r>
      <w:r w:rsidRPr="001F1C8F">
        <w:rPr>
          <w:rFonts w:ascii="Cambria" w:hAnsi="Cambria"/>
        </w:rPr>
        <w:t>. RICS Research</w:t>
      </w:r>
      <w:r>
        <w:rPr>
          <w:rFonts w:ascii="Cambria" w:hAnsi="Cambria"/>
        </w:rPr>
        <w:t>, London: Royal Institution of Chartered Surveyors (</w:t>
      </w:r>
      <w:r w:rsidRPr="001F1C8F">
        <w:rPr>
          <w:rFonts w:ascii="Cambria" w:hAnsi="Cambria"/>
        </w:rPr>
        <w:t>RICS</w:t>
      </w:r>
      <w:r>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 xml:space="preserve">Adams, D. and Tiesdell, S. (2013) </w:t>
      </w:r>
      <w:r w:rsidRPr="00F02648">
        <w:rPr>
          <w:rFonts w:ascii="Cambria" w:hAnsi="Cambria"/>
          <w:i/>
        </w:rPr>
        <w:t>Shaping Places: Urban planning, design and development</w:t>
      </w:r>
      <w:r w:rsidRPr="001F1C8F">
        <w:rPr>
          <w:rFonts w:ascii="Cambria" w:hAnsi="Cambria"/>
        </w:rPr>
        <w:t>, Oxford: Routledge Ltd.</w:t>
      </w:r>
    </w:p>
    <w:p w:rsidR="00392C82" w:rsidRDefault="00392C82" w:rsidP="00DB76C6">
      <w:pPr>
        <w:spacing w:after="200"/>
        <w:ind w:left="720" w:hanging="720"/>
        <w:rPr>
          <w:rFonts w:ascii="Cambria" w:hAnsi="Cambria"/>
        </w:rPr>
      </w:pPr>
      <w:r w:rsidRPr="001F1C8F">
        <w:rPr>
          <w:rFonts w:ascii="Cambria" w:hAnsi="Cambria"/>
        </w:rPr>
        <w:t xml:space="preserve">Almeida, J., Condessa, B., Pinto, P., and Antunes Ferreira, J. (2013) Portugese tax to focus regeneration and increase transparency of development costs, In:Bartke, S. (editor) (2013), </w:t>
      </w:r>
      <w:r w:rsidRPr="00F02648">
        <w:rPr>
          <w:rFonts w:ascii="Cambria" w:hAnsi="Cambria"/>
          <w:i/>
        </w:rPr>
        <w:t>Science for Environment Policy – Thematic Issue: Brownfield Regeneration</w:t>
      </w:r>
      <w:r w:rsidRPr="001F1C8F">
        <w:rPr>
          <w:rFonts w:ascii="Cambria" w:hAnsi="Cambria"/>
        </w:rPr>
        <w:t xml:space="preserve">, May 2013, 39, European Commission, </w:t>
      </w:r>
      <w:r>
        <w:rPr>
          <w:rFonts w:ascii="Cambria" w:hAnsi="Cambria"/>
        </w:rPr>
        <w:t>[</w:t>
      </w:r>
      <w:r w:rsidRPr="001F1C8F">
        <w:rPr>
          <w:rFonts w:ascii="Cambria" w:hAnsi="Cambria"/>
        </w:rPr>
        <w:t>online</w:t>
      </w:r>
      <w:r>
        <w:rPr>
          <w:rFonts w:ascii="Cambria" w:hAnsi="Cambria"/>
        </w:rPr>
        <w:t>]</w:t>
      </w:r>
      <w:r w:rsidRPr="001F1C8F">
        <w:rPr>
          <w:rFonts w:ascii="Cambria" w:hAnsi="Cambria"/>
        </w:rPr>
        <w:t xml:space="preserve"> </w:t>
      </w:r>
      <w:r>
        <w:rPr>
          <w:rFonts w:ascii="Cambria" w:hAnsi="Cambria"/>
        </w:rPr>
        <w:t xml:space="preserve">Available from: </w:t>
      </w:r>
      <w:r w:rsidRPr="001F1C8F">
        <w:rPr>
          <w:rFonts w:ascii="Cambria" w:hAnsi="Cambria"/>
        </w:rPr>
        <w:t>http://ec.europa.eu/environment/integration/research/newsalert/pdf/39si.pdf [</w:t>
      </w:r>
      <w:r>
        <w:rPr>
          <w:rFonts w:ascii="Cambria" w:hAnsi="Cambria"/>
        </w:rPr>
        <w:t xml:space="preserve">Accessed </w:t>
      </w:r>
      <w:r w:rsidR="00DB76C6">
        <w:rPr>
          <w:rFonts w:ascii="Cambria" w:hAnsi="Cambria"/>
        </w:rPr>
        <w:t>January</w:t>
      </w:r>
      <w:r>
        <w:rPr>
          <w:rFonts w:ascii="Cambria" w:hAnsi="Cambria"/>
        </w:rPr>
        <w:t xml:space="preserve"> 201</w:t>
      </w:r>
      <w:r w:rsidR="00DB76C6">
        <w:rPr>
          <w:rFonts w:ascii="Cambria" w:hAnsi="Cambria"/>
        </w:rPr>
        <w:t>6</w:t>
      </w:r>
      <w:r w:rsidRPr="001F1C8F">
        <w:rPr>
          <w:rFonts w:ascii="Cambria" w:hAnsi="Cambria"/>
        </w:rPr>
        <w:t>]</w:t>
      </w:r>
      <w:r>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Amsterdam City Council (</w:t>
      </w:r>
      <w:r>
        <w:rPr>
          <w:rFonts w:ascii="Cambria" w:hAnsi="Cambria"/>
        </w:rPr>
        <w:t>2014</w:t>
      </w:r>
      <w:r w:rsidRPr="001F1C8F">
        <w:rPr>
          <w:rFonts w:ascii="Cambria" w:hAnsi="Cambria"/>
        </w:rPr>
        <w:t xml:space="preserve">) </w:t>
      </w:r>
      <w:r w:rsidRPr="00F02648">
        <w:rPr>
          <w:rFonts w:ascii="Cambria" w:hAnsi="Cambria"/>
          <w:i/>
        </w:rPr>
        <w:t>A Green Metropole: Amsterdam Definitely Sustainable</w:t>
      </w:r>
      <w:r w:rsidRPr="001F1C8F">
        <w:rPr>
          <w:rFonts w:ascii="Cambria" w:hAnsi="Cambria"/>
        </w:rPr>
        <w:t xml:space="preserve">, </w:t>
      </w:r>
      <w:r>
        <w:rPr>
          <w:rFonts w:ascii="Cambria" w:hAnsi="Cambria"/>
        </w:rPr>
        <w:t>A</w:t>
      </w:r>
      <w:r w:rsidRPr="001F1C8F">
        <w:rPr>
          <w:rFonts w:ascii="Cambria" w:hAnsi="Cambria"/>
        </w:rPr>
        <w:t>vailable</w:t>
      </w:r>
      <w:r>
        <w:rPr>
          <w:rFonts w:ascii="Cambria" w:hAnsi="Cambria"/>
        </w:rPr>
        <w:t xml:space="preserve"> from:</w:t>
      </w:r>
      <w:r w:rsidRPr="001F1C8F">
        <w:rPr>
          <w:rFonts w:ascii="Cambria" w:hAnsi="Cambria"/>
        </w:rPr>
        <w:t xml:space="preserve"> </w:t>
      </w:r>
      <w:hyperlink r:id="rId8" w:history="1">
        <w:r w:rsidRPr="001F1C8F">
          <w:t>http://www.amsterdam.nl/gemeente/organisatie-diensten/dienst-ruimtelijke/making-amsterdam/portfolio/sustainability-progr/</w:t>
        </w:r>
      </w:hyperlink>
      <w:r w:rsidRPr="001F1C8F">
        <w:rPr>
          <w:rFonts w:ascii="Cambria" w:hAnsi="Cambria"/>
        </w:rPr>
        <w:t xml:space="preserve"> [</w:t>
      </w:r>
      <w:r>
        <w:rPr>
          <w:rFonts w:ascii="Cambria" w:hAnsi="Cambria"/>
        </w:rPr>
        <w:t>A</w:t>
      </w:r>
      <w:r w:rsidRPr="001F1C8F">
        <w:rPr>
          <w:rFonts w:ascii="Cambria" w:hAnsi="Cambria"/>
        </w:rPr>
        <w:t xml:space="preserve">ccessed </w:t>
      </w:r>
      <w:r w:rsidR="00DB76C6">
        <w:rPr>
          <w:rFonts w:ascii="Cambria" w:hAnsi="Cambria"/>
        </w:rPr>
        <w:t>January 2016</w:t>
      </w:r>
      <w:r w:rsidRPr="001F1C8F">
        <w:rPr>
          <w:rFonts w:ascii="Cambria" w:hAnsi="Cambria"/>
        </w:rPr>
        <w:t>]</w:t>
      </w:r>
      <w:r>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 xml:space="preserve">Bartke, S. (editor) (2013) </w:t>
      </w:r>
      <w:r w:rsidRPr="00F02648">
        <w:rPr>
          <w:rFonts w:ascii="Cambria" w:hAnsi="Cambria"/>
          <w:i/>
        </w:rPr>
        <w:t>Science for Environment Policy – Thematic Issue: Brownfield Regeneration</w:t>
      </w:r>
      <w:r w:rsidRPr="001F1C8F">
        <w:rPr>
          <w:rFonts w:ascii="Cambria" w:hAnsi="Cambria"/>
        </w:rPr>
        <w:t xml:space="preserve">, May 2013, 39, European Commission, </w:t>
      </w:r>
      <w:r>
        <w:rPr>
          <w:rFonts w:ascii="Cambria" w:hAnsi="Cambria"/>
        </w:rPr>
        <w:t>[</w:t>
      </w:r>
      <w:r w:rsidRPr="001F1C8F">
        <w:rPr>
          <w:rFonts w:ascii="Cambria" w:hAnsi="Cambria"/>
        </w:rPr>
        <w:t>online</w:t>
      </w:r>
      <w:r>
        <w:rPr>
          <w:rFonts w:ascii="Cambria" w:hAnsi="Cambria"/>
        </w:rPr>
        <w:t>] Available from:</w:t>
      </w:r>
      <w:r w:rsidRPr="001F1C8F">
        <w:rPr>
          <w:rFonts w:ascii="Cambria" w:hAnsi="Cambria"/>
        </w:rPr>
        <w:t xml:space="preserve"> http://ec.europa.eu/environment/integration/research/newsalert/pdf/39si.pdf [</w:t>
      </w:r>
      <w:r>
        <w:rPr>
          <w:rFonts w:ascii="Cambria" w:hAnsi="Cambria"/>
        </w:rPr>
        <w:t>A</w:t>
      </w:r>
      <w:r w:rsidRPr="001F1C8F">
        <w:rPr>
          <w:rFonts w:ascii="Cambria" w:hAnsi="Cambria"/>
        </w:rPr>
        <w:t xml:space="preserve">ccessed </w:t>
      </w:r>
      <w:r w:rsidR="00DB76C6">
        <w:rPr>
          <w:rFonts w:ascii="Cambria" w:hAnsi="Cambria"/>
        </w:rPr>
        <w:t>January 2016</w:t>
      </w:r>
      <w:r w:rsidRPr="001F1C8F">
        <w:rPr>
          <w:rFonts w:ascii="Cambria" w:hAnsi="Cambria"/>
        </w:rPr>
        <w:t>]</w:t>
      </w:r>
      <w:r>
        <w:rPr>
          <w:rFonts w:ascii="Cambria" w:hAnsi="Cambria"/>
        </w:rPr>
        <w:t>.</w:t>
      </w:r>
    </w:p>
    <w:p w:rsidR="00392C82" w:rsidRDefault="00392C82" w:rsidP="00392C82">
      <w:pPr>
        <w:spacing w:after="200"/>
        <w:rPr>
          <w:rFonts w:ascii="Cambria" w:hAnsi="Cambria"/>
        </w:rPr>
      </w:pPr>
      <w:r w:rsidRPr="001F1C8F">
        <w:rPr>
          <w:rFonts w:ascii="Cambria" w:hAnsi="Cambria"/>
        </w:rPr>
        <w:t xml:space="preserve">Baum, A and Crosby, N. (2008) </w:t>
      </w:r>
      <w:r w:rsidRPr="00F02648">
        <w:rPr>
          <w:rFonts w:ascii="Cambria" w:hAnsi="Cambria"/>
          <w:i/>
        </w:rPr>
        <w:t>Property Investment Appraisal</w:t>
      </w:r>
      <w:r w:rsidRPr="001F1C8F">
        <w:rPr>
          <w:rFonts w:ascii="Cambria" w:hAnsi="Cambria"/>
        </w:rPr>
        <w:t xml:space="preserve">, </w:t>
      </w:r>
      <w:r>
        <w:rPr>
          <w:rFonts w:ascii="Cambria" w:hAnsi="Cambria"/>
        </w:rPr>
        <w:t xml:space="preserve">Oxford: </w:t>
      </w:r>
      <w:r w:rsidRPr="001F1C8F">
        <w:rPr>
          <w:rFonts w:ascii="Cambria" w:hAnsi="Cambria"/>
        </w:rPr>
        <w:t>Blackwell</w:t>
      </w:r>
      <w:r>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 xml:space="preserve">Bayley, M. (2003) Channel Tunnel Rail Link: Financing and Risk Transfer, </w:t>
      </w:r>
      <w:r w:rsidRPr="00F02648">
        <w:rPr>
          <w:rFonts w:ascii="Cambria" w:hAnsi="Cambria"/>
          <w:i/>
        </w:rPr>
        <w:t>Civil Engineering</w:t>
      </w:r>
      <w:r w:rsidRPr="001F1C8F">
        <w:rPr>
          <w:rFonts w:ascii="Cambria" w:hAnsi="Cambria"/>
        </w:rPr>
        <w:t xml:space="preserve">, 156 </w:t>
      </w:r>
      <w:r>
        <w:rPr>
          <w:rFonts w:ascii="Cambria" w:hAnsi="Cambria"/>
        </w:rPr>
        <w:t>(</w:t>
      </w:r>
      <w:r w:rsidRPr="00F210A0">
        <w:rPr>
          <w:rFonts w:ascii="Cambria" w:hAnsi="Cambria"/>
        </w:rPr>
        <w:t>5</w:t>
      </w:r>
      <w:r>
        <w:rPr>
          <w:rFonts w:ascii="Cambria" w:hAnsi="Cambria"/>
        </w:rPr>
        <w:t>),</w:t>
      </w:r>
      <w:r w:rsidRPr="001F1C8F">
        <w:rPr>
          <w:rFonts w:ascii="Cambria" w:hAnsi="Cambria"/>
        </w:rPr>
        <w:t>. 28-35</w:t>
      </w:r>
      <w:r>
        <w:rPr>
          <w:rFonts w:ascii="Cambria" w:hAnsi="Cambria"/>
        </w:rPr>
        <w:t>.</w:t>
      </w:r>
    </w:p>
    <w:p w:rsidR="00392C82" w:rsidRPr="00905B94" w:rsidRDefault="00392C82" w:rsidP="00392C82">
      <w:pPr>
        <w:spacing w:after="200"/>
        <w:ind w:left="720" w:hanging="720"/>
        <w:rPr>
          <w:rFonts w:ascii="Cambria" w:hAnsi="Cambria"/>
        </w:rPr>
      </w:pPr>
      <w:r w:rsidRPr="001F1C8F">
        <w:rPr>
          <w:rFonts w:ascii="Cambria" w:hAnsi="Cambria"/>
        </w:rPr>
        <w:t>Becker, J. and Jäger, J. (2010) Development Trajectories in the Crisis in Europe</w:t>
      </w:r>
      <w:r>
        <w:rPr>
          <w:rFonts w:ascii="Cambria" w:hAnsi="Cambria"/>
        </w:rPr>
        <w:t xml:space="preserve">, </w:t>
      </w:r>
      <w:r w:rsidRPr="00905B94">
        <w:rPr>
          <w:rFonts w:ascii="Cambria" w:hAnsi="Cambria"/>
        </w:rPr>
        <w:t>Journal of Contemporary Central and Eastern Europe</w:t>
      </w:r>
      <w:r w:rsidRPr="001F1C8F">
        <w:rPr>
          <w:rFonts w:ascii="Cambria" w:hAnsi="Cambria"/>
        </w:rPr>
        <w:t>, 18,</w:t>
      </w:r>
      <w:r>
        <w:rPr>
          <w:rFonts w:ascii="Cambria" w:hAnsi="Cambria"/>
        </w:rPr>
        <w:t>(</w:t>
      </w:r>
      <w:r w:rsidRPr="001F1C8F">
        <w:rPr>
          <w:rFonts w:ascii="Cambria" w:hAnsi="Cambria"/>
        </w:rPr>
        <w:t>1</w:t>
      </w:r>
      <w:r>
        <w:rPr>
          <w:rFonts w:ascii="Cambria" w:hAnsi="Cambria"/>
        </w:rPr>
        <w:t>)</w:t>
      </w:r>
      <w:r w:rsidRPr="001F1C8F">
        <w:rPr>
          <w:rFonts w:ascii="Cambria" w:hAnsi="Cambria"/>
        </w:rPr>
        <w:t>, pp. 5–27</w:t>
      </w:r>
      <w:r>
        <w:rPr>
          <w:rFonts w:ascii="Cambria" w:hAnsi="Cambria"/>
        </w:rPr>
        <w:t>.</w:t>
      </w:r>
    </w:p>
    <w:p w:rsidR="00392C82" w:rsidRPr="00905B94" w:rsidRDefault="00392C82" w:rsidP="00392C82">
      <w:pPr>
        <w:spacing w:after="200"/>
        <w:ind w:left="720" w:hanging="720"/>
        <w:rPr>
          <w:rFonts w:ascii="Cambria" w:hAnsi="Cambria"/>
        </w:rPr>
      </w:pPr>
      <w:r w:rsidRPr="00905B94">
        <w:rPr>
          <w:rFonts w:ascii="Cambria" w:hAnsi="Cambria"/>
        </w:rPr>
        <w:t>Biddulph, M. (2011) Urban design, regeneration and the entrepreneurial city, Progress in Planning, 76 (2), 63-103.</w:t>
      </w:r>
    </w:p>
    <w:p w:rsidR="005013C7" w:rsidRDefault="00392C82" w:rsidP="00392C82">
      <w:pPr>
        <w:spacing w:after="200"/>
        <w:ind w:left="720" w:hanging="720"/>
        <w:rPr>
          <w:rFonts w:ascii="Cambria" w:hAnsi="Cambria"/>
        </w:rPr>
      </w:pPr>
      <w:r w:rsidRPr="001F1C8F">
        <w:rPr>
          <w:rFonts w:ascii="Cambria" w:hAnsi="Cambria"/>
        </w:rPr>
        <w:t xml:space="preserve">Bilal, S. and Krätke, F. (2013) </w:t>
      </w:r>
      <w:r w:rsidRPr="00905B94">
        <w:rPr>
          <w:rFonts w:ascii="Cambria" w:hAnsi="Cambria"/>
        </w:rPr>
        <w:t>Blending loans and grants for development: An effective mix for the EU?</w:t>
      </w:r>
      <w:r w:rsidRPr="001F1C8F">
        <w:rPr>
          <w:rFonts w:ascii="Cambria" w:hAnsi="Cambria"/>
        </w:rPr>
        <w:t>, European Centre for Development Policy Management</w:t>
      </w:r>
      <w:r>
        <w:rPr>
          <w:rFonts w:ascii="Cambria" w:hAnsi="Cambria"/>
        </w:rPr>
        <w:t>, October 2013, Briefing Note 55.</w:t>
      </w:r>
    </w:p>
    <w:p w:rsidR="00392C82" w:rsidRDefault="005013C7" w:rsidP="00392C82">
      <w:pPr>
        <w:spacing w:after="200"/>
        <w:ind w:left="720" w:hanging="720"/>
        <w:rPr>
          <w:rFonts w:ascii="Cambria" w:hAnsi="Cambria"/>
        </w:rPr>
      </w:pPr>
      <w:r w:rsidRPr="005013C7">
        <w:rPr>
          <w:rFonts w:ascii="Cambria" w:hAnsi="Cambria"/>
        </w:rPr>
        <w:t>Birch, J. and Squires, G. (2014). ‘Building Heritage in Enterprise Zones: The Latest Threat or Opportunity?’in Structural Survey, Vol. 32, No.3, pp. 209-218</w:t>
      </w:r>
    </w:p>
    <w:p w:rsidR="00392C82" w:rsidRDefault="00392C82" w:rsidP="00392C82">
      <w:pPr>
        <w:spacing w:after="200"/>
        <w:ind w:left="720" w:hanging="720"/>
        <w:rPr>
          <w:rFonts w:ascii="Cambria" w:hAnsi="Cambria"/>
        </w:rPr>
      </w:pPr>
      <w:r w:rsidRPr="0002536B">
        <w:rPr>
          <w:rFonts w:ascii="Cambria" w:hAnsi="Cambria"/>
        </w:rPr>
        <w:t>BNP</w:t>
      </w:r>
      <w:r>
        <w:rPr>
          <w:rFonts w:ascii="Cambria" w:hAnsi="Cambria"/>
        </w:rPr>
        <w:t xml:space="preserve"> Paribas </w:t>
      </w:r>
      <w:r w:rsidRPr="0002536B">
        <w:rPr>
          <w:rFonts w:ascii="Cambria" w:hAnsi="Cambria"/>
        </w:rPr>
        <w:t>REIM</w:t>
      </w:r>
      <w:r>
        <w:rPr>
          <w:rFonts w:ascii="Cambria" w:hAnsi="Cambria"/>
        </w:rPr>
        <w:t xml:space="preserve">, </w:t>
      </w:r>
      <w:r w:rsidRPr="00744FA9">
        <w:rPr>
          <w:rFonts w:ascii="Cambria" w:hAnsi="Cambria"/>
        </w:rPr>
        <w:t>Deutsche Hypo, Bayerische Versorgungskammer</w:t>
      </w:r>
      <w:r>
        <w:rPr>
          <w:rFonts w:ascii="Cambria" w:hAnsi="Cambria"/>
        </w:rPr>
        <w:t>. (2014).</w:t>
      </w:r>
      <w:r w:rsidRPr="00744FA9">
        <w:rPr>
          <w:rFonts w:ascii="Cambria" w:hAnsi="Cambria"/>
        </w:rPr>
        <w:t xml:space="preserve"> € 600 million financing for “Mall of Berlin” (Leipziger Platz Quartier)</w:t>
      </w:r>
      <w:r>
        <w:rPr>
          <w:rFonts w:ascii="Cambria" w:hAnsi="Cambria"/>
        </w:rPr>
        <w:t xml:space="preserve">. </w:t>
      </w:r>
      <w:r w:rsidRPr="0002536B">
        <w:rPr>
          <w:rFonts w:ascii="Cambria" w:hAnsi="Cambria"/>
        </w:rPr>
        <w:t>Press</w:t>
      </w:r>
      <w:r>
        <w:rPr>
          <w:rFonts w:ascii="Cambria" w:hAnsi="Cambria"/>
        </w:rPr>
        <w:t xml:space="preserve"> Release August </w:t>
      </w:r>
      <w:r w:rsidRPr="0002536B">
        <w:rPr>
          <w:rFonts w:ascii="Cambria" w:hAnsi="Cambria"/>
        </w:rPr>
        <w:t>2014</w:t>
      </w:r>
      <w:r>
        <w:rPr>
          <w:rFonts w:ascii="Cambria" w:hAnsi="Cambria"/>
        </w:rPr>
        <w:t xml:space="preserve"> </w:t>
      </w:r>
      <w:hyperlink r:id="rId9" w:history="1">
        <w:r w:rsidRPr="00560432">
          <w:rPr>
            <w:rStyle w:val="Hyperlink"/>
            <w:rFonts w:ascii="Cambria" w:hAnsi="Cambria"/>
          </w:rPr>
          <w:t>http://www.reim.bnpparibas.de/fileadmin/mediapool/downloads/Pressemitteilungen/englisch/BNPPREIM_Germany_Press_release_2014_08_25.pdf</w:t>
        </w:r>
      </w:hyperlink>
      <w:r>
        <w:rPr>
          <w:rFonts w:ascii="Cambria" w:hAnsi="Cambria"/>
        </w:rPr>
        <w:t xml:space="preserve"> [Accessed </w:t>
      </w:r>
      <w:r w:rsidR="00DB76C6">
        <w:rPr>
          <w:rFonts w:ascii="Cambria" w:hAnsi="Cambria"/>
        </w:rPr>
        <w:t>January 2016</w:t>
      </w:r>
      <w:r>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B</w:t>
      </w:r>
      <w:r>
        <w:rPr>
          <w:rFonts w:ascii="Cambria" w:hAnsi="Cambria"/>
        </w:rPr>
        <w:t xml:space="preserve">ritish </w:t>
      </w:r>
      <w:r w:rsidRPr="001F1C8F">
        <w:rPr>
          <w:rFonts w:ascii="Cambria" w:hAnsi="Cambria"/>
        </w:rPr>
        <w:t>P</w:t>
      </w:r>
      <w:r>
        <w:rPr>
          <w:rFonts w:ascii="Cambria" w:hAnsi="Cambria"/>
        </w:rPr>
        <w:t xml:space="preserve">roperty </w:t>
      </w:r>
      <w:r w:rsidRPr="001F1C8F">
        <w:rPr>
          <w:rFonts w:ascii="Cambria" w:hAnsi="Cambria"/>
        </w:rPr>
        <w:t>F</w:t>
      </w:r>
      <w:r>
        <w:rPr>
          <w:rFonts w:ascii="Cambria" w:hAnsi="Cambria"/>
        </w:rPr>
        <w:t xml:space="preserve">ederation (BPF) and </w:t>
      </w:r>
      <w:r w:rsidRPr="001F1C8F">
        <w:rPr>
          <w:rFonts w:ascii="Cambria" w:hAnsi="Cambria"/>
        </w:rPr>
        <w:t xml:space="preserve">Strutt &amp; Parker (2013) </w:t>
      </w:r>
      <w:r w:rsidRPr="00F02648">
        <w:rPr>
          <w:rFonts w:ascii="Cambria" w:hAnsi="Cambria"/>
          <w:i/>
        </w:rPr>
        <w:t>IPD Lease Events Report</w:t>
      </w:r>
      <w:r w:rsidRPr="001F1C8F">
        <w:rPr>
          <w:rFonts w:ascii="Cambria" w:hAnsi="Cambria"/>
        </w:rPr>
        <w:t xml:space="preserve">, IPD. </w:t>
      </w:r>
      <w:r>
        <w:rPr>
          <w:rFonts w:ascii="Cambria" w:hAnsi="Cambria"/>
        </w:rPr>
        <w:t xml:space="preserve">[online] Available from: </w:t>
      </w:r>
      <w:r w:rsidRPr="001F1C8F">
        <w:rPr>
          <w:rFonts w:ascii="Cambria" w:hAnsi="Cambria"/>
        </w:rPr>
        <w:t xml:space="preserve">http://www.bpf.org.uk/en/files/bpf_documents/commercial/IPD-MSCI-LeaseEventsReport-_FINAL.pdf  </w:t>
      </w:r>
      <w:r>
        <w:rPr>
          <w:rFonts w:ascii="Cambria" w:hAnsi="Cambria"/>
        </w:rPr>
        <w:t xml:space="preserve">[Accessed </w:t>
      </w:r>
      <w:r w:rsidR="00DB76C6">
        <w:rPr>
          <w:rFonts w:ascii="Cambria" w:hAnsi="Cambria"/>
        </w:rPr>
        <w:t>January 2016</w:t>
      </w:r>
      <w:r>
        <w:rPr>
          <w:rFonts w:ascii="Cambria" w:hAnsi="Cambria"/>
        </w:rPr>
        <w:t>]</w:t>
      </w:r>
      <w:r w:rsidRPr="001F1C8F">
        <w:rPr>
          <w:rFonts w:ascii="Cambria" w:hAnsi="Cambria"/>
        </w:rPr>
        <w:t xml:space="preserve">  </w:t>
      </w:r>
    </w:p>
    <w:p w:rsidR="00392C82" w:rsidRDefault="00392C82" w:rsidP="00392C82">
      <w:pPr>
        <w:spacing w:after="200"/>
        <w:ind w:left="720" w:hanging="720"/>
        <w:rPr>
          <w:rFonts w:ascii="Cambria" w:hAnsi="Cambria"/>
        </w:rPr>
      </w:pPr>
      <w:r w:rsidRPr="001F1C8F">
        <w:rPr>
          <w:rFonts w:ascii="Cambria" w:hAnsi="Cambria"/>
        </w:rPr>
        <w:t xml:space="preserve">British Property Federation (BPF) (2008) Tax Increment Financing: A new tool for funding regeneration in the UK? [online], Available </w:t>
      </w:r>
      <w:r>
        <w:rPr>
          <w:rFonts w:ascii="Cambria" w:hAnsi="Cambria"/>
        </w:rPr>
        <w:t xml:space="preserve">from: </w:t>
      </w:r>
      <w:hyperlink r:id="rId10" w:history="1">
        <w:r w:rsidRPr="001F1C8F">
          <w:t>http://www.bpf.org.uk/en/files/bpf_documents/finance/BPF_TIFS_Paper_Final_A4.pdf</w:t>
        </w:r>
      </w:hyperlink>
      <w:r w:rsidRPr="001F1C8F">
        <w:rPr>
          <w:rFonts w:ascii="Cambria" w:hAnsi="Cambria"/>
        </w:rPr>
        <w:t xml:space="preserve"> [Accessed </w:t>
      </w:r>
      <w:r w:rsidR="00DB76C6">
        <w:rPr>
          <w:rFonts w:ascii="Cambria" w:hAnsi="Cambria"/>
        </w:rPr>
        <w:t>January 2016</w:t>
      </w:r>
      <w:r w:rsidRPr="001F1C8F">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Bujold, M., C. (2013) Real Estate Markets and the Economy: European Insights, Real Estate Issues, 38</w:t>
      </w:r>
      <w:r>
        <w:rPr>
          <w:rFonts w:ascii="Cambria" w:hAnsi="Cambria"/>
        </w:rPr>
        <w:t xml:space="preserve"> </w:t>
      </w:r>
      <w:r w:rsidRPr="001F1C8F">
        <w:rPr>
          <w:rFonts w:ascii="Cambria" w:hAnsi="Cambria"/>
        </w:rPr>
        <w:t>(1), 8–19.</w:t>
      </w:r>
    </w:p>
    <w:p w:rsidR="00392C82" w:rsidRDefault="00392C82" w:rsidP="00392C82">
      <w:pPr>
        <w:spacing w:after="200"/>
        <w:ind w:left="720" w:hanging="720"/>
        <w:rPr>
          <w:rFonts w:ascii="Cambria" w:hAnsi="Cambria"/>
        </w:rPr>
      </w:pPr>
      <w:r w:rsidRPr="001F1C8F">
        <w:rPr>
          <w:rFonts w:ascii="Cambria" w:hAnsi="Cambria"/>
        </w:rPr>
        <w:t>Burger, P. and Hawkesworth, I. (2011) How To Attain Value for Mon</w:t>
      </w:r>
      <w:r>
        <w:rPr>
          <w:rFonts w:ascii="Cambria" w:hAnsi="Cambria"/>
        </w:rPr>
        <w:t>e</w:t>
      </w:r>
      <w:r w:rsidRPr="001F1C8F">
        <w:rPr>
          <w:rFonts w:ascii="Cambria" w:hAnsi="Cambria"/>
        </w:rPr>
        <w:t xml:space="preserve">y: Comparing PPP and Traditional Infrastructure Public Procurement, </w:t>
      </w:r>
      <w:r w:rsidRPr="00F02648">
        <w:rPr>
          <w:rFonts w:ascii="Cambria" w:hAnsi="Cambria"/>
          <w:i/>
        </w:rPr>
        <w:t>OECD Journal on Budgeting</w:t>
      </w:r>
      <w:r w:rsidRPr="001F1C8F">
        <w:rPr>
          <w:rFonts w:ascii="Cambria" w:hAnsi="Cambria"/>
        </w:rPr>
        <w:t>, 11</w:t>
      </w:r>
      <w:r>
        <w:rPr>
          <w:rFonts w:ascii="Cambria" w:hAnsi="Cambria"/>
        </w:rPr>
        <w:t xml:space="preserve"> (</w:t>
      </w:r>
      <w:r w:rsidRPr="001F1C8F">
        <w:rPr>
          <w:rFonts w:ascii="Cambria" w:hAnsi="Cambria"/>
        </w:rPr>
        <w:t>1</w:t>
      </w:r>
      <w:r>
        <w:rPr>
          <w:rFonts w:ascii="Cambria" w:hAnsi="Cambria"/>
        </w:rPr>
        <w:t>)</w:t>
      </w:r>
      <w:r w:rsidRPr="001F1C8F">
        <w:rPr>
          <w:rFonts w:ascii="Cambria" w:hAnsi="Cambria"/>
        </w:rPr>
        <w:t>, 1 – 56.</w:t>
      </w:r>
    </w:p>
    <w:p w:rsidR="00392C82" w:rsidRDefault="00392C82" w:rsidP="00392C82">
      <w:pPr>
        <w:spacing w:after="200"/>
        <w:ind w:left="720" w:hanging="720"/>
        <w:rPr>
          <w:rFonts w:ascii="Cambria" w:hAnsi="Cambria"/>
        </w:rPr>
      </w:pPr>
      <w:r w:rsidRPr="001F1C8F">
        <w:rPr>
          <w:rFonts w:ascii="Cambria" w:hAnsi="Cambria"/>
        </w:rPr>
        <w:t xml:space="preserve">Cardone, R. and Fonseca, C. (2006) </w:t>
      </w:r>
      <w:r w:rsidRPr="00F02648">
        <w:rPr>
          <w:rFonts w:ascii="Cambria" w:hAnsi="Cambria"/>
          <w:i/>
        </w:rPr>
        <w:t>UN-Habitat Report on the Water and Sanitation in Secondary Urban Centres: Part 1. Innovative Financing: Experiences with Secondary Urban Centres Water Supply and Sanitation Service Delivery</w:t>
      </w:r>
      <w:r w:rsidRPr="001F1C8F">
        <w:rPr>
          <w:rFonts w:ascii="Cambria" w:hAnsi="Cambria"/>
        </w:rPr>
        <w:t>, Kenya: UN-Habitat.</w:t>
      </w:r>
    </w:p>
    <w:p w:rsidR="00392C82" w:rsidRDefault="00392C82" w:rsidP="00392C82">
      <w:pPr>
        <w:spacing w:after="200"/>
        <w:ind w:left="720" w:hanging="720"/>
        <w:rPr>
          <w:rFonts w:ascii="Cambria" w:hAnsi="Cambria"/>
        </w:rPr>
      </w:pPr>
      <w:r w:rsidRPr="001F1C8F">
        <w:rPr>
          <w:rFonts w:ascii="Cambria" w:hAnsi="Cambria"/>
        </w:rPr>
        <w:t xml:space="preserve">Carpenter, J. (2013) Chapter 11 Sustainable Urban Regeneration Within the European Union – A case of ‘Europeanization’? </w:t>
      </w:r>
      <w:r>
        <w:rPr>
          <w:rFonts w:ascii="Cambria" w:hAnsi="Cambria"/>
        </w:rPr>
        <w:t>I</w:t>
      </w:r>
      <w:r w:rsidRPr="001F1C8F">
        <w:rPr>
          <w:rFonts w:ascii="Cambria" w:hAnsi="Cambria"/>
        </w:rPr>
        <w:t xml:space="preserve">n: Leary, M, E. and McCarthy, J. (Eds.) (2013), </w:t>
      </w:r>
      <w:r w:rsidRPr="00F02648">
        <w:rPr>
          <w:rFonts w:ascii="Cambria" w:hAnsi="Cambria"/>
          <w:i/>
        </w:rPr>
        <w:t>The Routledge Companion to Urban Regeneration</w:t>
      </w:r>
      <w:r>
        <w:rPr>
          <w:rFonts w:ascii="Cambria" w:hAnsi="Cambria"/>
          <w:i/>
        </w:rPr>
        <w:t xml:space="preserve"> </w:t>
      </w:r>
      <w:r>
        <w:rPr>
          <w:rFonts w:ascii="Cambria" w:hAnsi="Cambria"/>
        </w:rPr>
        <w:t>[online]</w:t>
      </w:r>
      <w:r w:rsidRPr="001F1C8F">
        <w:rPr>
          <w:rFonts w:ascii="Cambria" w:hAnsi="Cambria"/>
        </w:rPr>
        <w:t xml:space="preserve">, </w:t>
      </w:r>
      <w:r>
        <w:rPr>
          <w:rFonts w:ascii="Cambria" w:hAnsi="Cambria"/>
        </w:rPr>
        <w:t xml:space="preserve">London: </w:t>
      </w:r>
      <w:r w:rsidRPr="001F1C8F">
        <w:rPr>
          <w:rFonts w:ascii="Cambria" w:hAnsi="Cambria"/>
        </w:rPr>
        <w:t>Routledge Ltd.</w:t>
      </w:r>
    </w:p>
    <w:p w:rsidR="00392C82" w:rsidRPr="00905B94" w:rsidRDefault="00392C82" w:rsidP="00392C82">
      <w:pPr>
        <w:spacing w:after="200"/>
        <w:ind w:left="720" w:hanging="720"/>
        <w:rPr>
          <w:rFonts w:ascii="Cambria" w:hAnsi="Cambria"/>
        </w:rPr>
      </w:pPr>
      <w:r w:rsidRPr="001F1C8F">
        <w:rPr>
          <w:rFonts w:ascii="Cambria" w:hAnsi="Cambria"/>
        </w:rPr>
        <w:t>Carter, A. (2006) Building an Investment Market for Economic Development,</w:t>
      </w:r>
      <w:r>
        <w:rPr>
          <w:rFonts w:ascii="Cambria" w:hAnsi="Cambria"/>
        </w:rPr>
        <w:t xml:space="preserve"> </w:t>
      </w:r>
      <w:r w:rsidRPr="00F02648">
        <w:rPr>
          <w:rFonts w:ascii="Cambria" w:hAnsi="Cambria"/>
          <w:i/>
        </w:rPr>
        <w:t>Local Economy</w:t>
      </w:r>
      <w:r w:rsidRPr="001F1C8F">
        <w:rPr>
          <w:rFonts w:ascii="Cambria" w:hAnsi="Cambria"/>
        </w:rPr>
        <w:t>, 21 (1), 65 – 72.</w:t>
      </w:r>
    </w:p>
    <w:p w:rsidR="00392C82" w:rsidRPr="00461AD9" w:rsidRDefault="00392C82" w:rsidP="00392C82">
      <w:pPr>
        <w:ind w:left="720" w:hanging="720"/>
        <w:rPr>
          <w:i/>
        </w:rPr>
      </w:pPr>
      <w:r w:rsidRPr="001F1C8F">
        <w:t xml:space="preserve">CECODHAS Housing Europe (2009) </w:t>
      </w:r>
      <w:r w:rsidRPr="00F02648">
        <w:rPr>
          <w:i/>
        </w:rPr>
        <w:t>Financing Social Housing - After the</w:t>
      </w:r>
      <w:r>
        <w:rPr>
          <w:i/>
        </w:rPr>
        <w:t xml:space="preserve"> </w:t>
      </w:r>
      <w:r w:rsidRPr="00F02648">
        <w:rPr>
          <w:i/>
        </w:rPr>
        <w:t>Economic Crisis: Proceedings of the CECODHAS Seminar</w:t>
      </w:r>
      <w:r w:rsidRPr="001F1C8F">
        <w:t>, Brussels, 10</w:t>
      </w:r>
      <w:r w:rsidRPr="001F1C8F">
        <w:rPr>
          <w:vertAlign w:val="superscript"/>
        </w:rPr>
        <w:t xml:space="preserve"> </w:t>
      </w:r>
      <w:r w:rsidRPr="001F1C8F">
        <w:t>September 2009.</w:t>
      </w:r>
    </w:p>
    <w:p w:rsidR="00392C82" w:rsidRDefault="00392C82" w:rsidP="00392C82">
      <w:pPr>
        <w:spacing w:after="200"/>
        <w:ind w:left="720" w:hanging="720"/>
        <w:rPr>
          <w:rFonts w:ascii="Cambria" w:hAnsi="Cambria"/>
        </w:rPr>
      </w:pPr>
      <w:r w:rsidRPr="001F1C8F">
        <w:rPr>
          <w:rFonts w:ascii="Cambria" w:hAnsi="Cambria"/>
        </w:rPr>
        <w:t>Core Cities Group and the B</w:t>
      </w:r>
      <w:r>
        <w:rPr>
          <w:rFonts w:ascii="Cambria" w:hAnsi="Cambria"/>
        </w:rPr>
        <w:t xml:space="preserve">ritish </w:t>
      </w:r>
      <w:r w:rsidRPr="001F1C8F">
        <w:rPr>
          <w:rFonts w:ascii="Cambria" w:hAnsi="Cambria"/>
        </w:rPr>
        <w:t>P</w:t>
      </w:r>
      <w:r>
        <w:rPr>
          <w:rFonts w:ascii="Cambria" w:hAnsi="Cambria"/>
        </w:rPr>
        <w:t xml:space="preserve">roperty </w:t>
      </w:r>
      <w:r w:rsidRPr="001F1C8F">
        <w:rPr>
          <w:rFonts w:ascii="Cambria" w:hAnsi="Cambria"/>
        </w:rPr>
        <w:t>F</w:t>
      </w:r>
      <w:r>
        <w:rPr>
          <w:rFonts w:ascii="Cambria" w:hAnsi="Cambria"/>
        </w:rPr>
        <w:t>ederation (BPF)</w:t>
      </w:r>
      <w:r w:rsidRPr="001F1C8F">
        <w:rPr>
          <w:rFonts w:ascii="Cambria" w:hAnsi="Cambria"/>
        </w:rPr>
        <w:t>, (</w:t>
      </w:r>
      <w:r>
        <w:rPr>
          <w:rFonts w:ascii="Cambria" w:hAnsi="Cambria"/>
        </w:rPr>
        <w:t xml:space="preserve">Date </w:t>
      </w:r>
      <w:r w:rsidRPr="001F1C8F">
        <w:rPr>
          <w:rFonts w:ascii="Cambria" w:hAnsi="Cambria"/>
        </w:rPr>
        <w:t xml:space="preserve">Unknown) </w:t>
      </w:r>
      <w:r w:rsidRPr="00F02648">
        <w:rPr>
          <w:rFonts w:ascii="Cambria" w:hAnsi="Cambria"/>
          <w:i/>
        </w:rPr>
        <w:t>A rough guide to tax increment financing</w:t>
      </w:r>
      <w:r w:rsidRPr="001F1C8F">
        <w:rPr>
          <w:rFonts w:ascii="Cambria" w:hAnsi="Cambria"/>
        </w:rPr>
        <w:t xml:space="preserve"> [online] </w:t>
      </w:r>
      <w:r>
        <w:rPr>
          <w:rFonts w:ascii="Cambria" w:hAnsi="Cambria"/>
        </w:rPr>
        <w:t>A</w:t>
      </w:r>
      <w:r w:rsidRPr="001F1C8F">
        <w:rPr>
          <w:rFonts w:ascii="Cambria" w:hAnsi="Cambria"/>
        </w:rPr>
        <w:t xml:space="preserve">vailable </w:t>
      </w:r>
      <w:r>
        <w:rPr>
          <w:rFonts w:ascii="Cambria" w:hAnsi="Cambria"/>
        </w:rPr>
        <w:t xml:space="preserve">from: </w:t>
      </w:r>
      <w:hyperlink r:id="rId11" w:history="1">
        <w:r w:rsidRPr="001F1C8F">
          <w:t>http://www.corecities.com/sites/default/files/images/publications/A%20Rough%20Guide%20to%20Tax%20Increment%20Financing_0.doc</w:t>
        </w:r>
      </w:hyperlink>
      <w:r w:rsidRPr="001F1C8F">
        <w:rPr>
          <w:rFonts w:ascii="Cambria" w:hAnsi="Cambria"/>
        </w:rPr>
        <w:t xml:space="preserve"> [accessed </w:t>
      </w:r>
      <w:r w:rsidR="00DB76C6">
        <w:rPr>
          <w:rFonts w:ascii="Cambria" w:hAnsi="Cambria"/>
        </w:rPr>
        <w:t>January 2016</w:t>
      </w:r>
      <w:r w:rsidRPr="001F1C8F">
        <w:rPr>
          <w:rFonts w:ascii="Cambria" w:hAnsi="Cambria"/>
        </w:rPr>
        <w:t>]</w:t>
      </w:r>
      <w:r>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 xml:space="preserve">Couch, C., Sykes, O. and Börstinghaus, W. (2011) Thirty years of urban regeneration in Britain, Germany and France: The importance of context and path dependency, </w:t>
      </w:r>
      <w:r w:rsidRPr="00F02648">
        <w:rPr>
          <w:rFonts w:ascii="Cambria" w:hAnsi="Cambria"/>
          <w:i/>
        </w:rPr>
        <w:t>Progress in Planning</w:t>
      </w:r>
      <w:r w:rsidRPr="001F1C8F">
        <w:rPr>
          <w:rFonts w:ascii="Cambria" w:hAnsi="Cambria"/>
        </w:rPr>
        <w:t xml:space="preserve">, 75 </w:t>
      </w:r>
      <w:r>
        <w:rPr>
          <w:rFonts w:ascii="Cambria" w:hAnsi="Cambria"/>
        </w:rPr>
        <w:t>(</w:t>
      </w:r>
      <w:r w:rsidRPr="001F1C8F">
        <w:rPr>
          <w:rFonts w:ascii="Cambria" w:hAnsi="Cambria"/>
        </w:rPr>
        <w:t>1</w:t>
      </w:r>
      <w:r>
        <w:rPr>
          <w:rFonts w:ascii="Cambria" w:hAnsi="Cambria"/>
        </w:rPr>
        <w:t>),</w:t>
      </w:r>
      <w:r w:rsidRPr="001F1C8F">
        <w:rPr>
          <w:rFonts w:ascii="Cambria" w:hAnsi="Cambria"/>
        </w:rPr>
        <w:t xml:space="preserve"> 1–52</w:t>
      </w:r>
      <w:r>
        <w:rPr>
          <w:rFonts w:ascii="Cambria" w:hAnsi="Cambria"/>
        </w:rPr>
        <w:t>.</w:t>
      </w:r>
    </w:p>
    <w:p w:rsidR="00100309" w:rsidRDefault="00392C82" w:rsidP="00392C82">
      <w:pPr>
        <w:spacing w:after="200"/>
        <w:ind w:left="720" w:hanging="720"/>
        <w:rPr>
          <w:rFonts w:ascii="Cambria" w:hAnsi="Cambria"/>
        </w:rPr>
      </w:pPr>
      <w:r w:rsidRPr="001F1C8F">
        <w:rPr>
          <w:rFonts w:ascii="Cambria" w:hAnsi="Cambria"/>
        </w:rPr>
        <w:t xml:space="preserve">Crowley, L. (2011) </w:t>
      </w:r>
      <w:r w:rsidRPr="00F02648">
        <w:rPr>
          <w:rFonts w:ascii="Cambria" w:hAnsi="Cambria"/>
          <w:i/>
        </w:rPr>
        <w:t>Streets Ahead: what makes a city innovate?,</w:t>
      </w:r>
      <w:r w:rsidRPr="001F1C8F">
        <w:rPr>
          <w:rFonts w:ascii="Cambria" w:hAnsi="Cambria"/>
        </w:rPr>
        <w:t xml:space="preserve"> London: The Work Foundation – Part of Lancashire University.</w:t>
      </w:r>
    </w:p>
    <w:p w:rsidR="00100309" w:rsidRDefault="00100309" w:rsidP="00392C82">
      <w:pPr>
        <w:spacing w:after="200"/>
        <w:ind w:left="720" w:hanging="720"/>
        <w:rPr>
          <w:rFonts w:ascii="Cambria" w:hAnsi="Cambria"/>
        </w:rPr>
      </w:pPr>
      <w:r w:rsidRPr="00100309">
        <w:rPr>
          <w:rFonts w:ascii="Cambria" w:hAnsi="Cambria"/>
        </w:rPr>
        <w:t>Denscombe, M. (2014) The good research guide: for small-scale social research projects. 5th ed. Maindenhead: Open University Press, 2014.</w:t>
      </w:r>
    </w:p>
    <w:p w:rsidR="00392C82" w:rsidRDefault="00392C82" w:rsidP="00392C82">
      <w:pPr>
        <w:spacing w:after="200"/>
        <w:ind w:left="720" w:hanging="720"/>
        <w:rPr>
          <w:rFonts w:ascii="Cambria" w:hAnsi="Cambria"/>
        </w:rPr>
      </w:pPr>
      <w:r w:rsidRPr="001F1C8F">
        <w:rPr>
          <w:rFonts w:ascii="Cambria" w:hAnsi="Cambria"/>
        </w:rPr>
        <w:t>Department for Environment, Food and Rural Affairs (DEFRA) (2013</w:t>
      </w:r>
      <w:r w:rsidRPr="00F02648">
        <w:rPr>
          <w:rFonts w:ascii="Cambria" w:hAnsi="Cambria"/>
          <w:i/>
        </w:rPr>
        <w:t>) Fourth Report of Session 2013-14 – European Scrutiny Committee, Commission Communication: Green Infrastructure (GI) – Enhancing Europe’s Natural Capital</w:t>
      </w:r>
      <w:r w:rsidRPr="001F1C8F">
        <w:rPr>
          <w:rFonts w:ascii="Cambria" w:hAnsi="Cambria"/>
        </w:rPr>
        <w:t>, [online]</w:t>
      </w:r>
      <w:r>
        <w:rPr>
          <w:rFonts w:ascii="Cambria" w:hAnsi="Cambria"/>
        </w:rPr>
        <w:t xml:space="preserve"> A</w:t>
      </w:r>
      <w:r w:rsidRPr="001F1C8F">
        <w:rPr>
          <w:rFonts w:ascii="Cambria" w:hAnsi="Cambria"/>
        </w:rPr>
        <w:t>vailable</w:t>
      </w:r>
      <w:r>
        <w:rPr>
          <w:rFonts w:ascii="Cambria" w:hAnsi="Cambria"/>
        </w:rPr>
        <w:t xml:space="preserve"> from</w:t>
      </w:r>
      <w:r w:rsidRPr="001F1C8F">
        <w:rPr>
          <w:rFonts w:ascii="Cambria" w:hAnsi="Cambria"/>
        </w:rPr>
        <w:t xml:space="preserve"> </w:t>
      </w:r>
      <w:hyperlink r:id="rId12" w:history="1">
        <w:r w:rsidRPr="001F1C8F">
          <w:t>http://www.publications.parliament.uk/pa/cm201314/cmselect/cmeuleg/83-iv/8328.htm</w:t>
        </w:r>
      </w:hyperlink>
      <w:r w:rsidRPr="001F1C8F">
        <w:rPr>
          <w:rFonts w:ascii="Cambria" w:hAnsi="Cambria"/>
        </w:rPr>
        <w:t xml:space="preserve"> [</w:t>
      </w:r>
      <w:r>
        <w:rPr>
          <w:rFonts w:ascii="Cambria" w:hAnsi="Cambria"/>
        </w:rPr>
        <w:t>A</w:t>
      </w:r>
      <w:r w:rsidRPr="001F1C8F">
        <w:rPr>
          <w:rFonts w:ascii="Cambria" w:hAnsi="Cambria"/>
        </w:rPr>
        <w:t xml:space="preserve">ccessed </w:t>
      </w:r>
      <w:r w:rsidR="00DB76C6">
        <w:rPr>
          <w:rFonts w:ascii="Cambria" w:hAnsi="Cambria"/>
        </w:rPr>
        <w:t>January 2016</w:t>
      </w:r>
      <w:r w:rsidRPr="001F1C8F">
        <w:rPr>
          <w:rFonts w:ascii="Cambria" w:hAnsi="Cambria"/>
        </w:rPr>
        <w:t>]</w:t>
      </w:r>
      <w:r>
        <w:rPr>
          <w:rFonts w:ascii="Cambria" w:hAnsi="Cambria"/>
        </w:rPr>
        <w:t>.</w:t>
      </w:r>
    </w:p>
    <w:p w:rsidR="00741B6A" w:rsidRDefault="00392C82" w:rsidP="00392C82">
      <w:pPr>
        <w:spacing w:after="200"/>
        <w:ind w:left="720" w:hanging="720"/>
        <w:rPr>
          <w:rFonts w:ascii="Cambria" w:hAnsi="Cambria"/>
        </w:rPr>
      </w:pPr>
      <w:r w:rsidRPr="001F1C8F">
        <w:rPr>
          <w:rFonts w:ascii="Cambria" w:hAnsi="Cambria"/>
        </w:rPr>
        <w:t>Dodd, J.</w:t>
      </w:r>
      <w:r>
        <w:rPr>
          <w:rFonts w:ascii="Cambria" w:hAnsi="Cambria"/>
        </w:rPr>
        <w:t>, Fox, T., Günter, S., Provan, B. and Tosics, I. (2013)</w:t>
      </w:r>
      <w:r w:rsidRPr="001F1C8F">
        <w:rPr>
          <w:rFonts w:ascii="Cambria" w:hAnsi="Cambria"/>
        </w:rPr>
        <w:t xml:space="preserve">, </w:t>
      </w:r>
      <w:r w:rsidRPr="00F02648">
        <w:rPr>
          <w:rFonts w:ascii="Cambria" w:hAnsi="Cambria"/>
          <w:i/>
        </w:rPr>
        <w:t>Housing investments supported by the European Regional Development Fund 2007-2013</w:t>
      </w:r>
      <w:r>
        <w:rPr>
          <w:rFonts w:ascii="Cambria" w:hAnsi="Cambria"/>
          <w:i/>
        </w:rPr>
        <w:t xml:space="preserve">  – Housing in sustainable urban regeneration</w:t>
      </w:r>
      <w:r w:rsidRPr="001F1C8F">
        <w:rPr>
          <w:rFonts w:ascii="Cambria" w:hAnsi="Cambria"/>
        </w:rPr>
        <w:t xml:space="preserve">. </w:t>
      </w:r>
      <w:r>
        <w:rPr>
          <w:rFonts w:ascii="Cambria" w:hAnsi="Cambria"/>
        </w:rPr>
        <w:t>Luxembourg: Publications Office of the European Union.</w:t>
      </w:r>
    </w:p>
    <w:p w:rsidR="00392C82" w:rsidRDefault="00741B6A" w:rsidP="00392C82">
      <w:pPr>
        <w:spacing w:after="200"/>
        <w:ind w:left="720" w:hanging="720"/>
        <w:rPr>
          <w:rFonts w:ascii="Cambria" w:hAnsi="Cambria"/>
        </w:rPr>
      </w:pPr>
      <w:r w:rsidRPr="00741B6A">
        <w:rPr>
          <w:rFonts w:ascii="Cambria" w:hAnsi="Cambria"/>
        </w:rPr>
        <w:t>Ellison, A., Squires, G., Dempsey, P. (2015). ‘Problematic Differentiation Between Property Bonds and Leases in Healthcare Provision’ in Journal of Property Management, Vol. 33, No. 1, pp. 83 – 94</w:t>
      </w:r>
    </w:p>
    <w:p w:rsidR="00392C82" w:rsidRDefault="00392C82" w:rsidP="00392C82">
      <w:pPr>
        <w:spacing w:after="200"/>
        <w:ind w:left="720" w:hanging="720"/>
        <w:rPr>
          <w:rFonts w:ascii="Cambria" w:hAnsi="Cambria"/>
        </w:rPr>
      </w:pPr>
      <w:r>
        <w:rPr>
          <w:rFonts w:ascii="Cambria" w:hAnsi="Cambria"/>
        </w:rPr>
        <w:t>European Investment Bank (</w:t>
      </w:r>
      <w:r w:rsidRPr="001F1C8F">
        <w:rPr>
          <w:rFonts w:ascii="Cambria" w:hAnsi="Cambria"/>
        </w:rPr>
        <w:t>EIB</w:t>
      </w:r>
      <w:r>
        <w:rPr>
          <w:rFonts w:ascii="Cambria" w:hAnsi="Cambria"/>
        </w:rPr>
        <w:t>)</w:t>
      </w:r>
      <w:r w:rsidRPr="001F1C8F">
        <w:rPr>
          <w:rFonts w:ascii="Cambria" w:hAnsi="Cambria"/>
        </w:rPr>
        <w:t xml:space="preserve"> (2012) </w:t>
      </w:r>
      <w:r w:rsidRPr="00F02648">
        <w:rPr>
          <w:rFonts w:ascii="Cambria" w:hAnsi="Cambria"/>
          <w:i/>
        </w:rPr>
        <w:t>An outline guide to Project Bonds, Credit Enhancement and the Project Bond Initiative</w:t>
      </w:r>
      <w:r w:rsidRPr="001F1C8F">
        <w:rPr>
          <w:rFonts w:ascii="Cambria" w:hAnsi="Cambria"/>
        </w:rPr>
        <w:t xml:space="preserve">, </w:t>
      </w:r>
      <w:r>
        <w:rPr>
          <w:rFonts w:ascii="Cambria" w:hAnsi="Cambria"/>
        </w:rPr>
        <w:t xml:space="preserve">Luxembourg: </w:t>
      </w:r>
      <w:r w:rsidRPr="001F1C8F">
        <w:rPr>
          <w:rFonts w:ascii="Cambria" w:hAnsi="Cambria"/>
        </w:rPr>
        <w:t>European Investment Bank</w:t>
      </w:r>
      <w:r>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European Investment Bank</w:t>
      </w:r>
      <w:r>
        <w:rPr>
          <w:rFonts w:ascii="Cambria" w:hAnsi="Cambria"/>
        </w:rPr>
        <w:t xml:space="preserve"> (EIB)</w:t>
      </w:r>
      <w:r w:rsidRPr="001F1C8F">
        <w:rPr>
          <w:rFonts w:ascii="Cambria" w:hAnsi="Cambria"/>
        </w:rPr>
        <w:t xml:space="preserve"> (</w:t>
      </w:r>
      <w:r>
        <w:rPr>
          <w:rFonts w:ascii="Cambria" w:hAnsi="Cambria"/>
        </w:rPr>
        <w:t>2014</w:t>
      </w:r>
      <w:r w:rsidRPr="001F1C8F">
        <w:rPr>
          <w:rFonts w:ascii="Cambria" w:hAnsi="Cambria"/>
        </w:rPr>
        <w:t xml:space="preserve">), </w:t>
      </w:r>
      <w:r w:rsidRPr="00F02648">
        <w:rPr>
          <w:rFonts w:ascii="Cambria" w:hAnsi="Cambria"/>
          <w:i/>
        </w:rPr>
        <w:t>The Europe 2020 Project Bond Initative – Innovative infrastructure financing</w:t>
      </w:r>
      <w:r w:rsidRPr="001F1C8F">
        <w:rPr>
          <w:rFonts w:ascii="Cambria" w:hAnsi="Cambria"/>
        </w:rPr>
        <w:t xml:space="preserve">, Available from </w:t>
      </w:r>
      <w:hyperlink r:id="rId13" w:history="1">
        <w:r w:rsidRPr="001F1C8F">
          <w:t>http://eib.europa.eu/products/project-bonds/index.htm</w:t>
        </w:r>
      </w:hyperlink>
      <w:r w:rsidRPr="001F1C8F">
        <w:rPr>
          <w:rFonts w:ascii="Cambria" w:hAnsi="Cambria"/>
        </w:rPr>
        <w:t xml:space="preserve"> [</w:t>
      </w:r>
      <w:r>
        <w:rPr>
          <w:rFonts w:ascii="Cambria" w:hAnsi="Cambria"/>
        </w:rPr>
        <w:t>A</w:t>
      </w:r>
      <w:r w:rsidRPr="001F1C8F">
        <w:rPr>
          <w:rFonts w:ascii="Cambria" w:hAnsi="Cambria"/>
        </w:rPr>
        <w:t xml:space="preserve">ccessed </w:t>
      </w:r>
      <w:r w:rsidR="00DB76C6">
        <w:rPr>
          <w:rFonts w:ascii="Cambria" w:hAnsi="Cambria"/>
        </w:rPr>
        <w:t>January 2016</w:t>
      </w:r>
      <w:r w:rsidRPr="001F1C8F">
        <w:rPr>
          <w:rFonts w:ascii="Cambria" w:hAnsi="Cambria"/>
        </w:rPr>
        <w:t>]</w:t>
      </w:r>
      <w:r>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 xml:space="preserve">European Commission (2001) </w:t>
      </w:r>
      <w:r w:rsidRPr="00F02648">
        <w:rPr>
          <w:rFonts w:ascii="Cambria" w:hAnsi="Cambria"/>
          <w:i/>
        </w:rPr>
        <w:t>IP/01/1332 - Urban II programme: EU contributes EURO 9 million to urban development in Amsterdam</w:t>
      </w:r>
      <w:r w:rsidRPr="001F1C8F">
        <w:rPr>
          <w:rFonts w:ascii="Cambria" w:hAnsi="Cambria"/>
        </w:rPr>
        <w:t xml:space="preserve">, </w:t>
      </w:r>
      <w:r>
        <w:rPr>
          <w:rFonts w:ascii="Cambria" w:hAnsi="Cambria"/>
        </w:rPr>
        <w:t>A</w:t>
      </w:r>
      <w:r w:rsidRPr="001F1C8F">
        <w:rPr>
          <w:rFonts w:ascii="Cambria" w:hAnsi="Cambria"/>
        </w:rPr>
        <w:t>vailable</w:t>
      </w:r>
      <w:r>
        <w:rPr>
          <w:rFonts w:ascii="Cambria" w:hAnsi="Cambria"/>
        </w:rPr>
        <w:t xml:space="preserve"> from:</w:t>
      </w:r>
      <w:r w:rsidRPr="001F1C8F">
        <w:rPr>
          <w:rFonts w:ascii="Cambria" w:hAnsi="Cambria"/>
        </w:rPr>
        <w:t xml:space="preserve"> </w:t>
      </w:r>
      <w:hyperlink r:id="rId14" w:history="1">
        <w:r w:rsidRPr="001F1C8F">
          <w:t>http://europa.eu/rapid/press-release_IP-01-1332_en.htm</w:t>
        </w:r>
      </w:hyperlink>
      <w:r w:rsidRPr="001F1C8F">
        <w:rPr>
          <w:rFonts w:ascii="Cambria" w:hAnsi="Cambria"/>
        </w:rPr>
        <w:t xml:space="preserve"> [</w:t>
      </w:r>
      <w:r>
        <w:rPr>
          <w:rFonts w:ascii="Cambria" w:hAnsi="Cambria"/>
        </w:rPr>
        <w:t>A</w:t>
      </w:r>
      <w:r w:rsidRPr="001F1C8F">
        <w:rPr>
          <w:rFonts w:ascii="Cambria" w:hAnsi="Cambria"/>
        </w:rPr>
        <w:t xml:space="preserve">ccessed </w:t>
      </w:r>
      <w:r w:rsidR="00DB76C6">
        <w:rPr>
          <w:rFonts w:ascii="Cambria" w:hAnsi="Cambria"/>
        </w:rPr>
        <w:t>January 2016</w:t>
      </w:r>
      <w:r w:rsidRPr="001F1C8F">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 xml:space="preserve">European Commission (2003) </w:t>
      </w:r>
      <w:r w:rsidRPr="00F02648">
        <w:rPr>
          <w:rFonts w:ascii="Cambria" w:hAnsi="Cambria"/>
          <w:i/>
        </w:rPr>
        <w:t>Partnership with the Cities: The URBAN Community Initiative</w:t>
      </w:r>
      <w:r w:rsidRPr="001F1C8F">
        <w:rPr>
          <w:rFonts w:ascii="Cambria" w:hAnsi="Cambria"/>
        </w:rPr>
        <w:t>, Luxembourg: Office for Official Publications of the European Communities.</w:t>
      </w:r>
    </w:p>
    <w:p w:rsidR="00392C82" w:rsidRPr="00905B94" w:rsidRDefault="00392C82" w:rsidP="00392C82">
      <w:pPr>
        <w:spacing w:after="200"/>
        <w:ind w:left="720" w:hanging="720"/>
        <w:rPr>
          <w:rFonts w:ascii="Cambria" w:hAnsi="Cambria"/>
        </w:rPr>
      </w:pPr>
      <w:r w:rsidRPr="001F1C8F">
        <w:rPr>
          <w:rFonts w:ascii="Cambria" w:hAnsi="Cambria"/>
        </w:rPr>
        <w:t xml:space="preserve">European Commission (2013) </w:t>
      </w:r>
      <w:r w:rsidRPr="00F02648">
        <w:rPr>
          <w:rFonts w:ascii="Cambria" w:hAnsi="Cambria"/>
          <w:i/>
        </w:rPr>
        <w:t>Urban Development in the EU: 50 Projects Supported by the European Regional Development Fund During the 2007 – 13 Period, Regional and Urban Policy</w:t>
      </w:r>
      <w:r w:rsidRPr="001F1C8F">
        <w:rPr>
          <w:rFonts w:ascii="Cambria" w:hAnsi="Cambria"/>
        </w:rPr>
        <w:t>, European Commission.</w:t>
      </w:r>
    </w:p>
    <w:p w:rsidR="00392C82" w:rsidRDefault="00392C82" w:rsidP="00392C82">
      <w:pPr>
        <w:spacing w:after="200"/>
        <w:ind w:left="720" w:hanging="720"/>
        <w:rPr>
          <w:rFonts w:ascii="Cambria" w:hAnsi="Cambria"/>
        </w:rPr>
      </w:pPr>
      <w:r w:rsidRPr="001F1C8F">
        <w:rPr>
          <w:rFonts w:ascii="Cambria" w:hAnsi="Cambria"/>
        </w:rPr>
        <w:t xml:space="preserve">European PPP Expertise Centre (2010) </w:t>
      </w:r>
      <w:r w:rsidRPr="00F02648">
        <w:rPr>
          <w:rFonts w:ascii="Cambria" w:hAnsi="Cambria"/>
          <w:i/>
        </w:rPr>
        <w:t>Capital markets in PPP financing: Where we were and where are we going?</w:t>
      </w:r>
      <w:r w:rsidRPr="001F1C8F">
        <w:rPr>
          <w:rFonts w:ascii="Cambria" w:hAnsi="Cambria"/>
        </w:rPr>
        <w:t>, Luxembourg: European Investment Bank.</w:t>
      </w:r>
    </w:p>
    <w:p w:rsidR="00392C82" w:rsidRDefault="00392C82" w:rsidP="00392C82">
      <w:pPr>
        <w:spacing w:after="200"/>
        <w:ind w:left="720" w:hanging="720"/>
        <w:rPr>
          <w:rFonts w:ascii="Cambria" w:hAnsi="Cambria"/>
        </w:rPr>
      </w:pPr>
      <w:r w:rsidRPr="001F1C8F">
        <w:rPr>
          <w:rFonts w:ascii="Cambria" w:hAnsi="Cambria"/>
        </w:rPr>
        <w:t>European Union</w:t>
      </w:r>
      <w:r>
        <w:rPr>
          <w:rFonts w:ascii="Cambria" w:hAnsi="Cambria"/>
        </w:rPr>
        <w:t xml:space="preserve"> (EU</w:t>
      </w:r>
      <w:r w:rsidRPr="001F1C8F">
        <w:rPr>
          <w:rFonts w:ascii="Cambria" w:hAnsi="Cambria"/>
        </w:rPr>
        <w:t xml:space="preserve">) (2013) </w:t>
      </w:r>
      <w:r w:rsidRPr="00F02648">
        <w:rPr>
          <w:rFonts w:ascii="Cambria" w:hAnsi="Cambria"/>
          <w:i/>
        </w:rPr>
        <w:t>Draft Guidance Fiche: Integrated Territorial Investment</w:t>
      </w:r>
      <w:r w:rsidRPr="001F1C8F">
        <w:rPr>
          <w:rFonts w:ascii="Cambria" w:hAnsi="Cambria"/>
        </w:rPr>
        <w:t>,</w:t>
      </w:r>
      <w:r>
        <w:rPr>
          <w:rFonts w:ascii="Cambria" w:hAnsi="Cambria"/>
        </w:rPr>
        <w:t xml:space="preserve"> Brussels:</w:t>
      </w:r>
      <w:r w:rsidRPr="001F1C8F">
        <w:rPr>
          <w:rFonts w:ascii="Cambria" w:hAnsi="Cambria"/>
        </w:rPr>
        <w:t xml:space="preserve"> E</w:t>
      </w:r>
      <w:r>
        <w:rPr>
          <w:rFonts w:ascii="Cambria" w:hAnsi="Cambria"/>
        </w:rPr>
        <w:t>uropean Commission.</w:t>
      </w:r>
      <w:r w:rsidRPr="001F1C8F">
        <w:rPr>
          <w:rFonts w:ascii="Cambria" w:hAnsi="Cambria"/>
        </w:rPr>
        <w:t xml:space="preserve"> </w:t>
      </w:r>
    </w:p>
    <w:p w:rsidR="00392C82" w:rsidRPr="003C7521" w:rsidRDefault="00392C82" w:rsidP="00392C82">
      <w:pPr>
        <w:spacing w:after="200"/>
        <w:ind w:left="720" w:hanging="720"/>
        <w:rPr>
          <w:rFonts w:ascii="Cambria" w:hAnsi="Cambria"/>
        </w:rPr>
      </w:pPr>
      <w:r w:rsidRPr="003C7521">
        <w:rPr>
          <w:rFonts w:ascii="Cambria" w:hAnsi="Cambria"/>
        </w:rPr>
        <w:t>Equitix (2013).</w:t>
      </w:r>
      <w:r w:rsidRPr="003C7521">
        <w:rPr>
          <w:rFonts w:ascii="Cambria" w:hAnsi="Cambria"/>
          <w:i/>
        </w:rPr>
        <w:t xml:space="preserve"> Equitix reaches financial close for the £317m Greater Gabbard OFTO</w:t>
      </w:r>
      <w:r>
        <w:rPr>
          <w:rFonts w:ascii="Cambria" w:hAnsi="Cambria"/>
          <w:i/>
        </w:rPr>
        <w:t xml:space="preserve">. </w:t>
      </w:r>
      <w:r>
        <w:rPr>
          <w:rFonts w:ascii="Cambria" w:hAnsi="Cambria"/>
        </w:rPr>
        <w:t>Equitix News Article 27</w:t>
      </w:r>
      <w:r w:rsidRPr="003C7521">
        <w:rPr>
          <w:rFonts w:ascii="Cambria" w:hAnsi="Cambria"/>
          <w:vertAlign w:val="superscript"/>
        </w:rPr>
        <w:t>th</w:t>
      </w:r>
      <w:r>
        <w:rPr>
          <w:rFonts w:ascii="Cambria" w:hAnsi="Cambria"/>
        </w:rPr>
        <w:t xml:space="preserve"> November 2013, Available from </w:t>
      </w:r>
      <w:hyperlink r:id="rId15" w:history="1">
        <w:r w:rsidRPr="00560432">
          <w:rPr>
            <w:rStyle w:val="Hyperlink"/>
            <w:rFonts w:ascii="Cambria" w:hAnsi="Cambria"/>
          </w:rPr>
          <w:t>http://www.equitix.co.uk/news2013.html</w:t>
        </w:r>
      </w:hyperlink>
      <w:r>
        <w:rPr>
          <w:rFonts w:ascii="Cambria" w:hAnsi="Cambria"/>
        </w:rPr>
        <w:t xml:space="preserve"> [Accessed </w:t>
      </w:r>
      <w:r w:rsidR="00DB76C6">
        <w:rPr>
          <w:rFonts w:ascii="Cambria" w:hAnsi="Cambria"/>
        </w:rPr>
        <w:t>January 2016</w:t>
      </w:r>
      <w:r>
        <w:rPr>
          <w:rFonts w:ascii="Cambria" w:hAnsi="Cambria"/>
        </w:rPr>
        <w:t xml:space="preserve">] </w:t>
      </w:r>
    </w:p>
    <w:p w:rsidR="00392C82" w:rsidRDefault="00392C82" w:rsidP="00392C82">
      <w:pPr>
        <w:spacing w:after="200"/>
        <w:ind w:left="720" w:hanging="720"/>
        <w:rPr>
          <w:rFonts w:ascii="Cambria" w:hAnsi="Cambria"/>
        </w:rPr>
      </w:pPr>
      <w:r w:rsidRPr="001F1C8F">
        <w:rPr>
          <w:rFonts w:ascii="Cambria" w:hAnsi="Cambria"/>
        </w:rPr>
        <w:t>Fernandez Gimeno, J. (2012) Spanish REITS as an Investment Vehicle and Financing Source of the Real Estate Activity</w:t>
      </w:r>
      <w:r>
        <w:rPr>
          <w:rFonts w:ascii="Cambria" w:hAnsi="Cambria"/>
        </w:rPr>
        <w:t xml:space="preserve">, </w:t>
      </w:r>
      <w:r>
        <w:rPr>
          <w:rFonts w:ascii="Cambria" w:hAnsi="Cambria"/>
          <w:i/>
        </w:rPr>
        <w:t>Intangible Capital</w:t>
      </w:r>
      <w:r>
        <w:rPr>
          <w:rFonts w:ascii="Cambria" w:hAnsi="Cambria"/>
        </w:rPr>
        <w:t>, 8 (2), 308 – 363.</w:t>
      </w:r>
      <w:r w:rsidRPr="001F1C8F">
        <w:rPr>
          <w:rFonts w:ascii="Cambria" w:hAnsi="Cambria"/>
        </w:rPr>
        <w:t xml:space="preserve"> </w:t>
      </w:r>
    </w:p>
    <w:p w:rsidR="00392C82" w:rsidRDefault="00392C82" w:rsidP="00392C82">
      <w:pPr>
        <w:spacing w:after="200"/>
        <w:ind w:left="720" w:hanging="720"/>
        <w:rPr>
          <w:rFonts w:ascii="Cambria" w:hAnsi="Cambria"/>
        </w:rPr>
      </w:pPr>
      <w:r w:rsidRPr="001F1C8F">
        <w:rPr>
          <w:rFonts w:ascii="Cambria" w:hAnsi="Cambria"/>
        </w:rPr>
        <w:t xml:space="preserve">Fisher, P., Robson, S. and Todd, S. (2007) The disposal of public sector sites by “development competition”, </w:t>
      </w:r>
      <w:r w:rsidRPr="001F1C8F">
        <w:rPr>
          <w:rFonts w:ascii="Cambria" w:hAnsi="Cambria"/>
          <w:i/>
        </w:rPr>
        <w:t>Property Management</w:t>
      </w:r>
      <w:r w:rsidRPr="001F1C8F">
        <w:rPr>
          <w:rFonts w:ascii="Cambria" w:hAnsi="Cambria"/>
        </w:rPr>
        <w:t>, 25 (4), 381 – 399.</w:t>
      </w:r>
      <w:r>
        <w:rPr>
          <w:rFonts w:ascii="Cambria" w:hAnsi="Cambria"/>
        </w:rPr>
        <w:t xml:space="preserve"> </w:t>
      </w:r>
    </w:p>
    <w:p w:rsidR="00392C82" w:rsidRDefault="00392C82" w:rsidP="00392C82">
      <w:pPr>
        <w:spacing w:after="200"/>
        <w:ind w:left="720" w:hanging="720"/>
        <w:rPr>
          <w:rFonts w:ascii="Cambria" w:hAnsi="Cambria"/>
        </w:rPr>
      </w:pPr>
      <w:r w:rsidRPr="001F1C8F">
        <w:rPr>
          <w:rFonts w:ascii="Cambria" w:hAnsi="Cambria"/>
        </w:rPr>
        <w:t xml:space="preserve">Greenhalgh, B. and Squires, G. (2011) </w:t>
      </w:r>
      <w:r w:rsidRPr="00F02648">
        <w:rPr>
          <w:rFonts w:ascii="Cambria" w:hAnsi="Cambria"/>
          <w:i/>
        </w:rPr>
        <w:t>Introduction to building procurement</w:t>
      </w:r>
      <w:r w:rsidRPr="001F1C8F">
        <w:rPr>
          <w:rFonts w:ascii="Cambria" w:hAnsi="Cambria"/>
        </w:rPr>
        <w:t>, Abingdon: Taylor and Francis.</w:t>
      </w:r>
    </w:p>
    <w:p w:rsidR="00392C82" w:rsidRDefault="00392C82" w:rsidP="00392C82">
      <w:pPr>
        <w:spacing w:after="200"/>
        <w:ind w:left="720" w:hanging="720"/>
        <w:rPr>
          <w:rFonts w:ascii="Cambria" w:hAnsi="Cambria"/>
        </w:rPr>
      </w:pPr>
      <w:r w:rsidRPr="001F1C8F">
        <w:rPr>
          <w:rFonts w:ascii="Cambria" w:hAnsi="Cambria"/>
        </w:rPr>
        <w:t xml:space="preserve">Grishankar, N. (2009) </w:t>
      </w:r>
      <w:r w:rsidRPr="00F02648">
        <w:rPr>
          <w:rFonts w:ascii="Cambria" w:hAnsi="Cambria"/>
          <w:i/>
        </w:rPr>
        <w:t>Innovating Development Finance: From Financing Sources to Financial Solutions</w:t>
      </w:r>
      <w:r w:rsidRPr="001F1C8F">
        <w:rPr>
          <w:rFonts w:ascii="Cambria" w:hAnsi="Cambria"/>
        </w:rPr>
        <w:t xml:space="preserve"> [online], The World Bank, </w:t>
      </w:r>
      <w:r>
        <w:rPr>
          <w:rFonts w:ascii="Cambria" w:hAnsi="Cambria"/>
        </w:rPr>
        <w:t>A</w:t>
      </w:r>
      <w:r w:rsidRPr="001F1C8F">
        <w:rPr>
          <w:rFonts w:ascii="Cambria" w:hAnsi="Cambria"/>
        </w:rPr>
        <w:t>vailable</w:t>
      </w:r>
      <w:r>
        <w:rPr>
          <w:rFonts w:ascii="Cambria" w:hAnsi="Cambria"/>
        </w:rPr>
        <w:t xml:space="preserve"> from:</w:t>
      </w:r>
      <w:r w:rsidRPr="001F1C8F">
        <w:rPr>
          <w:rFonts w:ascii="Cambria" w:hAnsi="Cambria"/>
        </w:rPr>
        <w:t xml:space="preserve"> </w:t>
      </w:r>
      <w:hyperlink r:id="rId16" w:history="1">
        <w:r w:rsidRPr="001F1C8F">
          <w:t>http://siteresources.worldbank.org/CFPEXT/Resources/CFP_Working_Paper_No1.pdf</w:t>
        </w:r>
      </w:hyperlink>
      <w:r w:rsidRPr="001F1C8F">
        <w:rPr>
          <w:rFonts w:ascii="Cambria" w:hAnsi="Cambria"/>
        </w:rPr>
        <w:t xml:space="preserve"> [accessed </w:t>
      </w:r>
      <w:r w:rsidR="00DB76C6">
        <w:rPr>
          <w:rFonts w:ascii="Cambria" w:hAnsi="Cambria"/>
        </w:rPr>
        <w:t>January 2016</w:t>
      </w:r>
      <w:r w:rsidRPr="001F1C8F">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Halmai, P. and Vásáry, V. (2012) Convergence crisis: economic crisis and convergence in the European Union</w:t>
      </w:r>
      <w:r w:rsidRPr="00F02648">
        <w:rPr>
          <w:rFonts w:ascii="Cambria" w:hAnsi="Cambria"/>
          <w:i/>
        </w:rPr>
        <w:t>, International Economics and Economic Policy</w:t>
      </w:r>
      <w:r w:rsidRPr="001F1C8F">
        <w:rPr>
          <w:rFonts w:ascii="Cambria" w:hAnsi="Cambria"/>
        </w:rPr>
        <w:t>, 9, 3, 297-322</w:t>
      </w:r>
      <w:r>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 xml:space="preserve">Harrison, B. (2010) </w:t>
      </w:r>
      <w:r w:rsidRPr="00F02648">
        <w:rPr>
          <w:rFonts w:ascii="Cambria" w:hAnsi="Cambria"/>
          <w:i/>
        </w:rPr>
        <w:t>Future of London: Policy in Focus - Financing Urban Regeneration: Accelerated Development Zones for London?</w:t>
      </w:r>
      <w:r w:rsidRPr="001F1C8F">
        <w:rPr>
          <w:rFonts w:ascii="Cambria" w:hAnsi="Cambria"/>
        </w:rPr>
        <w:t>, PriceWaterhouseCoopers.</w:t>
      </w:r>
    </w:p>
    <w:p w:rsidR="00392C82" w:rsidRDefault="00392C82" w:rsidP="00392C82">
      <w:pPr>
        <w:spacing w:after="200"/>
        <w:ind w:left="720" w:hanging="720"/>
        <w:rPr>
          <w:rFonts w:ascii="Cambria" w:hAnsi="Cambria"/>
        </w:rPr>
      </w:pPr>
      <w:r w:rsidRPr="001F1C8F">
        <w:rPr>
          <w:rFonts w:ascii="Cambria" w:hAnsi="Cambria"/>
        </w:rPr>
        <w:t xml:space="preserve">Harrison, B. and Marshall, A. (2007) </w:t>
      </w:r>
      <w:r w:rsidRPr="00F02648">
        <w:rPr>
          <w:rFonts w:ascii="Cambria" w:hAnsi="Cambria"/>
          <w:i/>
        </w:rPr>
        <w:t>Briefing paper number 5. City Solutions: Financing Local Growth – towards a supplementary business rate?</w:t>
      </w:r>
      <w:r w:rsidRPr="001F1C8F">
        <w:rPr>
          <w:rFonts w:ascii="Cambria" w:hAnsi="Cambria"/>
        </w:rPr>
        <w:t>, August 2007, Centre for Cities.</w:t>
      </w:r>
    </w:p>
    <w:p w:rsidR="00392C82" w:rsidRDefault="00392C82" w:rsidP="00392C82">
      <w:pPr>
        <w:spacing w:after="200"/>
        <w:ind w:left="720" w:hanging="720"/>
        <w:rPr>
          <w:rFonts w:ascii="Cambria" w:hAnsi="Cambria"/>
        </w:rPr>
      </w:pPr>
      <w:r w:rsidRPr="001F1C8F">
        <w:rPr>
          <w:rFonts w:ascii="Cambria" w:hAnsi="Cambria"/>
        </w:rPr>
        <w:t xml:space="preserve">Hartig, P. (2008) </w:t>
      </w:r>
      <w:r w:rsidRPr="00F02648">
        <w:rPr>
          <w:rFonts w:ascii="Cambria" w:hAnsi="Cambria"/>
          <w:i/>
        </w:rPr>
        <w:t>Financing Urban Infrastructure: Innovative Financial Instruments for Cities</w:t>
      </w:r>
      <w:r w:rsidRPr="001F1C8F">
        <w:rPr>
          <w:rFonts w:ascii="Cambria" w:hAnsi="Cambria"/>
        </w:rPr>
        <w:t xml:space="preserve">, Frankfurt am Main: KfW Bankengruppe. </w:t>
      </w:r>
    </w:p>
    <w:p w:rsidR="00392C82" w:rsidRDefault="00392C82" w:rsidP="00392C82">
      <w:pPr>
        <w:spacing w:after="200"/>
        <w:ind w:left="720" w:hanging="720"/>
        <w:rPr>
          <w:rFonts w:ascii="Cambria" w:hAnsi="Cambria"/>
        </w:rPr>
      </w:pPr>
      <w:r w:rsidRPr="001F1C8F">
        <w:rPr>
          <w:rFonts w:ascii="Cambria" w:hAnsi="Cambria"/>
        </w:rPr>
        <w:t xml:space="preserve">HMSO (2014) </w:t>
      </w:r>
      <w:r w:rsidRPr="00F02648">
        <w:rPr>
          <w:rFonts w:ascii="Cambria" w:hAnsi="Cambria"/>
          <w:i/>
        </w:rPr>
        <w:t>Policy: Supporting economic growth through local enterprise partnerships and enterprise zones</w:t>
      </w:r>
      <w:r w:rsidRPr="001F1C8F">
        <w:rPr>
          <w:rFonts w:ascii="Cambria" w:hAnsi="Cambria"/>
        </w:rPr>
        <w:t xml:space="preserve">, Available from: https://www.gov.uk/government/policies/supporting-economic-growth-through-local-enterprise-partnerships-and-enterprise-zones/supporting-pages/enterprise-zones [Accessed </w:t>
      </w:r>
      <w:r w:rsidR="00DB76C6">
        <w:rPr>
          <w:rFonts w:ascii="Cambria" w:hAnsi="Cambria"/>
        </w:rPr>
        <w:t>January 2016</w:t>
      </w:r>
      <w:r w:rsidRPr="001F1C8F">
        <w:rPr>
          <w:rFonts w:ascii="Cambria" w:hAnsi="Cambria"/>
        </w:rPr>
        <w:t>]</w:t>
      </w:r>
      <w:r>
        <w:rPr>
          <w:rFonts w:ascii="Cambria" w:hAnsi="Cambria"/>
        </w:rPr>
        <w:t>.</w:t>
      </w:r>
      <w:r w:rsidRPr="001F1C8F">
        <w:rPr>
          <w:rFonts w:ascii="Cambria" w:hAnsi="Cambria"/>
        </w:rPr>
        <w:t xml:space="preserve"> </w:t>
      </w:r>
    </w:p>
    <w:p w:rsidR="00392C82" w:rsidRDefault="00392C82" w:rsidP="00392C82">
      <w:pPr>
        <w:spacing w:after="200"/>
        <w:rPr>
          <w:rFonts w:ascii="Cambria" w:hAnsi="Cambria"/>
        </w:rPr>
      </w:pPr>
      <w:r w:rsidRPr="001F1C8F">
        <w:rPr>
          <w:rFonts w:ascii="Cambria" w:hAnsi="Cambria"/>
        </w:rPr>
        <w:t xml:space="preserve">HM Government (2011) </w:t>
      </w:r>
      <w:r w:rsidRPr="00F02648">
        <w:rPr>
          <w:rFonts w:ascii="Cambria" w:hAnsi="Cambria"/>
          <w:i/>
        </w:rPr>
        <w:t>Unlocking growth in cities</w:t>
      </w:r>
      <w:r w:rsidRPr="001F1C8F">
        <w:rPr>
          <w:rFonts w:ascii="Cambria" w:hAnsi="Cambria"/>
        </w:rPr>
        <w:t>, London: Cabinet Office.</w:t>
      </w:r>
    </w:p>
    <w:p w:rsidR="00392C82" w:rsidRDefault="00392C82" w:rsidP="00392C82">
      <w:pPr>
        <w:spacing w:after="200"/>
        <w:ind w:left="720" w:hanging="720"/>
        <w:rPr>
          <w:rFonts w:ascii="Cambria" w:hAnsi="Cambria"/>
        </w:rPr>
      </w:pPr>
      <w:r w:rsidRPr="001F1C8F">
        <w:rPr>
          <w:rFonts w:ascii="Cambria" w:hAnsi="Cambria"/>
        </w:rPr>
        <w:t xml:space="preserve">HM Treasury (2012) </w:t>
      </w:r>
      <w:r w:rsidRPr="00F02648">
        <w:rPr>
          <w:rFonts w:ascii="Cambria" w:hAnsi="Cambria"/>
          <w:i/>
        </w:rPr>
        <w:t>A new approach to public private partnerships</w:t>
      </w:r>
      <w:r w:rsidRPr="001F1C8F">
        <w:rPr>
          <w:rFonts w:ascii="Cambria" w:hAnsi="Cambria"/>
        </w:rPr>
        <w:t>, London: HM Treasury.</w:t>
      </w:r>
    </w:p>
    <w:p w:rsidR="00392C82" w:rsidRDefault="00392C82" w:rsidP="00392C82">
      <w:pPr>
        <w:spacing w:after="200"/>
        <w:ind w:left="720" w:hanging="720"/>
        <w:rPr>
          <w:rFonts w:ascii="Cambria" w:hAnsi="Cambria"/>
        </w:rPr>
      </w:pPr>
      <w:r w:rsidRPr="001F1C8F">
        <w:rPr>
          <w:rFonts w:ascii="Cambria" w:hAnsi="Cambria"/>
        </w:rPr>
        <w:t xml:space="preserve">Hoppenbrouwer, E. and Louw, E. (2005) Mixed-use development: Theory and practice in Amsterdam’s Eastern Docklands, </w:t>
      </w:r>
      <w:r w:rsidRPr="001F1C8F">
        <w:rPr>
          <w:rFonts w:ascii="Cambria" w:hAnsi="Cambria"/>
          <w:i/>
        </w:rPr>
        <w:t>European Planning Studies</w:t>
      </w:r>
      <w:r w:rsidRPr="001F1C8F">
        <w:rPr>
          <w:rFonts w:ascii="Cambria" w:hAnsi="Cambria"/>
        </w:rPr>
        <w:t>, 13 (7), 967 - 983</w:t>
      </w:r>
    </w:p>
    <w:p w:rsidR="00392C82" w:rsidRDefault="00392C82" w:rsidP="00392C82">
      <w:pPr>
        <w:spacing w:after="200"/>
        <w:ind w:left="720" w:hanging="720"/>
        <w:rPr>
          <w:rFonts w:ascii="Cambria" w:hAnsi="Cambria"/>
        </w:rPr>
      </w:pPr>
      <w:r w:rsidRPr="001F1C8F">
        <w:rPr>
          <w:rFonts w:ascii="Cambria" w:hAnsi="Cambria"/>
        </w:rPr>
        <w:t>Hutchison, N., Fraser, P., Adair, A. and Srivatsa, R., (2011) The risk free rate of return in UK property pricing</w:t>
      </w:r>
      <w:r w:rsidRPr="00F02648">
        <w:rPr>
          <w:rFonts w:ascii="Cambria" w:hAnsi="Cambria"/>
          <w:i/>
        </w:rPr>
        <w:t>, Journal of European Real Estate Research</w:t>
      </w:r>
      <w:r w:rsidRPr="001F1C8F">
        <w:rPr>
          <w:rFonts w:ascii="Cambria" w:hAnsi="Cambria"/>
        </w:rPr>
        <w:t xml:space="preserve">, 4 </w:t>
      </w:r>
      <w:r>
        <w:rPr>
          <w:rFonts w:ascii="Cambria" w:hAnsi="Cambria"/>
        </w:rPr>
        <w:t>(</w:t>
      </w:r>
      <w:r w:rsidRPr="001F1C8F">
        <w:rPr>
          <w:rFonts w:ascii="Cambria" w:hAnsi="Cambria"/>
        </w:rPr>
        <w:t>3</w:t>
      </w:r>
      <w:r>
        <w:rPr>
          <w:rFonts w:ascii="Cambria" w:hAnsi="Cambria"/>
        </w:rPr>
        <w:t>)</w:t>
      </w:r>
      <w:r w:rsidRPr="001F1C8F">
        <w:rPr>
          <w:rFonts w:ascii="Cambria" w:hAnsi="Cambria"/>
        </w:rPr>
        <w:t>, pp. 165-184.</w:t>
      </w:r>
    </w:p>
    <w:p w:rsidR="00392C82" w:rsidRDefault="00392C82" w:rsidP="00392C82">
      <w:pPr>
        <w:spacing w:after="200"/>
        <w:ind w:left="720" w:hanging="720"/>
        <w:rPr>
          <w:rFonts w:ascii="Cambria" w:hAnsi="Cambria"/>
        </w:rPr>
      </w:pPr>
      <w:r w:rsidRPr="001F1C8F">
        <w:rPr>
          <w:rFonts w:ascii="Cambria" w:hAnsi="Cambria"/>
        </w:rPr>
        <w:t>Hutchison, N</w:t>
      </w:r>
      <w:r>
        <w:rPr>
          <w:rFonts w:ascii="Cambria" w:hAnsi="Cambria"/>
        </w:rPr>
        <w:t>.</w:t>
      </w:r>
      <w:r w:rsidRPr="001F1C8F">
        <w:rPr>
          <w:rFonts w:ascii="Cambria" w:hAnsi="Cambria"/>
        </w:rPr>
        <w:t>, Liu, N</w:t>
      </w:r>
      <w:r>
        <w:rPr>
          <w:rFonts w:ascii="Cambria" w:hAnsi="Cambria"/>
        </w:rPr>
        <w:t>.</w:t>
      </w:r>
      <w:r w:rsidRPr="001F1C8F">
        <w:rPr>
          <w:rFonts w:ascii="Cambria" w:hAnsi="Cambria"/>
        </w:rPr>
        <w:t>, Adair, A</w:t>
      </w:r>
      <w:r>
        <w:rPr>
          <w:rFonts w:ascii="Cambria" w:hAnsi="Cambria"/>
        </w:rPr>
        <w:t>.</w:t>
      </w:r>
      <w:r w:rsidRPr="001F1C8F">
        <w:rPr>
          <w:rFonts w:ascii="Cambria" w:hAnsi="Cambria"/>
        </w:rPr>
        <w:t>, Berry, J</w:t>
      </w:r>
      <w:r>
        <w:rPr>
          <w:rFonts w:ascii="Cambria" w:hAnsi="Cambria"/>
        </w:rPr>
        <w:t>.</w:t>
      </w:r>
      <w:r w:rsidRPr="001F1C8F">
        <w:rPr>
          <w:rFonts w:ascii="Cambria" w:hAnsi="Cambria"/>
        </w:rPr>
        <w:t>, Haran, M</w:t>
      </w:r>
      <w:r>
        <w:rPr>
          <w:rFonts w:ascii="Cambria" w:hAnsi="Cambria"/>
        </w:rPr>
        <w:t>.</w:t>
      </w:r>
      <w:r w:rsidRPr="001F1C8F">
        <w:rPr>
          <w:rFonts w:ascii="Cambria" w:hAnsi="Cambria"/>
        </w:rPr>
        <w:t xml:space="preserve"> and McGreal, S</w:t>
      </w:r>
      <w:r>
        <w:rPr>
          <w:rFonts w:ascii="Cambria" w:hAnsi="Cambria"/>
        </w:rPr>
        <w:t>.</w:t>
      </w:r>
      <w:r w:rsidRPr="001F1C8F">
        <w:rPr>
          <w:rFonts w:ascii="Cambria" w:hAnsi="Cambria"/>
        </w:rPr>
        <w:t xml:space="preserve"> (2012</w:t>
      </w:r>
      <w:r w:rsidRPr="00686B52">
        <w:rPr>
          <w:rFonts w:ascii="Cambria" w:hAnsi="Cambria"/>
        </w:rPr>
        <w:t>)</w:t>
      </w:r>
      <w:r w:rsidRPr="00737BE8">
        <w:rPr>
          <w:rFonts w:ascii="Cambria" w:hAnsi="Cambria"/>
          <w:i/>
        </w:rPr>
        <w:t xml:space="preserve"> Tax Increment Financing - An Opportunity for the UK?</w:t>
      </w:r>
      <w:r w:rsidRPr="001F1C8F">
        <w:rPr>
          <w:rFonts w:ascii="Cambria" w:hAnsi="Cambria"/>
        </w:rPr>
        <w:t xml:space="preserve"> </w:t>
      </w:r>
      <w:r>
        <w:rPr>
          <w:rFonts w:ascii="Cambria" w:hAnsi="Cambria"/>
        </w:rPr>
        <w:t>RICS Research, London: Royal Institution of Chartered Surveyors (</w:t>
      </w:r>
      <w:r w:rsidRPr="001F1C8F">
        <w:rPr>
          <w:rFonts w:ascii="Cambria" w:hAnsi="Cambria"/>
        </w:rPr>
        <w:t>RICS</w:t>
      </w:r>
      <w:r>
        <w:rPr>
          <w:rFonts w:ascii="Cambria" w:hAnsi="Cambria"/>
        </w:rPr>
        <w:t>)</w:t>
      </w:r>
      <w:r w:rsidRPr="001F1C8F">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Huxley, J. (2009</w:t>
      </w:r>
      <w:r w:rsidRPr="00F46FC4">
        <w:rPr>
          <w:rFonts w:ascii="Cambria" w:hAnsi="Cambria"/>
        </w:rPr>
        <w:t>)</w:t>
      </w:r>
      <w:r w:rsidRPr="00F46FC4">
        <w:rPr>
          <w:rFonts w:ascii="Cambria" w:hAnsi="Cambria"/>
          <w:i/>
        </w:rPr>
        <w:t xml:space="preserve"> Value Capture Finance: Making Urban Development Pay its Way</w:t>
      </w:r>
      <w:r>
        <w:rPr>
          <w:rFonts w:ascii="Cambria" w:hAnsi="Cambria"/>
        </w:rPr>
        <w:t>,</w:t>
      </w:r>
      <w:r w:rsidRPr="001F1C8F">
        <w:rPr>
          <w:rFonts w:ascii="Cambria" w:hAnsi="Cambria"/>
        </w:rPr>
        <w:t xml:space="preserve"> </w:t>
      </w:r>
      <w:r>
        <w:rPr>
          <w:rFonts w:ascii="Cambria" w:hAnsi="Cambria"/>
        </w:rPr>
        <w:t xml:space="preserve">London: </w:t>
      </w:r>
      <w:r w:rsidRPr="001F1C8F">
        <w:rPr>
          <w:rFonts w:ascii="Cambria" w:hAnsi="Cambria"/>
        </w:rPr>
        <w:t>Urban Land Institute</w:t>
      </w:r>
      <w:r>
        <w:rPr>
          <w:rFonts w:ascii="Cambria" w:hAnsi="Cambria"/>
        </w:rPr>
        <w:t>.</w:t>
      </w:r>
      <w:r w:rsidRPr="001F1C8F">
        <w:rPr>
          <w:rFonts w:ascii="Cambria" w:hAnsi="Cambria"/>
        </w:rPr>
        <w:t xml:space="preserve">  </w:t>
      </w:r>
    </w:p>
    <w:p w:rsidR="00392C82" w:rsidRDefault="00392C82" w:rsidP="00392C82">
      <w:pPr>
        <w:spacing w:after="200"/>
        <w:ind w:left="720" w:hanging="720"/>
        <w:rPr>
          <w:rFonts w:ascii="Cambria" w:hAnsi="Cambria"/>
        </w:rPr>
      </w:pPr>
      <w:r w:rsidRPr="001F1C8F">
        <w:rPr>
          <w:rFonts w:ascii="Cambria" w:hAnsi="Cambria"/>
        </w:rPr>
        <w:t xml:space="preserve">Ingram, G. Hung Hong, Y. (2009) </w:t>
      </w:r>
      <w:r w:rsidRPr="00F46FC4">
        <w:rPr>
          <w:rFonts w:ascii="Cambria" w:hAnsi="Cambria"/>
          <w:i/>
        </w:rPr>
        <w:t>Municipal Revenues and Land Policies: Proceedings of the 2009 Land Policy Conference</w:t>
      </w:r>
      <w:r w:rsidRPr="001F1C8F">
        <w:rPr>
          <w:rFonts w:ascii="Cambria" w:hAnsi="Cambria"/>
        </w:rPr>
        <w:t xml:space="preserve">, </w:t>
      </w:r>
      <w:r>
        <w:rPr>
          <w:rFonts w:ascii="Cambria" w:hAnsi="Cambria"/>
        </w:rPr>
        <w:t>Cambridge,</w:t>
      </w:r>
      <w:r w:rsidRPr="00705AE9">
        <w:t xml:space="preserve"> </w:t>
      </w:r>
      <w:r w:rsidRPr="00705AE9">
        <w:rPr>
          <w:rFonts w:ascii="Cambria" w:hAnsi="Cambria"/>
        </w:rPr>
        <w:t>Massachusetts</w:t>
      </w:r>
      <w:r>
        <w:rPr>
          <w:rFonts w:ascii="Cambria" w:hAnsi="Cambria"/>
        </w:rPr>
        <w:t xml:space="preserve">: </w:t>
      </w:r>
      <w:r w:rsidRPr="001F1C8F">
        <w:rPr>
          <w:rFonts w:ascii="Cambria" w:hAnsi="Cambria"/>
        </w:rPr>
        <w:t>Lincoln Institute of Land Policy</w:t>
      </w:r>
      <w:r>
        <w:rPr>
          <w:rFonts w:ascii="Cambria" w:hAnsi="Cambria"/>
        </w:rPr>
        <w:t>.</w:t>
      </w:r>
    </w:p>
    <w:p w:rsidR="00392C82" w:rsidRDefault="00392C82" w:rsidP="00392C82">
      <w:pPr>
        <w:spacing w:after="200"/>
        <w:ind w:left="720" w:hanging="720"/>
        <w:rPr>
          <w:rFonts w:ascii="Cambria" w:hAnsi="Cambria"/>
        </w:rPr>
      </w:pPr>
      <w:r>
        <w:rPr>
          <w:rFonts w:ascii="Cambria" w:hAnsi="Cambria"/>
        </w:rPr>
        <w:t>Investment Property Forum (</w:t>
      </w:r>
      <w:r w:rsidRPr="001F1C8F">
        <w:rPr>
          <w:rFonts w:ascii="Cambria" w:hAnsi="Cambria"/>
        </w:rPr>
        <w:t>IPF</w:t>
      </w:r>
      <w:r>
        <w:rPr>
          <w:rFonts w:ascii="Cambria" w:hAnsi="Cambria"/>
        </w:rPr>
        <w:t>)</w:t>
      </w:r>
      <w:r w:rsidRPr="001F1C8F">
        <w:rPr>
          <w:rFonts w:ascii="Cambria" w:hAnsi="Cambria"/>
        </w:rPr>
        <w:t xml:space="preserve"> (2006) Institutional Investment in Regeneration: Necessary conditions for effective funding,</w:t>
      </w:r>
      <w:r>
        <w:rPr>
          <w:rFonts w:ascii="Cambria" w:hAnsi="Cambria"/>
        </w:rPr>
        <w:t xml:space="preserve"> London:</w:t>
      </w:r>
      <w:r w:rsidRPr="001F1C8F">
        <w:rPr>
          <w:rFonts w:ascii="Cambria" w:hAnsi="Cambria"/>
        </w:rPr>
        <w:t xml:space="preserve"> Investment Property Forum. </w:t>
      </w:r>
    </w:p>
    <w:p w:rsidR="00392C82" w:rsidRDefault="00392C82" w:rsidP="00392C82">
      <w:pPr>
        <w:spacing w:after="200"/>
        <w:ind w:left="720" w:hanging="720"/>
        <w:rPr>
          <w:rFonts w:ascii="Cambria" w:hAnsi="Cambria"/>
        </w:rPr>
      </w:pPr>
      <w:r w:rsidRPr="001F1C8F">
        <w:rPr>
          <w:rFonts w:ascii="Cambria" w:hAnsi="Cambria"/>
        </w:rPr>
        <w:t xml:space="preserve">Jha, R. (2004), Innovative sources of development finance, </w:t>
      </w:r>
      <w:r w:rsidRPr="00F46FC4">
        <w:rPr>
          <w:rFonts w:ascii="Cambria" w:hAnsi="Cambria"/>
          <w:i/>
        </w:rPr>
        <w:t>The World Economy</w:t>
      </w:r>
      <w:r w:rsidRPr="001F1C8F">
        <w:rPr>
          <w:rFonts w:ascii="Cambria" w:hAnsi="Cambria"/>
        </w:rPr>
        <w:t>, 21</w:t>
      </w:r>
      <w:r>
        <w:rPr>
          <w:rFonts w:ascii="Cambria" w:hAnsi="Cambria"/>
        </w:rPr>
        <w:t xml:space="preserve"> (</w:t>
      </w:r>
      <w:r w:rsidRPr="001F1C8F">
        <w:rPr>
          <w:rFonts w:ascii="Cambria" w:hAnsi="Cambria"/>
        </w:rPr>
        <w:t>2</w:t>
      </w:r>
      <w:r>
        <w:rPr>
          <w:rFonts w:ascii="Cambria" w:hAnsi="Cambria"/>
        </w:rPr>
        <w:t>)</w:t>
      </w:r>
      <w:r w:rsidRPr="001F1C8F">
        <w:rPr>
          <w:rFonts w:ascii="Cambria" w:hAnsi="Cambria"/>
        </w:rPr>
        <w:t xml:space="preserve">, 193 – 214. </w:t>
      </w:r>
    </w:p>
    <w:p w:rsidR="00392C82" w:rsidRDefault="00392C82" w:rsidP="00392C82">
      <w:pPr>
        <w:spacing w:after="200"/>
        <w:rPr>
          <w:rFonts w:ascii="Cambria" w:hAnsi="Cambria"/>
        </w:rPr>
      </w:pPr>
      <w:r w:rsidRPr="001F1C8F">
        <w:rPr>
          <w:rFonts w:ascii="Cambria" w:hAnsi="Cambria"/>
        </w:rPr>
        <w:t xml:space="preserve">Jowsey, E. (2013) </w:t>
      </w:r>
      <w:r w:rsidRPr="00F46FC4">
        <w:rPr>
          <w:rFonts w:ascii="Cambria" w:hAnsi="Cambria"/>
          <w:i/>
        </w:rPr>
        <w:t>Real Estate Economics</w:t>
      </w:r>
      <w:r w:rsidRPr="001F1C8F">
        <w:rPr>
          <w:rFonts w:ascii="Cambria" w:hAnsi="Cambria"/>
        </w:rPr>
        <w:t xml:space="preserve">. </w:t>
      </w:r>
      <w:r>
        <w:rPr>
          <w:rFonts w:ascii="Cambria" w:hAnsi="Cambria"/>
        </w:rPr>
        <w:t xml:space="preserve">Basingstoke: </w:t>
      </w:r>
      <w:r w:rsidRPr="001F1C8F">
        <w:rPr>
          <w:rFonts w:ascii="Cambria" w:hAnsi="Cambria"/>
        </w:rPr>
        <w:t>Palgrave</w:t>
      </w:r>
      <w:r>
        <w:rPr>
          <w:rFonts w:ascii="Cambria" w:hAnsi="Cambria"/>
        </w:rPr>
        <w:t xml:space="preserve"> Macmillan.</w:t>
      </w:r>
    </w:p>
    <w:p w:rsidR="00392C82" w:rsidRDefault="00392C82" w:rsidP="00392C82">
      <w:pPr>
        <w:spacing w:after="200"/>
        <w:ind w:left="720" w:hanging="720"/>
        <w:rPr>
          <w:rFonts w:ascii="Cambria" w:hAnsi="Cambria"/>
        </w:rPr>
      </w:pPr>
      <w:r w:rsidRPr="001F1C8F">
        <w:rPr>
          <w:rFonts w:ascii="Cambria" w:hAnsi="Cambria"/>
        </w:rPr>
        <w:t>Ketkar, S. and Ratha, D. (Eds.)</w:t>
      </w:r>
      <w:r>
        <w:rPr>
          <w:rFonts w:ascii="Cambria" w:hAnsi="Cambria"/>
        </w:rPr>
        <w:t xml:space="preserve"> </w:t>
      </w:r>
      <w:r w:rsidRPr="001F1C8F">
        <w:rPr>
          <w:rFonts w:ascii="Cambria" w:hAnsi="Cambria"/>
        </w:rPr>
        <w:t>(2009</w:t>
      </w:r>
      <w:r w:rsidRPr="00F46FC4">
        <w:rPr>
          <w:rFonts w:ascii="Cambria" w:hAnsi="Cambria"/>
          <w:i/>
        </w:rPr>
        <w:t>) Innovative Financing for Development</w:t>
      </w:r>
      <w:r w:rsidRPr="001F1C8F">
        <w:rPr>
          <w:rFonts w:ascii="Cambria" w:hAnsi="Cambria"/>
        </w:rPr>
        <w:t xml:space="preserve">, [online], Washington, D.C.: The World Bank, </w:t>
      </w:r>
      <w:r>
        <w:rPr>
          <w:rFonts w:ascii="Cambria" w:hAnsi="Cambria"/>
        </w:rPr>
        <w:t>A</w:t>
      </w:r>
      <w:r w:rsidRPr="001F1C8F">
        <w:rPr>
          <w:rFonts w:ascii="Cambria" w:hAnsi="Cambria"/>
        </w:rPr>
        <w:t xml:space="preserve">vailable </w:t>
      </w:r>
      <w:r>
        <w:rPr>
          <w:rFonts w:ascii="Cambria" w:hAnsi="Cambria"/>
        </w:rPr>
        <w:t>from:</w:t>
      </w:r>
      <w:r w:rsidRPr="001F1C8F">
        <w:rPr>
          <w:rFonts w:ascii="Cambria" w:hAnsi="Cambria"/>
        </w:rPr>
        <w:t xml:space="preserve"> </w:t>
      </w:r>
      <w:hyperlink r:id="rId17" w:history="1">
        <w:r w:rsidRPr="001F1C8F">
          <w:t>https://openknowledge.worldbank.org/bitstream/handle/10986/6549/456450PUB0978010ONLY10Sept030102008.pdf?sequence=1</w:t>
        </w:r>
      </w:hyperlink>
      <w:r w:rsidRPr="001F1C8F">
        <w:rPr>
          <w:rFonts w:ascii="Cambria" w:hAnsi="Cambria"/>
        </w:rPr>
        <w:t xml:space="preserve"> [</w:t>
      </w:r>
      <w:r>
        <w:rPr>
          <w:rFonts w:ascii="Cambria" w:hAnsi="Cambria"/>
        </w:rPr>
        <w:t xml:space="preserve">Accessed </w:t>
      </w:r>
      <w:r w:rsidR="00DB76C6">
        <w:rPr>
          <w:rFonts w:ascii="Cambria" w:hAnsi="Cambria"/>
        </w:rPr>
        <w:t>January 2016</w:t>
      </w:r>
      <w:r w:rsidRPr="001F1C8F">
        <w:rPr>
          <w:rFonts w:ascii="Cambria" w:hAnsi="Cambria"/>
        </w:rPr>
        <w:t>]</w:t>
      </w:r>
      <w:r>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Kolbe, P., Greer, G., Rudner, H. (2003</w:t>
      </w:r>
      <w:r w:rsidRPr="00686B52">
        <w:rPr>
          <w:rFonts w:ascii="Cambria" w:hAnsi="Cambria"/>
        </w:rPr>
        <w:t>)</w:t>
      </w:r>
      <w:r w:rsidRPr="00F46FC4">
        <w:rPr>
          <w:rFonts w:ascii="Cambria" w:hAnsi="Cambria"/>
          <w:i/>
        </w:rPr>
        <w:t xml:space="preserve">  Real Estate Finance</w:t>
      </w:r>
      <w:r w:rsidRPr="001F1C8F">
        <w:rPr>
          <w:rFonts w:ascii="Cambria" w:hAnsi="Cambria"/>
        </w:rPr>
        <w:t>.</w:t>
      </w:r>
      <w:r>
        <w:rPr>
          <w:rFonts w:ascii="Cambria" w:hAnsi="Cambria"/>
        </w:rPr>
        <w:t xml:space="preserve"> Chicago: </w:t>
      </w:r>
      <w:r w:rsidRPr="001F1C8F">
        <w:rPr>
          <w:rFonts w:ascii="Cambria" w:hAnsi="Cambria"/>
        </w:rPr>
        <w:t>Dearborn</w:t>
      </w:r>
      <w:r>
        <w:rPr>
          <w:rFonts w:ascii="Cambria" w:hAnsi="Cambria"/>
        </w:rPr>
        <w:t xml:space="preserve"> Financial Publishing, Inc.</w:t>
      </w:r>
    </w:p>
    <w:p w:rsidR="00392C82" w:rsidRDefault="00392C82" w:rsidP="00392C82">
      <w:pPr>
        <w:spacing w:after="200"/>
        <w:ind w:left="720" w:hanging="720"/>
        <w:rPr>
          <w:rFonts w:ascii="Cambria" w:hAnsi="Cambria"/>
        </w:rPr>
      </w:pPr>
      <w:r w:rsidRPr="001F1C8F">
        <w:rPr>
          <w:rFonts w:ascii="Cambria" w:hAnsi="Cambria"/>
        </w:rPr>
        <w:t xml:space="preserve">Korthals Altes, W., K. (2002), Local Government and the Decentralisation or Urban Regeneration Policies in the Netherlands, </w:t>
      </w:r>
      <w:r w:rsidRPr="00F46FC4">
        <w:rPr>
          <w:rFonts w:ascii="Cambria" w:hAnsi="Cambria"/>
          <w:i/>
        </w:rPr>
        <w:t>Urban Studies</w:t>
      </w:r>
      <w:r w:rsidRPr="001F1C8F">
        <w:rPr>
          <w:rFonts w:ascii="Cambria" w:hAnsi="Cambria"/>
        </w:rPr>
        <w:t xml:space="preserve">, 39 </w:t>
      </w:r>
      <w:r>
        <w:rPr>
          <w:rFonts w:ascii="Cambria" w:hAnsi="Cambria"/>
        </w:rPr>
        <w:t>(</w:t>
      </w:r>
      <w:r w:rsidRPr="001F1C8F">
        <w:rPr>
          <w:rFonts w:ascii="Cambria" w:hAnsi="Cambria"/>
        </w:rPr>
        <w:t>8</w:t>
      </w:r>
      <w:r>
        <w:rPr>
          <w:rFonts w:ascii="Cambria" w:hAnsi="Cambria"/>
        </w:rPr>
        <w:t>)</w:t>
      </w:r>
      <w:r w:rsidRPr="001F1C8F">
        <w:rPr>
          <w:rFonts w:ascii="Cambria" w:hAnsi="Cambria"/>
        </w:rPr>
        <w:t>, 1439 – 1452.</w:t>
      </w:r>
    </w:p>
    <w:p w:rsidR="00392C82" w:rsidRDefault="00392C82" w:rsidP="00392C82">
      <w:pPr>
        <w:spacing w:after="200"/>
        <w:ind w:left="720" w:hanging="720"/>
        <w:rPr>
          <w:rFonts w:ascii="Cambria" w:hAnsi="Cambria"/>
        </w:rPr>
      </w:pPr>
      <w:r w:rsidRPr="001F1C8F">
        <w:rPr>
          <w:rFonts w:ascii="Cambria" w:hAnsi="Cambria"/>
        </w:rPr>
        <w:t>Kreuz, C.</w:t>
      </w:r>
      <w:r>
        <w:rPr>
          <w:rFonts w:ascii="Cambria" w:hAnsi="Cambria"/>
        </w:rPr>
        <w:t xml:space="preserve"> (2010)</w:t>
      </w:r>
      <w:r w:rsidRPr="001F1C8F">
        <w:rPr>
          <w:rFonts w:ascii="Cambria" w:hAnsi="Cambria"/>
        </w:rPr>
        <w:t xml:space="preserve"> </w:t>
      </w:r>
      <w:r w:rsidRPr="00F46FC4">
        <w:rPr>
          <w:rFonts w:ascii="Cambria" w:hAnsi="Cambria"/>
          <w:i/>
        </w:rPr>
        <w:t>JESSICA, 2012 – UDF Typologies and Governance Structures in the context of JESSICA implementation</w:t>
      </w:r>
      <w:r>
        <w:rPr>
          <w:rFonts w:ascii="Cambria" w:hAnsi="Cambria"/>
          <w:i/>
        </w:rPr>
        <w:t xml:space="preserve"> </w:t>
      </w:r>
      <w:r>
        <w:rPr>
          <w:rFonts w:ascii="Cambria" w:hAnsi="Cambria"/>
        </w:rPr>
        <w:t>Luxembourg:</w:t>
      </w:r>
      <w:r w:rsidRPr="001F1C8F">
        <w:rPr>
          <w:rFonts w:ascii="Cambria" w:hAnsi="Cambria"/>
        </w:rPr>
        <w:t xml:space="preserve"> European Investment Bank</w:t>
      </w:r>
      <w:r>
        <w:rPr>
          <w:rFonts w:ascii="Cambria" w:hAnsi="Cambria"/>
        </w:rPr>
        <w:t>.</w:t>
      </w:r>
      <w:r w:rsidRPr="001F1C8F">
        <w:rPr>
          <w:rFonts w:ascii="Cambria" w:hAnsi="Cambria"/>
        </w:rPr>
        <w:t xml:space="preserve"> </w:t>
      </w:r>
    </w:p>
    <w:p w:rsidR="00392C82" w:rsidRDefault="00392C82" w:rsidP="00392C82">
      <w:pPr>
        <w:spacing w:after="200"/>
        <w:ind w:left="720" w:hanging="720"/>
        <w:rPr>
          <w:rFonts w:ascii="Cambria" w:hAnsi="Cambria"/>
        </w:rPr>
      </w:pPr>
      <w:r w:rsidRPr="001F1C8F">
        <w:rPr>
          <w:rFonts w:ascii="Cambria" w:hAnsi="Cambria"/>
        </w:rPr>
        <w:t>Leanza, E. (2011) JESSICA Urban Development Funds Impact Funds: A concept for urban policy delivery,</w:t>
      </w:r>
      <w:r>
        <w:rPr>
          <w:rFonts w:ascii="Cambria" w:hAnsi="Cambria"/>
        </w:rPr>
        <w:t xml:space="preserve"> </w:t>
      </w:r>
      <w:r w:rsidRPr="001F1C8F">
        <w:rPr>
          <w:rFonts w:ascii="Cambria" w:hAnsi="Cambria"/>
        </w:rPr>
        <w:t xml:space="preserve"> JESSICA and Investment Funds Division,  </w:t>
      </w:r>
      <w:r>
        <w:rPr>
          <w:rFonts w:ascii="Cambria" w:hAnsi="Cambria"/>
        </w:rPr>
        <w:t xml:space="preserve">Luxembourg: </w:t>
      </w:r>
      <w:r w:rsidRPr="001F1C8F">
        <w:rPr>
          <w:rFonts w:ascii="Cambria" w:hAnsi="Cambria"/>
        </w:rPr>
        <w:t>European Investment Bank</w:t>
      </w:r>
      <w:r>
        <w:rPr>
          <w:rFonts w:ascii="Cambria" w:hAnsi="Cambria"/>
        </w:rPr>
        <w:t xml:space="preserve"> (EIB).</w:t>
      </w:r>
    </w:p>
    <w:p w:rsidR="00392C82" w:rsidRDefault="00392C82" w:rsidP="00392C82">
      <w:pPr>
        <w:spacing w:after="200"/>
        <w:ind w:left="720" w:hanging="720"/>
        <w:rPr>
          <w:rFonts w:ascii="Cambria" w:hAnsi="Cambria"/>
        </w:rPr>
      </w:pPr>
      <w:r w:rsidRPr="001F1C8F">
        <w:rPr>
          <w:rFonts w:ascii="Cambria" w:hAnsi="Cambria"/>
        </w:rPr>
        <w:t>Leon, N. (2008) Attract and connect: The 22@Barcelona innovation district and the internationalisation of Barcelona business</w:t>
      </w:r>
      <w:r>
        <w:rPr>
          <w:rFonts w:ascii="Cambria" w:hAnsi="Cambria"/>
        </w:rPr>
        <w:t>,</w:t>
      </w:r>
      <w:r w:rsidRPr="001F1C8F">
        <w:rPr>
          <w:rFonts w:ascii="Cambria" w:hAnsi="Cambria"/>
        </w:rPr>
        <w:t xml:space="preserve"> I</w:t>
      </w:r>
      <w:r w:rsidRPr="00F46FC4">
        <w:rPr>
          <w:rFonts w:ascii="Cambria" w:hAnsi="Cambria"/>
          <w:i/>
        </w:rPr>
        <w:t>nnovation: Management, Policy &amp; Practice</w:t>
      </w:r>
      <w:r w:rsidRPr="001F1C8F">
        <w:rPr>
          <w:rFonts w:ascii="Cambria" w:hAnsi="Cambria"/>
        </w:rPr>
        <w:t xml:space="preserve"> 10</w:t>
      </w:r>
      <w:r>
        <w:rPr>
          <w:rFonts w:ascii="Cambria" w:hAnsi="Cambria"/>
        </w:rPr>
        <w:t xml:space="preserve"> (2–3),</w:t>
      </w:r>
      <w:r w:rsidRPr="001F1C8F">
        <w:rPr>
          <w:rFonts w:ascii="Cambria" w:hAnsi="Cambria"/>
        </w:rPr>
        <w:t xml:space="preserve"> 235-246</w:t>
      </w:r>
      <w:r>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 xml:space="preserve">Liu, T. and Wilkinson, S. (2014), Large-scale public venue development and the application of Public-Private Partnerships (PPPs), </w:t>
      </w:r>
      <w:r w:rsidRPr="00F46FC4">
        <w:rPr>
          <w:rFonts w:ascii="Cambria" w:hAnsi="Cambria"/>
          <w:i/>
        </w:rPr>
        <w:t>International Journal of Project Management</w:t>
      </w:r>
      <w:r w:rsidRPr="001F1C8F">
        <w:rPr>
          <w:rFonts w:ascii="Cambria" w:hAnsi="Cambria"/>
        </w:rPr>
        <w:t>, 32</w:t>
      </w:r>
      <w:r>
        <w:rPr>
          <w:rFonts w:ascii="Cambria" w:hAnsi="Cambria"/>
        </w:rPr>
        <w:t xml:space="preserve"> (1)</w:t>
      </w:r>
      <w:r w:rsidRPr="001F1C8F">
        <w:rPr>
          <w:rFonts w:ascii="Cambria" w:hAnsi="Cambria"/>
        </w:rPr>
        <w:t>, 88–100.</w:t>
      </w:r>
    </w:p>
    <w:p w:rsidR="00392C82" w:rsidRDefault="00392C82" w:rsidP="00392C82">
      <w:pPr>
        <w:spacing w:after="200"/>
        <w:ind w:left="720" w:hanging="720"/>
        <w:rPr>
          <w:rFonts w:ascii="Cambria" w:hAnsi="Cambria"/>
        </w:rPr>
      </w:pPr>
      <w:r w:rsidRPr="001F1C8F">
        <w:rPr>
          <w:rFonts w:ascii="Cambria" w:hAnsi="Cambria"/>
        </w:rPr>
        <w:t>Lizieri, C. and Ward, C. (2001), Financial alchemy of a zero sum game? Real estate finance, securitisation and the UK property market, In:</w:t>
      </w:r>
      <w:r>
        <w:rPr>
          <w:rFonts w:ascii="Cambria" w:hAnsi="Cambria"/>
        </w:rPr>
        <w:t xml:space="preserve"> Adair, A. (2001), Research Review,</w:t>
      </w:r>
      <w:r w:rsidRPr="001F1C8F">
        <w:rPr>
          <w:rFonts w:ascii="Cambria" w:hAnsi="Cambria"/>
        </w:rPr>
        <w:t xml:space="preserve"> </w:t>
      </w:r>
      <w:r w:rsidRPr="00F46FC4">
        <w:rPr>
          <w:rFonts w:ascii="Cambria" w:hAnsi="Cambria"/>
          <w:i/>
        </w:rPr>
        <w:t>Briefings in Real Estate Finance</w:t>
      </w:r>
      <w:r w:rsidRPr="001F1C8F">
        <w:rPr>
          <w:rFonts w:ascii="Cambria" w:hAnsi="Cambria"/>
        </w:rPr>
        <w:t>, 1 (3), 274–285.</w:t>
      </w:r>
    </w:p>
    <w:p w:rsidR="00392C82" w:rsidRDefault="00392C82" w:rsidP="00392C82">
      <w:pPr>
        <w:spacing w:after="200"/>
        <w:ind w:left="720" w:hanging="720"/>
        <w:rPr>
          <w:rFonts w:ascii="Cambria" w:hAnsi="Cambria"/>
        </w:rPr>
      </w:pPr>
      <w:r w:rsidRPr="001F1C8F">
        <w:rPr>
          <w:rFonts w:ascii="Cambria" w:hAnsi="Cambria"/>
        </w:rPr>
        <w:t xml:space="preserve">Lord, A. (2009), The Community Infrastructure Levy: An Information Economics Approach to Understanding Infrastructure Provision under England’s Reformed Spatial Planning System, </w:t>
      </w:r>
      <w:r w:rsidRPr="00F46FC4">
        <w:rPr>
          <w:rFonts w:ascii="Cambria" w:hAnsi="Cambria"/>
          <w:i/>
        </w:rPr>
        <w:t>Planning Theory and Practice</w:t>
      </w:r>
      <w:r w:rsidRPr="001F1C8F">
        <w:rPr>
          <w:rFonts w:ascii="Cambria" w:hAnsi="Cambria"/>
        </w:rPr>
        <w:t>, 10</w:t>
      </w:r>
      <w:r>
        <w:rPr>
          <w:rFonts w:ascii="Cambria" w:hAnsi="Cambria"/>
        </w:rPr>
        <w:t xml:space="preserve"> (</w:t>
      </w:r>
      <w:r w:rsidRPr="001F1C8F">
        <w:rPr>
          <w:rFonts w:ascii="Cambria" w:hAnsi="Cambria"/>
        </w:rPr>
        <w:t>3</w:t>
      </w:r>
      <w:r>
        <w:rPr>
          <w:rFonts w:ascii="Cambria" w:hAnsi="Cambria"/>
        </w:rPr>
        <w:t>)</w:t>
      </w:r>
      <w:r w:rsidRPr="001F1C8F">
        <w:rPr>
          <w:rFonts w:ascii="Cambria" w:hAnsi="Cambria"/>
        </w:rPr>
        <w:t>,</w:t>
      </w:r>
      <w:r w:rsidR="00822F84">
        <w:rPr>
          <w:rFonts w:ascii="Cambria" w:hAnsi="Cambria"/>
        </w:rPr>
        <w:t xml:space="preserve"> </w:t>
      </w:r>
      <w:r w:rsidRPr="001F1C8F">
        <w:rPr>
          <w:rFonts w:ascii="Cambria" w:hAnsi="Cambria"/>
        </w:rPr>
        <w:t>333 – 349.</w:t>
      </w:r>
    </w:p>
    <w:p w:rsidR="00392C82" w:rsidRPr="00461AD9" w:rsidRDefault="00392C82" w:rsidP="00392C82">
      <w:pPr>
        <w:spacing w:after="200"/>
        <w:ind w:left="720" w:hanging="720"/>
      </w:pPr>
      <w:r w:rsidRPr="001F1C8F">
        <w:t xml:space="preserve">Louw, E. (2008) Land assembly for urban transformation – The case of ‘s-Hertogenbosch in The Netherlands, </w:t>
      </w:r>
      <w:r w:rsidRPr="001F1C8F">
        <w:rPr>
          <w:i/>
        </w:rPr>
        <w:t>Land Use Policy</w:t>
      </w:r>
      <w:r w:rsidRPr="001F1C8F">
        <w:t>, 25 (1), 69</w:t>
      </w:r>
      <w:r>
        <w:t>–</w:t>
      </w:r>
      <w:r w:rsidRPr="001F1C8F">
        <w:t>80</w:t>
      </w:r>
      <w:r>
        <w:t>.</w:t>
      </w:r>
    </w:p>
    <w:p w:rsidR="00392C82" w:rsidRDefault="00392C82" w:rsidP="00392C82">
      <w:pPr>
        <w:spacing w:after="200"/>
        <w:ind w:left="720" w:hanging="720"/>
        <w:rPr>
          <w:rFonts w:ascii="Cambria" w:hAnsi="Cambria"/>
        </w:rPr>
      </w:pPr>
      <w:r w:rsidRPr="001F1C8F">
        <w:rPr>
          <w:rFonts w:ascii="Cambria" w:hAnsi="Cambria"/>
        </w:rPr>
        <w:t xml:space="preserve">McGreal , S., Adair, A., Berry, J., Deddis, B. and Hirst, S. (1999) Accessing private sector finance in urban regeneration: investor and non-investor perspectives, </w:t>
      </w:r>
      <w:r w:rsidRPr="00F02648">
        <w:rPr>
          <w:rFonts w:ascii="Cambria" w:hAnsi="Cambria"/>
          <w:i/>
        </w:rPr>
        <w:t>Journal of Property Research</w:t>
      </w:r>
      <w:r w:rsidRPr="001F1C8F">
        <w:rPr>
          <w:rFonts w:ascii="Cambria" w:hAnsi="Cambria"/>
        </w:rPr>
        <w:t xml:space="preserve">, 17 (2), 109–131. </w:t>
      </w:r>
    </w:p>
    <w:p w:rsidR="00392C82" w:rsidRDefault="00392C82" w:rsidP="00392C82">
      <w:pPr>
        <w:spacing w:after="200"/>
        <w:ind w:left="720" w:hanging="720"/>
        <w:rPr>
          <w:rFonts w:ascii="Cambria" w:hAnsi="Cambria"/>
        </w:rPr>
      </w:pPr>
      <w:r w:rsidRPr="001F1C8F">
        <w:rPr>
          <w:rFonts w:ascii="Cambria" w:hAnsi="Cambria"/>
        </w:rPr>
        <w:t xml:space="preserve">McQuaid, R., W. and Scherrer, W. (2008) Public Private Partnerships in the European Union: Experiences in the UK, Germany and Austria, </w:t>
      </w:r>
      <w:r w:rsidRPr="00F02648">
        <w:rPr>
          <w:rFonts w:ascii="Cambria" w:hAnsi="Cambria"/>
          <w:i/>
        </w:rPr>
        <w:t>Uprava</w:t>
      </w:r>
      <w:r w:rsidRPr="001F1C8F">
        <w:rPr>
          <w:rFonts w:ascii="Cambria" w:hAnsi="Cambria"/>
        </w:rPr>
        <w:t>, 6 (2),</w:t>
      </w:r>
      <w:r>
        <w:rPr>
          <w:rFonts w:ascii="Cambria" w:hAnsi="Cambria"/>
        </w:rPr>
        <w:t xml:space="preserve"> </w:t>
      </w:r>
      <w:r w:rsidRPr="001F1C8F">
        <w:rPr>
          <w:rFonts w:ascii="Cambria" w:hAnsi="Cambria"/>
        </w:rPr>
        <w:t>7–34.</w:t>
      </w:r>
    </w:p>
    <w:p w:rsidR="00392C82" w:rsidRDefault="00392C82" w:rsidP="00392C82">
      <w:pPr>
        <w:spacing w:after="200"/>
        <w:ind w:left="720" w:hanging="720"/>
        <w:rPr>
          <w:rFonts w:ascii="Cambria" w:hAnsi="Cambria"/>
        </w:rPr>
      </w:pPr>
      <w:r w:rsidRPr="001F1C8F">
        <w:rPr>
          <w:rFonts w:ascii="Cambria" w:hAnsi="Cambria"/>
        </w:rPr>
        <w:t xml:space="preserve">Medda, F. R., Caschili, S. and Modelewska, M. (2011), </w:t>
      </w:r>
      <w:r w:rsidRPr="00F02648">
        <w:rPr>
          <w:rFonts w:ascii="Cambria" w:hAnsi="Cambria"/>
          <w:i/>
        </w:rPr>
        <w:t>Innovative Financial Mechanisms for Urban Heritage Brownfields</w:t>
      </w:r>
      <w:r w:rsidRPr="001F1C8F">
        <w:rPr>
          <w:rFonts w:ascii="Cambria" w:hAnsi="Cambria"/>
        </w:rPr>
        <w:t>, Washington DC: World Bank</w:t>
      </w:r>
      <w:r>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Medda, F. R., Caschili, S. and Modelewska, M. (2012), Innovative funding mechanisms for urban brownfield regeneration analysed, In: Bartke, S. (ed</w:t>
      </w:r>
      <w:r>
        <w:rPr>
          <w:rFonts w:ascii="Cambria" w:hAnsi="Cambria"/>
        </w:rPr>
        <w:t>.</w:t>
      </w:r>
      <w:r w:rsidRPr="001F1C8F">
        <w:rPr>
          <w:rFonts w:ascii="Cambria" w:hAnsi="Cambria"/>
        </w:rPr>
        <w:t xml:space="preserve">) (2013), </w:t>
      </w:r>
      <w:r w:rsidRPr="00F02648">
        <w:rPr>
          <w:rFonts w:ascii="Cambria" w:hAnsi="Cambria"/>
          <w:i/>
        </w:rPr>
        <w:t>Science for Environment Policy – Thematic Issue: Brownfield Regeneration</w:t>
      </w:r>
      <w:r w:rsidRPr="001F1C8F">
        <w:rPr>
          <w:rFonts w:ascii="Cambria" w:hAnsi="Cambria"/>
        </w:rPr>
        <w:t xml:space="preserve">, May 2013, 39, European Commission, </w:t>
      </w:r>
      <w:r>
        <w:rPr>
          <w:rFonts w:ascii="Cambria" w:hAnsi="Cambria"/>
        </w:rPr>
        <w:t>Available from:</w:t>
      </w:r>
      <w:r w:rsidRPr="001F1C8F">
        <w:rPr>
          <w:rFonts w:ascii="Cambria" w:hAnsi="Cambria"/>
        </w:rPr>
        <w:t xml:space="preserve"> http://ec.europa.eu/environment/integration/research/newsalert/pdf/39si.pdf [</w:t>
      </w:r>
      <w:r>
        <w:rPr>
          <w:rFonts w:ascii="Cambria" w:hAnsi="Cambria"/>
        </w:rPr>
        <w:t>A</w:t>
      </w:r>
      <w:r w:rsidRPr="001F1C8F">
        <w:rPr>
          <w:rFonts w:ascii="Cambria" w:hAnsi="Cambria"/>
        </w:rPr>
        <w:t xml:space="preserve">ccessed </w:t>
      </w:r>
      <w:r w:rsidR="00DB76C6">
        <w:rPr>
          <w:rFonts w:ascii="Cambria" w:hAnsi="Cambria"/>
        </w:rPr>
        <w:t>January 2016</w:t>
      </w:r>
      <w:r w:rsidRPr="001F1C8F">
        <w:rPr>
          <w:rFonts w:ascii="Cambria" w:hAnsi="Cambria"/>
        </w:rPr>
        <w:t>]</w:t>
      </w:r>
      <w:r>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Medda, F.R., Caschili, S., Modelewska, M. (2012). Financial Mechanisms for Historic City Core Regeneration and Brownfield Redevelopment</w:t>
      </w:r>
      <w:r>
        <w:rPr>
          <w:rFonts w:ascii="Cambria" w:hAnsi="Cambria"/>
        </w:rPr>
        <w:t>,</w:t>
      </w:r>
      <w:r w:rsidRPr="001F1C8F">
        <w:rPr>
          <w:rFonts w:ascii="Cambria" w:hAnsi="Cambria"/>
        </w:rPr>
        <w:t xml:space="preserve"> </w:t>
      </w:r>
      <w:r>
        <w:rPr>
          <w:rFonts w:ascii="Cambria" w:hAnsi="Cambria"/>
        </w:rPr>
        <w:t>In</w:t>
      </w:r>
      <w:r w:rsidRPr="001F1C8F">
        <w:rPr>
          <w:rFonts w:ascii="Cambria" w:hAnsi="Cambria"/>
        </w:rPr>
        <w:t xml:space="preserve"> Licciardi, G. &amp; Amirtahmasebi</w:t>
      </w:r>
      <w:r>
        <w:rPr>
          <w:rFonts w:ascii="Cambria" w:hAnsi="Cambria"/>
        </w:rPr>
        <w:t>, R. (eds.),</w:t>
      </w:r>
      <w:r w:rsidRPr="006D7A99">
        <w:rPr>
          <w:rFonts w:ascii="Cambria" w:hAnsi="Cambria"/>
          <w:i/>
        </w:rPr>
        <w:t xml:space="preserve"> </w:t>
      </w:r>
      <w:r w:rsidRPr="00F02648">
        <w:rPr>
          <w:rFonts w:ascii="Cambria" w:hAnsi="Cambria"/>
          <w:i/>
        </w:rPr>
        <w:t>The Economics of Uniqueness: Investing in Historic City Cores and Cultural Heritage Assets for Sustainable Development</w:t>
      </w:r>
      <w:r w:rsidRPr="001F1C8F">
        <w:rPr>
          <w:rFonts w:ascii="Cambria" w:hAnsi="Cambria"/>
        </w:rPr>
        <w:t>., Washington D.C: World Bank.</w:t>
      </w:r>
    </w:p>
    <w:p w:rsidR="00392C82" w:rsidRDefault="00392C82" w:rsidP="00392C82">
      <w:pPr>
        <w:spacing w:after="200"/>
        <w:ind w:left="720" w:hanging="720"/>
        <w:rPr>
          <w:rFonts w:ascii="Cambria" w:hAnsi="Cambria"/>
        </w:rPr>
      </w:pPr>
      <w:r w:rsidRPr="00581A38">
        <w:rPr>
          <w:rFonts w:ascii="Cambria" w:hAnsi="Cambria"/>
        </w:rPr>
        <w:t xml:space="preserve">Merk, O., Saussier, S., Staropoli, C., Slack, E., Kim, J-H (2012) </w:t>
      </w:r>
      <w:r w:rsidRPr="00F02648">
        <w:rPr>
          <w:rFonts w:ascii="Cambria" w:hAnsi="Cambria"/>
          <w:i/>
        </w:rPr>
        <w:t>Financing Green Urban Infrastructure</w:t>
      </w:r>
      <w:r w:rsidRPr="00581A38">
        <w:rPr>
          <w:rFonts w:ascii="Cambria" w:hAnsi="Cambria"/>
        </w:rPr>
        <w:t>, OECD Regional Development Working Papers 2012/10, OECD Publishing.</w:t>
      </w:r>
    </w:p>
    <w:p w:rsidR="00392C82" w:rsidRDefault="00392C82" w:rsidP="00392C82">
      <w:pPr>
        <w:spacing w:after="200"/>
        <w:ind w:left="720" w:hanging="720"/>
        <w:rPr>
          <w:rFonts w:ascii="Cambria" w:hAnsi="Cambria"/>
        </w:rPr>
      </w:pPr>
      <w:r w:rsidRPr="001F1C8F">
        <w:rPr>
          <w:rFonts w:ascii="Cambria" w:hAnsi="Cambria"/>
        </w:rPr>
        <w:t xml:space="preserve">Meyer, P., B. and Lyons, T., S. (2000), Lessons from Private Sector Brownfield Redevelopers – Planning Public Support for Urban Regeneration, </w:t>
      </w:r>
      <w:r w:rsidRPr="001F1C8F">
        <w:rPr>
          <w:rFonts w:ascii="Cambria" w:hAnsi="Cambria"/>
          <w:i/>
        </w:rPr>
        <w:t>Journal of the American Planning Association</w:t>
      </w:r>
      <w:r w:rsidRPr="001F1C8F">
        <w:rPr>
          <w:rFonts w:ascii="Cambria" w:hAnsi="Cambria"/>
        </w:rPr>
        <w:t>, 66 (1),</w:t>
      </w:r>
      <w:r>
        <w:rPr>
          <w:rFonts w:ascii="Cambria" w:hAnsi="Cambria"/>
        </w:rPr>
        <w:t xml:space="preserve"> </w:t>
      </w:r>
      <w:r w:rsidRPr="001F1C8F">
        <w:rPr>
          <w:rFonts w:ascii="Cambria" w:hAnsi="Cambria"/>
        </w:rPr>
        <w:t>46–57.</w:t>
      </w:r>
    </w:p>
    <w:p w:rsidR="00392C82" w:rsidRDefault="00392C82" w:rsidP="00392C82">
      <w:pPr>
        <w:spacing w:after="200"/>
        <w:ind w:left="720" w:hanging="720"/>
        <w:rPr>
          <w:rFonts w:ascii="Cambria" w:hAnsi="Cambria"/>
        </w:rPr>
      </w:pPr>
      <w:r w:rsidRPr="001F1C8F">
        <w:rPr>
          <w:rFonts w:ascii="Cambria" w:hAnsi="Cambria"/>
        </w:rPr>
        <w:t>M</w:t>
      </w:r>
      <w:r>
        <w:rPr>
          <w:rFonts w:ascii="Cambria" w:hAnsi="Cambria"/>
        </w:rPr>
        <w:t>i</w:t>
      </w:r>
      <w:r w:rsidRPr="001F1C8F">
        <w:rPr>
          <w:rFonts w:ascii="Cambria" w:hAnsi="Cambria"/>
        </w:rPr>
        <w:t xml:space="preserve">chie, </w:t>
      </w:r>
      <w:r>
        <w:rPr>
          <w:rFonts w:ascii="Cambria" w:hAnsi="Cambria"/>
        </w:rPr>
        <w:t>R</w:t>
      </w:r>
      <w:r w:rsidRPr="001F1C8F">
        <w:rPr>
          <w:rFonts w:ascii="Cambria" w:hAnsi="Cambria"/>
        </w:rPr>
        <w:t>. and Wishlade,</w:t>
      </w:r>
      <w:r>
        <w:rPr>
          <w:rFonts w:ascii="Cambria" w:hAnsi="Cambria"/>
        </w:rPr>
        <w:t xml:space="preserve"> </w:t>
      </w:r>
      <w:r w:rsidRPr="001F1C8F">
        <w:rPr>
          <w:rFonts w:ascii="Cambria" w:hAnsi="Cambria"/>
        </w:rPr>
        <w:t>F. (2011), Between Scylla and Charybdis: Navigating Financial engineering Instruments and State Aid Requirements,</w:t>
      </w:r>
      <w:r>
        <w:rPr>
          <w:rFonts w:ascii="Cambria" w:hAnsi="Cambria"/>
        </w:rPr>
        <w:t xml:space="preserve"> </w:t>
      </w:r>
      <w:r>
        <w:rPr>
          <w:rFonts w:ascii="Cambria" w:hAnsi="Cambria"/>
          <w:i/>
        </w:rPr>
        <w:t>IQ-Net Thematic Paper</w:t>
      </w:r>
      <w:r>
        <w:rPr>
          <w:rFonts w:ascii="Cambria" w:hAnsi="Cambria"/>
        </w:rPr>
        <w:t>, 29 (2),</w:t>
      </w:r>
      <w:r w:rsidRPr="001F1C8F">
        <w:rPr>
          <w:rFonts w:ascii="Cambria" w:hAnsi="Cambria"/>
        </w:rPr>
        <w:t xml:space="preserve"> European Policies Research Centre</w:t>
      </w:r>
      <w:r>
        <w:rPr>
          <w:rFonts w:ascii="Cambria" w:hAnsi="Cambria"/>
        </w:rPr>
        <w:t>, University of Strathclyde, Glasgow.</w:t>
      </w:r>
    </w:p>
    <w:p w:rsidR="00392C82" w:rsidRDefault="00392C82" w:rsidP="00392C82">
      <w:pPr>
        <w:spacing w:after="200"/>
        <w:ind w:left="720" w:hanging="720"/>
        <w:rPr>
          <w:rFonts w:ascii="Cambria" w:hAnsi="Cambria"/>
        </w:rPr>
      </w:pPr>
      <w:r>
        <w:rPr>
          <w:rFonts w:ascii="Cambria" w:hAnsi="Cambria"/>
        </w:rPr>
        <w:t xml:space="preserve">Medda, F., R. and </w:t>
      </w:r>
      <w:r w:rsidRPr="001F1C8F">
        <w:rPr>
          <w:rFonts w:ascii="Cambria" w:hAnsi="Cambria"/>
        </w:rPr>
        <w:t>Modelewska, M. (2009)</w:t>
      </w:r>
      <w:r w:rsidRPr="00F02648">
        <w:rPr>
          <w:rFonts w:ascii="Cambria" w:hAnsi="Cambria"/>
          <w:i/>
        </w:rPr>
        <w:t xml:space="preserve"> Land Value Capture as a Funding Source for Urban Investment: The Warsaw </w:t>
      </w:r>
      <w:r>
        <w:rPr>
          <w:rFonts w:ascii="Cambria" w:hAnsi="Cambria"/>
          <w:i/>
        </w:rPr>
        <w:t>M</w:t>
      </w:r>
      <w:r w:rsidRPr="00F02648">
        <w:rPr>
          <w:rFonts w:ascii="Cambria" w:hAnsi="Cambria"/>
          <w:i/>
        </w:rPr>
        <w:t>etro System</w:t>
      </w:r>
      <w:r w:rsidRPr="001F1C8F">
        <w:rPr>
          <w:rFonts w:ascii="Cambria" w:hAnsi="Cambria"/>
        </w:rPr>
        <w:t xml:space="preserve">, </w:t>
      </w:r>
      <w:r>
        <w:rPr>
          <w:rFonts w:ascii="Cambria" w:hAnsi="Cambria"/>
        </w:rPr>
        <w:t>London: UCL QASER Lab.</w:t>
      </w:r>
    </w:p>
    <w:p w:rsidR="00392C82" w:rsidRDefault="00392C82" w:rsidP="00392C82">
      <w:pPr>
        <w:spacing w:after="200"/>
        <w:ind w:left="720" w:hanging="720"/>
        <w:rPr>
          <w:rFonts w:ascii="Cambria" w:hAnsi="Cambria"/>
        </w:rPr>
      </w:pPr>
      <w:r w:rsidRPr="001F1C8F">
        <w:rPr>
          <w:rFonts w:ascii="Cambria" w:hAnsi="Cambria"/>
        </w:rPr>
        <w:t>Monk, S.</w:t>
      </w:r>
      <w:r>
        <w:rPr>
          <w:rFonts w:ascii="Cambria" w:hAnsi="Cambria"/>
        </w:rPr>
        <w:t>, Whitehead, C., Burgess, G. and Tang, C.</w:t>
      </w:r>
      <w:r w:rsidRPr="001F1C8F">
        <w:rPr>
          <w:rFonts w:ascii="Cambria" w:hAnsi="Cambria"/>
        </w:rPr>
        <w:t xml:space="preserve"> (2013) </w:t>
      </w:r>
      <w:r w:rsidRPr="00F02648">
        <w:rPr>
          <w:rFonts w:ascii="Cambria" w:hAnsi="Cambria"/>
          <w:i/>
        </w:rPr>
        <w:t>International Review of Land Supply and Planning Systems</w:t>
      </w:r>
      <w:r w:rsidRPr="001F1C8F">
        <w:rPr>
          <w:rFonts w:ascii="Cambria" w:hAnsi="Cambria"/>
        </w:rPr>
        <w:t xml:space="preserve">, </w:t>
      </w:r>
      <w:r>
        <w:rPr>
          <w:rFonts w:ascii="Cambria" w:hAnsi="Cambria"/>
        </w:rPr>
        <w:t xml:space="preserve">York: </w:t>
      </w:r>
      <w:r w:rsidRPr="001F1C8F">
        <w:rPr>
          <w:rFonts w:ascii="Cambria" w:hAnsi="Cambria"/>
        </w:rPr>
        <w:t>Joseph Rowntree Foundation</w:t>
      </w:r>
      <w:r>
        <w:rPr>
          <w:rFonts w:ascii="Cambria" w:hAnsi="Cambria"/>
        </w:rPr>
        <w:t>.</w:t>
      </w:r>
      <w:r w:rsidRPr="001F1C8F">
        <w:rPr>
          <w:rFonts w:ascii="Cambria" w:hAnsi="Cambria"/>
        </w:rPr>
        <w:t xml:space="preserve"> </w:t>
      </w:r>
    </w:p>
    <w:p w:rsidR="00392C82" w:rsidRDefault="00392C82" w:rsidP="00392C82">
      <w:pPr>
        <w:spacing w:after="200"/>
        <w:ind w:left="720" w:hanging="720"/>
        <w:rPr>
          <w:rFonts w:ascii="Cambria" w:hAnsi="Cambria"/>
        </w:rPr>
      </w:pPr>
      <w:r w:rsidRPr="001F1C8F">
        <w:rPr>
          <w:rFonts w:ascii="Cambria" w:hAnsi="Cambria"/>
        </w:rPr>
        <w:t xml:space="preserve">Mossberger, K. and Stoker, G. (2001), The Evolution of Urban Regime Theory: The Challenge of Conceptualization, </w:t>
      </w:r>
      <w:r w:rsidRPr="00F02648">
        <w:rPr>
          <w:rFonts w:ascii="Cambria" w:hAnsi="Cambria"/>
          <w:i/>
        </w:rPr>
        <w:t>Urban Affairs Review</w:t>
      </w:r>
      <w:r w:rsidRPr="001F1C8F">
        <w:rPr>
          <w:rFonts w:ascii="Cambria" w:hAnsi="Cambria"/>
        </w:rPr>
        <w:t>, 36 (6), 810–835.</w:t>
      </w:r>
    </w:p>
    <w:p w:rsidR="00392C82" w:rsidRDefault="00392C82" w:rsidP="00392C82">
      <w:pPr>
        <w:spacing w:after="200"/>
        <w:ind w:left="720" w:hanging="720"/>
        <w:rPr>
          <w:rFonts w:ascii="Cambria" w:hAnsi="Cambria"/>
        </w:rPr>
      </w:pPr>
      <w:r w:rsidRPr="001F1C8F">
        <w:rPr>
          <w:rFonts w:ascii="Cambria" w:hAnsi="Cambria"/>
        </w:rPr>
        <w:t>Munoz Gielen, D. (2012), Urban Governance Property Rights, Land Readjustment and Public Value capturing</w:t>
      </w:r>
      <w:r>
        <w:rPr>
          <w:rFonts w:ascii="Cambria" w:hAnsi="Cambria"/>
        </w:rPr>
        <w:t xml:space="preserve">, </w:t>
      </w:r>
      <w:r>
        <w:rPr>
          <w:rFonts w:ascii="Cambria" w:hAnsi="Cambria"/>
          <w:i/>
        </w:rPr>
        <w:t>European Urban and Regional Studies</w:t>
      </w:r>
      <w:r>
        <w:rPr>
          <w:rFonts w:ascii="Cambria" w:hAnsi="Cambria"/>
        </w:rPr>
        <w:t>, 21 (1), 60–78.</w:t>
      </w:r>
    </w:p>
    <w:p w:rsidR="00392C82" w:rsidRDefault="00392C82" w:rsidP="00392C82">
      <w:pPr>
        <w:spacing w:after="200"/>
        <w:ind w:left="720" w:hanging="720"/>
        <w:rPr>
          <w:rFonts w:ascii="Cambria" w:hAnsi="Cambria"/>
        </w:rPr>
      </w:pPr>
      <w:r w:rsidRPr="001F1C8F">
        <w:rPr>
          <w:rFonts w:ascii="Cambria" w:hAnsi="Cambria"/>
        </w:rPr>
        <w:t xml:space="preserve">Munoz Gielen, D. and Tasan-Kok, T. (2008), Flexibility in Planning and the Consequences for Public Value capturing in UK, Spain and the Netherlands, </w:t>
      </w:r>
      <w:r w:rsidRPr="00F02648">
        <w:rPr>
          <w:rFonts w:ascii="Cambria" w:hAnsi="Cambria"/>
          <w:i/>
        </w:rPr>
        <w:t>European Planning Studies</w:t>
      </w:r>
      <w:r w:rsidRPr="001F1C8F">
        <w:rPr>
          <w:rFonts w:ascii="Cambria" w:hAnsi="Cambria"/>
        </w:rPr>
        <w:t xml:space="preserve"> 18</w:t>
      </w:r>
      <w:r>
        <w:rPr>
          <w:rFonts w:ascii="Cambria" w:hAnsi="Cambria"/>
        </w:rPr>
        <w:t xml:space="preserve"> (</w:t>
      </w:r>
      <w:r w:rsidRPr="001F1C8F">
        <w:rPr>
          <w:rFonts w:ascii="Cambria" w:hAnsi="Cambria"/>
        </w:rPr>
        <w:t>7</w:t>
      </w:r>
      <w:r>
        <w:rPr>
          <w:rFonts w:ascii="Cambria" w:hAnsi="Cambria"/>
        </w:rPr>
        <w:t>), 1097-1131</w:t>
      </w:r>
      <w:r w:rsidRPr="001F1C8F">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Myanta, M. and Drahokoupilb, J. (2012). ‘International Integration, Varieties of Capitalism and Resilience to Crisis in Transition Economies’</w:t>
      </w:r>
      <w:r>
        <w:rPr>
          <w:rFonts w:ascii="Cambria" w:hAnsi="Cambria"/>
        </w:rPr>
        <w:t>,</w:t>
      </w:r>
      <w:r w:rsidRPr="001F1C8F">
        <w:rPr>
          <w:rFonts w:ascii="Cambria" w:hAnsi="Cambria"/>
        </w:rPr>
        <w:t xml:space="preserve"> </w:t>
      </w:r>
      <w:r w:rsidRPr="00F02648">
        <w:rPr>
          <w:rFonts w:ascii="Cambria" w:hAnsi="Cambria"/>
          <w:i/>
        </w:rPr>
        <w:t>Europe-Asia Studies</w:t>
      </w:r>
      <w:r w:rsidRPr="001F1C8F">
        <w:rPr>
          <w:rFonts w:ascii="Cambria" w:hAnsi="Cambria"/>
        </w:rPr>
        <w:t xml:space="preserve">, 64 </w:t>
      </w:r>
      <w:r>
        <w:rPr>
          <w:rFonts w:ascii="Cambria" w:hAnsi="Cambria"/>
        </w:rPr>
        <w:t>(</w:t>
      </w:r>
      <w:r w:rsidRPr="001F1C8F">
        <w:rPr>
          <w:rFonts w:ascii="Cambria" w:hAnsi="Cambria"/>
        </w:rPr>
        <w:t>1</w:t>
      </w:r>
      <w:r>
        <w:rPr>
          <w:rFonts w:ascii="Cambria" w:hAnsi="Cambria"/>
        </w:rPr>
        <w:t>)</w:t>
      </w:r>
      <w:r w:rsidRPr="001F1C8F">
        <w:rPr>
          <w:rFonts w:ascii="Cambria" w:hAnsi="Cambria"/>
        </w:rPr>
        <w:t>, 1-33</w:t>
      </w:r>
      <w:r>
        <w:rPr>
          <w:rFonts w:ascii="Cambria" w:hAnsi="Cambria"/>
        </w:rPr>
        <w:t>.</w:t>
      </w:r>
    </w:p>
    <w:p w:rsidR="00392C82" w:rsidRDefault="00392C82" w:rsidP="00392C82">
      <w:pPr>
        <w:spacing w:after="200"/>
        <w:ind w:left="720" w:hanging="720"/>
        <w:rPr>
          <w:rFonts w:ascii="Cambria" w:hAnsi="Cambria"/>
        </w:rPr>
      </w:pPr>
      <w:r w:rsidRPr="00461AD9">
        <w:rPr>
          <w:rFonts w:ascii="Cambria" w:hAnsi="Cambria"/>
        </w:rPr>
        <w:t>Nappi Choulet, I. (2006), The Role and B</w:t>
      </w:r>
      <w:r>
        <w:rPr>
          <w:rFonts w:ascii="Cambria" w:hAnsi="Cambria"/>
        </w:rPr>
        <w:t xml:space="preserve">ehaviour of Commercial Property </w:t>
      </w:r>
      <w:r w:rsidRPr="00461AD9">
        <w:rPr>
          <w:rFonts w:ascii="Cambria" w:hAnsi="Cambria"/>
        </w:rPr>
        <w:t>Investors and Developers in French Urban Regeneration: The Experience of the Paris Region, Urban Studies, 43 (9), 1511-1535.</w:t>
      </w:r>
    </w:p>
    <w:p w:rsidR="00392C82" w:rsidRDefault="00392C82" w:rsidP="00392C82">
      <w:pPr>
        <w:spacing w:after="200"/>
        <w:ind w:left="720" w:hanging="720"/>
        <w:rPr>
          <w:rFonts w:ascii="Cambria" w:hAnsi="Cambria"/>
        </w:rPr>
      </w:pPr>
      <w:r w:rsidRPr="001F1C8F">
        <w:rPr>
          <w:rFonts w:ascii="Cambria" w:hAnsi="Cambria"/>
        </w:rPr>
        <w:t>Nadin, V. and Stead, D. (2008) European Spatial Planning Systems, Social Models and Learning  DISP ,172 (1), 35-47</w:t>
      </w:r>
      <w:r>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 xml:space="preserve">Newman, P. and Thornley, A. (1996), </w:t>
      </w:r>
      <w:r w:rsidRPr="00F02648">
        <w:rPr>
          <w:rFonts w:ascii="Cambria" w:hAnsi="Cambria"/>
          <w:i/>
        </w:rPr>
        <w:t>Urban Planning in Europe: International Competition, National Systems and Planning Projects</w:t>
      </w:r>
      <w:r w:rsidRPr="001F1C8F">
        <w:rPr>
          <w:rFonts w:ascii="Cambria" w:hAnsi="Cambria"/>
        </w:rPr>
        <w:t>, London</w:t>
      </w:r>
      <w:r>
        <w:rPr>
          <w:rFonts w:ascii="Cambria" w:hAnsi="Cambria"/>
        </w:rPr>
        <w:t>:</w:t>
      </w:r>
      <w:r w:rsidRPr="001F1C8F">
        <w:rPr>
          <w:rFonts w:ascii="Cambria" w:hAnsi="Cambria"/>
        </w:rPr>
        <w:t xml:space="preserve"> Routledge.</w:t>
      </w:r>
    </w:p>
    <w:p w:rsidR="00392C82" w:rsidRDefault="00392C82" w:rsidP="00392C82">
      <w:pPr>
        <w:spacing w:after="200"/>
        <w:ind w:left="720" w:hanging="720"/>
        <w:rPr>
          <w:rFonts w:ascii="Cambria" w:hAnsi="Cambria"/>
        </w:rPr>
      </w:pPr>
      <w:r w:rsidRPr="001F1C8F">
        <w:rPr>
          <w:rFonts w:ascii="Cambria" w:hAnsi="Cambria"/>
        </w:rPr>
        <w:t xml:space="preserve">OECD (2003), </w:t>
      </w:r>
      <w:r w:rsidRPr="00F02648">
        <w:rPr>
          <w:rFonts w:ascii="Cambria" w:hAnsi="Cambria"/>
          <w:i/>
        </w:rPr>
        <w:t>Private Finance and Economic Development: City and Regional Investment</w:t>
      </w:r>
      <w:r w:rsidRPr="001F1C8F">
        <w:rPr>
          <w:rFonts w:ascii="Cambria" w:hAnsi="Cambria"/>
        </w:rPr>
        <w:t>, OECD Publishing</w:t>
      </w:r>
      <w:r>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 xml:space="preserve">Oxley, M., Brown, T., Fernandez‐Maldonado, A‐M. Qu, L. and Tummers, L. (2009) </w:t>
      </w:r>
      <w:r w:rsidRPr="00F02648">
        <w:rPr>
          <w:rFonts w:ascii="Cambria" w:hAnsi="Cambria"/>
          <w:i/>
        </w:rPr>
        <w:t>Review of European Planning Systems</w:t>
      </w:r>
      <w:r>
        <w:rPr>
          <w:rFonts w:ascii="Cambria" w:hAnsi="Cambria"/>
        </w:rPr>
        <w:t>,</w:t>
      </w:r>
      <w:r w:rsidRPr="001F1C8F">
        <w:rPr>
          <w:rFonts w:ascii="Cambria" w:hAnsi="Cambria"/>
        </w:rPr>
        <w:t xml:space="preserve"> London: National Housing and Planning Advice Unit</w:t>
      </w:r>
      <w:r>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 xml:space="preserve">Pickford, J. (2013), London project to use risky funding model, </w:t>
      </w:r>
      <w:r w:rsidRPr="00F02648">
        <w:rPr>
          <w:rFonts w:ascii="Cambria" w:hAnsi="Cambria"/>
          <w:i/>
        </w:rPr>
        <w:t>Financial Times</w:t>
      </w:r>
      <w:r w:rsidRPr="001F1C8F">
        <w:rPr>
          <w:rFonts w:ascii="Cambria" w:hAnsi="Cambria"/>
        </w:rPr>
        <w:t xml:space="preserve">, </w:t>
      </w:r>
      <w:r>
        <w:rPr>
          <w:rFonts w:ascii="Cambria" w:hAnsi="Cambria"/>
        </w:rPr>
        <w:t>[online]. 8 April 2013, A</w:t>
      </w:r>
      <w:r w:rsidRPr="001F1C8F">
        <w:rPr>
          <w:rFonts w:ascii="Cambria" w:hAnsi="Cambria"/>
        </w:rPr>
        <w:t>vailable</w:t>
      </w:r>
      <w:r>
        <w:rPr>
          <w:rFonts w:ascii="Cambria" w:hAnsi="Cambria"/>
        </w:rPr>
        <w:t xml:space="preserve"> from:</w:t>
      </w:r>
      <w:r w:rsidRPr="001F1C8F">
        <w:rPr>
          <w:rFonts w:ascii="Cambria" w:hAnsi="Cambria"/>
        </w:rPr>
        <w:t xml:space="preserve"> </w:t>
      </w:r>
      <w:r w:rsidRPr="001F1C8F">
        <w:t>http://www.ft.com/cms/s/0/fcda4910-9f64-11e2-b4b6-00144feabdc0.html#axzz2tDWpK31f</w:t>
      </w:r>
      <w:r w:rsidRPr="001F1C8F">
        <w:rPr>
          <w:rFonts w:ascii="Cambria" w:hAnsi="Cambria"/>
        </w:rPr>
        <w:t>) [</w:t>
      </w:r>
      <w:r>
        <w:rPr>
          <w:rFonts w:ascii="Cambria" w:hAnsi="Cambria"/>
        </w:rPr>
        <w:t>A</w:t>
      </w:r>
      <w:r w:rsidRPr="001F1C8F">
        <w:rPr>
          <w:rFonts w:ascii="Cambria" w:hAnsi="Cambria"/>
        </w:rPr>
        <w:t xml:space="preserve">ccessed </w:t>
      </w:r>
      <w:r w:rsidR="00DB76C6">
        <w:rPr>
          <w:rFonts w:ascii="Cambria" w:hAnsi="Cambria"/>
        </w:rPr>
        <w:t>January 2016</w:t>
      </w:r>
      <w:r>
        <w:rPr>
          <w:rFonts w:ascii="Cambria" w:hAnsi="Cambria"/>
        </w:rPr>
        <w:t>].</w:t>
      </w:r>
    </w:p>
    <w:p w:rsidR="00392C82" w:rsidRPr="00461AD9" w:rsidRDefault="00392C82" w:rsidP="00392C82">
      <w:pPr>
        <w:spacing w:after="200"/>
        <w:ind w:left="720" w:hanging="720"/>
        <w:rPr>
          <w:rFonts w:ascii="Cambria" w:hAnsi="Cambria"/>
        </w:rPr>
      </w:pPr>
      <w:r w:rsidRPr="00461AD9">
        <w:rPr>
          <w:rFonts w:ascii="Cambria" w:hAnsi="Cambria"/>
        </w:rPr>
        <w:t>Pivo, G. (2008), Practice Briefing: Responsible property investing: what the leaders are doing, Journal of Property Investment &amp; Finance, 26 (6), 562-576</w:t>
      </w:r>
    </w:p>
    <w:p w:rsidR="00392C82" w:rsidRDefault="00392C82" w:rsidP="00392C82">
      <w:pPr>
        <w:spacing w:after="200"/>
        <w:ind w:left="720" w:hanging="720"/>
        <w:rPr>
          <w:rFonts w:ascii="Cambria" w:hAnsi="Cambria"/>
        </w:rPr>
      </w:pPr>
      <w:r w:rsidRPr="001F1C8F">
        <w:rPr>
          <w:rFonts w:ascii="Cambria" w:hAnsi="Cambria"/>
        </w:rPr>
        <w:t>Price</w:t>
      </w:r>
      <w:r>
        <w:rPr>
          <w:rFonts w:ascii="Cambria" w:hAnsi="Cambria"/>
        </w:rPr>
        <w:t>W</w:t>
      </w:r>
      <w:r w:rsidRPr="001F1C8F">
        <w:rPr>
          <w:rFonts w:ascii="Cambria" w:hAnsi="Cambria"/>
        </w:rPr>
        <w:t xml:space="preserve">aterhouse Coopers (2005), </w:t>
      </w:r>
      <w:r w:rsidRPr="00461AD9">
        <w:rPr>
          <w:rFonts w:ascii="Cambria" w:hAnsi="Cambria"/>
        </w:rPr>
        <w:t>Cities of the future: global competition, local leadership</w:t>
      </w:r>
      <w:r w:rsidRPr="001F1C8F">
        <w:rPr>
          <w:rFonts w:ascii="Cambria" w:hAnsi="Cambria"/>
        </w:rPr>
        <w:t>, Price</w:t>
      </w:r>
      <w:r>
        <w:rPr>
          <w:rFonts w:ascii="Cambria" w:hAnsi="Cambria"/>
        </w:rPr>
        <w:t>W</w:t>
      </w:r>
      <w:r w:rsidRPr="001F1C8F">
        <w:rPr>
          <w:rFonts w:ascii="Cambria" w:hAnsi="Cambria"/>
        </w:rPr>
        <w:t>atershouse Coopers.</w:t>
      </w:r>
    </w:p>
    <w:p w:rsidR="00392C82" w:rsidRDefault="00392C82" w:rsidP="00392C82">
      <w:pPr>
        <w:spacing w:after="200"/>
        <w:ind w:left="720" w:hanging="720"/>
        <w:rPr>
          <w:rFonts w:ascii="Cambria" w:hAnsi="Cambria"/>
        </w:rPr>
      </w:pPr>
      <w:r w:rsidRPr="001F1C8F">
        <w:rPr>
          <w:rFonts w:ascii="Cambria" w:hAnsi="Cambria"/>
        </w:rPr>
        <w:t>Price</w:t>
      </w:r>
      <w:r>
        <w:rPr>
          <w:rFonts w:ascii="Cambria" w:hAnsi="Cambria"/>
        </w:rPr>
        <w:t>W</w:t>
      </w:r>
      <w:r w:rsidRPr="001F1C8F">
        <w:rPr>
          <w:rFonts w:ascii="Cambria" w:hAnsi="Cambria"/>
        </w:rPr>
        <w:t xml:space="preserve">aterhouse Coopers (2011), </w:t>
      </w:r>
      <w:r w:rsidRPr="00F02648">
        <w:rPr>
          <w:rFonts w:ascii="Cambria" w:hAnsi="Cambria"/>
          <w:i/>
        </w:rPr>
        <w:t>Funding Infrastructure: Time for a new approach?</w:t>
      </w:r>
      <w:r w:rsidRPr="001F1C8F">
        <w:rPr>
          <w:rFonts w:ascii="Cambria" w:hAnsi="Cambria"/>
        </w:rPr>
        <w:t>, Price</w:t>
      </w:r>
      <w:r>
        <w:rPr>
          <w:rFonts w:ascii="Cambria" w:hAnsi="Cambria"/>
        </w:rPr>
        <w:t>W</w:t>
      </w:r>
      <w:r w:rsidRPr="001F1C8F">
        <w:rPr>
          <w:rFonts w:ascii="Cambria" w:hAnsi="Cambria"/>
        </w:rPr>
        <w:t>aterhouse Coopers.</w:t>
      </w:r>
    </w:p>
    <w:p w:rsidR="00392C82" w:rsidRDefault="00392C82" w:rsidP="00392C82">
      <w:pPr>
        <w:spacing w:after="200"/>
        <w:ind w:left="720" w:hanging="720"/>
        <w:rPr>
          <w:rFonts w:ascii="Cambria" w:hAnsi="Cambria"/>
        </w:rPr>
      </w:pPr>
      <w:r w:rsidRPr="001F1C8F">
        <w:rPr>
          <w:rFonts w:ascii="Cambria" w:hAnsi="Cambria"/>
        </w:rPr>
        <w:t xml:space="preserve">Ramsden, P. </w:t>
      </w:r>
      <w:r>
        <w:rPr>
          <w:rFonts w:ascii="Cambria" w:hAnsi="Cambria"/>
        </w:rPr>
        <w:t xml:space="preserve">(2013) </w:t>
      </w:r>
      <w:r w:rsidRPr="001F1C8F">
        <w:rPr>
          <w:rFonts w:ascii="Cambria" w:hAnsi="Cambria"/>
        </w:rPr>
        <w:t>Urban Development in the EU: Fifty Projects Supported by the European Regional Development Fund Du</w:t>
      </w:r>
      <w:r>
        <w:rPr>
          <w:rFonts w:ascii="Cambria" w:hAnsi="Cambria"/>
        </w:rPr>
        <w:t>r</w:t>
      </w:r>
      <w:r w:rsidRPr="001F1C8F">
        <w:rPr>
          <w:rFonts w:ascii="Cambria" w:hAnsi="Cambria"/>
        </w:rPr>
        <w:t>ing the 2007 – 2013 Period,</w:t>
      </w:r>
      <w:r>
        <w:rPr>
          <w:rFonts w:ascii="Cambria" w:hAnsi="Cambria"/>
        </w:rPr>
        <w:t xml:space="preserve"> </w:t>
      </w:r>
      <w:r w:rsidRPr="001F1C8F">
        <w:rPr>
          <w:rFonts w:ascii="Cambria" w:hAnsi="Cambria"/>
        </w:rPr>
        <w:t>E</w:t>
      </w:r>
      <w:r>
        <w:rPr>
          <w:rFonts w:ascii="Cambria" w:hAnsi="Cambria"/>
        </w:rPr>
        <w:t xml:space="preserve">uropean </w:t>
      </w:r>
      <w:r w:rsidRPr="001F1C8F">
        <w:rPr>
          <w:rFonts w:ascii="Cambria" w:hAnsi="Cambria"/>
        </w:rPr>
        <w:t>U</w:t>
      </w:r>
      <w:r>
        <w:rPr>
          <w:rFonts w:ascii="Cambria" w:hAnsi="Cambria"/>
        </w:rPr>
        <w:t>nion</w:t>
      </w:r>
      <w:r w:rsidRPr="001F1C8F">
        <w:rPr>
          <w:rFonts w:ascii="Cambria" w:hAnsi="Cambria"/>
        </w:rPr>
        <w:t xml:space="preserve">. </w:t>
      </w:r>
    </w:p>
    <w:p w:rsidR="00392C82" w:rsidRDefault="00392C82" w:rsidP="00392C82">
      <w:pPr>
        <w:spacing w:after="200"/>
        <w:ind w:left="720" w:hanging="720"/>
        <w:rPr>
          <w:rFonts w:ascii="Cambria" w:hAnsi="Cambria"/>
        </w:rPr>
      </w:pPr>
      <w:r w:rsidRPr="001F1C8F">
        <w:rPr>
          <w:rFonts w:ascii="Cambria" w:hAnsi="Cambria"/>
        </w:rPr>
        <w:t xml:space="preserve">Roakes, S. (1996), Reconsidering land value taxation: The golden key? </w:t>
      </w:r>
      <w:r w:rsidRPr="00F02648">
        <w:rPr>
          <w:rFonts w:ascii="Cambria" w:hAnsi="Cambria"/>
          <w:i/>
        </w:rPr>
        <w:t>Land Use Policy</w:t>
      </w:r>
      <w:r w:rsidRPr="001F1C8F">
        <w:rPr>
          <w:rFonts w:ascii="Cambria" w:hAnsi="Cambria"/>
        </w:rPr>
        <w:t>, 13</w:t>
      </w:r>
      <w:r>
        <w:rPr>
          <w:rFonts w:ascii="Cambria" w:hAnsi="Cambria"/>
        </w:rPr>
        <w:t xml:space="preserve"> (</w:t>
      </w:r>
      <w:r w:rsidRPr="001F1C8F">
        <w:rPr>
          <w:rFonts w:ascii="Cambria" w:hAnsi="Cambria"/>
        </w:rPr>
        <w:t>4</w:t>
      </w:r>
      <w:r>
        <w:rPr>
          <w:rFonts w:ascii="Cambria" w:hAnsi="Cambria"/>
        </w:rPr>
        <w:t>)</w:t>
      </w:r>
      <w:r w:rsidRPr="001F1C8F">
        <w:rPr>
          <w:rFonts w:ascii="Cambria" w:hAnsi="Cambria"/>
        </w:rPr>
        <w:t>, 261-272.</w:t>
      </w:r>
    </w:p>
    <w:p w:rsidR="00392C82" w:rsidRDefault="00392C82" w:rsidP="00392C82">
      <w:pPr>
        <w:spacing w:after="200"/>
        <w:ind w:left="720" w:hanging="720"/>
        <w:rPr>
          <w:rFonts w:ascii="Cambria" w:hAnsi="Cambria"/>
        </w:rPr>
      </w:pPr>
      <w:r w:rsidRPr="001F1C8F">
        <w:rPr>
          <w:rFonts w:ascii="Cambria" w:hAnsi="Cambria"/>
        </w:rPr>
        <w:t xml:space="preserve">Roukouni, A., Medda, F. (2012) Evaluation of value capture mechanisms as a funding source for urban transport: the case of London's Crossrail, </w:t>
      </w:r>
      <w:r w:rsidRPr="00F02648">
        <w:rPr>
          <w:rFonts w:ascii="Cambria" w:hAnsi="Cambria"/>
          <w:i/>
        </w:rPr>
        <w:t>Procedia-Social and Behavioral Sciences</w:t>
      </w:r>
      <w:r w:rsidRPr="001F1C8F">
        <w:rPr>
          <w:rFonts w:ascii="Cambria" w:hAnsi="Cambria"/>
        </w:rPr>
        <w:t>, 4</w:t>
      </w:r>
      <w:r>
        <w:rPr>
          <w:rFonts w:ascii="Cambria" w:hAnsi="Cambria"/>
        </w:rPr>
        <w:t xml:space="preserve">, </w:t>
      </w:r>
      <w:r w:rsidRPr="001F1C8F">
        <w:rPr>
          <w:rFonts w:ascii="Cambria" w:hAnsi="Cambria"/>
        </w:rPr>
        <w:t>2393-2404.</w:t>
      </w:r>
    </w:p>
    <w:p w:rsidR="00392C82" w:rsidRDefault="00392C82" w:rsidP="00392C82">
      <w:pPr>
        <w:spacing w:after="200"/>
        <w:ind w:left="720" w:hanging="720"/>
        <w:rPr>
          <w:rFonts w:ascii="Cambria" w:hAnsi="Cambria"/>
        </w:rPr>
      </w:pPr>
      <w:r w:rsidRPr="001F1C8F">
        <w:rPr>
          <w:rFonts w:ascii="Cambria" w:hAnsi="Cambria"/>
        </w:rPr>
        <w:t xml:space="preserve">Ryser, J. and Franchini, T. (2008) </w:t>
      </w:r>
      <w:r w:rsidRPr="00461AD9">
        <w:rPr>
          <w:rFonts w:ascii="Cambria" w:hAnsi="Cambria"/>
        </w:rPr>
        <w:t>International Manual of Planning Practice</w:t>
      </w:r>
      <w:r w:rsidRPr="001F1C8F">
        <w:rPr>
          <w:rFonts w:ascii="Cambria" w:hAnsi="Cambria"/>
        </w:rPr>
        <w:t>, The Hague</w:t>
      </w:r>
      <w:r>
        <w:rPr>
          <w:rFonts w:ascii="Cambria" w:hAnsi="Cambria"/>
        </w:rPr>
        <w:t>:</w:t>
      </w:r>
      <w:r w:rsidRPr="001F1C8F">
        <w:rPr>
          <w:rFonts w:ascii="Cambria" w:hAnsi="Cambria"/>
        </w:rPr>
        <w:t xml:space="preserve"> </w:t>
      </w:r>
      <w:r>
        <w:rPr>
          <w:rFonts w:ascii="Cambria" w:hAnsi="Cambria"/>
        </w:rPr>
        <w:t>ISOCARPI</w:t>
      </w:r>
      <w:r w:rsidRPr="001F1C8F">
        <w:rPr>
          <w:rFonts w:ascii="Cambria" w:hAnsi="Cambria"/>
        </w:rPr>
        <w:t>.</w:t>
      </w:r>
    </w:p>
    <w:p w:rsidR="00392C82" w:rsidRDefault="00392C82" w:rsidP="00392C82">
      <w:pPr>
        <w:spacing w:after="200"/>
        <w:rPr>
          <w:rFonts w:ascii="Cambria" w:hAnsi="Cambria"/>
        </w:rPr>
      </w:pPr>
      <w:r w:rsidRPr="001F1C8F">
        <w:rPr>
          <w:rFonts w:ascii="Cambria" w:hAnsi="Cambria"/>
        </w:rPr>
        <w:t xml:space="preserve">Sandford, M. (2013), </w:t>
      </w:r>
      <w:r w:rsidRPr="00F02648">
        <w:rPr>
          <w:rFonts w:ascii="Cambria" w:hAnsi="Cambria"/>
          <w:i/>
        </w:rPr>
        <w:t>Tax increment financing</w:t>
      </w:r>
      <w:r w:rsidRPr="001F1C8F">
        <w:rPr>
          <w:rFonts w:ascii="Cambria" w:hAnsi="Cambria"/>
        </w:rPr>
        <w:t>, House of Commons Library.</w:t>
      </w:r>
    </w:p>
    <w:p w:rsidR="00392C82" w:rsidRDefault="00392C82" w:rsidP="00392C82">
      <w:pPr>
        <w:spacing w:after="200"/>
        <w:ind w:left="720" w:hanging="720"/>
        <w:rPr>
          <w:rFonts w:ascii="Cambria" w:hAnsi="Cambria"/>
        </w:rPr>
      </w:pPr>
      <w:r w:rsidRPr="001F1C8F">
        <w:rPr>
          <w:rFonts w:ascii="Cambria" w:hAnsi="Cambria"/>
        </w:rPr>
        <w:t xml:space="preserve">Sandor, E., Scott, S. and Benn, J. (2009), </w:t>
      </w:r>
      <w:r w:rsidRPr="00F02648">
        <w:rPr>
          <w:rFonts w:ascii="Cambria" w:hAnsi="Cambria"/>
          <w:i/>
        </w:rPr>
        <w:t>Innovative Financing to Fund Development: Progress and Prospects</w:t>
      </w:r>
      <w:r w:rsidRPr="001F1C8F">
        <w:rPr>
          <w:rFonts w:ascii="Cambria" w:hAnsi="Cambria"/>
        </w:rPr>
        <w:t xml:space="preserve"> [online], OECD Publications, </w:t>
      </w:r>
      <w:r>
        <w:rPr>
          <w:rFonts w:ascii="Cambria" w:hAnsi="Cambria"/>
        </w:rPr>
        <w:t>A</w:t>
      </w:r>
      <w:r w:rsidRPr="001F1C8F">
        <w:rPr>
          <w:rFonts w:ascii="Cambria" w:hAnsi="Cambria"/>
        </w:rPr>
        <w:t>vailable</w:t>
      </w:r>
      <w:r>
        <w:rPr>
          <w:rFonts w:ascii="Cambria" w:hAnsi="Cambria"/>
        </w:rPr>
        <w:t xml:space="preserve"> from:</w:t>
      </w:r>
      <w:r w:rsidRPr="001F1C8F">
        <w:rPr>
          <w:rFonts w:ascii="Cambria" w:hAnsi="Cambria"/>
        </w:rPr>
        <w:t xml:space="preserve"> </w:t>
      </w:r>
      <w:hyperlink r:id="rId18" w:history="1">
        <w:r w:rsidRPr="001F1C8F">
          <w:t>http://www.oecd.org/dac/effectiveness/44087344.pdf</w:t>
        </w:r>
      </w:hyperlink>
      <w:r w:rsidRPr="001F1C8F">
        <w:rPr>
          <w:rFonts w:ascii="Cambria" w:hAnsi="Cambria"/>
        </w:rPr>
        <w:t xml:space="preserve"> [accessed </w:t>
      </w:r>
      <w:r w:rsidR="00DB76C6">
        <w:rPr>
          <w:rFonts w:ascii="Cambria" w:hAnsi="Cambria"/>
        </w:rPr>
        <w:t>January 2016</w:t>
      </w:r>
      <w:r w:rsidRPr="001F1C8F">
        <w:rPr>
          <w:rFonts w:ascii="Cambria" w:hAnsi="Cambria"/>
        </w:rPr>
        <w:t>]</w:t>
      </w:r>
      <w:r>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Scharenberg, A. and Bader, I. (2009). Berlin’s waterfront site struggle</w:t>
      </w:r>
      <w:r>
        <w:rPr>
          <w:rFonts w:ascii="Cambria" w:hAnsi="Cambria"/>
        </w:rPr>
        <w:t>,</w:t>
      </w:r>
      <w:r w:rsidRPr="001F1C8F">
        <w:rPr>
          <w:rFonts w:ascii="Cambria" w:hAnsi="Cambria"/>
        </w:rPr>
        <w:t xml:space="preserve"> </w:t>
      </w:r>
      <w:r w:rsidRPr="00F02648">
        <w:rPr>
          <w:rFonts w:ascii="Cambria" w:hAnsi="Cambria"/>
          <w:i/>
        </w:rPr>
        <w:t>City</w:t>
      </w:r>
      <w:r w:rsidRPr="001F1C8F">
        <w:rPr>
          <w:rFonts w:ascii="Cambria" w:hAnsi="Cambria"/>
        </w:rPr>
        <w:t>, 13</w:t>
      </w:r>
      <w:r>
        <w:rPr>
          <w:rFonts w:ascii="Cambria" w:hAnsi="Cambria"/>
        </w:rPr>
        <w:t xml:space="preserve"> (</w:t>
      </w:r>
      <w:r w:rsidRPr="001F1C8F">
        <w:rPr>
          <w:rFonts w:ascii="Cambria" w:hAnsi="Cambria"/>
        </w:rPr>
        <w:t>2-3</w:t>
      </w:r>
      <w:r>
        <w:rPr>
          <w:rFonts w:ascii="Cambria" w:hAnsi="Cambria"/>
        </w:rPr>
        <w:t>)</w:t>
      </w:r>
      <w:r w:rsidRPr="001F1C8F">
        <w:rPr>
          <w:rFonts w:ascii="Cambria" w:hAnsi="Cambria"/>
        </w:rPr>
        <w:t>, 325-335</w:t>
      </w:r>
      <w:r>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 xml:space="preserve">Scottish Futures Trust (2011), </w:t>
      </w:r>
      <w:r w:rsidRPr="00F02648">
        <w:rPr>
          <w:rFonts w:ascii="Cambria" w:hAnsi="Cambria"/>
          <w:i/>
        </w:rPr>
        <w:t>NPD Model Explanatory Note</w:t>
      </w:r>
      <w:r w:rsidRPr="001F1C8F">
        <w:rPr>
          <w:rFonts w:ascii="Cambria" w:hAnsi="Cambria"/>
        </w:rPr>
        <w:t>, Scottish Futures Trust.</w:t>
      </w:r>
    </w:p>
    <w:p w:rsidR="00392C82" w:rsidRDefault="00392C82" w:rsidP="00392C82">
      <w:pPr>
        <w:spacing w:after="200"/>
        <w:ind w:left="720" w:hanging="720"/>
        <w:rPr>
          <w:rFonts w:ascii="Cambria" w:hAnsi="Cambria"/>
        </w:rPr>
      </w:pPr>
      <w:r w:rsidRPr="001F1C8F">
        <w:rPr>
          <w:rFonts w:ascii="Cambria" w:hAnsi="Cambria"/>
        </w:rPr>
        <w:t xml:space="preserve">Scottish Futures Trust (2013), </w:t>
      </w:r>
      <w:r w:rsidRPr="00F02648">
        <w:rPr>
          <w:rFonts w:ascii="Cambria" w:hAnsi="Cambria"/>
          <w:i/>
        </w:rPr>
        <w:t>Revenue Funded Infrastructure Investment in Scotland</w:t>
      </w:r>
      <w:r w:rsidRPr="001F1C8F">
        <w:rPr>
          <w:rFonts w:ascii="Cambria" w:hAnsi="Cambria"/>
        </w:rPr>
        <w:t>, Scottish Futures Trust.</w:t>
      </w:r>
    </w:p>
    <w:p w:rsidR="00392C82" w:rsidRDefault="00392C82" w:rsidP="00392C82">
      <w:pPr>
        <w:spacing w:after="200"/>
        <w:ind w:left="720" w:hanging="720"/>
        <w:rPr>
          <w:rFonts w:ascii="Cambria" w:hAnsi="Cambria"/>
        </w:rPr>
      </w:pPr>
      <w:r w:rsidRPr="001F1C8F">
        <w:rPr>
          <w:rFonts w:ascii="Cambria" w:hAnsi="Cambria"/>
        </w:rPr>
        <w:t>Siemens, PriceWaterhouseCoopers and Berwin Leighton Paisner (2014), Good growth for cities, PriceWaterhouseCoopers.</w:t>
      </w:r>
    </w:p>
    <w:p w:rsidR="00392C82" w:rsidRDefault="00392C82" w:rsidP="00392C82">
      <w:pPr>
        <w:spacing w:after="200"/>
        <w:ind w:left="720" w:hanging="720"/>
        <w:rPr>
          <w:rFonts w:ascii="Cambria" w:hAnsi="Cambria"/>
        </w:rPr>
      </w:pPr>
      <w:r w:rsidRPr="001F1C8F">
        <w:rPr>
          <w:rFonts w:ascii="Cambria" w:hAnsi="Cambria"/>
        </w:rPr>
        <w:t xml:space="preserve">Singhala, S. McGreal, S.  Berry, J. (2013) An evaluative model for city competitiveness: Application to UK cities, </w:t>
      </w:r>
      <w:r w:rsidRPr="00F02648">
        <w:rPr>
          <w:rFonts w:ascii="Cambria" w:hAnsi="Cambria"/>
          <w:i/>
        </w:rPr>
        <w:t>Land Use Policy</w:t>
      </w:r>
      <w:r w:rsidRPr="001F1C8F">
        <w:rPr>
          <w:rFonts w:ascii="Cambria" w:hAnsi="Cambria"/>
        </w:rPr>
        <w:t>, 30</w:t>
      </w:r>
      <w:r>
        <w:rPr>
          <w:rFonts w:ascii="Cambria" w:hAnsi="Cambria"/>
        </w:rPr>
        <w:t xml:space="preserve"> (1),</w:t>
      </w:r>
      <w:r w:rsidRPr="001F1C8F">
        <w:rPr>
          <w:rFonts w:ascii="Cambria" w:hAnsi="Cambria"/>
        </w:rPr>
        <w:t xml:space="preserve"> 214–222</w:t>
      </w:r>
      <w:r>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 xml:space="preserve">Spence, J., Smith, J. and Dardier, P. (2012), </w:t>
      </w:r>
      <w:r w:rsidRPr="00F02648">
        <w:rPr>
          <w:rFonts w:ascii="Cambria" w:hAnsi="Cambria"/>
          <w:i/>
        </w:rPr>
        <w:t>Overview of financial instruments used in the EU multiannual financial framework period 2007 – 2013 and the Commission’s proposals for 2014 – 2020: Analytical Study</w:t>
      </w:r>
      <w:r>
        <w:rPr>
          <w:rFonts w:ascii="Cambria" w:hAnsi="Cambria"/>
        </w:rPr>
        <w:t>, Brussels: European Parliament,</w:t>
      </w:r>
      <w:r w:rsidRPr="001F1C8F">
        <w:rPr>
          <w:rFonts w:ascii="Cambria" w:hAnsi="Cambria"/>
        </w:rPr>
        <w:t xml:space="preserve"> [online] </w:t>
      </w:r>
      <w:r>
        <w:rPr>
          <w:rFonts w:ascii="Cambria" w:hAnsi="Cambria"/>
        </w:rPr>
        <w:t>A</w:t>
      </w:r>
      <w:r w:rsidRPr="001F1C8F">
        <w:rPr>
          <w:rFonts w:ascii="Cambria" w:hAnsi="Cambria"/>
        </w:rPr>
        <w:t xml:space="preserve">vailable </w:t>
      </w:r>
      <w:r>
        <w:rPr>
          <w:rFonts w:ascii="Cambria" w:hAnsi="Cambria"/>
        </w:rPr>
        <w:t xml:space="preserve">from: </w:t>
      </w:r>
      <w:r w:rsidRPr="001F1C8F">
        <w:rPr>
          <w:rFonts w:ascii="Cambria" w:hAnsi="Cambria"/>
        </w:rPr>
        <w:t xml:space="preserve">http://www.europarl.europa.eu/studies [accessed </w:t>
      </w:r>
      <w:r w:rsidR="00DB76C6">
        <w:rPr>
          <w:rFonts w:ascii="Cambria" w:hAnsi="Cambria"/>
        </w:rPr>
        <w:t>January 2016</w:t>
      </w:r>
      <w:r w:rsidRPr="001F1C8F">
        <w:rPr>
          <w:rFonts w:ascii="Cambria" w:hAnsi="Cambria"/>
        </w:rPr>
        <w:t>]</w:t>
      </w:r>
      <w:r>
        <w:rPr>
          <w:rFonts w:ascii="Cambria" w:hAnsi="Cambria"/>
        </w:rPr>
        <w:t>.</w:t>
      </w:r>
    </w:p>
    <w:p w:rsidR="009F4F90" w:rsidRDefault="00392C82" w:rsidP="00392C82">
      <w:pPr>
        <w:spacing w:after="200"/>
        <w:ind w:left="720" w:hanging="720"/>
        <w:rPr>
          <w:rFonts w:ascii="Cambria" w:hAnsi="Cambria"/>
        </w:rPr>
      </w:pPr>
      <w:r w:rsidRPr="001F1C8F">
        <w:rPr>
          <w:rFonts w:ascii="Cambria" w:hAnsi="Cambria"/>
        </w:rPr>
        <w:t xml:space="preserve">Squires, G. (2012). A Review of Tax Increment Financing (TIF) for Regeneration and Renewal, </w:t>
      </w:r>
      <w:r w:rsidRPr="00F02648">
        <w:rPr>
          <w:rFonts w:ascii="Cambria" w:hAnsi="Cambria"/>
          <w:i/>
        </w:rPr>
        <w:t>Journal of Urban Regeneration and Renewal</w:t>
      </w:r>
      <w:r w:rsidRPr="001F1C8F">
        <w:rPr>
          <w:rFonts w:ascii="Cambria" w:hAnsi="Cambria"/>
        </w:rPr>
        <w:t>, 5</w:t>
      </w:r>
      <w:r>
        <w:rPr>
          <w:rFonts w:ascii="Cambria" w:hAnsi="Cambria"/>
        </w:rPr>
        <w:t xml:space="preserve"> (</w:t>
      </w:r>
      <w:r w:rsidRPr="001F1C8F">
        <w:rPr>
          <w:rFonts w:ascii="Cambria" w:hAnsi="Cambria"/>
        </w:rPr>
        <w:t>4</w:t>
      </w:r>
      <w:r>
        <w:rPr>
          <w:rFonts w:ascii="Cambria" w:hAnsi="Cambria"/>
        </w:rPr>
        <w:t>)</w:t>
      </w:r>
      <w:r w:rsidRPr="001F1C8F">
        <w:rPr>
          <w:rFonts w:ascii="Cambria" w:hAnsi="Cambria"/>
        </w:rPr>
        <w:t>, 356–366.</w:t>
      </w:r>
    </w:p>
    <w:p w:rsidR="00392C82" w:rsidRDefault="009F4F90" w:rsidP="00392C82">
      <w:pPr>
        <w:spacing w:after="200"/>
        <w:ind w:left="720" w:hanging="720"/>
        <w:rPr>
          <w:rFonts w:ascii="Cambria" w:hAnsi="Cambria"/>
        </w:rPr>
      </w:pPr>
      <w:r w:rsidRPr="009F4F90">
        <w:rPr>
          <w:rFonts w:ascii="Cambria" w:hAnsi="Cambria"/>
        </w:rPr>
        <w:t>Squires, G. (2013</w:t>
      </w:r>
      <w:r>
        <w:rPr>
          <w:rFonts w:ascii="Cambria" w:hAnsi="Cambria"/>
        </w:rPr>
        <w:t>a</w:t>
      </w:r>
      <w:r w:rsidRPr="009F4F90">
        <w:rPr>
          <w:rFonts w:ascii="Cambria" w:hAnsi="Cambria"/>
        </w:rPr>
        <w:t>). Urban and Environmental Economics. Routledge.</w:t>
      </w:r>
    </w:p>
    <w:p w:rsidR="00392C82" w:rsidRDefault="00392C82" w:rsidP="00392C82">
      <w:pPr>
        <w:spacing w:after="200"/>
        <w:ind w:left="720" w:hanging="720"/>
        <w:rPr>
          <w:rFonts w:ascii="Cambria" w:hAnsi="Cambria"/>
        </w:rPr>
      </w:pPr>
      <w:r w:rsidRPr="001F1C8F">
        <w:rPr>
          <w:rFonts w:ascii="Cambria" w:hAnsi="Cambria"/>
        </w:rPr>
        <w:t>Squires, G. and Hall, S. (2013</w:t>
      </w:r>
      <w:r w:rsidR="009F4F90">
        <w:rPr>
          <w:rFonts w:ascii="Cambria" w:hAnsi="Cambria"/>
        </w:rPr>
        <w:t>b</w:t>
      </w:r>
      <w:r w:rsidRPr="001F1C8F">
        <w:rPr>
          <w:rFonts w:ascii="Cambria" w:hAnsi="Cambria"/>
        </w:rPr>
        <w:t>). ‘Lesson (Un)Learning in Spatially Targeted Fiscal Incentive Policy: Enterprise Zones (England) and Empowerment Zones (US)</w:t>
      </w:r>
      <w:r>
        <w:rPr>
          <w:rFonts w:ascii="Cambria" w:hAnsi="Cambria"/>
        </w:rPr>
        <w:t>,</w:t>
      </w:r>
      <w:r w:rsidRPr="001F1C8F">
        <w:rPr>
          <w:rFonts w:ascii="Cambria" w:hAnsi="Cambria"/>
        </w:rPr>
        <w:t xml:space="preserve"> </w:t>
      </w:r>
      <w:r w:rsidRPr="00F02648">
        <w:rPr>
          <w:rFonts w:ascii="Cambria" w:hAnsi="Cambria"/>
          <w:i/>
        </w:rPr>
        <w:t>Land Use Policy</w:t>
      </w:r>
      <w:r w:rsidRPr="001F1C8F">
        <w:rPr>
          <w:rFonts w:ascii="Cambria" w:hAnsi="Cambria"/>
        </w:rPr>
        <w:t>, 33</w:t>
      </w:r>
      <w:r>
        <w:rPr>
          <w:rFonts w:ascii="Cambria" w:hAnsi="Cambria"/>
        </w:rPr>
        <w:t>,</w:t>
      </w:r>
      <w:r w:rsidRPr="001F1C8F">
        <w:rPr>
          <w:rFonts w:ascii="Cambria" w:hAnsi="Cambria"/>
        </w:rPr>
        <w:t xml:space="preserve"> 81-89</w:t>
      </w:r>
      <w:r>
        <w:rPr>
          <w:rFonts w:ascii="Cambria" w:hAnsi="Cambria"/>
        </w:rPr>
        <w:t>.</w:t>
      </w:r>
    </w:p>
    <w:p w:rsidR="00392C82" w:rsidRDefault="00392C82" w:rsidP="00392C82">
      <w:pPr>
        <w:spacing w:after="200"/>
        <w:ind w:left="720" w:hanging="720"/>
        <w:rPr>
          <w:rFonts w:ascii="Cambria" w:hAnsi="Cambria"/>
        </w:rPr>
      </w:pPr>
      <w:r w:rsidRPr="00823BD8">
        <w:rPr>
          <w:rFonts w:ascii="Cambria" w:hAnsi="Cambria"/>
        </w:rPr>
        <w:t xml:space="preserve">Squires, G. and Hutchison, N.  (2014). ‘The life and death of Tax Increment Financing (TIF) for redevelopment: Lessons in affordable housing and implementation’ in </w:t>
      </w:r>
      <w:r w:rsidRPr="00A4217B">
        <w:rPr>
          <w:rFonts w:ascii="Cambria" w:hAnsi="Cambria"/>
          <w:i/>
        </w:rPr>
        <w:t>Journal of Property Management</w:t>
      </w:r>
      <w:r w:rsidRPr="00823BD8">
        <w:rPr>
          <w:rFonts w:ascii="Cambria" w:hAnsi="Cambria"/>
        </w:rPr>
        <w:t>, Vol. 32, No. 5, pp. 368 – 377</w:t>
      </w:r>
    </w:p>
    <w:p w:rsidR="00961074" w:rsidRDefault="00392C82" w:rsidP="00392C82">
      <w:pPr>
        <w:spacing w:after="200"/>
        <w:ind w:left="720" w:hanging="720"/>
        <w:rPr>
          <w:rFonts w:ascii="Cambria" w:hAnsi="Cambria"/>
        </w:rPr>
      </w:pPr>
      <w:r w:rsidRPr="001F1C8F">
        <w:rPr>
          <w:rFonts w:ascii="Cambria" w:hAnsi="Cambria"/>
        </w:rPr>
        <w:t xml:space="preserve">Squires, G. and Heurkens, E., (2015) </w:t>
      </w:r>
      <w:r w:rsidRPr="00F02648">
        <w:rPr>
          <w:rFonts w:ascii="Cambria" w:hAnsi="Cambria"/>
          <w:i/>
        </w:rPr>
        <w:t>International Approaches to Real Estate Development</w:t>
      </w:r>
      <w:r w:rsidRPr="001F1C8F">
        <w:rPr>
          <w:rFonts w:ascii="Cambria" w:hAnsi="Cambria"/>
        </w:rPr>
        <w:t xml:space="preserve">. </w:t>
      </w:r>
      <w:r>
        <w:rPr>
          <w:rFonts w:ascii="Cambria" w:hAnsi="Cambria"/>
        </w:rPr>
        <w:t xml:space="preserve">London: </w:t>
      </w:r>
      <w:r w:rsidRPr="001F1C8F">
        <w:rPr>
          <w:rFonts w:ascii="Cambria" w:hAnsi="Cambria"/>
        </w:rPr>
        <w:t>Routledge.</w:t>
      </w:r>
    </w:p>
    <w:p w:rsidR="00392C82" w:rsidRDefault="00961074" w:rsidP="00392C82">
      <w:pPr>
        <w:spacing w:after="200"/>
        <w:ind w:left="720" w:hanging="720"/>
        <w:rPr>
          <w:rFonts w:ascii="Cambria" w:hAnsi="Cambria"/>
        </w:rPr>
      </w:pPr>
      <w:r w:rsidRPr="00961074">
        <w:rPr>
          <w:rFonts w:ascii="Cambria" w:hAnsi="Cambria"/>
        </w:rPr>
        <w:t>Squires, G. and Heurkens, E. (2016). ‘Methods and Models for International Comparative Approaches to Real Estate Development’ in Land Use Policy, Vol. 50, pp. 573-591</w:t>
      </w:r>
    </w:p>
    <w:p w:rsidR="00BB5E07" w:rsidRDefault="00392C82" w:rsidP="00392C82">
      <w:pPr>
        <w:spacing w:after="200"/>
        <w:ind w:left="720" w:hanging="720"/>
        <w:rPr>
          <w:rFonts w:ascii="Cambria" w:hAnsi="Cambria"/>
        </w:rPr>
      </w:pPr>
      <w:r w:rsidRPr="001F1C8F">
        <w:rPr>
          <w:rFonts w:ascii="Cambria" w:hAnsi="Cambria"/>
        </w:rPr>
        <w:t xml:space="preserve">Squires, G. and Lord, A. (2012) The transfer of Tax Increment Financing (TIF) as an urban policy for spatially targeted economic development initiatives, </w:t>
      </w:r>
      <w:r w:rsidRPr="00F02648">
        <w:rPr>
          <w:rFonts w:ascii="Cambria" w:hAnsi="Cambria"/>
          <w:i/>
        </w:rPr>
        <w:t>Land Use Policy</w:t>
      </w:r>
      <w:r w:rsidRPr="001F1C8F">
        <w:rPr>
          <w:rFonts w:ascii="Cambria" w:hAnsi="Cambria"/>
        </w:rPr>
        <w:t>, 29</w:t>
      </w:r>
      <w:r>
        <w:rPr>
          <w:rFonts w:ascii="Cambria" w:hAnsi="Cambria"/>
        </w:rPr>
        <w:t xml:space="preserve"> (</w:t>
      </w:r>
      <w:r w:rsidRPr="001F1C8F">
        <w:rPr>
          <w:rFonts w:ascii="Cambria" w:hAnsi="Cambria"/>
        </w:rPr>
        <w:t>4</w:t>
      </w:r>
      <w:r>
        <w:rPr>
          <w:rFonts w:ascii="Cambria" w:hAnsi="Cambria"/>
        </w:rPr>
        <w:t>)</w:t>
      </w:r>
      <w:r w:rsidRPr="001F1C8F">
        <w:rPr>
          <w:rFonts w:ascii="Cambria" w:hAnsi="Cambria"/>
        </w:rPr>
        <w:t>, 817-826.</w:t>
      </w:r>
    </w:p>
    <w:p w:rsidR="00392C82" w:rsidRDefault="00BB5E07" w:rsidP="00392C82">
      <w:pPr>
        <w:spacing w:after="200"/>
        <w:ind w:left="720" w:hanging="720"/>
        <w:rPr>
          <w:rFonts w:ascii="Cambria" w:hAnsi="Cambria"/>
        </w:rPr>
      </w:pPr>
      <w:r w:rsidRPr="00BB5E07">
        <w:rPr>
          <w:rFonts w:ascii="Cambria" w:hAnsi="Cambria"/>
        </w:rPr>
        <w:t>Squires, G. and Moate, J. (2012). ‘Socially Responsible Property Investment (SRPI) in Urban Regeneration: Priorities and Behaviours by Institutional Investors in Practice’ in Journal of Urban Regeneration and Renewal, Vol. 5, No. 2, pp.152-163</w:t>
      </w:r>
    </w:p>
    <w:p w:rsidR="00392C82" w:rsidRDefault="00392C82" w:rsidP="00392C82">
      <w:pPr>
        <w:spacing w:after="200"/>
        <w:ind w:left="720" w:hanging="720"/>
        <w:rPr>
          <w:rFonts w:ascii="Cambria" w:hAnsi="Cambria"/>
        </w:rPr>
      </w:pPr>
      <w:r w:rsidRPr="001F1C8F">
        <w:rPr>
          <w:rFonts w:ascii="Cambria" w:hAnsi="Cambria"/>
        </w:rPr>
        <w:t xml:space="preserve">Starrett, D., A. (1981) Land Value Capitalization in Local Public Finance, </w:t>
      </w:r>
      <w:r w:rsidRPr="00F02648">
        <w:rPr>
          <w:rFonts w:ascii="Cambria" w:hAnsi="Cambria"/>
          <w:i/>
        </w:rPr>
        <w:t>Journal of Political Economy</w:t>
      </w:r>
      <w:r w:rsidRPr="001F1C8F">
        <w:rPr>
          <w:rFonts w:ascii="Cambria" w:hAnsi="Cambria"/>
        </w:rPr>
        <w:t>, 89</w:t>
      </w:r>
      <w:r>
        <w:rPr>
          <w:rFonts w:ascii="Cambria" w:hAnsi="Cambria"/>
        </w:rPr>
        <w:t xml:space="preserve"> (</w:t>
      </w:r>
      <w:r w:rsidRPr="001F1C8F">
        <w:rPr>
          <w:rFonts w:ascii="Cambria" w:hAnsi="Cambria"/>
        </w:rPr>
        <w:t>2</w:t>
      </w:r>
      <w:r>
        <w:rPr>
          <w:rFonts w:ascii="Cambria" w:hAnsi="Cambria"/>
        </w:rPr>
        <w:t>)</w:t>
      </w:r>
      <w:r w:rsidRPr="001F1C8F">
        <w:rPr>
          <w:rFonts w:ascii="Cambria" w:hAnsi="Cambria"/>
        </w:rPr>
        <w:t>,</w:t>
      </w:r>
      <w:r>
        <w:rPr>
          <w:rFonts w:ascii="Cambria" w:hAnsi="Cambria"/>
        </w:rPr>
        <w:t xml:space="preserve"> </w:t>
      </w:r>
      <w:r w:rsidRPr="001F1C8F">
        <w:rPr>
          <w:rFonts w:ascii="Cambria" w:hAnsi="Cambria"/>
        </w:rPr>
        <w:t>306–327</w:t>
      </w:r>
      <w:r>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 xml:space="preserve">Strickland, T. (2013), The financialisation of urban development: Tax Increment Financing in Newcastle upon Tyne, </w:t>
      </w:r>
      <w:r w:rsidRPr="00F02648">
        <w:rPr>
          <w:rFonts w:ascii="Cambria" w:hAnsi="Cambria"/>
          <w:i/>
        </w:rPr>
        <w:t>Local Economy</w:t>
      </w:r>
      <w:r w:rsidRPr="001F1C8F">
        <w:rPr>
          <w:rFonts w:ascii="Cambria" w:hAnsi="Cambria"/>
        </w:rPr>
        <w:t>, 28 (4), 384–398.</w:t>
      </w:r>
    </w:p>
    <w:p w:rsidR="00392C82" w:rsidRDefault="00392C82" w:rsidP="00392C82">
      <w:pPr>
        <w:spacing w:after="200"/>
        <w:ind w:left="720" w:hanging="720"/>
        <w:rPr>
          <w:rFonts w:ascii="Cambria" w:hAnsi="Cambria"/>
        </w:rPr>
      </w:pPr>
      <w:r w:rsidRPr="001F1C8F">
        <w:rPr>
          <w:rFonts w:ascii="Cambria" w:hAnsi="Cambria"/>
        </w:rPr>
        <w:t>Van Hock, M (2008), Regeneration in European Cities: Making Connections – Case Study of Kop van Zuid, Rotterdam (The Netherlands, URBED - Urban and Economic Development Limited)</w:t>
      </w:r>
      <w:r>
        <w:rPr>
          <w:rFonts w:ascii="Cambria" w:hAnsi="Cambria"/>
        </w:rPr>
        <w:t>.</w:t>
      </w:r>
    </w:p>
    <w:p w:rsidR="00392C82" w:rsidRDefault="00392C82" w:rsidP="00392C82">
      <w:pPr>
        <w:spacing w:after="200"/>
        <w:ind w:left="720" w:hanging="720"/>
        <w:rPr>
          <w:rFonts w:ascii="Cambria" w:hAnsi="Cambria"/>
        </w:rPr>
      </w:pPr>
      <w:r w:rsidRPr="001F1C8F">
        <w:rPr>
          <w:rFonts w:ascii="Cambria" w:hAnsi="Cambria"/>
        </w:rPr>
        <w:t>Van der Krabben. E. &amp; Heurkens, E. (2015), Real Estate Development in The Netherlands, Surviving the crisis by searching for ‘smart’ alternative strategies from neighbouring countries, in: Squires &amp; Heurkens, International Approaches to Real Estate Development (chapter 4), London: Routlegde.</w:t>
      </w:r>
    </w:p>
    <w:p w:rsidR="00392C82" w:rsidRDefault="00392C82" w:rsidP="00392C82">
      <w:pPr>
        <w:spacing w:after="200"/>
        <w:ind w:left="720" w:hanging="720"/>
        <w:rPr>
          <w:rFonts w:ascii="Cambria" w:hAnsi="Cambria"/>
        </w:rPr>
      </w:pPr>
      <w:r w:rsidRPr="001F1C8F">
        <w:rPr>
          <w:rFonts w:ascii="Cambria" w:hAnsi="Cambria"/>
        </w:rPr>
        <w:t>Van der Krabben, E. &amp; Needham, B. (2008) Land readjustment for value capturing. A new planning tool for urban redevelopment</w:t>
      </w:r>
      <w:r>
        <w:rPr>
          <w:rFonts w:ascii="Cambria" w:hAnsi="Cambria"/>
        </w:rPr>
        <w:t>,</w:t>
      </w:r>
      <w:r w:rsidRPr="001F1C8F">
        <w:rPr>
          <w:rFonts w:ascii="Cambria" w:hAnsi="Cambria"/>
        </w:rPr>
        <w:t xml:space="preserve"> </w:t>
      </w:r>
      <w:r w:rsidRPr="00F02648">
        <w:rPr>
          <w:rFonts w:ascii="Cambria" w:hAnsi="Cambria"/>
          <w:i/>
        </w:rPr>
        <w:t>Town Planning Review</w:t>
      </w:r>
      <w:r w:rsidRPr="001F1C8F">
        <w:rPr>
          <w:rFonts w:ascii="Cambria" w:hAnsi="Cambria"/>
        </w:rPr>
        <w:t>, 79 (6), 651-672.</w:t>
      </w:r>
    </w:p>
    <w:p w:rsidR="00392C82" w:rsidRDefault="00392C82" w:rsidP="00392C82">
      <w:pPr>
        <w:spacing w:after="200"/>
        <w:ind w:left="720" w:hanging="720"/>
        <w:rPr>
          <w:rFonts w:ascii="Cambria" w:hAnsi="Cambria"/>
        </w:rPr>
      </w:pPr>
      <w:r w:rsidRPr="001F1C8F">
        <w:rPr>
          <w:rFonts w:ascii="Cambria" w:hAnsi="Cambria"/>
        </w:rPr>
        <w:t>Van der Kraben, E. (2011) Gebiedsontwikkeling in zorgelijke tijden: Kan de Nederlandse ruimtelijke ordening zichzelf nog wel bedruipen? [Urban development in precarious times: Can Dutch spatial planning still earn a living?] (Inaugural address). Nijmegen: Radboud University.</w:t>
      </w:r>
    </w:p>
    <w:p w:rsidR="00392C82" w:rsidRDefault="00392C82" w:rsidP="00392C82">
      <w:pPr>
        <w:spacing w:after="200"/>
        <w:ind w:left="720" w:hanging="720"/>
        <w:rPr>
          <w:rFonts w:ascii="Cambria" w:hAnsi="Cambria"/>
        </w:rPr>
      </w:pPr>
      <w:r w:rsidRPr="001F1C8F">
        <w:rPr>
          <w:rFonts w:ascii="Cambria" w:hAnsi="Cambria"/>
        </w:rPr>
        <w:t xml:space="preserve">Vermeulen, W. and Rouwendal, J. (2007) </w:t>
      </w:r>
      <w:r w:rsidRPr="00F02648">
        <w:rPr>
          <w:rFonts w:ascii="Cambria" w:hAnsi="Cambria"/>
          <w:i/>
        </w:rPr>
        <w:t>Housing Supply in the Netherlands, CPB Discussion Paper 87</w:t>
      </w:r>
      <w:r w:rsidRPr="001F1C8F">
        <w:rPr>
          <w:rFonts w:ascii="Cambria" w:hAnsi="Cambria"/>
        </w:rPr>
        <w:t>, The Hague</w:t>
      </w:r>
      <w:r>
        <w:rPr>
          <w:rFonts w:ascii="Cambria" w:hAnsi="Cambria"/>
        </w:rPr>
        <w:t>:</w:t>
      </w:r>
      <w:r w:rsidRPr="001F1C8F">
        <w:rPr>
          <w:rFonts w:ascii="Cambria" w:hAnsi="Cambria"/>
        </w:rPr>
        <w:t xml:space="preserve"> CPB Netherlands Bureau for Economic Policy Analysis.</w:t>
      </w:r>
    </w:p>
    <w:p w:rsidR="00392C82" w:rsidRDefault="00392C82" w:rsidP="00392C82">
      <w:pPr>
        <w:spacing w:after="200"/>
        <w:ind w:left="720" w:hanging="720"/>
        <w:rPr>
          <w:rFonts w:ascii="Cambria" w:hAnsi="Cambria"/>
        </w:rPr>
      </w:pPr>
      <w:r w:rsidRPr="001F1C8F">
        <w:rPr>
          <w:rFonts w:ascii="Cambria" w:hAnsi="Cambria"/>
        </w:rPr>
        <w:t xml:space="preserve">Waite, D., Maclennan, D. and O’Sullivan, T. (2013) Emerging city policies: Devolution, deals and disorder, </w:t>
      </w:r>
      <w:r w:rsidRPr="00F02648">
        <w:rPr>
          <w:rFonts w:ascii="Cambria" w:hAnsi="Cambria"/>
          <w:i/>
        </w:rPr>
        <w:t>Local Economy</w:t>
      </w:r>
      <w:r w:rsidRPr="001F1C8F">
        <w:rPr>
          <w:rFonts w:ascii="Cambria" w:hAnsi="Cambria"/>
        </w:rPr>
        <w:t>, 28 (7-8), 770–785.</w:t>
      </w:r>
    </w:p>
    <w:p w:rsidR="00392C82" w:rsidRDefault="00392C82" w:rsidP="00392C82">
      <w:pPr>
        <w:spacing w:after="200"/>
        <w:ind w:left="720" w:hanging="720"/>
        <w:rPr>
          <w:rFonts w:ascii="Cambria" w:hAnsi="Cambria"/>
        </w:rPr>
      </w:pPr>
      <w:r w:rsidRPr="001F1C8F">
        <w:rPr>
          <w:rFonts w:ascii="Cambria" w:hAnsi="Cambria"/>
        </w:rPr>
        <w:t xml:space="preserve">Wall, A. and Connolly, C. (2009) The Private Finance Initiative, </w:t>
      </w:r>
      <w:r w:rsidRPr="00F02648">
        <w:rPr>
          <w:rFonts w:ascii="Cambria" w:hAnsi="Cambria"/>
          <w:i/>
        </w:rPr>
        <w:t xml:space="preserve">Public </w:t>
      </w:r>
      <w:r w:rsidRPr="00461AD9">
        <w:rPr>
          <w:rFonts w:ascii="Cambria" w:hAnsi="Cambria"/>
        </w:rPr>
        <w:t>Management Review</w:t>
      </w:r>
      <w:r w:rsidRPr="001F1C8F">
        <w:rPr>
          <w:rFonts w:ascii="Cambria" w:hAnsi="Cambria"/>
        </w:rPr>
        <w:t>, 11 (5), 707–724.</w:t>
      </w:r>
    </w:p>
    <w:p w:rsidR="00392C82" w:rsidRDefault="00392C82" w:rsidP="00392C82">
      <w:pPr>
        <w:spacing w:after="200"/>
        <w:ind w:left="720" w:hanging="720"/>
        <w:rPr>
          <w:rFonts w:ascii="Cambria" w:hAnsi="Cambria"/>
        </w:rPr>
      </w:pPr>
      <w:r w:rsidRPr="001F1C8F">
        <w:rPr>
          <w:rFonts w:ascii="Cambria" w:hAnsi="Cambria"/>
        </w:rPr>
        <w:t xml:space="preserve">Walters, L. (2012) </w:t>
      </w:r>
      <w:r w:rsidRPr="00DB2A12">
        <w:rPr>
          <w:rFonts w:ascii="Cambria" w:hAnsi="Cambria"/>
        </w:rPr>
        <w:t>Land Value Capture in Policy and Practice</w:t>
      </w:r>
      <w:r w:rsidRPr="001F1C8F">
        <w:rPr>
          <w:rFonts w:ascii="Cambria" w:hAnsi="Cambria"/>
        </w:rPr>
        <w:t>,</w:t>
      </w:r>
      <w:r>
        <w:rPr>
          <w:rFonts w:ascii="Cambria" w:hAnsi="Cambria"/>
        </w:rPr>
        <w:t xml:space="preserve"> in </w:t>
      </w:r>
      <w:r w:rsidRPr="00461AD9">
        <w:rPr>
          <w:rFonts w:ascii="Cambria" w:hAnsi="Cambria"/>
        </w:rPr>
        <w:t>World Bank Conference on Land and Poverty,</w:t>
      </w:r>
      <w:r w:rsidRPr="001F1C8F">
        <w:rPr>
          <w:rFonts w:ascii="Cambria" w:hAnsi="Cambria"/>
        </w:rPr>
        <w:t xml:space="preserve"> </w:t>
      </w:r>
      <w:r>
        <w:rPr>
          <w:rFonts w:ascii="Cambria" w:hAnsi="Cambria"/>
        </w:rPr>
        <w:t xml:space="preserve">Washington D.C., April 2012. </w:t>
      </w:r>
    </w:p>
    <w:p w:rsidR="00392C82" w:rsidRDefault="00392C82" w:rsidP="00392C82">
      <w:pPr>
        <w:spacing w:after="200"/>
        <w:ind w:left="720" w:hanging="720"/>
        <w:rPr>
          <w:rFonts w:ascii="Cambria" w:hAnsi="Cambria"/>
        </w:rPr>
      </w:pPr>
      <w:r w:rsidRPr="001F1C8F">
        <w:rPr>
          <w:rFonts w:ascii="Cambria" w:hAnsi="Cambria"/>
        </w:rPr>
        <w:t xml:space="preserve">Webber, C. (2010) </w:t>
      </w:r>
      <w:r w:rsidRPr="00461AD9">
        <w:rPr>
          <w:rFonts w:ascii="Cambria" w:hAnsi="Cambria"/>
        </w:rPr>
        <w:t>Tax Increment Financing</w:t>
      </w:r>
      <w:r w:rsidRPr="001F1C8F">
        <w:rPr>
          <w:rFonts w:ascii="Cambria" w:hAnsi="Cambria"/>
        </w:rPr>
        <w:t xml:space="preserve">, </w:t>
      </w:r>
      <w:r>
        <w:rPr>
          <w:rFonts w:ascii="Cambria" w:hAnsi="Cambria"/>
        </w:rPr>
        <w:t xml:space="preserve">London: </w:t>
      </w:r>
      <w:r w:rsidRPr="001F1C8F">
        <w:rPr>
          <w:rFonts w:ascii="Cambria" w:hAnsi="Cambria"/>
        </w:rPr>
        <w:t>Centre for Cities.</w:t>
      </w:r>
    </w:p>
    <w:p w:rsidR="00392C82" w:rsidRDefault="00392C82" w:rsidP="00392C82">
      <w:pPr>
        <w:spacing w:after="200"/>
        <w:ind w:left="720" w:hanging="720"/>
        <w:rPr>
          <w:rFonts w:ascii="Cambria" w:hAnsi="Cambria"/>
        </w:rPr>
      </w:pPr>
      <w:r w:rsidRPr="001F1C8F">
        <w:rPr>
          <w:rFonts w:ascii="Cambria" w:hAnsi="Cambria"/>
        </w:rPr>
        <w:t xml:space="preserve">Williams, B. and Boyle, I. (2012), The Role of Property Tax Incentives in Urban Regeneration and Property Market Failure in Dublin, </w:t>
      </w:r>
      <w:r w:rsidRPr="00461AD9">
        <w:rPr>
          <w:rFonts w:ascii="Cambria" w:hAnsi="Cambria"/>
        </w:rPr>
        <w:t>Journal of Property Tax Assessment and Administration</w:t>
      </w:r>
      <w:r w:rsidRPr="001F1C8F">
        <w:rPr>
          <w:rFonts w:ascii="Cambria" w:hAnsi="Cambria"/>
        </w:rPr>
        <w:t xml:space="preserve">, 9 </w:t>
      </w:r>
      <w:r>
        <w:rPr>
          <w:rFonts w:ascii="Cambria" w:hAnsi="Cambria"/>
        </w:rPr>
        <w:t>(</w:t>
      </w:r>
      <w:r w:rsidRPr="001F1C8F">
        <w:rPr>
          <w:rFonts w:ascii="Cambria" w:hAnsi="Cambria"/>
        </w:rPr>
        <w:t>2</w:t>
      </w:r>
      <w:r>
        <w:rPr>
          <w:rFonts w:ascii="Cambria" w:hAnsi="Cambria"/>
        </w:rPr>
        <w:t>)</w:t>
      </w:r>
      <w:r w:rsidRPr="001F1C8F">
        <w:rPr>
          <w:rFonts w:ascii="Cambria" w:hAnsi="Cambria"/>
        </w:rPr>
        <w:t>, 5 – 21.</w:t>
      </w:r>
    </w:p>
    <w:p w:rsidR="00392C82" w:rsidRDefault="00392C82" w:rsidP="00392C82">
      <w:pPr>
        <w:spacing w:after="200"/>
        <w:ind w:left="720" w:hanging="720"/>
        <w:rPr>
          <w:rFonts w:ascii="Cambria" w:hAnsi="Cambria"/>
        </w:rPr>
      </w:pPr>
      <w:r w:rsidRPr="001F1C8F">
        <w:rPr>
          <w:rFonts w:ascii="Cambria" w:hAnsi="Cambria"/>
        </w:rPr>
        <w:t xml:space="preserve">Wyman, J. </w:t>
      </w:r>
      <w:r>
        <w:rPr>
          <w:rFonts w:ascii="Cambria" w:hAnsi="Cambria"/>
        </w:rPr>
        <w:t xml:space="preserve">(2013) </w:t>
      </w:r>
      <w:r w:rsidRPr="00461AD9">
        <w:rPr>
          <w:rFonts w:ascii="Cambria" w:hAnsi="Cambria"/>
        </w:rPr>
        <w:t>Unlocking funding for European Investment and Growth</w:t>
      </w:r>
      <w:r w:rsidRPr="001F1C8F">
        <w:rPr>
          <w:rFonts w:ascii="Cambria" w:hAnsi="Cambria"/>
        </w:rPr>
        <w:t xml:space="preserve">, </w:t>
      </w:r>
      <w:r>
        <w:rPr>
          <w:rFonts w:ascii="Cambria" w:hAnsi="Cambria"/>
        </w:rPr>
        <w:t xml:space="preserve">London: </w:t>
      </w:r>
      <w:r w:rsidRPr="001F1C8F">
        <w:rPr>
          <w:rFonts w:ascii="Cambria" w:hAnsi="Cambria"/>
        </w:rPr>
        <w:t>AFME Finance for Europe</w:t>
      </w:r>
      <w:r>
        <w:rPr>
          <w:rFonts w:ascii="Cambria" w:hAnsi="Cambria"/>
        </w:rPr>
        <w:t>.</w:t>
      </w:r>
    </w:p>
    <w:p w:rsidR="00824246" w:rsidRDefault="00824246" w:rsidP="00824246">
      <w:pPr>
        <w:spacing w:line="360" w:lineRule="auto"/>
        <w:jc w:val="both"/>
        <w:rPr>
          <w:rFonts w:cs="Arial"/>
          <w:b/>
          <w:color w:val="3A3A3B"/>
        </w:rPr>
      </w:pPr>
    </w:p>
    <w:p w:rsidR="00824246" w:rsidRDefault="00824246" w:rsidP="00824246">
      <w:pPr>
        <w:spacing w:line="360" w:lineRule="auto"/>
        <w:jc w:val="both"/>
        <w:rPr>
          <w:rFonts w:cs="Arial"/>
          <w:b/>
          <w:color w:val="3A3A3B"/>
        </w:rPr>
      </w:pPr>
      <w:r>
        <w:rPr>
          <w:rFonts w:cs="Arial"/>
          <w:b/>
          <w:color w:val="3A3A3B"/>
        </w:rPr>
        <w:br w:type="page"/>
      </w:r>
      <w:r w:rsidR="00C235F0">
        <w:rPr>
          <w:rFonts w:cs="Arial"/>
          <w:b/>
          <w:color w:val="3A3A3B"/>
        </w:rPr>
        <w:t>8</w:t>
      </w:r>
      <w:r>
        <w:rPr>
          <w:rFonts w:cs="Arial"/>
          <w:b/>
          <w:color w:val="3A3A3B"/>
        </w:rPr>
        <w:t>. Acknowledgements</w:t>
      </w:r>
    </w:p>
    <w:p w:rsidR="00824246" w:rsidRDefault="00824246" w:rsidP="00824246">
      <w:pPr>
        <w:spacing w:line="360" w:lineRule="auto"/>
      </w:pPr>
    </w:p>
    <w:p w:rsidR="00944FB8" w:rsidRDefault="00BB48D9" w:rsidP="00BB48D9">
      <w:pPr>
        <w:spacing w:line="360" w:lineRule="auto"/>
      </w:pPr>
      <w:r>
        <w:t>The authors would like to thank the Royal Institution of Chartered Surveyors (RICS) for their financial support of the project and the numerous respondents who gave so freely of their time.</w:t>
      </w:r>
    </w:p>
    <w:p w:rsidR="00944FB8" w:rsidRDefault="00944FB8" w:rsidP="00BB48D9">
      <w:pPr>
        <w:spacing w:line="360" w:lineRule="auto"/>
      </w:pPr>
    </w:p>
    <w:p w:rsidR="00944FB8" w:rsidRDefault="00944FB8" w:rsidP="00BB48D9">
      <w:pPr>
        <w:spacing w:line="360" w:lineRule="auto"/>
        <w:rPr>
          <w:b/>
        </w:rPr>
      </w:pPr>
      <w:r w:rsidRPr="00944FB8">
        <w:rPr>
          <w:b/>
        </w:rPr>
        <w:t xml:space="preserve">9. </w:t>
      </w:r>
      <w:r>
        <w:rPr>
          <w:b/>
        </w:rPr>
        <w:t>Appendices</w:t>
      </w:r>
    </w:p>
    <w:p w:rsidR="00944FB8" w:rsidRDefault="00944FB8" w:rsidP="00BB48D9">
      <w:pPr>
        <w:spacing w:line="360" w:lineRule="auto"/>
        <w:rPr>
          <w:b/>
        </w:rPr>
      </w:pPr>
    </w:p>
    <w:p w:rsidR="00944FB8" w:rsidRDefault="00944FB8" w:rsidP="00BB48D9">
      <w:pPr>
        <w:spacing w:line="360" w:lineRule="auto"/>
        <w:rPr>
          <w:b/>
        </w:rPr>
      </w:pPr>
      <w:r w:rsidRPr="00944FB8">
        <w:rPr>
          <w:b/>
        </w:rPr>
        <w:t>Appendix 1</w:t>
      </w:r>
      <w:r>
        <w:rPr>
          <w:b/>
        </w:rPr>
        <w:t>: Institution Contributions</w:t>
      </w:r>
    </w:p>
    <w:p w:rsidR="00944FB8" w:rsidRDefault="00944FB8" w:rsidP="00BB48D9">
      <w:pPr>
        <w:spacing w:line="360" w:lineRule="auto"/>
        <w:rPr>
          <w:b/>
        </w:rPr>
      </w:pPr>
    </w:p>
    <w:tbl>
      <w:tblPr>
        <w:tblStyle w:val="TableGrid"/>
        <w:tblW w:w="0" w:type="auto"/>
        <w:tblLook w:val="00BF"/>
      </w:tblPr>
      <w:tblGrid>
        <w:gridCol w:w="8516"/>
      </w:tblGrid>
      <w:tr w:rsidR="00944FB8">
        <w:tc>
          <w:tcPr>
            <w:tcW w:w="8516" w:type="dxa"/>
          </w:tcPr>
          <w:p w:rsidR="00944FB8" w:rsidRPr="00944FB8" w:rsidRDefault="00944FB8" w:rsidP="00944FB8">
            <w:pPr>
              <w:spacing w:line="360" w:lineRule="auto"/>
              <w:jc w:val="both"/>
            </w:pPr>
            <w:r>
              <w:t>RICS UK</w:t>
            </w:r>
          </w:p>
        </w:tc>
      </w:tr>
      <w:tr w:rsidR="00944FB8">
        <w:tc>
          <w:tcPr>
            <w:tcW w:w="8516" w:type="dxa"/>
          </w:tcPr>
          <w:p w:rsidR="00944FB8" w:rsidRDefault="00944FB8" w:rsidP="00BB48D9">
            <w:pPr>
              <w:spacing w:line="360" w:lineRule="auto"/>
              <w:rPr>
                <w:b/>
              </w:rPr>
            </w:pPr>
            <w:r>
              <w:t>RICS Brussels</w:t>
            </w:r>
          </w:p>
        </w:tc>
      </w:tr>
      <w:tr w:rsidR="00944FB8">
        <w:tc>
          <w:tcPr>
            <w:tcW w:w="8516" w:type="dxa"/>
          </w:tcPr>
          <w:p w:rsidR="00944FB8" w:rsidRDefault="00944FB8" w:rsidP="00BB48D9">
            <w:pPr>
              <w:spacing w:line="360" w:lineRule="auto"/>
              <w:rPr>
                <w:b/>
              </w:rPr>
            </w:pPr>
            <w:r>
              <w:t>Composition Capital Partners</w:t>
            </w:r>
          </w:p>
        </w:tc>
      </w:tr>
      <w:tr w:rsidR="00944FB8">
        <w:tc>
          <w:tcPr>
            <w:tcW w:w="8516" w:type="dxa"/>
          </w:tcPr>
          <w:p w:rsidR="00944FB8" w:rsidRDefault="00944FB8" w:rsidP="00BB48D9">
            <w:pPr>
              <w:spacing w:line="360" w:lineRule="auto"/>
              <w:rPr>
                <w:b/>
              </w:rPr>
            </w:pPr>
            <w:r>
              <w:t>Buildings Performance Institute Europe (BPIE)</w:t>
            </w:r>
          </w:p>
        </w:tc>
      </w:tr>
      <w:tr w:rsidR="00944FB8">
        <w:tc>
          <w:tcPr>
            <w:tcW w:w="8516" w:type="dxa"/>
          </w:tcPr>
          <w:p w:rsidR="00944FB8" w:rsidRDefault="00944FB8" w:rsidP="00BB48D9">
            <w:pPr>
              <w:spacing w:line="360" w:lineRule="auto"/>
              <w:rPr>
                <w:b/>
              </w:rPr>
            </w:pPr>
            <w:r>
              <w:t>Consilia Capital</w:t>
            </w:r>
          </w:p>
        </w:tc>
      </w:tr>
      <w:tr w:rsidR="00944FB8">
        <w:tc>
          <w:tcPr>
            <w:tcW w:w="8516" w:type="dxa"/>
          </w:tcPr>
          <w:p w:rsidR="00944FB8" w:rsidRDefault="00944FB8" w:rsidP="00BB48D9">
            <w:pPr>
              <w:spacing w:line="360" w:lineRule="auto"/>
              <w:rPr>
                <w:b/>
              </w:rPr>
            </w:pPr>
            <w:r>
              <w:t>AEDES Dutch Association of Social Housing Organisations</w:t>
            </w:r>
          </w:p>
        </w:tc>
      </w:tr>
      <w:tr w:rsidR="00944FB8">
        <w:tc>
          <w:tcPr>
            <w:tcW w:w="8516" w:type="dxa"/>
          </w:tcPr>
          <w:p w:rsidR="00944FB8" w:rsidRDefault="00944FB8" w:rsidP="00BB48D9">
            <w:pPr>
              <w:spacing w:line="360" w:lineRule="auto"/>
              <w:rPr>
                <w:b/>
              </w:rPr>
            </w:pPr>
            <w:r>
              <w:t>CECODHAS Housing Europe</w:t>
            </w:r>
          </w:p>
        </w:tc>
      </w:tr>
      <w:tr w:rsidR="00944FB8">
        <w:tc>
          <w:tcPr>
            <w:tcW w:w="8516" w:type="dxa"/>
          </w:tcPr>
          <w:p w:rsidR="00944FB8" w:rsidRDefault="00944FB8" w:rsidP="00BB48D9">
            <w:pPr>
              <w:spacing w:line="360" w:lineRule="auto"/>
              <w:rPr>
                <w:b/>
              </w:rPr>
            </w:pPr>
            <w:r>
              <w:t>Battersea Power Station Development Company Ltd</w:t>
            </w:r>
          </w:p>
        </w:tc>
      </w:tr>
      <w:tr w:rsidR="00944FB8">
        <w:tc>
          <w:tcPr>
            <w:tcW w:w="8516" w:type="dxa"/>
          </w:tcPr>
          <w:p w:rsidR="00944FB8" w:rsidRDefault="00944FB8" w:rsidP="00BB48D9">
            <w:pPr>
              <w:spacing w:line="360" w:lineRule="auto"/>
              <w:rPr>
                <w:b/>
              </w:rPr>
            </w:pPr>
            <w:r>
              <w:t>The Commercial Real Estate Finance Council Europe (CREFC Europe)</w:t>
            </w:r>
          </w:p>
        </w:tc>
      </w:tr>
      <w:tr w:rsidR="00944FB8">
        <w:tc>
          <w:tcPr>
            <w:tcW w:w="8516" w:type="dxa"/>
          </w:tcPr>
          <w:p w:rsidR="00944FB8" w:rsidRDefault="00944FB8" w:rsidP="00BB48D9">
            <w:pPr>
              <w:spacing w:line="360" w:lineRule="auto"/>
              <w:rPr>
                <w:b/>
              </w:rPr>
            </w:pPr>
            <w:r>
              <w:t>Royal Bank of Canada</w:t>
            </w:r>
          </w:p>
        </w:tc>
      </w:tr>
      <w:tr w:rsidR="00944FB8">
        <w:tc>
          <w:tcPr>
            <w:tcW w:w="8516" w:type="dxa"/>
          </w:tcPr>
          <w:p w:rsidR="00944FB8" w:rsidRDefault="00944FB8" w:rsidP="00BB48D9">
            <w:pPr>
              <w:spacing w:line="360" w:lineRule="auto"/>
              <w:rPr>
                <w:b/>
              </w:rPr>
            </w:pPr>
            <w:r>
              <w:t>Fédération de l'Industrie Européenne de la Construction (FIEC)</w:t>
            </w:r>
          </w:p>
        </w:tc>
      </w:tr>
      <w:tr w:rsidR="00944FB8">
        <w:tc>
          <w:tcPr>
            <w:tcW w:w="8516" w:type="dxa"/>
          </w:tcPr>
          <w:p w:rsidR="00944FB8" w:rsidRDefault="00944FB8" w:rsidP="00BB48D9">
            <w:pPr>
              <w:spacing w:line="360" w:lineRule="auto"/>
              <w:rPr>
                <w:b/>
              </w:rPr>
            </w:pPr>
            <w:r>
              <w:t>British Property Federation (BPF)</w:t>
            </w:r>
          </w:p>
        </w:tc>
      </w:tr>
      <w:tr w:rsidR="00944FB8">
        <w:tc>
          <w:tcPr>
            <w:tcW w:w="8516" w:type="dxa"/>
          </w:tcPr>
          <w:p w:rsidR="00944FB8" w:rsidRDefault="00944FB8" w:rsidP="00BB48D9">
            <w:pPr>
              <w:spacing w:line="360" w:lineRule="auto"/>
              <w:rPr>
                <w:b/>
              </w:rPr>
            </w:pPr>
            <w:r>
              <w:t>European Association for Investors in Non-Listed Real Estate Vehicles (INREV)</w:t>
            </w:r>
          </w:p>
        </w:tc>
      </w:tr>
      <w:tr w:rsidR="00944FB8">
        <w:tc>
          <w:tcPr>
            <w:tcW w:w="8516" w:type="dxa"/>
          </w:tcPr>
          <w:p w:rsidR="00944FB8" w:rsidRDefault="00944FB8" w:rsidP="00BB48D9">
            <w:pPr>
              <w:spacing w:line="360" w:lineRule="auto"/>
              <w:rPr>
                <w:b/>
              </w:rPr>
            </w:pPr>
            <w:r>
              <w:t>LaSalle Investment Management</w:t>
            </w:r>
          </w:p>
        </w:tc>
      </w:tr>
      <w:tr w:rsidR="00944FB8">
        <w:tc>
          <w:tcPr>
            <w:tcW w:w="8516" w:type="dxa"/>
          </w:tcPr>
          <w:p w:rsidR="00944FB8" w:rsidRDefault="00944FB8" w:rsidP="00BB48D9">
            <w:pPr>
              <w:spacing w:line="360" w:lineRule="auto"/>
              <w:rPr>
                <w:b/>
              </w:rPr>
            </w:pPr>
            <w:r>
              <w:t>European Investment Bank (EIB)</w:t>
            </w:r>
          </w:p>
        </w:tc>
      </w:tr>
      <w:tr w:rsidR="00944FB8">
        <w:tc>
          <w:tcPr>
            <w:tcW w:w="8516" w:type="dxa"/>
          </w:tcPr>
          <w:p w:rsidR="00944FB8" w:rsidRDefault="00944FB8" w:rsidP="00BB48D9">
            <w:pPr>
              <w:spacing w:line="360" w:lineRule="auto"/>
              <w:rPr>
                <w:b/>
              </w:rPr>
            </w:pPr>
            <w:r>
              <w:t>AMP Capital</w:t>
            </w:r>
          </w:p>
        </w:tc>
      </w:tr>
      <w:tr w:rsidR="00944FB8">
        <w:tc>
          <w:tcPr>
            <w:tcW w:w="8516" w:type="dxa"/>
          </w:tcPr>
          <w:p w:rsidR="00944FB8" w:rsidRDefault="00944FB8" w:rsidP="00BB48D9">
            <w:pPr>
              <w:spacing w:line="360" w:lineRule="auto"/>
              <w:rPr>
                <w:b/>
              </w:rPr>
            </w:pPr>
            <w:r>
              <w:t>Winchester Partners</w:t>
            </w:r>
          </w:p>
        </w:tc>
      </w:tr>
      <w:tr w:rsidR="00944FB8">
        <w:tc>
          <w:tcPr>
            <w:tcW w:w="8516" w:type="dxa"/>
          </w:tcPr>
          <w:p w:rsidR="00944FB8" w:rsidRDefault="00944FB8" w:rsidP="00BB48D9">
            <w:pPr>
              <w:spacing w:line="360" w:lineRule="auto"/>
              <w:rPr>
                <w:b/>
              </w:rPr>
            </w:pPr>
            <w:r>
              <w:t>Leipziger Platz Development Berlin</w:t>
            </w:r>
          </w:p>
        </w:tc>
      </w:tr>
      <w:tr w:rsidR="00944FB8">
        <w:tc>
          <w:tcPr>
            <w:tcW w:w="8516" w:type="dxa"/>
          </w:tcPr>
          <w:p w:rsidR="00944FB8" w:rsidRDefault="00944FB8" w:rsidP="00BB48D9">
            <w:pPr>
              <w:spacing w:line="360" w:lineRule="auto"/>
              <w:rPr>
                <w:b/>
              </w:rPr>
            </w:pPr>
            <w:r>
              <w:t>Malmendier Hellriegel Rechtsanwälte Partnerschaft</w:t>
            </w:r>
          </w:p>
        </w:tc>
      </w:tr>
    </w:tbl>
    <w:p w:rsidR="00944FB8" w:rsidRDefault="00944FB8" w:rsidP="00BB48D9">
      <w:pPr>
        <w:spacing w:line="360" w:lineRule="auto"/>
        <w:rPr>
          <w:b/>
        </w:rPr>
      </w:pPr>
    </w:p>
    <w:p w:rsidR="001D6410" w:rsidRDefault="001D6410" w:rsidP="00BB48D9">
      <w:pPr>
        <w:spacing w:line="360" w:lineRule="auto"/>
        <w:rPr>
          <w:b/>
        </w:rPr>
      </w:pPr>
    </w:p>
    <w:p w:rsidR="001D6410" w:rsidRDefault="001D6410" w:rsidP="00BB48D9">
      <w:pPr>
        <w:spacing w:line="360" w:lineRule="auto"/>
        <w:rPr>
          <w:b/>
        </w:rPr>
      </w:pPr>
    </w:p>
    <w:p w:rsidR="001D6410" w:rsidRPr="001D6410" w:rsidRDefault="001D6410" w:rsidP="001D6410">
      <w:pPr>
        <w:spacing w:line="360" w:lineRule="auto"/>
        <w:rPr>
          <w:b/>
        </w:rPr>
      </w:pPr>
      <w:r>
        <w:rPr>
          <w:b/>
        </w:rPr>
        <w:t>Appendix 2: Interview Questions</w:t>
      </w:r>
    </w:p>
    <w:p w:rsidR="001D6410" w:rsidRDefault="001D6410" w:rsidP="001D6410"/>
    <w:p w:rsidR="00000000" w:rsidRDefault="001D6410">
      <w:pPr>
        <w:pStyle w:val="ListParagraph"/>
        <w:numPr>
          <w:ilvl w:val="0"/>
          <w:numId w:val="1"/>
        </w:numPr>
        <w:spacing w:line="360" w:lineRule="auto"/>
      </w:pPr>
      <w:r>
        <w:t>What is the broad context in time and space of innovative real estate development finance (IREDF) in your country?</w:t>
      </w:r>
    </w:p>
    <w:p w:rsidR="00000000" w:rsidRDefault="001D6410">
      <w:pPr>
        <w:pStyle w:val="ListParagraph"/>
        <w:numPr>
          <w:ilvl w:val="0"/>
          <w:numId w:val="1"/>
        </w:numPr>
        <w:spacing w:line="360" w:lineRule="auto"/>
      </w:pPr>
      <w:r>
        <w:t>What is the broad policy framework for IREDF in your country?</w:t>
      </w:r>
    </w:p>
    <w:p w:rsidR="00000000" w:rsidRDefault="001D6410">
      <w:pPr>
        <w:pStyle w:val="ListParagraph"/>
        <w:numPr>
          <w:ilvl w:val="0"/>
          <w:numId w:val="1"/>
        </w:numPr>
        <w:spacing w:line="360" w:lineRule="auto"/>
      </w:pPr>
      <w:r>
        <w:t>Is there an underlying economic rationale for IREDF (Austerity, added value, external costs, and so forth)</w:t>
      </w:r>
    </w:p>
    <w:p w:rsidR="00000000" w:rsidRDefault="001D6410">
      <w:pPr>
        <w:pStyle w:val="ListParagraph"/>
        <w:numPr>
          <w:ilvl w:val="0"/>
          <w:numId w:val="1"/>
        </w:numPr>
        <w:spacing w:line="360" w:lineRule="auto"/>
      </w:pPr>
      <w:r>
        <w:t>To what extent are land ownership and site designation issues connected to IREDF in your country?</w:t>
      </w:r>
    </w:p>
    <w:p w:rsidR="00000000" w:rsidRDefault="001D6410">
      <w:pPr>
        <w:pStyle w:val="ListParagraph"/>
        <w:numPr>
          <w:ilvl w:val="0"/>
          <w:numId w:val="1"/>
        </w:numPr>
        <w:spacing w:line="360" w:lineRule="auto"/>
      </w:pPr>
      <w:r>
        <w:t>What are the differences in scale in IREDF? Please provide interesting examples/cases.</w:t>
      </w:r>
    </w:p>
    <w:p w:rsidR="00000000" w:rsidRDefault="001D6410">
      <w:pPr>
        <w:pStyle w:val="ListParagraph"/>
        <w:numPr>
          <w:ilvl w:val="0"/>
          <w:numId w:val="1"/>
        </w:numPr>
        <w:spacing w:line="360" w:lineRule="auto"/>
      </w:pPr>
      <w:r>
        <w:t>What role(s) does planning take in IREDF projects?</w:t>
      </w:r>
    </w:p>
    <w:p w:rsidR="00000000" w:rsidRDefault="001D6410">
      <w:pPr>
        <w:pStyle w:val="ListParagraph"/>
        <w:numPr>
          <w:ilvl w:val="0"/>
          <w:numId w:val="1"/>
        </w:numPr>
        <w:spacing w:line="360" w:lineRule="auto"/>
      </w:pPr>
      <w:r>
        <w:t>Are there particular sector preferences in IREDF?</w:t>
      </w:r>
    </w:p>
    <w:p w:rsidR="00000000" w:rsidRDefault="001D6410">
      <w:pPr>
        <w:pStyle w:val="ListParagraph"/>
        <w:numPr>
          <w:ilvl w:val="0"/>
          <w:numId w:val="1"/>
        </w:numPr>
        <w:spacing w:line="360" w:lineRule="auto"/>
      </w:pPr>
      <w:r>
        <w:t>To what extent does project and risk management feature in IREDF? If so, how</w:t>
      </w:r>
      <w:r w:rsidR="00DB76C6">
        <w:t>?</w:t>
      </w:r>
    </w:p>
    <w:p w:rsidR="00000000" w:rsidRDefault="001D6410">
      <w:pPr>
        <w:pStyle w:val="ListParagraph"/>
        <w:numPr>
          <w:ilvl w:val="0"/>
          <w:numId w:val="1"/>
        </w:numPr>
        <w:spacing w:line="360" w:lineRule="auto"/>
      </w:pPr>
      <w:r>
        <w:t>How are schemes evaluated with respect to IREDF ‘success’?</w:t>
      </w:r>
    </w:p>
    <w:p w:rsidR="001D6410" w:rsidRDefault="001D6410" w:rsidP="001D6410">
      <w:pPr>
        <w:pStyle w:val="ListParagraph"/>
        <w:numPr>
          <w:ilvl w:val="0"/>
          <w:numId w:val="1"/>
        </w:numPr>
        <w:spacing w:line="360" w:lineRule="auto"/>
      </w:pPr>
      <w:r>
        <w:t>Is there a potential for repeatability of IREDF in differing projects? Please give examples</w:t>
      </w:r>
    </w:p>
    <w:p w:rsidR="001D6410" w:rsidRDefault="001D6410" w:rsidP="00BB48D9">
      <w:pPr>
        <w:spacing w:line="360" w:lineRule="auto"/>
        <w:rPr>
          <w:b/>
        </w:rPr>
      </w:pPr>
    </w:p>
    <w:p w:rsidR="001D6410" w:rsidRDefault="001D6410" w:rsidP="00BB48D9">
      <w:pPr>
        <w:spacing w:line="360" w:lineRule="auto"/>
        <w:rPr>
          <w:b/>
        </w:rPr>
      </w:pPr>
    </w:p>
    <w:p w:rsidR="001D6410" w:rsidRDefault="001D6410">
      <w:pPr>
        <w:rPr>
          <w:b/>
        </w:rPr>
      </w:pPr>
      <w:r>
        <w:rPr>
          <w:b/>
        </w:rPr>
        <w:br w:type="page"/>
      </w:r>
    </w:p>
    <w:p w:rsidR="001D6410" w:rsidRDefault="001D6410" w:rsidP="001D6410">
      <w:pPr>
        <w:spacing w:line="360" w:lineRule="auto"/>
        <w:rPr>
          <w:b/>
        </w:rPr>
      </w:pPr>
      <w:r>
        <w:rPr>
          <w:b/>
        </w:rPr>
        <w:t xml:space="preserve">Appendix 3: </w:t>
      </w:r>
      <w:r w:rsidRPr="00D3106E">
        <w:rPr>
          <w:b/>
        </w:rPr>
        <w:t>Site Case Study Questions</w:t>
      </w:r>
    </w:p>
    <w:p w:rsidR="001D6410" w:rsidRDefault="001D6410" w:rsidP="001D6410">
      <w:pPr>
        <w:rPr>
          <w:b/>
        </w:rPr>
      </w:pPr>
    </w:p>
    <w:p w:rsidR="001D6410" w:rsidRPr="000C5969" w:rsidRDefault="001D6410" w:rsidP="001D6410">
      <w:pPr>
        <w:rPr>
          <w:b/>
        </w:rPr>
      </w:pPr>
    </w:p>
    <w:p w:rsidR="001D6410" w:rsidRPr="001D6410" w:rsidRDefault="001D6410" w:rsidP="001D6410">
      <w:pPr>
        <w:pStyle w:val="ListParagraph"/>
        <w:numPr>
          <w:ilvl w:val="0"/>
          <w:numId w:val="31"/>
        </w:numPr>
      </w:pPr>
      <w:r w:rsidRPr="001D6410">
        <w:t>Who is involved in the finance model for the site project? Who are the finance partners</w:t>
      </w:r>
      <w:r w:rsidR="00DB76C6">
        <w:t>?</w:t>
      </w:r>
    </w:p>
    <w:p w:rsidR="001D6410" w:rsidRPr="001D6410" w:rsidRDefault="001D6410" w:rsidP="001D6410">
      <w:pPr>
        <w:pStyle w:val="ListParagraph"/>
        <w:numPr>
          <w:ilvl w:val="0"/>
          <w:numId w:val="31"/>
        </w:numPr>
      </w:pPr>
      <w:r w:rsidRPr="001D6410">
        <w:t>What elements are included in the finance model for the site project? For example, are project bonds part of the model?</w:t>
      </w:r>
    </w:p>
    <w:p w:rsidR="001D6410" w:rsidRPr="001D6410" w:rsidRDefault="001D6410" w:rsidP="001D6410">
      <w:pPr>
        <w:pStyle w:val="ListParagraph"/>
        <w:numPr>
          <w:ilvl w:val="0"/>
          <w:numId w:val="31"/>
        </w:numPr>
      </w:pPr>
      <w:r w:rsidRPr="001D6410">
        <w:t>How do all the elements relate to each other in the finance model? (i.e. How does the finance model actually work for the site project?)</w:t>
      </w:r>
    </w:p>
    <w:p w:rsidR="001D6410" w:rsidRPr="001D6410" w:rsidRDefault="001D6410" w:rsidP="001D6410">
      <w:pPr>
        <w:pStyle w:val="ListParagraph"/>
        <w:numPr>
          <w:ilvl w:val="0"/>
          <w:numId w:val="31"/>
        </w:numPr>
      </w:pPr>
      <w:r w:rsidRPr="001D6410">
        <w:t>Does the finance model for your site project depend on a certain scale (financially) and timescale (including aspects of phasing)?</w:t>
      </w:r>
    </w:p>
    <w:p w:rsidR="001D6410" w:rsidRPr="001D6410" w:rsidRDefault="001D6410" w:rsidP="001D6410">
      <w:pPr>
        <w:pStyle w:val="ListParagraph"/>
        <w:numPr>
          <w:ilvl w:val="0"/>
          <w:numId w:val="31"/>
        </w:numPr>
      </w:pPr>
      <w:r w:rsidRPr="001D6410">
        <w:t>Would you say there are innovative or new components in the finance model for your site project? (e.g. changes to debt-equity, project bonding)?</w:t>
      </w:r>
    </w:p>
    <w:p w:rsidR="001D6410" w:rsidRPr="001D6410" w:rsidRDefault="001D6410" w:rsidP="001D6410">
      <w:pPr>
        <w:pStyle w:val="ListParagraph"/>
        <w:numPr>
          <w:ilvl w:val="0"/>
          <w:numId w:val="31"/>
        </w:numPr>
      </w:pPr>
      <w:r w:rsidRPr="001D6410">
        <w:t>How the finance model executed for the differences in development and investment returns? What returns are expected for developers and investors?</w:t>
      </w:r>
    </w:p>
    <w:p w:rsidR="001D6410" w:rsidRPr="001D6410" w:rsidRDefault="001D6410" w:rsidP="001D6410">
      <w:pPr>
        <w:pStyle w:val="ListParagraph"/>
        <w:numPr>
          <w:ilvl w:val="0"/>
          <w:numId w:val="31"/>
        </w:numPr>
      </w:pPr>
      <w:r w:rsidRPr="001D6410">
        <w:t>What is the exit strategy for developer and investors in the site project? How long are developers intending to hold on to the asset?</w:t>
      </w:r>
    </w:p>
    <w:p w:rsidR="001D6410" w:rsidRPr="001D6410" w:rsidRDefault="001D6410" w:rsidP="001D6410">
      <w:pPr>
        <w:pStyle w:val="ListParagraph"/>
        <w:numPr>
          <w:ilvl w:val="0"/>
          <w:numId w:val="31"/>
        </w:numPr>
      </w:pPr>
      <w:r w:rsidRPr="001D6410">
        <w:t>How does the site project asset class mix affect the finance mix of the model?</w:t>
      </w:r>
    </w:p>
    <w:p w:rsidR="001D6410" w:rsidRPr="001D6410" w:rsidRDefault="001D6410" w:rsidP="001D6410">
      <w:pPr>
        <w:pStyle w:val="ListParagraph"/>
        <w:numPr>
          <w:ilvl w:val="0"/>
          <w:numId w:val="31"/>
        </w:numPr>
      </w:pPr>
      <w:r w:rsidRPr="001D6410">
        <w:t xml:space="preserve">For Equity – who is providing equity and what is the equity share (of shareholders and partners) and what are expected returns? Are these dependent on certain milestones? </w:t>
      </w:r>
    </w:p>
    <w:p w:rsidR="001D6410" w:rsidRPr="001D6410" w:rsidRDefault="001D6410" w:rsidP="001D6410">
      <w:pPr>
        <w:pStyle w:val="ListParagraph"/>
        <w:numPr>
          <w:ilvl w:val="0"/>
          <w:numId w:val="31"/>
        </w:numPr>
      </w:pPr>
      <w:r w:rsidRPr="001D6410">
        <w:t xml:space="preserve">For Debt – Who are the contributors to the provision of debt for the project (institutionally)? What tends to be the terms and conditions of the deal, in length, rates? Is there anything relatively </w:t>
      </w:r>
      <w:r w:rsidR="001E5F1E">
        <w:t>innovative</w:t>
      </w:r>
      <w:r w:rsidRPr="001D6410">
        <w:t xml:space="preserve"> in this debt provision? </w:t>
      </w:r>
    </w:p>
    <w:p w:rsidR="00944FB8" w:rsidRDefault="00944FB8" w:rsidP="00BB48D9">
      <w:pPr>
        <w:spacing w:line="360" w:lineRule="auto"/>
        <w:rPr>
          <w:b/>
        </w:rPr>
      </w:pPr>
    </w:p>
    <w:p w:rsidR="003E649A" w:rsidRPr="00944FB8" w:rsidRDefault="003E649A" w:rsidP="00BB48D9">
      <w:pPr>
        <w:spacing w:line="360" w:lineRule="auto"/>
        <w:rPr>
          <w:b/>
        </w:rPr>
      </w:pPr>
    </w:p>
    <w:sectPr w:rsidR="003E649A" w:rsidRPr="00944FB8" w:rsidSect="00B165FB">
      <w:footerReference w:type="even" r:id="rId19"/>
      <w:footerReference w:type="default" r:id="rId20"/>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6AE54C" w15:done="0"/>
  <w15:commentEx w15:paraId="0BEB80CF" w15:done="0"/>
  <w15:commentEx w15:paraId="64B943C3" w15:done="0"/>
  <w15:commentEx w15:paraId="32698361" w15:done="0"/>
  <w15:commentEx w15:paraId="14E1FD87" w15:done="0"/>
  <w15:commentEx w15:paraId="3CC7DCFD" w15:done="0"/>
  <w15:commentEx w15:paraId="5A75B18C"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C7C" w:rsidRDefault="00C56C7C">
      <w:r>
        <w:separator/>
      </w:r>
    </w:p>
  </w:endnote>
  <w:endnote w:type="continuationSeparator" w:id="0">
    <w:p w:rsidR="00C56C7C" w:rsidRDefault="00C56C7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em dash">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calaSansPro-Regular">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C7C" w:rsidRDefault="00C316F9" w:rsidP="00B165FB">
    <w:pPr>
      <w:pStyle w:val="Footer"/>
      <w:framePr w:wrap="around" w:vAnchor="text" w:hAnchor="margin" w:xAlign="right" w:y="1"/>
      <w:rPr>
        <w:rStyle w:val="PageNumber"/>
      </w:rPr>
    </w:pPr>
    <w:r>
      <w:rPr>
        <w:rStyle w:val="PageNumber"/>
      </w:rPr>
      <w:fldChar w:fldCharType="begin"/>
    </w:r>
    <w:r w:rsidR="00C56C7C">
      <w:rPr>
        <w:rStyle w:val="PageNumber"/>
      </w:rPr>
      <w:instrText xml:space="preserve">PAGE  </w:instrText>
    </w:r>
    <w:r>
      <w:rPr>
        <w:rStyle w:val="PageNumber"/>
      </w:rPr>
      <w:fldChar w:fldCharType="end"/>
    </w:r>
  </w:p>
  <w:p w:rsidR="00C56C7C" w:rsidRDefault="00C56C7C" w:rsidP="00B165F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C7C" w:rsidRDefault="00C316F9" w:rsidP="00B165FB">
    <w:pPr>
      <w:pStyle w:val="Footer"/>
      <w:framePr w:wrap="around" w:vAnchor="text" w:hAnchor="margin" w:xAlign="right" w:y="1"/>
      <w:rPr>
        <w:rStyle w:val="PageNumber"/>
      </w:rPr>
    </w:pPr>
    <w:r>
      <w:rPr>
        <w:rStyle w:val="PageNumber"/>
      </w:rPr>
      <w:fldChar w:fldCharType="begin"/>
    </w:r>
    <w:r w:rsidR="00C56C7C">
      <w:rPr>
        <w:rStyle w:val="PageNumber"/>
      </w:rPr>
      <w:instrText xml:space="preserve">PAGE  </w:instrText>
    </w:r>
    <w:r>
      <w:rPr>
        <w:rStyle w:val="PageNumber"/>
      </w:rPr>
      <w:fldChar w:fldCharType="separate"/>
    </w:r>
    <w:r w:rsidR="00B936F5">
      <w:rPr>
        <w:rStyle w:val="PageNumber"/>
        <w:noProof/>
      </w:rPr>
      <w:t>27</w:t>
    </w:r>
    <w:r>
      <w:rPr>
        <w:rStyle w:val="PageNumber"/>
      </w:rPr>
      <w:fldChar w:fldCharType="end"/>
    </w:r>
  </w:p>
  <w:p w:rsidR="00C56C7C" w:rsidRDefault="00C56C7C" w:rsidP="00B165F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C7C" w:rsidRDefault="00C56C7C">
      <w:r>
        <w:separator/>
      </w:r>
    </w:p>
  </w:footnote>
  <w:footnote w:type="continuationSeparator" w:id="0">
    <w:p w:rsidR="00C56C7C" w:rsidRDefault="00C56C7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239"/>
    <w:multiLevelType w:val="hybridMultilevel"/>
    <w:tmpl w:val="5D26ECC0"/>
    <w:lvl w:ilvl="0" w:tplc="D34807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F16D6"/>
    <w:multiLevelType w:val="hybridMultilevel"/>
    <w:tmpl w:val="E0EC7A08"/>
    <w:lvl w:ilvl="0" w:tplc="FD02E52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D7B6E"/>
    <w:multiLevelType w:val="hybridMultilevel"/>
    <w:tmpl w:val="7E74A65A"/>
    <w:lvl w:ilvl="0" w:tplc="4836D1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D8354D"/>
    <w:multiLevelType w:val="hybridMultilevel"/>
    <w:tmpl w:val="24485B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10398"/>
    <w:multiLevelType w:val="hybridMultilevel"/>
    <w:tmpl w:val="094A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B35FB"/>
    <w:multiLevelType w:val="hybridMultilevel"/>
    <w:tmpl w:val="5B8C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328DA"/>
    <w:multiLevelType w:val="hybridMultilevel"/>
    <w:tmpl w:val="F88E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05687"/>
    <w:multiLevelType w:val="hybridMultilevel"/>
    <w:tmpl w:val="3FDA09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D00D14"/>
    <w:multiLevelType w:val="hybridMultilevel"/>
    <w:tmpl w:val="D696FA5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DD74DD"/>
    <w:multiLevelType w:val="multilevel"/>
    <w:tmpl w:val="2B0AABB2"/>
    <w:lvl w:ilvl="0">
      <w:start w:val="1"/>
      <w:numFmt w:val="decimal"/>
      <w:lvlText w:val="%1."/>
      <w:lvlJc w:val="left"/>
      <w:pPr>
        <w:ind w:left="400" w:hanging="4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1B40F8F"/>
    <w:multiLevelType w:val="hybridMultilevel"/>
    <w:tmpl w:val="32AC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E13AB"/>
    <w:multiLevelType w:val="hybridMultilevel"/>
    <w:tmpl w:val="A5F06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BC4330"/>
    <w:multiLevelType w:val="hybridMultilevel"/>
    <w:tmpl w:val="7352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163EF"/>
    <w:multiLevelType w:val="multilevel"/>
    <w:tmpl w:val="0C520BB0"/>
    <w:lvl w:ilvl="0">
      <w:start w:val="3"/>
      <w:numFmt w:val="decimal"/>
      <w:lvlText w:val="%1."/>
      <w:lvlJc w:val="left"/>
      <w:pPr>
        <w:ind w:left="520" w:hanging="5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EE51229"/>
    <w:multiLevelType w:val="hybridMultilevel"/>
    <w:tmpl w:val="A716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4224F"/>
    <w:multiLevelType w:val="hybridMultilevel"/>
    <w:tmpl w:val="DE0E4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8B759D0"/>
    <w:multiLevelType w:val="hybridMultilevel"/>
    <w:tmpl w:val="1F62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B50B36"/>
    <w:multiLevelType w:val="hybridMultilevel"/>
    <w:tmpl w:val="CFFE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DD10CB"/>
    <w:multiLevelType w:val="hybridMultilevel"/>
    <w:tmpl w:val="E784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1C3956"/>
    <w:multiLevelType w:val="hybridMultilevel"/>
    <w:tmpl w:val="5262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60ECB"/>
    <w:multiLevelType w:val="hybridMultilevel"/>
    <w:tmpl w:val="5E6A5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BBD3003"/>
    <w:multiLevelType w:val="hybridMultilevel"/>
    <w:tmpl w:val="DBFC13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637588"/>
    <w:multiLevelType w:val="hybridMultilevel"/>
    <w:tmpl w:val="553AF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E4E2A87"/>
    <w:multiLevelType w:val="multilevel"/>
    <w:tmpl w:val="75F26908"/>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F1C076D"/>
    <w:multiLevelType w:val="hybridMultilevel"/>
    <w:tmpl w:val="FCCEEF0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994B6C"/>
    <w:multiLevelType w:val="hybridMultilevel"/>
    <w:tmpl w:val="90BCD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E6AC7"/>
    <w:multiLevelType w:val="hybridMultilevel"/>
    <w:tmpl w:val="4700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5B25D2"/>
    <w:multiLevelType w:val="hybridMultilevel"/>
    <w:tmpl w:val="8780C912"/>
    <w:lvl w:ilvl="0" w:tplc="C41AA6C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F107C3"/>
    <w:multiLevelType w:val="hybridMultilevel"/>
    <w:tmpl w:val="0848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1C385A"/>
    <w:multiLevelType w:val="hybridMultilevel"/>
    <w:tmpl w:val="AF086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ED1D29"/>
    <w:multiLevelType w:val="hybridMultilevel"/>
    <w:tmpl w:val="EF067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5"/>
  </w:num>
  <w:num w:numId="3">
    <w:abstractNumId w:val="10"/>
  </w:num>
  <w:num w:numId="4">
    <w:abstractNumId w:val="6"/>
  </w:num>
  <w:num w:numId="5">
    <w:abstractNumId w:val="7"/>
  </w:num>
  <w:num w:numId="6">
    <w:abstractNumId w:val="13"/>
  </w:num>
  <w:num w:numId="7">
    <w:abstractNumId w:val="16"/>
  </w:num>
  <w:num w:numId="8">
    <w:abstractNumId w:val="25"/>
  </w:num>
  <w:num w:numId="9">
    <w:abstractNumId w:val="19"/>
  </w:num>
  <w:num w:numId="10">
    <w:abstractNumId w:val="27"/>
  </w:num>
  <w:num w:numId="11">
    <w:abstractNumId w:val="2"/>
  </w:num>
  <w:num w:numId="12">
    <w:abstractNumId w:val="21"/>
  </w:num>
  <w:num w:numId="13">
    <w:abstractNumId w:val="0"/>
  </w:num>
  <w:num w:numId="14">
    <w:abstractNumId w:val="4"/>
  </w:num>
  <w:num w:numId="15">
    <w:abstractNumId w:val="30"/>
  </w:num>
  <w:num w:numId="16">
    <w:abstractNumId w:val="22"/>
  </w:num>
  <w:num w:numId="17">
    <w:abstractNumId w:val="15"/>
  </w:num>
  <w:num w:numId="18">
    <w:abstractNumId w:val="20"/>
  </w:num>
  <w:num w:numId="19">
    <w:abstractNumId w:val="26"/>
  </w:num>
  <w:num w:numId="20">
    <w:abstractNumId w:val="11"/>
  </w:num>
  <w:num w:numId="21">
    <w:abstractNumId w:val="14"/>
  </w:num>
  <w:num w:numId="22">
    <w:abstractNumId w:val="9"/>
  </w:num>
  <w:num w:numId="23">
    <w:abstractNumId w:val="23"/>
  </w:num>
  <w:num w:numId="24">
    <w:abstractNumId w:val="3"/>
  </w:num>
  <w:num w:numId="25">
    <w:abstractNumId w:val="18"/>
  </w:num>
  <w:num w:numId="26">
    <w:abstractNumId w:val="28"/>
  </w:num>
  <w:num w:numId="27">
    <w:abstractNumId w:val="12"/>
  </w:num>
  <w:num w:numId="28">
    <w:abstractNumId w:val="8"/>
  </w:num>
  <w:num w:numId="29">
    <w:abstractNumId w:val="24"/>
  </w:num>
  <w:num w:numId="30">
    <w:abstractNumId w:val="1"/>
  </w:num>
  <w:num w:numId="3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Greal, Stanley">
    <w15:presenceInfo w15:providerId="AD" w15:userId="S-1-5-21-443776038-4252793684-3475108589-125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824246"/>
    <w:rsid w:val="00000AF0"/>
    <w:rsid w:val="000046EF"/>
    <w:rsid w:val="000047B1"/>
    <w:rsid w:val="00010D15"/>
    <w:rsid w:val="000128A0"/>
    <w:rsid w:val="00016DE0"/>
    <w:rsid w:val="00023F63"/>
    <w:rsid w:val="00024002"/>
    <w:rsid w:val="00025519"/>
    <w:rsid w:val="00025F7F"/>
    <w:rsid w:val="00041190"/>
    <w:rsid w:val="000431BB"/>
    <w:rsid w:val="00046CC9"/>
    <w:rsid w:val="0004704C"/>
    <w:rsid w:val="000515CE"/>
    <w:rsid w:val="0005178C"/>
    <w:rsid w:val="0005300E"/>
    <w:rsid w:val="00053CB8"/>
    <w:rsid w:val="000547EF"/>
    <w:rsid w:val="00056E15"/>
    <w:rsid w:val="00060FBA"/>
    <w:rsid w:val="00062B26"/>
    <w:rsid w:val="0006556D"/>
    <w:rsid w:val="000662B1"/>
    <w:rsid w:val="00066DBA"/>
    <w:rsid w:val="00073BD4"/>
    <w:rsid w:val="00074345"/>
    <w:rsid w:val="00074DEC"/>
    <w:rsid w:val="00075025"/>
    <w:rsid w:val="00076F20"/>
    <w:rsid w:val="0008416B"/>
    <w:rsid w:val="000841F3"/>
    <w:rsid w:val="00084E10"/>
    <w:rsid w:val="000851B9"/>
    <w:rsid w:val="000905E0"/>
    <w:rsid w:val="0009397C"/>
    <w:rsid w:val="00097846"/>
    <w:rsid w:val="000A04FB"/>
    <w:rsid w:val="000A4866"/>
    <w:rsid w:val="000A4F87"/>
    <w:rsid w:val="000B220E"/>
    <w:rsid w:val="000B3CCF"/>
    <w:rsid w:val="000B6D92"/>
    <w:rsid w:val="000C25C5"/>
    <w:rsid w:val="000C3A36"/>
    <w:rsid w:val="000C5B0A"/>
    <w:rsid w:val="000C73BB"/>
    <w:rsid w:val="000C7677"/>
    <w:rsid w:val="000C7696"/>
    <w:rsid w:val="000D0197"/>
    <w:rsid w:val="000D155E"/>
    <w:rsid w:val="000D3759"/>
    <w:rsid w:val="000D7586"/>
    <w:rsid w:val="000D7736"/>
    <w:rsid w:val="000D7B8E"/>
    <w:rsid w:val="000F3539"/>
    <w:rsid w:val="000F6CE8"/>
    <w:rsid w:val="00100309"/>
    <w:rsid w:val="001017BF"/>
    <w:rsid w:val="00102202"/>
    <w:rsid w:val="0010469E"/>
    <w:rsid w:val="00113C59"/>
    <w:rsid w:val="001166DA"/>
    <w:rsid w:val="00116BFD"/>
    <w:rsid w:val="001177D9"/>
    <w:rsid w:val="001229B8"/>
    <w:rsid w:val="00123724"/>
    <w:rsid w:val="00123A7F"/>
    <w:rsid w:val="00124787"/>
    <w:rsid w:val="001320BA"/>
    <w:rsid w:val="001355EF"/>
    <w:rsid w:val="001369B3"/>
    <w:rsid w:val="00140FF4"/>
    <w:rsid w:val="00143D28"/>
    <w:rsid w:val="001457AE"/>
    <w:rsid w:val="00145B55"/>
    <w:rsid w:val="00151494"/>
    <w:rsid w:val="0015161E"/>
    <w:rsid w:val="001549E8"/>
    <w:rsid w:val="0016159D"/>
    <w:rsid w:val="00165782"/>
    <w:rsid w:val="00166494"/>
    <w:rsid w:val="00167041"/>
    <w:rsid w:val="001672F6"/>
    <w:rsid w:val="00167891"/>
    <w:rsid w:val="0017021B"/>
    <w:rsid w:val="00170ADC"/>
    <w:rsid w:val="00174BD2"/>
    <w:rsid w:val="00176E71"/>
    <w:rsid w:val="00180A08"/>
    <w:rsid w:val="00182F67"/>
    <w:rsid w:val="001853F2"/>
    <w:rsid w:val="001901D1"/>
    <w:rsid w:val="001915FD"/>
    <w:rsid w:val="0019290B"/>
    <w:rsid w:val="001930CB"/>
    <w:rsid w:val="001954D7"/>
    <w:rsid w:val="001A009F"/>
    <w:rsid w:val="001A1C93"/>
    <w:rsid w:val="001A32D1"/>
    <w:rsid w:val="001A62F3"/>
    <w:rsid w:val="001A65FE"/>
    <w:rsid w:val="001A78E8"/>
    <w:rsid w:val="001B10C0"/>
    <w:rsid w:val="001B5BD0"/>
    <w:rsid w:val="001B74DC"/>
    <w:rsid w:val="001C0794"/>
    <w:rsid w:val="001C0B41"/>
    <w:rsid w:val="001C0EF2"/>
    <w:rsid w:val="001C22F7"/>
    <w:rsid w:val="001C52C3"/>
    <w:rsid w:val="001C539B"/>
    <w:rsid w:val="001D1021"/>
    <w:rsid w:val="001D19CE"/>
    <w:rsid w:val="001D5480"/>
    <w:rsid w:val="001D6410"/>
    <w:rsid w:val="001E04D2"/>
    <w:rsid w:val="001E42E0"/>
    <w:rsid w:val="001E46A8"/>
    <w:rsid w:val="001E5F1E"/>
    <w:rsid w:val="001E7ADE"/>
    <w:rsid w:val="001F0D5F"/>
    <w:rsid w:val="001F196A"/>
    <w:rsid w:val="001F1C8F"/>
    <w:rsid w:val="001F5ADB"/>
    <w:rsid w:val="001F723E"/>
    <w:rsid w:val="00201A82"/>
    <w:rsid w:val="00201FB0"/>
    <w:rsid w:val="002043C3"/>
    <w:rsid w:val="002074DB"/>
    <w:rsid w:val="00214F49"/>
    <w:rsid w:val="00216717"/>
    <w:rsid w:val="00222835"/>
    <w:rsid w:val="0022650A"/>
    <w:rsid w:val="00226D56"/>
    <w:rsid w:val="002311A8"/>
    <w:rsid w:val="00231475"/>
    <w:rsid w:val="00233088"/>
    <w:rsid w:val="00234888"/>
    <w:rsid w:val="00235D13"/>
    <w:rsid w:val="00236E5B"/>
    <w:rsid w:val="00240BE1"/>
    <w:rsid w:val="00244104"/>
    <w:rsid w:val="0024562B"/>
    <w:rsid w:val="00245C7E"/>
    <w:rsid w:val="00246109"/>
    <w:rsid w:val="00250096"/>
    <w:rsid w:val="002505EC"/>
    <w:rsid w:val="002519DB"/>
    <w:rsid w:val="00253367"/>
    <w:rsid w:val="002547A0"/>
    <w:rsid w:val="002578C9"/>
    <w:rsid w:val="002610BC"/>
    <w:rsid w:val="002645B9"/>
    <w:rsid w:val="00266632"/>
    <w:rsid w:val="00267F34"/>
    <w:rsid w:val="0027149D"/>
    <w:rsid w:val="0027291D"/>
    <w:rsid w:val="002739E0"/>
    <w:rsid w:val="00277E01"/>
    <w:rsid w:val="002807F0"/>
    <w:rsid w:val="00281717"/>
    <w:rsid w:val="00281A63"/>
    <w:rsid w:val="00283B19"/>
    <w:rsid w:val="00285B44"/>
    <w:rsid w:val="00287D50"/>
    <w:rsid w:val="0029105B"/>
    <w:rsid w:val="00295AB8"/>
    <w:rsid w:val="00297710"/>
    <w:rsid w:val="002A108D"/>
    <w:rsid w:val="002A1660"/>
    <w:rsid w:val="002A3C84"/>
    <w:rsid w:val="002A5AA4"/>
    <w:rsid w:val="002C0D58"/>
    <w:rsid w:val="002C262F"/>
    <w:rsid w:val="002D0039"/>
    <w:rsid w:val="002D5D2F"/>
    <w:rsid w:val="002D608F"/>
    <w:rsid w:val="002E0E68"/>
    <w:rsid w:val="002E172C"/>
    <w:rsid w:val="002E6595"/>
    <w:rsid w:val="002F28AE"/>
    <w:rsid w:val="00301143"/>
    <w:rsid w:val="00301351"/>
    <w:rsid w:val="00301E26"/>
    <w:rsid w:val="003044D6"/>
    <w:rsid w:val="0030451A"/>
    <w:rsid w:val="00311E89"/>
    <w:rsid w:val="00313204"/>
    <w:rsid w:val="003165D9"/>
    <w:rsid w:val="00322C9E"/>
    <w:rsid w:val="00322FD2"/>
    <w:rsid w:val="00325B47"/>
    <w:rsid w:val="00325D36"/>
    <w:rsid w:val="003260BE"/>
    <w:rsid w:val="003261BF"/>
    <w:rsid w:val="00327157"/>
    <w:rsid w:val="0033232B"/>
    <w:rsid w:val="00334352"/>
    <w:rsid w:val="003357C8"/>
    <w:rsid w:val="00336B47"/>
    <w:rsid w:val="003370CF"/>
    <w:rsid w:val="0034024D"/>
    <w:rsid w:val="0034027B"/>
    <w:rsid w:val="00342840"/>
    <w:rsid w:val="00352668"/>
    <w:rsid w:val="00362520"/>
    <w:rsid w:val="0036289E"/>
    <w:rsid w:val="003629B7"/>
    <w:rsid w:val="00363401"/>
    <w:rsid w:val="00365328"/>
    <w:rsid w:val="00376DEA"/>
    <w:rsid w:val="00382046"/>
    <w:rsid w:val="00383132"/>
    <w:rsid w:val="003836C1"/>
    <w:rsid w:val="00386E73"/>
    <w:rsid w:val="00386EEE"/>
    <w:rsid w:val="00390763"/>
    <w:rsid w:val="0039161B"/>
    <w:rsid w:val="00392239"/>
    <w:rsid w:val="00392C82"/>
    <w:rsid w:val="003950A3"/>
    <w:rsid w:val="0039554E"/>
    <w:rsid w:val="00396389"/>
    <w:rsid w:val="00396B34"/>
    <w:rsid w:val="003A0F3A"/>
    <w:rsid w:val="003A2770"/>
    <w:rsid w:val="003A398C"/>
    <w:rsid w:val="003A5BAA"/>
    <w:rsid w:val="003B0D02"/>
    <w:rsid w:val="003B2C25"/>
    <w:rsid w:val="003B4B9E"/>
    <w:rsid w:val="003B6B79"/>
    <w:rsid w:val="003C04D4"/>
    <w:rsid w:val="003C2946"/>
    <w:rsid w:val="003C3487"/>
    <w:rsid w:val="003C5011"/>
    <w:rsid w:val="003D0267"/>
    <w:rsid w:val="003D35C5"/>
    <w:rsid w:val="003D3DFA"/>
    <w:rsid w:val="003D4EDA"/>
    <w:rsid w:val="003D4F1B"/>
    <w:rsid w:val="003E1CAD"/>
    <w:rsid w:val="003E649A"/>
    <w:rsid w:val="003E67D0"/>
    <w:rsid w:val="003E7D4C"/>
    <w:rsid w:val="003F19DE"/>
    <w:rsid w:val="003F29BA"/>
    <w:rsid w:val="003F5923"/>
    <w:rsid w:val="00402CF3"/>
    <w:rsid w:val="00403E16"/>
    <w:rsid w:val="00405AD2"/>
    <w:rsid w:val="00407104"/>
    <w:rsid w:val="0041038F"/>
    <w:rsid w:val="004120CF"/>
    <w:rsid w:val="004124BD"/>
    <w:rsid w:val="00412FA1"/>
    <w:rsid w:val="00414640"/>
    <w:rsid w:val="00417B9D"/>
    <w:rsid w:val="004200BE"/>
    <w:rsid w:val="00422F4B"/>
    <w:rsid w:val="004242FD"/>
    <w:rsid w:val="00424A0E"/>
    <w:rsid w:val="00426B6F"/>
    <w:rsid w:val="00426F45"/>
    <w:rsid w:val="0043116F"/>
    <w:rsid w:val="004321F9"/>
    <w:rsid w:val="004350E3"/>
    <w:rsid w:val="004362A3"/>
    <w:rsid w:val="00436BF6"/>
    <w:rsid w:val="00436E71"/>
    <w:rsid w:val="00437919"/>
    <w:rsid w:val="004419FF"/>
    <w:rsid w:val="004463C6"/>
    <w:rsid w:val="004539AF"/>
    <w:rsid w:val="00453A08"/>
    <w:rsid w:val="00453AEC"/>
    <w:rsid w:val="004607CA"/>
    <w:rsid w:val="00461AD9"/>
    <w:rsid w:val="00461BC5"/>
    <w:rsid w:val="00467BAE"/>
    <w:rsid w:val="004704CF"/>
    <w:rsid w:val="00471981"/>
    <w:rsid w:val="00474CEE"/>
    <w:rsid w:val="00475356"/>
    <w:rsid w:val="00480E8F"/>
    <w:rsid w:val="0048235B"/>
    <w:rsid w:val="00482FD6"/>
    <w:rsid w:val="00483429"/>
    <w:rsid w:val="004929EC"/>
    <w:rsid w:val="00493F2E"/>
    <w:rsid w:val="004A1ADD"/>
    <w:rsid w:val="004A1DDB"/>
    <w:rsid w:val="004A4070"/>
    <w:rsid w:val="004A432F"/>
    <w:rsid w:val="004A5259"/>
    <w:rsid w:val="004B2AE8"/>
    <w:rsid w:val="004B5457"/>
    <w:rsid w:val="004B6F4B"/>
    <w:rsid w:val="004B79ED"/>
    <w:rsid w:val="004C0520"/>
    <w:rsid w:val="004C4178"/>
    <w:rsid w:val="004D694E"/>
    <w:rsid w:val="004E24CB"/>
    <w:rsid w:val="004E319E"/>
    <w:rsid w:val="004E45BF"/>
    <w:rsid w:val="004E5763"/>
    <w:rsid w:val="004E76E3"/>
    <w:rsid w:val="004F486E"/>
    <w:rsid w:val="004F665B"/>
    <w:rsid w:val="005013C7"/>
    <w:rsid w:val="005017E7"/>
    <w:rsid w:val="00506335"/>
    <w:rsid w:val="00506868"/>
    <w:rsid w:val="00506F34"/>
    <w:rsid w:val="00511168"/>
    <w:rsid w:val="00512DDC"/>
    <w:rsid w:val="005134CB"/>
    <w:rsid w:val="00521094"/>
    <w:rsid w:val="005220A6"/>
    <w:rsid w:val="00522308"/>
    <w:rsid w:val="005237BD"/>
    <w:rsid w:val="00523F7D"/>
    <w:rsid w:val="005242D9"/>
    <w:rsid w:val="00524E36"/>
    <w:rsid w:val="005319C0"/>
    <w:rsid w:val="005328A6"/>
    <w:rsid w:val="00533C0A"/>
    <w:rsid w:val="00533C10"/>
    <w:rsid w:val="00536866"/>
    <w:rsid w:val="005407B3"/>
    <w:rsid w:val="00540D6A"/>
    <w:rsid w:val="005410DE"/>
    <w:rsid w:val="00542C77"/>
    <w:rsid w:val="00547057"/>
    <w:rsid w:val="00547B2C"/>
    <w:rsid w:val="005515C6"/>
    <w:rsid w:val="00552063"/>
    <w:rsid w:val="00555155"/>
    <w:rsid w:val="00560D2F"/>
    <w:rsid w:val="005614E0"/>
    <w:rsid w:val="005619BA"/>
    <w:rsid w:val="0056266D"/>
    <w:rsid w:val="005629FC"/>
    <w:rsid w:val="005630EC"/>
    <w:rsid w:val="00563AD4"/>
    <w:rsid w:val="005678C4"/>
    <w:rsid w:val="00570298"/>
    <w:rsid w:val="00570ABF"/>
    <w:rsid w:val="00570B98"/>
    <w:rsid w:val="00570E21"/>
    <w:rsid w:val="00572DE2"/>
    <w:rsid w:val="00575159"/>
    <w:rsid w:val="005771FD"/>
    <w:rsid w:val="005813D6"/>
    <w:rsid w:val="005843E8"/>
    <w:rsid w:val="0058657C"/>
    <w:rsid w:val="005870BD"/>
    <w:rsid w:val="00587389"/>
    <w:rsid w:val="00592664"/>
    <w:rsid w:val="0059282A"/>
    <w:rsid w:val="00593188"/>
    <w:rsid w:val="005941DD"/>
    <w:rsid w:val="00594289"/>
    <w:rsid w:val="00595878"/>
    <w:rsid w:val="005A423B"/>
    <w:rsid w:val="005A4854"/>
    <w:rsid w:val="005A5832"/>
    <w:rsid w:val="005A6020"/>
    <w:rsid w:val="005A634B"/>
    <w:rsid w:val="005B45A4"/>
    <w:rsid w:val="005B6599"/>
    <w:rsid w:val="005B6B5F"/>
    <w:rsid w:val="005B71BB"/>
    <w:rsid w:val="005B7A9A"/>
    <w:rsid w:val="005C03C9"/>
    <w:rsid w:val="005C0C27"/>
    <w:rsid w:val="005C1839"/>
    <w:rsid w:val="005C2498"/>
    <w:rsid w:val="005C5409"/>
    <w:rsid w:val="005D15B7"/>
    <w:rsid w:val="005D3A1E"/>
    <w:rsid w:val="005D5062"/>
    <w:rsid w:val="005D54C9"/>
    <w:rsid w:val="005D6FCA"/>
    <w:rsid w:val="005E29EB"/>
    <w:rsid w:val="005E621D"/>
    <w:rsid w:val="005E6900"/>
    <w:rsid w:val="005E7817"/>
    <w:rsid w:val="005F1BC4"/>
    <w:rsid w:val="005F1F34"/>
    <w:rsid w:val="005F6D2E"/>
    <w:rsid w:val="005F7397"/>
    <w:rsid w:val="0060197A"/>
    <w:rsid w:val="006067D3"/>
    <w:rsid w:val="00612A12"/>
    <w:rsid w:val="006130CB"/>
    <w:rsid w:val="00622AA2"/>
    <w:rsid w:val="00627F4F"/>
    <w:rsid w:val="0063268C"/>
    <w:rsid w:val="006330A6"/>
    <w:rsid w:val="006330B2"/>
    <w:rsid w:val="00641935"/>
    <w:rsid w:val="00643F0B"/>
    <w:rsid w:val="0064429E"/>
    <w:rsid w:val="006461AC"/>
    <w:rsid w:val="00647291"/>
    <w:rsid w:val="0065086A"/>
    <w:rsid w:val="006515FC"/>
    <w:rsid w:val="006520F4"/>
    <w:rsid w:val="006525E7"/>
    <w:rsid w:val="00655015"/>
    <w:rsid w:val="00656A38"/>
    <w:rsid w:val="00656C0D"/>
    <w:rsid w:val="006644BC"/>
    <w:rsid w:val="00671591"/>
    <w:rsid w:val="00671D9D"/>
    <w:rsid w:val="00671EBB"/>
    <w:rsid w:val="006737F8"/>
    <w:rsid w:val="00676A42"/>
    <w:rsid w:val="00677418"/>
    <w:rsid w:val="00680048"/>
    <w:rsid w:val="00681A66"/>
    <w:rsid w:val="00686CE3"/>
    <w:rsid w:val="006911AA"/>
    <w:rsid w:val="0069171A"/>
    <w:rsid w:val="00692E8B"/>
    <w:rsid w:val="00695F0B"/>
    <w:rsid w:val="00696AAB"/>
    <w:rsid w:val="006A60D5"/>
    <w:rsid w:val="006A68D3"/>
    <w:rsid w:val="006B52FC"/>
    <w:rsid w:val="006B6801"/>
    <w:rsid w:val="006C05FF"/>
    <w:rsid w:val="006C2E91"/>
    <w:rsid w:val="006C34D5"/>
    <w:rsid w:val="006C4809"/>
    <w:rsid w:val="006C67EC"/>
    <w:rsid w:val="006D03CD"/>
    <w:rsid w:val="006D0A57"/>
    <w:rsid w:val="006D3C07"/>
    <w:rsid w:val="006D4C23"/>
    <w:rsid w:val="006D4C81"/>
    <w:rsid w:val="006E0C07"/>
    <w:rsid w:val="006E156C"/>
    <w:rsid w:val="006E347F"/>
    <w:rsid w:val="006E57C1"/>
    <w:rsid w:val="006E616D"/>
    <w:rsid w:val="006E6B8E"/>
    <w:rsid w:val="006E70DB"/>
    <w:rsid w:val="006F17F0"/>
    <w:rsid w:val="006F47E1"/>
    <w:rsid w:val="006F4C14"/>
    <w:rsid w:val="006F656A"/>
    <w:rsid w:val="006F7D10"/>
    <w:rsid w:val="00701AE4"/>
    <w:rsid w:val="007039B2"/>
    <w:rsid w:val="0070521D"/>
    <w:rsid w:val="00705CEB"/>
    <w:rsid w:val="00707F20"/>
    <w:rsid w:val="00715342"/>
    <w:rsid w:val="007174A9"/>
    <w:rsid w:val="007178A3"/>
    <w:rsid w:val="00723986"/>
    <w:rsid w:val="00724B1B"/>
    <w:rsid w:val="00724EB3"/>
    <w:rsid w:val="00730FA2"/>
    <w:rsid w:val="007339E7"/>
    <w:rsid w:val="007345FE"/>
    <w:rsid w:val="00735DA6"/>
    <w:rsid w:val="0074160F"/>
    <w:rsid w:val="00741B6A"/>
    <w:rsid w:val="0074211D"/>
    <w:rsid w:val="00751AA2"/>
    <w:rsid w:val="0075358E"/>
    <w:rsid w:val="00763FFC"/>
    <w:rsid w:val="007650E2"/>
    <w:rsid w:val="00766286"/>
    <w:rsid w:val="0076647F"/>
    <w:rsid w:val="00767371"/>
    <w:rsid w:val="007731F5"/>
    <w:rsid w:val="00773ABC"/>
    <w:rsid w:val="007755EA"/>
    <w:rsid w:val="00780FD7"/>
    <w:rsid w:val="007828B3"/>
    <w:rsid w:val="007841A9"/>
    <w:rsid w:val="00784943"/>
    <w:rsid w:val="007849C9"/>
    <w:rsid w:val="00786226"/>
    <w:rsid w:val="00786D45"/>
    <w:rsid w:val="0079206B"/>
    <w:rsid w:val="0079610B"/>
    <w:rsid w:val="007965BF"/>
    <w:rsid w:val="007974F5"/>
    <w:rsid w:val="007978CC"/>
    <w:rsid w:val="007A2D15"/>
    <w:rsid w:val="007A3FFE"/>
    <w:rsid w:val="007B1707"/>
    <w:rsid w:val="007B4D99"/>
    <w:rsid w:val="007B6A2E"/>
    <w:rsid w:val="007C2810"/>
    <w:rsid w:val="007C307D"/>
    <w:rsid w:val="007C3BB8"/>
    <w:rsid w:val="007D3731"/>
    <w:rsid w:val="007D45A1"/>
    <w:rsid w:val="007E46A1"/>
    <w:rsid w:val="007E53D7"/>
    <w:rsid w:val="007E5A51"/>
    <w:rsid w:val="007E75D2"/>
    <w:rsid w:val="007E7CE4"/>
    <w:rsid w:val="007F1B09"/>
    <w:rsid w:val="007F417D"/>
    <w:rsid w:val="00805997"/>
    <w:rsid w:val="00805AE8"/>
    <w:rsid w:val="00805CD7"/>
    <w:rsid w:val="008069D4"/>
    <w:rsid w:val="00813D3D"/>
    <w:rsid w:val="00816A8C"/>
    <w:rsid w:val="00816F7B"/>
    <w:rsid w:val="00817B90"/>
    <w:rsid w:val="00822F84"/>
    <w:rsid w:val="00824246"/>
    <w:rsid w:val="00824352"/>
    <w:rsid w:val="00826153"/>
    <w:rsid w:val="00827F40"/>
    <w:rsid w:val="00830692"/>
    <w:rsid w:val="008329C1"/>
    <w:rsid w:val="00834B9C"/>
    <w:rsid w:val="00842482"/>
    <w:rsid w:val="00845043"/>
    <w:rsid w:val="00847CB6"/>
    <w:rsid w:val="008522C1"/>
    <w:rsid w:val="0086112E"/>
    <w:rsid w:val="00867BB7"/>
    <w:rsid w:val="00871870"/>
    <w:rsid w:val="00872042"/>
    <w:rsid w:val="00872BA6"/>
    <w:rsid w:val="008731C1"/>
    <w:rsid w:val="00874E21"/>
    <w:rsid w:val="00875852"/>
    <w:rsid w:val="00875B51"/>
    <w:rsid w:val="008768C1"/>
    <w:rsid w:val="00876977"/>
    <w:rsid w:val="00876D74"/>
    <w:rsid w:val="008777E3"/>
    <w:rsid w:val="00885BB1"/>
    <w:rsid w:val="00886805"/>
    <w:rsid w:val="00891F53"/>
    <w:rsid w:val="0089466F"/>
    <w:rsid w:val="008961DC"/>
    <w:rsid w:val="008A0499"/>
    <w:rsid w:val="008A1712"/>
    <w:rsid w:val="008A3A2A"/>
    <w:rsid w:val="008A5F1D"/>
    <w:rsid w:val="008A6826"/>
    <w:rsid w:val="008B01DD"/>
    <w:rsid w:val="008B0E26"/>
    <w:rsid w:val="008B150C"/>
    <w:rsid w:val="008B2F3B"/>
    <w:rsid w:val="008B31EB"/>
    <w:rsid w:val="008B6697"/>
    <w:rsid w:val="008B7451"/>
    <w:rsid w:val="008B7FED"/>
    <w:rsid w:val="008D1060"/>
    <w:rsid w:val="008D19CC"/>
    <w:rsid w:val="008D542C"/>
    <w:rsid w:val="008E17E0"/>
    <w:rsid w:val="008E43F5"/>
    <w:rsid w:val="008E4D3A"/>
    <w:rsid w:val="008E4FA9"/>
    <w:rsid w:val="008F4440"/>
    <w:rsid w:val="008F57DB"/>
    <w:rsid w:val="009005D9"/>
    <w:rsid w:val="00901FC7"/>
    <w:rsid w:val="00904035"/>
    <w:rsid w:val="00905B94"/>
    <w:rsid w:val="00911133"/>
    <w:rsid w:val="0091559B"/>
    <w:rsid w:val="00917A7F"/>
    <w:rsid w:val="00920933"/>
    <w:rsid w:val="00921C0D"/>
    <w:rsid w:val="00921DAC"/>
    <w:rsid w:val="009246C5"/>
    <w:rsid w:val="00924D34"/>
    <w:rsid w:val="00924F7A"/>
    <w:rsid w:val="00927CBF"/>
    <w:rsid w:val="009300F0"/>
    <w:rsid w:val="0093301F"/>
    <w:rsid w:val="0093592A"/>
    <w:rsid w:val="0093700D"/>
    <w:rsid w:val="0093799D"/>
    <w:rsid w:val="00942EF5"/>
    <w:rsid w:val="00944FB8"/>
    <w:rsid w:val="00945DCD"/>
    <w:rsid w:val="00954325"/>
    <w:rsid w:val="00954D9E"/>
    <w:rsid w:val="00955114"/>
    <w:rsid w:val="00955BE7"/>
    <w:rsid w:val="00957A22"/>
    <w:rsid w:val="009606EF"/>
    <w:rsid w:val="00961074"/>
    <w:rsid w:val="009627BE"/>
    <w:rsid w:val="00964299"/>
    <w:rsid w:val="00964BCB"/>
    <w:rsid w:val="009662B2"/>
    <w:rsid w:val="00967FAC"/>
    <w:rsid w:val="00973AAE"/>
    <w:rsid w:val="00973D7F"/>
    <w:rsid w:val="009745CE"/>
    <w:rsid w:val="009758B5"/>
    <w:rsid w:val="00980663"/>
    <w:rsid w:val="00980A1B"/>
    <w:rsid w:val="00983574"/>
    <w:rsid w:val="00986977"/>
    <w:rsid w:val="009904AE"/>
    <w:rsid w:val="00994B69"/>
    <w:rsid w:val="00997348"/>
    <w:rsid w:val="00997E1C"/>
    <w:rsid w:val="009A02E6"/>
    <w:rsid w:val="009A0E2A"/>
    <w:rsid w:val="009A2CC5"/>
    <w:rsid w:val="009B0C2B"/>
    <w:rsid w:val="009B0EC3"/>
    <w:rsid w:val="009B2398"/>
    <w:rsid w:val="009B3A2B"/>
    <w:rsid w:val="009B3C40"/>
    <w:rsid w:val="009B3DF4"/>
    <w:rsid w:val="009B5BD4"/>
    <w:rsid w:val="009C0467"/>
    <w:rsid w:val="009C0708"/>
    <w:rsid w:val="009C0D57"/>
    <w:rsid w:val="009C26C0"/>
    <w:rsid w:val="009C35F6"/>
    <w:rsid w:val="009C3B4C"/>
    <w:rsid w:val="009D31EA"/>
    <w:rsid w:val="009D3EAE"/>
    <w:rsid w:val="009D42F8"/>
    <w:rsid w:val="009D4490"/>
    <w:rsid w:val="009D6324"/>
    <w:rsid w:val="009E09E2"/>
    <w:rsid w:val="009E0DAA"/>
    <w:rsid w:val="009E288A"/>
    <w:rsid w:val="009E3CAD"/>
    <w:rsid w:val="009E46A0"/>
    <w:rsid w:val="009E5A94"/>
    <w:rsid w:val="009E7ED2"/>
    <w:rsid w:val="009F4F90"/>
    <w:rsid w:val="009F668A"/>
    <w:rsid w:val="00A01907"/>
    <w:rsid w:val="00A03252"/>
    <w:rsid w:val="00A076C3"/>
    <w:rsid w:val="00A1029F"/>
    <w:rsid w:val="00A12797"/>
    <w:rsid w:val="00A139CE"/>
    <w:rsid w:val="00A153C8"/>
    <w:rsid w:val="00A1792B"/>
    <w:rsid w:val="00A202A7"/>
    <w:rsid w:val="00A243B3"/>
    <w:rsid w:val="00A267A5"/>
    <w:rsid w:val="00A274E3"/>
    <w:rsid w:val="00A312CD"/>
    <w:rsid w:val="00A31311"/>
    <w:rsid w:val="00A3319D"/>
    <w:rsid w:val="00A340EF"/>
    <w:rsid w:val="00A344FF"/>
    <w:rsid w:val="00A34AC7"/>
    <w:rsid w:val="00A34AFF"/>
    <w:rsid w:val="00A35BE5"/>
    <w:rsid w:val="00A42088"/>
    <w:rsid w:val="00A433B4"/>
    <w:rsid w:val="00A453BC"/>
    <w:rsid w:val="00A46A8F"/>
    <w:rsid w:val="00A47EE4"/>
    <w:rsid w:val="00A5049D"/>
    <w:rsid w:val="00A6116F"/>
    <w:rsid w:val="00A62918"/>
    <w:rsid w:val="00A63000"/>
    <w:rsid w:val="00A63A6F"/>
    <w:rsid w:val="00A63F83"/>
    <w:rsid w:val="00A64F26"/>
    <w:rsid w:val="00A6558A"/>
    <w:rsid w:val="00A66A39"/>
    <w:rsid w:val="00A71EBE"/>
    <w:rsid w:val="00A72D78"/>
    <w:rsid w:val="00A751EE"/>
    <w:rsid w:val="00A80583"/>
    <w:rsid w:val="00A817E4"/>
    <w:rsid w:val="00A838E4"/>
    <w:rsid w:val="00A8507C"/>
    <w:rsid w:val="00A86A0F"/>
    <w:rsid w:val="00A90168"/>
    <w:rsid w:val="00A93569"/>
    <w:rsid w:val="00A95476"/>
    <w:rsid w:val="00A96B65"/>
    <w:rsid w:val="00AA1C73"/>
    <w:rsid w:val="00AA4451"/>
    <w:rsid w:val="00AA512E"/>
    <w:rsid w:val="00AB0ABF"/>
    <w:rsid w:val="00AB3511"/>
    <w:rsid w:val="00AB4B35"/>
    <w:rsid w:val="00AB4D69"/>
    <w:rsid w:val="00AB5217"/>
    <w:rsid w:val="00AB5642"/>
    <w:rsid w:val="00AB5D9F"/>
    <w:rsid w:val="00AC18F8"/>
    <w:rsid w:val="00AC20D9"/>
    <w:rsid w:val="00AC39D8"/>
    <w:rsid w:val="00AC4271"/>
    <w:rsid w:val="00AC4606"/>
    <w:rsid w:val="00AC5B54"/>
    <w:rsid w:val="00AC5E9F"/>
    <w:rsid w:val="00AD30E2"/>
    <w:rsid w:val="00AD367A"/>
    <w:rsid w:val="00AD7371"/>
    <w:rsid w:val="00AD78FB"/>
    <w:rsid w:val="00AE0576"/>
    <w:rsid w:val="00AE44B5"/>
    <w:rsid w:val="00AF2D49"/>
    <w:rsid w:val="00AF31BE"/>
    <w:rsid w:val="00AF3448"/>
    <w:rsid w:val="00AF62D5"/>
    <w:rsid w:val="00B00FEF"/>
    <w:rsid w:val="00B03A44"/>
    <w:rsid w:val="00B0650B"/>
    <w:rsid w:val="00B10746"/>
    <w:rsid w:val="00B111AD"/>
    <w:rsid w:val="00B122BC"/>
    <w:rsid w:val="00B12543"/>
    <w:rsid w:val="00B1471D"/>
    <w:rsid w:val="00B14B89"/>
    <w:rsid w:val="00B15D0E"/>
    <w:rsid w:val="00B16033"/>
    <w:rsid w:val="00B165FB"/>
    <w:rsid w:val="00B16DDE"/>
    <w:rsid w:val="00B22C8C"/>
    <w:rsid w:val="00B246ED"/>
    <w:rsid w:val="00B2483C"/>
    <w:rsid w:val="00B26D65"/>
    <w:rsid w:val="00B33A96"/>
    <w:rsid w:val="00B346B7"/>
    <w:rsid w:val="00B401DA"/>
    <w:rsid w:val="00B40D30"/>
    <w:rsid w:val="00B420DC"/>
    <w:rsid w:val="00B442F2"/>
    <w:rsid w:val="00B476ED"/>
    <w:rsid w:val="00B5098D"/>
    <w:rsid w:val="00B53D55"/>
    <w:rsid w:val="00B54355"/>
    <w:rsid w:val="00B57805"/>
    <w:rsid w:val="00B60CAD"/>
    <w:rsid w:val="00B61A11"/>
    <w:rsid w:val="00B62E95"/>
    <w:rsid w:val="00B64346"/>
    <w:rsid w:val="00B655F1"/>
    <w:rsid w:val="00B665B3"/>
    <w:rsid w:val="00B668EF"/>
    <w:rsid w:val="00B67E39"/>
    <w:rsid w:val="00B70693"/>
    <w:rsid w:val="00B743C5"/>
    <w:rsid w:val="00B750BA"/>
    <w:rsid w:val="00B822E0"/>
    <w:rsid w:val="00B861E0"/>
    <w:rsid w:val="00B8639C"/>
    <w:rsid w:val="00B92D81"/>
    <w:rsid w:val="00B936F5"/>
    <w:rsid w:val="00B95EEF"/>
    <w:rsid w:val="00BA3D94"/>
    <w:rsid w:val="00BA596F"/>
    <w:rsid w:val="00BA6DD8"/>
    <w:rsid w:val="00BB1885"/>
    <w:rsid w:val="00BB2CA7"/>
    <w:rsid w:val="00BB48D9"/>
    <w:rsid w:val="00BB5E07"/>
    <w:rsid w:val="00BB6713"/>
    <w:rsid w:val="00BB7AE7"/>
    <w:rsid w:val="00BC156C"/>
    <w:rsid w:val="00BC16C9"/>
    <w:rsid w:val="00BC2B87"/>
    <w:rsid w:val="00BC5C78"/>
    <w:rsid w:val="00BC63DA"/>
    <w:rsid w:val="00BC699A"/>
    <w:rsid w:val="00BD37A7"/>
    <w:rsid w:val="00BD55B3"/>
    <w:rsid w:val="00BD57B0"/>
    <w:rsid w:val="00BD77A8"/>
    <w:rsid w:val="00BE214E"/>
    <w:rsid w:val="00BE3BF9"/>
    <w:rsid w:val="00BE5628"/>
    <w:rsid w:val="00BE6F87"/>
    <w:rsid w:val="00BE71C8"/>
    <w:rsid w:val="00BF0775"/>
    <w:rsid w:val="00BF1814"/>
    <w:rsid w:val="00BF58E1"/>
    <w:rsid w:val="00C02D64"/>
    <w:rsid w:val="00C054C1"/>
    <w:rsid w:val="00C05BBB"/>
    <w:rsid w:val="00C06103"/>
    <w:rsid w:val="00C063F0"/>
    <w:rsid w:val="00C11582"/>
    <w:rsid w:val="00C1426E"/>
    <w:rsid w:val="00C1459E"/>
    <w:rsid w:val="00C22B26"/>
    <w:rsid w:val="00C235F0"/>
    <w:rsid w:val="00C24EBF"/>
    <w:rsid w:val="00C25DF0"/>
    <w:rsid w:val="00C27096"/>
    <w:rsid w:val="00C316F9"/>
    <w:rsid w:val="00C4589B"/>
    <w:rsid w:val="00C459DC"/>
    <w:rsid w:val="00C45A2E"/>
    <w:rsid w:val="00C45A95"/>
    <w:rsid w:val="00C52ABE"/>
    <w:rsid w:val="00C52EDD"/>
    <w:rsid w:val="00C5502D"/>
    <w:rsid w:val="00C56C7C"/>
    <w:rsid w:val="00C607D1"/>
    <w:rsid w:val="00C6608B"/>
    <w:rsid w:val="00C67D92"/>
    <w:rsid w:val="00C7784E"/>
    <w:rsid w:val="00C805AE"/>
    <w:rsid w:val="00C81C11"/>
    <w:rsid w:val="00C81E5F"/>
    <w:rsid w:val="00C90360"/>
    <w:rsid w:val="00C90DDA"/>
    <w:rsid w:val="00C91ADD"/>
    <w:rsid w:val="00C94B4B"/>
    <w:rsid w:val="00C96223"/>
    <w:rsid w:val="00C968AF"/>
    <w:rsid w:val="00CA0229"/>
    <w:rsid w:val="00CA1FB3"/>
    <w:rsid w:val="00CA256B"/>
    <w:rsid w:val="00CA345E"/>
    <w:rsid w:val="00CA3D81"/>
    <w:rsid w:val="00CA4556"/>
    <w:rsid w:val="00CA6285"/>
    <w:rsid w:val="00CB37CD"/>
    <w:rsid w:val="00CB4A8E"/>
    <w:rsid w:val="00CC14D4"/>
    <w:rsid w:val="00CC1D88"/>
    <w:rsid w:val="00CC1FA0"/>
    <w:rsid w:val="00CC4124"/>
    <w:rsid w:val="00CC4690"/>
    <w:rsid w:val="00CC484A"/>
    <w:rsid w:val="00CD27FA"/>
    <w:rsid w:val="00CD3B53"/>
    <w:rsid w:val="00CD6A68"/>
    <w:rsid w:val="00CE20B3"/>
    <w:rsid w:val="00CE4477"/>
    <w:rsid w:val="00CF115C"/>
    <w:rsid w:val="00CF3AAB"/>
    <w:rsid w:val="00CF5F38"/>
    <w:rsid w:val="00CF6C1A"/>
    <w:rsid w:val="00D011E6"/>
    <w:rsid w:val="00D014DD"/>
    <w:rsid w:val="00D03133"/>
    <w:rsid w:val="00D0610F"/>
    <w:rsid w:val="00D0633E"/>
    <w:rsid w:val="00D120B3"/>
    <w:rsid w:val="00D12999"/>
    <w:rsid w:val="00D14823"/>
    <w:rsid w:val="00D2105D"/>
    <w:rsid w:val="00D2287B"/>
    <w:rsid w:val="00D260F4"/>
    <w:rsid w:val="00D27494"/>
    <w:rsid w:val="00D32253"/>
    <w:rsid w:val="00D36F41"/>
    <w:rsid w:val="00D42FD6"/>
    <w:rsid w:val="00D43EC7"/>
    <w:rsid w:val="00D44778"/>
    <w:rsid w:val="00D4659E"/>
    <w:rsid w:val="00D5233F"/>
    <w:rsid w:val="00D543D8"/>
    <w:rsid w:val="00D562A7"/>
    <w:rsid w:val="00D56473"/>
    <w:rsid w:val="00D578CB"/>
    <w:rsid w:val="00D72F70"/>
    <w:rsid w:val="00D761F3"/>
    <w:rsid w:val="00D77998"/>
    <w:rsid w:val="00D8418F"/>
    <w:rsid w:val="00D8746A"/>
    <w:rsid w:val="00D91025"/>
    <w:rsid w:val="00D93306"/>
    <w:rsid w:val="00D94166"/>
    <w:rsid w:val="00D94A3D"/>
    <w:rsid w:val="00D9569E"/>
    <w:rsid w:val="00D96957"/>
    <w:rsid w:val="00D96FC3"/>
    <w:rsid w:val="00DA16A1"/>
    <w:rsid w:val="00DA7260"/>
    <w:rsid w:val="00DA7C07"/>
    <w:rsid w:val="00DA7E05"/>
    <w:rsid w:val="00DB5391"/>
    <w:rsid w:val="00DB76C6"/>
    <w:rsid w:val="00DC0060"/>
    <w:rsid w:val="00DC0A80"/>
    <w:rsid w:val="00DC1734"/>
    <w:rsid w:val="00DC1C7E"/>
    <w:rsid w:val="00DC2D9A"/>
    <w:rsid w:val="00DD04F6"/>
    <w:rsid w:val="00DD1287"/>
    <w:rsid w:val="00DD3F9D"/>
    <w:rsid w:val="00DE05BD"/>
    <w:rsid w:val="00DE0EAB"/>
    <w:rsid w:val="00DE1953"/>
    <w:rsid w:val="00DE3889"/>
    <w:rsid w:val="00DE7C6E"/>
    <w:rsid w:val="00DF0322"/>
    <w:rsid w:val="00DF20FC"/>
    <w:rsid w:val="00DF2AC1"/>
    <w:rsid w:val="00DF3748"/>
    <w:rsid w:val="00DF50E3"/>
    <w:rsid w:val="00DF7C1C"/>
    <w:rsid w:val="00E017CE"/>
    <w:rsid w:val="00E01A40"/>
    <w:rsid w:val="00E03DA3"/>
    <w:rsid w:val="00E04C29"/>
    <w:rsid w:val="00E11987"/>
    <w:rsid w:val="00E11EF1"/>
    <w:rsid w:val="00E15582"/>
    <w:rsid w:val="00E16157"/>
    <w:rsid w:val="00E165FC"/>
    <w:rsid w:val="00E172F7"/>
    <w:rsid w:val="00E20AC5"/>
    <w:rsid w:val="00E22953"/>
    <w:rsid w:val="00E22B9E"/>
    <w:rsid w:val="00E22EAA"/>
    <w:rsid w:val="00E22F88"/>
    <w:rsid w:val="00E23F7C"/>
    <w:rsid w:val="00E26640"/>
    <w:rsid w:val="00E31DD5"/>
    <w:rsid w:val="00E3326D"/>
    <w:rsid w:val="00E333F6"/>
    <w:rsid w:val="00E375AA"/>
    <w:rsid w:val="00E44452"/>
    <w:rsid w:val="00E515F8"/>
    <w:rsid w:val="00E557C2"/>
    <w:rsid w:val="00E5586F"/>
    <w:rsid w:val="00E5595F"/>
    <w:rsid w:val="00E60D07"/>
    <w:rsid w:val="00E63F7B"/>
    <w:rsid w:val="00E658DB"/>
    <w:rsid w:val="00E6734B"/>
    <w:rsid w:val="00E67501"/>
    <w:rsid w:val="00E700C4"/>
    <w:rsid w:val="00E719F2"/>
    <w:rsid w:val="00E75B24"/>
    <w:rsid w:val="00E75D45"/>
    <w:rsid w:val="00E76E48"/>
    <w:rsid w:val="00E772B1"/>
    <w:rsid w:val="00E817B9"/>
    <w:rsid w:val="00E9543B"/>
    <w:rsid w:val="00E96AD2"/>
    <w:rsid w:val="00EA0532"/>
    <w:rsid w:val="00EA09EA"/>
    <w:rsid w:val="00EA3541"/>
    <w:rsid w:val="00EA68C9"/>
    <w:rsid w:val="00EA7E7C"/>
    <w:rsid w:val="00EB1CC6"/>
    <w:rsid w:val="00EB35F2"/>
    <w:rsid w:val="00EC0292"/>
    <w:rsid w:val="00EC1858"/>
    <w:rsid w:val="00EC22BB"/>
    <w:rsid w:val="00EC3440"/>
    <w:rsid w:val="00EC4A81"/>
    <w:rsid w:val="00ED4EA3"/>
    <w:rsid w:val="00ED54BE"/>
    <w:rsid w:val="00ED6DE1"/>
    <w:rsid w:val="00EE1492"/>
    <w:rsid w:val="00EE1A2F"/>
    <w:rsid w:val="00EE46F9"/>
    <w:rsid w:val="00EE526F"/>
    <w:rsid w:val="00EE7564"/>
    <w:rsid w:val="00EF02A6"/>
    <w:rsid w:val="00EF27D8"/>
    <w:rsid w:val="00EF3981"/>
    <w:rsid w:val="00EF3F21"/>
    <w:rsid w:val="00EF4D79"/>
    <w:rsid w:val="00F01494"/>
    <w:rsid w:val="00F0154B"/>
    <w:rsid w:val="00F062DD"/>
    <w:rsid w:val="00F0651D"/>
    <w:rsid w:val="00F1312F"/>
    <w:rsid w:val="00F20984"/>
    <w:rsid w:val="00F21B72"/>
    <w:rsid w:val="00F309C2"/>
    <w:rsid w:val="00F3195E"/>
    <w:rsid w:val="00F37D01"/>
    <w:rsid w:val="00F4273D"/>
    <w:rsid w:val="00F44A31"/>
    <w:rsid w:val="00F54039"/>
    <w:rsid w:val="00F54675"/>
    <w:rsid w:val="00F57073"/>
    <w:rsid w:val="00F57A72"/>
    <w:rsid w:val="00F60255"/>
    <w:rsid w:val="00F6069C"/>
    <w:rsid w:val="00F60E66"/>
    <w:rsid w:val="00F61C43"/>
    <w:rsid w:val="00F62B7D"/>
    <w:rsid w:val="00F62B7E"/>
    <w:rsid w:val="00F64224"/>
    <w:rsid w:val="00F6430C"/>
    <w:rsid w:val="00F66028"/>
    <w:rsid w:val="00F673FB"/>
    <w:rsid w:val="00F6750E"/>
    <w:rsid w:val="00F67B10"/>
    <w:rsid w:val="00F724DB"/>
    <w:rsid w:val="00F75463"/>
    <w:rsid w:val="00F767C9"/>
    <w:rsid w:val="00F77CDF"/>
    <w:rsid w:val="00F83369"/>
    <w:rsid w:val="00F905D9"/>
    <w:rsid w:val="00F92576"/>
    <w:rsid w:val="00F92F69"/>
    <w:rsid w:val="00F9776F"/>
    <w:rsid w:val="00FA0768"/>
    <w:rsid w:val="00FA2D92"/>
    <w:rsid w:val="00FA3CCD"/>
    <w:rsid w:val="00FA4758"/>
    <w:rsid w:val="00FA4C81"/>
    <w:rsid w:val="00FB55BD"/>
    <w:rsid w:val="00FB6BD8"/>
    <w:rsid w:val="00FC3B59"/>
    <w:rsid w:val="00FC6593"/>
    <w:rsid w:val="00FD05B2"/>
    <w:rsid w:val="00FD2A92"/>
    <w:rsid w:val="00FD2F8A"/>
    <w:rsid w:val="00FD5C7C"/>
    <w:rsid w:val="00FD6185"/>
    <w:rsid w:val="00FD7136"/>
    <w:rsid w:val="00FD7C1F"/>
    <w:rsid w:val="00FE3665"/>
    <w:rsid w:val="00FE38BD"/>
    <w:rsid w:val="00FE758B"/>
    <w:rsid w:val="00FF2217"/>
    <w:rsid w:val="00FF22EE"/>
    <w:rsid w:val="00FF235B"/>
    <w:rsid w:val="00FF66F5"/>
    <w:rsid w:val="00FF7177"/>
  </w:rsids>
  <m:mathPr>
    <m:mathFont m:val="Merriweather-Regular"/>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24246"/>
    <w:rPr>
      <w:rFonts w:eastAsiaTheme="minorEastAsia"/>
      <w:lang w:val="en-GB" w:eastAsia="ja-JP"/>
    </w:rPr>
  </w:style>
  <w:style w:type="paragraph" w:styleId="Heading1">
    <w:name w:val="heading 1"/>
    <w:basedOn w:val="Normal"/>
    <w:next w:val="Normal"/>
    <w:link w:val="Heading1Char"/>
    <w:uiPriority w:val="9"/>
    <w:qFormat/>
    <w:rsid w:val="004B79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2424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2424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unhideWhenUsed/>
    <w:rsid w:val="00824246"/>
    <w:rPr>
      <w:rFonts w:ascii="Lucida Grande" w:hAnsi="Lucida Grande" w:cs="Lucida Grande"/>
      <w:sz w:val="18"/>
      <w:szCs w:val="18"/>
    </w:rPr>
  </w:style>
  <w:style w:type="character" w:customStyle="1" w:styleId="BalloonTextChar">
    <w:name w:val="Balloon Text Char"/>
    <w:basedOn w:val="DefaultParagraphFont"/>
    <w:uiPriority w:val="99"/>
    <w:semiHidden/>
    <w:rsid w:val="001377DF"/>
    <w:rPr>
      <w:rFonts w:ascii="Lucida Grande" w:hAnsi="Lucida Grande" w:cs="Lucida Grande"/>
      <w:sz w:val="18"/>
      <w:szCs w:val="18"/>
    </w:rPr>
  </w:style>
  <w:style w:type="character" w:customStyle="1" w:styleId="BalloonTextChar0">
    <w:name w:val="Balloon Text Char"/>
    <w:basedOn w:val="DefaultParagraphFont"/>
    <w:uiPriority w:val="99"/>
    <w:semiHidden/>
    <w:rsid w:val="00202EAA"/>
    <w:rPr>
      <w:rFonts w:ascii="Lucida Grande" w:hAnsi="Lucida Grande"/>
      <w:sz w:val="18"/>
      <w:szCs w:val="18"/>
    </w:rPr>
  </w:style>
  <w:style w:type="character" w:customStyle="1" w:styleId="BalloonTextChar2">
    <w:name w:val="Balloon Text Char"/>
    <w:basedOn w:val="DefaultParagraphFont"/>
    <w:uiPriority w:val="99"/>
    <w:semiHidden/>
    <w:rsid w:val="006E18C8"/>
    <w:rPr>
      <w:rFonts w:ascii="Lucida Grande" w:hAnsi="Lucida Grande"/>
      <w:sz w:val="18"/>
      <w:szCs w:val="18"/>
    </w:rPr>
  </w:style>
  <w:style w:type="character" w:customStyle="1" w:styleId="BalloonTextChar3">
    <w:name w:val="Balloon Text Char"/>
    <w:basedOn w:val="DefaultParagraphFont"/>
    <w:uiPriority w:val="99"/>
    <w:semiHidden/>
    <w:rsid w:val="006E18C8"/>
    <w:rPr>
      <w:rFonts w:ascii="Lucida Grande" w:hAnsi="Lucida Grande"/>
      <w:sz w:val="18"/>
      <w:szCs w:val="18"/>
    </w:rPr>
  </w:style>
  <w:style w:type="character" w:customStyle="1" w:styleId="BalloonTextChar4">
    <w:name w:val="Balloon Text Char"/>
    <w:basedOn w:val="DefaultParagraphFont"/>
    <w:uiPriority w:val="99"/>
    <w:semiHidden/>
    <w:rsid w:val="00A51B93"/>
    <w:rPr>
      <w:rFonts w:ascii="Lucida Grande" w:hAnsi="Lucida Grande"/>
      <w:sz w:val="18"/>
      <w:szCs w:val="18"/>
    </w:rPr>
  </w:style>
  <w:style w:type="character" w:customStyle="1" w:styleId="BalloonTextChar5">
    <w:name w:val="Balloon Text Char"/>
    <w:basedOn w:val="DefaultParagraphFont"/>
    <w:uiPriority w:val="99"/>
    <w:semiHidden/>
    <w:rsid w:val="00364B17"/>
    <w:rPr>
      <w:rFonts w:ascii="Lucida Grande" w:hAnsi="Lucida Grande"/>
      <w:sz w:val="18"/>
      <w:szCs w:val="18"/>
    </w:rPr>
  </w:style>
  <w:style w:type="character" w:customStyle="1" w:styleId="BalloonTextChar6">
    <w:name w:val="Balloon Text Char"/>
    <w:basedOn w:val="DefaultParagraphFont"/>
    <w:uiPriority w:val="99"/>
    <w:semiHidden/>
    <w:rsid w:val="007F407F"/>
    <w:rPr>
      <w:rFonts w:ascii="Lucida Grande" w:hAnsi="Lucida Grande"/>
      <w:sz w:val="18"/>
      <w:szCs w:val="18"/>
    </w:rPr>
  </w:style>
  <w:style w:type="character" w:customStyle="1" w:styleId="Heading2Char">
    <w:name w:val="Heading 2 Char"/>
    <w:basedOn w:val="DefaultParagraphFont"/>
    <w:link w:val="Heading2"/>
    <w:uiPriority w:val="9"/>
    <w:rsid w:val="00824246"/>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824246"/>
    <w:rPr>
      <w:rFonts w:asciiTheme="majorHAnsi" w:eastAsiaTheme="majorEastAsia" w:hAnsiTheme="majorHAnsi" w:cstheme="majorBidi"/>
      <w:b/>
      <w:bCs/>
      <w:color w:val="4F81BD" w:themeColor="accent1"/>
      <w:sz w:val="22"/>
      <w:szCs w:val="22"/>
      <w:lang w:val="en-GB"/>
    </w:rPr>
  </w:style>
  <w:style w:type="paragraph" w:styleId="Footer">
    <w:name w:val="footer"/>
    <w:basedOn w:val="Normal"/>
    <w:link w:val="FooterChar"/>
    <w:uiPriority w:val="99"/>
    <w:unhideWhenUsed/>
    <w:rsid w:val="00824246"/>
    <w:pPr>
      <w:tabs>
        <w:tab w:val="center" w:pos="4320"/>
        <w:tab w:val="right" w:pos="8640"/>
      </w:tabs>
    </w:pPr>
  </w:style>
  <w:style w:type="character" w:customStyle="1" w:styleId="FooterChar">
    <w:name w:val="Footer Char"/>
    <w:basedOn w:val="DefaultParagraphFont"/>
    <w:link w:val="Footer"/>
    <w:uiPriority w:val="99"/>
    <w:rsid w:val="00824246"/>
    <w:rPr>
      <w:rFonts w:eastAsiaTheme="minorEastAsia"/>
      <w:lang w:val="en-GB" w:eastAsia="ja-JP"/>
    </w:rPr>
  </w:style>
  <w:style w:type="character" w:styleId="PageNumber">
    <w:name w:val="page number"/>
    <w:basedOn w:val="DefaultParagraphFont"/>
    <w:uiPriority w:val="99"/>
    <w:semiHidden/>
    <w:unhideWhenUsed/>
    <w:rsid w:val="00824246"/>
  </w:style>
  <w:style w:type="paragraph" w:styleId="ListParagraph">
    <w:name w:val="List Paragraph"/>
    <w:basedOn w:val="Normal"/>
    <w:uiPriority w:val="34"/>
    <w:qFormat/>
    <w:rsid w:val="00824246"/>
    <w:pPr>
      <w:ind w:left="720"/>
      <w:contextualSpacing/>
    </w:pPr>
  </w:style>
  <w:style w:type="table" w:styleId="TableGrid">
    <w:name w:val="Table Grid"/>
    <w:basedOn w:val="TableNormal"/>
    <w:uiPriority w:val="59"/>
    <w:rsid w:val="00824246"/>
    <w:rPr>
      <w:rFonts w:eastAsiaTheme="minorEastAsia"/>
      <w:lang w:val="en-GB"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824246"/>
    <w:pPr>
      <w:spacing w:beforeLines="1" w:afterLines="1"/>
    </w:pPr>
    <w:rPr>
      <w:rFonts w:ascii="Times" w:eastAsiaTheme="minorHAnsi" w:hAnsi="Times" w:cs="Times New Roman"/>
      <w:sz w:val="20"/>
      <w:szCs w:val="20"/>
    </w:rPr>
  </w:style>
  <w:style w:type="character" w:customStyle="1" w:styleId="BalloonTextChar1">
    <w:name w:val="Balloon Text Char1"/>
    <w:basedOn w:val="DefaultParagraphFont"/>
    <w:link w:val="BalloonText"/>
    <w:uiPriority w:val="99"/>
    <w:rsid w:val="00824246"/>
    <w:rPr>
      <w:rFonts w:ascii="Lucida Grande" w:eastAsiaTheme="minorEastAsia" w:hAnsi="Lucida Grande" w:cs="Lucida Grande"/>
      <w:sz w:val="18"/>
      <w:szCs w:val="18"/>
      <w:lang w:val="en-GB" w:eastAsia="ja-JP"/>
    </w:rPr>
  </w:style>
  <w:style w:type="character" w:styleId="CommentReference">
    <w:name w:val="annotation reference"/>
    <w:basedOn w:val="DefaultParagraphFont"/>
    <w:uiPriority w:val="99"/>
    <w:unhideWhenUsed/>
    <w:rsid w:val="00824246"/>
    <w:rPr>
      <w:sz w:val="18"/>
      <w:szCs w:val="18"/>
    </w:rPr>
  </w:style>
  <w:style w:type="paragraph" w:styleId="CommentText">
    <w:name w:val="annotation text"/>
    <w:basedOn w:val="Normal"/>
    <w:link w:val="CommentTextChar"/>
    <w:uiPriority w:val="99"/>
    <w:unhideWhenUsed/>
    <w:rsid w:val="00824246"/>
  </w:style>
  <w:style w:type="character" w:customStyle="1" w:styleId="CommentTextChar">
    <w:name w:val="Comment Text Char"/>
    <w:basedOn w:val="DefaultParagraphFont"/>
    <w:link w:val="CommentText"/>
    <w:uiPriority w:val="99"/>
    <w:rsid w:val="00824246"/>
    <w:rPr>
      <w:rFonts w:eastAsiaTheme="minorEastAsia"/>
      <w:lang w:val="en-GB" w:eastAsia="ja-JP"/>
    </w:rPr>
  </w:style>
  <w:style w:type="paragraph" w:styleId="CommentSubject">
    <w:name w:val="annotation subject"/>
    <w:basedOn w:val="CommentText"/>
    <w:next w:val="CommentText"/>
    <w:link w:val="CommentSubjectChar"/>
    <w:uiPriority w:val="99"/>
    <w:unhideWhenUsed/>
    <w:rsid w:val="00824246"/>
    <w:rPr>
      <w:b/>
      <w:bCs/>
      <w:sz w:val="20"/>
      <w:szCs w:val="20"/>
    </w:rPr>
  </w:style>
  <w:style w:type="character" w:customStyle="1" w:styleId="CommentSubjectChar">
    <w:name w:val="Comment Subject Char"/>
    <w:basedOn w:val="CommentTextChar"/>
    <w:link w:val="CommentSubject"/>
    <w:uiPriority w:val="99"/>
    <w:rsid w:val="00824246"/>
    <w:rPr>
      <w:rFonts w:eastAsiaTheme="minorEastAsia"/>
      <w:b/>
      <w:bCs/>
      <w:sz w:val="20"/>
      <w:szCs w:val="20"/>
      <w:lang w:val="en-GB" w:eastAsia="ja-JP"/>
    </w:rPr>
  </w:style>
  <w:style w:type="character" w:styleId="Hyperlink">
    <w:name w:val="Hyperlink"/>
    <w:basedOn w:val="DefaultParagraphFont"/>
    <w:uiPriority w:val="99"/>
    <w:unhideWhenUsed/>
    <w:rsid w:val="00824246"/>
    <w:rPr>
      <w:color w:val="0000FF" w:themeColor="hyperlink"/>
      <w:u w:val="single"/>
    </w:rPr>
  </w:style>
  <w:style w:type="paragraph" w:styleId="Revision">
    <w:name w:val="Revision"/>
    <w:hidden/>
    <w:rsid w:val="00824246"/>
    <w:rPr>
      <w:rFonts w:eastAsiaTheme="minorEastAsia"/>
      <w:lang w:val="en-GB" w:eastAsia="ja-JP"/>
    </w:rPr>
  </w:style>
  <w:style w:type="character" w:customStyle="1" w:styleId="Heading1Char">
    <w:name w:val="Heading 1 Char"/>
    <w:basedOn w:val="DefaultParagraphFont"/>
    <w:link w:val="Heading1"/>
    <w:uiPriority w:val="9"/>
    <w:rsid w:val="004B79ED"/>
    <w:rPr>
      <w:rFonts w:asciiTheme="majorHAnsi" w:eastAsiaTheme="majorEastAsia" w:hAnsiTheme="majorHAnsi" w:cstheme="majorBidi"/>
      <w:b/>
      <w:bCs/>
      <w:color w:val="365F91" w:themeColor="accent1" w:themeShade="BF"/>
      <w:sz w:val="28"/>
      <w:szCs w:val="28"/>
      <w:lang w:val="en-GB" w:eastAsia="ja-JP"/>
    </w:rPr>
  </w:style>
  <w:style w:type="paragraph" w:styleId="NoSpacing">
    <w:name w:val="No Spacing"/>
    <w:uiPriority w:val="1"/>
    <w:qFormat/>
    <w:rsid w:val="004B79ED"/>
    <w:rPr>
      <w:sz w:val="22"/>
      <w:szCs w:val="22"/>
      <w:lang w:val="en-GB"/>
    </w:rPr>
  </w:style>
  <w:style w:type="paragraph" w:styleId="FootnoteText">
    <w:name w:val="footnote text"/>
    <w:basedOn w:val="Normal"/>
    <w:link w:val="FootnoteTextChar"/>
    <w:rsid w:val="00DE0EAB"/>
    <w:rPr>
      <w:sz w:val="20"/>
      <w:szCs w:val="20"/>
    </w:rPr>
  </w:style>
  <w:style w:type="character" w:customStyle="1" w:styleId="FootnoteTextChar">
    <w:name w:val="Footnote Text Char"/>
    <w:basedOn w:val="DefaultParagraphFont"/>
    <w:link w:val="FootnoteText"/>
    <w:rsid w:val="00DE0EAB"/>
    <w:rPr>
      <w:rFonts w:eastAsiaTheme="minorEastAsia"/>
      <w:sz w:val="20"/>
      <w:szCs w:val="20"/>
      <w:lang w:val="en-GB" w:eastAsia="ja-JP"/>
    </w:rPr>
  </w:style>
  <w:style w:type="character" w:styleId="FootnoteReference">
    <w:name w:val="footnote reference"/>
    <w:basedOn w:val="DefaultParagraphFont"/>
    <w:uiPriority w:val="99"/>
    <w:rsid w:val="00DE0EAB"/>
    <w:rPr>
      <w:vertAlign w:val="superscript"/>
    </w:rPr>
  </w:style>
  <w:style w:type="character" w:customStyle="1" w:styleId="personname3">
    <w:name w:val="person_name3"/>
    <w:basedOn w:val="DefaultParagraphFont"/>
    <w:rsid w:val="001017BF"/>
  </w:style>
  <w:style w:type="character" w:styleId="Emphasis">
    <w:name w:val="Emphasis"/>
    <w:basedOn w:val="DefaultParagraphFont"/>
    <w:uiPriority w:val="20"/>
    <w:qFormat/>
    <w:rsid w:val="001017BF"/>
    <w:rPr>
      <w:i/>
      <w:iCs/>
    </w:rPr>
  </w:style>
  <w:style w:type="paragraph" w:styleId="Header">
    <w:name w:val="header"/>
    <w:basedOn w:val="Normal"/>
    <w:link w:val="HeaderChar"/>
    <w:rsid w:val="001017BF"/>
    <w:pPr>
      <w:tabs>
        <w:tab w:val="center" w:pos="4320"/>
        <w:tab w:val="right" w:pos="8640"/>
      </w:tabs>
    </w:pPr>
  </w:style>
  <w:style w:type="character" w:customStyle="1" w:styleId="HeaderChar">
    <w:name w:val="Header Char"/>
    <w:basedOn w:val="DefaultParagraphFont"/>
    <w:link w:val="Header"/>
    <w:rsid w:val="001017BF"/>
    <w:rPr>
      <w:rFonts w:eastAsiaTheme="minorEastAsia"/>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annotation text" w:uiPriority="99"/>
    <w:lsdException w:name="footer" w:uiPriority="99"/>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46"/>
    <w:rPr>
      <w:rFonts w:eastAsiaTheme="minorEastAsia"/>
      <w:lang w:val="en-GB" w:eastAsia="ja-JP"/>
    </w:rPr>
  </w:style>
  <w:style w:type="paragraph" w:styleId="Heading1">
    <w:name w:val="heading 1"/>
    <w:basedOn w:val="Normal"/>
    <w:next w:val="Normal"/>
    <w:link w:val="Heading1Char"/>
    <w:uiPriority w:val="9"/>
    <w:qFormat/>
    <w:rsid w:val="004B79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2424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2424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824246"/>
    <w:rPr>
      <w:rFonts w:ascii="Lucida Grande" w:hAnsi="Lucida Grande" w:cs="Lucida Grande"/>
      <w:sz w:val="18"/>
      <w:szCs w:val="18"/>
    </w:rPr>
  </w:style>
  <w:style w:type="character" w:customStyle="1" w:styleId="BalloonTextChar">
    <w:name w:val="Balloon Text Char"/>
    <w:basedOn w:val="DefaultParagraphFont"/>
    <w:uiPriority w:val="99"/>
    <w:semiHidden/>
    <w:rsid w:val="001377DF"/>
    <w:rPr>
      <w:rFonts w:ascii="Lucida Grande" w:hAnsi="Lucida Grande" w:cs="Lucida Grande"/>
      <w:sz w:val="18"/>
      <w:szCs w:val="18"/>
    </w:rPr>
  </w:style>
  <w:style w:type="character" w:customStyle="1" w:styleId="BalloonTextChar0">
    <w:name w:val="Balloon Text Char"/>
    <w:basedOn w:val="DefaultParagraphFont"/>
    <w:uiPriority w:val="99"/>
    <w:semiHidden/>
    <w:rsid w:val="00202EAA"/>
    <w:rPr>
      <w:rFonts w:ascii="Lucida Grande" w:hAnsi="Lucida Grande"/>
      <w:sz w:val="18"/>
      <w:szCs w:val="18"/>
    </w:rPr>
  </w:style>
  <w:style w:type="character" w:customStyle="1" w:styleId="BalloonTextChar2">
    <w:name w:val="Balloon Text Char"/>
    <w:basedOn w:val="DefaultParagraphFont"/>
    <w:uiPriority w:val="99"/>
    <w:semiHidden/>
    <w:rsid w:val="006E18C8"/>
    <w:rPr>
      <w:rFonts w:ascii="Lucida Grande" w:hAnsi="Lucida Grande"/>
      <w:sz w:val="18"/>
      <w:szCs w:val="18"/>
    </w:rPr>
  </w:style>
  <w:style w:type="character" w:customStyle="1" w:styleId="BalloonTextChar3">
    <w:name w:val="Balloon Text Char"/>
    <w:basedOn w:val="DefaultParagraphFont"/>
    <w:uiPriority w:val="99"/>
    <w:semiHidden/>
    <w:rsid w:val="006E18C8"/>
    <w:rPr>
      <w:rFonts w:ascii="Lucida Grande" w:hAnsi="Lucida Grande"/>
      <w:sz w:val="18"/>
      <w:szCs w:val="18"/>
    </w:rPr>
  </w:style>
  <w:style w:type="character" w:customStyle="1" w:styleId="BalloonTextChar4">
    <w:name w:val="Balloon Text Char"/>
    <w:basedOn w:val="DefaultParagraphFont"/>
    <w:uiPriority w:val="99"/>
    <w:semiHidden/>
    <w:rsid w:val="00A51B93"/>
    <w:rPr>
      <w:rFonts w:ascii="Lucida Grande" w:hAnsi="Lucida Grande"/>
      <w:sz w:val="18"/>
      <w:szCs w:val="18"/>
    </w:rPr>
  </w:style>
  <w:style w:type="character" w:customStyle="1" w:styleId="BalloonTextChar5">
    <w:name w:val="Balloon Text Char"/>
    <w:basedOn w:val="DefaultParagraphFont"/>
    <w:uiPriority w:val="99"/>
    <w:semiHidden/>
    <w:rsid w:val="00364B17"/>
    <w:rPr>
      <w:rFonts w:ascii="Lucida Grande" w:hAnsi="Lucida Grande"/>
      <w:sz w:val="18"/>
      <w:szCs w:val="18"/>
    </w:rPr>
  </w:style>
  <w:style w:type="character" w:customStyle="1" w:styleId="BalloonTextChar6">
    <w:name w:val="Balloon Text Char"/>
    <w:basedOn w:val="DefaultParagraphFont"/>
    <w:uiPriority w:val="99"/>
    <w:semiHidden/>
    <w:rsid w:val="007F407F"/>
    <w:rPr>
      <w:rFonts w:ascii="Lucida Grande" w:hAnsi="Lucida Grande"/>
      <w:sz w:val="18"/>
      <w:szCs w:val="18"/>
    </w:rPr>
  </w:style>
  <w:style w:type="character" w:customStyle="1" w:styleId="Heading2Char">
    <w:name w:val="Heading 2 Char"/>
    <w:basedOn w:val="DefaultParagraphFont"/>
    <w:link w:val="Heading2"/>
    <w:uiPriority w:val="9"/>
    <w:rsid w:val="00824246"/>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824246"/>
    <w:rPr>
      <w:rFonts w:asciiTheme="majorHAnsi" w:eastAsiaTheme="majorEastAsia" w:hAnsiTheme="majorHAnsi" w:cstheme="majorBidi"/>
      <w:b/>
      <w:bCs/>
      <w:color w:val="4F81BD" w:themeColor="accent1"/>
      <w:sz w:val="22"/>
      <w:szCs w:val="22"/>
      <w:lang w:val="en-GB"/>
    </w:rPr>
  </w:style>
  <w:style w:type="paragraph" w:styleId="Footer">
    <w:name w:val="footer"/>
    <w:basedOn w:val="Normal"/>
    <w:link w:val="FooterChar"/>
    <w:uiPriority w:val="99"/>
    <w:unhideWhenUsed/>
    <w:rsid w:val="00824246"/>
    <w:pPr>
      <w:tabs>
        <w:tab w:val="center" w:pos="4320"/>
        <w:tab w:val="right" w:pos="8640"/>
      </w:tabs>
    </w:pPr>
  </w:style>
  <w:style w:type="character" w:customStyle="1" w:styleId="FooterChar">
    <w:name w:val="Footer Char"/>
    <w:basedOn w:val="DefaultParagraphFont"/>
    <w:link w:val="Footer"/>
    <w:uiPriority w:val="99"/>
    <w:rsid w:val="00824246"/>
    <w:rPr>
      <w:rFonts w:eastAsiaTheme="minorEastAsia"/>
      <w:lang w:val="en-GB" w:eastAsia="ja-JP"/>
    </w:rPr>
  </w:style>
  <w:style w:type="character" w:styleId="PageNumber">
    <w:name w:val="page number"/>
    <w:basedOn w:val="DefaultParagraphFont"/>
    <w:uiPriority w:val="99"/>
    <w:semiHidden/>
    <w:unhideWhenUsed/>
    <w:rsid w:val="00824246"/>
  </w:style>
  <w:style w:type="paragraph" w:styleId="ListParagraph">
    <w:name w:val="List Paragraph"/>
    <w:basedOn w:val="Normal"/>
    <w:uiPriority w:val="34"/>
    <w:qFormat/>
    <w:rsid w:val="00824246"/>
    <w:pPr>
      <w:ind w:left="720"/>
      <w:contextualSpacing/>
    </w:pPr>
  </w:style>
  <w:style w:type="table" w:styleId="TableGrid">
    <w:name w:val="Table Grid"/>
    <w:basedOn w:val="TableNormal"/>
    <w:uiPriority w:val="59"/>
    <w:rsid w:val="00824246"/>
    <w:rPr>
      <w:rFonts w:eastAsiaTheme="minorEastAsia"/>
      <w:lang w:val="en-GB"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824246"/>
    <w:pPr>
      <w:spacing w:beforeLines="1" w:afterLines="1"/>
    </w:pPr>
    <w:rPr>
      <w:rFonts w:ascii="Times" w:eastAsiaTheme="minorHAnsi" w:hAnsi="Times" w:cs="Times New Roman"/>
      <w:sz w:val="20"/>
      <w:szCs w:val="20"/>
    </w:rPr>
  </w:style>
  <w:style w:type="character" w:customStyle="1" w:styleId="BalloonTextChar1">
    <w:name w:val="Balloon Text Char1"/>
    <w:basedOn w:val="DefaultParagraphFont"/>
    <w:link w:val="BalloonText"/>
    <w:uiPriority w:val="99"/>
    <w:rsid w:val="00824246"/>
    <w:rPr>
      <w:rFonts w:ascii="Lucida Grande" w:eastAsiaTheme="minorEastAsia" w:hAnsi="Lucida Grande" w:cs="Lucida Grande"/>
      <w:sz w:val="18"/>
      <w:szCs w:val="18"/>
      <w:lang w:val="en-GB" w:eastAsia="ja-JP"/>
    </w:rPr>
  </w:style>
  <w:style w:type="character" w:styleId="CommentReference">
    <w:name w:val="annotation reference"/>
    <w:basedOn w:val="DefaultParagraphFont"/>
    <w:uiPriority w:val="99"/>
    <w:unhideWhenUsed/>
    <w:rsid w:val="00824246"/>
    <w:rPr>
      <w:sz w:val="18"/>
      <w:szCs w:val="18"/>
    </w:rPr>
  </w:style>
  <w:style w:type="paragraph" w:styleId="CommentText">
    <w:name w:val="annotation text"/>
    <w:basedOn w:val="Normal"/>
    <w:link w:val="CommentTextChar"/>
    <w:uiPriority w:val="99"/>
    <w:unhideWhenUsed/>
    <w:rsid w:val="00824246"/>
  </w:style>
  <w:style w:type="character" w:customStyle="1" w:styleId="CommentTextChar">
    <w:name w:val="Comment Text Char"/>
    <w:basedOn w:val="DefaultParagraphFont"/>
    <w:link w:val="CommentText"/>
    <w:uiPriority w:val="99"/>
    <w:rsid w:val="00824246"/>
    <w:rPr>
      <w:rFonts w:eastAsiaTheme="minorEastAsia"/>
      <w:lang w:val="en-GB" w:eastAsia="ja-JP"/>
    </w:rPr>
  </w:style>
  <w:style w:type="paragraph" w:styleId="CommentSubject">
    <w:name w:val="annotation subject"/>
    <w:basedOn w:val="CommentText"/>
    <w:next w:val="CommentText"/>
    <w:link w:val="CommentSubjectChar"/>
    <w:uiPriority w:val="99"/>
    <w:unhideWhenUsed/>
    <w:rsid w:val="00824246"/>
    <w:rPr>
      <w:b/>
      <w:bCs/>
      <w:sz w:val="20"/>
      <w:szCs w:val="20"/>
    </w:rPr>
  </w:style>
  <w:style w:type="character" w:customStyle="1" w:styleId="CommentSubjectChar">
    <w:name w:val="Comment Subject Char"/>
    <w:basedOn w:val="CommentTextChar"/>
    <w:link w:val="CommentSubject"/>
    <w:uiPriority w:val="99"/>
    <w:rsid w:val="00824246"/>
    <w:rPr>
      <w:rFonts w:eastAsiaTheme="minorEastAsia"/>
      <w:b/>
      <w:bCs/>
      <w:sz w:val="20"/>
      <w:szCs w:val="20"/>
      <w:lang w:val="en-GB" w:eastAsia="ja-JP"/>
    </w:rPr>
  </w:style>
  <w:style w:type="character" w:styleId="Hyperlink">
    <w:name w:val="Hyperlink"/>
    <w:basedOn w:val="DefaultParagraphFont"/>
    <w:uiPriority w:val="99"/>
    <w:unhideWhenUsed/>
    <w:rsid w:val="00824246"/>
    <w:rPr>
      <w:color w:val="0000FF" w:themeColor="hyperlink"/>
      <w:u w:val="single"/>
    </w:rPr>
  </w:style>
  <w:style w:type="paragraph" w:styleId="Revision">
    <w:name w:val="Revision"/>
    <w:hidden/>
    <w:rsid w:val="00824246"/>
    <w:rPr>
      <w:rFonts w:eastAsiaTheme="minorEastAsia"/>
      <w:lang w:val="en-GB" w:eastAsia="ja-JP"/>
    </w:rPr>
  </w:style>
  <w:style w:type="character" w:customStyle="1" w:styleId="Heading1Char">
    <w:name w:val="Heading 1 Char"/>
    <w:basedOn w:val="DefaultParagraphFont"/>
    <w:link w:val="Heading1"/>
    <w:uiPriority w:val="9"/>
    <w:rsid w:val="004B79ED"/>
    <w:rPr>
      <w:rFonts w:asciiTheme="majorHAnsi" w:eastAsiaTheme="majorEastAsia" w:hAnsiTheme="majorHAnsi" w:cstheme="majorBidi"/>
      <w:b/>
      <w:bCs/>
      <w:color w:val="365F91" w:themeColor="accent1" w:themeShade="BF"/>
      <w:sz w:val="28"/>
      <w:szCs w:val="28"/>
      <w:lang w:val="en-GB" w:eastAsia="ja-JP"/>
    </w:rPr>
  </w:style>
  <w:style w:type="paragraph" w:styleId="NoSpacing">
    <w:name w:val="No Spacing"/>
    <w:uiPriority w:val="1"/>
    <w:qFormat/>
    <w:rsid w:val="004B79ED"/>
    <w:rPr>
      <w:sz w:val="22"/>
      <w:szCs w:val="22"/>
      <w:lang w:val="en-GB"/>
    </w:rPr>
  </w:style>
  <w:style w:type="paragraph" w:styleId="FootnoteText">
    <w:name w:val="footnote text"/>
    <w:basedOn w:val="Normal"/>
    <w:link w:val="FootnoteTextChar"/>
    <w:rsid w:val="00DE0EAB"/>
    <w:rPr>
      <w:sz w:val="20"/>
      <w:szCs w:val="20"/>
    </w:rPr>
  </w:style>
  <w:style w:type="character" w:customStyle="1" w:styleId="FootnoteTextChar">
    <w:name w:val="Footnote Text Char"/>
    <w:basedOn w:val="DefaultParagraphFont"/>
    <w:link w:val="FootnoteText"/>
    <w:rsid w:val="00DE0EAB"/>
    <w:rPr>
      <w:rFonts w:eastAsiaTheme="minorEastAsia"/>
      <w:sz w:val="20"/>
      <w:szCs w:val="20"/>
      <w:lang w:val="en-GB" w:eastAsia="ja-JP"/>
    </w:rPr>
  </w:style>
  <w:style w:type="character" w:styleId="FootnoteReference">
    <w:name w:val="footnote reference"/>
    <w:basedOn w:val="DefaultParagraphFont"/>
    <w:uiPriority w:val="99"/>
    <w:rsid w:val="00DE0EAB"/>
    <w:rPr>
      <w:vertAlign w:val="superscript"/>
    </w:rPr>
  </w:style>
  <w:style w:type="character" w:customStyle="1" w:styleId="personname3">
    <w:name w:val="person_name3"/>
    <w:basedOn w:val="DefaultParagraphFont"/>
    <w:rsid w:val="001017BF"/>
  </w:style>
  <w:style w:type="character" w:styleId="Emphasis">
    <w:name w:val="Emphasis"/>
    <w:basedOn w:val="DefaultParagraphFont"/>
    <w:uiPriority w:val="20"/>
    <w:qFormat/>
    <w:rsid w:val="001017BF"/>
    <w:rPr>
      <w:i/>
      <w:iCs/>
    </w:rPr>
  </w:style>
  <w:style w:type="paragraph" w:styleId="Header">
    <w:name w:val="header"/>
    <w:basedOn w:val="Normal"/>
    <w:link w:val="HeaderChar"/>
    <w:rsid w:val="001017BF"/>
    <w:pPr>
      <w:tabs>
        <w:tab w:val="center" w:pos="4320"/>
        <w:tab w:val="right" w:pos="8640"/>
      </w:tabs>
    </w:pPr>
  </w:style>
  <w:style w:type="character" w:customStyle="1" w:styleId="HeaderChar">
    <w:name w:val="Header Char"/>
    <w:basedOn w:val="DefaultParagraphFont"/>
    <w:link w:val="Header"/>
    <w:rsid w:val="001017BF"/>
    <w:rPr>
      <w:rFonts w:eastAsiaTheme="minorEastAsia"/>
      <w:lang w:val="en-GB" w:eastAsia="ja-JP"/>
    </w:rPr>
  </w:style>
</w:styles>
</file>

<file path=word/webSettings.xml><?xml version="1.0" encoding="utf-8"?>
<w:webSettings xmlns:r="http://schemas.openxmlformats.org/officeDocument/2006/relationships" xmlns:w="http://schemas.openxmlformats.org/wordprocessingml/2006/main">
  <w:divs>
    <w:div w:id="690183943">
      <w:bodyDiv w:val="1"/>
      <w:marLeft w:val="0"/>
      <w:marRight w:val="0"/>
      <w:marTop w:val="0"/>
      <w:marBottom w:val="0"/>
      <w:divBdr>
        <w:top w:val="none" w:sz="0" w:space="0" w:color="auto"/>
        <w:left w:val="none" w:sz="0" w:space="0" w:color="auto"/>
        <w:bottom w:val="none" w:sz="0" w:space="0" w:color="auto"/>
        <w:right w:val="none" w:sz="0" w:space="0" w:color="auto"/>
      </w:divBdr>
    </w:div>
    <w:div w:id="1094280495">
      <w:bodyDiv w:val="1"/>
      <w:marLeft w:val="0"/>
      <w:marRight w:val="0"/>
      <w:marTop w:val="0"/>
      <w:marBottom w:val="0"/>
      <w:divBdr>
        <w:top w:val="none" w:sz="0" w:space="0" w:color="auto"/>
        <w:left w:val="none" w:sz="0" w:space="0" w:color="auto"/>
        <w:bottom w:val="none" w:sz="0" w:space="0" w:color="auto"/>
        <w:right w:val="none" w:sz="0" w:space="0" w:color="auto"/>
      </w:divBdr>
    </w:div>
    <w:div w:id="1266231014">
      <w:bodyDiv w:val="1"/>
      <w:marLeft w:val="0"/>
      <w:marRight w:val="0"/>
      <w:marTop w:val="0"/>
      <w:marBottom w:val="0"/>
      <w:divBdr>
        <w:top w:val="none" w:sz="0" w:space="0" w:color="auto"/>
        <w:left w:val="none" w:sz="0" w:space="0" w:color="auto"/>
        <w:bottom w:val="none" w:sz="0" w:space="0" w:color="auto"/>
        <w:right w:val="none" w:sz="0" w:space="0" w:color="auto"/>
      </w:divBdr>
    </w:div>
    <w:div w:id="1945265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eim.bnpparibas.de/fileadmin/mediapool/downloads/Pressemitteilungen/englisch/BNPPREIM_Germany_Press_release_2014_08_25.pdf"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commentsExtended" Target="commentsExtended.xml"/><Relationship Id="rId25" Type="http://schemas.microsoft.com/office/2011/relationships/people" Target="people.xml"/><Relationship Id="rId26" Type="http://schemas.microsoft.com/office/2007/relationships/stylesWithEffects" Target="stylesWithEffects.xml"/><Relationship Id="rId10" Type="http://schemas.openxmlformats.org/officeDocument/2006/relationships/hyperlink" Target="http://www.bpf.org.uk/en/files/bpf_documents/finance/BPF_TIFS_Paper_Final_A4.pdf" TargetMode="External"/><Relationship Id="rId11" Type="http://schemas.openxmlformats.org/officeDocument/2006/relationships/hyperlink" Target="http://www.corecities.com/sites/default/files/images/publications/A%20Rough%20Guide%20to%20Tax%20Increment%20Financing_0.doc" TargetMode="External"/><Relationship Id="rId12" Type="http://schemas.openxmlformats.org/officeDocument/2006/relationships/hyperlink" Target="http://www.publications.parliament.uk/pa/cm201314/cmselect/cmeuleg/83-iv/8328.htm" TargetMode="External"/><Relationship Id="rId13" Type="http://schemas.openxmlformats.org/officeDocument/2006/relationships/hyperlink" Target="http://eib.europa.eu/products/project-bonds/index.htm" TargetMode="External"/><Relationship Id="rId14" Type="http://schemas.openxmlformats.org/officeDocument/2006/relationships/hyperlink" Target="http://europa.eu/rapid/press-release_IP-01-1332_en.htm" TargetMode="External"/><Relationship Id="rId15" Type="http://schemas.openxmlformats.org/officeDocument/2006/relationships/hyperlink" Target="http://www.equitix.co.uk/news2013.html" TargetMode="External"/><Relationship Id="rId16" Type="http://schemas.openxmlformats.org/officeDocument/2006/relationships/hyperlink" Target="http://siteresources.worldbank.org/CFPEXT/Resources/CFP_Working_Paper_No1.pdf" TargetMode="External"/><Relationship Id="rId17" Type="http://schemas.openxmlformats.org/officeDocument/2006/relationships/hyperlink" Target="https://openknowledge.worldbank.org/bitstream/handle/10986/6549/456450PUB0978010ONLY10Sept030102008.pdf?sequence=1" TargetMode="External"/><Relationship Id="rId18" Type="http://schemas.openxmlformats.org/officeDocument/2006/relationships/hyperlink" Target="http://www.oecd.org/dac/effectiveness/44087344.pdf"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sterdam.nl/gemeente/organisatie-diensten/dienst-ruimtelijke/making-amsterdam/portfolio/sustainability-pro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7726C-37CE-DB4B-86A3-53366EE2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29</Pages>
  <Words>8947</Words>
  <Characters>51003</Characters>
  <Application>Microsoft Macintosh Word</Application>
  <DocSecurity>0</DocSecurity>
  <Lines>425</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Squires</dc:creator>
  <cp:lastModifiedBy>Graham Squires</cp:lastModifiedBy>
  <cp:revision>47</cp:revision>
  <dcterms:created xsi:type="dcterms:W3CDTF">2015-12-11T15:07:00Z</dcterms:created>
  <dcterms:modified xsi:type="dcterms:W3CDTF">2016-01-26T12:10:00Z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-527378808</vt:i4>
  </property>
  <property fmtid="{D5CDD505-2E9C-101B-9397-08002B2CF9AE}" pid="4" name="_EmailSubject">
    <vt:lpwstr>Final proof for resubmission</vt:lpwstr>
  </property>
  <property fmtid="{D5CDD505-2E9C-101B-9397-08002B2CF9AE}" pid="5" name="_AuthorEmail">
    <vt:lpwstr>n.e.hutch@abdn.ac.uk</vt:lpwstr>
  </property>
  <property fmtid="{D5CDD505-2E9C-101B-9397-08002B2CF9AE}" pid="6" name="_AuthorEmailDisplayName">
    <vt:lpwstr>Hutchison, Professor Norman E.</vt:lpwstr>
  </property>
</Properties>
</file>