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C8B" w:rsidRDefault="00F36C8B" w:rsidP="00841263">
      <w:pPr>
        <w:spacing w:before="120" w:after="0" w:line="480" w:lineRule="auto"/>
        <w:rPr>
          <w:b/>
          <w:bCs/>
        </w:rPr>
      </w:pPr>
    </w:p>
    <w:p w:rsidR="00F36C8B" w:rsidRDefault="00F36C8B" w:rsidP="00841263">
      <w:pPr>
        <w:spacing w:before="120" w:after="0" w:line="480" w:lineRule="auto"/>
        <w:rPr>
          <w:b/>
          <w:bCs/>
        </w:rPr>
      </w:pPr>
    </w:p>
    <w:p w:rsidR="00F36C8B" w:rsidRDefault="00F36C8B" w:rsidP="00841263">
      <w:pPr>
        <w:spacing w:before="120" w:after="0" w:line="480" w:lineRule="auto"/>
        <w:rPr>
          <w:b/>
          <w:bCs/>
        </w:rPr>
      </w:pPr>
    </w:p>
    <w:p w:rsidR="00F36C8B" w:rsidRDefault="00F36C8B" w:rsidP="00841263">
      <w:pPr>
        <w:spacing w:before="120" w:after="0" w:line="480" w:lineRule="auto"/>
        <w:rPr>
          <w:b/>
          <w:bCs/>
        </w:rPr>
      </w:pPr>
    </w:p>
    <w:p w:rsidR="00F36C8B" w:rsidRDefault="00F36C8B" w:rsidP="00841263">
      <w:pPr>
        <w:spacing w:before="120" w:after="0" w:line="480" w:lineRule="auto"/>
        <w:rPr>
          <w:b/>
          <w:bCs/>
        </w:rPr>
      </w:pPr>
    </w:p>
    <w:p w:rsidR="00F36C8B" w:rsidRDefault="00F36C8B" w:rsidP="00841263">
      <w:pPr>
        <w:spacing w:before="120" w:after="0" w:line="480" w:lineRule="auto"/>
        <w:rPr>
          <w:b/>
          <w:bCs/>
        </w:rPr>
      </w:pPr>
    </w:p>
    <w:p w:rsidR="00F36C8B" w:rsidRDefault="00F36C8B" w:rsidP="00841263">
      <w:pPr>
        <w:spacing w:before="120" w:after="0" w:line="480" w:lineRule="auto"/>
        <w:rPr>
          <w:b/>
          <w:bCs/>
        </w:rPr>
      </w:pPr>
    </w:p>
    <w:p w:rsidR="00C84884" w:rsidRDefault="00051DBC" w:rsidP="00C24190">
      <w:pPr>
        <w:spacing w:before="120" w:after="0" w:line="480" w:lineRule="auto"/>
        <w:jc w:val="center"/>
      </w:pPr>
      <w:r>
        <w:rPr>
          <w:b/>
          <w:bCs/>
        </w:rPr>
        <w:t xml:space="preserve">A feasibility study of translating "Living Well with Dementia" groups into </w:t>
      </w:r>
      <w:r w:rsidR="00C24190">
        <w:rPr>
          <w:b/>
          <w:bCs/>
        </w:rPr>
        <w:t xml:space="preserve">a </w:t>
      </w:r>
      <w:r>
        <w:rPr>
          <w:b/>
          <w:bCs/>
        </w:rPr>
        <w:t>Primary care IAPT service</w:t>
      </w:r>
      <w:r w:rsidR="003162A2">
        <w:rPr>
          <w:rStyle w:val="FootnoteReference"/>
        </w:rPr>
        <w:footnoteReference w:id="1"/>
      </w:r>
    </w:p>
    <w:p w:rsidR="00DC4C54" w:rsidRDefault="00DC4C54" w:rsidP="00841263">
      <w:pPr>
        <w:spacing w:before="120" w:after="0" w:line="480" w:lineRule="auto"/>
      </w:pPr>
    </w:p>
    <w:p w:rsidR="008D68CC" w:rsidRPr="0067649B" w:rsidRDefault="008C0ACD" w:rsidP="00841263">
      <w:pPr>
        <w:spacing w:before="120" w:after="0" w:line="480" w:lineRule="auto"/>
      </w:pPr>
      <w:r w:rsidRPr="0067649B">
        <w:t xml:space="preserve">Richard </w:t>
      </w:r>
      <w:r w:rsidR="008D68CC" w:rsidRPr="0067649B">
        <w:t xml:space="preserve">Cheston and </w:t>
      </w:r>
      <w:r w:rsidRPr="0067649B">
        <w:t xml:space="preserve">Liz </w:t>
      </w:r>
      <w:r w:rsidR="008D68CC" w:rsidRPr="0067649B">
        <w:t>Howells</w:t>
      </w:r>
      <w:r w:rsidRPr="0067649B">
        <w:t xml:space="preserve"> OBE</w:t>
      </w:r>
      <w:r w:rsidR="00394138">
        <w:rPr>
          <w:rStyle w:val="FootnoteReference"/>
        </w:rPr>
        <w:footnoteReference w:id="2"/>
      </w:r>
    </w:p>
    <w:p w:rsidR="0067649B" w:rsidRDefault="0067649B" w:rsidP="0067649B">
      <w:pPr>
        <w:spacing w:after="0"/>
      </w:pPr>
    </w:p>
    <w:p w:rsidR="0067649B" w:rsidRDefault="0067649B" w:rsidP="0067649B">
      <w:pPr>
        <w:spacing w:after="0"/>
      </w:pPr>
    </w:p>
    <w:p w:rsidR="0067649B" w:rsidRDefault="0067649B" w:rsidP="0067649B">
      <w:pPr>
        <w:spacing w:after="0"/>
      </w:pPr>
    </w:p>
    <w:p w:rsidR="0067649B" w:rsidRDefault="0067649B" w:rsidP="0067649B">
      <w:pPr>
        <w:spacing w:after="0"/>
      </w:pPr>
    </w:p>
    <w:p w:rsidR="0067649B" w:rsidRDefault="0067649B" w:rsidP="0067649B">
      <w:pPr>
        <w:spacing w:after="0"/>
      </w:pPr>
    </w:p>
    <w:p w:rsidR="0067649B" w:rsidRPr="0067649B" w:rsidRDefault="0067649B" w:rsidP="0067649B">
      <w:pPr>
        <w:spacing w:after="0"/>
      </w:pPr>
      <w:r w:rsidRPr="0067649B">
        <w:t>Corresponding author name and address:</w:t>
      </w:r>
    </w:p>
    <w:p w:rsidR="0067649B" w:rsidRDefault="0067649B" w:rsidP="0067649B">
      <w:pPr>
        <w:spacing w:after="0"/>
      </w:pPr>
    </w:p>
    <w:p w:rsidR="0067649B" w:rsidRPr="0067649B" w:rsidRDefault="0067649B" w:rsidP="0067649B">
      <w:pPr>
        <w:spacing w:after="0"/>
      </w:pPr>
      <w:r w:rsidRPr="0067649B">
        <w:t xml:space="preserve">Richard Cheston, University of the West of England, Glenside Campus, Stapleton Road, </w:t>
      </w:r>
    </w:p>
    <w:p w:rsidR="0067649B" w:rsidRPr="0067649B" w:rsidRDefault="0067649B" w:rsidP="0067649B">
      <w:pPr>
        <w:spacing w:after="0"/>
      </w:pPr>
      <w:r w:rsidRPr="0067649B">
        <w:t>Bristol, UK, BS16 1DD</w:t>
      </w:r>
    </w:p>
    <w:p w:rsidR="0067649B" w:rsidRPr="0067649B" w:rsidRDefault="0067649B" w:rsidP="0067649B">
      <w:pPr>
        <w:spacing w:after="0"/>
      </w:pPr>
    </w:p>
    <w:p w:rsidR="0067649B" w:rsidRPr="0067649B" w:rsidRDefault="0067649B" w:rsidP="0067649B">
      <w:pPr>
        <w:spacing w:after="0"/>
      </w:pPr>
      <w:proofErr w:type="spellStart"/>
      <w:proofErr w:type="gramStart"/>
      <w:r w:rsidRPr="0067649B">
        <w:t>tel</w:t>
      </w:r>
      <w:proofErr w:type="spellEnd"/>
      <w:proofErr w:type="gramEnd"/>
      <w:r w:rsidRPr="0067649B">
        <w:t xml:space="preserve">: 0117-3288927; fax: </w:t>
      </w:r>
      <w:r w:rsidRPr="0067649B">
        <w:tab/>
      </w:r>
      <w:r w:rsidRPr="0067649B">
        <w:tab/>
      </w:r>
      <w:r w:rsidRPr="0067649B">
        <w:tab/>
        <w:t>e-mail: Richard.Cheston@uwe.ac.uk</w:t>
      </w:r>
    </w:p>
    <w:p w:rsidR="0067649B" w:rsidRPr="0067649B" w:rsidRDefault="0067649B" w:rsidP="0067649B">
      <w:pPr>
        <w:spacing w:after="0"/>
      </w:pPr>
    </w:p>
    <w:p w:rsidR="0067649B" w:rsidRPr="0067649B" w:rsidRDefault="0067649B" w:rsidP="0067649B">
      <w:pPr>
        <w:spacing w:after="0"/>
        <w:rPr>
          <w:b/>
        </w:rPr>
      </w:pPr>
    </w:p>
    <w:p w:rsidR="0067649B" w:rsidRPr="0067649B" w:rsidRDefault="0067649B" w:rsidP="0067649B">
      <w:pPr>
        <w:spacing w:after="0"/>
      </w:pPr>
      <w:r w:rsidRPr="0067649B">
        <w:rPr>
          <w:b/>
        </w:rPr>
        <w:t>Keywords</w:t>
      </w:r>
      <w:r w:rsidRPr="0067649B">
        <w:t xml:space="preserve">: dementia, Alzheimer’s disease, group psychotherapy, recovery, psychosocial </w:t>
      </w:r>
      <w:r w:rsidR="00394138">
        <w:t>interventions</w:t>
      </w:r>
    </w:p>
    <w:p w:rsidR="008D68CC" w:rsidRDefault="008D68CC" w:rsidP="00841263">
      <w:pPr>
        <w:spacing w:before="120" w:after="0" w:line="480" w:lineRule="auto"/>
      </w:pPr>
    </w:p>
    <w:p w:rsidR="00CD74DE" w:rsidRPr="00257E97" w:rsidRDefault="00257E97" w:rsidP="00841263">
      <w:pPr>
        <w:spacing w:before="120" w:after="0" w:line="480" w:lineRule="auto"/>
        <w:rPr>
          <w:color w:val="FF0000"/>
        </w:rPr>
      </w:pPr>
      <w:r w:rsidRPr="00257E97">
        <w:rPr>
          <w:color w:val="FF0000"/>
        </w:rPr>
        <w:t xml:space="preserve">NB: This is NOT the final document. This is the document submitted for </w:t>
      </w:r>
      <w:r w:rsidR="00045A91" w:rsidRPr="00257E97">
        <w:rPr>
          <w:color w:val="FF0000"/>
        </w:rPr>
        <w:t>publication</w:t>
      </w:r>
    </w:p>
    <w:p w:rsidR="001252F9" w:rsidRDefault="001252F9" w:rsidP="00E6486B">
      <w:pPr>
        <w:spacing w:line="480" w:lineRule="auto"/>
        <w:rPr>
          <w:b/>
        </w:rPr>
      </w:pPr>
      <w:bookmarkStart w:id="0" w:name="_GoBack"/>
      <w:bookmarkEnd w:id="0"/>
      <w:proofErr w:type="gramStart"/>
      <w:r>
        <w:rPr>
          <w:b/>
          <w:bCs/>
        </w:rPr>
        <w:lastRenderedPageBreak/>
        <w:t>feasibility</w:t>
      </w:r>
      <w:proofErr w:type="gramEnd"/>
      <w:r>
        <w:rPr>
          <w:b/>
          <w:bCs/>
        </w:rPr>
        <w:t xml:space="preserve"> study of translating "Living Well with Dementia" groups into a Primary care IAPT service</w:t>
      </w:r>
      <w:r>
        <w:rPr>
          <w:b/>
        </w:rPr>
        <w:t xml:space="preserve"> </w:t>
      </w:r>
    </w:p>
    <w:p w:rsidR="00A9186D" w:rsidRDefault="00A9186D" w:rsidP="00E6486B">
      <w:pPr>
        <w:spacing w:line="480" w:lineRule="auto"/>
        <w:rPr>
          <w:b/>
        </w:rPr>
      </w:pPr>
      <w:r>
        <w:rPr>
          <w:b/>
        </w:rPr>
        <w:t>Abstract</w:t>
      </w:r>
    </w:p>
    <w:p w:rsidR="00A9186D" w:rsidRDefault="00A9186D" w:rsidP="00841263">
      <w:pPr>
        <w:spacing w:before="120" w:after="0" w:line="480" w:lineRule="auto"/>
        <w:rPr>
          <w:b/>
        </w:rPr>
      </w:pPr>
      <w:r>
        <w:rPr>
          <w:b/>
        </w:rPr>
        <w:t xml:space="preserve">Background and Aims: </w:t>
      </w:r>
      <w:r w:rsidRPr="00A9186D">
        <w:t>this study reports on a feasibility trial in which the LivDem model of group support for people affected by dementia was trialled within a Primary Care, IAPT setting</w:t>
      </w:r>
    </w:p>
    <w:p w:rsidR="00A9186D" w:rsidRDefault="00A9186D" w:rsidP="00841263">
      <w:pPr>
        <w:spacing w:before="120" w:after="0" w:line="480" w:lineRule="auto"/>
        <w:rPr>
          <w:b/>
        </w:rPr>
      </w:pPr>
      <w:r>
        <w:rPr>
          <w:b/>
        </w:rPr>
        <w:t xml:space="preserve">Methodology: </w:t>
      </w:r>
      <w:r w:rsidRPr="00A9186D">
        <w:t xml:space="preserve">five people affected by dementia and their </w:t>
      </w:r>
      <w:proofErr w:type="spellStart"/>
      <w:r w:rsidRPr="00A9186D">
        <w:t>carers</w:t>
      </w:r>
      <w:proofErr w:type="spellEnd"/>
      <w:r w:rsidRPr="00A9186D">
        <w:t xml:space="preserve"> were recruited into the study, although one man withdrew before the start due to illness. Joint sessions were held on the first and the final meetings, with parallel group sessions for people affected by dementia and their carers for the remaining eight sessions. One person affected by dementia and their carer withdrew due to illness before the end of the sessions</w:t>
      </w:r>
      <w:r>
        <w:rPr>
          <w:b/>
        </w:rPr>
        <w:t xml:space="preserve"> </w:t>
      </w:r>
    </w:p>
    <w:p w:rsidR="00A9186D" w:rsidRDefault="00A9186D" w:rsidP="00841263">
      <w:pPr>
        <w:spacing w:before="120" w:after="0" w:line="480" w:lineRule="auto"/>
      </w:pPr>
      <w:r>
        <w:rPr>
          <w:b/>
        </w:rPr>
        <w:t xml:space="preserve">Results: </w:t>
      </w:r>
      <w:r w:rsidRPr="00A9186D">
        <w:t xml:space="preserve">a self-report measure of Quality of Life suggested improvements for two of the three people affected by dementia who completed all of the </w:t>
      </w:r>
      <w:r>
        <w:t xml:space="preserve">sessions. The proxy ratings of </w:t>
      </w:r>
      <w:r w:rsidRPr="00A9186D">
        <w:t>carers</w:t>
      </w:r>
      <w:r>
        <w:t xml:space="preserve"> indicated improvements for all three participants. Qualitative interviews were carried out with participants and carers to assess acceptability.</w:t>
      </w:r>
    </w:p>
    <w:p w:rsidR="00A9186D" w:rsidRDefault="00A9186D" w:rsidP="00841263">
      <w:pPr>
        <w:spacing w:before="120" w:after="0" w:line="480" w:lineRule="auto"/>
        <w:rPr>
          <w:b/>
        </w:rPr>
      </w:pPr>
      <w:r w:rsidRPr="00DC4C54">
        <w:rPr>
          <w:b/>
        </w:rPr>
        <w:t>Discussion</w:t>
      </w:r>
      <w:r>
        <w:t xml:space="preserve">: </w:t>
      </w:r>
      <w:r w:rsidR="00DC4C54" w:rsidRPr="00731D4C">
        <w:rPr>
          <w:rFonts w:cs="Arial"/>
          <w:bCs/>
          <w:color w:val="000000"/>
          <w:shd w:val="clear" w:color="auto" w:fill="FFFFFF"/>
        </w:rPr>
        <w:t xml:space="preserve">the improvement in </w:t>
      </w:r>
      <w:proofErr w:type="spellStart"/>
      <w:r w:rsidR="00DC4C54" w:rsidRPr="00731D4C">
        <w:rPr>
          <w:rFonts w:cs="Arial"/>
          <w:bCs/>
          <w:color w:val="000000"/>
          <w:shd w:val="clear" w:color="auto" w:fill="FFFFFF"/>
        </w:rPr>
        <w:t>QoL</w:t>
      </w:r>
      <w:proofErr w:type="spellEnd"/>
      <w:r w:rsidR="00DC4C54" w:rsidRPr="00731D4C">
        <w:rPr>
          <w:rFonts w:cs="Arial"/>
          <w:bCs/>
          <w:color w:val="000000"/>
          <w:shd w:val="clear" w:color="auto" w:fill="FFFFFF"/>
        </w:rPr>
        <w:t xml:space="preserve">-AD scores of </w:t>
      </w:r>
      <w:r w:rsidR="00DC4C54">
        <w:rPr>
          <w:rFonts w:cs="Arial"/>
          <w:bCs/>
          <w:color w:val="000000"/>
          <w:shd w:val="clear" w:color="auto" w:fill="FFFFFF"/>
        </w:rPr>
        <w:t xml:space="preserve">participants </w:t>
      </w:r>
      <w:r w:rsidR="00DC4C54" w:rsidRPr="00731D4C">
        <w:rPr>
          <w:rFonts w:cs="Arial"/>
          <w:bCs/>
          <w:color w:val="000000"/>
          <w:shd w:val="clear" w:color="auto" w:fill="FFFFFF"/>
        </w:rPr>
        <w:t xml:space="preserve">are consistent with that found </w:t>
      </w:r>
      <w:r w:rsidR="00DC4C54">
        <w:rPr>
          <w:rFonts w:cs="Arial"/>
          <w:bCs/>
          <w:color w:val="000000"/>
          <w:shd w:val="clear" w:color="auto" w:fill="FFFFFF"/>
        </w:rPr>
        <w:t>for the LivDem intervention within secondary care</w:t>
      </w:r>
      <w:r w:rsidR="00DC4C54" w:rsidRPr="00731D4C">
        <w:rPr>
          <w:rFonts w:cs="Arial"/>
          <w:bCs/>
          <w:color w:val="000000"/>
          <w:shd w:val="clear" w:color="auto" w:fill="FFFFFF"/>
        </w:rPr>
        <w:t xml:space="preserve">. At the same time, </w:t>
      </w:r>
      <w:r w:rsidR="00DC4C54" w:rsidRPr="00731D4C">
        <w:t>concerns remain about the fit between the LivDem intervention and the way in which Primary care psychology is structured particularly if therapists are not actively supported by a dementia specialist and if a parallel carers’ group is not run</w:t>
      </w:r>
      <w:r w:rsidR="00DC4C54">
        <w:t>.</w:t>
      </w:r>
    </w:p>
    <w:p w:rsidR="0067649B" w:rsidRDefault="0067649B">
      <w:pPr>
        <w:rPr>
          <w:b/>
        </w:rPr>
      </w:pPr>
      <w:r>
        <w:rPr>
          <w:b/>
        </w:rPr>
        <w:br w:type="page"/>
      </w:r>
    </w:p>
    <w:p w:rsidR="001252F9" w:rsidRDefault="001252F9" w:rsidP="00841263">
      <w:pPr>
        <w:spacing w:before="120" w:after="0" w:line="480" w:lineRule="auto"/>
        <w:rPr>
          <w:b/>
        </w:rPr>
      </w:pPr>
      <w:r>
        <w:rPr>
          <w:b/>
          <w:bCs/>
        </w:rPr>
        <w:t>A feasibility study of translating "Living Well with Dementia" groups into a Primary care IAPT service</w:t>
      </w:r>
      <w:r w:rsidRPr="00731D4C">
        <w:rPr>
          <w:b/>
        </w:rPr>
        <w:t xml:space="preserve"> </w:t>
      </w:r>
    </w:p>
    <w:p w:rsidR="008D68CC" w:rsidRPr="00731D4C" w:rsidRDefault="008C0ACD" w:rsidP="00841263">
      <w:pPr>
        <w:spacing w:before="120" w:after="0" w:line="480" w:lineRule="auto"/>
        <w:rPr>
          <w:b/>
        </w:rPr>
      </w:pPr>
      <w:r w:rsidRPr="00731D4C">
        <w:rPr>
          <w:b/>
        </w:rPr>
        <w:t>B</w:t>
      </w:r>
      <w:r w:rsidR="008D68CC" w:rsidRPr="00731D4C">
        <w:rPr>
          <w:b/>
        </w:rPr>
        <w:t>ackground</w:t>
      </w:r>
    </w:p>
    <w:p w:rsidR="00750796" w:rsidRPr="00731D4C" w:rsidRDefault="00E25B5E" w:rsidP="00841263">
      <w:pPr>
        <w:autoSpaceDE w:val="0"/>
        <w:autoSpaceDN w:val="0"/>
        <w:adjustRightInd w:val="0"/>
        <w:spacing w:before="120" w:after="120" w:line="480" w:lineRule="auto"/>
        <w:rPr>
          <w:rFonts w:cs="Arial"/>
        </w:rPr>
      </w:pPr>
      <w:r w:rsidRPr="00731D4C">
        <w:rPr>
          <w:rFonts w:cs="Arial"/>
        </w:rPr>
        <w:t xml:space="preserve"> “</w:t>
      </w:r>
      <w:r w:rsidRPr="00731D4C">
        <w:rPr>
          <w:rFonts w:cs="Arial"/>
          <w:i/>
        </w:rPr>
        <w:t>Living well with Dementia</w:t>
      </w:r>
      <w:r w:rsidRPr="00731D4C">
        <w:rPr>
          <w:rFonts w:cs="Arial"/>
        </w:rPr>
        <w:t xml:space="preserve">” </w:t>
      </w:r>
      <w:r w:rsidR="00731D4C">
        <w:rPr>
          <w:rFonts w:cs="Arial"/>
        </w:rPr>
        <w:t xml:space="preserve">or LivDem </w:t>
      </w:r>
      <w:r w:rsidRPr="00731D4C">
        <w:rPr>
          <w:rFonts w:cs="Arial"/>
        </w:rPr>
        <w:t>group</w:t>
      </w:r>
      <w:r w:rsidR="00731D4C">
        <w:rPr>
          <w:rFonts w:cs="Arial"/>
        </w:rPr>
        <w:t>s</w:t>
      </w:r>
      <w:r w:rsidRPr="00731D4C">
        <w:rPr>
          <w:rFonts w:cs="Arial"/>
        </w:rPr>
        <w:t xml:space="preserve"> </w:t>
      </w:r>
      <w:r w:rsidR="00731D4C">
        <w:rPr>
          <w:rFonts w:cs="Arial"/>
        </w:rPr>
        <w:t xml:space="preserve">are designed </w:t>
      </w:r>
      <w:r w:rsidR="0075060C" w:rsidRPr="00731D4C">
        <w:rPr>
          <w:rFonts w:cs="Arial"/>
        </w:rPr>
        <w:t xml:space="preserve">to encourage people affected by dementia to discuss their feelings about the illness within </w:t>
      </w:r>
      <w:r w:rsidR="00731D4C">
        <w:rPr>
          <w:rFonts w:cs="Arial"/>
        </w:rPr>
        <w:t xml:space="preserve">the setting of </w:t>
      </w:r>
      <w:r w:rsidR="0075060C" w:rsidRPr="00731D4C">
        <w:rPr>
          <w:rFonts w:cs="Arial"/>
        </w:rPr>
        <w:t xml:space="preserve">a </w:t>
      </w:r>
      <w:r w:rsidR="00731D4C">
        <w:rPr>
          <w:rFonts w:cs="Arial"/>
        </w:rPr>
        <w:t>Memory clinic</w:t>
      </w:r>
      <w:r w:rsidR="0075060C" w:rsidRPr="00731D4C">
        <w:rPr>
          <w:rFonts w:cs="Arial"/>
        </w:rPr>
        <w:t xml:space="preserve">. </w:t>
      </w:r>
      <w:r w:rsidR="00731D4C">
        <w:rPr>
          <w:rFonts w:cs="Arial"/>
        </w:rPr>
        <w:t xml:space="preserve">A pilot trial of the LivDem groups </w:t>
      </w:r>
      <w:r w:rsidR="008D68CC" w:rsidRPr="00731D4C">
        <w:rPr>
          <w:rFonts w:cs="Arial"/>
        </w:rPr>
        <w:t xml:space="preserve">provided </w:t>
      </w:r>
      <w:r w:rsidR="00731D4C">
        <w:rPr>
          <w:rFonts w:cs="Arial"/>
        </w:rPr>
        <w:t xml:space="preserve">some </w:t>
      </w:r>
      <w:r w:rsidR="008D68CC" w:rsidRPr="00731D4C">
        <w:rPr>
          <w:rFonts w:cs="Arial"/>
        </w:rPr>
        <w:t xml:space="preserve">preliminary evidence </w:t>
      </w:r>
      <w:r w:rsidR="00731D4C">
        <w:rPr>
          <w:rFonts w:cs="Arial"/>
        </w:rPr>
        <w:t xml:space="preserve">for their use in people who have recently received a diagnosis of dementia </w:t>
      </w:r>
      <w:r w:rsidR="008D68CC" w:rsidRPr="00731D4C">
        <w:rPr>
          <w:rFonts w:cs="Arial"/>
        </w:rPr>
        <w:t xml:space="preserve">of </w:t>
      </w:r>
      <w:r w:rsidR="00731D4C">
        <w:rPr>
          <w:rFonts w:cs="Arial"/>
        </w:rPr>
        <w:t xml:space="preserve">dementia </w:t>
      </w:r>
      <w:r w:rsidR="008D68CC" w:rsidRPr="00731D4C">
        <w:rPr>
          <w:rFonts w:cs="Arial"/>
        </w:rPr>
        <w:t xml:space="preserve">(Marshall et al, 2014). </w:t>
      </w:r>
      <w:r w:rsidR="0095436D" w:rsidRPr="00731D4C">
        <w:rPr>
          <w:rFonts w:cs="Arial"/>
        </w:rPr>
        <w:t>However, f</w:t>
      </w:r>
      <w:r w:rsidR="00AD24B1" w:rsidRPr="00731D4C">
        <w:rPr>
          <w:rFonts w:cs="Arial"/>
        </w:rPr>
        <w:t xml:space="preserve">or the </w:t>
      </w:r>
      <w:r w:rsidRPr="00731D4C">
        <w:rPr>
          <w:rFonts w:cs="Arial"/>
        </w:rPr>
        <w:t xml:space="preserve">LivDem </w:t>
      </w:r>
      <w:r w:rsidR="00AD24B1" w:rsidRPr="00731D4C">
        <w:rPr>
          <w:rFonts w:cs="Arial"/>
        </w:rPr>
        <w:t xml:space="preserve">intervention </w:t>
      </w:r>
      <w:r w:rsidRPr="00731D4C">
        <w:rPr>
          <w:rFonts w:cs="Arial"/>
        </w:rPr>
        <w:t xml:space="preserve">to be </w:t>
      </w:r>
      <w:r w:rsidR="00FF69BA" w:rsidRPr="00731D4C">
        <w:rPr>
          <w:rFonts w:cs="Arial"/>
        </w:rPr>
        <w:t xml:space="preserve">accessible, then it </w:t>
      </w:r>
      <w:r w:rsidR="00731D4C">
        <w:rPr>
          <w:rFonts w:cs="Arial"/>
        </w:rPr>
        <w:t xml:space="preserve">needs to be </w:t>
      </w:r>
      <w:r w:rsidR="00FF69BA" w:rsidRPr="00731D4C">
        <w:rPr>
          <w:rFonts w:cs="Arial"/>
        </w:rPr>
        <w:t xml:space="preserve">delivered within a range of settings, </w:t>
      </w:r>
      <w:r w:rsidR="00731D4C">
        <w:rPr>
          <w:rFonts w:cs="Arial"/>
        </w:rPr>
        <w:t>including Primary Care</w:t>
      </w:r>
      <w:r w:rsidR="00FF69BA" w:rsidRPr="00731D4C">
        <w:rPr>
          <w:rFonts w:cs="Arial"/>
        </w:rPr>
        <w:t xml:space="preserve">. Consequently, we report here on a </w:t>
      </w:r>
      <w:r w:rsidR="00750796" w:rsidRPr="00731D4C">
        <w:rPr>
          <w:rFonts w:cs="Arial"/>
        </w:rPr>
        <w:t xml:space="preserve">LivDem </w:t>
      </w:r>
      <w:r w:rsidR="00FF69BA" w:rsidRPr="00731D4C">
        <w:rPr>
          <w:rFonts w:cs="Arial"/>
        </w:rPr>
        <w:t xml:space="preserve">group that was established within a Primary Care </w:t>
      </w:r>
      <w:r w:rsidR="00750796" w:rsidRPr="00731D4C">
        <w:rPr>
          <w:rFonts w:cs="Arial"/>
        </w:rPr>
        <w:t>IAPT service</w:t>
      </w:r>
      <w:r w:rsidR="00046FA1" w:rsidRPr="00731D4C">
        <w:rPr>
          <w:rFonts w:cs="Arial"/>
        </w:rPr>
        <w:t xml:space="preserve"> in the South-West of England</w:t>
      </w:r>
      <w:r w:rsidR="00750796" w:rsidRPr="00731D4C">
        <w:rPr>
          <w:rFonts w:cs="Arial"/>
        </w:rPr>
        <w:t xml:space="preserve">. </w:t>
      </w:r>
      <w:r w:rsidR="00AD24B1" w:rsidRPr="00731D4C">
        <w:rPr>
          <w:rFonts w:cs="Arial"/>
        </w:rPr>
        <w:t xml:space="preserve">The </w:t>
      </w:r>
      <w:r w:rsidR="00445638" w:rsidRPr="00731D4C">
        <w:rPr>
          <w:rFonts w:cs="Arial"/>
        </w:rPr>
        <w:t>protocol was registered on-line (</w:t>
      </w:r>
      <w:r w:rsidR="00445638" w:rsidRPr="00731D4C">
        <w:rPr>
          <w:rFonts w:cs="Arial"/>
          <w:bCs/>
          <w:color w:val="000000"/>
          <w:shd w:val="clear" w:color="auto" w:fill="FFFFFF"/>
        </w:rPr>
        <w:t>ISRCTN05413972) and the</w:t>
      </w:r>
      <w:r w:rsidR="00445638" w:rsidRPr="00731D4C">
        <w:rPr>
          <w:rFonts w:cs="Arial"/>
          <w:b/>
          <w:bCs/>
          <w:color w:val="000000"/>
          <w:shd w:val="clear" w:color="auto" w:fill="FFFFFF"/>
        </w:rPr>
        <w:t xml:space="preserve"> </w:t>
      </w:r>
      <w:r w:rsidR="00AD24B1" w:rsidRPr="00731D4C">
        <w:rPr>
          <w:rFonts w:cs="Arial"/>
        </w:rPr>
        <w:t>project was granted ethical approval from NRES</w:t>
      </w:r>
      <w:r w:rsidR="00AD24B1" w:rsidRPr="00731D4C">
        <w:rPr>
          <w:rStyle w:val="FootnoteReference"/>
          <w:rFonts w:cs="Arial"/>
        </w:rPr>
        <w:footnoteReference w:id="3"/>
      </w:r>
      <w:r w:rsidR="00AD24B1" w:rsidRPr="00731D4C">
        <w:rPr>
          <w:rFonts w:cs="Arial"/>
        </w:rPr>
        <w:t xml:space="preserve"> and the University of the West of England</w:t>
      </w:r>
      <w:r w:rsidR="00AD24B1" w:rsidRPr="00731D4C">
        <w:rPr>
          <w:rStyle w:val="FootnoteReference"/>
          <w:rFonts w:cs="Arial"/>
        </w:rPr>
        <w:footnoteReference w:id="4"/>
      </w:r>
      <w:r w:rsidR="00AD24B1" w:rsidRPr="00731D4C">
        <w:rPr>
          <w:rFonts w:cs="Arial"/>
        </w:rPr>
        <w:t>.</w:t>
      </w:r>
    </w:p>
    <w:p w:rsidR="00AD24B1" w:rsidRPr="00731D4C" w:rsidRDefault="00AD24B1" w:rsidP="00841263">
      <w:pPr>
        <w:spacing w:before="120" w:after="120" w:line="480" w:lineRule="auto"/>
        <w:rPr>
          <w:b/>
        </w:rPr>
      </w:pPr>
      <w:r w:rsidRPr="00731D4C">
        <w:rPr>
          <w:b/>
        </w:rPr>
        <w:t>Method</w:t>
      </w:r>
    </w:p>
    <w:p w:rsidR="00AD24B1" w:rsidRPr="00731D4C" w:rsidRDefault="00011DFC" w:rsidP="00841263">
      <w:pPr>
        <w:spacing w:before="120" w:after="120" w:line="480" w:lineRule="auto"/>
      </w:pPr>
      <w:proofErr w:type="gramStart"/>
      <w:r w:rsidRPr="00731D4C">
        <w:rPr>
          <w:i/>
        </w:rPr>
        <w:t>Recruitment</w:t>
      </w:r>
      <w:r w:rsidR="007948A1" w:rsidRPr="00731D4C">
        <w:rPr>
          <w:i/>
        </w:rPr>
        <w:t>.</w:t>
      </w:r>
      <w:proofErr w:type="gramEnd"/>
      <w:r w:rsidR="007948A1" w:rsidRPr="00731D4C">
        <w:rPr>
          <w:b/>
        </w:rPr>
        <w:t xml:space="preserve"> </w:t>
      </w:r>
      <w:r w:rsidR="004B45F8" w:rsidRPr="00731D4C">
        <w:t>Following Marshall et al (2014) t</w:t>
      </w:r>
      <w:r w:rsidR="007948A1" w:rsidRPr="00731D4C">
        <w:t xml:space="preserve">he principal inclusion criteria were that participants must have received a diagnosis of </w:t>
      </w:r>
      <w:r w:rsidR="00731D4C">
        <w:t xml:space="preserve">dementia (excluding Frontal-Temporal dementia) </w:t>
      </w:r>
      <w:r w:rsidR="007948A1" w:rsidRPr="00731D4C">
        <w:t xml:space="preserve">within the previous 18 months. </w:t>
      </w:r>
      <w:r w:rsidR="00731D4C">
        <w:t>P</w:t>
      </w:r>
      <w:r w:rsidR="007948A1" w:rsidRPr="00731D4C">
        <w:t xml:space="preserve">otential participants </w:t>
      </w:r>
      <w:r w:rsidR="00731D4C">
        <w:t xml:space="preserve">also </w:t>
      </w:r>
      <w:r w:rsidR="007948A1" w:rsidRPr="00731D4C">
        <w:t xml:space="preserve">acknowledged, at least occasionally, that they have a memory problem, had adequate communication skills to enable group participation and a mild or moderate level of cognitive impairment. </w:t>
      </w:r>
      <w:r w:rsidR="00731D4C" w:rsidRPr="00731D4C">
        <w:t>Potential participants were recruited from primary care teams, and the local Memory clinic.</w:t>
      </w:r>
      <w:r w:rsidR="00731D4C">
        <w:t xml:space="preserve"> </w:t>
      </w:r>
      <w:r w:rsidR="00AD24B1" w:rsidRPr="00731D4C">
        <w:t>Eight referrals to the project were made, and f</w:t>
      </w:r>
      <w:r w:rsidR="00F553F8" w:rsidRPr="00731D4C">
        <w:t xml:space="preserve">ive people affected by dementia were recruited to the study, although one man was forced to withdraw due to illness before the first session. </w:t>
      </w:r>
      <w:r w:rsidR="00C05BC3">
        <w:t>Demographic Information about participants is provided in Table One.</w:t>
      </w:r>
      <w:r w:rsidR="00AE665E">
        <w:t xml:space="preserve"> All participants had capacity to provide consent.</w:t>
      </w:r>
    </w:p>
    <w:p w:rsidR="00011DFC" w:rsidRPr="00731D4C" w:rsidRDefault="00C05BC3" w:rsidP="00C05BC3">
      <w:pPr>
        <w:spacing w:before="120" w:after="120" w:line="480" w:lineRule="auto"/>
        <w:jc w:val="center"/>
      </w:pPr>
      <w:r w:rsidRPr="00C05BC3">
        <w:rPr>
          <w:b/>
        </w:rPr>
        <w:t xml:space="preserve">Insert </w:t>
      </w:r>
      <w:r>
        <w:rPr>
          <w:b/>
        </w:rPr>
        <w:t>T</w:t>
      </w:r>
      <w:r w:rsidRPr="00C05BC3">
        <w:rPr>
          <w:b/>
        </w:rPr>
        <w:t>able One about here</w:t>
      </w:r>
    </w:p>
    <w:p w:rsidR="00AD24B1" w:rsidRPr="00731D4C" w:rsidRDefault="00AD24B1" w:rsidP="00841263">
      <w:pPr>
        <w:spacing w:before="120" w:after="120" w:line="480" w:lineRule="auto"/>
      </w:pPr>
      <w:proofErr w:type="gramStart"/>
      <w:r w:rsidRPr="00731D4C">
        <w:rPr>
          <w:i/>
        </w:rPr>
        <w:t>The LivDem intervention.</w:t>
      </w:r>
      <w:proofErr w:type="gramEnd"/>
      <w:r w:rsidRPr="00731D4C">
        <w:rPr>
          <w:i/>
        </w:rPr>
        <w:t xml:space="preserve"> </w:t>
      </w:r>
      <w:r w:rsidR="0075060C" w:rsidRPr="00731D4C">
        <w:rPr>
          <w:rFonts w:cs="Arial"/>
        </w:rPr>
        <w:t>Group participants and their carers attended the first and the final sessions</w:t>
      </w:r>
      <w:r w:rsidR="004B45F8" w:rsidRPr="00731D4C">
        <w:rPr>
          <w:rFonts w:cs="Arial"/>
        </w:rPr>
        <w:t xml:space="preserve"> together</w:t>
      </w:r>
      <w:r w:rsidR="0075060C" w:rsidRPr="00731D4C">
        <w:rPr>
          <w:rFonts w:cs="Arial"/>
        </w:rPr>
        <w:t xml:space="preserve">, </w:t>
      </w:r>
      <w:r w:rsidR="004B45F8" w:rsidRPr="00731D4C">
        <w:rPr>
          <w:rFonts w:cs="Arial"/>
        </w:rPr>
        <w:t>with separate groups then being provided for participants and carers for the remaining eight sessions</w:t>
      </w:r>
      <w:r w:rsidR="0075060C" w:rsidRPr="00731D4C">
        <w:rPr>
          <w:rFonts w:cs="Arial"/>
        </w:rPr>
        <w:t xml:space="preserve">. Sessions </w:t>
      </w:r>
      <w:r w:rsidR="004B45F8" w:rsidRPr="00731D4C">
        <w:rPr>
          <w:rFonts w:cs="Arial"/>
        </w:rPr>
        <w:t xml:space="preserve">for people affected by dementia </w:t>
      </w:r>
      <w:r w:rsidR="0075060C" w:rsidRPr="00731D4C">
        <w:rPr>
          <w:rFonts w:cs="Arial"/>
        </w:rPr>
        <w:t xml:space="preserve">involved a mixture of psycho-educational material (for instance about the causes and treatment of dementia), skills training (e.g. in relaxation), and a psychotherapeutic focus on helping participants to discuss their experiences of dementia – and in particular the emotional impact of the illness. </w:t>
      </w:r>
      <w:r w:rsidR="004B45F8" w:rsidRPr="00731D4C">
        <w:rPr>
          <w:rFonts w:cs="Arial"/>
        </w:rPr>
        <w:t xml:space="preserve">The </w:t>
      </w:r>
      <w:r w:rsidR="0075060C" w:rsidRPr="00731D4C">
        <w:rPr>
          <w:rFonts w:cs="Arial"/>
        </w:rPr>
        <w:t xml:space="preserve">parallel support group for carers </w:t>
      </w:r>
      <w:r w:rsidR="0075060C" w:rsidRPr="00731D4C">
        <w:t xml:space="preserve">shadowed the content of the participant </w:t>
      </w:r>
      <w:r w:rsidR="004B45F8" w:rsidRPr="00731D4C">
        <w:t>session</w:t>
      </w:r>
      <w:r w:rsidR="0075060C" w:rsidRPr="00731D4C">
        <w:t xml:space="preserve">s. </w:t>
      </w:r>
      <w:r w:rsidR="0075060C" w:rsidRPr="00731D4C">
        <w:rPr>
          <w:rFonts w:cs="Arial"/>
        </w:rPr>
        <w:t xml:space="preserve">At the end of every session, participants were provided with a handout describing the main issues that had been covered, and </w:t>
      </w:r>
      <w:r w:rsidR="004B45F8" w:rsidRPr="00731D4C">
        <w:rPr>
          <w:rFonts w:cs="Arial"/>
        </w:rPr>
        <w:t xml:space="preserve">carers and participants with dementia </w:t>
      </w:r>
      <w:r w:rsidR="0075060C" w:rsidRPr="00731D4C">
        <w:rPr>
          <w:rFonts w:cs="Arial"/>
        </w:rPr>
        <w:t xml:space="preserve">were encouraged to discuss </w:t>
      </w:r>
      <w:r w:rsidR="004B45F8" w:rsidRPr="00731D4C">
        <w:rPr>
          <w:rFonts w:cs="Arial"/>
        </w:rPr>
        <w:t xml:space="preserve">topics </w:t>
      </w:r>
      <w:r w:rsidR="0075060C" w:rsidRPr="00731D4C">
        <w:rPr>
          <w:rFonts w:cs="Arial"/>
        </w:rPr>
        <w:t xml:space="preserve">between sessions. A DVD of people affected by dementia talking about different aspects of their illness, and which paralleled the content of the sessions could also be played during sessions at the discretion of the group facilitators. </w:t>
      </w:r>
      <w:r w:rsidR="00C05BC3">
        <w:rPr>
          <w:rFonts w:cs="Arial"/>
        </w:rPr>
        <w:t>Attendance rate in the two groups was identical at 85 per cent, although one participant (Isobel) and her carer (Leslie) did not attend the last two meetings due to illness.</w:t>
      </w:r>
      <w:r w:rsidR="00AE665E">
        <w:rPr>
          <w:rStyle w:val="FootnoteReference"/>
          <w:rFonts w:cs="Arial"/>
        </w:rPr>
        <w:footnoteReference w:id="5"/>
      </w:r>
    </w:p>
    <w:p w:rsidR="00CD74DE" w:rsidRPr="00731D4C" w:rsidRDefault="00CD74DE" w:rsidP="00841263">
      <w:pPr>
        <w:spacing w:before="120" w:after="120" w:line="480" w:lineRule="auto"/>
        <w:rPr>
          <w:b/>
        </w:rPr>
      </w:pPr>
      <w:proofErr w:type="gramStart"/>
      <w:r w:rsidRPr="00731D4C">
        <w:rPr>
          <w:i/>
        </w:rPr>
        <w:t>Data collection</w:t>
      </w:r>
      <w:r w:rsidR="00AD24B1" w:rsidRPr="00731D4C">
        <w:rPr>
          <w:i/>
        </w:rPr>
        <w:t>.</w:t>
      </w:r>
      <w:proofErr w:type="gramEnd"/>
      <w:r w:rsidR="00AD24B1" w:rsidRPr="00731D4C">
        <w:rPr>
          <w:i/>
        </w:rPr>
        <w:t xml:space="preserve"> </w:t>
      </w:r>
      <w:r w:rsidR="004B45F8" w:rsidRPr="00731D4C">
        <w:t>P</w:t>
      </w:r>
      <w:r w:rsidRPr="00731D4C">
        <w:t>articipants completed the Quality of Life in Alzheimer’s disease scale (</w:t>
      </w:r>
      <w:proofErr w:type="spellStart"/>
      <w:r w:rsidRPr="00731D4C">
        <w:t>QoL</w:t>
      </w:r>
      <w:proofErr w:type="spellEnd"/>
      <w:r w:rsidRPr="00731D4C">
        <w:t xml:space="preserve">-AD; Logsdon et al. 1999) during the first and the final sessions. </w:t>
      </w:r>
      <w:r w:rsidR="004B45F8" w:rsidRPr="00731D4C">
        <w:t xml:space="preserve">Carers also completed a proxy rating of their perception of the quality of life of their partner. </w:t>
      </w:r>
    </w:p>
    <w:p w:rsidR="00CD74DE" w:rsidRPr="00731D4C" w:rsidRDefault="00AD24B1" w:rsidP="00841263">
      <w:pPr>
        <w:spacing w:before="120" w:after="120" w:line="480" w:lineRule="auto"/>
      </w:pPr>
      <w:r w:rsidRPr="00731D4C">
        <w:rPr>
          <w:rFonts w:cs="Arial"/>
          <w:bCs/>
          <w:i/>
          <w:color w:val="000000"/>
          <w:shd w:val="clear" w:color="auto" w:fill="FFFFFF"/>
        </w:rPr>
        <w:t>A</w:t>
      </w:r>
      <w:r w:rsidR="00CD74DE" w:rsidRPr="00731D4C">
        <w:rPr>
          <w:rFonts w:cs="Arial"/>
          <w:bCs/>
          <w:i/>
          <w:color w:val="000000"/>
          <w:shd w:val="clear" w:color="auto" w:fill="FFFFFF"/>
        </w:rPr>
        <w:t>cceptability and translation:</w:t>
      </w:r>
      <w:r w:rsidR="00CD74DE" w:rsidRPr="00731D4C">
        <w:t xml:space="preserve"> </w:t>
      </w:r>
      <w:r w:rsidR="00C34135">
        <w:t>the lead author</w:t>
      </w:r>
      <w:r w:rsidR="00C34135" w:rsidRPr="00731D4C">
        <w:t xml:space="preserve"> </w:t>
      </w:r>
      <w:r w:rsidR="00CD74DE" w:rsidRPr="00731D4C">
        <w:t xml:space="preserve">conducted telephone interviews with three participants and their </w:t>
      </w:r>
      <w:proofErr w:type="spellStart"/>
      <w:r w:rsidR="00CD74DE" w:rsidRPr="00731D4C">
        <w:t>carers</w:t>
      </w:r>
      <w:proofErr w:type="spellEnd"/>
      <w:r w:rsidR="00CD74DE" w:rsidRPr="00731D4C">
        <w:t xml:space="preserve"> in the week after the intervention finished</w:t>
      </w:r>
      <w:r w:rsidR="00C05BC3">
        <w:t xml:space="preserve">, and </w:t>
      </w:r>
      <w:r w:rsidR="00CD74DE" w:rsidRPr="00731D4C">
        <w:t xml:space="preserve">also </w:t>
      </w:r>
      <w:r w:rsidR="004B45F8" w:rsidRPr="00731D4C">
        <w:t>conven</w:t>
      </w:r>
      <w:r w:rsidR="00CD74DE" w:rsidRPr="00731D4C">
        <w:t xml:space="preserve">ed a focus group with the </w:t>
      </w:r>
      <w:r w:rsidR="004B45F8" w:rsidRPr="00731D4C">
        <w:t>IAPT</w:t>
      </w:r>
      <w:r w:rsidR="00CD74DE" w:rsidRPr="00731D4C">
        <w:t xml:space="preserve"> therapy staff </w:t>
      </w:r>
      <w:proofErr w:type="gramStart"/>
      <w:r w:rsidR="00CD74DE" w:rsidRPr="00731D4C">
        <w:t>who</w:t>
      </w:r>
      <w:proofErr w:type="gramEnd"/>
      <w:r w:rsidR="00CD74DE" w:rsidRPr="00731D4C">
        <w:t xml:space="preserve"> facilitated both the participant and the carer groups. </w:t>
      </w:r>
    </w:p>
    <w:p w:rsidR="00750796" w:rsidRPr="00731D4C" w:rsidRDefault="00750796" w:rsidP="00841263">
      <w:pPr>
        <w:spacing w:before="120" w:after="120" w:line="480" w:lineRule="auto"/>
        <w:rPr>
          <w:b/>
        </w:rPr>
      </w:pPr>
      <w:r w:rsidRPr="00731D4C">
        <w:rPr>
          <w:b/>
        </w:rPr>
        <w:t>Results</w:t>
      </w:r>
    </w:p>
    <w:p w:rsidR="000A2E22" w:rsidRPr="000A2E22" w:rsidRDefault="000A2E22" w:rsidP="000A2E22">
      <w:pPr>
        <w:spacing w:before="120" w:after="120" w:line="480" w:lineRule="auto"/>
        <w:jc w:val="center"/>
        <w:rPr>
          <w:rFonts w:cs="Arial"/>
          <w:b/>
          <w:bCs/>
          <w:color w:val="000000"/>
          <w:shd w:val="clear" w:color="auto" w:fill="FFFFFF"/>
        </w:rPr>
      </w:pPr>
      <w:r w:rsidRPr="000A2E22">
        <w:rPr>
          <w:rFonts w:cs="Arial"/>
          <w:b/>
          <w:bCs/>
          <w:color w:val="000000"/>
          <w:shd w:val="clear" w:color="auto" w:fill="FFFFFF"/>
        </w:rPr>
        <w:t xml:space="preserve">Insert Table </w:t>
      </w:r>
      <w:r w:rsidR="0074393A">
        <w:rPr>
          <w:rFonts w:cs="Arial"/>
          <w:b/>
          <w:bCs/>
          <w:color w:val="000000"/>
          <w:shd w:val="clear" w:color="auto" w:fill="FFFFFF"/>
        </w:rPr>
        <w:t>Two</w:t>
      </w:r>
      <w:r w:rsidR="0074393A" w:rsidRPr="000A2E22">
        <w:rPr>
          <w:rFonts w:cs="Arial"/>
          <w:b/>
          <w:bCs/>
          <w:color w:val="000000"/>
          <w:shd w:val="clear" w:color="auto" w:fill="FFFFFF"/>
        </w:rPr>
        <w:t xml:space="preserve"> </w:t>
      </w:r>
      <w:r w:rsidRPr="000A2E22">
        <w:rPr>
          <w:rFonts w:cs="Arial"/>
          <w:b/>
          <w:bCs/>
          <w:color w:val="000000"/>
          <w:shd w:val="clear" w:color="auto" w:fill="FFFFFF"/>
        </w:rPr>
        <w:t>about here</w:t>
      </w:r>
    </w:p>
    <w:p w:rsidR="00046FA1" w:rsidRDefault="00C7571B" w:rsidP="00841263">
      <w:pPr>
        <w:spacing w:before="120" w:after="120" w:line="480" w:lineRule="auto"/>
        <w:rPr>
          <w:rFonts w:cs="Arial"/>
          <w:bCs/>
          <w:color w:val="000000"/>
          <w:shd w:val="clear" w:color="auto" w:fill="FFFFFF"/>
        </w:rPr>
      </w:pPr>
      <w:proofErr w:type="gramStart"/>
      <w:r w:rsidRPr="00731D4C">
        <w:rPr>
          <w:rFonts w:cs="Arial"/>
          <w:bCs/>
          <w:i/>
          <w:color w:val="000000"/>
          <w:shd w:val="clear" w:color="auto" w:fill="FFFFFF"/>
        </w:rPr>
        <w:t>Quality of Life.</w:t>
      </w:r>
      <w:proofErr w:type="gramEnd"/>
      <w:r w:rsidRPr="00731D4C">
        <w:rPr>
          <w:rFonts w:cs="Arial"/>
          <w:bCs/>
          <w:i/>
          <w:color w:val="000000"/>
          <w:shd w:val="clear" w:color="auto" w:fill="FFFFFF"/>
        </w:rPr>
        <w:t xml:space="preserve"> </w:t>
      </w:r>
      <w:r w:rsidR="00046FA1" w:rsidRPr="00731D4C">
        <w:rPr>
          <w:rFonts w:cs="Arial"/>
          <w:bCs/>
          <w:color w:val="000000"/>
          <w:shd w:val="clear" w:color="auto" w:fill="FFFFFF"/>
        </w:rPr>
        <w:t xml:space="preserve">As can be seen in Table </w:t>
      </w:r>
      <w:r w:rsidR="00AD24B1" w:rsidRPr="00731D4C">
        <w:rPr>
          <w:rFonts w:cs="Arial"/>
          <w:bCs/>
          <w:color w:val="000000"/>
          <w:shd w:val="clear" w:color="auto" w:fill="FFFFFF"/>
        </w:rPr>
        <w:t>One</w:t>
      </w:r>
      <w:r w:rsidR="00046FA1" w:rsidRPr="00731D4C">
        <w:rPr>
          <w:rFonts w:cs="Arial"/>
          <w:bCs/>
          <w:color w:val="000000"/>
          <w:shd w:val="clear" w:color="auto" w:fill="FFFFFF"/>
        </w:rPr>
        <w:t xml:space="preserve">, </w:t>
      </w:r>
      <w:proofErr w:type="spellStart"/>
      <w:r w:rsidR="00046FA1" w:rsidRPr="00731D4C">
        <w:rPr>
          <w:rFonts w:cs="Arial"/>
          <w:bCs/>
          <w:color w:val="000000"/>
          <w:shd w:val="clear" w:color="auto" w:fill="FFFFFF"/>
        </w:rPr>
        <w:t>QoL</w:t>
      </w:r>
      <w:proofErr w:type="spellEnd"/>
      <w:r w:rsidR="00046FA1" w:rsidRPr="00731D4C">
        <w:rPr>
          <w:rFonts w:cs="Arial"/>
          <w:bCs/>
          <w:color w:val="000000"/>
          <w:shd w:val="clear" w:color="auto" w:fill="FFFFFF"/>
        </w:rPr>
        <w:t xml:space="preserve">-AD ratings by two of the three participants, as well as all three of the proxy scores provided by carers improved over the course of the intervention. </w:t>
      </w:r>
    </w:p>
    <w:p w:rsidR="007C3E34" w:rsidRPr="00731D4C" w:rsidRDefault="00095737" w:rsidP="00841263">
      <w:pPr>
        <w:autoSpaceDE w:val="0"/>
        <w:autoSpaceDN w:val="0"/>
        <w:adjustRightInd w:val="0"/>
        <w:spacing w:before="120" w:after="0" w:line="480" w:lineRule="auto"/>
        <w:rPr>
          <w:rFonts w:cs="Arial"/>
          <w:bCs/>
          <w:color w:val="000000"/>
          <w:shd w:val="clear" w:color="auto" w:fill="FFFFFF"/>
        </w:rPr>
      </w:pPr>
      <w:r w:rsidRPr="00731D4C">
        <w:rPr>
          <w:rFonts w:cs="Arial"/>
          <w:bCs/>
          <w:color w:val="000000"/>
          <w:shd w:val="clear" w:color="auto" w:fill="FFFFFF"/>
        </w:rPr>
        <w:t xml:space="preserve">The qualitative interviews largely </w:t>
      </w:r>
      <w:r w:rsidR="00CC6B0C" w:rsidRPr="00731D4C">
        <w:rPr>
          <w:rFonts w:cs="Arial"/>
          <w:bCs/>
          <w:color w:val="000000"/>
          <w:shd w:val="clear" w:color="auto" w:fill="FFFFFF"/>
        </w:rPr>
        <w:t xml:space="preserve">confirmed </w:t>
      </w:r>
      <w:r w:rsidRPr="00731D4C">
        <w:rPr>
          <w:rFonts w:cs="Arial"/>
          <w:bCs/>
          <w:color w:val="000000"/>
          <w:shd w:val="clear" w:color="auto" w:fill="FFFFFF"/>
        </w:rPr>
        <w:t xml:space="preserve">this picture of change: all three carers described the groups as being helpful, </w:t>
      </w:r>
      <w:r w:rsidR="00CC6B0C" w:rsidRPr="00731D4C">
        <w:rPr>
          <w:rFonts w:cs="Arial"/>
          <w:bCs/>
          <w:color w:val="000000"/>
          <w:shd w:val="clear" w:color="auto" w:fill="FFFFFF"/>
        </w:rPr>
        <w:t xml:space="preserve">while of the three people affected by dementia only </w:t>
      </w:r>
      <w:r w:rsidRPr="00731D4C">
        <w:rPr>
          <w:rFonts w:cs="Arial"/>
          <w:bCs/>
          <w:color w:val="000000"/>
          <w:shd w:val="clear" w:color="auto" w:fill="FFFFFF"/>
        </w:rPr>
        <w:t xml:space="preserve">Elsie </w:t>
      </w:r>
      <w:r w:rsidR="00B37FE9" w:rsidRPr="00731D4C">
        <w:rPr>
          <w:rFonts w:cs="Arial"/>
          <w:bCs/>
          <w:color w:val="000000"/>
          <w:shd w:val="clear" w:color="auto" w:fill="FFFFFF"/>
        </w:rPr>
        <w:t>(</w:t>
      </w:r>
      <w:proofErr w:type="gramStart"/>
      <w:r w:rsidR="00B37FE9" w:rsidRPr="00731D4C">
        <w:rPr>
          <w:rFonts w:cs="Arial"/>
          <w:bCs/>
          <w:color w:val="000000"/>
          <w:shd w:val="clear" w:color="auto" w:fill="FFFFFF"/>
        </w:rPr>
        <w:t>whose</w:t>
      </w:r>
      <w:proofErr w:type="gramEnd"/>
      <w:r w:rsidR="00B37FE9" w:rsidRPr="00731D4C">
        <w:rPr>
          <w:rFonts w:cs="Arial"/>
          <w:bCs/>
          <w:color w:val="000000"/>
          <w:shd w:val="clear" w:color="auto" w:fill="FFFFFF"/>
        </w:rPr>
        <w:t xml:space="preserve"> </w:t>
      </w:r>
      <w:proofErr w:type="spellStart"/>
      <w:r w:rsidR="00B37FE9" w:rsidRPr="00731D4C">
        <w:rPr>
          <w:rFonts w:cs="Arial"/>
          <w:bCs/>
          <w:color w:val="000000"/>
          <w:shd w:val="clear" w:color="auto" w:fill="FFFFFF"/>
        </w:rPr>
        <w:t>Qol</w:t>
      </w:r>
      <w:proofErr w:type="spellEnd"/>
      <w:r w:rsidR="00B37FE9" w:rsidRPr="00731D4C">
        <w:rPr>
          <w:rFonts w:cs="Arial"/>
          <w:bCs/>
          <w:color w:val="000000"/>
          <w:shd w:val="clear" w:color="auto" w:fill="FFFFFF"/>
        </w:rPr>
        <w:t>-AD score increased)</w:t>
      </w:r>
      <w:r w:rsidR="00CC6B0C" w:rsidRPr="00731D4C">
        <w:rPr>
          <w:rFonts w:cs="Arial"/>
          <w:bCs/>
          <w:color w:val="000000"/>
          <w:shd w:val="clear" w:color="auto" w:fill="FFFFFF"/>
        </w:rPr>
        <w:t xml:space="preserve"> felt that they had not been helpful</w:t>
      </w:r>
      <w:r w:rsidRPr="00731D4C">
        <w:rPr>
          <w:rFonts w:cs="Arial"/>
          <w:bCs/>
          <w:color w:val="000000"/>
          <w:shd w:val="clear" w:color="auto" w:fill="FFFFFF"/>
        </w:rPr>
        <w:t xml:space="preserve">. </w:t>
      </w:r>
      <w:r w:rsidR="00CC6B0C" w:rsidRPr="00731D4C">
        <w:rPr>
          <w:rFonts w:cs="Arial"/>
          <w:bCs/>
          <w:color w:val="000000"/>
          <w:shd w:val="clear" w:color="auto" w:fill="FFFFFF"/>
        </w:rPr>
        <w:t>T</w:t>
      </w:r>
      <w:r w:rsidR="00C41346" w:rsidRPr="00731D4C">
        <w:rPr>
          <w:rFonts w:cs="Arial"/>
          <w:bCs/>
          <w:color w:val="000000"/>
          <w:shd w:val="clear" w:color="auto" w:fill="FFFFFF"/>
        </w:rPr>
        <w:t xml:space="preserve">herapists </w:t>
      </w:r>
      <w:r w:rsidR="00CC6B0C" w:rsidRPr="00731D4C">
        <w:rPr>
          <w:rFonts w:cs="Arial"/>
          <w:bCs/>
          <w:color w:val="000000"/>
          <w:shd w:val="clear" w:color="auto" w:fill="FFFFFF"/>
        </w:rPr>
        <w:t xml:space="preserve">described </w:t>
      </w:r>
      <w:r w:rsidR="00C41346" w:rsidRPr="00731D4C">
        <w:rPr>
          <w:rFonts w:cs="Arial"/>
          <w:bCs/>
          <w:color w:val="000000"/>
          <w:shd w:val="clear" w:color="auto" w:fill="FFFFFF"/>
        </w:rPr>
        <w:t>important changes for participants, especially in the way in which participants spoke about their illness. K (</w:t>
      </w:r>
      <w:r w:rsidR="00C41346" w:rsidRPr="00731D4C">
        <w:t>Psychologist working in the LivDem group</w:t>
      </w:r>
      <w:r w:rsidR="00C41346" w:rsidRPr="00731D4C">
        <w:rPr>
          <w:rFonts w:cs="Arial"/>
          <w:bCs/>
          <w:color w:val="000000"/>
          <w:shd w:val="clear" w:color="auto" w:fill="FFFFFF"/>
        </w:rPr>
        <w:t>) said “</w:t>
      </w:r>
      <w:r w:rsidR="00C41346" w:rsidRPr="00731D4C">
        <w:rPr>
          <w:i/>
        </w:rPr>
        <w:t>I found it really powerful in terms of change, how they think about dementia, and how that changes. To go from being unable to talk about dementia ... there was stigma in how they viewed it, and we were taking away the fear</w:t>
      </w:r>
      <w:r w:rsidR="00C41346" w:rsidRPr="00731D4C">
        <w:rPr>
          <w:rFonts w:cs="Arial"/>
          <w:bCs/>
          <w:color w:val="000000"/>
          <w:shd w:val="clear" w:color="auto" w:fill="FFFFFF"/>
        </w:rPr>
        <w:t xml:space="preserve">”. </w:t>
      </w:r>
    </w:p>
    <w:p w:rsidR="00C41346" w:rsidRPr="00731D4C" w:rsidRDefault="00C41346" w:rsidP="00841263">
      <w:pPr>
        <w:autoSpaceDE w:val="0"/>
        <w:autoSpaceDN w:val="0"/>
        <w:adjustRightInd w:val="0"/>
        <w:spacing w:before="120" w:after="0" w:line="480" w:lineRule="auto"/>
        <w:rPr>
          <w:rFonts w:cs="Arial"/>
          <w:bCs/>
          <w:color w:val="000000"/>
          <w:shd w:val="clear" w:color="auto" w:fill="FFFFFF"/>
        </w:rPr>
      </w:pPr>
      <w:r w:rsidRPr="00731D4C">
        <w:rPr>
          <w:rFonts w:cs="Arial"/>
          <w:bCs/>
          <w:color w:val="000000"/>
          <w:shd w:val="clear" w:color="auto" w:fill="FFFFFF"/>
        </w:rPr>
        <w:t>For one couple (Ruby and Ron) in particular, the group seems to have been important in helping them to understand and empathise more with each other and to adjust to the difficulties they were facing. K described how “</w:t>
      </w:r>
      <w:r w:rsidRPr="00731D4C">
        <w:rPr>
          <w:i/>
        </w:rPr>
        <w:t xml:space="preserve">at the start they were </w:t>
      </w:r>
      <w:proofErr w:type="gramStart"/>
      <w:r w:rsidRPr="00731D4C">
        <w:rPr>
          <w:i/>
        </w:rPr>
        <w:t>very</w:t>
      </w:r>
      <w:proofErr w:type="gramEnd"/>
      <w:r w:rsidRPr="00731D4C">
        <w:rPr>
          <w:i/>
        </w:rPr>
        <w:t xml:space="preserve"> polarised, and at the end session they held hands</w:t>
      </w:r>
      <w:r w:rsidRPr="00731D4C">
        <w:rPr>
          <w:rFonts w:cs="Arial"/>
          <w:bCs/>
          <w:color w:val="000000"/>
          <w:shd w:val="clear" w:color="auto" w:fill="FFFFFF"/>
        </w:rPr>
        <w:t xml:space="preserve">”.  Ruby and Ron also </w:t>
      </w:r>
      <w:r w:rsidR="007C3E34" w:rsidRPr="00731D4C">
        <w:rPr>
          <w:rFonts w:cs="Arial"/>
          <w:bCs/>
          <w:color w:val="000000"/>
          <w:shd w:val="clear" w:color="auto" w:fill="FFFFFF"/>
        </w:rPr>
        <w:t>described changes:</w:t>
      </w:r>
    </w:p>
    <w:p w:rsidR="00C41346" w:rsidRPr="00731D4C" w:rsidRDefault="00C41346" w:rsidP="00841263">
      <w:pPr>
        <w:spacing w:line="480" w:lineRule="auto"/>
        <w:ind w:left="720"/>
        <w:rPr>
          <w:i/>
        </w:rPr>
      </w:pPr>
      <w:r w:rsidRPr="00731D4C">
        <w:rPr>
          <w:b/>
          <w:i/>
        </w:rPr>
        <w:t>Ruby</w:t>
      </w:r>
      <w:r w:rsidRPr="00731D4C">
        <w:rPr>
          <w:i/>
        </w:rPr>
        <w:t>: What has been said and done has been very helpful, he did begin to understand what I’ve been trying to tell him, but he doesn’t take it all in</w:t>
      </w:r>
    </w:p>
    <w:p w:rsidR="00C41346" w:rsidRPr="00731D4C" w:rsidRDefault="00C41346" w:rsidP="00841263">
      <w:pPr>
        <w:spacing w:line="480" w:lineRule="auto"/>
        <w:ind w:left="720"/>
        <w:rPr>
          <w:rFonts w:cs="Arial"/>
          <w:bCs/>
          <w:i/>
          <w:color w:val="000000"/>
          <w:shd w:val="clear" w:color="auto" w:fill="FFFFFF"/>
        </w:rPr>
      </w:pPr>
      <w:r w:rsidRPr="00731D4C">
        <w:rPr>
          <w:b/>
          <w:i/>
        </w:rPr>
        <w:t xml:space="preserve">Ron: </w:t>
      </w:r>
      <w:r w:rsidRPr="00731D4C">
        <w:rPr>
          <w:i/>
        </w:rPr>
        <w:t>I think it helped her (Ruby) to come to terms with her own illness ... She is more willing to talk about her illness and the problems it causes. The memory loss</w:t>
      </w:r>
    </w:p>
    <w:p w:rsidR="00607EA8" w:rsidRPr="00731D4C" w:rsidRDefault="00607EA8" w:rsidP="00841263">
      <w:pPr>
        <w:spacing w:before="120" w:after="120" w:line="480" w:lineRule="auto"/>
        <w:rPr>
          <w:rFonts w:cs="Arial"/>
          <w:b/>
          <w:bCs/>
          <w:color w:val="000000"/>
          <w:shd w:val="clear" w:color="auto" w:fill="FFFFFF"/>
        </w:rPr>
      </w:pPr>
      <w:r w:rsidRPr="00731D4C">
        <w:rPr>
          <w:rFonts w:cs="Arial"/>
          <w:b/>
          <w:bCs/>
          <w:color w:val="000000"/>
          <w:shd w:val="clear" w:color="auto" w:fill="FFFFFF"/>
        </w:rPr>
        <w:t>Discussion: translating the LivDem study into a Primary Care setting.</w:t>
      </w:r>
    </w:p>
    <w:p w:rsidR="00CA643D" w:rsidRPr="00731D4C" w:rsidRDefault="00CA643D" w:rsidP="00841263">
      <w:pPr>
        <w:spacing w:line="480" w:lineRule="auto"/>
      </w:pPr>
      <w:r w:rsidRPr="00731D4C">
        <w:t>IAPT’s initial mandate was to provide support for adults with depression and anxiety using a</w:t>
      </w:r>
      <w:r w:rsidR="008B0119" w:rsidRPr="00731D4C">
        <w:t xml:space="preserve"> stepped care module (D</w:t>
      </w:r>
      <w:r w:rsidR="00841263" w:rsidRPr="00731D4C">
        <w:t xml:space="preserve">epartment </w:t>
      </w:r>
      <w:r w:rsidR="008B0119" w:rsidRPr="00731D4C">
        <w:t>o</w:t>
      </w:r>
      <w:r w:rsidR="00841263" w:rsidRPr="00731D4C">
        <w:t xml:space="preserve">f </w:t>
      </w:r>
      <w:r w:rsidR="008B0119" w:rsidRPr="00731D4C">
        <w:t>H</w:t>
      </w:r>
      <w:r w:rsidR="00841263" w:rsidRPr="00731D4C">
        <w:t>ealth</w:t>
      </w:r>
      <w:r w:rsidR="008B0119" w:rsidRPr="00731D4C">
        <w:t>, 2008</w:t>
      </w:r>
      <w:r w:rsidRPr="00731D4C">
        <w:t xml:space="preserve">; Turpin, Richards, Hope, &amp; Duffy, 2008). Within the </w:t>
      </w:r>
      <w:r w:rsidR="008924AD" w:rsidRPr="00731D4C">
        <w:t xml:space="preserve">LIFT </w:t>
      </w:r>
      <w:r w:rsidRPr="00731D4C">
        <w:t>stepped care system</w:t>
      </w:r>
      <w:r w:rsidR="008924AD" w:rsidRPr="00731D4C">
        <w:t xml:space="preserve"> all </w:t>
      </w:r>
      <w:r w:rsidRPr="00731D4C">
        <w:t>therapists work at different levels</w:t>
      </w:r>
      <w:r w:rsidR="008924AD" w:rsidRPr="00731D4C">
        <w:t xml:space="preserve"> up to their expertise</w:t>
      </w:r>
      <w:r w:rsidRPr="00731D4C">
        <w:t xml:space="preserve">:  </w:t>
      </w:r>
      <w:r w:rsidR="00E95C19">
        <w:t>i</w:t>
      </w:r>
      <w:r w:rsidR="008924AD" w:rsidRPr="00731D4C">
        <w:t>n the LIFT approach (</w:t>
      </w:r>
      <w:r w:rsidR="00E95C19">
        <w:t>L</w:t>
      </w:r>
      <w:r w:rsidR="00E95C19" w:rsidRPr="00731D4C">
        <w:t xml:space="preserve">east </w:t>
      </w:r>
      <w:r w:rsidR="00E95C19">
        <w:t>I</w:t>
      </w:r>
      <w:r w:rsidR="00E95C19" w:rsidRPr="00731D4C">
        <w:t xml:space="preserve">ntervention </w:t>
      </w:r>
      <w:r w:rsidR="00E95C19">
        <w:t>F</w:t>
      </w:r>
      <w:r w:rsidR="00E95C19" w:rsidRPr="00731D4C">
        <w:t xml:space="preserve">irst </w:t>
      </w:r>
      <w:r w:rsidR="00E95C19">
        <w:t>T</w:t>
      </w:r>
      <w:r w:rsidR="00E95C19" w:rsidRPr="00731D4C">
        <w:t>ime</w:t>
      </w:r>
      <w:r w:rsidR="008924AD" w:rsidRPr="00731D4C">
        <w:t xml:space="preserve">) everyone is offered a low level intervention initially and can opt back in to receive more. </w:t>
      </w:r>
      <w:r w:rsidRPr="00731D4C">
        <w:t>In this study, LivDem groups were located within Step Two, in which the aim of therapy is to provide guided self-help</w:t>
      </w:r>
      <w:r w:rsidR="00B40BB4" w:rsidRPr="00731D4C">
        <w:t xml:space="preserve">, </w:t>
      </w:r>
      <w:r w:rsidR="00E95C19">
        <w:t xml:space="preserve">for instance by therapists </w:t>
      </w:r>
      <w:r w:rsidR="00B40BB4" w:rsidRPr="00731D4C">
        <w:t>suggesting strategies that may be helpful, but not intervening more actively to ensure that these ideas are acted upon</w:t>
      </w:r>
      <w:r w:rsidRPr="00731D4C">
        <w:t xml:space="preserve">. </w:t>
      </w:r>
      <w:r w:rsidR="00E95C19">
        <w:t>Although the LivDem model fits within this ethos</w:t>
      </w:r>
      <w:r w:rsidRPr="00731D4C">
        <w:t xml:space="preserve">, </w:t>
      </w:r>
      <w:r w:rsidR="00E95C19">
        <w:t xml:space="preserve">this </w:t>
      </w:r>
      <w:r w:rsidRPr="00731D4C">
        <w:t xml:space="preserve">model of work </w:t>
      </w:r>
      <w:r w:rsidR="00E95C19">
        <w:t xml:space="preserve">presents a number of challenges when applied to </w:t>
      </w:r>
      <w:r w:rsidRPr="00731D4C">
        <w:t>people affected by dementia:</w:t>
      </w:r>
    </w:p>
    <w:p w:rsidR="00CA643D" w:rsidRPr="00731D4C" w:rsidRDefault="00CA643D" w:rsidP="00841263">
      <w:pPr>
        <w:spacing w:line="480" w:lineRule="auto"/>
        <w:rPr>
          <w:rFonts w:cs="Arial"/>
          <w:bCs/>
          <w:color w:val="000000"/>
          <w:shd w:val="clear" w:color="auto" w:fill="FFFFFF"/>
        </w:rPr>
      </w:pPr>
      <w:proofErr w:type="gramStart"/>
      <w:r w:rsidRPr="00731D4C">
        <w:rPr>
          <w:rFonts w:cs="Arial"/>
          <w:bCs/>
          <w:i/>
          <w:color w:val="000000"/>
          <w:shd w:val="clear" w:color="auto" w:fill="FFFFFF"/>
        </w:rPr>
        <w:t>Recruitment.</w:t>
      </w:r>
      <w:proofErr w:type="gramEnd"/>
      <w:r w:rsidRPr="00731D4C">
        <w:rPr>
          <w:rFonts w:cs="Arial"/>
          <w:bCs/>
          <w:i/>
          <w:color w:val="000000"/>
          <w:shd w:val="clear" w:color="auto" w:fill="FFFFFF"/>
        </w:rPr>
        <w:t xml:space="preserve"> </w:t>
      </w:r>
      <w:r w:rsidRPr="00731D4C">
        <w:rPr>
          <w:rFonts w:cs="Arial"/>
          <w:bCs/>
          <w:color w:val="000000"/>
          <w:shd w:val="clear" w:color="auto" w:fill="FFFFFF"/>
        </w:rPr>
        <w:t xml:space="preserve">Of the eight people referred to the project, only three </w:t>
      </w:r>
      <w:r w:rsidR="00B40BB4" w:rsidRPr="00731D4C">
        <w:rPr>
          <w:rFonts w:cs="Arial"/>
          <w:bCs/>
          <w:color w:val="000000"/>
          <w:shd w:val="clear" w:color="auto" w:fill="FFFFFF"/>
        </w:rPr>
        <w:t xml:space="preserve">referrals were </w:t>
      </w:r>
      <w:r w:rsidRPr="00731D4C">
        <w:rPr>
          <w:rFonts w:cs="Arial"/>
          <w:bCs/>
          <w:color w:val="000000"/>
          <w:shd w:val="clear" w:color="auto" w:fill="FFFFFF"/>
        </w:rPr>
        <w:t>from a Primary Care setting, with the other five being referred from a local Memory clinic. IAPT services typically rely on self-referral, often using on-line processes, and may need to take a more active approach to initiating referrals when working with people affected by dementia, for instance by drawing on local memory services and third sector agencies.</w:t>
      </w:r>
    </w:p>
    <w:p w:rsidR="008B0119" w:rsidRPr="00731D4C" w:rsidRDefault="008B0119" w:rsidP="00841263">
      <w:pPr>
        <w:spacing w:before="120" w:after="120" w:line="480" w:lineRule="auto"/>
      </w:pPr>
      <w:proofErr w:type="gramStart"/>
      <w:r w:rsidRPr="00731D4C">
        <w:rPr>
          <w:rFonts w:cs="Arial"/>
          <w:bCs/>
          <w:i/>
          <w:color w:val="000000"/>
          <w:shd w:val="clear" w:color="auto" w:fill="FFFFFF"/>
        </w:rPr>
        <w:t>Minimum Data Set.</w:t>
      </w:r>
      <w:proofErr w:type="gramEnd"/>
      <w:r w:rsidRPr="00731D4C">
        <w:t xml:space="preserve"> All IAPT services are required to administer the Minimum Data Set (MDS) to clients at the end of every session as a way of monitoring change. This </w:t>
      </w:r>
      <w:r w:rsidR="00E95C19">
        <w:t xml:space="preserve">involves </w:t>
      </w:r>
      <w:r w:rsidRPr="00731D4C">
        <w:t>standardised self-report questionnaires designed largely for use by adults of working age. However, very quickly it became apparent that all of the participants struggled to complete these questionnaires, and this form of data collection was abandoned.</w:t>
      </w:r>
    </w:p>
    <w:p w:rsidR="00B40BB4" w:rsidRPr="00731D4C" w:rsidRDefault="00B40BB4" w:rsidP="00841263">
      <w:pPr>
        <w:spacing w:line="480" w:lineRule="auto"/>
      </w:pPr>
      <w:proofErr w:type="gramStart"/>
      <w:r w:rsidRPr="00731D4C">
        <w:rPr>
          <w:rFonts w:cs="Arial"/>
          <w:bCs/>
          <w:i/>
          <w:color w:val="000000"/>
          <w:shd w:val="clear" w:color="auto" w:fill="FFFFFF"/>
        </w:rPr>
        <w:t>Engaging with therapeutic material.</w:t>
      </w:r>
      <w:proofErr w:type="gramEnd"/>
      <w:r w:rsidRPr="00731D4C">
        <w:rPr>
          <w:rFonts w:cs="Arial"/>
          <w:bCs/>
          <w:color w:val="000000"/>
          <w:shd w:val="clear" w:color="auto" w:fill="FFFFFF"/>
        </w:rPr>
        <w:t xml:space="preserve"> </w:t>
      </w:r>
      <w:r w:rsidRPr="00731D4C">
        <w:t xml:space="preserve">In this study, </w:t>
      </w:r>
      <w:r w:rsidR="00C34135">
        <w:t>the lead author</w:t>
      </w:r>
      <w:r w:rsidRPr="00731D4C">
        <w:t xml:space="preserve"> provided not only training, but also visited the </w:t>
      </w:r>
      <w:r w:rsidR="00B93B2F" w:rsidRPr="00731D4C">
        <w:t xml:space="preserve">IAPT </w:t>
      </w:r>
      <w:r w:rsidRPr="00731D4C">
        <w:t>service regularly, providing informal support and supervision for therapists.</w:t>
      </w:r>
      <w:r w:rsidR="00B93B2F" w:rsidRPr="00731D4C">
        <w:t xml:space="preserve"> Anecdotal feedback from a second LivDem group which has subsequently been run but which did not have the on-going support from a dementia specialist, was that clients had quite complex needs, which therapists lacking a background in dementia struggled to meet. Thus</w:t>
      </w:r>
      <w:r w:rsidR="0095436D" w:rsidRPr="00731D4C">
        <w:t>,</w:t>
      </w:r>
      <w:r w:rsidR="00B93B2F" w:rsidRPr="00731D4C">
        <w:t xml:space="preserve"> although the lack of familiarity of therapists with the needs of people with dementia did not seem to be an issue in this study, there is a danger that the expectations of step two therapist for clients with dementia will be unrealistic – for instance in their ability to remember sessions material and to initiate the use of new self-help strategies. Similarly, group participants may work with therapists who are unused to working with older people, especially those who have a cognitive impairment, and as a consequence struggle with even the basics of therapy such as hearing, understanding or retaining information that they are given.</w:t>
      </w:r>
    </w:p>
    <w:p w:rsidR="00B40BB4" w:rsidRPr="00731D4C" w:rsidRDefault="00B40BB4" w:rsidP="00841263">
      <w:pPr>
        <w:spacing w:line="480" w:lineRule="auto"/>
      </w:pPr>
      <w:r w:rsidRPr="00731D4C">
        <w:rPr>
          <w:i/>
        </w:rPr>
        <w:t xml:space="preserve">Support for carers. </w:t>
      </w:r>
      <w:r w:rsidR="00B93B2F" w:rsidRPr="00731D4C">
        <w:t>In this study</w:t>
      </w:r>
      <w:r w:rsidR="00B93B2F" w:rsidRPr="00731D4C">
        <w:rPr>
          <w:i/>
        </w:rPr>
        <w:t xml:space="preserve"> </w:t>
      </w:r>
      <w:r w:rsidRPr="00731D4C">
        <w:t xml:space="preserve">a parallel group for carers was run in which topics and ideas from the participant group were explained to carers, as a way of encouraging them to support the take up of these strategies. </w:t>
      </w:r>
      <w:proofErr w:type="gramStart"/>
      <w:r w:rsidRPr="00731D4C">
        <w:t>The group for carers also provided peer support and stress management.</w:t>
      </w:r>
      <w:proofErr w:type="gramEnd"/>
      <w:r w:rsidR="00B93B2F" w:rsidRPr="00731D4C">
        <w:t xml:space="preserve"> Although labour intensive, this form of joint working is invaluable, particularly given therapists’ lack of experience with people </w:t>
      </w:r>
      <w:proofErr w:type="gramStart"/>
      <w:r w:rsidR="00B93B2F" w:rsidRPr="00731D4C">
        <w:t>affected  by</w:t>
      </w:r>
      <w:proofErr w:type="gramEnd"/>
      <w:r w:rsidR="00B93B2F" w:rsidRPr="00731D4C">
        <w:t xml:space="preserve"> dementia, and the otherwise passive nature of IAPT services compared to more traditional secondary care and memory services.</w:t>
      </w:r>
    </w:p>
    <w:p w:rsidR="00CA643D" w:rsidRPr="00731D4C" w:rsidRDefault="00B93B2F" w:rsidP="00841263">
      <w:pPr>
        <w:spacing w:line="480" w:lineRule="auto"/>
      </w:pPr>
      <w:r w:rsidRPr="00731D4C">
        <w:rPr>
          <w:rFonts w:cs="Arial"/>
          <w:bCs/>
          <w:color w:val="000000"/>
          <w:shd w:val="clear" w:color="auto" w:fill="FFFFFF"/>
        </w:rPr>
        <w:t xml:space="preserve">In conclusion, </w:t>
      </w:r>
      <w:r w:rsidRPr="00731D4C">
        <w:rPr>
          <w:rFonts w:cs="Arial"/>
        </w:rPr>
        <w:t xml:space="preserve">access </w:t>
      </w:r>
      <w:r w:rsidRPr="00731D4C">
        <w:rPr>
          <w:rFonts w:cs="Arial"/>
          <w:shd w:val="clear" w:color="auto" w:fill="FFFFFF"/>
        </w:rPr>
        <w:t xml:space="preserve">to Primary Care psychological therapies by Older People has been disappointing in recent years, with many IAPT services now recognising a need to improve the training of therapists, and to meet the shortfall in service delivery by providing new services. </w:t>
      </w:r>
      <w:r w:rsidRPr="00731D4C">
        <w:t xml:space="preserve">The preliminary data gathered here is broadly supportive of providing LivDem groups within a primary care context. Thus, </w:t>
      </w:r>
      <w:r w:rsidRPr="00731D4C">
        <w:rPr>
          <w:rFonts w:cs="Arial"/>
          <w:bCs/>
          <w:color w:val="000000"/>
          <w:shd w:val="clear" w:color="auto" w:fill="FFFFFF"/>
        </w:rPr>
        <w:t xml:space="preserve">the improvement in </w:t>
      </w:r>
      <w:proofErr w:type="spellStart"/>
      <w:r w:rsidRPr="00731D4C">
        <w:rPr>
          <w:rFonts w:cs="Arial"/>
          <w:bCs/>
          <w:color w:val="000000"/>
          <w:shd w:val="clear" w:color="auto" w:fill="FFFFFF"/>
        </w:rPr>
        <w:t>QoL</w:t>
      </w:r>
      <w:proofErr w:type="spellEnd"/>
      <w:r w:rsidRPr="00731D4C">
        <w:rPr>
          <w:rFonts w:cs="Arial"/>
          <w:bCs/>
          <w:color w:val="000000"/>
          <w:shd w:val="clear" w:color="auto" w:fill="FFFFFF"/>
        </w:rPr>
        <w:t xml:space="preserve">-AD scores of Daphne and Ruby are consistent with that found by Marshall et al (2014). At the same time, </w:t>
      </w:r>
      <w:r w:rsidR="00CA643D" w:rsidRPr="00731D4C">
        <w:t xml:space="preserve">concerns </w:t>
      </w:r>
      <w:r w:rsidRPr="00731D4C">
        <w:t xml:space="preserve">remain </w:t>
      </w:r>
      <w:r w:rsidR="00CA643D" w:rsidRPr="00731D4C">
        <w:t>about the fit between the LivDem intervention and the way in which Primary care psychology is structured</w:t>
      </w:r>
      <w:r w:rsidR="008B0119" w:rsidRPr="00731D4C">
        <w:t xml:space="preserve"> particularly if the intervention is seen as a Step Two intervention, if therapists are not more actively supported by a dementia specialist and if a parallel carers’ group is not run.</w:t>
      </w:r>
    </w:p>
    <w:p w:rsidR="00CA643D" w:rsidRPr="00731D4C" w:rsidRDefault="00CA643D" w:rsidP="00CA643D"/>
    <w:p w:rsidR="00C7571B" w:rsidRPr="007C27AD" w:rsidRDefault="007C27AD" w:rsidP="007C27AD">
      <w:pPr>
        <w:spacing w:line="480" w:lineRule="auto"/>
        <w:rPr>
          <w:b/>
        </w:rPr>
      </w:pPr>
      <w:proofErr w:type="gramStart"/>
      <w:r w:rsidRPr="007C27AD">
        <w:rPr>
          <w:b/>
        </w:rPr>
        <w:t>Acknowledgements.</w:t>
      </w:r>
      <w:proofErr w:type="gramEnd"/>
      <w:r w:rsidRPr="007C27AD">
        <w:rPr>
          <w:b/>
        </w:rPr>
        <w:t xml:space="preserve"> </w:t>
      </w:r>
    </w:p>
    <w:p w:rsidR="00CA643D" w:rsidRPr="00731D4C" w:rsidRDefault="007C27AD" w:rsidP="007C27AD">
      <w:pPr>
        <w:spacing w:line="480" w:lineRule="auto"/>
      </w:pPr>
      <w:r>
        <w:t>We would like to thanks all the participants for their involvement in the study, and additionally psychologists based at the LIFT psychology service in Swindon: Maria</w:t>
      </w:r>
      <w:r w:rsidRPr="00731D4C">
        <w:t xml:space="preserve">nne </w:t>
      </w:r>
      <w:r w:rsidR="000C587E" w:rsidRPr="00731D4C">
        <w:t>Evans</w:t>
      </w:r>
      <w:r w:rsidRPr="00731D4C">
        <w:t xml:space="preserve">, Rosa </w:t>
      </w:r>
      <w:r w:rsidR="000C587E" w:rsidRPr="00731D4C">
        <w:t>Hoshi</w:t>
      </w:r>
      <w:r w:rsidRPr="00731D4C">
        <w:t xml:space="preserve">, </w:t>
      </w:r>
      <w:r w:rsidR="000C587E" w:rsidRPr="00731D4C">
        <w:t>Kim Jackson-</w:t>
      </w:r>
      <w:proofErr w:type="spellStart"/>
      <w:r w:rsidR="000C587E" w:rsidRPr="00731D4C">
        <w:t>Blott</w:t>
      </w:r>
      <w:proofErr w:type="spellEnd"/>
      <w:r w:rsidR="000C587E" w:rsidRPr="00731D4C">
        <w:t xml:space="preserve">, Brian </w:t>
      </w:r>
      <w:proofErr w:type="spellStart"/>
      <w:r w:rsidR="000C587E" w:rsidRPr="00731D4C">
        <w:t>O’Cealliagh</w:t>
      </w:r>
      <w:proofErr w:type="spellEnd"/>
      <w:r w:rsidR="000C587E" w:rsidRPr="00731D4C">
        <w:t xml:space="preserve"> and Karen Wiltshire</w:t>
      </w:r>
    </w:p>
    <w:p w:rsidR="000A2E22" w:rsidRDefault="000A2E22">
      <w:pPr>
        <w:rPr>
          <w:b/>
        </w:rPr>
      </w:pPr>
      <w:r>
        <w:rPr>
          <w:b/>
        </w:rPr>
        <w:br w:type="page"/>
      </w:r>
    </w:p>
    <w:p w:rsidR="00C05BC3" w:rsidRPr="00731D4C" w:rsidRDefault="00C05BC3" w:rsidP="00C05BC3">
      <w:pPr>
        <w:spacing w:line="480" w:lineRule="auto"/>
        <w:jc w:val="center"/>
        <w:rPr>
          <w:b/>
        </w:rPr>
      </w:pPr>
      <w:r w:rsidRPr="00731D4C">
        <w:rPr>
          <w:b/>
        </w:rPr>
        <w:t xml:space="preserve">Table </w:t>
      </w:r>
      <w:proofErr w:type="gramStart"/>
      <w:r>
        <w:rPr>
          <w:b/>
        </w:rPr>
        <w:t>One</w:t>
      </w:r>
      <w:proofErr w:type="gramEnd"/>
      <w:r w:rsidRPr="00731D4C">
        <w:rPr>
          <w:b/>
        </w:rPr>
        <w:t xml:space="preserve">: </w:t>
      </w:r>
      <w:r>
        <w:rPr>
          <w:b/>
        </w:rPr>
        <w:t>participant and carer demographic information</w:t>
      </w:r>
      <w:r w:rsidRPr="00731D4C">
        <w:rPr>
          <w:b/>
        </w:rPr>
        <w:t>.</w:t>
      </w:r>
    </w:p>
    <w:tbl>
      <w:tblPr>
        <w:tblStyle w:val="TableGrid"/>
        <w:tblW w:w="0" w:type="auto"/>
        <w:jc w:val="center"/>
        <w:tblLook w:val="04A0"/>
      </w:tblPr>
      <w:tblGrid>
        <w:gridCol w:w="1008"/>
        <w:gridCol w:w="1353"/>
        <w:gridCol w:w="1353"/>
        <w:gridCol w:w="1219"/>
        <w:gridCol w:w="1353"/>
        <w:gridCol w:w="1358"/>
      </w:tblGrid>
      <w:tr w:rsidR="00C05BC3" w:rsidRPr="00731D4C" w:rsidTr="00E95C19">
        <w:trPr>
          <w:jc w:val="center"/>
        </w:trPr>
        <w:tc>
          <w:tcPr>
            <w:tcW w:w="1008" w:type="dxa"/>
          </w:tcPr>
          <w:p w:rsidR="00C05BC3" w:rsidRPr="00731D4C" w:rsidRDefault="00C05BC3" w:rsidP="00C05BC3">
            <w:pPr>
              <w:spacing w:before="120" w:after="120" w:line="276" w:lineRule="auto"/>
              <w:rPr>
                <w:rFonts w:asciiTheme="minorHAnsi" w:hAnsiTheme="minorHAnsi"/>
                <w:b/>
              </w:rPr>
            </w:pPr>
          </w:p>
        </w:tc>
        <w:tc>
          <w:tcPr>
            <w:tcW w:w="1353" w:type="dxa"/>
          </w:tcPr>
          <w:p w:rsidR="00C05BC3" w:rsidRPr="00731D4C" w:rsidRDefault="00C05BC3" w:rsidP="00C05BC3">
            <w:pPr>
              <w:spacing w:before="120" w:after="120" w:line="276" w:lineRule="auto"/>
              <w:jc w:val="center"/>
              <w:rPr>
                <w:rFonts w:asciiTheme="minorHAnsi" w:hAnsiTheme="minorHAnsi"/>
                <w:b/>
              </w:rPr>
            </w:pPr>
            <w:r w:rsidRPr="00731D4C">
              <w:rPr>
                <w:rFonts w:asciiTheme="minorHAnsi" w:hAnsiTheme="minorHAnsi"/>
                <w:b/>
              </w:rPr>
              <w:t xml:space="preserve">Participant </w:t>
            </w:r>
            <w:r>
              <w:rPr>
                <w:rFonts w:asciiTheme="minorHAnsi" w:hAnsiTheme="minorHAnsi"/>
                <w:b/>
              </w:rPr>
              <w:t>age</w:t>
            </w:r>
          </w:p>
        </w:tc>
        <w:tc>
          <w:tcPr>
            <w:tcW w:w="1353" w:type="dxa"/>
          </w:tcPr>
          <w:p w:rsidR="00C05BC3" w:rsidRPr="00731D4C" w:rsidRDefault="00C05BC3" w:rsidP="00C05BC3">
            <w:pPr>
              <w:spacing w:before="120" w:after="120" w:line="276" w:lineRule="auto"/>
              <w:jc w:val="center"/>
              <w:rPr>
                <w:rFonts w:asciiTheme="minorHAnsi" w:hAnsiTheme="minorHAnsi"/>
                <w:b/>
              </w:rPr>
            </w:pPr>
            <w:r>
              <w:rPr>
                <w:rFonts w:asciiTheme="minorHAnsi" w:hAnsiTheme="minorHAnsi"/>
                <w:b/>
              </w:rPr>
              <w:t>Diagnosis</w:t>
            </w:r>
          </w:p>
        </w:tc>
        <w:tc>
          <w:tcPr>
            <w:tcW w:w="1219" w:type="dxa"/>
          </w:tcPr>
          <w:p w:rsidR="00C05BC3" w:rsidRPr="00731D4C" w:rsidRDefault="00C05BC3" w:rsidP="00C05BC3">
            <w:pPr>
              <w:spacing w:before="120" w:after="120" w:line="276" w:lineRule="auto"/>
              <w:jc w:val="center"/>
              <w:rPr>
                <w:rFonts w:asciiTheme="minorHAnsi" w:hAnsiTheme="minorHAnsi"/>
                <w:b/>
              </w:rPr>
            </w:pPr>
            <w:r>
              <w:rPr>
                <w:rFonts w:asciiTheme="minorHAnsi" w:hAnsiTheme="minorHAnsi"/>
                <w:b/>
              </w:rPr>
              <w:t>MMSE score</w:t>
            </w:r>
          </w:p>
        </w:tc>
        <w:tc>
          <w:tcPr>
            <w:tcW w:w="1353" w:type="dxa"/>
          </w:tcPr>
          <w:p w:rsidR="00C05BC3" w:rsidRPr="00731D4C" w:rsidRDefault="00C05BC3" w:rsidP="00C05BC3">
            <w:pPr>
              <w:spacing w:before="120" w:after="120" w:line="276" w:lineRule="auto"/>
              <w:jc w:val="center"/>
              <w:rPr>
                <w:rFonts w:asciiTheme="minorHAnsi" w:hAnsiTheme="minorHAnsi"/>
                <w:b/>
              </w:rPr>
            </w:pPr>
            <w:r>
              <w:rPr>
                <w:rFonts w:asciiTheme="minorHAnsi" w:hAnsiTheme="minorHAnsi"/>
                <w:b/>
              </w:rPr>
              <w:t>Carer age</w:t>
            </w:r>
          </w:p>
        </w:tc>
        <w:tc>
          <w:tcPr>
            <w:tcW w:w="1358" w:type="dxa"/>
          </w:tcPr>
          <w:p w:rsidR="00C05BC3" w:rsidRPr="00731D4C" w:rsidRDefault="00C05BC3" w:rsidP="00C05BC3">
            <w:pPr>
              <w:spacing w:before="120" w:after="120" w:line="276" w:lineRule="auto"/>
              <w:jc w:val="center"/>
              <w:rPr>
                <w:rFonts w:asciiTheme="minorHAnsi" w:hAnsiTheme="minorHAnsi"/>
                <w:b/>
              </w:rPr>
            </w:pPr>
            <w:r>
              <w:rPr>
                <w:rFonts w:asciiTheme="minorHAnsi" w:hAnsiTheme="minorHAnsi"/>
                <w:b/>
              </w:rPr>
              <w:t>Relationship</w:t>
            </w:r>
          </w:p>
        </w:tc>
      </w:tr>
      <w:tr w:rsidR="00C05BC3" w:rsidRPr="00731D4C" w:rsidTr="00E95C19">
        <w:trPr>
          <w:jc w:val="center"/>
        </w:trPr>
        <w:tc>
          <w:tcPr>
            <w:tcW w:w="1008" w:type="dxa"/>
          </w:tcPr>
          <w:p w:rsidR="00C05BC3" w:rsidRPr="00731D4C" w:rsidRDefault="00C05BC3" w:rsidP="00C05BC3">
            <w:pPr>
              <w:spacing w:before="120" w:after="120" w:line="276" w:lineRule="auto"/>
              <w:rPr>
                <w:rFonts w:asciiTheme="minorHAnsi" w:hAnsiTheme="minorHAnsi"/>
              </w:rPr>
            </w:pPr>
            <w:r w:rsidRPr="00731D4C">
              <w:rPr>
                <w:rFonts w:asciiTheme="minorHAnsi" w:hAnsiTheme="minorHAnsi"/>
              </w:rPr>
              <w:t>Daphne</w:t>
            </w:r>
            <w:r>
              <w:rPr>
                <w:rFonts w:asciiTheme="minorHAnsi" w:hAnsiTheme="minorHAnsi"/>
              </w:rPr>
              <w:t xml:space="preserve"> and Dennis</w:t>
            </w:r>
          </w:p>
        </w:tc>
        <w:tc>
          <w:tcPr>
            <w:tcW w:w="1353" w:type="dxa"/>
          </w:tcPr>
          <w:p w:rsidR="00C05BC3" w:rsidRPr="00731D4C" w:rsidRDefault="00C05BC3" w:rsidP="00C05BC3">
            <w:pPr>
              <w:spacing w:before="120" w:after="120" w:line="276" w:lineRule="auto"/>
              <w:jc w:val="center"/>
              <w:rPr>
                <w:rFonts w:asciiTheme="minorHAnsi" w:hAnsiTheme="minorHAnsi"/>
              </w:rPr>
            </w:pPr>
            <w:r>
              <w:rPr>
                <w:rFonts w:asciiTheme="minorHAnsi" w:hAnsiTheme="minorHAnsi"/>
              </w:rPr>
              <w:t>80</w:t>
            </w:r>
          </w:p>
        </w:tc>
        <w:tc>
          <w:tcPr>
            <w:tcW w:w="1353" w:type="dxa"/>
          </w:tcPr>
          <w:p w:rsidR="00C05BC3" w:rsidRPr="00731D4C" w:rsidRDefault="00C05BC3" w:rsidP="00C05BC3">
            <w:pPr>
              <w:spacing w:before="120" w:after="120" w:line="276" w:lineRule="auto"/>
              <w:jc w:val="center"/>
              <w:rPr>
                <w:rFonts w:asciiTheme="minorHAnsi" w:hAnsiTheme="minorHAnsi"/>
              </w:rPr>
            </w:pPr>
            <w:r>
              <w:rPr>
                <w:rFonts w:asciiTheme="minorHAnsi" w:hAnsiTheme="minorHAnsi"/>
              </w:rPr>
              <w:t>Mixed dementia</w:t>
            </w:r>
          </w:p>
        </w:tc>
        <w:tc>
          <w:tcPr>
            <w:tcW w:w="1219" w:type="dxa"/>
          </w:tcPr>
          <w:p w:rsidR="00C05BC3" w:rsidRPr="00731D4C" w:rsidRDefault="00C05BC3" w:rsidP="00C05BC3">
            <w:pPr>
              <w:spacing w:before="120" w:after="120" w:line="276" w:lineRule="auto"/>
              <w:jc w:val="center"/>
              <w:rPr>
                <w:rFonts w:asciiTheme="minorHAnsi" w:hAnsiTheme="minorHAnsi"/>
              </w:rPr>
            </w:pPr>
            <w:r>
              <w:rPr>
                <w:rFonts w:asciiTheme="minorHAnsi" w:hAnsiTheme="minorHAnsi"/>
              </w:rPr>
              <w:t>20</w:t>
            </w:r>
          </w:p>
        </w:tc>
        <w:tc>
          <w:tcPr>
            <w:tcW w:w="1353" w:type="dxa"/>
          </w:tcPr>
          <w:p w:rsidR="00C05BC3" w:rsidRPr="00731D4C" w:rsidRDefault="00C05BC3" w:rsidP="00C05BC3">
            <w:pPr>
              <w:spacing w:before="120" w:after="120" w:line="276" w:lineRule="auto"/>
              <w:jc w:val="center"/>
              <w:rPr>
                <w:rFonts w:asciiTheme="minorHAnsi" w:hAnsiTheme="minorHAnsi"/>
              </w:rPr>
            </w:pPr>
            <w:r>
              <w:rPr>
                <w:rFonts w:asciiTheme="minorHAnsi" w:hAnsiTheme="minorHAnsi"/>
              </w:rPr>
              <w:t>85</w:t>
            </w:r>
          </w:p>
        </w:tc>
        <w:tc>
          <w:tcPr>
            <w:tcW w:w="1358" w:type="dxa"/>
          </w:tcPr>
          <w:p w:rsidR="00C05BC3" w:rsidRPr="00731D4C" w:rsidRDefault="00C05BC3" w:rsidP="00C05BC3">
            <w:pPr>
              <w:spacing w:before="120" w:after="120" w:line="276" w:lineRule="auto"/>
              <w:jc w:val="center"/>
              <w:rPr>
                <w:rFonts w:asciiTheme="minorHAnsi" w:hAnsiTheme="minorHAnsi"/>
              </w:rPr>
            </w:pPr>
            <w:r>
              <w:rPr>
                <w:rFonts w:asciiTheme="minorHAnsi" w:hAnsiTheme="minorHAnsi"/>
              </w:rPr>
              <w:t>Husband and wife</w:t>
            </w:r>
          </w:p>
        </w:tc>
      </w:tr>
      <w:tr w:rsidR="00C05BC3" w:rsidRPr="00731D4C" w:rsidTr="00E95C19">
        <w:trPr>
          <w:jc w:val="center"/>
        </w:trPr>
        <w:tc>
          <w:tcPr>
            <w:tcW w:w="1008" w:type="dxa"/>
          </w:tcPr>
          <w:p w:rsidR="00C05BC3" w:rsidRPr="00731D4C" w:rsidRDefault="00C05BC3" w:rsidP="00C05BC3">
            <w:pPr>
              <w:spacing w:before="120" w:after="120" w:line="276" w:lineRule="auto"/>
              <w:rPr>
                <w:rFonts w:asciiTheme="minorHAnsi" w:hAnsiTheme="minorHAnsi"/>
              </w:rPr>
            </w:pPr>
            <w:r w:rsidRPr="00731D4C">
              <w:rPr>
                <w:rFonts w:asciiTheme="minorHAnsi" w:hAnsiTheme="minorHAnsi"/>
              </w:rPr>
              <w:t>Elsie</w:t>
            </w:r>
            <w:r>
              <w:rPr>
                <w:rFonts w:asciiTheme="minorHAnsi" w:hAnsiTheme="minorHAnsi"/>
              </w:rPr>
              <w:t xml:space="preserve"> and Nigel</w:t>
            </w:r>
          </w:p>
        </w:tc>
        <w:tc>
          <w:tcPr>
            <w:tcW w:w="1353" w:type="dxa"/>
          </w:tcPr>
          <w:p w:rsidR="00C05BC3" w:rsidRPr="00731D4C" w:rsidRDefault="00C05BC3" w:rsidP="00C05BC3">
            <w:pPr>
              <w:spacing w:before="120" w:after="120" w:line="276" w:lineRule="auto"/>
              <w:jc w:val="center"/>
              <w:rPr>
                <w:rFonts w:asciiTheme="minorHAnsi" w:hAnsiTheme="minorHAnsi"/>
              </w:rPr>
            </w:pPr>
            <w:r>
              <w:rPr>
                <w:rFonts w:asciiTheme="minorHAnsi" w:hAnsiTheme="minorHAnsi"/>
              </w:rPr>
              <w:t>84</w:t>
            </w:r>
          </w:p>
        </w:tc>
        <w:tc>
          <w:tcPr>
            <w:tcW w:w="1353" w:type="dxa"/>
          </w:tcPr>
          <w:p w:rsidR="00C05BC3" w:rsidRPr="00731D4C" w:rsidRDefault="00C05BC3" w:rsidP="00C05BC3">
            <w:pPr>
              <w:spacing w:before="120" w:after="120" w:line="276" w:lineRule="auto"/>
              <w:jc w:val="center"/>
              <w:rPr>
                <w:rFonts w:asciiTheme="minorHAnsi" w:hAnsiTheme="minorHAnsi"/>
              </w:rPr>
            </w:pPr>
            <w:r>
              <w:rPr>
                <w:rFonts w:asciiTheme="minorHAnsi" w:hAnsiTheme="minorHAnsi"/>
              </w:rPr>
              <w:t>Alzheimer’s disease</w:t>
            </w:r>
          </w:p>
        </w:tc>
        <w:tc>
          <w:tcPr>
            <w:tcW w:w="1219" w:type="dxa"/>
          </w:tcPr>
          <w:p w:rsidR="00C05BC3" w:rsidRPr="00731D4C" w:rsidRDefault="00C05BC3" w:rsidP="00C05BC3">
            <w:pPr>
              <w:spacing w:before="120" w:after="120" w:line="276" w:lineRule="auto"/>
              <w:jc w:val="center"/>
              <w:rPr>
                <w:rFonts w:asciiTheme="minorHAnsi" w:hAnsiTheme="minorHAnsi"/>
              </w:rPr>
            </w:pPr>
            <w:r>
              <w:rPr>
                <w:rFonts w:asciiTheme="minorHAnsi" w:hAnsiTheme="minorHAnsi"/>
              </w:rPr>
              <w:t>22</w:t>
            </w:r>
          </w:p>
        </w:tc>
        <w:tc>
          <w:tcPr>
            <w:tcW w:w="1353" w:type="dxa"/>
          </w:tcPr>
          <w:p w:rsidR="00C05BC3" w:rsidRPr="00731D4C" w:rsidRDefault="00C05BC3" w:rsidP="00C05BC3">
            <w:pPr>
              <w:spacing w:before="120" w:after="120" w:line="276" w:lineRule="auto"/>
              <w:jc w:val="center"/>
              <w:rPr>
                <w:rFonts w:asciiTheme="minorHAnsi" w:hAnsiTheme="minorHAnsi"/>
              </w:rPr>
            </w:pPr>
            <w:r>
              <w:rPr>
                <w:rFonts w:asciiTheme="minorHAnsi" w:hAnsiTheme="minorHAnsi"/>
              </w:rPr>
              <w:t>62</w:t>
            </w:r>
          </w:p>
        </w:tc>
        <w:tc>
          <w:tcPr>
            <w:tcW w:w="1358" w:type="dxa"/>
          </w:tcPr>
          <w:p w:rsidR="00C05BC3" w:rsidRPr="00731D4C" w:rsidRDefault="00C05BC3" w:rsidP="00C05BC3">
            <w:pPr>
              <w:spacing w:before="120" w:after="120" w:line="276" w:lineRule="auto"/>
              <w:jc w:val="center"/>
              <w:rPr>
                <w:rFonts w:asciiTheme="minorHAnsi" w:hAnsiTheme="minorHAnsi"/>
              </w:rPr>
            </w:pPr>
            <w:r>
              <w:rPr>
                <w:rFonts w:asciiTheme="minorHAnsi" w:hAnsiTheme="minorHAnsi"/>
              </w:rPr>
              <w:t>Mother and son</w:t>
            </w:r>
          </w:p>
        </w:tc>
      </w:tr>
      <w:tr w:rsidR="00C05BC3" w:rsidRPr="00731D4C" w:rsidTr="00E95C19">
        <w:trPr>
          <w:jc w:val="center"/>
        </w:trPr>
        <w:tc>
          <w:tcPr>
            <w:tcW w:w="1008" w:type="dxa"/>
          </w:tcPr>
          <w:p w:rsidR="00C05BC3" w:rsidRPr="00731D4C" w:rsidRDefault="00C05BC3" w:rsidP="00C05BC3">
            <w:pPr>
              <w:spacing w:before="120" w:after="120" w:line="276" w:lineRule="auto"/>
              <w:rPr>
                <w:rFonts w:asciiTheme="minorHAnsi" w:hAnsiTheme="minorHAnsi"/>
              </w:rPr>
            </w:pPr>
            <w:r w:rsidRPr="00731D4C">
              <w:rPr>
                <w:rFonts w:asciiTheme="minorHAnsi" w:hAnsiTheme="minorHAnsi"/>
              </w:rPr>
              <w:t>Ruby</w:t>
            </w:r>
            <w:r>
              <w:rPr>
                <w:rFonts w:asciiTheme="minorHAnsi" w:hAnsiTheme="minorHAnsi"/>
              </w:rPr>
              <w:t xml:space="preserve"> and Rod</w:t>
            </w:r>
          </w:p>
        </w:tc>
        <w:tc>
          <w:tcPr>
            <w:tcW w:w="1353" w:type="dxa"/>
          </w:tcPr>
          <w:p w:rsidR="00C05BC3" w:rsidRPr="00731D4C" w:rsidRDefault="00C05BC3" w:rsidP="00C05BC3">
            <w:pPr>
              <w:spacing w:before="120" w:after="120" w:line="276" w:lineRule="auto"/>
              <w:jc w:val="center"/>
              <w:rPr>
                <w:rFonts w:asciiTheme="minorHAnsi" w:hAnsiTheme="minorHAnsi"/>
              </w:rPr>
            </w:pPr>
            <w:r>
              <w:rPr>
                <w:rFonts w:asciiTheme="minorHAnsi" w:hAnsiTheme="minorHAnsi"/>
              </w:rPr>
              <w:t>79</w:t>
            </w:r>
          </w:p>
        </w:tc>
        <w:tc>
          <w:tcPr>
            <w:tcW w:w="1353" w:type="dxa"/>
          </w:tcPr>
          <w:p w:rsidR="00C05BC3" w:rsidRPr="00731D4C" w:rsidRDefault="00C05BC3" w:rsidP="00C05BC3">
            <w:pPr>
              <w:spacing w:before="120" w:after="120" w:line="276" w:lineRule="auto"/>
              <w:jc w:val="center"/>
              <w:rPr>
                <w:rFonts w:asciiTheme="minorHAnsi" w:hAnsiTheme="minorHAnsi"/>
              </w:rPr>
            </w:pPr>
            <w:r>
              <w:rPr>
                <w:rFonts w:asciiTheme="minorHAnsi" w:hAnsiTheme="minorHAnsi"/>
              </w:rPr>
              <w:t>Alzheimer’s disease</w:t>
            </w:r>
          </w:p>
        </w:tc>
        <w:tc>
          <w:tcPr>
            <w:tcW w:w="1219" w:type="dxa"/>
          </w:tcPr>
          <w:p w:rsidR="00C05BC3" w:rsidRPr="00731D4C" w:rsidRDefault="00C05BC3" w:rsidP="00C05BC3">
            <w:pPr>
              <w:spacing w:before="120" w:after="120" w:line="276" w:lineRule="auto"/>
              <w:jc w:val="center"/>
              <w:rPr>
                <w:rFonts w:asciiTheme="minorHAnsi" w:hAnsiTheme="minorHAnsi"/>
              </w:rPr>
            </w:pPr>
            <w:r>
              <w:rPr>
                <w:rFonts w:asciiTheme="minorHAnsi" w:hAnsiTheme="minorHAnsi"/>
              </w:rPr>
              <w:t>23</w:t>
            </w:r>
          </w:p>
        </w:tc>
        <w:tc>
          <w:tcPr>
            <w:tcW w:w="1353" w:type="dxa"/>
          </w:tcPr>
          <w:p w:rsidR="00C05BC3" w:rsidRPr="00731D4C" w:rsidRDefault="00C05BC3" w:rsidP="00C05BC3">
            <w:pPr>
              <w:spacing w:before="120" w:after="120" w:line="276" w:lineRule="auto"/>
              <w:jc w:val="center"/>
              <w:rPr>
                <w:rFonts w:asciiTheme="minorHAnsi" w:hAnsiTheme="minorHAnsi"/>
              </w:rPr>
            </w:pPr>
            <w:r>
              <w:rPr>
                <w:rFonts w:asciiTheme="minorHAnsi" w:hAnsiTheme="minorHAnsi"/>
              </w:rPr>
              <w:t>50</w:t>
            </w:r>
          </w:p>
        </w:tc>
        <w:tc>
          <w:tcPr>
            <w:tcW w:w="1358" w:type="dxa"/>
          </w:tcPr>
          <w:p w:rsidR="00C05BC3" w:rsidRPr="00731D4C" w:rsidRDefault="00C05BC3" w:rsidP="00C05BC3">
            <w:pPr>
              <w:spacing w:before="120" w:after="120" w:line="276" w:lineRule="auto"/>
              <w:jc w:val="center"/>
              <w:rPr>
                <w:rFonts w:asciiTheme="minorHAnsi" w:hAnsiTheme="minorHAnsi"/>
              </w:rPr>
            </w:pPr>
            <w:r>
              <w:rPr>
                <w:rFonts w:asciiTheme="minorHAnsi" w:hAnsiTheme="minorHAnsi"/>
              </w:rPr>
              <w:t>Mother and son</w:t>
            </w:r>
          </w:p>
        </w:tc>
      </w:tr>
      <w:tr w:rsidR="00C05BC3" w:rsidRPr="00731D4C" w:rsidTr="00E95C19">
        <w:trPr>
          <w:jc w:val="center"/>
        </w:trPr>
        <w:tc>
          <w:tcPr>
            <w:tcW w:w="1008" w:type="dxa"/>
          </w:tcPr>
          <w:p w:rsidR="00C05BC3" w:rsidRPr="00731D4C" w:rsidRDefault="00C05BC3" w:rsidP="00C05BC3">
            <w:pPr>
              <w:spacing w:before="120" w:after="120" w:line="276" w:lineRule="auto"/>
              <w:rPr>
                <w:rFonts w:asciiTheme="minorHAnsi" w:hAnsiTheme="minorHAnsi"/>
              </w:rPr>
            </w:pPr>
            <w:r w:rsidRPr="00731D4C">
              <w:rPr>
                <w:rFonts w:asciiTheme="minorHAnsi" w:hAnsiTheme="minorHAnsi"/>
              </w:rPr>
              <w:t>Isobel</w:t>
            </w:r>
            <w:r>
              <w:rPr>
                <w:rFonts w:asciiTheme="minorHAnsi" w:hAnsiTheme="minorHAnsi"/>
              </w:rPr>
              <w:t xml:space="preserve"> and Leslie</w:t>
            </w:r>
          </w:p>
        </w:tc>
        <w:tc>
          <w:tcPr>
            <w:tcW w:w="1353" w:type="dxa"/>
          </w:tcPr>
          <w:p w:rsidR="00C05BC3" w:rsidRPr="00731D4C" w:rsidRDefault="00C05BC3" w:rsidP="00C05BC3">
            <w:pPr>
              <w:spacing w:before="120" w:after="120" w:line="276" w:lineRule="auto"/>
              <w:jc w:val="center"/>
              <w:rPr>
                <w:rFonts w:asciiTheme="minorHAnsi" w:hAnsiTheme="minorHAnsi"/>
              </w:rPr>
            </w:pPr>
            <w:r>
              <w:rPr>
                <w:rFonts w:asciiTheme="minorHAnsi" w:hAnsiTheme="minorHAnsi"/>
              </w:rPr>
              <w:t>83</w:t>
            </w:r>
          </w:p>
        </w:tc>
        <w:tc>
          <w:tcPr>
            <w:tcW w:w="1353" w:type="dxa"/>
          </w:tcPr>
          <w:p w:rsidR="00C05BC3" w:rsidRPr="00731D4C" w:rsidRDefault="00C05BC3" w:rsidP="00C05BC3">
            <w:pPr>
              <w:spacing w:before="120" w:after="120" w:line="276" w:lineRule="auto"/>
              <w:jc w:val="center"/>
              <w:rPr>
                <w:rFonts w:asciiTheme="minorHAnsi" w:hAnsiTheme="minorHAnsi"/>
              </w:rPr>
            </w:pPr>
            <w:r>
              <w:rPr>
                <w:rFonts w:asciiTheme="minorHAnsi" w:hAnsiTheme="minorHAnsi"/>
              </w:rPr>
              <w:t>Vascular dementia</w:t>
            </w:r>
          </w:p>
        </w:tc>
        <w:tc>
          <w:tcPr>
            <w:tcW w:w="1219" w:type="dxa"/>
          </w:tcPr>
          <w:p w:rsidR="00C05BC3" w:rsidRPr="00731D4C" w:rsidRDefault="00C05BC3" w:rsidP="00C05BC3">
            <w:pPr>
              <w:spacing w:before="120" w:after="120" w:line="276" w:lineRule="auto"/>
              <w:jc w:val="center"/>
              <w:rPr>
                <w:rFonts w:asciiTheme="minorHAnsi" w:hAnsiTheme="minorHAnsi"/>
              </w:rPr>
            </w:pPr>
            <w:r>
              <w:rPr>
                <w:rFonts w:asciiTheme="minorHAnsi" w:hAnsiTheme="minorHAnsi"/>
              </w:rPr>
              <w:t>19</w:t>
            </w:r>
          </w:p>
        </w:tc>
        <w:tc>
          <w:tcPr>
            <w:tcW w:w="1353" w:type="dxa"/>
          </w:tcPr>
          <w:p w:rsidR="00C05BC3" w:rsidRPr="00731D4C" w:rsidRDefault="00C05BC3" w:rsidP="00C05BC3">
            <w:pPr>
              <w:spacing w:before="120" w:after="120" w:line="276" w:lineRule="auto"/>
              <w:jc w:val="center"/>
              <w:rPr>
                <w:rFonts w:asciiTheme="minorHAnsi" w:hAnsiTheme="minorHAnsi"/>
              </w:rPr>
            </w:pPr>
            <w:r>
              <w:rPr>
                <w:rFonts w:asciiTheme="minorHAnsi" w:hAnsiTheme="minorHAnsi"/>
              </w:rPr>
              <w:t>54</w:t>
            </w:r>
          </w:p>
        </w:tc>
        <w:tc>
          <w:tcPr>
            <w:tcW w:w="1358" w:type="dxa"/>
          </w:tcPr>
          <w:p w:rsidR="00C05BC3" w:rsidRPr="00731D4C" w:rsidRDefault="00C05BC3" w:rsidP="00C05BC3">
            <w:pPr>
              <w:spacing w:before="120" w:after="120" w:line="276" w:lineRule="auto"/>
              <w:jc w:val="center"/>
              <w:rPr>
                <w:rFonts w:asciiTheme="minorHAnsi" w:hAnsiTheme="minorHAnsi"/>
              </w:rPr>
            </w:pPr>
            <w:r>
              <w:rPr>
                <w:rFonts w:asciiTheme="minorHAnsi" w:hAnsiTheme="minorHAnsi"/>
              </w:rPr>
              <w:t>Mother and daughter</w:t>
            </w:r>
          </w:p>
        </w:tc>
      </w:tr>
    </w:tbl>
    <w:p w:rsidR="00C05BC3" w:rsidRPr="00731D4C" w:rsidRDefault="00C05BC3" w:rsidP="00C05BC3">
      <w:pPr>
        <w:spacing w:line="480" w:lineRule="auto"/>
      </w:pPr>
    </w:p>
    <w:p w:rsidR="00E95C19" w:rsidRDefault="00E95C19">
      <w:pPr>
        <w:rPr>
          <w:b/>
        </w:rPr>
      </w:pPr>
      <w:r>
        <w:rPr>
          <w:b/>
        </w:rPr>
        <w:br w:type="page"/>
      </w:r>
    </w:p>
    <w:p w:rsidR="000A2E22" w:rsidRPr="00731D4C" w:rsidRDefault="000A2E22" w:rsidP="000A2E22">
      <w:pPr>
        <w:spacing w:line="480" w:lineRule="auto"/>
        <w:jc w:val="center"/>
        <w:rPr>
          <w:b/>
        </w:rPr>
      </w:pPr>
      <w:proofErr w:type="gramStart"/>
      <w:r w:rsidRPr="00731D4C">
        <w:rPr>
          <w:b/>
        </w:rPr>
        <w:t xml:space="preserve">Table </w:t>
      </w:r>
      <w:r w:rsidR="00C05BC3">
        <w:rPr>
          <w:b/>
        </w:rPr>
        <w:t>Two</w:t>
      </w:r>
      <w:r w:rsidRPr="00731D4C">
        <w:rPr>
          <w:b/>
        </w:rPr>
        <w:t>: changes in Quality of Life ratings before and after the group.</w:t>
      </w:r>
      <w:proofErr w:type="gramEnd"/>
    </w:p>
    <w:tbl>
      <w:tblPr>
        <w:tblStyle w:val="TableGrid"/>
        <w:tblW w:w="0" w:type="auto"/>
        <w:tblLook w:val="04A0"/>
      </w:tblPr>
      <w:tblGrid>
        <w:gridCol w:w="1008"/>
        <w:gridCol w:w="1353"/>
        <w:gridCol w:w="1353"/>
        <w:gridCol w:w="1219"/>
        <w:gridCol w:w="1353"/>
        <w:gridCol w:w="1353"/>
        <w:gridCol w:w="1169"/>
      </w:tblGrid>
      <w:tr w:rsidR="000A2E22" w:rsidRPr="00731D4C" w:rsidTr="00E95C19">
        <w:tc>
          <w:tcPr>
            <w:tcW w:w="1008" w:type="dxa"/>
          </w:tcPr>
          <w:p w:rsidR="000A2E22" w:rsidRPr="00731D4C" w:rsidRDefault="000A2E22" w:rsidP="00C05BC3">
            <w:pPr>
              <w:spacing w:before="120" w:after="120" w:line="276" w:lineRule="auto"/>
              <w:rPr>
                <w:rFonts w:asciiTheme="minorHAnsi" w:hAnsiTheme="minorHAnsi"/>
                <w:b/>
              </w:rPr>
            </w:pPr>
          </w:p>
        </w:tc>
        <w:tc>
          <w:tcPr>
            <w:tcW w:w="1353" w:type="dxa"/>
          </w:tcPr>
          <w:p w:rsidR="000A2E22" w:rsidRPr="00731D4C" w:rsidRDefault="000A2E22" w:rsidP="00C05BC3">
            <w:pPr>
              <w:spacing w:before="120" w:after="120" w:line="276" w:lineRule="auto"/>
              <w:jc w:val="center"/>
              <w:rPr>
                <w:rFonts w:asciiTheme="minorHAnsi" w:hAnsiTheme="minorHAnsi"/>
                <w:b/>
              </w:rPr>
            </w:pPr>
            <w:r w:rsidRPr="00731D4C">
              <w:rPr>
                <w:rFonts w:asciiTheme="minorHAnsi" w:hAnsiTheme="minorHAnsi"/>
                <w:b/>
              </w:rPr>
              <w:t>Participant rating before intervention</w:t>
            </w:r>
          </w:p>
        </w:tc>
        <w:tc>
          <w:tcPr>
            <w:tcW w:w="1353" w:type="dxa"/>
          </w:tcPr>
          <w:p w:rsidR="000A2E22" w:rsidRPr="00731D4C" w:rsidRDefault="000A2E22" w:rsidP="00C05BC3">
            <w:pPr>
              <w:spacing w:before="120" w:after="120" w:line="276" w:lineRule="auto"/>
              <w:jc w:val="center"/>
              <w:rPr>
                <w:rFonts w:asciiTheme="minorHAnsi" w:hAnsiTheme="minorHAnsi"/>
                <w:b/>
              </w:rPr>
            </w:pPr>
            <w:r w:rsidRPr="00731D4C">
              <w:rPr>
                <w:rFonts w:asciiTheme="minorHAnsi" w:hAnsiTheme="minorHAnsi"/>
                <w:b/>
              </w:rPr>
              <w:t>Participant rating after intervention</w:t>
            </w:r>
          </w:p>
        </w:tc>
        <w:tc>
          <w:tcPr>
            <w:tcW w:w="1219" w:type="dxa"/>
          </w:tcPr>
          <w:p w:rsidR="000A2E22" w:rsidRPr="00731D4C" w:rsidRDefault="000A2E22" w:rsidP="00C05BC3">
            <w:pPr>
              <w:spacing w:before="120" w:after="120" w:line="276" w:lineRule="auto"/>
              <w:jc w:val="center"/>
              <w:rPr>
                <w:rFonts w:asciiTheme="minorHAnsi" w:hAnsiTheme="minorHAnsi"/>
                <w:b/>
              </w:rPr>
            </w:pPr>
            <w:r w:rsidRPr="00731D4C">
              <w:rPr>
                <w:rFonts w:asciiTheme="minorHAnsi" w:hAnsiTheme="minorHAnsi"/>
                <w:b/>
              </w:rPr>
              <w:t>Difference between participant ratings</w:t>
            </w:r>
          </w:p>
        </w:tc>
        <w:tc>
          <w:tcPr>
            <w:tcW w:w="1353" w:type="dxa"/>
          </w:tcPr>
          <w:p w:rsidR="000A2E22" w:rsidRPr="00731D4C" w:rsidRDefault="000A2E22" w:rsidP="00C05BC3">
            <w:pPr>
              <w:spacing w:before="120" w:after="120" w:line="276" w:lineRule="auto"/>
              <w:jc w:val="center"/>
              <w:rPr>
                <w:rFonts w:asciiTheme="minorHAnsi" w:hAnsiTheme="minorHAnsi"/>
                <w:b/>
              </w:rPr>
            </w:pPr>
            <w:r w:rsidRPr="00731D4C">
              <w:rPr>
                <w:rFonts w:asciiTheme="minorHAnsi" w:hAnsiTheme="minorHAnsi"/>
                <w:b/>
              </w:rPr>
              <w:t>Carer rating before intervention</w:t>
            </w:r>
          </w:p>
        </w:tc>
        <w:tc>
          <w:tcPr>
            <w:tcW w:w="1353" w:type="dxa"/>
          </w:tcPr>
          <w:p w:rsidR="000A2E22" w:rsidRPr="00731D4C" w:rsidRDefault="000A2E22" w:rsidP="00C05BC3">
            <w:pPr>
              <w:spacing w:before="120" w:after="120" w:line="276" w:lineRule="auto"/>
              <w:jc w:val="center"/>
              <w:rPr>
                <w:rFonts w:asciiTheme="minorHAnsi" w:hAnsiTheme="minorHAnsi"/>
                <w:b/>
              </w:rPr>
            </w:pPr>
            <w:r w:rsidRPr="00731D4C">
              <w:rPr>
                <w:rFonts w:asciiTheme="minorHAnsi" w:hAnsiTheme="minorHAnsi"/>
                <w:b/>
              </w:rPr>
              <w:t>Carer rating after intervention</w:t>
            </w:r>
          </w:p>
        </w:tc>
        <w:tc>
          <w:tcPr>
            <w:tcW w:w="1169" w:type="dxa"/>
          </w:tcPr>
          <w:p w:rsidR="000A2E22" w:rsidRPr="00731D4C" w:rsidRDefault="000A2E22" w:rsidP="00C05BC3">
            <w:pPr>
              <w:spacing w:before="120" w:after="120" w:line="276" w:lineRule="auto"/>
              <w:jc w:val="center"/>
              <w:rPr>
                <w:rFonts w:asciiTheme="minorHAnsi" w:hAnsiTheme="minorHAnsi"/>
                <w:b/>
              </w:rPr>
            </w:pPr>
            <w:r w:rsidRPr="00731D4C">
              <w:rPr>
                <w:rFonts w:asciiTheme="minorHAnsi" w:hAnsiTheme="minorHAnsi"/>
                <w:b/>
              </w:rPr>
              <w:t>Difference between carer ratings</w:t>
            </w:r>
          </w:p>
        </w:tc>
      </w:tr>
      <w:tr w:rsidR="000A2E22" w:rsidRPr="00731D4C" w:rsidTr="00E95C19">
        <w:tc>
          <w:tcPr>
            <w:tcW w:w="1008" w:type="dxa"/>
          </w:tcPr>
          <w:p w:rsidR="000A2E22" w:rsidRPr="00731D4C" w:rsidRDefault="000A2E22" w:rsidP="00C05BC3">
            <w:pPr>
              <w:spacing w:before="120" w:after="120" w:line="276" w:lineRule="auto"/>
              <w:rPr>
                <w:rFonts w:asciiTheme="minorHAnsi" w:hAnsiTheme="minorHAnsi"/>
              </w:rPr>
            </w:pPr>
            <w:r w:rsidRPr="00731D4C">
              <w:rPr>
                <w:rFonts w:asciiTheme="minorHAnsi" w:hAnsiTheme="minorHAnsi"/>
              </w:rPr>
              <w:t>Daphne</w:t>
            </w:r>
          </w:p>
        </w:tc>
        <w:tc>
          <w:tcPr>
            <w:tcW w:w="1353" w:type="dxa"/>
          </w:tcPr>
          <w:p w:rsidR="000A2E22" w:rsidRPr="00731D4C" w:rsidRDefault="000A2E22" w:rsidP="00C05BC3">
            <w:pPr>
              <w:spacing w:before="120" w:after="120" w:line="276" w:lineRule="auto"/>
              <w:jc w:val="center"/>
              <w:rPr>
                <w:rFonts w:asciiTheme="minorHAnsi" w:hAnsiTheme="minorHAnsi"/>
              </w:rPr>
            </w:pPr>
            <w:r w:rsidRPr="00731D4C">
              <w:rPr>
                <w:rFonts w:asciiTheme="minorHAnsi" w:hAnsiTheme="minorHAnsi"/>
              </w:rPr>
              <w:t>36.83*</w:t>
            </w:r>
          </w:p>
        </w:tc>
        <w:tc>
          <w:tcPr>
            <w:tcW w:w="1353" w:type="dxa"/>
          </w:tcPr>
          <w:p w:rsidR="000A2E22" w:rsidRPr="00731D4C" w:rsidRDefault="000A2E22" w:rsidP="00C05BC3">
            <w:pPr>
              <w:spacing w:before="120" w:after="120" w:line="276" w:lineRule="auto"/>
              <w:jc w:val="center"/>
              <w:rPr>
                <w:rFonts w:asciiTheme="minorHAnsi" w:hAnsiTheme="minorHAnsi"/>
              </w:rPr>
            </w:pPr>
            <w:r w:rsidRPr="00731D4C">
              <w:rPr>
                <w:rFonts w:asciiTheme="minorHAnsi" w:hAnsiTheme="minorHAnsi"/>
              </w:rPr>
              <w:t>37.92*</w:t>
            </w:r>
          </w:p>
        </w:tc>
        <w:tc>
          <w:tcPr>
            <w:tcW w:w="1219" w:type="dxa"/>
          </w:tcPr>
          <w:p w:rsidR="000A2E22" w:rsidRPr="00731D4C" w:rsidRDefault="000A2E22" w:rsidP="00C05BC3">
            <w:pPr>
              <w:spacing w:before="120" w:after="120" w:line="276" w:lineRule="auto"/>
              <w:jc w:val="center"/>
              <w:rPr>
                <w:rFonts w:asciiTheme="minorHAnsi" w:hAnsiTheme="minorHAnsi"/>
              </w:rPr>
            </w:pPr>
            <w:r w:rsidRPr="00731D4C">
              <w:rPr>
                <w:rFonts w:asciiTheme="minorHAnsi" w:hAnsiTheme="minorHAnsi"/>
              </w:rPr>
              <w:t>+1.09</w:t>
            </w:r>
          </w:p>
        </w:tc>
        <w:tc>
          <w:tcPr>
            <w:tcW w:w="1353" w:type="dxa"/>
          </w:tcPr>
          <w:p w:rsidR="000A2E22" w:rsidRPr="00731D4C" w:rsidRDefault="000A2E22" w:rsidP="00C05BC3">
            <w:pPr>
              <w:spacing w:before="120" w:after="120" w:line="276" w:lineRule="auto"/>
              <w:jc w:val="center"/>
              <w:rPr>
                <w:rFonts w:asciiTheme="minorHAnsi" w:hAnsiTheme="minorHAnsi"/>
              </w:rPr>
            </w:pPr>
            <w:r w:rsidRPr="00731D4C">
              <w:rPr>
                <w:rFonts w:asciiTheme="minorHAnsi" w:hAnsiTheme="minorHAnsi"/>
              </w:rPr>
              <w:t>30.33*</w:t>
            </w:r>
          </w:p>
        </w:tc>
        <w:tc>
          <w:tcPr>
            <w:tcW w:w="1353" w:type="dxa"/>
          </w:tcPr>
          <w:p w:rsidR="000A2E22" w:rsidRPr="00731D4C" w:rsidRDefault="000A2E22" w:rsidP="00C05BC3">
            <w:pPr>
              <w:spacing w:before="120" w:after="120" w:line="276" w:lineRule="auto"/>
              <w:jc w:val="center"/>
              <w:rPr>
                <w:rFonts w:asciiTheme="minorHAnsi" w:hAnsiTheme="minorHAnsi"/>
              </w:rPr>
            </w:pPr>
            <w:r w:rsidRPr="00731D4C">
              <w:rPr>
                <w:rFonts w:asciiTheme="minorHAnsi" w:hAnsiTheme="minorHAnsi"/>
              </w:rPr>
              <w:t>32.5*</w:t>
            </w:r>
          </w:p>
        </w:tc>
        <w:tc>
          <w:tcPr>
            <w:tcW w:w="1169" w:type="dxa"/>
          </w:tcPr>
          <w:p w:rsidR="000A2E22" w:rsidRPr="00731D4C" w:rsidRDefault="000A2E22" w:rsidP="00C05BC3">
            <w:pPr>
              <w:spacing w:before="120" w:after="120" w:line="276" w:lineRule="auto"/>
              <w:jc w:val="center"/>
              <w:rPr>
                <w:rFonts w:asciiTheme="minorHAnsi" w:hAnsiTheme="minorHAnsi"/>
              </w:rPr>
            </w:pPr>
            <w:r w:rsidRPr="00731D4C">
              <w:rPr>
                <w:rFonts w:asciiTheme="minorHAnsi" w:hAnsiTheme="minorHAnsi"/>
              </w:rPr>
              <w:t>+2.17</w:t>
            </w:r>
          </w:p>
        </w:tc>
      </w:tr>
      <w:tr w:rsidR="000A2E22" w:rsidRPr="00731D4C" w:rsidTr="00E95C19">
        <w:tc>
          <w:tcPr>
            <w:tcW w:w="1008" w:type="dxa"/>
          </w:tcPr>
          <w:p w:rsidR="000A2E22" w:rsidRPr="00731D4C" w:rsidRDefault="000A2E22" w:rsidP="00C05BC3">
            <w:pPr>
              <w:spacing w:before="120" w:after="120" w:line="276" w:lineRule="auto"/>
              <w:rPr>
                <w:rFonts w:asciiTheme="minorHAnsi" w:hAnsiTheme="minorHAnsi"/>
              </w:rPr>
            </w:pPr>
            <w:r w:rsidRPr="00731D4C">
              <w:rPr>
                <w:rFonts w:asciiTheme="minorHAnsi" w:hAnsiTheme="minorHAnsi"/>
              </w:rPr>
              <w:t>Elsie</w:t>
            </w:r>
          </w:p>
        </w:tc>
        <w:tc>
          <w:tcPr>
            <w:tcW w:w="1353" w:type="dxa"/>
          </w:tcPr>
          <w:p w:rsidR="000A2E22" w:rsidRPr="00731D4C" w:rsidRDefault="000A2E22" w:rsidP="00C05BC3">
            <w:pPr>
              <w:spacing w:before="120" w:after="120" w:line="276" w:lineRule="auto"/>
              <w:jc w:val="center"/>
              <w:rPr>
                <w:rFonts w:asciiTheme="minorHAnsi" w:hAnsiTheme="minorHAnsi"/>
              </w:rPr>
            </w:pPr>
            <w:r w:rsidRPr="00731D4C">
              <w:rPr>
                <w:rFonts w:asciiTheme="minorHAnsi" w:hAnsiTheme="minorHAnsi"/>
              </w:rPr>
              <w:t>42.25*</w:t>
            </w:r>
          </w:p>
        </w:tc>
        <w:tc>
          <w:tcPr>
            <w:tcW w:w="1353" w:type="dxa"/>
          </w:tcPr>
          <w:p w:rsidR="000A2E22" w:rsidRPr="00731D4C" w:rsidRDefault="000A2E22" w:rsidP="00C05BC3">
            <w:pPr>
              <w:spacing w:before="120" w:after="120" w:line="276" w:lineRule="auto"/>
              <w:jc w:val="center"/>
              <w:rPr>
                <w:rFonts w:asciiTheme="minorHAnsi" w:hAnsiTheme="minorHAnsi"/>
              </w:rPr>
            </w:pPr>
            <w:r w:rsidRPr="00731D4C">
              <w:rPr>
                <w:rFonts w:asciiTheme="minorHAnsi" w:hAnsiTheme="minorHAnsi"/>
              </w:rPr>
              <w:t>36.83*</w:t>
            </w:r>
          </w:p>
        </w:tc>
        <w:tc>
          <w:tcPr>
            <w:tcW w:w="1219" w:type="dxa"/>
          </w:tcPr>
          <w:p w:rsidR="000A2E22" w:rsidRPr="00731D4C" w:rsidRDefault="000A2E22" w:rsidP="00C05BC3">
            <w:pPr>
              <w:spacing w:before="120" w:after="120" w:line="276" w:lineRule="auto"/>
              <w:jc w:val="center"/>
              <w:rPr>
                <w:rFonts w:asciiTheme="minorHAnsi" w:hAnsiTheme="minorHAnsi"/>
              </w:rPr>
            </w:pPr>
            <w:r w:rsidRPr="00731D4C">
              <w:rPr>
                <w:rFonts w:asciiTheme="minorHAnsi" w:hAnsiTheme="minorHAnsi"/>
              </w:rPr>
              <w:t>-5.42</w:t>
            </w:r>
          </w:p>
        </w:tc>
        <w:tc>
          <w:tcPr>
            <w:tcW w:w="1353" w:type="dxa"/>
          </w:tcPr>
          <w:p w:rsidR="000A2E22" w:rsidRPr="00731D4C" w:rsidRDefault="000A2E22" w:rsidP="00C05BC3">
            <w:pPr>
              <w:spacing w:before="120" w:after="120" w:line="276" w:lineRule="auto"/>
              <w:jc w:val="center"/>
              <w:rPr>
                <w:rFonts w:asciiTheme="minorHAnsi" w:hAnsiTheme="minorHAnsi"/>
              </w:rPr>
            </w:pPr>
            <w:r w:rsidRPr="00731D4C">
              <w:rPr>
                <w:rFonts w:asciiTheme="minorHAnsi" w:hAnsiTheme="minorHAnsi"/>
              </w:rPr>
              <w:t>29.25*</w:t>
            </w:r>
          </w:p>
        </w:tc>
        <w:tc>
          <w:tcPr>
            <w:tcW w:w="1353" w:type="dxa"/>
          </w:tcPr>
          <w:p w:rsidR="000A2E22" w:rsidRPr="00731D4C" w:rsidRDefault="000A2E22" w:rsidP="00C05BC3">
            <w:pPr>
              <w:spacing w:before="120" w:after="120" w:line="276" w:lineRule="auto"/>
              <w:jc w:val="center"/>
              <w:rPr>
                <w:rFonts w:asciiTheme="minorHAnsi" w:hAnsiTheme="minorHAnsi"/>
              </w:rPr>
            </w:pPr>
            <w:r w:rsidRPr="00731D4C">
              <w:rPr>
                <w:rFonts w:asciiTheme="minorHAnsi" w:hAnsiTheme="minorHAnsi"/>
              </w:rPr>
              <w:t>40</w:t>
            </w:r>
          </w:p>
        </w:tc>
        <w:tc>
          <w:tcPr>
            <w:tcW w:w="1169" w:type="dxa"/>
          </w:tcPr>
          <w:p w:rsidR="000A2E22" w:rsidRPr="00731D4C" w:rsidRDefault="000A2E22" w:rsidP="00C05BC3">
            <w:pPr>
              <w:spacing w:before="120" w:after="120" w:line="276" w:lineRule="auto"/>
              <w:jc w:val="center"/>
              <w:rPr>
                <w:rFonts w:asciiTheme="minorHAnsi" w:hAnsiTheme="minorHAnsi"/>
              </w:rPr>
            </w:pPr>
            <w:r w:rsidRPr="00731D4C">
              <w:rPr>
                <w:rFonts w:asciiTheme="minorHAnsi" w:hAnsiTheme="minorHAnsi"/>
              </w:rPr>
              <w:t>+10.75</w:t>
            </w:r>
          </w:p>
        </w:tc>
      </w:tr>
      <w:tr w:rsidR="000A2E22" w:rsidRPr="00731D4C" w:rsidTr="00E95C19">
        <w:tc>
          <w:tcPr>
            <w:tcW w:w="1008" w:type="dxa"/>
          </w:tcPr>
          <w:p w:rsidR="000A2E22" w:rsidRPr="00731D4C" w:rsidRDefault="000A2E22" w:rsidP="00C05BC3">
            <w:pPr>
              <w:spacing w:before="120" w:after="120" w:line="276" w:lineRule="auto"/>
              <w:rPr>
                <w:rFonts w:asciiTheme="minorHAnsi" w:hAnsiTheme="minorHAnsi"/>
              </w:rPr>
            </w:pPr>
            <w:r w:rsidRPr="00731D4C">
              <w:rPr>
                <w:rFonts w:asciiTheme="minorHAnsi" w:hAnsiTheme="minorHAnsi"/>
              </w:rPr>
              <w:t>Ruby</w:t>
            </w:r>
          </w:p>
        </w:tc>
        <w:tc>
          <w:tcPr>
            <w:tcW w:w="1353" w:type="dxa"/>
          </w:tcPr>
          <w:p w:rsidR="000A2E22" w:rsidRPr="00731D4C" w:rsidRDefault="000A2E22" w:rsidP="00C05BC3">
            <w:pPr>
              <w:spacing w:before="120" w:after="120" w:line="276" w:lineRule="auto"/>
              <w:jc w:val="center"/>
              <w:rPr>
                <w:rFonts w:asciiTheme="minorHAnsi" w:hAnsiTheme="minorHAnsi"/>
              </w:rPr>
            </w:pPr>
            <w:r w:rsidRPr="00731D4C">
              <w:rPr>
                <w:rFonts w:asciiTheme="minorHAnsi" w:hAnsiTheme="minorHAnsi"/>
              </w:rPr>
              <w:t>27</w:t>
            </w:r>
          </w:p>
        </w:tc>
        <w:tc>
          <w:tcPr>
            <w:tcW w:w="1353" w:type="dxa"/>
          </w:tcPr>
          <w:p w:rsidR="000A2E22" w:rsidRPr="00731D4C" w:rsidRDefault="000A2E22" w:rsidP="00C05BC3">
            <w:pPr>
              <w:spacing w:before="120" w:after="120" w:line="276" w:lineRule="auto"/>
              <w:jc w:val="center"/>
              <w:rPr>
                <w:rFonts w:asciiTheme="minorHAnsi" w:hAnsiTheme="minorHAnsi"/>
              </w:rPr>
            </w:pPr>
            <w:r w:rsidRPr="00731D4C">
              <w:rPr>
                <w:rFonts w:asciiTheme="minorHAnsi" w:hAnsiTheme="minorHAnsi"/>
              </w:rPr>
              <w:t>29</w:t>
            </w:r>
          </w:p>
        </w:tc>
        <w:tc>
          <w:tcPr>
            <w:tcW w:w="1219" w:type="dxa"/>
          </w:tcPr>
          <w:p w:rsidR="000A2E22" w:rsidRPr="00731D4C" w:rsidRDefault="000A2E22" w:rsidP="00C05BC3">
            <w:pPr>
              <w:spacing w:before="120" w:after="120" w:line="276" w:lineRule="auto"/>
              <w:jc w:val="center"/>
              <w:rPr>
                <w:rFonts w:asciiTheme="minorHAnsi" w:hAnsiTheme="minorHAnsi"/>
              </w:rPr>
            </w:pPr>
            <w:r w:rsidRPr="00731D4C">
              <w:rPr>
                <w:rFonts w:asciiTheme="minorHAnsi" w:hAnsiTheme="minorHAnsi"/>
              </w:rPr>
              <w:t>+2</w:t>
            </w:r>
          </w:p>
        </w:tc>
        <w:tc>
          <w:tcPr>
            <w:tcW w:w="1353" w:type="dxa"/>
          </w:tcPr>
          <w:p w:rsidR="000A2E22" w:rsidRPr="00731D4C" w:rsidRDefault="000A2E22" w:rsidP="00C05BC3">
            <w:pPr>
              <w:spacing w:before="120" w:after="120" w:line="276" w:lineRule="auto"/>
              <w:jc w:val="center"/>
              <w:rPr>
                <w:rFonts w:asciiTheme="minorHAnsi" w:hAnsiTheme="minorHAnsi"/>
              </w:rPr>
            </w:pPr>
            <w:r w:rsidRPr="00731D4C">
              <w:rPr>
                <w:rFonts w:asciiTheme="minorHAnsi" w:hAnsiTheme="minorHAnsi"/>
              </w:rPr>
              <w:t>18.5*</w:t>
            </w:r>
          </w:p>
        </w:tc>
        <w:tc>
          <w:tcPr>
            <w:tcW w:w="1353" w:type="dxa"/>
          </w:tcPr>
          <w:p w:rsidR="000A2E22" w:rsidRPr="00731D4C" w:rsidRDefault="000A2E22" w:rsidP="00C05BC3">
            <w:pPr>
              <w:spacing w:before="120" w:after="120" w:line="276" w:lineRule="auto"/>
              <w:jc w:val="center"/>
              <w:rPr>
                <w:rFonts w:asciiTheme="minorHAnsi" w:hAnsiTheme="minorHAnsi"/>
              </w:rPr>
            </w:pPr>
            <w:r w:rsidRPr="00731D4C">
              <w:rPr>
                <w:rFonts w:asciiTheme="minorHAnsi" w:hAnsiTheme="minorHAnsi"/>
              </w:rPr>
              <w:t>21</w:t>
            </w:r>
          </w:p>
        </w:tc>
        <w:tc>
          <w:tcPr>
            <w:tcW w:w="1169" w:type="dxa"/>
          </w:tcPr>
          <w:p w:rsidR="000A2E22" w:rsidRPr="00731D4C" w:rsidRDefault="000A2E22" w:rsidP="00C05BC3">
            <w:pPr>
              <w:spacing w:before="120" w:after="120" w:line="276" w:lineRule="auto"/>
              <w:jc w:val="center"/>
              <w:rPr>
                <w:rFonts w:asciiTheme="minorHAnsi" w:hAnsiTheme="minorHAnsi"/>
              </w:rPr>
            </w:pPr>
            <w:r w:rsidRPr="00731D4C">
              <w:rPr>
                <w:rFonts w:asciiTheme="minorHAnsi" w:hAnsiTheme="minorHAnsi"/>
              </w:rPr>
              <w:t>+2.5</w:t>
            </w:r>
          </w:p>
        </w:tc>
      </w:tr>
      <w:tr w:rsidR="000A2E22" w:rsidRPr="00731D4C" w:rsidTr="00E95C19">
        <w:tc>
          <w:tcPr>
            <w:tcW w:w="1008" w:type="dxa"/>
          </w:tcPr>
          <w:p w:rsidR="000A2E22" w:rsidRPr="00731D4C" w:rsidRDefault="000A2E22" w:rsidP="00C05BC3">
            <w:pPr>
              <w:spacing w:before="120" w:after="120" w:line="276" w:lineRule="auto"/>
              <w:rPr>
                <w:rFonts w:asciiTheme="minorHAnsi" w:hAnsiTheme="minorHAnsi"/>
              </w:rPr>
            </w:pPr>
            <w:r w:rsidRPr="00731D4C">
              <w:rPr>
                <w:rFonts w:asciiTheme="minorHAnsi" w:hAnsiTheme="minorHAnsi"/>
              </w:rPr>
              <w:t>Isobel</w:t>
            </w:r>
          </w:p>
        </w:tc>
        <w:tc>
          <w:tcPr>
            <w:tcW w:w="1353" w:type="dxa"/>
          </w:tcPr>
          <w:p w:rsidR="000A2E22" w:rsidRPr="00731D4C" w:rsidRDefault="000A2E22" w:rsidP="00C05BC3">
            <w:pPr>
              <w:spacing w:before="120" w:after="120" w:line="276" w:lineRule="auto"/>
              <w:jc w:val="center"/>
              <w:rPr>
                <w:rFonts w:asciiTheme="minorHAnsi" w:hAnsiTheme="minorHAnsi"/>
              </w:rPr>
            </w:pPr>
            <w:r w:rsidRPr="00731D4C">
              <w:rPr>
                <w:rFonts w:asciiTheme="minorHAnsi" w:hAnsiTheme="minorHAnsi"/>
              </w:rPr>
              <w:t>29.45*</w:t>
            </w:r>
          </w:p>
        </w:tc>
        <w:tc>
          <w:tcPr>
            <w:tcW w:w="1353" w:type="dxa"/>
          </w:tcPr>
          <w:p w:rsidR="000A2E22" w:rsidRPr="00731D4C" w:rsidRDefault="000A2E22" w:rsidP="00C05BC3">
            <w:pPr>
              <w:spacing w:before="120" w:after="120" w:line="276" w:lineRule="auto"/>
              <w:jc w:val="center"/>
              <w:rPr>
                <w:rFonts w:asciiTheme="minorHAnsi" w:hAnsiTheme="minorHAnsi"/>
              </w:rPr>
            </w:pPr>
          </w:p>
        </w:tc>
        <w:tc>
          <w:tcPr>
            <w:tcW w:w="1219" w:type="dxa"/>
          </w:tcPr>
          <w:p w:rsidR="000A2E22" w:rsidRPr="00731D4C" w:rsidRDefault="000A2E22" w:rsidP="00C05BC3">
            <w:pPr>
              <w:spacing w:before="120" w:after="120" w:line="276" w:lineRule="auto"/>
              <w:jc w:val="center"/>
              <w:rPr>
                <w:rFonts w:asciiTheme="minorHAnsi" w:hAnsiTheme="minorHAnsi"/>
              </w:rPr>
            </w:pPr>
          </w:p>
        </w:tc>
        <w:tc>
          <w:tcPr>
            <w:tcW w:w="1353" w:type="dxa"/>
          </w:tcPr>
          <w:p w:rsidR="000A2E22" w:rsidRPr="00731D4C" w:rsidRDefault="000A2E22" w:rsidP="00C05BC3">
            <w:pPr>
              <w:spacing w:before="120" w:after="120" w:line="276" w:lineRule="auto"/>
              <w:jc w:val="center"/>
              <w:rPr>
                <w:rFonts w:asciiTheme="minorHAnsi" w:hAnsiTheme="minorHAnsi"/>
              </w:rPr>
            </w:pPr>
            <w:r w:rsidRPr="00731D4C">
              <w:rPr>
                <w:rFonts w:asciiTheme="minorHAnsi" w:hAnsiTheme="minorHAnsi"/>
              </w:rPr>
              <w:t>47</w:t>
            </w:r>
          </w:p>
        </w:tc>
        <w:tc>
          <w:tcPr>
            <w:tcW w:w="1353" w:type="dxa"/>
          </w:tcPr>
          <w:p w:rsidR="000A2E22" w:rsidRPr="00731D4C" w:rsidRDefault="000A2E22" w:rsidP="00C05BC3">
            <w:pPr>
              <w:spacing w:before="120" w:after="120" w:line="276" w:lineRule="auto"/>
              <w:jc w:val="center"/>
              <w:rPr>
                <w:rFonts w:asciiTheme="minorHAnsi" w:hAnsiTheme="minorHAnsi"/>
              </w:rPr>
            </w:pPr>
          </w:p>
        </w:tc>
        <w:tc>
          <w:tcPr>
            <w:tcW w:w="1169" w:type="dxa"/>
          </w:tcPr>
          <w:p w:rsidR="000A2E22" w:rsidRPr="00731D4C" w:rsidRDefault="000A2E22" w:rsidP="00C05BC3">
            <w:pPr>
              <w:spacing w:before="120" w:after="120" w:line="276" w:lineRule="auto"/>
              <w:jc w:val="center"/>
              <w:rPr>
                <w:rFonts w:asciiTheme="minorHAnsi" w:hAnsiTheme="minorHAnsi"/>
              </w:rPr>
            </w:pPr>
          </w:p>
        </w:tc>
      </w:tr>
      <w:tr w:rsidR="000A2E22" w:rsidRPr="00731D4C" w:rsidTr="00E95C19">
        <w:tc>
          <w:tcPr>
            <w:tcW w:w="8808" w:type="dxa"/>
            <w:gridSpan w:val="7"/>
          </w:tcPr>
          <w:p w:rsidR="000A2E22" w:rsidRPr="00731D4C" w:rsidRDefault="000A2E22" w:rsidP="00C05BC3">
            <w:pPr>
              <w:spacing w:before="120" w:after="120" w:line="276" w:lineRule="auto"/>
              <w:rPr>
                <w:rFonts w:asciiTheme="minorHAnsi" w:hAnsiTheme="minorHAnsi"/>
              </w:rPr>
            </w:pPr>
            <w:r w:rsidRPr="00731D4C">
              <w:rPr>
                <w:rFonts w:asciiTheme="minorHAnsi" w:hAnsiTheme="minorHAnsi" w:cs="Arial"/>
              </w:rPr>
              <w:t>*= pro-rated score</w:t>
            </w:r>
          </w:p>
        </w:tc>
      </w:tr>
    </w:tbl>
    <w:p w:rsidR="000A2E22" w:rsidRPr="00731D4C" w:rsidRDefault="000A2E22" w:rsidP="000A2E22">
      <w:pPr>
        <w:spacing w:line="480" w:lineRule="auto"/>
      </w:pPr>
    </w:p>
    <w:p w:rsidR="008B0119" w:rsidRDefault="008B0119">
      <w:r>
        <w:br w:type="page"/>
      </w:r>
    </w:p>
    <w:p w:rsidR="00011DFC" w:rsidRPr="007C27AD" w:rsidRDefault="00011DFC" w:rsidP="0095436D">
      <w:pPr>
        <w:tabs>
          <w:tab w:val="left" w:pos="3155"/>
        </w:tabs>
        <w:spacing w:before="120" w:after="120" w:line="480" w:lineRule="auto"/>
        <w:jc w:val="center"/>
        <w:rPr>
          <w:b/>
          <w:u w:val="single"/>
        </w:rPr>
      </w:pPr>
      <w:r w:rsidRPr="007C27AD">
        <w:rPr>
          <w:b/>
          <w:u w:val="single"/>
        </w:rPr>
        <w:t>References</w:t>
      </w:r>
    </w:p>
    <w:p w:rsidR="00CD74DE" w:rsidRDefault="00841263" w:rsidP="0095436D">
      <w:pPr>
        <w:spacing w:before="120" w:after="120" w:line="480" w:lineRule="auto"/>
        <w:ind w:left="720" w:hanging="720"/>
        <w:rPr>
          <w:rFonts w:eastAsia="Times New Roman" w:cs="Arial"/>
        </w:rPr>
      </w:pPr>
      <w:proofErr w:type="gramStart"/>
      <w:r>
        <w:t>Department of Health (</w:t>
      </w:r>
      <w:r w:rsidR="00CD74DE">
        <w:t>2008</w:t>
      </w:r>
      <w:r w:rsidR="00CD74DE" w:rsidRPr="0071314F">
        <w:t>).</w:t>
      </w:r>
      <w:proofErr w:type="gramEnd"/>
      <w:r w:rsidR="00CD74DE" w:rsidRPr="0071314F">
        <w:t xml:space="preserve"> </w:t>
      </w:r>
      <w:r w:rsidR="00CD74DE" w:rsidRPr="00841263">
        <w:rPr>
          <w:i/>
        </w:rPr>
        <w:t xml:space="preserve">Improving Access to Psychological </w:t>
      </w:r>
      <w:proofErr w:type="gramStart"/>
      <w:r w:rsidR="00CD74DE" w:rsidRPr="00841263">
        <w:rPr>
          <w:i/>
        </w:rPr>
        <w:t>Therapies  (</w:t>
      </w:r>
      <w:proofErr w:type="gramEnd"/>
      <w:r w:rsidR="00CD74DE" w:rsidRPr="00841263">
        <w:rPr>
          <w:i/>
        </w:rPr>
        <w:t>IAPT) Commissioning Toolkit</w:t>
      </w:r>
      <w:r w:rsidR="00CD74DE" w:rsidRPr="0071314F">
        <w:t xml:space="preserve">.  London: Department of Health: The </w:t>
      </w:r>
      <w:proofErr w:type="gramStart"/>
      <w:r w:rsidR="00CD74DE" w:rsidRPr="0071314F">
        <w:t>Stationery  Office</w:t>
      </w:r>
      <w:proofErr w:type="gramEnd"/>
      <w:r w:rsidR="00CD74DE" w:rsidRPr="0071314F">
        <w:t>.</w:t>
      </w:r>
    </w:p>
    <w:p w:rsidR="00011DFC" w:rsidRPr="00011DFC" w:rsidRDefault="00011DFC" w:rsidP="0095436D">
      <w:pPr>
        <w:spacing w:before="120" w:after="120" w:line="480" w:lineRule="auto"/>
        <w:ind w:left="720" w:hanging="720"/>
        <w:rPr>
          <w:rFonts w:eastAsia="Times New Roman"/>
          <w:noProof/>
        </w:rPr>
      </w:pPr>
      <w:r w:rsidRPr="0095436D">
        <w:rPr>
          <w:rFonts w:eastAsia="Times New Roman"/>
          <w:noProof/>
        </w:rPr>
        <w:t xml:space="preserve">Logsdon, R. G., et al. </w:t>
      </w:r>
      <w:r w:rsidRPr="00011DFC">
        <w:rPr>
          <w:rFonts w:eastAsia="Times New Roman"/>
          <w:noProof/>
        </w:rPr>
        <w:t xml:space="preserve">(1999). Quality of Life in Alzheimer’s disease: patient and caregiver reportsm </w:t>
      </w:r>
      <w:r w:rsidRPr="00011DFC">
        <w:rPr>
          <w:rFonts w:eastAsia="Times New Roman"/>
          <w:i/>
          <w:noProof/>
        </w:rPr>
        <w:t>Journal of Mental Health and Aging</w:t>
      </w:r>
      <w:r w:rsidRPr="00011DFC">
        <w:rPr>
          <w:rFonts w:eastAsia="Times New Roman"/>
          <w:noProof/>
        </w:rPr>
        <w:t>, 5, 21-32.</w:t>
      </w:r>
    </w:p>
    <w:p w:rsidR="00841263" w:rsidRPr="00841263" w:rsidRDefault="00841263" w:rsidP="0095436D">
      <w:pPr>
        <w:spacing w:before="120" w:after="120" w:line="480" w:lineRule="auto"/>
        <w:ind w:left="720" w:hanging="720"/>
        <w:rPr>
          <w:rFonts w:cs="Verdana,Bold"/>
          <w:bCs/>
          <w:szCs w:val="24"/>
        </w:rPr>
      </w:pPr>
      <w:r w:rsidRPr="00841263">
        <w:t xml:space="preserve">Marshall A, </w:t>
      </w:r>
      <w:r w:rsidRPr="00841263">
        <w:rPr>
          <w:szCs w:val="24"/>
        </w:rPr>
        <w:t xml:space="preserve">Spreadbury J, Cheston R, Coleman P, </w:t>
      </w:r>
      <w:r w:rsidRPr="00841263">
        <w:rPr>
          <w:noProof/>
          <w:szCs w:val="24"/>
        </w:rPr>
        <w:t>Ballinger C,</w:t>
      </w:r>
      <w:r w:rsidRPr="00841263">
        <w:rPr>
          <w:szCs w:val="24"/>
        </w:rPr>
        <w:t xml:space="preserve"> </w:t>
      </w:r>
      <w:r w:rsidRPr="00841263">
        <w:rPr>
          <w:noProof/>
          <w:szCs w:val="24"/>
        </w:rPr>
        <w:t>Mullee</w:t>
      </w:r>
      <w:r w:rsidRPr="00841263">
        <w:rPr>
          <w:rStyle w:val="FootnoteReference"/>
          <w:rFonts w:eastAsia="Calibri"/>
          <w:noProof/>
          <w:szCs w:val="24"/>
        </w:rPr>
        <w:t xml:space="preserve"> </w:t>
      </w:r>
      <w:r w:rsidRPr="00841263">
        <w:rPr>
          <w:noProof/>
          <w:szCs w:val="24"/>
        </w:rPr>
        <w:t>M, Pritchard J,  Russell</w:t>
      </w:r>
      <w:r w:rsidRPr="00841263">
        <w:rPr>
          <w:rStyle w:val="FootnoteReference"/>
          <w:rFonts w:eastAsia="Calibri"/>
          <w:noProof/>
          <w:szCs w:val="24"/>
        </w:rPr>
        <w:t xml:space="preserve"> </w:t>
      </w:r>
      <w:r w:rsidRPr="00841263">
        <w:rPr>
          <w:noProof/>
          <w:szCs w:val="24"/>
        </w:rPr>
        <w:t xml:space="preserve">C and Bartlett E (2014) </w:t>
      </w:r>
      <w:r w:rsidRPr="00841263">
        <w:rPr>
          <w:rFonts w:cs="Verdana,Bold"/>
          <w:bCs/>
          <w:szCs w:val="24"/>
        </w:rPr>
        <w:t xml:space="preserve">A Pilot Randomised Control trial to compare changes in quality of life for participants with early diagnosis dementia who attend a "Living Well with Dementia" group compared to waiting list control, </w:t>
      </w:r>
      <w:r w:rsidRPr="00841263">
        <w:rPr>
          <w:rFonts w:cs="Verdana,Bold"/>
          <w:bCs/>
          <w:i/>
          <w:szCs w:val="24"/>
        </w:rPr>
        <w:t xml:space="preserve">Aging and Mental Health, </w:t>
      </w:r>
      <w:r w:rsidRPr="00841263">
        <w:rPr>
          <w:rFonts w:cs="Verdana,Bold"/>
          <w:bCs/>
          <w:szCs w:val="24"/>
        </w:rPr>
        <w:t>DOI:</w:t>
      </w:r>
      <w:r w:rsidRPr="00841263">
        <w:rPr>
          <w:rFonts w:cs="Verdana,Bold"/>
          <w:bCs/>
          <w:i/>
          <w:szCs w:val="24"/>
        </w:rPr>
        <w:t xml:space="preserve"> </w:t>
      </w:r>
      <w:r w:rsidRPr="00841263">
        <w:rPr>
          <w:rFonts w:cs="Verdana,Bold"/>
          <w:bCs/>
          <w:szCs w:val="24"/>
        </w:rPr>
        <w:t>10.1080/13607863.2014.954527</w:t>
      </w:r>
    </w:p>
    <w:p w:rsidR="00CD74DE" w:rsidRPr="008C0ACD" w:rsidRDefault="00CD74DE" w:rsidP="0095436D">
      <w:pPr>
        <w:spacing w:before="120" w:after="120" w:line="480" w:lineRule="auto"/>
        <w:ind w:left="720" w:hanging="720"/>
        <w:rPr>
          <w:shd w:val="clear" w:color="auto" w:fill="FFFFFF"/>
        </w:rPr>
      </w:pPr>
      <w:proofErr w:type="gramStart"/>
      <w:r w:rsidRPr="0071314F">
        <w:t>Turpin, G., Richards, D., Hope, R., &amp; Duffy, R. (2008).</w:t>
      </w:r>
      <w:proofErr w:type="gramEnd"/>
      <w:r w:rsidRPr="0071314F">
        <w:t xml:space="preserve">  </w:t>
      </w:r>
      <w:proofErr w:type="gramStart"/>
      <w:r w:rsidRPr="0071314F">
        <w:t xml:space="preserve">Delivering the </w:t>
      </w:r>
      <w:r w:rsidR="007C27AD" w:rsidRPr="0071314F">
        <w:t>IAPT programme</w:t>
      </w:r>
      <w:r w:rsidRPr="0071314F">
        <w:t>.</w:t>
      </w:r>
      <w:proofErr w:type="gramEnd"/>
      <w:r w:rsidRPr="0071314F">
        <w:t xml:space="preserve"> </w:t>
      </w:r>
      <w:r w:rsidRPr="005A56E1">
        <w:rPr>
          <w:i/>
        </w:rPr>
        <w:t xml:space="preserve">Healthcare Counselling &amp; Psychotherapy Journal, </w:t>
      </w:r>
      <w:r w:rsidRPr="007C27AD">
        <w:t>8</w:t>
      </w:r>
      <w:r w:rsidR="007C27AD" w:rsidRPr="007C27AD">
        <w:t xml:space="preserve"> </w:t>
      </w:r>
      <w:r w:rsidRPr="007C27AD">
        <w:t>(2), 2–7</w:t>
      </w:r>
      <w:r w:rsidRPr="005A56E1">
        <w:rPr>
          <w:i/>
        </w:rPr>
        <w:t>.</w:t>
      </w:r>
    </w:p>
    <w:p w:rsidR="00FB25FA" w:rsidRPr="00FB25FA" w:rsidRDefault="00FB25FA" w:rsidP="00C7571B">
      <w:pPr>
        <w:rPr>
          <w:rFonts w:cs="Arial"/>
        </w:rPr>
      </w:pPr>
    </w:p>
    <w:sectPr w:rsidR="00FB25FA" w:rsidRPr="00FB25FA" w:rsidSect="00C8488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C19" w:rsidRDefault="00E95C19" w:rsidP="003162A2">
      <w:pPr>
        <w:spacing w:after="0" w:line="240" w:lineRule="auto"/>
      </w:pPr>
      <w:r>
        <w:separator/>
      </w:r>
    </w:p>
  </w:endnote>
  <w:endnote w:type="continuationSeparator" w:id="0">
    <w:p w:rsidR="00E95C19" w:rsidRDefault="00E95C19" w:rsidP="003162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Impac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763553"/>
      <w:docPartObj>
        <w:docPartGallery w:val="Page Numbers (Bottom of Page)"/>
        <w:docPartUnique/>
      </w:docPartObj>
    </w:sdtPr>
    <w:sdtEndPr>
      <w:rPr>
        <w:noProof/>
      </w:rPr>
    </w:sdtEndPr>
    <w:sdtContent>
      <w:p w:rsidR="00E95C19" w:rsidRDefault="00440EA3">
        <w:pPr>
          <w:pStyle w:val="Footer"/>
          <w:jc w:val="center"/>
        </w:pPr>
        <w:fldSimple w:instr=" PAGE   \* MERGEFORMAT ">
          <w:r w:rsidR="00045A91">
            <w:rPr>
              <w:noProof/>
            </w:rPr>
            <w:t>10</w:t>
          </w:r>
        </w:fldSimple>
      </w:p>
    </w:sdtContent>
  </w:sdt>
  <w:p w:rsidR="00E95C19" w:rsidRDefault="00E95C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C19" w:rsidRDefault="00E95C19" w:rsidP="003162A2">
      <w:pPr>
        <w:spacing w:after="0" w:line="240" w:lineRule="auto"/>
      </w:pPr>
      <w:r>
        <w:separator/>
      </w:r>
    </w:p>
  </w:footnote>
  <w:footnote w:type="continuationSeparator" w:id="0">
    <w:p w:rsidR="00E95C19" w:rsidRDefault="00E95C19" w:rsidP="003162A2">
      <w:pPr>
        <w:spacing w:after="0" w:line="240" w:lineRule="auto"/>
      </w:pPr>
      <w:r>
        <w:continuationSeparator/>
      </w:r>
    </w:p>
  </w:footnote>
  <w:footnote w:id="1">
    <w:p w:rsidR="00E95C19" w:rsidRDefault="00E95C19">
      <w:pPr>
        <w:pStyle w:val="FootnoteText"/>
      </w:pPr>
      <w:r>
        <w:rPr>
          <w:rStyle w:val="FootnoteReference"/>
        </w:rPr>
        <w:footnoteRef/>
      </w:r>
      <w:r>
        <w:t xml:space="preserve"> This project was </w:t>
      </w:r>
      <w:r w:rsidR="00394138">
        <w:t xml:space="preserve">partially </w:t>
      </w:r>
      <w:r>
        <w:t>funded through a Research and Capability Fund grant from AWP R&amp;D department</w:t>
      </w:r>
      <w:r w:rsidR="00394138">
        <w:t xml:space="preserve"> (ref: </w:t>
      </w:r>
      <w:r w:rsidR="00394138" w:rsidRPr="00394138">
        <w:rPr>
          <w:rFonts w:cs="Calibri"/>
          <w:bCs/>
        </w:rPr>
        <w:t>13-14-006</w:t>
      </w:r>
      <w:r w:rsidR="00394138">
        <w:rPr>
          <w:rFonts w:cs="Calibri"/>
          <w:bCs/>
        </w:rPr>
        <w:t>)</w:t>
      </w:r>
    </w:p>
  </w:footnote>
  <w:footnote w:id="2">
    <w:p w:rsidR="00394138" w:rsidRPr="0060327E" w:rsidRDefault="00394138">
      <w:pPr>
        <w:pStyle w:val="FootnoteText"/>
      </w:pPr>
      <w:r w:rsidRPr="0060327E">
        <w:rPr>
          <w:rStyle w:val="FootnoteReference"/>
        </w:rPr>
        <w:footnoteRef/>
      </w:r>
      <w:r w:rsidRPr="0060327E">
        <w:t xml:space="preserve"> </w:t>
      </w:r>
      <w:r w:rsidR="0060327E" w:rsidRPr="0060327E">
        <w:rPr>
          <w:rFonts w:cs="Arial"/>
          <w:color w:val="000000"/>
        </w:rPr>
        <w:t>Clinical Director, LIFT Psychology, Avon and Wiltshire Mental Health, Partnership (NHS) Trust</w:t>
      </w:r>
    </w:p>
  </w:footnote>
  <w:footnote w:id="3">
    <w:p w:rsidR="00E95C19" w:rsidRPr="00E25B5E" w:rsidRDefault="00E95C19" w:rsidP="00AD24B1">
      <w:pPr>
        <w:pStyle w:val="Default"/>
        <w:rPr>
          <w:sz w:val="20"/>
        </w:rPr>
      </w:pPr>
      <w:r w:rsidRPr="00E25B5E">
        <w:rPr>
          <w:rStyle w:val="FootnoteReference"/>
          <w:sz w:val="20"/>
        </w:rPr>
        <w:footnoteRef/>
      </w:r>
      <w:r w:rsidRPr="00E25B5E">
        <w:rPr>
          <w:rFonts w:asciiTheme="minorHAnsi" w:hAnsiTheme="minorHAnsi"/>
          <w:sz w:val="18"/>
          <w:szCs w:val="20"/>
        </w:rPr>
        <w:t xml:space="preserve"> </w:t>
      </w:r>
      <w:r w:rsidRPr="00011DFC">
        <w:rPr>
          <w:rFonts w:asciiTheme="minorHAnsi" w:hAnsiTheme="minorHAnsi"/>
          <w:sz w:val="20"/>
          <w:szCs w:val="20"/>
        </w:rPr>
        <w:t xml:space="preserve">Permission granted by </w:t>
      </w:r>
      <w:r w:rsidRPr="00011DFC">
        <w:rPr>
          <w:rFonts w:asciiTheme="minorHAnsi" w:hAnsiTheme="minorHAnsi"/>
          <w:bCs/>
          <w:sz w:val="20"/>
          <w:szCs w:val="20"/>
        </w:rPr>
        <w:t>NRES Committee South Central - Oxford C, 10</w:t>
      </w:r>
      <w:r w:rsidRPr="00011DFC">
        <w:rPr>
          <w:rFonts w:asciiTheme="minorHAnsi" w:hAnsiTheme="minorHAnsi"/>
          <w:bCs/>
          <w:sz w:val="20"/>
          <w:szCs w:val="20"/>
          <w:vertAlign w:val="superscript"/>
        </w:rPr>
        <w:t>th</w:t>
      </w:r>
      <w:r w:rsidRPr="00011DFC">
        <w:rPr>
          <w:rFonts w:asciiTheme="minorHAnsi" w:hAnsiTheme="minorHAnsi"/>
          <w:bCs/>
          <w:sz w:val="20"/>
          <w:szCs w:val="20"/>
        </w:rPr>
        <w:t xml:space="preserve"> October 2013, IRAS ref: 133510</w:t>
      </w:r>
    </w:p>
  </w:footnote>
  <w:footnote w:id="4">
    <w:p w:rsidR="00E95C19" w:rsidRDefault="00E95C19" w:rsidP="00AD24B1">
      <w:pPr>
        <w:pStyle w:val="FootnoteText"/>
      </w:pPr>
      <w:r>
        <w:rPr>
          <w:rStyle w:val="FootnoteReference"/>
        </w:rPr>
        <w:footnoteRef/>
      </w:r>
      <w:r>
        <w:t xml:space="preserve"> Permission granted by HAS Facult</w:t>
      </w:r>
      <w:r w:rsidRPr="00B159E3">
        <w:t>y of Health and Applied Science, University of the West of England, 14</w:t>
      </w:r>
      <w:r w:rsidRPr="00B159E3">
        <w:rPr>
          <w:vertAlign w:val="superscript"/>
        </w:rPr>
        <w:t>th</w:t>
      </w:r>
      <w:r w:rsidRPr="00B159E3">
        <w:t xml:space="preserve"> November, 2013. </w:t>
      </w:r>
      <w:r>
        <w:t xml:space="preserve">Ref: </w:t>
      </w:r>
      <w:r w:rsidRPr="00B159E3">
        <w:rPr>
          <w:rFonts w:cs="Arial"/>
        </w:rPr>
        <w:t>HAS/13/11/145</w:t>
      </w:r>
    </w:p>
  </w:footnote>
  <w:footnote w:id="5">
    <w:p w:rsidR="00AE665E" w:rsidRDefault="00AE665E">
      <w:pPr>
        <w:pStyle w:val="FootnoteText"/>
      </w:pPr>
      <w:r>
        <w:rPr>
          <w:rStyle w:val="FootnoteReference"/>
        </w:rPr>
        <w:footnoteRef/>
      </w:r>
      <w:r>
        <w:t xml:space="preserve"> </w:t>
      </w:r>
      <w:r w:rsidRPr="00AE665E">
        <w:t>Data related to this project is available on request from the lead author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C19" w:rsidRPr="00C24190" w:rsidRDefault="00E95C19" w:rsidP="00C24190">
    <w:pPr>
      <w:pStyle w:val="Header"/>
      <w:jc w:val="right"/>
      <w:rPr>
        <w:sz w:val="20"/>
      </w:rPr>
    </w:pPr>
    <w:r w:rsidRPr="00C24190">
      <w:rPr>
        <w:sz w:val="20"/>
      </w:rPr>
      <w:t>Living Well with Dementia groups in Primary care: a feasibility 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F387D"/>
    <w:multiLevelType w:val="hybridMultilevel"/>
    <w:tmpl w:val="8A5A1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0D3CBE"/>
    <w:multiLevelType w:val="hybridMultilevel"/>
    <w:tmpl w:val="6846E1E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E4F25E5"/>
    <w:multiLevelType w:val="hybridMultilevel"/>
    <w:tmpl w:val="12A47F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4A22BBA"/>
    <w:multiLevelType w:val="hybridMultilevel"/>
    <w:tmpl w:val="F47A9D9C"/>
    <w:lvl w:ilvl="0" w:tplc="445ABFC6">
      <w:start w:val="1"/>
      <w:numFmt w:val="decimal"/>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D741441"/>
    <w:multiLevelType w:val="hybridMultilevel"/>
    <w:tmpl w:val="576A1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F290D57"/>
    <w:multiLevelType w:val="hybridMultilevel"/>
    <w:tmpl w:val="F2649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EDF506E"/>
    <w:multiLevelType w:val="hybridMultilevel"/>
    <w:tmpl w:val="9992F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66C6131"/>
    <w:multiLevelType w:val="hybridMultilevel"/>
    <w:tmpl w:val="DCA074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
  </w:num>
  <w:num w:numId="3">
    <w:abstractNumId w:val="4"/>
  </w:num>
  <w:num w:numId="4">
    <w:abstractNumId w:val="2"/>
  </w:num>
  <w:num w:numId="5">
    <w:abstractNumId w:val="6"/>
  </w:num>
  <w:num w:numId="6">
    <w:abstractNumId w:val="0"/>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useFELayout/>
  </w:compat>
  <w:rsids>
    <w:rsidRoot w:val="008D68CC"/>
    <w:rsid w:val="00011DFC"/>
    <w:rsid w:val="00045A91"/>
    <w:rsid w:val="00046FA1"/>
    <w:rsid w:val="000474D0"/>
    <w:rsid w:val="00051DBC"/>
    <w:rsid w:val="00095737"/>
    <w:rsid w:val="000A2E22"/>
    <w:rsid w:val="000C587E"/>
    <w:rsid w:val="000D5EB9"/>
    <w:rsid w:val="001252F9"/>
    <w:rsid w:val="0015420B"/>
    <w:rsid w:val="001A31A2"/>
    <w:rsid w:val="001C0177"/>
    <w:rsid w:val="001C41EE"/>
    <w:rsid w:val="001C64EA"/>
    <w:rsid w:val="00207307"/>
    <w:rsid w:val="00257E97"/>
    <w:rsid w:val="003162A2"/>
    <w:rsid w:val="00393B85"/>
    <w:rsid w:val="00394138"/>
    <w:rsid w:val="00440EA3"/>
    <w:rsid w:val="00445638"/>
    <w:rsid w:val="00467103"/>
    <w:rsid w:val="00472AA1"/>
    <w:rsid w:val="004A0DAE"/>
    <w:rsid w:val="004B45F8"/>
    <w:rsid w:val="005C145A"/>
    <w:rsid w:val="0060327E"/>
    <w:rsid w:val="00607EA8"/>
    <w:rsid w:val="00673D63"/>
    <w:rsid w:val="0067649B"/>
    <w:rsid w:val="006877F9"/>
    <w:rsid w:val="00695615"/>
    <w:rsid w:val="0070104F"/>
    <w:rsid w:val="007016DF"/>
    <w:rsid w:val="00731D4C"/>
    <w:rsid w:val="0074393A"/>
    <w:rsid w:val="0075060C"/>
    <w:rsid w:val="00750796"/>
    <w:rsid w:val="00775D15"/>
    <w:rsid w:val="007948A1"/>
    <w:rsid w:val="007C27AD"/>
    <w:rsid w:val="007C3E34"/>
    <w:rsid w:val="00835A91"/>
    <w:rsid w:val="00841263"/>
    <w:rsid w:val="008924AD"/>
    <w:rsid w:val="008B0119"/>
    <w:rsid w:val="008C0ACD"/>
    <w:rsid w:val="008C1FC5"/>
    <w:rsid w:val="008D4038"/>
    <w:rsid w:val="008D68CC"/>
    <w:rsid w:val="0095436D"/>
    <w:rsid w:val="009640B0"/>
    <w:rsid w:val="00966F36"/>
    <w:rsid w:val="00A9186D"/>
    <w:rsid w:val="00A93A43"/>
    <w:rsid w:val="00A974F7"/>
    <w:rsid w:val="00AD24B1"/>
    <w:rsid w:val="00AE665E"/>
    <w:rsid w:val="00B159E3"/>
    <w:rsid w:val="00B37FE9"/>
    <w:rsid w:val="00B40BB4"/>
    <w:rsid w:val="00B566D1"/>
    <w:rsid w:val="00B67D47"/>
    <w:rsid w:val="00B93B2F"/>
    <w:rsid w:val="00C05BC3"/>
    <w:rsid w:val="00C24190"/>
    <w:rsid w:val="00C34135"/>
    <w:rsid w:val="00C41346"/>
    <w:rsid w:val="00C7571B"/>
    <w:rsid w:val="00C84884"/>
    <w:rsid w:val="00CA643D"/>
    <w:rsid w:val="00CC6B0C"/>
    <w:rsid w:val="00CD74DE"/>
    <w:rsid w:val="00D044E2"/>
    <w:rsid w:val="00D44413"/>
    <w:rsid w:val="00D51E86"/>
    <w:rsid w:val="00D83B3E"/>
    <w:rsid w:val="00DC4C54"/>
    <w:rsid w:val="00DD3B37"/>
    <w:rsid w:val="00E25B5E"/>
    <w:rsid w:val="00E6486B"/>
    <w:rsid w:val="00E95C19"/>
    <w:rsid w:val="00EA2766"/>
    <w:rsid w:val="00EC5B63"/>
    <w:rsid w:val="00F339AA"/>
    <w:rsid w:val="00F36C8B"/>
    <w:rsid w:val="00F54F3B"/>
    <w:rsid w:val="00F553F8"/>
    <w:rsid w:val="00F616D4"/>
    <w:rsid w:val="00F95795"/>
    <w:rsid w:val="00FB25FA"/>
    <w:rsid w:val="00FC1A62"/>
    <w:rsid w:val="00FE1C0D"/>
    <w:rsid w:val="00FF69BA"/>
    <w:rsid w:val="00FF71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6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2A2"/>
    <w:pPr>
      <w:ind w:left="720"/>
      <w:contextualSpacing/>
    </w:pPr>
    <w:rPr>
      <w:rFonts w:ascii="Calibri" w:eastAsia="Calibri" w:hAnsi="Calibri" w:cs="Times New Roman"/>
    </w:rPr>
  </w:style>
  <w:style w:type="paragraph" w:customStyle="1" w:styleId="TrustAddress">
    <w:name w:val="TrustAddress"/>
    <w:basedOn w:val="Normal"/>
    <w:uiPriority w:val="99"/>
    <w:rsid w:val="003162A2"/>
    <w:pPr>
      <w:spacing w:after="0" w:line="240" w:lineRule="auto"/>
      <w:jc w:val="right"/>
    </w:pPr>
    <w:rPr>
      <w:rFonts w:ascii="Frutiger 45 Light" w:eastAsia="Times New Roman" w:hAnsi="Frutiger 45 Light" w:cs="Frutiger 45 Light"/>
      <w:sz w:val="18"/>
      <w:szCs w:val="18"/>
    </w:rPr>
  </w:style>
  <w:style w:type="paragraph" w:styleId="FootnoteText">
    <w:name w:val="footnote text"/>
    <w:basedOn w:val="Normal"/>
    <w:link w:val="FootnoteTextChar"/>
    <w:uiPriority w:val="99"/>
    <w:semiHidden/>
    <w:unhideWhenUsed/>
    <w:rsid w:val="003162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62A2"/>
    <w:rPr>
      <w:sz w:val="20"/>
      <w:szCs w:val="20"/>
    </w:rPr>
  </w:style>
  <w:style w:type="character" w:styleId="FootnoteReference">
    <w:name w:val="footnote reference"/>
    <w:basedOn w:val="DefaultParagraphFont"/>
    <w:uiPriority w:val="99"/>
    <w:semiHidden/>
    <w:unhideWhenUsed/>
    <w:rsid w:val="003162A2"/>
    <w:rPr>
      <w:vertAlign w:val="superscript"/>
    </w:rPr>
  </w:style>
  <w:style w:type="paragraph" w:customStyle="1" w:styleId="Default">
    <w:name w:val="Default"/>
    <w:rsid w:val="00051DB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11D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DFC"/>
  </w:style>
  <w:style w:type="paragraph" w:styleId="Footer">
    <w:name w:val="footer"/>
    <w:basedOn w:val="Normal"/>
    <w:link w:val="FooterChar"/>
    <w:uiPriority w:val="99"/>
    <w:unhideWhenUsed/>
    <w:rsid w:val="00011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DFC"/>
  </w:style>
  <w:style w:type="paragraph" w:styleId="BalloonText">
    <w:name w:val="Balloon Text"/>
    <w:basedOn w:val="Normal"/>
    <w:link w:val="BalloonTextChar"/>
    <w:uiPriority w:val="99"/>
    <w:semiHidden/>
    <w:unhideWhenUsed/>
    <w:rsid w:val="00FC1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A62"/>
    <w:rPr>
      <w:rFonts w:ascii="Tahoma" w:hAnsi="Tahoma" w:cs="Tahoma"/>
      <w:sz w:val="16"/>
      <w:szCs w:val="16"/>
    </w:rPr>
  </w:style>
  <w:style w:type="table" w:styleId="TableGrid">
    <w:name w:val="Table Grid"/>
    <w:basedOn w:val="TableNormal"/>
    <w:uiPriority w:val="59"/>
    <w:rsid w:val="00FF69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F69B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C5B6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2A2"/>
    <w:pPr>
      <w:ind w:left="720"/>
      <w:contextualSpacing/>
    </w:pPr>
    <w:rPr>
      <w:rFonts w:ascii="Calibri" w:eastAsia="Calibri" w:hAnsi="Calibri" w:cs="Times New Roman"/>
    </w:rPr>
  </w:style>
  <w:style w:type="paragraph" w:customStyle="1" w:styleId="TrustAddress">
    <w:name w:val="TrustAddress"/>
    <w:basedOn w:val="Normal"/>
    <w:uiPriority w:val="99"/>
    <w:rsid w:val="003162A2"/>
    <w:pPr>
      <w:spacing w:after="0" w:line="240" w:lineRule="auto"/>
      <w:jc w:val="right"/>
    </w:pPr>
    <w:rPr>
      <w:rFonts w:ascii="Frutiger 45 Light" w:eastAsia="Times New Roman" w:hAnsi="Frutiger 45 Light" w:cs="Frutiger 45 Light"/>
      <w:sz w:val="18"/>
      <w:szCs w:val="18"/>
    </w:rPr>
  </w:style>
  <w:style w:type="paragraph" w:styleId="FootnoteText">
    <w:name w:val="footnote text"/>
    <w:basedOn w:val="Normal"/>
    <w:link w:val="FootnoteTextChar"/>
    <w:uiPriority w:val="99"/>
    <w:semiHidden/>
    <w:unhideWhenUsed/>
    <w:rsid w:val="003162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62A2"/>
    <w:rPr>
      <w:sz w:val="20"/>
      <w:szCs w:val="20"/>
    </w:rPr>
  </w:style>
  <w:style w:type="character" w:styleId="FootnoteReference">
    <w:name w:val="footnote reference"/>
    <w:basedOn w:val="DefaultParagraphFont"/>
    <w:uiPriority w:val="99"/>
    <w:semiHidden/>
    <w:unhideWhenUsed/>
    <w:rsid w:val="003162A2"/>
    <w:rPr>
      <w:vertAlign w:val="superscript"/>
    </w:rPr>
  </w:style>
  <w:style w:type="paragraph" w:customStyle="1" w:styleId="Default">
    <w:name w:val="Default"/>
    <w:rsid w:val="00051DB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11D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DFC"/>
  </w:style>
  <w:style w:type="paragraph" w:styleId="Footer">
    <w:name w:val="footer"/>
    <w:basedOn w:val="Normal"/>
    <w:link w:val="FooterChar"/>
    <w:uiPriority w:val="99"/>
    <w:unhideWhenUsed/>
    <w:rsid w:val="00011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DFC"/>
  </w:style>
  <w:style w:type="paragraph" w:styleId="BalloonText">
    <w:name w:val="Balloon Text"/>
    <w:basedOn w:val="Normal"/>
    <w:link w:val="BalloonTextChar"/>
    <w:uiPriority w:val="99"/>
    <w:semiHidden/>
    <w:unhideWhenUsed/>
    <w:rsid w:val="00FC1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A62"/>
    <w:rPr>
      <w:rFonts w:ascii="Tahoma" w:hAnsi="Tahoma" w:cs="Tahoma"/>
      <w:sz w:val="16"/>
      <w:szCs w:val="16"/>
    </w:rPr>
  </w:style>
  <w:style w:type="table" w:styleId="TableGrid">
    <w:name w:val="Table Grid"/>
    <w:basedOn w:val="TableNormal"/>
    <w:uiPriority w:val="59"/>
    <w:rsid w:val="00FF69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F69B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C5B63"/>
    <w:rPr>
      <w:color w:val="808080"/>
    </w:rPr>
  </w:style>
</w:styles>
</file>

<file path=word/webSettings.xml><?xml version="1.0" encoding="utf-8"?>
<w:webSettings xmlns:r="http://schemas.openxmlformats.org/officeDocument/2006/relationships" xmlns:w="http://schemas.openxmlformats.org/wordprocessingml/2006/main">
  <w:divs>
    <w:div w:id="155307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B7A719-2445-4699-AED2-E8B7BC745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1990</Words>
  <Characters>11345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Cheston</dc:creator>
  <cp:lastModifiedBy>Richard Cheston</cp:lastModifiedBy>
  <cp:revision>9</cp:revision>
  <cp:lastPrinted>2014-11-04T13:37:00Z</cp:lastPrinted>
  <dcterms:created xsi:type="dcterms:W3CDTF">2015-01-26T16:51:00Z</dcterms:created>
  <dcterms:modified xsi:type="dcterms:W3CDTF">2015-04-19T09:04:00Z</dcterms:modified>
</cp:coreProperties>
</file>