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5F" w:rsidRPr="00425924" w:rsidRDefault="00C1709A" w:rsidP="0081449A">
      <w:pPr>
        <w:widowControl/>
        <w:jc w:val="center"/>
        <w:rPr>
          <w:b/>
          <w:bCs/>
          <w:sz w:val="28"/>
          <w:szCs w:val="28"/>
          <w:lang w:val="en-GB"/>
        </w:rPr>
      </w:pPr>
      <w:bookmarkStart w:id="0" w:name="_GoBack"/>
      <w:bookmarkEnd w:id="0"/>
      <w:r>
        <w:rPr>
          <w:b/>
          <w:bCs/>
          <w:sz w:val="28"/>
          <w:szCs w:val="28"/>
          <w:lang w:val="en-GB"/>
        </w:rPr>
        <w:t xml:space="preserve">Using </w:t>
      </w:r>
      <w:r w:rsidR="00A5611E">
        <w:rPr>
          <w:b/>
          <w:bCs/>
          <w:sz w:val="28"/>
          <w:szCs w:val="28"/>
          <w:lang w:val="en-GB"/>
        </w:rPr>
        <w:t xml:space="preserve">the </w:t>
      </w:r>
      <w:r w:rsidRPr="00C1709A">
        <w:rPr>
          <w:b/>
          <w:bCs/>
          <w:sz w:val="28"/>
          <w:szCs w:val="28"/>
          <w:lang w:val="en-GB"/>
        </w:rPr>
        <w:t>Participatory Patterns Design (PPD)</w:t>
      </w:r>
      <w:r w:rsidR="0081449A">
        <w:rPr>
          <w:b/>
          <w:bCs/>
          <w:sz w:val="28"/>
          <w:szCs w:val="28"/>
          <w:lang w:val="en-GB"/>
        </w:rPr>
        <w:t xml:space="preserve"> </w:t>
      </w:r>
      <w:r w:rsidRPr="00C1709A">
        <w:rPr>
          <w:b/>
          <w:bCs/>
          <w:sz w:val="28"/>
          <w:szCs w:val="28"/>
          <w:lang w:val="en-GB"/>
        </w:rPr>
        <w:t>Methodology</w:t>
      </w:r>
      <w:r>
        <w:rPr>
          <w:b/>
          <w:bCs/>
          <w:sz w:val="28"/>
          <w:szCs w:val="28"/>
          <w:lang w:val="en-GB"/>
        </w:rPr>
        <w:t xml:space="preserve"> to Co-Design</w:t>
      </w:r>
      <w:r w:rsidR="00E109AA" w:rsidRPr="00E109AA">
        <w:rPr>
          <w:b/>
          <w:bCs/>
          <w:sz w:val="28"/>
          <w:szCs w:val="28"/>
          <w:lang w:val="en-GB"/>
        </w:rPr>
        <w:t xml:space="preserve"> </w:t>
      </w:r>
      <w:r w:rsidR="00E109AA">
        <w:rPr>
          <w:b/>
          <w:bCs/>
          <w:sz w:val="28"/>
          <w:szCs w:val="28"/>
          <w:lang w:val="en-GB"/>
        </w:rPr>
        <w:t>Groupware</w:t>
      </w:r>
      <w:r w:rsidR="005426C2">
        <w:rPr>
          <w:b/>
          <w:bCs/>
          <w:sz w:val="28"/>
          <w:szCs w:val="28"/>
          <w:lang w:val="en-GB"/>
        </w:rPr>
        <w:t xml:space="preserve">: </w:t>
      </w:r>
      <w:r w:rsidR="00E109AA">
        <w:rPr>
          <w:b/>
          <w:bCs/>
          <w:sz w:val="28"/>
          <w:szCs w:val="28"/>
          <w:lang w:val="en-GB"/>
        </w:rPr>
        <w:t>Confer a</w:t>
      </w:r>
      <w:r>
        <w:rPr>
          <w:b/>
          <w:bCs/>
          <w:sz w:val="28"/>
          <w:szCs w:val="28"/>
          <w:lang w:val="en-GB"/>
        </w:rPr>
        <w:t xml:space="preserve"> Tool for Workplace Informal Learning</w:t>
      </w:r>
    </w:p>
    <w:p w:rsidR="00C9545F" w:rsidRPr="00425924" w:rsidRDefault="00C9545F" w:rsidP="001D01DF">
      <w:pPr>
        <w:widowControl/>
        <w:jc w:val="center"/>
        <w:rPr>
          <w:szCs w:val="20"/>
          <w:lang w:val="en-GB"/>
        </w:rPr>
      </w:pPr>
    </w:p>
    <w:p w:rsidR="00294780" w:rsidRDefault="00294780" w:rsidP="001D01DF">
      <w:pPr>
        <w:widowControl/>
        <w:adjustRightInd w:val="0"/>
        <w:jc w:val="center"/>
        <w:rPr>
          <w:rFonts w:ascii="Times-Roman" w:hAnsi="Times-Roman" w:cs="Times-Roman"/>
          <w:szCs w:val="20"/>
          <w:lang w:val="en-GB"/>
        </w:rPr>
      </w:pPr>
      <w:r>
        <w:rPr>
          <w:rFonts w:ascii="Times-Roman" w:hAnsi="Times-Roman" w:cs="Times-Roman"/>
          <w:szCs w:val="20"/>
          <w:lang w:val="en-GB"/>
        </w:rPr>
        <w:t>John Cook</w:t>
      </w:r>
      <w:r w:rsidRPr="00294780">
        <w:rPr>
          <w:rFonts w:ascii="Times-Roman" w:hAnsi="Times-Roman" w:cs="Times-Roman"/>
          <w:szCs w:val="13"/>
          <w:vertAlign w:val="superscript"/>
          <w:lang w:val="en-GB"/>
        </w:rPr>
        <w:t>1</w:t>
      </w:r>
      <w:r>
        <w:rPr>
          <w:rFonts w:ascii="Times-Roman" w:hAnsi="Times-Roman" w:cs="Times-Roman"/>
          <w:szCs w:val="20"/>
          <w:lang w:val="en-GB"/>
        </w:rPr>
        <w:t xml:space="preserve">, </w:t>
      </w:r>
      <w:proofErr w:type="spellStart"/>
      <w:r>
        <w:rPr>
          <w:rFonts w:ascii="Times-Roman" w:hAnsi="Times-Roman" w:cs="Times-Roman"/>
          <w:szCs w:val="20"/>
          <w:lang w:val="en-GB"/>
        </w:rPr>
        <w:t>Yishay</w:t>
      </w:r>
      <w:proofErr w:type="spellEnd"/>
      <w:r>
        <w:rPr>
          <w:rFonts w:ascii="Times-Roman" w:hAnsi="Times-Roman" w:cs="Times-Roman"/>
          <w:szCs w:val="20"/>
          <w:lang w:val="en-GB"/>
        </w:rPr>
        <w:t xml:space="preserve"> </w:t>
      </w:r>
      <w:proofErr w:type="spellStart"/>
      <w:proofErr w:type="gramStart"/>
      <w:r>
        <w:rPr>
          <w:rFonts w:ascii="Times-Roman" w:hAnsi="Times-Roman" w:cs="Times-Roman"/>
          <w:szCs w:val="20"/>
          <w:lang w:val="en-GB"/>
        </w:rPr>
        <w:t>Mor</w:t>
      </w:r>
      <w:proofErr w:type="spellEnd"/>
      <w:proofErr w:type="gramEnd"/>
      <w:r>
        <w:rPr>
          <w:rFonts w:ascii="Times-Roman" w:hAnsi="Times-Roman" w:cs="Times-Roman"/>
          <w:sz w:val="13"/>
          <w:szCs w:val="13"/>
          <w:lang w:val="en-GB"/>
        </w:rPr>
        <w:t xml:space="preserve"> </w:t>
      </w:r>
      <w:r>
        <w:rPr>
          <w:rFonts w:ascii="Times-Roman" w:hAnsi="Times-Roman" w:cs="Times-Roman"/>
          <w:szCs w:val="13"/>
          <w:vertAlign w:val="superscript"/>
          <w:lang w:val="en-GB"/>
        </w:rPr>
        <w:t>2</w:t>
      </w:r>
      <w:r>
        <w:rPr>
          <w:rFonts w:ascii="Times-Roman" w:hAnsi="Times-Roman" w:cs="Times-Roman"/>
          <w:szCs w:val="20"/>
          <w:lang w:val="en-GB"/>
        </w:rPr>
        <w:t>, Patricia Santos</w:t>
      </w:r>
      <w:r w:rsidRPr="00294780">
        <w:rPr>
          <w:rFonts w:ascii="Times-Roman" w:hAnsi="Times-Roman" w:cs="Times-Roman"/>
          <w:szCs w:val="13"/>
          <w:vertAlign w:val="superscript"/>
          <w:lang w:val="en-GB"/>
        </w:rPr>
        <w:t>1</w:t>
      </w:r>
      <w:r>
        <w:rPr>
          <w:rFonts w:ascii="Times-Roman" w:hAnsi="Times-Roman" w:cs="Times-Roman"/>
          <w:szCs w:val="20"/>
          <w:lang w:val="en-GB"/>
        </w:rPr>
        <w:t>, Tamsin Treasure-Jones</w:t>
      </w:r>
      <w:r>
        <w:rPr>
          <w:rFonts w:ascii="Times-Roman" w:hAnsi="Times-Roman" w:cs="Times-Roman"/>
          <w:szCs w:val="13"/>
          <w:vertAlign w:val="superscript"/>
          <w:lang w:val="en-GB"/>
        </w:rPr>
        <w:t>3</w:t>
      </w:r>
      <w:r>
        <w:rPr>
          <w:rFonts w:ascii="Times-Roman" w:hAnsi="Times-Roman" w:cs="Times-Roman"/>
          <w:szCs w:val="20"/>
          <w:lang w:val="en-GB"/>
        </w:rPr>
        <w:t>, Raymond</w:t>
      </w:r>
    </w:p>
    <w:p w:rsidR="00294780" w:rsidRDefault="00294780" w:rsidP="001D01DF">
      <w:pPr>
        <w:widowControl/>
        <w:jc w:val="center"/>
        <w:rPr>
          <w:rFonts w:ascii="Times-Roman" w:hAnsi="Times-Roman" w:cs="Times-Roman"/>
          <w:sz w:val="13"/>
          <w:szCs w:val="13"/>
          <w:lang w:val="en-GB"/>
        </w:rPr>
      </w:pPr>
      <w:r>
        <w:rPr>
          <w:rFonts w:ascii="Times-Roman" w:hAnsi="Times-Roman" w:cs="Times-Roman"/>
          <w:szCs w:val="20"/>
          <w:lang w:val="en-GB"/>
        </w:rPr>
        <w:t>Elferink</w:t>
      </w:r>
      <w:r>
        <w:rPr>
          <w:rFonts w:ascii="Times-Roman" w:hAnsi="Times-Roman" w:cs="Times-Roman"/>
          <w:szCs w:val="13"/>
          <w:vertAlign w:val="superscript"/>
          <w:lang w:val="en-GB"/>
        </w:rPr>
        <w:t>4</w:t>
      </w:r>
      <w:r>
        <w:rPr>
          <w:rFonts w:ascii="Times-Roman" w:hAnsi="Times-Roman" w:cs="Times-Roman"/>
          <w:szCs w:val="20"/>
          <w:lang w:val="en-GB"/>
        </w:rPr>
        <w:t xml:space="preserve">, Micky </w:t>
      </w:r>
      <w:r w:rsidR="00C1709A">
        <w:rPr>
          <w:rFonts w:ascii="Times-Roman" w:hAnsi="Times-Roman" w:cs="Times-Roman"/>
          <w:szCs w:val="20"/>
          <w:lang w:val="en-GB"/>
        </w:rPr>
        <w:t>Kerr</w:t>
      </w:r>
      <w:r>
        <w:rPr>
          <w:rFonts w:ascii="Times-Roman" w:hAnsi="Times-Roman" w:cs="Times-Roman"/>
          <w:szCs w:val="13"/>
          <w:vertAlign w:val="superscript"/>
          <w:lang w:val="en-GB"/>
        </w:rPr>
        <w:t>3</w:t>
      </w:r>
      <w:r>
        <w:rPr>
          <w:rFonts w:ascii="Times-Roman" w:hAnsi="Times-Roman" w:cs="Times-Roman"/>
          <w:szCs w:val="20"/>
          <w:lang w:val="en-GB"/>
        </w:rPr>
        <w:t>,</w:t>
      </w:r>
    </w:p>
    <w:p w:rsidR="005426C2" w:rsidRDefault="005426C2" w:rsidP="001D01DF">
      <w:pPr>
        <w:widowControl/>
        <w:jc w:val="center"/>
        <w:rPr>
          <w:rFonts w:ascii="Times-Roman" w:hAnsi="Times-Roman" w:cs="Times-Roman"/>
          <w:sz w:val="13"/>
          <w:szCs w:val="13"/>
          <w:lang w:val="en-GB"/>
        </w:rPr>
      </w:pPr>
    </w:p>
    <w:p w:rsidR="00294780" w:rsidRDefault="00294780" w:rsidP="001D01DF">
      <w:pPr>
        <w:widowControl/>
        <w:adjustRightInd w:val="0"/>
        <w:jc w:val="center"/>
        <w:rPr>
          <w:rFonts w:ascii="Times-Roman" w:hAnsi="Times-Roman" w:cs="Times-Roman"/>
          <w:sz w:val="18"/>
          <w:szCs w:val="18"/>
          <w:lang w:val="en-GB"/>
        </w:rPr>
      </w:pPr>
      <w:r w:rsidRPr="00294780">
        <w:rPr>
          <w:rFonts w:ascii="Times-Roman" w:hAnsi="Times-Roman" w:cs="Times-Roman"/>
          <w:szCs w:val="13"/>
          <w:vertAlign w:val="superscript"/>
          <w:lang w:val="en-GB"/>
        </w:rPr>
        <w:t>1</w:t>
      </w:r>
      <w:r>
        <w:rPr>
          <w:rFonts w:ascii="Times-Roman" w:hAnsi="Times-Roman" w:cs="Times-Roman"/>
          <w:sz w:val="18"/>
          <w:szCs w:val="18"/>
          <w:lang w:val="en-GB"/>
        </w:rPr>
        <w:t>University of the West of England</w:t>
      </w:r>
    </w:p>
    <w:p w:rsidR="00294780" w:rsidRPr="00294780" w:rsidRDefault="00294780" w:rsidP="001D01DF">
      <w:pPr>
        <w:widowControl/>
        <w:adjustRightInd w:val="0"/>
        <w:jc w:val="center"/>
        <w:rPr>
          <w:rFonts w:ascii="Courier" w:hAnsi="Courier" w:cs="Courier"/>
          <w:sz w:val="18"/>
          <w:szCs w:val="18"/>
          <w:lang w:val="en-GB"/>
        </w:rPr>
      </w:pPr>
      <w:r>
        <w:rPr>
          <w:rFonts w:ascii="Courier" w:hAnsi="Courier" w:cs="Courier"/>
          <w:sz w:val="18"/>
          <w:szCs w:val="18"/>
          <w:lang w:val="en-GB"/>
        </w:rPr>
        <w:t xml:space="preserve">{john2.cook, </w:t>
      </w:r>
      <w:proofErr w:type="spellStart"/>
      <w:r>
        <w:rPr>
          <w:rFonts w:ascii="Courier" w:hAnsi="Courier" w:cs="Courier"/>
          <w:sz w:val="18"/>
          <w:szCs w:val="18"/>
          <w:lang w:val="en-GB"/>
        </w:rPr>
        <w:t>Patricia.Santosrodriguez</w:t>
      </w:r>
      <w:proofErr w:type="spellEnd"/>
      <w:r>
        <w:rPr>
          <w:rFonts w:ascii="Courier" w:hAnsi="Courier" w:cs="Courier"/>
          <w:sz w:val="18"/>
          <w:szCs w:val="18"/>
          <w:lang w:val="en-GB"/>
        </w:rPr>
        <w:t>}@uwe.ac.uk,</w:t>
      </w:r>
    </w:p>
    <w:p w:rsidR="00294780" w:rsidRDefault="00294780" w:rsidP="001D01DF">
      <w:pPr>
        <w:widowControl/>
        <w:adjustRightInd w:val="0"/>
        <w:jc w:val="center"/>
        <w:rPr>
          <w:rFonts w:ascii="Times-Roman" w:hAnsi="Times-Roman" w:cs="Times-Roman"/>
          <w:sz w:val="18"/>
          <w:szCs w:val="18"/>
          <w:lang w:val="en-GB"/>
        </w:rPr>
      </w:pPr>
      <w:r>
        <w:rPr>
          <w:rFonts w:ascii="Times-Roman" w:hAnsi="Times-Roman" w:cs="Times-Roman"/>
          <w:szCs w:val="13"/>
          <w:vertAlign w:val="superscript"/>
          <w:lang w:val="en-GB"/>
        </w:rPr>
        <w:t>2</w:t>
      </w:r>
      <w:r>
        <w:rPr>
          <w:rFonts w:ascii="Times-Roman" w:hAnsi="Times-Roman" w:cs="Times-Roman"/>
          <w:sz w:val="18"/>
          <w:szCs w:val="18"/>
          <w:lang w:val="en-GB"/>
        </w:rPr>
        <w:t>Consultant, London, UK</w:t>
      </w:r>
    </w:p>
    <w:p w:rsidR="00294780" w:rsidRDefault="00294780" w:rsidP="001D01DF">
      <w:pPr>
        <w:widowControl/>
        <w:adjustRightInd w:val="0"/>
        <w:jc w:val="center"/>
        <w:rPr>
          <w:rFonts w:ascii="Courier" w:hAnsi="Courier" w:cs="Courier"/>
          <w:sz w:val="18"/>
          <w:szCs w:val="18"/>
          <w:lang w:val="en-GB"/>
        </w:rPr>
      </w:pPr>
      <w:r>
        <w:rPr>
          <w:rFonts w:ascii="Courier" w:hAnsi="Courier" w:cs="Courier"/>
          <w:sz w:val="18"/>
          <w:szCs w:val="18"/>
          <w:lang w:val="en-GB"/>
        </w:rPr>
        <w:t>yishaym@gmail.com</w:t>
      </w:r>
    </w:p>
    <w:p w:rsidR="00294780" w:rsidRDefault="00294780" w:rsidP="001D01DF">
      <w:pPr>
        <w:widowControl/>
        <w:adjustRightInd w:val="0"/>
        <w:jc w:val="center"/>
        <w:rPr>
          <w:rFonts w:ascii="Times-Roman" w:hAnsi="Times-Roman" w:cs="Times-Roman"/>
          <w:sz w:val="18"/>
          <w:szCs w:val="18"/>
          <w:lang w:val="en-GB"/>
        </w:rPr>
      </w:pPr>
      <w:r>
        <w:rPr>
          <w:rFonts w:ascii="Times-Roman" w:hAnsi="Times-Roman" w:cs="Times-Roman"/>
          <w:szCs w:val="13"/>
          <w:vertAlign w:val="superscript"/>
          <w:lang w:val="en-GB"/>
        </w:rPr>
        <w:t>3</w:t>
      </w:r>
      <w:r>
        <w:rPr>
          <w:rFonts w:ascii="Times-Roman" w:hAnsi="Times-Roman" w:cs="Times-Roman"/>
          <w:sz w:val="18"/>
          <w:szCs w:val="18"/>
          <w:lang w:val="en-GB"/>
        </w:rPr>
        <w:t>University of Leeds, UK</w:t>
      </w:r>
    </w:p>
    <w:p w:rsidR="00C1709A" w:rsidRDefault="00C1709A" w:rsidP="001D01DF">
      <w:pPr>
        <w:widowControl/>
        <w:adjustRightInd w:val="0"/>
        <w:jc w:val="center"/>
        <w:rPr>
          <w:rFonts w:ascii="Courier" w:hAnsi="Courier" w:cs="Courier"/>
          <w:sz w:val="18"/>
          <w:szCs w:val="18"/>
          <w:lang w:val="en-GB"/>
        </w:rPr>
      </w:pPr>
      <w:r>
        <w:rPr>
          <w:rFonts w:ascii="Courier" w:hAnsi="Courier" w:cs="Courier"/>
          <w:sz w:val="18"/>
          <w:szCs w:val="18"/>
          <w:lang w:val="en-GB"/>
        </w:rPr>
        <w:t>{</w:t>
      </w:r>
      <w:proofErr w:type="spellStart"/>
      <w:r w:rsidR="00294780">
        <w:rPr>
          <w:rFonts w:ascii="Courier" w:hAnsi="Courier" w:cs="Courier"/>
          <w:sz w:val="18"/>
          <w:szCs w:val="18"/>
          <w:lang w:val="en-GB"/>
        </w:rPr>
        <w:t>T.Treasure</w:t>
      </w:r>
      <w:proofErr w:type="spellEnd"/>
      <w:r w:rsidR="00294780">
        <w:rPr>
          <w:rFonts w:ascii="Courier" w:hAnsi="Courier" w:cs="Courier"/>
          <w:sz w:val="18"/>
          <w:szCs w:val="18"/>
          <w:lang w:val="en-GB"/>
        </w:rPr>
        <w:t>-Jones</w:t>
      </w:r>
      <w:r>
        <w:rPr>
          <w:rFonts w:ascii="Courier" w:hAnsi="Courier" w:cs="Courier"/>
          <w:sz w:val="18"/>
          <w:szCs w:val="18"/>
          <w:lang w:val="en-GB"/>
        </w:rPr>
        <w:t xml:space="preserve">, </w:t>
      </w:r>
      <w:proofErr w:type="spellStart"/>
      <w:r>
        <w:rPr>
          <w:rFonts w:ascii="Courier" w:hAnsi="Courier" w:cs="Courier"/>
          <w:sz w:val="18"/>
          <w:szCs w:val="18"/>
          <w:lang w:val="en-GB"/>
        </w:rPr>
        <w:t>M.P.Kerr</w:t>
      </w:r>
      <w:proofErr w:type="spellEnd"/>
      <w:r>
        <w:rPr>
          <w:rFonts w:ascii="Courier" w:hAnsi="Courier" w:cs="Courier"/>
          <w:sz w:val="18"/>
          <w:szCs w:val="18"/>
          <w:lang w:val="en-GB"/>
        </w:rPr>
        <w:t xml:space="preserve">} </w:t>
      </w:r>
      <w:r w:rsidR="00294780">
        <w:rPr>
          <w:rFonts w:ascii="Courier" w:hAnsi="Courier" w:cs="Courier"/>
          <w:sz w:val="18"/>
          <w:szCs w:val="18"/>
          <w:lang w:val="en-GB"/>
        </w:rPr>
        <w:t>@leeds.ac.uk</w:t>
      </w:r>
    </w:p>
    <w:p w:rsidR="00294780" w:rsidRDefault="00294780" w:rsidP="001D01DF">
      <w:pPr>
        <w:widowControl/>
        <w:adjustRightInd w:val="0"/>
        <w:jc w:val="center"/>
        <w:rPr>
          <w:rFonts w:ascii="Times-Roman" w:hAnsi="Times-Roman" w:cs="Times-Roman"/>
          <w:sz w:val="18"/>
          <w:szCs w:val="18"/>
          <w:lang w:val="en-GB"/>
        </w:rPr>
      </w:pPr>
      <w:r>
        <w:rPr>
          <w:rFonts w:ascii="Times-Roman" w:hAnsi="Times-Roman" w:cs="Times-Roman"/>
          <w:szCs w:val="13"/>
          <w:vertAlign w:val="superscript"/>
          <w:lang w:val="en-GB"/>
        </w:rPr>
        <w:t>4</w:t>
      </w:r>
      <w:r>
        <w:rPr>
          <w:rFonts w:ascii="Times-Roman" w:hAnsi="Times-Roman" w:cs="Times-Roman"/>
          <w:sz w:val="18"/>
          <w:szCs w:val="18"/>
          <w:lang w:val="en-GB"/>
        </w:rPr>
        <w:t>Raycom, Netherlands</w:t>
      </w:r>
    </w:p>
    <w:p w:rsidR="00294780" w:rsidRPr="00425924" w:rsidRDefault="00294780" w:rsidP="001D01DF">
      <w:pPr>
        <w:widowControl/>
        <w:jc w:val="center"/>
        <w:rPr>
          <w:szCs w:val="20"/>
          <w:lang w:val="en-GB"/>
        </w:rPr>
      </w:pPr>
      <w:r>
        <w:rPr>
          <w:rFonts w:ascii="Courier" w:hAnsi="Courier" w:cs="Courier"/>
          <w:sz w:val="18"/>
          <w:szCs w:val="18"/>
          <w:lang w:val="en-GB"/>
        </w:rPr>
        <w:t>raymond@raycom.com</w:t>
      </w:r>
    </w:p>
    <w:p w:rsidR="00C9545F" w:rsidRPr="00425924" w:rsidRDefault="00C9545F" w:rsidP="001D01DF">
      <w:pPr>
        <w:widowControl/>
        <w:jc w:val="center"/>
        <w:rPr>
          <w:szCs w:val="20"/>
          <w:lang w:val="en-GB"/>
        </w:rPr>
      </w:pPr>
    </w:p>
    <w:p w:rsidR="00C9545F" w:rsidRPr="00425924" w:rsidRDefault="00C9545F" w:rsidP="00773AEC">
      <w:pPr>
        <w:widowControl/>
        <w:jc w:val="both"/>
        <w:rPr>
          <w:szCs w:val="20"/>
          <w:lang w:val="en-GB"/>
        </w:rPr>
      </w:pPr>
    </w:p>
    <w:p w:rsidR="00C9545F" w:rsidRPr="00425924" w:rsidRDefault="00C9545F" w:rsidP="00773AEC">
      <w:pPr>
        <w:ind w:left="1080" w:right="1080"/>
        <w:jc w:val="both"/>
        <w:rPr>
          <w:sz w:val="18"/>
          <w:szCs w:val="18"/>
          <w:lang w:val="en-GB"/>
        </w:rPr>
      </w:pPr>
      <w:r w:rsidRPr="00425924">
        <w:rPr>
          <w:b/>
          <w:bCs/>
          <w:sz w:val="18"/>
          <w:szCs w:val="18"/>
          <w:lang w:val="en-GB"/>
        </w:rPr>
        <w:t>Abstract</w:t>
      </w:r>
      <w:r w:rsidRPr="00425924">
        <w:rPr>
          <w:sz w:val="18"/>
          <w:szCs w:val="18"/>
          <w:lang w:val="en-GB"/>
        </w:rPr>
        <w:t xml:space="preserve">: </w:t>
      </w:r>
      <w:r w:rsidR="00E10C1F" w:rsidRPr="00E10C1F">
        <w:rPr>
          <w:sz w:val="18"/>
          <w:szCs w:val="18"/>
          <w:lang w:val="en-GB"/>
        </w:rPr>
        <w:t xml:space="preserve">This paper proposes a </w:t>
      </w:r>
      <w:r w:rsidR="00D20ED0" w:rsidRPr="00C1709A">
        <w:rPr>
          <w:sz w:val="18"/>
          <w:szCs w:val="18"/>
          <w:lang w:val="en-GB"/>
        </w:rPr>
        <w:t>methodology</w:t>
      </w:r>
      <w:r w:rsidR="00D20ED0" w:rsidRPr="00E10C1F">
        <w:rPr>
          <w:sz w:val="18"/>
          <w:szCs w:val="18"/>
          <w:lang w:val="en-GB"/>
        </w:rPr>
        <w:t xml:space="preserve"> </w:t>
      </w:r>
      <w:r w:rsidR="00E10C1F" w:rsidRPr="00E10C1F">
        <w:rPr>
          <w:sz w:val="18"/>
          <w:szCs w:val="18"/>
          <w:lang w:val="en-GB"/>
        </w:rPr>
        <w:t>which attempts to address the</w:t>
      </w:r>
      <w:r w:rsidR="00E10C1F">
        <w:rPr>
          <w:sz w:val="18"/>
          <w:szCs w:val="18"/>
          <w:lang w:val="en-GB"/>
        </w:rPr>
        <w:t xml:space="preserve"> </w:t>
      </w:r>
      <w:r w:rsidR="00E10C1F" w:rsidRPr="00E10C1F">
        <w:rPr>
          <w:sz w:val="18"/>
          <w:szCs w:val="18"/>
          <w:lang w:val="en-GB"/>
        </w:rPr>
        <w:t>barriers to the development of successful educational design research through a</w:t>
      </w:r>
      <w:r w:rsidR="00E10C1F">
        <w:rPr>
          <w:sz w:val="18"/>
          <w:szCs w:val="18"/>
          <w:lang w:val="en-GB"/>
        </w:rPr>
        <w:t xml:space="preserve"> </w:t>
      </w:r>
      <w:r w:rsidR="00E10C1F" w:rsidRPr="00E10C1F">
        <w:rPr>
          <w:sz w:val="18"/>
          <w:szCs w:val="18"/>
          <w:lang w:val="en-GB"/>
        </w:rPr>
        <w:t>process which identifies gaps in current practices and devises innovations to target</w:t>
      </w:r>
      <w:r w:rsidR="00E10C1F">
        <w:rPr>
          <w:sz w:val="18"/>
          <w:szCs w:val="18"/>
          <w:lang w:val="en-GB"/>
        </w:rPr>
        <w:t xml:space="preserve"> </w:t>
      </w:r>
      <w:r w:rsidR="00E10C1F" w:rsidRPr="00E10C1F">
        <w:rPr>
          <w:sz w:val="18"/>
          <w:szCs w:val="18"/>
          <w:lang w:val="en-GB"/>
        </w:rPr>
        <w:t>them. Educational design research assumes an ambitious position: a dual</w:t>
      </w:r>
      <w:r w:rsidR="00E10C1F">
        <w:rPr>
          <w:sz w:val="18"/>
          <w:szCs w:val="18"/>
          <w:lang w:val="en-GB"/>
        </w:rPr>
        <w:t xml:space="preserve"> </w:t>
      </w:r>
      <w:r w:rsidR="00E10C1F" w:rsidRPr="00E10C1F">
        <w:rPr>
          <w:sz w:val="18"/>
          <w:szCs w:val="18"/>
          <w:lang w:val="en-GB"/>
        </w:rPr>
        <w:t>commitment to understand and contribute to both theory and practice. This task</w:t>
      </w:r>
      <w:r w:rsidR="00E10C1F">
        <w:rPr>
          <w:sz w:val="18"/>
          <w:szCs w:val="18"/>
          <w:lang w:val="en-GB"/>
        </w:rPr>
        <w:t xml:space="preserve"> </w:t>
      </w:r>
      <w:r w:rsidR="00E10C1F" w:rsidRPr="00E10C1F">
        <w:rPr>
          <w:sz w:val="18"/>
          <w:szCs w:val="18"/>
          <w:lang w:val="en-GB"/>
        </w:rPr>
        <w:t>is confounded by the complexity of the domain and the inherent multi-stakeholder</w:t>
      </w:r>
      <w:r w:rsidR="00E10C1F">
        <w:rPr>
          <w:sz w:val="18"/>
          <w:szCs w:val="18"/>
          <w:lang w:val="en-GB"/>
        </w:rPr>
        <w:t xml:space="preserve"> </w:t>
      </w:r>
      <w:r w:rsidR="00E10C1F" w:rsidRPr="00E10C1F">
        <w:rPr>
          <w:sz w:val="18"/>
          <w:szCs w:val="18"/>
          <w:lang w:val="en-GB"/>
        </w:rPr>
        <w:t>nature of most initiatives. Three barriers to success are identified: the</w:t>
      </w:r>
      <w:r w:rsidR="00E10C1F">
        <w:rPr>
          <w:sz w:val="18"/>
          <w:szCs w:val="18"/>
          <w:lang w:val="en-GB"/>
        </w:rPr>
        <w:t xml:space="preserve"> </w:t>
      </w:r>
      <w:r w:rsidR="00E10C1F" w:rsidRPr="00E10C1F">
        <w:rPr>
          <w:sz w:val="18"/>
          <w:szCs w:val="18"/>
          <w:lang w:val="en-GB"/>
        </w:rPr>
        <w:t>shortage of mechanisms for cross-stakeholder dialogue, the failure to account for</w:t>
      </w:r>
      <w:r w:rsidR="00E10C1F">
        <w:rPr>
          <w:sz w:val="18"/>
          <w:szCs w:val="18"/>
          <w:lang w:val="en-GB"/>
        </w:rPr>
        <w:t xml:space="preserve"> </w:t>
      </w:r>
      <w:r w:rsidR="00E10C1F" w:rsidRPr="00E10C1F">
        <w:rPr>
          <w:sz w:val="18"/>
          <w:szCs w:val="18"/>
          <w:lang w:val="en-GB"/>
        </w:rPr>
        <w:t>existing practices and contexts, and the rigid processes dictated by the dynamics</w:t>
      </w:r>
      <w:r w:rsidR="00E10C1F">
        <w:rPr>
          <w:sz w:val="18"/>
          <w:szCs w:val="18"/>
          <w:lang w:val="en-GB"/>
        </w:rPr>
        <w:t xml:space="preserve"> </w:t>
      </w:r>
      <w:r w:rsidR="00E10C1F" w:rsidRPr="00E10C1F">
        <w:rPr>
          <w:sz w:val="18"/>
          <w:szCs w:val="18"/>
          <w:lang w:val="en-GB"/>
        </w:rPr>
        <w:t xml:space="preserve">of research projects. We report </w:t>
      </w:r>
      <w:proofErr w:type="gramStart"/>
      <w:r w:rsidR="00E10C1F" w:rsidRPr="00E10C1F">
        <w:rPr>
          <w:sz w:val="18"/>
          <w:szCs w:val="18"/>
          <w:lang w:val="en-GB"/>
        </w:rPr>
        <w:t>findings</w:t>
      </w:r>
      <w:proofErr w:type="gramEnd"/>
      <w:r w:rsidR="00E10C1F" w:rsidRPr="00E10C1F">
        <w:rPr>
          <w:sz w:val="18"/>
          <w:szCs w:val="18"/>
          <w:lang w:val="en-GB"/>
        </w:rPr>
        <w:t xml:space="preserve"> from an attempt to address these</w:t>
      </w:r>
      <w:r w:rsidR="00E10C1F">
        <w:rPr>
          <w:sz w:val="18"/>
          <w:szCs w:val="18"/>
          <w:lang w:val="en-GB"/>
        </w:rPr>
        <w:t xml:space="preserve"> barriers</w:t>
      </w:r>
      <w:r w:rsidR="00E10C1F" w:rsidRPr="00E10C1F">
        <w:rPr>
          <w:sz w:val="18"/>
          <w:szCs w:val="18"/>
          <w:lang w:val="en-GB"/>
        </w:rPr>
        <w:t xml:space="preserve">. </w:t>
      </w:r>
      <w:r w:rsidR="00C1709A" w:rsidRPr="00C1709A">
        <w:rPr>
          <w:sz w:val="18"/>
          <w:szCs w:val="18"/>
          <w:lang w:val="en-GB"/>
        </w:rPr>
        <w:t xml:space="preserve">Confer </w:t>
      </w:r>
      <w:r w:rsidR="00E10C1F">
        <w:rPr>
          <w:sz w:val="18"/>
          <w:szCs w:val="18"/>
          <w:lang w:val="en-GB"/>
        </w:rPr>
        <w:t xml:space="preserve">is a </w:t>
      </w:r>
      <w:r w:rsidR="0028781F">
        <w:rPr>
          <w:sz w:val="18"/>
          <w:szCs w:val="18"/>
          <w:lang w:val="en-GB"/>
        </w:rPr>
        <w:t>Groupware tool</w:t>
      </w:r>
      <w:r w:rsidR="00E10C1F">
        <w:rPr>
          <w:sz w:val="18"/>
          <w:szCs w:val="18"/>
          <w:lang w:val="en-GB"/>
        </w:rPr>
        <w:t xml:space="preserve"> </w:t>
      </w:r>
      <w:r w:rsidR="0028781F">
        <w:rPr>
          <w:sz w:val="18"/>
          <w:szCs w:val="18"/>
          <w:lang w:val="en-GB"/>
        </w:rPr>
        <w:t xml:space="preserve">that </w:t>
      </w:r>
      <w:r w:rsidR="0028781F" w:rsidRPr="0028781F">
        <w:rPr>
          <w:sz w:val="18"/>
          <w:szCs w:val="18"/>
          <w:lang w:val="en-GB"/>
        </w:rPr>
        <w:t>provid</w:t>
      </w:r>
      <w:r w:rsidR="0028781F">
        <w:rPr>
          <w:sz w:val="18"/>
          <w:szCs w:val="18"/>
          <w:lang w:val="en-GB"/>
        </w:rPr>
        <w:t>es</w:t>
      </w:r>
      <w:r w:rsidR="0028781F" w:rsidRPr="0028781F">
        <w:rPr>
          <w:sz w:val="18"/>
          <w:szCs w:val="18"/>
          <w:lang w:val="en-GB"/>
        </w:rPr>
        <w:t xml:space="preserve"> support to bridge face2face and online discussions by workgroups </w:t>
      </w:r>
      <w:r w:rsidR="0028781F">
        <w:rPr>
          <w:sz w:val="18"/>
          <w:szCs w:val="18"/>
          <w:lang w:val="en-GB"/>
        </w:rPr>
        <w:t>and</w:t>
      </w:r>
      <w:r w:rsidR="00C1709A" w:rsidRPr="00C1709A">
        <w:rPr>
          <w:sz w:val="18"/>
          <w:szCs w:val="18"/>
          <w:lang w:val="en-GB"/>
        </w:rPr>
        <w:t xml:space="preserve"> </w:t>
      </w:r>
      <w:r w:rsidR="00347DC6">
        <w:rPr>
          <w:sz w:val="18"/>
          <w:szCs w:val="18"/>
          <w:lang w:val="en-GB"/>
        </w:rPr>
        <w:t xml:space="preserve">has </w:t>
      </w:r>
      <w:r w:rsidR="00C1709A" w:rsidRPr="00C1709A">
        <w:rPr>
          <w:sz w:val="18"/>
          <w:szCs w:val="18"/>
          <w:lang w:val="en-GB"/>
        </w:rPr>
        <w:t xml:space="preserve">been </w:t>
      </w:r>
      <w:r w:rsidR="0055708D">
        <w:rPr>
          <w:sz w:val="18"/>
          <w:szCs w:val="18"/>
          <w:lang w:val="en-GB"/>
        </w:rPr>
        <w:t>co-</w:t>
      </w:r>
      <w:r w:rsidR="00C1709A" w:rsidRPr="00C1709A">
        <w:rPr>
          <w:sz w:val="18"/>
          <w:szCs w:val="18"/>
          <w:lang w:val="en-GB"/>
        </w:rPr>
        <w:t xml:space="preserve">designed </w:t>
      </w:r>
      <w:r w:rsidR="0055708D">
        <w:rPr>
          <w:sz w:val="18"/>
          <w:szCs w:val="18"/>
          <w:lang w:val="en-GB"/>
        </w:rPr>
        <w:t xml:space="preserve">with users </w:t>
      </w:r>
      <w:r w:rsidR="00C1709A" w:rsidRPr="00C1709A">
        <w:rPr>
          <w:sz w:val="18"/>
          <w:szCs w:val="18"/>
          <w:lang w:val="en-GB"/>
        </w:rPr>
        <w:t>by following the Participatory Patterns Design (PPD)</w:t>
      </w:r>
      <w:r w:rsidR="00C1709A">
        <w:rPr>
          <w:sz w:val="18"/>
          <w:szCs w:val="18"/>
          <w:lang w:val="en-GB"/>
        </w:rPr>
        <w:t xml:space="preserve"> </w:t>
      </w:r>
      <w:r w:rsidR="00C1709A" w:rsidRPr="00C1709A">
        <w:rPr>
          <w:sz w:val="18"/>
          <w:szCs w:val="18"/>
          <w:lang w:val="en-GB"/>
        </w:rPr>
        <w:t xml:space="preserve">methodology. The PPD </w:t>
      </w:r>
      <w:r w:rsidR="00347DC6">
        <w:rPr>
          <w:sz w:val="18"/>
          <w:szCs w:val="18"/>
          <w:lang w:val="en-GB"/>
        </w:rPr>
        <w:t>provides a</w:t>
      </w:r>
      <w:r w:rsidR="005B76F4">
        <w:rPr>
          <w:sz w:val="18"/>
          <w:szCs w:val="18"/>
          <w:lang w:val="en-GB"/>
        </w:rPr>
        <w:t xml:space="preserve"> framework for</w:t>
      </w:r>
      <w:r w:rsidR="00C1709A" w:rsidRPr="00C1709A">
        <w:rPr>
          <w:sz w:val="18"/>
          <w:szCs w:val="18"/>
          <w:lang w:val="en-GB"/>
        </w:rPr>
        <w:t xml:space="preserve"> engaging multidisciplinary</w:t>
      </w:r>
      <w:r w:rsidR="00C1709A">
        <w:rPr>
          <w:sz w:val="18"/>
          <w:szCs w:val="18"/>
          <w:lang w:val="en-GB"/>
        </w:rPr>
        <w:t xml:space="preserve"> </w:t>
      </w:r>
      <w:r w:rsidR="00C1709A" w:rsidRPr="00C1709A">
        <w:rPr>
          <w:sz w:val="18"/>
          <w:szCs w:val="18"/>
          <w:lang w:val="en-GB"/>
        </w:rPr>
        <w:t>communities in collaborative reflection on educational innovation in a</w:t>
      </w:r>
      <w:r w:rsidR="00C1709A">
        <w:rPr>
          <w:sz w:val="18"/>
          <w:szCs w:val="18"/>
          <w:lang w:val="en-GB"/>
        </w:rPr>
        <w:t xml:space="preserve"> </w:t>
      </w:r>
      <w:r w:rsidR="00C1709A" w:rsidRPr="00C1709A">
        <w:rPr>
          <w:sz w:val="18"/>
          <w:szCs w:val="18"/>
          <w:lang w:val="en-GB"/>
        </w:rPr>
        <w:t>given domain.</w:t>
      </w:r>
    </w:p>
    <w:p w:rsidR="00C9545F" w:rsidRPr="00425924" w:rsidRDefault="00C9545F" w:rsidP="00773AEC">
      <w:pPr>
        <w:jc w:val="both"/>
        <w:rPr>
          <w:szCs w:val="20"/>
          <w:lang w:val="en-GB"/>
        </w:rPr>
      </w:pPr>
    </w:p>
    <w:p w:rsidR="007522FB" w:rsidRPr="00425924" w:rsidRDefault="007522FB" w:rsidP="00773AEC">
      <w:pPr>
        <w:jc w:val="both"/>
        <w:rPr>
          <w:szCs w:val="20"/>
          <w:lang w:val="en-GB"/>
        </w:rPr>
      </w:pPr>
    </w:p>
    <w:p w:rsidR="00C9545F" w:rsidRPr="00425924" w:rsidRDefault="0010030A" w:rsidP="00773AEC">
      <w:pPr>
        <w:jc w:val="both"/>
        <w:rPr>
          <w:sz w:val="18"/>
          <w:szCs w:val="18"/>
          <w:lang w:val="en-GB"/>
        </w:rPr>
      </w:pPr>
      <w:r w:rsidRPr="00425924">
        <w:rPr>
          <w:b/>
          <w:sz w:val="18"/>
          <w:szCs w:val="18"/>
          <w:lang w:val="en-GB"/>
        </w:rPr>
        <w:t>Keywords:</w:t>
      </w:r>
      <w:r w:rsidR="00FE0DDB" w:rsidRPr="00425924">
        <w:rPr>
          <w:sz w:val="18"/>
          <w:szCs w:val="18"/>
          <w:lang w:val="en-GB"/>
        </w:rPr>
        <w:t xml:space="preserve"> </w:t>
      </w:r>
      <w:r w:rsidR="00C1709A" w:rsidRPr="00C1709A">
        <w:rPr>
          <w:sz w:val="18"/>
          <w:szCs w:val="18"/>
          <w:lang w:val="en-GB"/>
        </w:rPr>
        <w:t>Methodologies for System Design</w:t>
      </w:r>
      <w:r w:rsidR="00C1709A">
        <w:rPr>
          <w:sz w:val="18"/>
          <w:szCs w:val="18"/>
          <w:lang w:val="en-GB"/>
        </w:rPr>
        <w:t xml:space="preserve">, </w:t>
      </w:r>
      <w:r w:rsidR="00C1709A" w:rsidRPr="00C1709A">
        <w:rPr>
          <w:sz w:val="18"/>
          <w:szCs w:val="18"/>
          <w:lang w:val="en-GB"/>
        </w:rPr>
        <w:t>Groupware Tools</w:t>
      </w:r>
      <w:r w:rsidR="00C1709A">
        <w:rPr>
          <w:sz w:val="18"/>
          <w:szCs w:val="18"/>
          <w:lang w:val="en-GB"/>
        </w:rPr>
        <w:t xml:space="preserve">, </w:t>
      </w:r>
      <w:r w:rsidR="00B84D5F">
        <w:rPr>
          <w:sz w:val="18"/>
          <w:szCs w:val="18"/>
          <w:lang w:val="en-GB"/>
        </w:rPr>
        <w:t xml:space="preserve">Educational Design Research, Design-Based Research, </w:t>
      </w:r>
      <w:r w:rsidR="00E10C1F">
        <w:rPr>
          <w:sz w:val="18"/>
          <w:szCs w:val="18"/>
          <w:lang w:val="en-GB"/>
        </w:rPr>
        <w:t>Work-Based Learning, Informal Learning</w:t>
      </w:r>
      <w:r w:rsidR="00C1709A">
        <w:rPr>
          <w:sz w:val="18"/>
          <w:szCs w:val="18"/>
          <w:lang w:val="en-GB"/>
        </w:rPr>
        <w:t xml:space="preserve"> </w:t>
      </w:r>
    </w:p>
    <w:p w:rsidR="00C9545F" w:rsidRPr="00425924" w:rsidRDefault="00C9545F" w:rsidP="00773AEC">
      <w:pPr>
        <w:jc w:val="both"/>
        <w:rPr>
          <w:szCs w:val="20"/>
          <w:lang w:val="en-GB"/>
        </w:rPr>
      </w:pPr>
    </w:p>
    <w:p w:rsidR="007522FB" w:rsidRPr="00425924" w:rsidRDefault="007522FB" w:rsidP="00773AEC">
      <w:pPr>
        <w:jc w:val="both"/>
        <w:rPr>
          <w:szCs w:val="20"/>
          <w:lang w:val="en-GB"/>
        </w:rPr>
      </w:pPr>
    </w:p>
    <w:p w:rsidR="007B0D5F" w:rsidRPr="00425924" w:rsidRDefault="007B0D5F" w:rsidP="00773AEC">
      <w:pPr>
        <w:jc w:val="both"/>
        <w:rPr>
          <w:szCs w:val="20"/>
          <w:lang w:val="en-GB"/>
        </w:rPr>
      </w:pPr>
    </w:p>
    <w:p w:rsidR="00C9545F" w:rsidRPr="00425924" w:rsidRDefault="00C9545F" w:rsidP="00773AEC">
      <w:pPr>
        <w:pStyle w:val="Heading1"/>
        <w:widowControl/>
        <w:jc w:val="both"/>
        <w:rPr>
          <w:b/>
          <w:bCs/>
          <w:u w:val="none"/>
          <w:lang w:val="en-GB"/>
        </w:rPr>
      </w:pPr>
      <w:r w:rsidRPr="00425924">
        <w:rPr>
          <w:b/>
          <w:bCs/>
          <w:u w:val="none"/>
          <w:lang w:val="en-GB"/>
        </w:rPr>
        <w:t>Introduction</w:t>
      </w:r>
    </w:p>
    <w:p w:rsidR="00F46832" w:rsidRDefault="00F46832" w:rsidP="00773AEC">
      <w:pPr>
        <w:jc w:val="both"/>
        <w:rPr>
          <w:lang w:val="en-GB"/>
        </w:rPr>
      </w:pPr>
    </w:p>
    <w:p w:rsidR="006D58BD" w:rsidRDefault="00E10C1F" w:rsidP="00773AEC">
      <w:pPr>
        <w:jc w:val="both"/>
        <w:rPr>
          <w:lang w:val="en-GB"/>
        </w:rPr>
      </w:pPr>
      <w:r w:rsidRPr="00E10C1F">
        <w:rPr>
          <w:lang w:val="en-GB"/>
        </w:rPr>
        <w:t>Educational design research (EDR)</w:t>
      </w:r>
      <w:r w:rsidR="00EB27A4">
        <w:rPr>
          <w:lang w:val="en-GB"/>
        </w:rPr>
        <w:t>,</w:t>
      </w:r>
      <w:r w:rsidRPr="00E10C1F">
        <w:rPr>
          <w:lang w:val="en-GB"/>
        </w:rPr>
        <w:t xml:space="preserve"> or </w:t>
      </w:r>
      <w:r w:rsidR="001B3D68">
        <w:rPr>
          <w:lang w:val="en-GB"/>
        </w:rPr>
        <w:t>d</w:t>
      </w:r>
      <w:r w:rsidRPr="00E10C1F">
        <w:rPr>
          <w:lang w:val="en-GB"/>
        </w:rPr>
        <w:t>esign-based research</w:t>
      </w:r>
      <w:r w:rsidR="00EB27A4">
        <w:rPr>
          <w:lang w:val="en-GB"/>
        </w:rPr>
        <w:t>,</w:t>
      </w:r>
      <w:r w:rsidRPr="00E10C1F">
        <w:rPr>
          <w:lang w:val="en-GB"/>
        </w:rPr>
        <w:t xml:space="preserve"> emerged over</w:t>
      </w:r>
      <w:r>
        <w:rPr>
          <w:lang w:val="en-GB"/>
        </w:rPr>
        <w:t xml:space="preserve"> </w:t>
      </w:r>
      <w:r w:rsidRPr="00E10C1F">
        <w:rPr>
          <w:lang w:val="en-GB"/>
        </w:rPr>
        <w:t xml:space="preserve">a decade ago as an alternative paradigm for education science. </w:t>
      </w:r>
      <w:r w:rsidR="001B3D68">
        <w:rPr>
          <w:lang w:val="en-GB"/>
        </w:rPr>
        <w:t>Indeed d</w:t>
      </w:r>
      <w:r w:rsidR="001B3D68" w:rsidRPr="001B3D68">
        <w:rPr>
          <w:lang w:val="en-GB"/>
        </w:rPr>
        <w:t>esign</w:t>
      </w:r>
      <w:r w:rsidR="001B3D68">
        <w:rPr>
          <w:lang w:val="en-GB"/>
        </w:rPr>
        <w:t>-based</w:t>
      </w:r>
      <w:r w:rsidR="001B3D68" w:rsidRPr="001B3D68">
        <w:rPr>
          <w:lang w:val="en-GB"/>
        </w:rPr>
        <w:t xml:space="preserve"> research has gained traction over the last 10 yea</w:t>
      </w:r>
      <w:r w:rsidR="001B3D68">
        <w:rPr>
          <w:lang w:val="en-GB"/>
        </w:rPr>
        <w:t xml:space="preserve">rs appearing as a core topic in </w:t>
      </w:r>
      <w:r w:rsidR="001B3D68" w:rsidRPr="001B3D68">
        <w:rPr>
          <w:lang w:val="en-GB"/>
        </w:rPr>
        <w:t>special issues of academic journals, in multiple book publications and in academic practice</w:t>
      </w:r>
      <w:r w:rsidR="001B3D68">
        <w:rPr>
          <w:lang w:val="en-GB"/>
        </w:rPr>
        <w:t xml:space="preserve"> </w:t>
      </w:r>
      <w:r w:rsidR="001B3D68" w:rsidRPr="001B3D68">
        <w:rPr>
          <w:lang w:val="en-GB"/>
        </w:rPr>
        <w:t xml:space="preserve">related to </w:t>
      </w:r>
      <w:r w:rsidR="001B3D68">
        <w:rPr>
          <w:lang w:val="en-GB"/>
        </w:rPr>
        <w:t>educational media</w:t>
      </w:r>
      <w:r w:rsidR="001B3D68" w:rsidRPr="001B3D68">
        <w:rPr>
          <w:lang w:val="en-GB"/>
        </w:rPr>
        <w:t xml:space="preserve"> environments (</w:t>
      </w:r>
      <w:r w:rsidR="001B3D68">
        <w:rPr>
          <w:lang w:val="en-GB"/>
        </w:rPr>
        <w:t xml:space="preserve">e.g. </w:t>
      </w:r>
      <w:r w:rsidR="001B3D68" w:rsidRPr="001B3D68">
        <w:rPr>
          <w:lang w:val="en-GB"/>
        </w:rPr>
        <w:t xml:space="preserve">Kelly, </w:t>
      </w:r>
      <w:proofErr w:type="spellStart"/>
      <w:r w:rsidR="001B3D68" w:rsidRPr="001B3D68">
        <w:rPr>
          <w:lang w:val="en-GB"/>
        </w:rPr>
        <w:t>Lesh</w:t>
      </w:r>
      <w:proofErr w:type="spellEnd"/>
      <w:r w:rsidR="001B3D68" w:rsidRPr="001B3D68">
        <w:rPr>
          <w:lang w:val="en-GB"/>
        </w:rPr>
        <w:t xml:space="preserve">, &amp; </w:t>
      </w:r>
      <w:proofErr w:type="spellStart"/>
      <w:r w:rsidR="001B3D68" w:rsidRPr="001B3D68">
        <w:rPr>
          <w:lang w:val="en-GB"/>
        </w:rPr>
        <w:t>Baek</w:t>
      </w:r>
      <w:proofErr w:type="spellEnd"/>
      <w:r w:rsidR="001B3D68" w:rsidRPr="001B3D68">
        <w:rPr>
          <w:lang w:val="en-GB"/>
        </w:rPr>
        <w:t>, 2008;</w:t>
      </w:r>
      <w:r w:rsidR="001B3D68">
        <w:rPr>
          <w:lang w:val="en-GB"/>
        </w:rPr>
        <w:t xml:space="preserve"> </w:t>
      </w:r>
      <w:r w:rsidR="001B3D68" w:rsidRPr="001B3D68">
        <w:rPr>
          <w:lang w:val="en-GB"/>
        </w:rPr>
        <w:t xml:space="preserve">Reeves &amp; </w:t>
      </w:r>
      <w:proofErr w:type="spellStart"/>
      <w:r w:rsidR="001B3D68" w:rsidRPr="001B3D68">
        <w:rPr>
          <w:lang w:val="en-GB"/>
        </w:rPr>
        <w:t>McKenney</w:t>
      </w:r>
      <w:proofErr w:type="spellEnd"/>
      <w:r w:rsidR="001B3D68" w:rsidRPr="001B3D68">
        <w:rPr>
          <w:lang w:val="en-GB"/>
        </w:rPr>
        <w:t>, 2012).</w:t>
      </w:r>
      <w:r w:rsidR="001B3D68">
        <w:rPr>
          <w:lang w:val="en-GB"/>
        </w:rPr>
        <w:t xml:space="preserve"> </w:t>
      </w:r>
      <w:r w:rsidRPr="00E10C1F">
        <w:rPr>
          <w:lang w:val="en-GB"/>
        </w:rPr>
        <w:t>EDR is a change</w:t>
      </w:r>
      <w:r w:rsidR="00F46832">
        <w:rPr>
          <w:lang w:val="en-GB"/>
        </w:rPr>
        <w:t xml:space="preserve"> </w:t>
      </w:r>
      <w:r w:rsidRPr="00E10C1F">
        <w:rPr>
          <w:lang w:val="en-GB"/>
        </w:rPr>
        <w:t>oriented</w:t>
      </w:r>
      <w:r>
        <w:rPr>
          <w:lang w:val="en-GB"/>
        </w:rPr>
        <w:t xml:space="preserve"> </w:t>
      </w:r>
      <w:r w:rsidRPr="00E10C1F">
        <w:rPr>
          <w:lang w:val="en-GB"/>
        </w:rPr>
        <w:t>paradigm: its emphasis goes beyond understanding the world as it is, to ask</w:t>
      </w:r>
      <w:r>
        <w:rPr>
          <w:lang w:val="en-GB"/>
        </w:rPr>
        <w:t xml:space="preserve"> </w:t>
      </w:r>
      <w:r w:rsidRPr="00E10C1F">
        <w:rPr>
          <w:lang w:val="en-GB"/>
        </w:rPr>
        <w:t>“how do we make it better?” This entails a dual commitment to advance theory and</w:t>
      </w:r>
      <w:r>
        <w:rPr>
          <w:lang w:val="en-GB"/>
        </w:rPr>
        <w:t xml:space="preserve"> </w:t>
      </w:r>
      <w:r w:rsidRPr="00E10C1F">
        <w:rPr>
          <w:lang w:val="en-GB"/>
        </w:rPr>
        <w:t>practice simultaneously. It dictates a highly interventionist, inherently multi-disciplinary,</w:t>
      </w:r>
      <w:r>
        <w:rPr>
          <w:lang w:val="en-GB"/>
        </w:rPr>
        <w:t xml:space="preserve"> </w:t>
      </w:r>
      <w:r w:rsidRPr="00E10C1F">
        <w:rPr>
          <w:lang w:val="en-GB"/>
        </w:rPr>
        <w:t>iterative and situated methodology, which holds the promise of producing theory</w:t>
      </w:r>
      <w:r>
        <w:rPr>
          <w:lang w:val="en-GB"/>
        </w:rPr>
        <w:t xml:space="preserve"> </w:t>
      </w:r>
      <w:r w:rsidRPr="00E10C1F">
        <w:rPr>
          <w:lang w:val="en-GB"/>
        </w:rPr>
        <w:t>relevant to practice and practical innovations informed by theory. It is interventionist</w:t>
      </w:r>
      <w:r>
        <w:rPr>
          <w:lang w:val="en-GB"/>
        </w:rPr>
        <w:t xml:space="preserve"> </w:t>
      </w:r>
      <w:r w:rsidRPr="00E10C1F">
        <w:rPr>
          <w:lang w:val="en-GB"/>
        </w:rPr>
        <w:t>in the sense that researchers introduce innovations into the environment they study to</w:t>
      </w:r>
      <w:r>
        <w:rPr>
          <w:lang w:val="en-GB"/>
        </w:rPr>
        <w:t xml:space="preserve"> </w:t>
      </w:r>
      <w:r w:rsidRPr="00E10C1F">
        <w:rPr>
          <w:lang w:val="en-GB"/>
        </w:rPr>
        <w:t>observe their effects, iterative because these innovations evolve in tandem with their</w:t>
      </w:r>
      <w:r>
        <w:rPr>
          <w:lang w:val="en-GB"/>
        </w:rPr>
        <w:t xml:space="preserve"> </w:t>
      </w:r>
      <w:r w:rsidRPr="00E10C1F">
        <w:rPr>
          <w:lang w:val="en-GB"/>
        </w:rPr>
        <w:t>theoretical underpinnings, situated meaning that interventions are introduced into real</w:t>
      </w:r>
      <w:r>
        <w:rPr>
          <w:lang w:val="en-GB"/>
        </w:rPr>
        <w:t>-</w:t>
      </w:r>
      <w:r w:rsidRPr="00E10C1F">
        <w:rPr>
          <w:lang w:val="en-GB"/>
        </w:rPr>
        <w:t>life</w:t>
      </w:r>
      <w:r>
        <w:rPr>
          <w:lang w:val="en-GB"/>
        </w:rPr>
        <w:t xml:space="preserve"> </w:t>
      </w:r>
      <w:r w:rsidRPr="00E10C1F">
        <w:rPr>
          <w:lang w:val="en-GB"/>
        </w:rPr>
        <w:t>settings, rather than laboratory conditions. The relation to theory is opportunistically</w:t>
      </w:r>
      <w:r>
        <w:rPr>
          <w:lang w:val="en-GB"/>
        </w:rPr>
        <w:t xml:space="preserve"> </w:t>
      </w:r>
      <w:r w:rsidRPr="00E10C1F">
        <w:rPr>
          <w:lang w:val="en-GB"/>
        </w:rPr>
        <w:t>eclectic: rather than maintaining a zealous allegiance to a monolithic theoretical</w:t>
      </w:r>
      <w:r>
        <w:rPr>
          <w:lang w:val="en-GB"/>
        </w:rPr>
        <w:t xml:space="preserve"> </w:t>
      </w:r>
      <w:r w:rsidRPr="00E10C1F">
        <w:rPr>
          <w:lang w:val="en-GB"/>
        </w:rPr>
        <w:t>tradition, researchers will draw on multiple sources as befits the challenges at hand.</w:t>
      </w:r>
      <w:r>
        <w:rPr>
          <w:lang w:val="en-GB"/>
        </w:rPr>
        <w:t xml:space="preserve"> </w:t>
      </w:r>
      <w:r w:rsidRPr="00E10C1F">
        <w:rPr>
          <w:lang w:val="en-GB"/>
        </w:rPr>
        <w:t>Research questions are unashamedly value-driven: when asking “how do we make the</w:t>
      </w:r>
      <w:r>
        <w:rPr>
          <w:lang w:val="en-GB"/>
        </w:rPr>
        <w:t xml:space="preserve"> </w:t>
      </w:r>
      <w:r w:rsidRPr="00E10C1F">
        <w:rPr>
          <w:lang w:val="en-GB"/>
        </w:rPr>
        <w:t>world better?” researchers are compelled to take a stance on what is “better”.</w:t>
      </w:r>
      <w:r>
        <w:rPr>
          <w:lang w:val="en-GB"/>
        </w:rPr>
        <w:t xml:space="preserve"> </w:t>
      </w:r>
      <w:r w:rsidR="00F46832" w:rsidRPr="00F46832">
        <w:rPr>
          <w:lang w:val="en-GB"/>
        </w:rPr>
        <w:t>This complexity introduces methodological and design challenges.</w:t>
      </w:r>
    </w:p>
    <w:p w:rsidR="006D58BD" w:rsidRPr="000A47DD" w:rsidRDefault="00490179" w:rsidP="00966171">
      <w:pPr>
        <w:widowControl/>
        <w:ind w:firstLine="720"/>
        <w:jc w:val="both"/>
        <w:rPr>
          <w:i/>
          <w:szCs w:val="20"/>
          <w:lang w:val="en-GB"/>
        </w:rPr>
      </w:pPr>
      <w:r w:rsidRPr="00E10C1F">
        <w:rPr>
          <w:lang w:val="en-GB"/>
        </w:rPr>
        <w:t>The Learning Layers Project (http://learning-layers.eu/), funded by the EU FP7 programme,</w:t>
      </w:r>
      <w:r>
        <w:rPr>
          <w:lang w:val="en-GB"/>
        </w:rPr>
        <w:t xml:space="preserve"> </w:t>
      </w:r>
      <w:r w:rsidRPr="00E10C1F">
        <w:rPr>
          <w:lang w:val="en-GB"/>
        </w:rPr>
        <w:t>is developing technologies to support informal learning in the workplace, specifically</w:t>
      </w:r>
      <w:r>
        <w:rPr>
          <w:lang w:val="en-GB"/>
        </w:rPr>
        <w:t xml:space="preserve"> </w:t>
      </w:r>
      <w:r w:rsidRPr="00E10C1F">
        <w:rPr>
          <w:lang w:val="en-GB"/>
        </w:rPr>
        <w:t>in the healthcare and construction sectors. A central construct in the projects</w:t>
      </w:r>
      <w:r>
        <w:rPr>
          <w:lang w:val="en-GB"/>
        </w:rPr>
        <w:t xml:space="preserve"> </w:t>
      </w:r>
      <w:r w:rsidRPr="00E10C1F">
        <w:rPr>
          <w:lang w:val="en-GB"/>
        </w:rPr>
        <w:t>conceptualisation of this domain is the idea of Hybrid Social Learning Networks</w:t>
      </w:r>
      <w:r>
        <w:rPr>
          <w:lang w:val="en-GB"/>
        </w:rPr>
        <w:t xml:space="preserve"> (HSLN)</w:t>
      </w:r>
      <w:r w:rsidR="00EC2FD7">
        <w:rPr>
          <w:lang w:val="en-GB"/>
        </w:rPr>
        <w:t>, which is a meta-design approach that sits on top of PPD</w:t>
      </w:r>
      <w:r w:rsidRPr="00E10C1F">
        <w:rPr>
          <w:lang w:val="en-GB"/>
        </w:rPr>
        <w:t xml:space="preserve">. </w:t>
      </w:r>
      <w:r w:rsidR="00EC2FD7">
        <w:rPr>
          <w:lang w:val="en-GB"/>
        </w:rPr>
        <w:t>HSLN</w:t>
      </w:r>
      <w:r>
        <w:rPr>
          <w:lang w:val="en-GB"/>
        </w:rPr>
        <w:t xml:space="preserve"> </w:t>
      </w:r>
      <w:r w:rsidRPr="00E10C1F">
        <w:rPr>
          <w:lang w:val="en-GB"/>
        </w:rPr>
        <w:t>refer</w:t>
      </w:r>
      <w:r w:rsidR="00EC2FD7">
        <w:rPr>
          <w:lang w:val="en-GB"/>
        </w:rPr>
        <w:t>s</w:t>
      </w:r>
      <w:r w:rsidRPr="00E10C1F">
        <w:rPr>
          <w:lang w:val="en-GB"/>
        </w:rPr>
        <w:t xml:space="preserve"> to </w:t>
      </w:r>
      <w:r w:rsidRPr="00E10C1F">
        <w:rPr>
          <w:lang w:val="en-GB"/>
        </w:rPr>
        <w:lastRenderedPageBreak/>
        <w:t>situations where learners’ predominant mode of learning is social, where they</w:t>
      </w:r>
      <w:r>
        <w:rPr>
          <w:lang w:val="en-GB"/>
        </w:rPr>
        <w:t xml:space="preserve"> </w:t>
      </w:r>
      <w:r w:rsidRPr="00E10C1F">
        <w:rPr>
          <w:lang w:val="en-GB"/>
        </w:rPr>
        <w:t>rely on a network of activity systems to sustain their learning practices, and where this</w:t>
      </w:r>
      <w:r>
        <w:rPr>
          <w:lang w:val="en-GB"/>
        </w:rPr>
        <w:t xml:space="preserve"> </w:t>
      </w:r>
      <w:r w:rsidRPr="00E10C1F">
        <w:rPr>
          <w:lang w:val="en-GB"/>
        </w:rPr>
        <w:t>network is manifested in both physical and virtual connections.</w:t>
      </w:r>
      <w:r>
        <w:rPr>
          <w:lang w:val="en-GB"/>
        </w:rPr>
        <w:t xml:space="preserve"> </w:t>
      </w:r>
      <w:r w:rsidR="00D20ED0" w:rsidRPr="00D20ED0">
        <w:rPr>
          <w:lang w:val="en-GB"/>
        </w:rPr>
        <w:t xml:space="preserve">We extend the notions of ‘social learning’ and ‘networked learning’ with the concept of hybridity derived from the literature (Cook, 2015). First we have a hybrid combination of formal and informal social structures in terms of power and control in an activity system (Daniels, 2008). What are the rules? How do I play the game? Who are the players? </w:t>
      </w:r>
      <w:r w:rsidR="00D61FB6">
        <w:rPr>
          <w:lang w:val="en-GB"/>
        </w:rPr>
        <w:t xml:space="preserve">What role can I adopt? </w:t>
      </w:r>
      <w:r w:rsidR="00D20ED0" w:rsidRPr="00D20ED0">
        <w:rPr>
          <w:lang w:val="en-GB"/>
        </w:rPr>
        <w:t xml:space="preserve">Daniels draws on the work of Bernstein </w:t>
      </w:r>
      <w:r w:rsidR="00D61FB6" w:rsidRPr="00A4555D">
        <w:t>(1990</w:t>
      </w:r>
      <w:r w:rsidR="00D61FB6">
        <w:t xml:space="preserve">) </w:t>
      </w:r>
      <w:r w:rsidR="00D20ED0" w:rsidRPr="00D20ED0">
        <w:rPr>
          <w:lang w:val="en-GB"/>
        </w:rPr>
        <w:t>to extend normal approaches to CHAT (Cultural-Historical Activity Theory), which can often take a very cognitive orientation, to include the ‘social’ (see Cook, 2015, p. 11 for details). There is a second dimension to hybridity: hybrid in terms of how physical and digital cultural-historically developed tools mediate the individual’s and group’s relation to the world where the competence to handle such tools is acquired in social settings through guidance from other persons or guidance from</w:t>
      </w:r>
      <w:r w:rsidR="00EC2FD7">
        <w:rPr>
          <w:lang w:val="en-GB"/>
        </w:rPr>
        <w:t xml:space="preserve"> digital tools in a “50-50 part</w:t>
      </w:r>
      <w:r w:rsidR="00D20ED0" w:rsidRPr="00D20ED0">
        <w:rPr>
          <w:lang w:val="en-GB"/>
        </w:rPr>
        <w:t>nership” (</w:t>
      </w:r>
      <w:proofErr w:type="spellStart"/>
      <w:r w:rsidR="00D20ED0" w:rsidRPr="00D20ED0">
        <w:rPr>
          <w:lang w:val="en-GB"/>
        </w:rPr>
        <w:t>Shadbolt</w:t>
      </w:r>
      <w:proofErr w:type="spellEnd"/>
      <w:r w:rsidR="00D20ED0" w:rsidRPr="00D20ED0">
        <w:rPr>
          <w:lang w:val="en-GB"/>
        </w:rPr>
        <w:t>, Smith, et al., 2013). Therefore</w:t>
      </w:r>
      <w:r w:rsidR="00EC2FD7">
        <w:rPr>
          <w:lang w:val="en-GB"/>
        </w:rPr>
        <w:t>, we must not view the HSLN nar</w:t>
      </w:r>
      <w:r w:rsidR="00D20ED0" w:rsidRPr="00D20ED0">
        <w:rPr>
          <w:lang w:val="en-GB"/>
        </w:rPr>
        <w:t xml:space="preserve">rowly as the socio-technical system that mediates learning but as the extended </w:t>
      </w:r>
      <w:r w:rsidR="00EC2FD7">
        <w:rPr>
          <w:lang w:val="en-GB"/>
        </w:rPr>
        <w:t>Zone of Possibility (</w:t>
      </w:r>
      <w:proofErr w:type="spellStart"/>
      <w:r w:rsidR="00EC2FD7">
        <w:rPr>
          <w:lang w:val="en-GB"/>
        </w:rPr>
        <w:t>ZoP</w:t>
      </w:r>
      <w:proofErr w:type="spellEnd"/>
      <w:r w:rsidR="00EC2FD7">
        <w:rPr>
          <w:lang w:val="en-GB"/>
        </w:rPr>
        <w:t>)</w:t>
      </w:r>
      <w:r w:rsidR="00D20ED0" w:rsidRPr="00D20ED0">
        <w:rPr>
          <w:lang w:val="en-GB"/>
        </w:rPr>
        <w:t xml:space="preserve"> blending socio-technical systems and the actual pra</w:t>
      </w:r>
      <w:r w:rsidR="00EC2FD7">
        <w:rPr>
          <w:lang w:val="en-GB"/>
        </w:rPr>
        <w:t>ctice. Such HSLN</w:t>
      </w:r>
      <w:r w:rsidR="004A2478">
        <w:rPr>
          <w:lang w:val="en-GB"/>
        </w:rPr>
        <w:t>s need</w:t>
      </w:r>
      <w:r w:rsidR="00EC2FD7">
        <w:rPr>
          <w:lang w:val="en-GB"/>
        </w:rPr>
        <w:t xml:space="preserve"> to be de</w:t>
      </w:r>
      <w:r w:rsidR="00D20ED0" w:rsidRPr="00D20ED0">
        <w:rPr>
          <w:lang w:val="en-GB"/>
        </w:rPr>
        <w:t>veloped and orchestrated with the practices in the World using the HSLN meta-design approach, in order that</w:t>
      </w:r>
      <w:r w:rsidR="00EC2FD7">
        <w:rPr>
          <w:lang w:val="en-GB"/>
        </w:rPr>
        <w:t xml:space="preserve"> the</w:t>
      </w:r>
      <w:r w:rsidR="00D20ED0" w:rsidRPr="00D20ED0">
        <w:rPr>
          <w:lang w:val="en-GB"/>
        </w:rPr>
        <w:t xml:space="preserve"> </w:t>
      </w:r>
      <w:proofErr w:type="spellStart"/>
      <w:r w:rsidR="00D20ED0" w:rsidRPr="00D20ED0">
        <w:rPr>
          <w:lang w:val="en-GB"/>
        </w:rPr>
        <w:t>ZoP</w:t>
      </w:r>
      <w:proofErr w:type="spellEnd"/>
      <w:r w:rsidR="00D20ED0" w:rsidRPr="00D20ED0">
        <w:rPr>
          <w:lang w:val="en-GB"/>
        </w:rPr>
        <w:t xml:space="preserve"> could address the relevant design patterns of </w:t>
      </w:r>
      <w:r w:rsidR="00EC2FD7">
        <w:rPr>
          <w:lang w:val="en-GB"/>
        </w:rPr>
        <w:t>HSLN</w:t>
      </w:r>
      <w:r w:rsidR="00D20ED0" w:rsidRPr="00D20ED0">
        <w:rPr>
          <w:lang w:val="en-GB"/>
        </w:rPr>
        <w:t xml:space="preserve">. </w:t>
      </w:r>
      <w:r w:rsidRPr="00E10C1F">
        <w:rPr>
          <w:lang w:val="en-GB"/>
        </w:rPr>
        <w:t>The project team identified EDR as an appropriate approach</w:t>
      </w:r>
      <w:r w:rsidR="00EC2FD7">
        <w:rPr>
          <w:lang w:val="en-GB"/>
        </w:rPr>
        <w:t xml:space="preserve"> </w:t>
      </w:r>
      <w:r w:rsidR="004A2478">
        <w:rPr>
          <w:lang w:val="en-GB"/>
        </w:rPr>
        <w:t xml:space="preserve">to </w:t>
      </w:r>
      <w:r w:rsidR="00EC2FD7">
        <w:rPr>
          <w:lang w:val="en-GB"/>
        </w:rPr>
        <w:t>actualise HSLN</w:t>
      </w:r>
      <w:r w:rsidRPr="00E10C1F">
        <w:rPr>
          <w:lang w:val="en-GB"/>
        </w:rPr>
        <w:t>, given the commitment</w:t>
      </w:r>
      <w:r>
        <w:rPr>
          <w:lang w:val="en-GB"/>
        </w:rPr>
        <w:t xml:space="preserve"> </w:t>
      </w:r>
      <w:r w:rsidRPr="00E10C1F">
        <w:rPr>
          <w:lang w:val="en-GB"/>
        </w:rPr>
        <w:t xml:space="preserve">to advance both the professional practice in </w:t>
      </w:r>
      <w:r>
        <w:rPr>
          <w:lang w:val="en-GB"/>
        </w:rPr>
        <w:t>HSLN</w:t>
      </w:r>
      <w:r w:rsidRPr="00E10C1F">
        <w:rPr>
          <w:lang w:val="en-GB"/>
        </w:rPr>
        <w:t xml:space="preserve"> of healthcare practitioners</w:t>
      </w:r>
      <w:r>
        <w:rPr>
          <w:lang w:val="en-GB"/>
        </w:rPr>
        <w:t xml:space="preserve"> </w:t>
      </w:r>
      <w:r w:rsidR="00EC2FD7">
        <w:rPr>
          <w:lang w:val="en-GB"/>
        </w:rPr>
        <w:t>(our domain of study</w:t>
      </w:r>
      <w:r w:rsidR="000A47DD">
        <w:rPr>
          <w:lang w:val="en-GB"/>
        </w:rPr>
        <w:t xml:space="preserve">, see </w:t>
      </w:r>
      <w:proofErr w:type="gramStart"/>
      <w:r w:rsidR="000A47DD" w:rsidRPr="0028781F">
        <w:rPr>
          <w:i/>
          <w:szCs w:val="20"/>
          <w:lang w:val="en-GB"/>
        </w:rPr>
        <w:t>Learning</w:t>
      </w:r>
      <w:proofErr w:type="gramEnd"/>
      <w:r w:rsidR="000A47DD" w:rsidRPr="0028781F">
        <w:rPr>
          <w:i/>
          <w:szCs w:val="20"/>
          <w:lang w:val="en-GB"/>
        </w:rPr>
        <w:t xml:space="preserve"> scenarios</w:t>
      </w:r>
      <w:r w:rsidR="000A47DD">
        <w:rPr>
          <w:szCs w:val="20"/>
          <w:lang w:val="en-GB"/>
        </w:rPr>
        <w:t xml:space="preserve"> section below</w:t>
      </w:r>
      <w:r w:rsidR="00EC2FD7">
        <w:rPr>
          <w:lang w:val="en-GB"/>
        </w:rPr>
        <w:t xml:space="preserve">) </w:t>
      </w:r>
      <w:r w:rsidRPr="00E10C1F">
        <w:rPr>
          <w:lang w:val="en-GB"/>
        </w:rPr>
        <w:t>and the theoretical understanding of emergent learning in such networks. Specifically,</w:t>
      </w:r>
      <w:r>
        <w:rPr>
          <w:lang w:val="en-GB"/>
        </w:rPr>
        <w:t xml:space="preserve"> </w:t>
      </w:r>
      <w:r w:rsidRPr="00E10C1F">
        <w:rPr>
          <w:lang w:val="en-GB"/>
        </w:rPr>
        <w:t>we identified the Participatory Pattern Workshop methodology (</w:t>
      </w:r>
      <w:proofErr w:type="spellStart"/>
      <w:r>
        <w:rPr>
          <w:lang w:val="en-GB"/>
        </w:rPr>
        <w:t>Mor</w:t>
      </w:r>
      <w:proofErr w:type="spellEnd"/>
      <w:r>
        <w:rPr>
          <w:lang w:val="en-GB"/>
        </w:rPr>
        <w:t xml:space="preserve"> et al., 2012</w:t>
      </w:r>
      <w:r w:rsidRPr="00E10C1F">
        <w:rPr>
          <w:lang w:val="en-GB"/>
        </w:rPr>
        <w:t>)</w:t>
      </w:r>
      <w:r>
        <w:rPr>
          <w:lang w:val="en-GB"/>
        </w:rPr>
        <w:t xml:space="preserve"> </w:t>
      </w:r>
      <w:r w:rsidRPr="00E10C1F">
        <w:rPr>
          <w:lang w:val="en-GB"/>
        </w:rPr>
        <w:t>as appropriate to our work</w:t>
      </w:r>
      <w:r w:rsidR="00EC2FD7">
        <w:rPr>
          <w:lang w:val="en-GB"/>
        </w:rPr>
        <w:t xml:space="preserve"> (see below)</w:t>
      </w:r>
      <w:r w:rsidRPr="00E10C1F">
        <w:rPr>
          <w:lang w:val="en-GB"/>
        </w:rPr>
        <w:t>. However, we found it necessary to extend and elaborate</w:t>
      </w:r>
      <w:r>
        <w:rPr>
          <w:lang w:val="en-GB"/>
        </w:rPr>
        <w:t xml:space="preserve"> </w:t>
      </w:r>
      <w:r w:rsidRPr="00E10C1F">
        <w:rPr>
          <w:lang w:val="en-GB"/>
        </w:rPr>
        <w:t>this methodology for two reasons. First, we noticed parallels and potential synergies</w:t>
      </w:r>
      <w:r>
        <w:rPr>
          <w:lang w:val="en-GB"/>
        </w:rPr>
        <w:t xml:space="preserve"> </w:t>
      </w:r>
      <w:r w:rsidRPr="00E10C1F">
        <w:rPr>
          <w:lang w:val="en-GB"/>
        </w:rPr>
        <w:t>with agile software development methodologies, and wanted to leverage these.</w:t>
      </w:r>
      <w:r>
        <w:rPr>
          <w:lang w:val="en-GB"/>
        </w:rPr>
        <w:t xml:space="preserve"> </w:t>
      </w:r>
      <w:r w:rsidRPr="00E10C1F">
        <w:rPr>
          <w:lang w:val="en-GB"/>
        </w:rPr>
        <w:t>Second, we observed a need for a closer account of the existing (pre-intervention) professional</w:t>
      </w:r>
      <w:r>
        <w:rPr>
          <w:lang w:val="en-GB"/>
        </w:rPr>
        <w:t xml:space="preserve"> </w:t>
      </w:r>
      <w:r w:rsidRPr="00E10C1F">
        <w:rPr>
          <w:lang w:val="en-GB"/>
        </w:rPr>
        <w:t>practices, which would allow our designs to blend into the current situation.</w:t>
      </w:r>
    </w:p>
    <w:p w:rsidR="0081449A" w:rsidRPr="00EC2FD7" w:rsidRDefault="00F46832" w:rsidP="00EC2FD7">
      <w:pPr>
        <w:ind w:firstLine="720"/>
        <w:jc w:val="both"/>
        <w:rPr>
          <w:lang w:val="en-GB"/>
        </w:rPr>
      </w:pPr>
      <w:r w:rsidRPr="00490179">
        <w:rPr>
          <w:lang w:val="en-GB"/>
        </w:rPr>
        <w:t xml:space="preserve">Below we argue that </w:t>
      </w:r>
      <w:r w:rsidR="004A2478">
        <w:rPr>
          <w:lang w:val="en-GB"/>
        </w:rPr>
        <w:t>our</w:t>
      </w:r>
      <w:r w:rsidRPr="00490179">
        <w:rPr>
          <w:lang w:val="en-GB"/>
        </w:rPr>
        <w:t xml:space="preserve"> </w:t>
      </w:r>
      <w:r w:rsidR="00EC2FD7">
        <w:rPr>
          <w:lang w:val="en-GB"/>
        </w:rPr>
        <w:t>EDR</w:t>
      </w:r>
      <w:r w:rsidRPr="00490179">
        <w:rPr>
          <w:lang w:val="en-GB"/>
        </w:rPr>
        <w:t xml:space="preserve"> approach </w:t>
      </w:r>
      <w:r w:rsidR="00490179" w:rsidRPr="00490179">
        <w:rPr>
          <w:szCs w:val="20"/>
          <w:lang w:val="en-GB"/>
        </w:rPr>
        <w:t xml:space="preserve">called Participatory Patterns Design (PPD) </w:t>
      </w:r>
      <w:r w:rsidRPr="00490179">
        <w:rPr>
          <w:lang w:val="en-GB"/>
        </w:rPr>
        <w:t>allows u</w:t>
      </w:r>
      <w:r w:rsidR="001B3D68" w:rsidRPr="00490179">
        <w:rPr>
          <w:lang w:val="en-GB"/>
        </w:rPr>
        <w:t>s to “systematically” seek out never-seen before possibilities</w:t>
      </w:r>
      <w:r w:rsidRPr="00490179">
        <w:rPr>
          <w:lang w:val="en-GB"/>
        </w:rPr>
        <w:t xml:space="preserve"> to inform learning research in these messy, work place learning co</w:t>
      </w:r>
      <w:r w:rsidR="00EC2FD7">
        <w:rPr>
          <w:lang w:val="en-GB"/>
        </w:rPr>
        <w:t>ntexts that lend themselves to uncontrolled</w:t>
      </w:r>
      <w:r w:rsidRPr="00490179">
        <w:rPr>
          <w:lang w:val="en-GB"/>
        </w:rPr>
        <w:t xml:space="preserve"> variability. </w:t>
      </w:r>
      <w:r w:rsidR="001B3D68" w:rsidRPr="00490179">
        <w:rPr>
          <w:lang w:val="en-GB"/>
        </w:rPr>
        <w:t xml:space="preserve">This paper proposes a </w:t>
      </w:r>
      <w:r w:rsidR="00EC2FD7">
        <w:rPr>
          <w:lang w:val="en-GB"/>
        </w:rPr>
        <w:t>methodology</w:t>
      </w:r>
      <w:r w:rsidR="001B3D68" w:rsidRPr="00490179">
        <w:rPr>
          <w:lang w:val="en-GB"/>
        </w:rPr>
        <w:t xml:space="preserve"> which attempts to address the barriers to the development of successful EDR through a process which identifies gaps in current practices and devises innovations to target them. Confer is a tool </w:t>
      </w:r>
      <w:r w:rsidR="0028781F" w:rsidRPr="00490179">
        <w:rPr>
          <w:lang w:val="en-GB"/>
        </w:rPr>
        <w:t xml:space="preserve">for </w:t>
      </w:r>
      <w:r w:rsidR="0028781F" w:rsidRPr="00490179">
        <w:rPr>
          <w:szCs w:val="20"/>
          <w:lang w:val="en-GB"/>
        </w:rPr>
        <w:t xml:space="preserve">providing support to bridge face2face and online discussions by workgroups and </w:t>
      </w:r>
      <w:r w:rsidR="001B3D68" w:rsidRPr="00490179">
        <w:rPr>
          <w:lang w:val="en-GB"/>
        </w:rPr>
        <w:t>has been designed by following the Participatory Pat</w:t>
      </w:r>
      <w:r w:rsidR="00EC2FD7">
        <w:rPr>
          <w:lang w:val="en-GB"/>
        </w:rPr>
        <w:t xml:space="preserve">terns Design (PPD) methodology. </w:t>
      </w:r>
      <w:r w:rsidR="0081449A" w:rsidRPr="00A10A02">
        <w:rPr>
          <w:szCs w:val="20"/>
          <w:lang w:val="en-GB"/>
        </w:rPr>
        <w:t>The paper is structured as follows</w:t>
      </w:r>
      <w:r w:rsidR="00A10A02">
        <w:rPr>
          <w:szCs w:val="20"/>
          <w:lang w:val="en-GB"/>
        </w:rPr>
        <w:t xml:space="preserve">. </w:t>
      </w:r>
      <w:r w:rsidR="00A10A02" w:rsidRPr="00A10A02">
        <w:rPr>
          <w:szCs w:val="20"/>
          <w:lang w:val="en-GB"/>
        </w:rPr>
        <w:t xml:space="preserve">The PPD is </w:t>
      </w:r>
      <w:r w:rsidR="00A10A02">
        <w:rPr>
          <w:szCs w:val="20"/>
          <w:lang w:val="en-GB"/>
        </w:rPr>
        <w:t xml:space="preserve">presented </w:t>
      </w:r>
      <w:r w:rsidR="00EC2FD7">
        <w:rPr>
          <w:szCs w:val="20"/>
          <w:lang w:val="en-GB"/>
        </w:rPr>
        <w:t>and</w:t>
      </w:r>
      <w:r w:rsidR="00A10A02">
        <w:rPr>
          <w:szCs w:val="20"/>
          <w:lang w:val="en-GB"/>
        </w:rPr>
        <w:t xml:space="preserve"> </w:t>
      </w:r>
      <w:r w:rsidR="00A10A02" w:rsidRPr="00A10A02">
        <w:rPr>
          <w:szCs w:val="20"/>
          <w:lang w:val="en-GB"/>
        </w:rPr>
        <w:t xml:space="preserve">Confer </w:t>
      </w:r>
      <w:r w:rsidR="00A10A02">
        <w:rPr>
          <w:szCs w:val="20"/>
          <w:lang w:val="en-GB"/>
        </w:rPr>
        <w:t xml:space="preserve">is then presented as </w:t>
      </w:r>
      <w:r w:rsidR="00A10A02" w:rsidRPr="00A10A02">
        <w:rPr>
          <w:szCs w:val="20"/>
          <w:lang w:val="en-GB"/>
        </w:rPr>
        <w:t>a Groupware tool designed by following the PPD methodology.</w:t>
      </w:r>
    </w:p>
    <w:p w:rsidR="00C1709A" w:rsidRDefault="00367049" w:rsidP="00773AEC">
      <w:pPr>
        <w:jc w:val="both"/>
        <w:rPr>
          <w:szCs w:val="20"/>
          <w:lang w:val="en-GB"/>
        </w:rPr>
      </w:pPr>
      <w:r w:rsidRPr="00425924">
        <w:rPr>
          <w:szCs w:val="20"/>
          <w:lang w:val="en-GB"/>
        </w:rPr>
        <w:tab/>
      </w:r>
    </w:p>
    <w:p w:rsidR="007054B8" w:rsidRPr="00425924" w:rsidRDefault="007054B8" w:rsidP="00773AEC">
      <w:pPr>
        <w:jc w:val="both"/>
        <w:rPr>
          <w:szCs w:val="20"/>
          <w:lang w:val="en-GB"/>
        </w:rPr>
      </w:pPr>
    </w:p>
    <w:p w:rsidR="00EB27A4" w:rsidRPr="00EB27A4" w:rsidRDefault="00EB27A4" w:rsidP="00773AEC">
      <w:pPr>
        <w:widowControl/>
        <w:jc w:val="both"/>
        <w:rPr>
          <w:b/>
          <w:szCs w:val="20"/>
          <w:lang w:val="en-GB"/>
        </w:rPr>
      </w:pPr>
      <w:r w:rsidRPr="00EB27A4">
        <w:rPr>
          <w:b/>
          <w:szCs w:val="20"/>
          <w:lang w:val="en-GB"/>
        </w:rPr>
        <w:t>Participatory Patterns Design (PPD)</w:t>
      </w:r>
    </w:p>
    <w:p w:rsidR="00EB27A4" w:rsidRDefault="00EB27A4" w:rsidP="00773AEC">
      <w:pPr>
        <w:widowControl/>
        <w:jc w:val="both"/>
        <w:rPr>
          <w:szCs w:val="20"/>
          <w:lang w:val="en-GB"/>
        </w:rPr>
      </w:pPr>
    </w:p>
    <w:p w:rsidR="00EB27A4" w:rsidRDefault="00EB27A4" w:rsidP="007054B8">
      <w:pPr>
        <w:widowControl/>
        <w:jc w:val="both"/>
        <w:rPr>
          <w:szCs w:val="20"/>
          <w:lang w:val="en-GB"/>
        </w:rPr>
      </w:pPr>
      <w:r w:rsidRPr="00EB27A4">
        <w:rPr>
          <w:szCs w:val="20"/>
          <w:lang w:val="en-GB"/>
        </w:rPr>
        <w:t>The</w:t>
      </w:r>
      <w:r w:rsidR="00681E0C">
        <w:rPr>
          <w:szCs w:val="20"/>
          <w:lang w:val="en-GB"/>
        </w:rPr>
        <w:t xml:space="preserve"> Participatory Pattern Workshop </w:t>
      </w:r>
      <w:r w:rsidRPr="00EB27A4">
        <w:rPr>
          <w:szCs w:val="20"/>
          <w:lang w:val="en-GB"/>
        </w:rPr>
        <w:t>approach (</w:t>
      </w:r>
      <w:proofErr w:type="spellStart"/>
      <w:proofErr w:type="gramStart"/>
      <w:r w:rsidRPr="00EB27A4">
        <w:rPr>
          <w:szCs w:val="20"/>
          <w:lang w:val="en-GB"/>
        </w:rPr>
        <w:t>Mor</w:t>
      </w:r>
      <w:proofErr w:type="spellEnd"/>
      <w:proofErr w:type="gramEnd"/>
      <w:r w:rsidRPr="00EB27A4">
        <w:rPr>
          <w:szCs w:val="20"/>
          <w:lang w:val="en-GB"/>
        </w:rPr>
        <w:t>, Warburton, et al., 2012) is a framework for engaging multi-disciplinary communities in collaborative reflection on educational innovation in a given domain. This methodology leads participants through a process of articulating their experience in the form of design narratives, eliciting from those design patterns, and using these to generate testable future design conjectures, in the form of design scenarios.</w:t>
      </w:r>
      <w:r w:rsidR="007054B8">
        <w:rPr>
          <w:szCs w:val="20"/>
          <w:lang w:val="en-GB"/>
        </w:rPr>
        <w:t xml:space="preserve"> </w:t>
      </w:r>
      <w:r w:rsidRPr="00EB27A4">
        <w:rPr>
          <w:szCs w:val="20"/>
          <w:lang w:val="en-GB"/>
        </w:rPr>
        <w:t>When considering the Participatory Pattern Works</w:t>
      </w:r>
      <w:r>
        <w:rPr>
          <w:szCs w:val="20"/>
          <w:lang w:val="en-GB"/>
        </w:rPr>
        <w:t>hop approach for the Layers pro</w:t>
      </w:r>
      <w:r w:rsidRPr="00EB27A4">
        <w:rPr>
          <w:szCs w:val="20"/>
          <w:lang w:val="en-GB"/>
        </w:rPr>
        <w:t>ject, we observed several limitations of the methodology:</w:t>
      </w:r>
    </w:p>
    <w:p w:rsidR="00EB27A4" w:rsidRPr="00EB27A4" w:rsidRDefault="00EB27A4" w:rsidP="00773AEC">
      <w:pPr>
        <w:widowControl/>
        <w:jc w:val="both"/>
        <w:rPr>
          <w:szCs w:val="20"/>
          <w:lang w:val="en-GB"/>
        </w:rPr>
      </w:pPr>
    </w:p>
    <w:p w:rsidR="00EB27A4" w:rsidRPr="00EB27A4" w:rsidRDefault="00EB27A4" w:rsidP="00773AEC">
      <w:pPr>
        <w:widowControl/>
        <w:jc w:val="both"/>
        <w:rPr>
          <w:szCs w:val="20"/>
          <w:lang w:val="en-GB"/>
        </w:rPr>
      </w:pPr>
      <w:r w:rsidRPr="00EB27A4">
        <w:rPr>
          <w:szCs w:val="20"/>
          <w:lang w:val="en-GB"/>
        </w:rPr>
        <w:t>1. Design patterns enable a trajectory from practice through theory back to practice. Patterns encode practitioner experiences in a form that can be calibrated with theory and then re-applied to new situations. Yet, they do not provide a pathway directly from theory into practice. A pattern always originates in experience. How do we rep-resent directives for design derived from theory?</w:t>
      </w:r>
    </w:p>
    <w:p w:rsidR="00EB27A4" w:rsidRPr="00EB27A4" w:rsidRDefault="00EB27A4" w:rsidP="00773AEC">
      <w:pPr>
        <w:widowControl/>
        <w:jc w:val="both"/>
        <w:rPr>
          <w:szCs w:val="20"/>
          <w:lang w:val="en-GB"/>
        </w:rPr>
      </w:pPr>
      <w:r w:rsidRPr="00EB27A4">
        <w:rPr>
          <w:szCs w:val="20"/>
          <w:lang w:val="en-GB"/>
        </w:rPr>
        <w:t>2. In order to affect change in a socio-cultural situation, we need to first construct a detailed conceptualisation of the current state of affairs. Any innovation we introduce will need to blend in and then modulate existing practices. How do we describe these practices, and how do we bind them into the design cycle?</w:t>
      </w:r>
    </w:p>
    <w:p w:rsidR="00EB27A4" w:rsidRPr="00EB27A4" w:rsidRDefault="00EB27A4" w:rsidP="00773AEC">
      <w:pPr>
        <w:widowControl/>
        <w:jc w:val="both"/>
        <w:rPr>
          <w:szCs w:val="20"/>
          <w:lang w:val="en-GB"/>
        </w:rPr>
      </w:pPr>
      <w:r w:rsidRPr="00EB27A4">
        <w:rPr>
          <w:szCs w:val="20"/>
          <w:lang w:val="en-GB"/>
        </w:rPr>
        <w:t xml:space="preserve">3. The </w:t>
      </w:r>
      <w:r w:rsidR="00681E0C" w:rsidRPr="00EB27A4">
        <w:rPr>
          <w:szCs w:val="20"/>
          <w:lang w:val="en-GB"/>
        </w:rPr>
        <w:t xml:space="preserve">Participatory Pattern Workshop </w:t>
      </w:r>
      <w:r w:rsidR="00681E0C">
        <w:rPr>
          <w:szCs w:val="20"/>
          <w:lang w:val="en-GB"/>
        </w:rPr>
        <w:t xml:space="preserve">approach </w:t>
      </w:r>
      <w:r w:rsidRPr="00EB27A4">
        <w:rPr>
          <w:szCs w:val="20"/>
          <w:lang w:val="en-GB"/>
        </w:rPr>
        <w:t>has been shown</w:t>
      </w:r>
      <w:r w:rsidR="00462C89">
        <w:rPr>
          <w:szCs w:val="20"/>
          <w:lang w:val="en-GB"/>
        </w:rPr>
        <w:t xml:space="preserve"> </w:t>
      </w:r>
      <w:r w:rsidRPr="00EB27A4">
        <w:rPr>
          <w:szCs w:val="20"/>
          <w:lang w:val="en-GB"/>
        </w:rPr>
        <w:t>to be effective in establishing cross-disciplinary design-level discourse. However, when developers proceed to translate the outcomes of such a discourse to a development plan, they need to represent them in a suitable language. We needed more specific bo</w:t>
      </w:r>
      <w:r w:rsidR="00681E0C">
        <w:rPr>
          <w:szCs w:val="20"/>
          <w:lang w:val="en-GB"/>
        </w:rPr>
        <w:t>undary objects to bridge the re</w:t>
      </w:r>
      <w:r w:rsidRPr="00EB27A4">
        <w:rPr>
          <w:szCs w:val="20"/>
          <w:lang w:val="en-GB"/>
        </w:rPr>
        <w:t>search and reflection dynamics and the development processes.</w:t>
      </w:r>
    </w:p>
    <w:p w:rsidR="00EB27A4" w:rsidRDefault="00EB27A4" w:rsidP="00773AEC">
      <w:pPr>
        <w:widowControl/>
        <w:jc w:val="both"/>
        <w:rPr>
          <w:szCs w:val="20"/>
          <w:lang w:val="en-GB"/>
        </w:rPr>
      </w:pPr>
    </w:p>
    <w:p w:rsidR="00EB27A4" w:rsidRDefault="007C2725" w:rsidP="00A10A02">
      <w:pPr>
        <w:widowControl/>
        <w:ind w:firstLine="720"/>
        <w:jc w:val="both"/>
        <w:rPr>
          <w:szCs w:val="20"/>
          <w:lang w:val="en-GB"/>
        </w:rPr>
      </w:pPr>
      <w:r>
        <w:rPr>
          <w:szCs w:val="20"/>
          <w:lang w:val="en-GB"/>
        </w:rPr>
        <w:t>Furthermore, t</w:t>
      </w:r>
      <w:r w:rsidRPr="007C2725">
        <w:rPr>
          <w:szCs w:val="20"/>
          <w:lang w:val="en-GB"/>
        </w:rPr>
        <w:t xml:space="preserve">hree barriers to success </w:t>
      </w:r>
      <w:r w:rsidR="00681E0C">
        <w:rPr>
          <w:szCs w:val="20"/>
          <w:lang w:val="en-GB"/>
        </w:rPr>
        <w:t>were</w:t>
      </w:r>
      <w:r w:rsidRPr="007C2725">
        <w:rPr>
          <w:szCs w:val="20"/>
          <w:lang w:val="en-GB"/>
        </w:rPr>
        <w:t xml:space="preserve"> identified: the shortage of mechanisms for cross-stakeholder dialogue, the failure to account for existing practices and contexts, and the rigid processes dictated </w:t>
      </w:r>
      <w:r w:rsidRPr="007C2725">
        <w:rPr>
          <w:szCs w:val="20"/>
          <w:lang w:val="en-GB"/>
        </w:rPr>
        <w:lastRenderedPageBreak/>
        <w:t xml:space="preserve">by the dynamics of research projects. We report </w:t>
      </w:r>
      <w:r w:rsidR="0073507A">
        <w:rPr>
          <w:szCs w:val="20"/>
          <w:lang w:val="en-GB"/>
        </w:rPr>
        <w:t xml:space="preserve">below </w:t>
      </w:r>
      <w:r w:rsidRPr="007C2725">
        <w:rPr>
          <w:szCs w:val="20"/>
          <w:lang w:val="en-GB"/>
        </w:rPr>
        <w:t xml:space="preserve">findings from an attempt to address these barriers. </w:t>
      </w:r>
      <w:r w:rsidR="0073507A">
        <w:rPr>
          <w:szCs w:val="20"/>
          <w:lang w:val="en-GB"/>
        </w:rPr>
        <w:t>Specifically</w:t>
      </w:r>
      <w:r w:rsidR="00EB27A4" w:rsidRPr="00EB27A4">
        <w:rPr>
          <w:szCs w:val="20"/>
          <w:lang w:val="en-GB"/>
        </w:rPr>
        <w:t>, we extended the Participatory Patt</w:t>
      </w:r>
      <w:r w:rsidR="00EB27A4">
        <w:rPr>
          <w:szCs w:val="20"/>
          <w:lang w:val="en-GB"/>
        </w:rPr>
        <w:t>ern Workshop approach by includ</w:t>
      </w:r>
      <w:r w:rsidR="00EB27A4" w:rsidRPr="00EB27A4">
        <w:rPr>
          <w:szCs w:val="20"/>
          <w:lang w:val="en-GB"/>
        </w:rPr>
        <w:t>ing design principles (see below) as boundary objects translating theory into practice, and agile user stories as boundary objects bridgin</w:t>
      </w:r>
      <w:r w:rsidR="00EB27A4">
        <w:rPr>
          <w:szCs w:val="20"/>
          <w:lang w:val="en-GB"/>
        </w:rPr>
        <w:t xml:space="preserve">g the </w:t>
      </w:r>
      <w:r w:rsidR="00681E0C">
        <w:rPr>
          <w:szCs w:val="20"/>
          <w:lang w:val="en-GB"/>
        </w:rPr>
        <w:t>EDR</w:t>
      </w:r>
      <w:r w:rsidR="00EB27A4">
        <w:rPr>
          <w:szCs w:val="20"/>
          <w:lang w:val="en-GB"/>
        </w:rPr>
        <w:t xml:space="preserve"> lan</w:t>
      </w:r>
      <w:r w:rsidR="00EB27A4" w:rsidRPr="00EB27A4">
        <w:rPr>
          <w:szCs w:val="20"/>
          <w:lang w:val="en-GB"/>
        </w:rPr>
        <w:t xml:space="preserve">guage with that of software engineering. The resulting methodology (Figure </w:t>
      </w:r>
      <w:r w:rsidR="00EB27A4">
        <w:rPr>
          <w:szCs w:val="20"/>
          <w:lang w:val="en-GB"/>
        </w:rPr>
        <w:t>1</w:t>
      </w:r>
      <w:r w:rsidR="00EB27A4" w:rsidRPr="00EB27A4">
        <w:rPr>
          <w:szCs w:val="20"/>
          <w:lang w:val="en-GB"/>
        </w:rPr>
        <w:t xml:space="preserve">), which we call Participatory Patterns Design (PPD) methodology, leads practitioners and researchers through </w:t>
      </w:r>
      <w:r w:rsidR="00493258">
        <w:rPr>
          <w:szCs w:val="20"/>
          <w:lang w:val="en-GB"/>
        </w:rPr>
        <w:t xml:space="preserve">design and development </w:t>
      </w:r>
      <w:r w:rsidR="00EB27A4" w:rsidRPr="00EB27A4">
        <w:rPr>
          <w:szCs w:val="20"/>
          <w:lang w:val="en-GB"/>
        </w:rPr>
        <w:t>cycle</w:t>
      </w:r>
      <w:r w:rsidR="00681E0C">
        <w:rPr>
          <w:szCs w:val="20"/>
          <w:lang w:val="en-GB"/>
        </w:rPr>
        <w:t>s</w:t>
      </w:r>
      <w:r w:rsidR="00EB27A4" w:rsidRPr="00EB27A4">
        <w:rPr>
          <w:szCs w:val="20"/>
          <w:lang w:val="en-GB"/>
        </w:rPr>
        <w:t xml:space="preserve"> in which they:</w:t>
      </w:r>
    </w:p>
    <w:p w:rsidR="0078474C" w:rsidRPr="00EB27A4" w:rsidRDefault="0078474C" w:rsidP="00773AEC">
      <w:pPr>
        <w:widowControl/>
        <w:jc w:val="both"/>
        <w:rPr>
          <w:szCs w:val="20"/>
          <w:lang w:val="en-GB"/>
        </w:rPr>
      </w:pPr>
    </w:p>
    <w:p w:rsidR="00EB27A4" w:rsidRPr="00EB27A4" w:rsidRDefault="00EB27A4" w:rsidP="00681E0C">
      <w:pPr>
        <w:widowControl/>
        <w:numPr>
          <w:ilvl w:val="0"/>
          <w:numId w:val="18"/>
        </w:numPr>
        <w:jc w:val="both"/>
        <w:rPr>
          <w:szCs w:val="20"/>
          <w:lang w:val="en-GB"/>
        </w:rPr>
      </w:pPr>
      <w:r w:rsidRPr="00EB27A4">
        <w:rPr>
          <w:szCs w:val="20"/>
          <w:lang w:val="en-GB"/>
        </w:rPr>
        <w:t>Understand existing epistemic practices</w:t>
      </w:r>
    </w:p>
    <w:p w:rsidR="00EB27A4" w:rsidRPr="00EB27A4" w:rsidRDefault="00EB27A4" w:rsidP="00681E0C">
      <w:pPr>
        <w:widowControl/>
        <w:numPr>
          <w:ilvl w:val="0"/>
          <w:numId w:val="18"/>
        </w:numPr>
        <w:jc w:val="both"/>
        <w:rPr>
          <w:szCs w:val="20"/>
          <w:lang w:val="en-GB"/>
        </w:rPr>
      </w:pPr>
      <w:r w:rsidRPr="00EB27A4">
        <w:rPr>
          <w:szCs w:val="20"/>
          <w:lang w:val="en-GB"/>
        </w:rPr>
        <w:t>Identify gaps in those practices</w:t>
      </w:r>
    </w:p>
    <w:p w:rsidR="00EB27A4" w:rsidRPr="00EB27A4" w:rsidRDefault="00EB27A4" w:rsidP="00681E0C">
      <w:pPr>
        <w:widowControl/>
        <w:numPr>
          <w:ilvl w:val="0"/>
          <w:numId w:val="18"/>
        </w:numPr>
        <w:jc w:val="both"/>
        <w:rPr>
          <w:szCs w:val="20"/>
          <w:lang w:val="en-GB"/>
        </w:rPr>
      </w:pPr>
      <w:r w:rsidRPr="00EB27A4">
        <w:rPr>
          <w:szCs w:val="20"/>
          <w:lang w:val="en-GB"/>
        </w:rPr>
        <w:t>Consider relevant theories as well as existing / previous attempts to address these gaps</w:t>
      </w:r>
    </w:p>
    <w:p w:rsidR="00EB27A4" w:rsidRPr="00EB27A4" w:rsidRDefault="00EB27A4" w:rsidP="00681E0C">
      <w:pPr>
        <w:widowControl/>
        <w:numPr>
          <w:ilvl w:val="0"/>
          <w:numId w:val="18"/>
        </w:numPr>
        <w:jc w:val="both"/>
        <w:rPr>
          <w:szCs w:val="20"/>
          <w:lang w:val="en-GB"/>
        </w:rPr>
      </w:pPr>
      <w:r w:rsidRPr="00EB27A4">
        <w:rPr>
          <w:szCs w:val="20"/>
          <w:lang w:val="en-GB"/>
        </w:rPr>
        <w:t>Conceptualise a novel solution</w:t>
      </w:r>
    </w:p>
    <w:p w:rsidR="00EB27A4" w:rsidRPr="00EB27A4" w:rsidRDefault="00EB27A4" w:rsidP="00681E0C">
      <w:pPr>
        <w:widowControl/>
        <w:numPr>
          <w:ilvl w:val="0"/>
          <w:numId w:val="18"/>
        </w:numPr>
        <w:jc w:val="both"/>
        <w:rPr>
          <w:szCs w:val="20"/>
          <w:lang w:val="en-GB"/>
        </w:rPr>
      </w:pPr>
      <w:r w:rsidRPr="00EB27A4">
        <w:rPr>
          <w:szCs w:val="20"/>
          <w:lang w:val="en-GB"/>
        </w:rPr>
        <w:t>Define the evaluation protocols for this solution</w:t>
      </w:r>
    </w:p>
    <w:p w:rsidR="00EB27A4" w:rsidRDefault="00EB27A4" w:rsidP="00773AEC">
      <w:pPr>
        <w:widowControl/>
        <w:jc w:val="both"/>
        <w:rPr>
          <w:szCs w:val="20"/>
          <w:lang w:val="en-GB"/>
        </w:rPr>
      </w:pPr>
    </w:p>
    <w:p w:rsidR="00EB27A4" w:rsidRDefault="00C96802" w:rsidP="00773AEC">
      <w:pPr>
        <w:widowControl/>
        <w:jc w:val="both"/>
        <w:rPr>
          <w:szCs w:val="20"/>
          <w:lang w:val="en-GB"/>
        </w:rPr>
      </w:pPr>
      <w:r>
        <w:rPr>
          <w:noProof/>
          <w:lang w:val="en-GB"/>
        </w:rPr>
        <w:drawing>
          <wp:inline distT="0" distB="0" distL="0" distR="0">
            <wp:extent cx="5189220" cy="3001010"/>
            <wp:effectExtent l="0" t="0" r="0" b="8890"/>
            <wp:docPr id="1" name="Picture 4" descr="File:PP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PPD dia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001010"/>
                    </a:xfrm>
                    <a:prstGeom prst="rect">
                      <a:avLst/>
                    </a:prstGeom>
                    <a:noFill/>
                    <a:ln>
                      <a:noFill/>
                    </a:ln>
                  </pic:spPr>
                </pic:pic>
              </a:graphicData>
            </a:graphic>
          </wp:inline>
        </w:drawing>
      </w:r>
    </w:p>
    <w:p w:rsidR="00EB27A4" w:rsidRPr="00EB27A4" w:rsidRDefault="00EB27A4" w:rsidP="00773AEC">
      <w:pPr>
        <w:widowControl/>
        <w:jc w:val="both"/>
        <w:rPr>
          <w:szCs w:val="20"/>
          <w:lang w:val="en-GB"/>
        </w:rPr>
      </w:pPr>
      <w:r w:rsidRPr="0078474C">
        <w:rPr>
          <w:b/>
          <w:szCs w:val="20"/>
          <w:lang w:val="en-GB"/>
        </w:rPr>
        <w:t>Figure 1:</w:t>
      </w:r>
      <w:r w:rsidRPr="00EB27A4">
        <w:rPr>
          <w:szCs w:val="20"/>
          <w:lang w:val="en-GB"/>
        </w:rPr>
        <w:t xml:space="preserve"> Schematic diagram of the Participa</w:t>
      </w:r>
      <w:r>
        <w:rPr>
          <w:szCs w:val="20"/>
          <w:lang w:val="en-GB"/>
        </w:rPr>
        <w:t>tory Patterns Design (PPD) meth</w:t>
      </w:r>
      <w:r w:rsidRPr="00EB27A4">
        <w:rPr>
          <w:szCs w:val="20"/>
          <w:lang w:val="en-GB"/>
        </w:rPr>
        <w:t xml:space="preserve">odology (see </w:t>
      </w:r>
      <w:hyperlink r:id="rId9" w:history="1">
        <w:r w:rsidRPr="007A1455">
          <w:rPr>
            <w:rStyle w:val="Hyperlink"/>
            <w:szCs w:val="20"/>
            <w:lang w:val="en-GB"/>
          </w:rPr>
          <w:t>https://goo.gl/ZUMTVz</w:t>
        </w:r>
      </w:hyperlink>
      <w:r>
        <w:rPr>
          <w:szCs w:val="20"/>
          <w:lang w:val="en-GB"/>
        </w:rPr>
        <w:t xml:space="preserve"> </w:t>
      </w:r>
      <w:r w:rsidRPr="00EB27A4">
        <w:rPr>
          <w:szCs w:val="20"/>
          <w:lang w:val="en-GB"/>
        </w:rPr>
        <w:t>for glossary)</w:t>
      </w:r>
    </w:p>
    <w:p w:rsidR="00EB27A4" w:rsidRDefault="00EB27A4" w:rsidP="00773AEC">
      <w:pPr>
        <w:widowControl/>
        <w:jc w:val="both"/>
        <w:rPr>
          <w:szCs w:val="20"/>
          <w:lang w:val="en-GB"/>
        </w:rPr>
      </w:pPr>
    </w:p>
    <w:p w:rsidR="00EB27A4" w:rsidRPr="00EB27A4" w:rsidRDefault="00EB27A4" w:rsidP="00773AEC">
      <w:pPr>
        <w:widowControl/>
        <w:jc w:val="both"/>
        <w:rPr>
          <w:szCs w:val="20"/>
          <w:lang w:val="en-GB"/>
        </w:rPr>
      </w:pPr>
    </w:p>
    <w:p w:rsidR="0078474C" w:rsidRPr="0078474C" w:rsidRDefault="00EB27A4" w:rsidP="00773AEC">
      <w:pPr>
        <w:widowControl/>
        <w:jc w:val="both"/>
        <w:rPr>
          <w:szCs w:val="20"/>
          <w:lang w:val="en-GB"/>
        </w:rPr>
      </w:pPr>
      <w:r w:rsidRPr="00EB27A4">
        <w:rPr>
          <w:szCs w:val="20"/>
          <w:lang w:val="en-GB"/>
        </w:rPr>
        <w:t>It has to be noted that the PPD methodology provides a systematic and targeted methodology and its development has built upon the experiences of empirical studies, co-design activities, and formative evaluation</w:t>
      </w:r>
      <w:r w:rsidR="00681E0C">
        <w:rPr>
          <w:szCs w:val="20"/>
          <w:lang w:val="en-GB"/>
        </w:rPr>
        <w:t xml:space="preserve"> (e.g. see Cook and Santos, 2014)</w:t>
      </w:r>
      <w:r w:rsidRPr="00EB27A4">
        <w:rPr>
          <w:szCs w:val="20"/>
          <w:lang w:val="en-GB"/>
        </w:rPr>
        <w:t>.</w:t>
      </w:r>
      <w:r w:rsidR="0078474C">
        <w:rPr>
          <w:szCs w:val="20"/>
          <w:lang w:val="en-GB"/>
        </w:rPr>
        <w:t xml:space="preserve"> </w:t>
      </w:r>
      <w:r w:rsidR="0078474C" w:rsidRPr="0078474C">
        <w:rPr>
          <w:szCs w:val="20"/>
          <w:lang w:val="en-GB"/>
        </w:rPr>
        <w:t xml:space="preserve">This methodology </w:t>
      </w:r>
      <w:r w:rsidR="0078474C">
        <w:rPr>
          <w:szCs w:val="20"/>
          <w:lang w:val="en-GB"/>
        </w:rPr>
        <w:t>has been applied to the development of the</w:t>
      </w:r>
      <w:r w:rsidR="0078474C" w:rsidRPr="0078474C">
        <w:rPr>
          <w:szCs w:val="20"/>
          <w:lang w:val="en-GB"/>
        </w:rPr>
        <w:t xml:space="preserve"> Confer </w:t>
      </w:r>
      <w:r w:rsidR="0078474C">
        <w:rPr>
          <w:szCs w:val="20"/>
          <w:lang w:val="en-GB"/>
        </w:rPr>
        <w:t>tool</w:t>
      </w:r>
      <w:r w:rsidR="0078474C" w:rsidRPr="0078474C">
        <w:rPr>
          <w:szCs w:val="20"/>
          <w:lang w:val="en-GB"/>
        </w:rPr>
        <w:t xml:space="preserve"> through a process of:</w:t>
      </w:r>
    </w:p>
    <w:p w:rsidR="0078474C" w:rsidRPr="0078474C" w:rsidRDefault="0078474C" w:rsidP="00773AEC">
      <w:pPr>
        <w:widowControl/>
        <w:numPr>
          <w:ilvl w:val="0"/>
          <w:numId w:val="8"/>
        </w:numPr>
        <w:jc w:val="both"/>
        <w:rPr>
          <w:szCs w:val="20"/>
          <w:lang w:val="en-GB"/>
        </w:rPr>
      </w:pPr>
      <w:r w:rsidRPr="0078474C">
        <w:rPr>
          <w:szCs w:val="20"/>
          <w:lang w:val="en-GB"/>
        </w:rPr>
        <w:t>Reflecting on the data gathered from the empirical studies, co-design and stakeholder meetings in Y1 and Y2</w:t>
      </w:r>
      <w:r>
        <w:rPr>
          <w:szCs w:val="20"/>
          <w:lang w:val="en-GB"/>
        </w:rPr>
        <w:t xml:space="preserve"> of the Learning Layers project</w:t>
      </w:r>
      <w:r w:rsidRPr="0078474C">
        <w:rPr>
          <w:szCs w:val="20"/>
          <w:lang w:val="en-GB"/>
        </w:rPr>
        <w:t xml:space="preserve">; and from </w:t>
      </w:r>
      <w:r>
        <w:rPr>
          <w:szCs w:val="20"/>
          <w:lang w:val="en-GB"/>
        </w:rPr>
        <w:t>this identifying Practice Narra</w:t>
      </w:r>
      <w:r w:rsidRPr="0078474C">
        <w:rPr>
          <w:szCs w:val="20"/>
          <w:lang w:val="en-GB"/>
        </w:rPr>
        <w:t>tives and Practice Patterns, which capture th</w:t>
      </w:r>
      <w:r>
        <w:rPr>
          <w:szCs w:val="20"/>
          <w:lang w:val="en-GB"/>
        </w:rPr>
        <w:t>e relevant (problematic) experi</w:t>
      </w:r>
      <w:r w:rsidRPr="0078474C">
        <w:rPr>
          <w:szCs w:val="20"/>
          <w:lang w:val="en-GB"/>
        </w:rPr>
        <w:t>ences of healthcare professionals and their informal learning at work.</w:t>
      </w:r>
    </w:p>
    <w:p w:rsidR="0078474C" w:rsidRPr="0078474C" w:rsidRDefault="0078474C" w:rsidP="00773AEC">
      <w:pPr>
        <w:widowControl/>
        <w:numPr>
          <w:ilvl w:val="0"/>
          <w:numId w:val="8"/>
        </w:numPr>
        <w:jc w:val="both"/>
        <w:rPr>
          <w:szCs w:val="20"/>
          <w:lang w:val="en-GB"/>
        </w:rPr>
      </w:pPr>
      <w:r w:rsidRPr="0078474C">
        <w:rPr>
          <w:szCs w:val="20"/>
          <w:lang w:val="en-GB"/>
        </w:rPr>
        <w:t xml:space="preserve">Articulating the </w:t>
      </w:r>
      <w:r w:rsidR="00462C89">
        <w:rPr>
          <w:szCs w:val="20"/>
          <w:lang w:val="en-GB"/>
        </w:rPr>
        <w:t>healthcare</w:t>
      </w:r>
      <w:r w:rsidR="00462C89" w:rsidRPr="0078474C">
        <w:rPr>
          <w:szCs w:val="20"/>
          <w:lang w:val="en-GB"/>
        </w:rPr>
        <w:t xml:space="preserve"> </w:t>
      </w:r>
      <w:r w:rsidRPr="0078474C">
        <w:rPr>
          <w:szCs w:val="20"/>
          <w:lang w:val="en-GB"/>
        </w:rPr>
        <w:t>experience (practice narratives) by applying our knowledge in the form of Design Narratives, eliciting from t</w:t>
      </w:r>
      <w:r>
        <w:rPr>
          <w:szCs w:val="20"/>
          <w:lang w:val="en-GB"/>
        </w:rPr>
        <w:t>hose Design Pat</w:t>
      </w:r>
      <w:r w:rsidRPr="0078474C">
        <w:rPr>
          <w:szCs w:val="20"/>
          <w:lang w:val="en-GB"/>
        </w:rPr>
        <w:t>terns.</w:t>
      </w:r>
    </w:p>
    <w:p w:rsidR="0078474C" w:rsidRPr="0078474C" w:rsidRDefault="0078474C" w:rsidP="00773AEC">
      <w:pPr>
        <w:widowControl/>
        <w:numPr>
          <w:ilvl w:val="0"/>
          <w:numId w:val="8"/>
        </w:numPr>
        <w:jc w:val="both"/>
        <w:rPr>
          <w:szCs w:val="20"/>
          <w:lang w:val="en-GB"/>
        </w:rPr>
      </w:pPr>
      <w:r w:rsidRPr="0078474C">
        <w:rPr>
          <w:szCs w:val="20"/>
          <w:lang w:val="en-GB"/>
        </w:rPr>
        <w:t xml:space="preserve">Using these Design Patterns to generate testable future design conjectures in the form of Design Scenarios. </w:t>
      </w:r>
    </w:p>
    <w:p w:rsidR="0078474C" w:rsidRPr="0078474C" w:rsidRDefault="00832284" w:rsidP="00773AEC">
      <w:pPr>
        <w:widowControl/>
        <w:numPr>
          <w:ilvl w:val="0"/>
          <w:numId w:val="8"/>
        </w:numPr>
        <w:jc w:val="both"/>
        <w:rPr>
          <w:szCs w:val="20"/>
          <w:lang w:val="en-GB"/>
        </w:rPr>
      </w:pPr>
      <w:r>
        <w:rPr>
          <w:szCs w:val="20"/>
          <w:lang w:val="en-GB"/>
        </w:rPr>
        <w:t>P</w:t>
      </w:r>
      <w:r w:rsidRPr="0078474C">
        <w:rPr>
          <w:szCs w:val="20"/>
          <w:lang w:val="en-GB"/>
        </w:rPr>
        <w:t>attern</w:t>
      </w:r>
      <w:r w:rsidR="00310228">
        <w:rPr>
          <w:szCs w:val="20"/>
          <w:lang w:val="en-GB"/>
        </w:rPr>
        <w:t>/n</w:t>
      </w:r>
      <w:r w:rsidRPr="0078474C">
        <w:rPr>
          <w:szCs w:val="20"/>
          <w:lang w:val="en-GB"/>
        </w:rPr>
        <w:t xml:space="preserve">arratives </w:t>
      </w:r>
      <w:r w:rsidR="0078474C" w:rsidRPr="0078474C">
        <w:rPr>
          <w:szCs w:val="20"/>
          <w:lang w:val="en-GB"/>
        </w:rPr>
        <w:t>are based on a recurring patte</w:t>
      </w:r>
      <w:r w:rsidR="0078474C">
        <w:rPr>
          <w:szCs w:val="20"/>
          <w:lang w:val="en-GB"/>
        </w:rPr>
        <w:t>rn of behaviour manifesting cer</w:t>
      </w:r>
      <w:r w:rsidR="0078474C" w:rsidRPr="0078474C">
        <w:rPr>
          <w:szCs w:val="20"/>
          <w:lang w:val="en-GB"/>
        </w:rPr>
        <w:t xml:space="preserve">tain intentions in a given context: in our case the </w:t>
      </w:r>
      <w:r>
        <w:rPr>
          <w:szCs w:val="20"/>
          <w:lang w:val="en-GB"/>
        </w:rPr>
        <w:t>h</w:t>
      </w:r>
      <w:r w:rsidRPr="0078474C">
        <w:rPr>
          <w:szCs w:val="20"/>
          <w:lang w:val="en-GB"/>
        </w:rPr>
        <w:t xml:space="preserve">ealthcare </w:t>
      </w:r>
      <w:r w:rsidR="0078474C" w:rsidRPr="0078474C">
        <w:rPr>
          <w:szCs w:val="20"/>
          <w:lang w:val="en-GB"/>
        </w:rPr>
        <w:t>domain.  These practice</w:t>
      </w:r>
      <w:r w:rsidR="00310228">
        <w:rPr>
          <w:szCs w:val="20"/>
          <w:lang w:val="en-GB"/>
        </w:rPr>
        <w:t>/narrative</w:t>
      </w:r>
      <w:r w:rsidR="0078474C" w:rsidRPr="0078474C">
        <w:rPr>
          <w:szCs w:val="20"/>
          <w:lang w:val="en-GB"/>
        </w:rPr>
        <w:t xml:space="preserve"> perspectives (practice narratives and practice patterns) link to design principles, which provide a direct link to theory (see Figure </w:t>
      </w:r>
      <w:r w:rsidR="0078474C">
        <w:rPr>
          <w:szCs w:val="20"/>
          <w:lang w:val="en-GB"/>
        </w:rPr>
        <w:t>1</w:t>
      </w:r>
      <w:r w:rsidR="0078474C" w:rsidRPr="0078474C">
        <w:rPr>
          <w:szCs w:val="20"/>
          <w:lang w:val="en-GB"/>
        </w:rPr>
        <w:t xml:space="preserve">). </w:t>
      </w:r>
    </w:p>
    <w:p w:rsidR="00C9545F" w:rsidRDefault="00C9545F" w:rsidP="00773AEC">
      <w:pPr>
        <w:widowControl/>
        <w:jc w:val="both"/>
        <w:rPr>
          <w:szCs w:val="20"/>
          <w:lang w:val="en-GB"/>
        </w:rPr>
      </w:pPr>
    </w:p>
    <w:p w:rsidR="00773AEC" w:rsidRDefault="00773AEC" w:rsidP="00A10A02">
      <w:pPr>
        <w:widowControl/>
        <w:ind w:firstLine="360"/>
        <w:jc w:val="both"/>
        <w:rPr>
          <w:szCs w:val="20"/>
        </w:rPr>
      </w:pPr>
      <w:r w:rsidRPr="00773AEC">
        <w:rPr>
          <w:szCs w:val="20"/>
        </w:rPr>
        <w:lastRenderedPageBreak/>
        <w:t xml:space="preserve">Design principles are the projection of kernel theories into the problem domain (in our case above post-Vygotskian theory projected into the Confer tool). Our approach allows us to </w:t>
      </w:r>
      <w:r w:rsidRPr="00773AEC">
        <w:rPr>
          <w:i/>
          <w:szCs w:val="20"/>
        </w:rPr>
        <w:t xml:space="preserve">synchronize with other streams of the project </w:t>
      </w:r>
      <w:r w:rsidRPr="00773AEC">
        <w:rPr>
          <w:szCs w:val="20"/>
        </w:rPr>
        <w:t>(e.g. Social Semantic Server</w:t>
      </w:r>
      <w:r w:rsidR="002168CE">
        <w:rPr>
          <w:szCs w:val="20"/>
        </w:rPr>
        <w:t xml:space="preserve">: </w:t>
      </w:r>
      <w:r w:rsidR="002168CE">
        <w:t>the technological framework in the project providing tools and associated users with a growing set of services (e.g. recommenders) of different granularity that generate and utilize social and artifact network data needed in a HSLN</w:t>
      </w:r>
      <w:r w:rsidR="0019626A">
        <w:rPr>
          <w:szCs w:val="20"/>
        </w:rPr>
        <w:t>)</w:t>
      </w:r>
      <w:r w:rsidRPr="00773AEC">
        <w:rPr>
          <w:szCs w:val="20"/>
        </w:rPr>
        <w:t>. Below we propose various design principles and in Year 4</w:t>
      </w:r>
      <w:r w:rsidR="003A7FBA">
        <w:rPr>
          <w:szCs w:val="20"/>
        </w:rPr>
        <w:t xml:space="preserve"> (2016)</w:t>
      </w:r>
      <w:r w:rsidRPr="00773AEC">
        <w:rPr>
          <w:szCs w:val="20"/>
        </w:rPr>
        <w:t xml:space="preserve"> we will start the process of systematically connecting these to a network of other similar studies which are documented in a NSF funded Design Principles  Database (see </w:t>
      </w:r>
      <w:hyperlink r:id="rId10" w:history="1">
        <w:r w:rsidRPr="00773AEC">
          <w:rPr>
            <w:rStyle w:val="Hyperlink"/>
            <w:szCs w:val="20"/>
          </w:rPr>
          <w:t>http://tinyurl.com/yab6s2q</w:t>
        </w:r>
      </w:hyperlink>
      <w:r w:rsidRPr="00773AEC">
        <w:rPr>
          <w:szCs w:val="20"/>
        </w:rPr>
        <w:t xml:space="preserve">); if successful this would provide external validation of our conceptual approach. Design principles emanate from and connect to theories of learning and instruction, they can be at several levels of specificity and those presented below </w:t>
      </w:r>
      <w:r w:rsidR="003A7FBA">
        <w:rPr>
          <w:szCs w:val="20"/>
        </w:rPr>
        <w:t>articulate the Hybrid Social Learning Network concept</w:t>
      </w:r>
      <w:r w:rsidRPr="00773AEC">
        <w:rPr>
          <w:szCs w:val="20"/>
        </w:rPr>
        <w:t xml:space="preserve">. The meta-design principles capture abstract theoretical ideas and project them into the problem domain. Each has meta-design principles follows this template: Description, Theoretical background, Tips (Challenges, Limitations, Tradeoffs, </w:t>
      </w:r>
      <w:proofErr w:type="gramStart"/>
      <w:r w:rsidRPr="00773AEC">
        <w:rPr>
          <w:szCs w:val="20"/>
        </w:rPr>
        <w:t>Pitfalls</w:t>
      </w:r>
      <w:proofErr w:type="gramEnd"/>
      <w:r w:rsidRPr="00773AEC">
        <w:rPr>
          <w:szCs w:val="20"/>
        </w:rPr>
        <w:t>), an</w:t>
      </w:r>
      <w:r w:rsidR="003A7FBA">
        <w:rPr>
          <w:szCs w:val="20"/>
        </w:rPr>
        <w:t>d</w:t>
      </w:r>
      <w:r w:rsidRPr="00773AEC">
        <w:rPr>
          <w:szCs w:val="20"/>
        </w:rPr>
        <w:t xml:space="preserve"> Links to other principles and patterns. The 3 meta-design principles with links to online public descriptions in ILDE</w:t>
      </w:r>
      <w:r w:rsidRPr="00773AEC">
        <w:rPr>
          <w:szCs w:val="20"/>
          <w:vertAlign w:val="superscript"/>
          <w:lang w:val="de-DE"/>
        </w:rPr>
        <w:footnoteReference w:id="1"/>
      </w:r>
      <w:r w:rsidRPr="00773AEC">
        <w:rPr>
          <w:szCs w:val="20"/>
        </w:rPr>
        <w:t xml:space="preserve"> plus a brief overview how they link to theory are:</w:t>
      </w:r>
    </w:p>
    <w:p w:rsidR="00E43CD1" w:rsidRPr="00773AEC" w:rsidRDefault="00E43CD1" w:rsidP="00773AEC">
      <w:pPr>
        <w:widowControl/>
        <w:jc w:val="both"/>
        <w:rPr>
          <w:szCs w:val="20"/>
        </w:rPr>
      </w:pPr>
    </w:p>
    <w:p w:rsidR="00773AEC" w:rsidRPr="00773AEC" w:rsidRDefault="00773AEC" w:rsidP="00773AEC">
      <w:pPr>
        <w:widowControl/>
        <w:numPr>
          <w:ilvl w:val="0"/>
          <w:numId w:val="16"/>
        </w:numPr>
        <w:jc w:val="both"/>
        <w:rPr>
          <w:szCs w:val="20"/>
        </w:rPr>
      </w:pPr>
      <w:r w:rsidRPr="00773AEC">
        <w:rPr>
          <w:b/>
          <w:szCs w:val="20"/>
        </w:rPr>
        <w:t>Respect Learners' Zone of Possibility</w:t>
      </w:r>
      <w:r w:rsidRPr="00773AEC">
        <w:rPr>
          <w:szCs w:val="20"/>
        </w:rPr>
        <w:t xml:space="preserve">, </w:t>
      </w:r>
      <w:hyperlink r:id="rId11" w:history="1">
        <w:r w:rsidRPr="00773AEC">
          <w:rPr>
            <w:rStyle w:val="Hyperlink"/>
            <w:szCs w:val="20"/>
          </w:rPr>
          <w:t>http://ilde.upf.edu/layers/v/brn</w:t>
        </w:r>
      </w:hyperlink>
      <w:r w:rsidRPr="00773AEC">
        <w:rPr>
          <w:szCs w:val="20"/>
        </w:rPr>
        <w:t xml:space="preserve"> </w:t>
      </w:r>
    </w:p>
    <w:p w:rsidR="00773AEC" w:rsidRPr="00773AEC" w:rsidRDefault="00773AEC" w:rsidP="00773AEC">
      <w:pPr>
        <w:widowControl/>
        <w:numPr>
          <w:ilvl w:val="1"/>
          <w:numId w:val="16"/>
        </w:numPr>
        <w:jc w:val="both"/>
        <w:rPr>
          <w:szCs w:val="20"/>
        </w:rPr>
      </w:pPr>
      <w:r w:rsidRPr="00773AEC">
        <w:rPr>
          <w:szCs w:val="20"/>
        </w:rPr>
        <w:t>Professionals engaged in social learning want to present themselves in the best possible professional light, i.e. people will position themselves in different ways depending what they deem as the best way from the perspective of their professional role in circumstances of a particular situation. They do not want to expose themselves professionally. Also, professionals are positioned by other actors in their activity systems by rating them and the resources they shared. Consequently, we are designing for a Zone of Possibility (</w:t>
      </w:r>
      <w:proofErr w:type="spellStart"/>
      <w:r w:rsidRPr="00773AEC">
        <w:rPr>
          <w:szCs w:val="20"/>
        </w:rPr>
        <w:t>ZoP</w:t>
      </w:r>
      <w:proofErr w:type="spellEnd"/>
      <w:r w:rsidRPr="00773AEC">
        <w:rPr>
          <w:szCs w:val="20"/>
        </w:rPr>
        <w:t xml:space="preserve">). References: Daniels (2008); Vygotsky (1930/1978). </w:t>
      </w:r>
    </w:p>
    <w:p w:rsidR="00773AEC" w:rsidRPr="00773AEC" w:rsidRDefault="00773AEC" w:rsidP="00773AEC">
      <w:pPr>
        <w:widowControl/>
        <w:numPr>
          <w:ilvl w:val="0"/>
          <w:numId w:val="16"/>
        </w:numPr>
        <w:jc w:val="both"/>
        <w:rPr>
          <w:szCs w:val="20"/>
        </w:rPr>
      </w:pPr>
      <w:r w:rsidRPr="00773AEC">
        <w:rPr>
          <w:b/>
          <w:szCs w:val="20"/>
        </w:rPr>
        <w:t>Support Knowledge Building Discourse</w:t>
      </w:r>
      <w:r w:rsidRPr="00773AEC">
        <w:rPr>
          <w:szCs w:val="20"/>
        </w:rPr>
        <w:t xml:space="preserve">, </w:t>
      </w:r>
      <w:hyperlink r:id="rId12" w:history="1">
        <w:r w:rsidRPr="00773AEC">
          <w:rPr>
            <w:rStyle w:val="Hyperlink"/>
            <w:szCs w:val="20"/>
          </w:rPr>
          <w:t>http://ilde.upf.edu/layers/v/btz</w:t>
        </w:r>
      </w:hyperlink>
      <w:r w:rsidRPr="00773AEC">
        <w:rPr>
          <w:szCs w:val="20"/>
        </w:rPr>
        <w:t xml:space="preserve"> </w:t>
      </w:r>
    </w:p>
    <w:p w:rsidR="00773AEC" w:rsidRPr="00773AEC" w:rsidRDefault="00773AEC" w:rsidP="00773AEC">
      <w:pPr>
        <w:widowControl/>
        <w:numPr>
          <w:ilvl w:val="1"/>
          <w:numId w:val="16"/>
        </w:numPr>
        <w:jc w:val="both"/>
        <w:rPr>
          <w:szCs w:val="20"/>
        </w:rPr>
      </w:pPr>
      <w:r w:rsidRPr="00773AEC">
        <w:rPr>
          <w:szCs w:val="20"/>
        </w:rPr>
        <w:t>Knowledge building is in essence a "coherent effort to initiate students into knowledge creating culture" (</w:t>
      </w:r>
      <w:proofErr w:type="spellStart"/>
      <w:r w:rsidRPr="00773AEC">
        <w:rPr>
          <w:szCs w:val="20"/>
        </w:rPr>
        <w:t>Scardamalia</w:t>
      </w:r>
      <w:proofErr w:type="spellEnd"/>
      <w:r w:rsidRPr="00773AEC">
        <w:rPr>
          <w:szCs w:val="20"/>
        </w:rPr>
        <w:t xml:space="preserve"> &amp; </w:t>
      </w:r>
      <w:proofErr w:type="spellStart"/>
      <w:r w:rsidRPr="00773AEC">
        <w:rPr>
          <w:szCs w:val="20"/>
        </w:rPr>
        <w:t>Bereiter</w:t>
      </w:r>
      <w:proofErr w:type="spellEnd"/>
      <w:r w:rsidRPr="00773AEC">
        <w:rPr>
          <w:szCs w:val="20"/>
        </w:rPr>
        <w:t>, 2006, p.98). This is closely linked to Progressive Inquiry theory (</w:t>
      </w:r>
      <w:proofErr w:type="spellStart"/>
      <w:r w:rsidRPr="00773AEC">
        <w:rPr>
          <w:szCs w:val="20"/>
        </w:rPr>
        <w:t>Muukkonen</w:t>
      </w:r>
      <w:proofErr w:type="spellEnd"/>
      <w:r w:rsidRPr="00773AEC">
        <w:rPr>
          <w:szCs w:val="20"/>
        </w:rPr>
        <w:t xml:space="preserve">, </w:t>
      </w:r>
      <w:proofErr w:type="spellStart"/>
      <w:r w:rsidRPr="00773AEC">
        <w:rPr>
          <w:szCs w:val="20"/>
        </w:rPr>
        <w:t>Hakkarainen</w:t>
      </w:r>
      <w:proofErr w:type="spellEnd"/>
      <w:r w:rsidRPr="00773AEC">
        <w:rPr>
          <w:szCs w:val="20"/>
        </w:rPr>
        <w:t xml:space="preserve"> &amp; </w:t>
      </w:r>
      <w:proofErr w:type="spellStart"/>
      <w:r w:rsidRPr="00773AEC">
        <w:rPr>
          <w:szCs w:val="20"/>
        </w:rPr>
        <w:t>Lakkala</w:t>
      </w:r>
      <w:proofErr w:type="spellEnd"/>
      <w:r w:rsidRPr="00773AEC">
        <w:rPr>
          <w:szCs w:val="20"/>
        </w:rPr>
        <w:t xml:space="preserve">, 1999). </w:t>
      </w:r>
    </w:p>
    <w:p w:rsidR="00773AEC" w:rsidRPr="00773AEC" w:rsidRDefault="00773AEC" w:rsidP="00773AEC">
      <w:pPr>
        <w:widowControl/>
        <w:numPr>
          <w:ilvl w:val="0"/>
          <w:numId w:val="16"/>
        </w:numPr>
        <w:jc w:val="both"/>
        <w:rPr>
          <w:szCs w:val="20"/>
          <w:u w:val="single"/>
        </w:rPr>
      </w:pPr>
      <w:r w:rsidRPr="00773AEC">
        <w:rPr>
          <w:b/>
          <w:szCs w:val="20"/>
        </w:rPr>
        <w:t>Aim for a "50-50 partnership",</w:t>
      </w:r>
      <w:r w:rsidRPr="00773AEC">
        <w:rPr>
          <w:szCs w:val="20"/>
        </w:rPr>
        <w:t xml:space="preserve"> </w:t>
      </w:r>
      <w:hyperlink r:id="rId13" w:history="1">
        <w:r w:rsidRPr="00773AEC">
          <w:rPr>
            <w:rStyle w:val="Hyperlink"/>
            <w:szCs w:val="20"/>
          </w:rPr>
          <w:t>http://ilde.upf.edu/layers/v/brs</w:t>
        </w:r>
      </w:hyperlink>
      <w:r w:rsidRPr="00773AEC">
        <w:rPr>
          <w:szCs w:val="20"/>
        </w:rPr>
        <w:t xml:space="preserve"> </w:t>
      </w:r>
    </w:p>
    <w:p w:rsidR="00773AEC" w:rsidRPr="00773AEC" w:rsidRDefault="00773AEC" w:rsidP="00773AEC">
      <w:pPr>
        <w:widowControl/>
        <w:numPr>
          <w:ilvl w:val="1"/>
          <w:numId w:val="16"/>
        </w:numPr>
        <w:jc w:val="both"/>
        <w:rPr>
          <w:szCs w:val="20"/>
        </w:rPr>
      </w:pPr>
      <w:r w:rsidRPr="00773AEC">
        <w:rPr>
          <w:szCs w:val="20"/>
        </w:rPr>
        <w:t xml:space="preserve">Enable a “50-50 partnership”: a fruitful and deep collaboration between people and trusted software (machines) where we avoid being dominated by algorithms. Users and recommender systems work together to achieve a task or solve a problem and hence further professional learning. ‘50-50’ partnership is a metaphor of half machine, half human, whilst only hinting at a human-machine/cyborg-like partnership. Reference: </w:t>
      </w:r>
      <w:proofErr w:type="spellStart"/>
      <w:r w:rsidRPr="00773AEC">
        <w:rPr>
          <w:szCs w:val="20"/>
        </w:rPr>
        <w:t>Shadbolt</w:t>
      </w:r>
      <w:proofErr w:type="spellEnd"/>
      <w:r w:rsidRPr="00773AEC">
        <w:rPr>
          <w:szCs w:val="20"/>
        </w:rPr>
        <w:t xml:space="preserve">, Smith, et al. (2013). </w:t>
      </w:r>
    </w:p>
    <w:p w:rsidR="00773AEC" w:rsidRDefault="00773AEC" w:rsidP="00773AEC">
      <w:pPr>
        <w:widowControl/>
        <w:jc w:val="both"/>
        <w:rPr>
          <w:szCs w:val="20"/>
          <w:lang w:val="en-GB"/>
        </w:rPr>
      </w:pPr>
    </w:p>
    <w:p w:rsidR="00773AEC" w:rsidRDefault="00773AEC" w:rsidP="00773AEC">
      <w:pPr>
        <w:widowControl/>
        <w:jc w:val="both"/>
        <w:rPr>
          <w:szCs w:val="20"/>
          <w:lang w:val="en-GB"/>
        </w:rPr>
      </w:pPr>
      <w:r w:rsidRPr="00773AEC">
        <w:rPr>
          <w:szCs w:val="20"/>
          <w:lang w:val="en-GB"/>
        </w:rPr>
        <w:t>The meta-level (theory driven) design principles are linked to various design patterns (practice driven). Our approach therefore allows for meaningful connections between different theoretical viewpoints to emerge. Indeed, we plan to generalise our design principles a</w:t>
      </w:r>
      <w:r w:rsidR="00813DF3">
        <w:rPr>
          <w:szCs w:val="20"/>
          <w:lang w:val="en-GB"/>
        </w:rPr>
        <w:t>nd patterns to other areas and initiatives (outside healthcare)</w:t>
      </w:r>
      <w:r w:rsidRPr="00773AEC">
        <w:rPr>
          <w:szCs w:val="20"/>
          <w:lang w:val="en-GB"/>
        </w:rPr>
        <w:t>. Furthermore, the learning support identified in our design patterns targets activities and does not prescribe processes, hence leaving room for appropriation.</w:t>
      </w:r>
    </w:p>
    <w:p w:rsidR="006F564E" w:rsidRDefault="00773AEC" w:rsidP="000A47DD">
      <w:pPr>
        <w:widowControl/>
        <w:ind w:firstLine="720"/>
        <w:jc w:val="both"/>
        <w:rPr>
          <w:szCs w:val="20"/>
          <w:lang w:val="en-GB"/>
        </w:rPr>
      </w:pPr>
      <w:r w:rsidRPr="00773AEC">
        <w:rPr>
          <w:szCs w:val="20"/>
          <w:lang w:val="en-GB"/>
        </w:rPr>
        <w:t xml:space="preserve">All the design principles (and associated patterns) shown in this section can be accessed online at this address </w:t>
      </w:r>
      <w:hyperlink r:id="rId14" w:history="1">
        <w:r w:rsidRPr="007A1455">
          <w:rPr>
            <w:rStyle w:val="Hyperlink"/>
            <w:szCs w:val="20"/>
            <w:lang w:val="en-GB"/>
          </w:rPr>
          <w:t>https://goo.gl/jiwbgm</w:t>
        </w:r>
      </w:hyperlink>
      <w:r w:rsidRPr="00773AEC">
        <w:rPr>
          <w:szCs w:val="20"/>
          <w:lang w:val="en-GB"/>
        </w:rPr>
        <w:t>;</w:t>
      </w:r>
      <w:r>
        <w:rPr>
          <w:szCs w:val="20"/>
          <w:lang w:val="en-GB"/>
        </w:rPr>
        <w:t xml:space="preserve"> </w:t>
      </w:r>
      <w:r w:rsidRPr="00773AEC">
        <w:rPr>
          <w:szCs w:val="20"/>
          <w:lang w:val="en-GB"/>
        </w:rPr>
        <w:t xml:space="preserve">this web page contains live links to online descriptions in ILDE (in some cases you may have to create a free account and log in). Note </w:t>
      </w:r>
      <w:r w:rsidR="000A47DD">
        <w:rPr>
          <w:szCs w:val="20"/>
          <w:lang w:val="en-GB"/>
        </w:rPr>
        <w:t xml:space="preserve">in the online diagram </w:t>
      </w:r>
      <w:r w:rsidRPr="00773AEC">
        <w:rPr>
          <w:szCs w:val="20"/>
          <w:lang w:val="en-GB"/>
        </w:rPr>
        <w:t>we do not show all possible links between design principles and design patterns in an attempt to r</w:t>
      </w:r>
      <w:r>
        <w:rPr>
          <w:szCs w:val="20"/>
          <w:lang w:val="en-GB"/>
        </w:rPr>
        <w:t>educe complexity of the diagram.</w:t>
      </w:r>
      <w:r w:rsidRPr="00773AEC">
        <w:rPr>
          <w:szCs w:val="20"/>
          <w:lang w:val="en-GB"/>
        </w:rPr>
        <w:t xml:space="preserve"> The patterns </w:t>
      </w:r>
      <w:r>
        <w:rPr>
          <w:szCs w:val="20"/>
          <w:lang w:val="en-GB"/>
        </w:rPr>
        <w:t>that have particula</w:t>
      </w:r>
      <w:r w:rsidR="00832284">
        <w:rPr>
          <w:szCs w:val="20"/>
          <w:lang w:val="en-GB"/>
        </w:rPr>
        <w:t>r</w:t>
      </w:r>
      <w:r>
        <w:rPr>
          <w:szCs w:val="20"/>
          <w:lang w:val="en-GB"/>
        </w:rPr>
        <w:t>ly influenced the features of</w:t>
      </w:r>
      <w:r w:rsidRPr="00773AEC">
        <w:rPr>
          <w:szCs w:val="20"/>
          <w:lang w:val="en-GB"/>
        </w:rPr>
        <w:t xml:space="preserve"> Confer tool</w:t>
      </w:r>
      <w:r>
        <w:rPr>
          <w:szCs w:val="20"/>
          <w:lang w:val="en-GB"/>
        </w:rPr>
        <w:t xml:space="preserve"> are</w:t>
      </w:r>
      <w:r w:rsidR="00490179">
        <w:rPr>
          <w:szCs w:val="20"/>
          <w:lang w:val="en-GB"/>
        </w:rPr>
        <w:t>:</w:t>
      </w:r>
      <w:r>
        <w:rPr>
          <w:szCs w:val="20"/>
          <w:lang w:val="en-GB"/>
        </w:rPr>
        <w:t xml:space="preserve"> </w:t>
      </w:r>
      <w:r w:rsidR="00490179" w:rsidRPr="00490179">
        <w:rPr>
          <w:szCs w:val="20"/>
          <w:lang w:val="en-GB"/>
        </w:rPr>
        <w:t xml:space="preserve">Early easy engagement; Always have an easy way in; Tapas Tour; Cherry </w:t>
      </w:r>
      <w:proofErr w:type="spellStart"/>
      <w:r w:rsidR="00490179" w:rsidRPr="00490179">
        <w:rPr>
          <w:szCs w:val="20"/>
          <w:lang w:val="en-GB"/>
        </w:rPr>
        <w:t>Pickin</w:t>
      </w:r>
      <w:proofErr w:type="spellEnd"/>
      <w:r w:rsidR="00490179" w:rsidRPr="00490179">
        <w:rPr>
          <w:szCs w:val="20"/>
          <w:lang w:val="en-GB"/>
        </w:rPr>
        <w:t>’; Dealing with Egos</w:t>
      </w:r>
      <w:r w:rsidR="00034911">
        <w:rPr>
          <w:szCs w:val="20"/>
          <w:lang w:val="en-GB"/>
        </w:rPr>
        <w:t xml:space="preserve">. Below you can see a summarized example of the </w:t>
      </w:r>
      <w:r w:rsidR="00284045">
        <w:rPr>
          <w:szCs w:val="20"/>
          <w:lang w:val="en-GB"/>
        </w:rPr>
        <w:t xml:space="preserve">design </w:t>
      </w:r>
      <w:r w:rsidR="00034911">
        <w:rPr>
          <w:szCs w:val="20"/>
          <w:lang w:val="en-GB"/>
        </w:rPr>
        <w:t>pattern ‘Dealing with Egos’ see Table 1.</w:t>
      </w:r>
    </w:p>
    <w:p w:rsidR="006F564E" w:rsidRDefault="006F564E" w:rsidP="000A47DD">
      <w:pPr>
        <w:widowControl/>
        <w:ind w:firstLine="720"/>
        <w:jc w:val="both"/>
        <w:rPr>
          <w:szCs w:val="20"/>
          <w:lang w:val="en-GB"/>
        </w:rPr>
      </w:pPr>
    </w:p>
    <w:p w:rsidR="000A47DD" w:rsidRDefault="00773AEC" w:rsidP="000A47DD">
      <w:pPr>
        <w:widowControl/>
        <w:ind w:firstLine="720"/>
        <w:jc w:val="both"/>
        <w:rPr>
          <w:szCs w:val="20"/>
          <w:lang w:val="en-GB"/>
        </w:rPr>
      </w:pPr>
      <w:r w:rsidRPr="00773AEC">
        <w:rPr>
          <w:szCs w:val="20"/>
          <w:lang w:val="en-GB"/>
        </w:rPr>
        <w:t>In this way our approach has identified meaningful combinations of supported activities in that some design patterns indicate the specific features of Confer that a pattern has led to being implemented; furthermore there is also a link back to theory from the patterns (i.e. to the r</w:t>
      </w:r>
      <w:r w:rsidR="00284045">
        <w:rPr>
          <w:szCs w:val="20"/>
          <w:lang w:val="en-GB"/>
        </w:rPr>
        <w:t>elated meta-design principle(s))</w:t>
      </w:r>
      <w:r w:rsidRPr="00773AEC">
        <w:rPr>
          <w:szCs w:val="20"/>
          <w:lang w:val="en-GB"/>
        </w:rPr>
        <w:t>.</w:t>
      </w:r>
      <w:r w:rsidR="000A47DD">
        <w:rPr>
          <w:szCs w:val="20"/>
          <w:lang w:val="en-GB"/>
        </w:rPr>
        <w:t xml:space="preserve"> </w:t>
      </w:r>
      <w:r w:rsidR="00700FBF">
        <w:rPr>
          <w:szCs w:val="20"/>
          <w:lang w:val="en-GB"/>
        </w:rPr>
        <w:t xml:space="preserve">Below we now illustrate how PPD methodology was used to co-design the Confer tool. </w:t>
      </w:r>
    </w:p>
    <w:p w:rsidR="00034911" w:rsidRDefault="00034911" w:rsidP="000A47DD">
      <w:pPr>
        <w:widowControl/>
        <w:ind w:firstLine="720"/>
        <w:jc w:val="both"/>
        <w:rPr>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034911" w:rsidRPr="00831CFF" w:rsidTr="00831CFF">
        <w:trPr>
          <w:trHeight w:val="992"/>
        </w:trPr>
        <w:tc>
          <w:tcPr>
            <w:tcW w:w="9216" w:type="dxa"/>
            <w:shd w:val="clear" w:color="auto" w:fill="auto"/>
          </w:tcPr>
          <w:p w:rsidR="00034911" w:rsidRPr="00831CFF" w:rsidRDefault="00034911" w:rsidP="00831CFF">
            <w:pPr>
              <w:pStyle w:val="Heading2"/>
              <w:spacing w:before="40" w:after="0"/>
              <w:rPr>
                <w:bCs w:val="0"/>
                <w:i w:val="0"/>
                <w:iCs w:val="0"/>
                <w:color w:val="000000"/>
                <w:sz w:val="20"/>
                <w:szCs w:val="20"/>
                <w:lang w:val="en-GB"/>
              </w:rPr>
            </w:pPr>
            <w:r w:rsidRPr="00831CFF">
              <w:rPr>
                <w:bCs w:val="0"/>
                <w:i w:val="0"/>
                <w:iCs w:val="0"/>
                <w:color w:val="000000"/>
                <w:sz w:val="20"/>
                <w:szCs w:val="20"/>
                <w:lang w:val="en-GB"/>
              </w:rPr>
              <w:lastRenderedPageBreak/>
              <w:t>Context description:</w:t>
            </w:r>
          </w:p>
          <w:p w:rsidR="00034911" w:rsidRPr="00831CFF" w:rsidRDefault="00034911" w:rsidP="00831CFF">
            <w:pPr>
              <w:pStyle w:val="NormalWeb"/>
              <w:spacing w:before="0" w:beforeAutospacing="0" w:after="160" w:afterAutospacing="0"/>
              <w:rPr>
                <w:rFonts w:ascii="Cambria" w:hAnsi="Cambria"/>
                <w:color w:val="000000"/>
                <w:szCs w:val="20"/>
              </w:rPr>
            </w:pPr>
            <w:r w:rsidRPr="00831CFF">
              <w:rPr>
                <w:rFonts w:ascii="Cambria" w:hAnsi="Cambria"/>
                <w:color w:val="000000"/>
                <w:sz w:val="20"/>
                <w:szCs w:val="20"/>
              </w:rPr>
              <w:t xml:space="preserve">Online forums. In group of peers there is often an imbalance of power. Sometimes people with higher power/influence close of the discussion by posing an answer, discouraging others from making contributions. </w:t>
            </w:r>
          </w:p>
        </w:tc>
      </w:tr>
      <w:tr w:rsidR="00034911" w:rsidRPr="00831CFF" w:rsidTr="00831CFF">
        <w:tc>
          <w:tcPr>
            <w:tcW w:w="9216" w:type="dxa"/>
            <w:shd w:val="clear" w:color="auto" w:fill="auto"/>
          </w:tcPr>
          <w:p w:rsidR="00034911" w:rsidRPr="00831CFF" w:rsidRDefault="00034911" w:rsidP="00831CFF">
            <w:pPr>
              <w:pStyle w:val="Heading2"/>
              <w:spacing w:before="40" w:after="0"/>
              <w:rPr>
                <w:bCs w:val="0"/>
                <w:i w:val="0"/>
                <w:iCs w:val="0"/>
                <w:color w:val="000000"/>
                <w:sz w:val="20"/>
                <w:szCs w:val="20"/>
                <w:lang w:val="en-GB"/>
              </w:rPr>
            </w:pPr>
            <w:r w:rsidRPr="00831CFF">
              <w:rPr>
                <w:bCs w:val="0"/>
                <w:i w:val="0"/>
                <w:iCs w:val="0"/>
                <w:color w:val="000000"/>
                <w:sz w:val="20"/>
                <w:szCs w:val="20"/>
                <w:lang w:val="en-GB"/>
              </w:rPr>
              <w:t>Problem/challenge description:</w:t>
            </w:r>
          </w:p>
          <w:p w:rsidR="00034911" w:rsidRPr="00831CFF" w:rsidRDefault="00034911" w:rsidP="00831CFF">
            <w:pPr>
              <w:pStyle w:val="NormalWeb"/>
              <w:spacing w:before="0" w:beforeAutospacing="0" w:after="160" w:afterAutospacing="0"/>
              <w:rPr>
                <w:rFonts w:ascii="Cambria" w:hAnsi="Cambria"/>
                <w:color w:val="000000"/>
                <w:szCs w:val="20"/>
              </w:rPr>
            </w:pPr>
            <w:r w:rsidRPr="00831CFF">
              <w:rPr>
                <w:rFonts w:ascii="Cambria" w:hAnsi="Cambria"/>
                <w:color w:val="000000"/>
                <w:sz w:val="20"/>
                <w:szCs w:val="20"/>
              </w:rPr>
              <w:t>To rebalance and allow contribution from everyone, before conclusions are drawn. Support and egalitarian opportunity for discussion.</w:t>
            </w:r>
          </w:p>
        </w:tc>
      </w:tr>
      <w:tr w:rsidR="00034911" w:rsidRPr="00831CFF" w:rsidTr="00831CFF">
        <w:trPr>
          <w:trHeight w:val="1141"/>
        </w:trPr>
        <w:tc>
          <w:tcPr>
            <w:tcW w:w="9216" w:type="dxa"/>
            <w:shd w:val="clear" w:color="auto" w:fill="auto"/>
          </w:tcPr>
          <w:p w:rsidR="00034911" w:rsidRPr="00831CFF" w:rsidRDefault="00034911" w:rsidP="00831CFF">
            <w:pPr>
              <w:pStyle w:val="Heading2"/>
              <w:spacing w:before="40" w:after="0"/>
              <w:rPr>
                <w:bCs w:val="0"/>
                <w:i w:val="0"/>
                <w:iCs w:val="0"/>
                <w:color w:val="000000"/>
                <w:sz w:val="20"/>
                <w:szCs w:val="20"/>
                <w:lang w:val="en-GB"/>
              </w:rPr>
            </w:pPr>
            <w:r w:rsidRPr="00831CFF">
              <w:rPr>
                <w:bCs w:val="0"/>
                <w:i w:val="0"/>
                <w:iCs w:val="0"/>
                <w:color w:val="000000"/>
                <w:sz w:val="20"/>
                <w:szCs w:val="20"/>
                <w:lang w:val="en-GB"/>
              </w:rPr>
              <w:t>Solution (feature[s]):</w:t>
            </w:r>
          </w:p>
          <w:p w:rsidR="00034911" w:rsidRPr="00831CFF" w:rsidRDefault="00034911" w:rsidP="00831CFF">
            <w:pPr>
              <w:pStyle w:val="NormalWeb"/>
              <w:spacing w:before="0" w:beforeAutospacing="0" w:after="160" w:afterAutospacing="0"/>
              <w:rPr>
                <w:rFonts w:ascii="Cambria" w:hAnsi="Cambria"/>
                <w:color w:val="000000"/>
                <w:szCs w:val="20"/>
              </w:rPr>
            </w:pPr>
            <w:r w:rsidRPr="00831CFF">
              <w:rPr>
                <w:rFonts w:ascii="Cambria" w:hAnsi="Cambria"/>
                <w:color w:val="000000"/>
                <w:sz w:val="20"/>
                <w:szCs w:val="20"/>
              </w:rPr>
              <w:t>In the contextual discussion areas (Orange Step) in Confer we ask users to categorize their contributions, but we don’t include the option to provide a definitive ‘answer’ in the drop down menu to discourage closing down conversation and we do include a neutral ‘chat’ option to encourage ‘</w:t>
            </w:r>
            <w:proofErr w:type="spellStart"/>
            <w:r w:rsidRPr="00831CFF">
              <w:rPr>
                <w:rFonts w:ascii="Cambria" w:hAnsi="Cambria"/>
                <w:color w:val="000000"/>
                <w:sz w:val="20"/>
                <w:szCs w:val="20"/>
              </w:rPr>
              <w:t>onboarding</w:t>
            </w:r>
            <w:proofErr w:type="spellEnd"/>
            <w:r w:rsidRPr="00831CFF">
              <w:rPr>
                <w:rFonts w:ascii="Cambria" w:hAnsi="Cambria"/>
                <w:color w:val="000000"/>
                <w:sz w:val="20"/>
                <w:szCs w:val="20"/>
              </w:rPr>
              <w:t>’.</w:t>
            </w:r>
          </w:p>
        </w:tc>
      </w:tr>
    </w:tbl>
    <w:p w:rsidR="00034911" w:rsidRDefault="00034911" w:rsidP="00034911">
      <w:pPr>
        <w:widowControl/>
        <w:jc w:val="both"/>
        <w:rPr>
          <w:szCs w:val="20"/>
          <w:lang w:val="en-GB"/>
        </w:rPr>
      </w:pPr>
      <w:proofErr w:type="gramStart"/>
      <w:r w:rsidRPr="00034911">
        <w:rPr>
          <w:b/>
          <w:szCs w:val="20"/>
          <w:lang w:val="en-GB"/>
        </w:rPr>
        <w:t>Table 1.</w:t>
      </w:r>
      <w:proofErr w:type="gramEnd"/>
      <w:r>
        <w:rPr>
          <w:szCs w:val="20"/>
          <w:lang w:val="en-GB"/>
        </w:rPr>
        <w:t xml:space="preserve"> Summary of the Dealing with Egos </w:t>
      </w:r>
      <w:r w:rsidR="00284045">
        <w:rPr>
          <w:szCs w:val="20"/>
          <w:lang w:val="en-GB"/>
        </w:rPr>
        <w:t xml:space="preserve">design </w:t>
      </w:r>
      <w:r>
        <w:rPr>
          <w:szCs w:val="20"/>
          <w:lang w:val="en-GB"/>
        </w:rPr>
        <w:t>pattern</w:t>
      </w:r>
    </w:p>
    <w:p w:rsidR="000A47DD" w:rsidRPr="00425924" w:rsidRDefault="000A47DD" w:rsidP="000A47DD">
      <w:pPr>
        <w:widowControl/>
        <w:ind w:firstLine="720"/>
        <w:jc w:val="both"/>
        <w:rPr>
          <w:szCs w:val="20"/>
          <w:lang w:val="en-GB"/>
        </w:rPr>
      </w:pPr>
    </w:p>
    <w:p w:rsidR="0078474C" w:rsidRPr="0078474C" w:rsidRDefault="0078474C" w:rsidP="00773AEC">
      <w:pPr>
        <w:widowControl/>
        <w:jc w:val="both"/>
        <w:rPr>
          <w:b/>
          <w:szCs w:val="20"/>
          <w:lang w:val="en-GB"/>
        </w:rPr>
      </w:pPr>
      <w:r w:rsidRPr="0078474C">
        <w:rPr>
          <w:b/>
          <w:szCs w:val="20"/>
          <w:lang w:val="en-GB"/>
        </w:rPr>
        <w:t>Confer</w:t>
      </w:r>
    </w:p>
    <w:p w:rsidR="0078474C" w:rsidRDefault="0078474C" w:rsidP="00773AEC">
      <w:pPr>
        <w:widowControl/>
        <w:jc w:val="both"/>
        <w:rPr>
          <w:szCs w:val="20"/>
          <w:lang w:val="en-GB"/>
        </w:rPr>
      </w:pPr>
    </w:p>
    <w:p w:rsidR="00832284" w:rsidRDefault="0078474C" w:rsidP="00773AEC">
      <w:pPr>
        <w:widowControl/>
        <w:jc w:val="both"/>
        <w:rPr>
          <w:szCs w:val="20"/>
          <w:lang w:val="en-GB"/>
        </w:rPr>
      </w:pPr>
      <w:r w:rsidRPr="0078474C">
        <w:rPr>
          <w:szCs w:val="20"/>
          <w:lang w:val="en-GB"/>
        </w:rPr>
        <w:t xml:space="preserve">Confer </w:t>
      </w:r>
      <w:r w:rsidR="00034911">
        <w:rPr>
          <w:szCs w:val="20"/>
          <w:lang w:val="en-GB"/>
        </w:rPr>
        <w:t xml:space="preserve">(see Figure 2) </w:t>
      </w:r>
      <w:r w:rsidR="0028781F">
        <w:rPr>
          <w:szCs w:val="20"/>
          <w:lang w:val="en-GB"/>
        </w:rPr>
        <w:t xml:space="preserve">is a Groupware tool that </w:t>
      </w:r>
      <w:r w:rsidRPr="0078474C">
        <w:rPr>
          <w:szCs w:val="20"/>
          <w:lang w:val="en-GB"/>
        </w:rPr>
        <w:t xml:space="preserve">has been designed by following the Participatory Patterns Design (PPD) methodology. </w:t>
      </w:r>
      <w:r w:rsidR="00700FBF">
        <w:rPr>
          <w:szCs w:val="20"/>
          <w:lang w:val="en-GB"/>
        </w:rPr>
        <w:t>As we describe above, t</w:t>
      </w:r>
      <w:r w:rsidRPr="0078474C">
        <w:rPr>
          <w:szCs w:val="20"/>
          <w:lang w:val="en-GB"/>
        </w:rPr>
        <w:t xml:space="preserve">he PPD is a framework for engaging multi-disciplinary communities in collaborative reflection on educational innovation in a given domain. </w:t>
      </w:r>
    </w:p>
    <w:p w:rsidR="00034911" w:rsidRDefault="00034911" w:rsidP="00773AEC">
      <w:pPr>
        <w:widowControl/>
        <w:jc w:val="both"/>
        <w:rPr>
          <w:szCs w:val="20"/>
          <w:lang w:val="en-GB"/>
        </w:rPr>
      </w:pPr>
    </w:p>
    <w:p w:rsidR="00034911" w:rsidRPr="00425924" w:rsidRDefault="00C96802" w:rsidP="00034911">
      <w:pPr>
        <w:jc w:val="both"/>
        <w:rPr>
          <w:lang w:val="en-GB"/>
        </w:rPr>
      </w:pPr>
      <w:r>
        <w:rPr>
          <w:noProof/>
          <w:lang w:val="en-GB"/>
        </w:rPr>
        <w:drawing>
          <wp:inline distT="0" distB="0" distL="0" distR="0">
            <wp:extent cx="4319270" cy="2412365"/>
            <wp:effectExtent l="0" t="0" r="5080" b="698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9270" cy="2412365"/>
                    </a:xfrm>
                    <a:prstGeom prst="rect">
                      <a:avLst/>
                    </a:prstGeom>
                    <a:noFill/>
                    <a:ln>
                      <a:noFill/>
                    </a:ln>
                  </pic:spPr>
                </pic:pic>
              </a:graphicData>
            </a:graphic>
          </wp:inline>
        </w:drawing>
      </w:r>
    </w:p>
    <w:p w:rsidR="00034911" w:rsidRPr="00425924" w:rsidRDefault="00034911" w:rsidP="00034911">
      <w:pPr>
        <w:widowControl/>
        <w:jc w:val="both"/>
        <w:rPr>
          <w:szCs w:val="20"/>
          <w:lang w:val="en-GB"/>
        </w:rPr>
      </w:pPr>
    </w:p>
    <w:p w:rsidR="00034911" w:rsidRDefault="00034911" w:rsidP="00034911">
      <w:pPr>
        <w:widowControl/>
        <w:jc w:val="both"/>
        <w:rPr>
          <w:szCs w:val="20"/>
          <w:lang w:val="en-GB"/>
        </w:rPr>
      </w:pPr>
      <w:proofErr w:type="gramStart"/>
      <w:r w:rsidRPr="00E43CD1">
        <w:rPr>
          <w:b/>
          <w:szCs w:val="20"/>
          <w:lang w:val="en-GB"/>
        </w:rPr>
        <w:t>Figure 2.</w:t>
      </w:r>
      <w:proofErr w:type="gramEnd"/>
      <w:r w:rsidRPr="0028781F">
        <w:rPr>
          <w:szCs w:val="20"/>
          <w:lang w:val="en-GB"/>
        </w:rPr>
        <w:t xml:space="preserve"> Confer Main Page – Three steps to consensus</w:t>
      </w:r>
    </w:p>
    <w:p w:rsidR="0028781F" w:rsidRDefault="0028781F" w:rsidP="00773AEC">
      <w:pPr>
        <w:widowControl/>
        <w:jc w:val="both"/>
        <w:rPr>
          <w:szCs w:val="20"/>
          <w:lang w:val="en-GB"/>
        </w:rPr>
      </w:pPr>
    </w:p>
    <w:p w:rsidR="0078474C" w:rsidRPr="0028781F" w:rsidRDefault="00E145C7" w:rsidP="00773AEC">
      <w:pPr>
        <w:widowControl/>
        <w:jc w:val="both"/>
        <w:rPr>
          <w:i/>
          <w:szCs w:val="20"/>
          <w:lang w:val="en-GB"/>
        </w:rPr>
      </w:pPr>
      <w:r>
        <w:rPr>
          <w:i/>
          <w:szCs w:val="20"/>
          <w:lang w:val="en-GB"/>
        </w:rPr>
        <w:t>Learning scenario</w:t>
      </w:r>
    </w:p>
    <w:p w:rsidR="0078474C" w:rsidRPr="0078474C" w:rsidRDefault="00E145C7" w:rsidP="00773AEC">
      <w:pPr>
        <w:widowControl/>
        <w:jc w:val="both"/>
        <w:rPr>
          <w:szCs w:val="20"/>
          <w:lang w:val="en-GB"/>
        </w:rPr>
      </w:pPr>
      <w:r>
        <w:rPr>
          <w:szCs w:val="20"/>
          <w:lang w:val="en-GB"/>
        </w:rPr>
        <w:t xml:space="preserve">In the previous </w:t>
      </w:r>
      <w:r w:rsidR="0078474C" w:rsidRPr="0078474C">
        <w:rPr>
          <w:szCs w:val="20"/>
          <w:lang w:val="en-GB"/>
        </w:rPr>
        <w:t>year’s work (</w:t>
      </w:r>
      <w:r w:rsidR="000A0C2E">
        <w:rPr>
          <w:szCs w:val="20"/>
          <w:lang w:val="en-GB"/>
        </w:rPr>
        <w:t>e.g.</w:t>
      </w:r>
      <w:r w:rsidR="0028781F">
        <w:rPr>
          <w:szCs w:val="20"/>
          <w:lang w:val="en-GB"/>
        </w:rPr>
        <w:t xml:space="preserve"> </w:t>
      </w:r>
      <w:r w:rsidR="0028781F" w:rsidRPr="003C6957">
        <w:rPr>
          <w:szCs w:val="20"/>
          <w:lang w:val="en-GB"/>
        </w:rPr>
        <w:t>Cook and Santos, 2015</w:t>
      </w:r>
      <w:r w:rsidR="0078474C" w:rsidRPr="0078474C">
        <w:rPr>
          <w:szCs w:val="20"/>
          <w:lang w:val="en-GB"/>
        </w:rPr>
        <w:t xml:space="preserve">) we have already identified that the scenario of ‘Putting guidelines into practice’ was suitable as one exemplary scenario in </w:t>
      </w:r>
      <w:r>
        <w:rPr>
          <w:szCs w:val="20"/>
          <w:lang w:val="en-GB"/>
        </w:rPr>
        <w:t>h</w:t>
      </w:r>
      <w:r w:rsidR="0078474C" w:rsidRPr="0078474C">
        <w:rPr>
          <w:szCs w:val="20"/>
          <w:lang w:val="en-GB"/>
        </w:rPr>
        <w:t xml:space="preserve">ealthcare </w:t>
      </w:r>
      <w:r w:rsidRPr="0078474C">
        <w:rPr>
          <w:szCs w:val="20"/>
          <w:lang w:val="en-GB"/>
        </w:rPr>
        <w:t xml:space="preserve">domain </w:t>
      </w:r>
      <w:r w:rsidR="0078474C" w:rsidRPr="0078474C">
        <w:rPr>
          <w:szCs w:val="20"/>
          <w:lang w:val="en-GB"/>
        </w:rPr>
        <w:t>(</w:t>
      </w:r>
      <w:r w:rsidR="000A0C2E">
        <w:rPr>
          <w:szCs w:val="20"/>
          <w:lang w:val="en-GB"/>
        </w:rPr>
        <w:t>specifically</w:t>
      </w:r>
      <w:r w:rsidR="0078474C" w:rsidRPr="0078474C">
        <w:rPr>
          <w:szCs w:val="20"/>
          <w:lang w:val="en-GB"/>
        </w:rPr>
        <w:t xml:space="preserve"> the Primary Care domain of GP Practices)</w:t>
      </w:r>
      <w:r>
        <w:rPr>
          <w:szCs w:val="20"/>
          <w:lang w:val="en-GB"/>
        </w:rPr>
        <w:t xml:space="preserve">. In this scenario, </w:t>
      </w:r>
      <w:r w:rsidR="0078474C" w:rsidRPr="0078474C">
        <w:rPr>
          <w:szCs w:val="20"/>
          <w:lang w:val="en-GB"/>
        </w:rPr>
        <w:t>and many other similar sce</w:t>
      </w:r>
      <w:r w:rsidR="0028781F">
        <w:rPr>
          <w:szCs w:val="20"/>
          <w:lang w:val="en-GB"/>
        </w:rPr>
        <w:t>narios in the healthcare domain</w:t>
      </w:r>
      <w:r w:rsidR="0078474C" w:rsidRPr="0078474C">
        <w:rPr>
          <w:szCs w:val="20"/>
          <w:lang w:val="en-GB"/>
        </w:rPr>
        <w:t xml:space="preserve">, providing support to bridge between face2face and online discussions by workgroups is needed: </w:t>
      </w:r>
      <w:r>
        <w:rPr>
          <w:szCs w:val="20"/>
          <w:lang w:val="en-GB"/>
        </w:rPr>
        <w:t xml:space="preserve">national medical </w:t>
      </w:r>
      <w:r w:rsidR="0078474C" w:rsidRPr="0078474C">
        <w:rPr>
          <w:szCs w:val="20"/>
          <w:lang w:val="en-GB"/>
        </w:rPr>
        <w:t>guidelines have to be understood, interpreted and implemented according to local needs; this is why it is common for workgroups to be set-up (either within a GP Practice or across GP</w:t>
      </w:r>
      <w:r>
        <w:rPr>
          <w:szCs w:val="20"/>
          <w:lang w:val="en-GB"/>
        </w:rPr>
        <w:t xml:space="preserve"> Practices) to review new guide</w:t>
      </w:r>
      <w:r w:rsidR="0078474C" w:rsidRPr="0078474C">
        <w:rPr>
          <w:szCs w:val="20"/>
          <w:lang w:val="en-GB"/>
        </w:rPr>
        <w:t xml:space="preserve">lines and come up with proposals for </w:t>
      </w:r>
      <w:r>
        <w:rPr>
          <w:szCs w:val="20"/>
          <w:lang w:val="en-GB"/>
        </w:rPr>
        <w:t xml:space="preserve">local </w:t>
      </w:r>
      <w:r w:rsidR="0078474C" w:rsidRPr="0078474C">
        <w:rPr>
          <w:szCs w:val="20"/>
          <w:lang w:val="en-GB"/>
        </w:rPr>
        <w:t xml:space="preserve">implementation. This is just one example of the many work-based problems or projects that could prompt the setting up of a workgroup (commonly referred to as task and finish groups in </w:t>
      </w:r>
      <w:r w:rsidR="00284045">
        <w:rPr>
          <w:szCs w:val="20"/>
          <w:lang w:val="en-GB"/>
        </w:rPr>
        <w:t>H</w:t>
      </w:r>
      <w:r w:rsidR="0078474C" w:rsidRPr="0078474C">
        <w:rPr>
          <w:szCs w:val="20"/>
          <w:lang w:val="en-GB"/>
        </w:rPr>
        <w:t>ealthcare)</w:t>
      </w:r>
      <w:r>
        <w:rPr>
          <w:szCs w:val="20"/>
          <w:lang w:val="en-GB"/>
        </w:rPr>
        <w:t xml:space="preserve"> and it is within these contexts that ‘informal learning’ takes place</w:t>
      </w:r>
      <w:r w:rsidR="0078474C" w:rsidRPr="0078474C">
        <w:rPr>
          <w:szCs w:val="20"/>
          <w:lang w:val="en-GB"/>
        </w:rPr>
        <w:t>. Key issues identified were: to ensure that the ex</w:t>
      </w:r>
      <w:r>
        <w:rPr>
          <w:szCs w:val="20"/>
          <w:lang w:val="en-GB"/>
        </w:rPr>
        <w:t>change of knowledge is not lost</w:t>
      </w:r>
      <w:r w:rsidR="00284045">
        <w:rPr>
          <w:szCs w:val="20"/>
          <w:lang w:val="en-GB"/>
        </w:rPr>
        <w:t>,</w:t>
      </w:r>
      <w:r>
        <w:rPr>
          <w:szCs w:val="20"/>
          <w:lang w:val="en-GB"/>
        </w:rPr>
        <w:t xml:space="preserve"> plus</w:t>
      </w:r>
      <w:r w:rsidR="0078474C" w:rsidRPr="0078474C">
        <w:rPr>
          <w:szCs w:val="20"/>
          <w:lang w:val="en-GB"/>
        </w:rPr>
        <w:t xml:space="preserve"> keeping the work focused and flowing. Confer provides an onlin</w:t>
      </w:r>
      <w:r w:rsidR="0028781F">
        <w:rPr>
          <w:szCs w:val="20"/>
          <w:lang w:val="en-GB"/>
        </w:rPr>
        <w:t>e collaboration spaces for work</w:t>
      </w:r>
      <w:r w:rsidR="0078474C" w:rsidRPr="0078474C">
        <w:rPr>
          <w:szCs w:val="20"/>
          <w:lang w:val="en-GB"/>
        </w:rPr>
        <w:t xml:space="preserve">ing groups that can be used both synchronously as well as asynchronously. Confer supports work groups to collaborate on a task or project; helping groups to keep the work focused and flowing, recording the discussions and reasoning along the way </w:t>
      </w:r>
      <w:r w:rsidR="0078474C" w:rsidRPr="0078474C">
        <w:rPr>
          <w:szCs w:val="20"/>
          <w:lang w:val="en-GB"/>
        </w:rPr>
        <w:lastRenderedPageBreak/>
        <w:t xml:space="preserve">and producing a final summary output that can become the first draft of your report or recommendations and therefore provides a way to export to </w:t>
      </w:r>
      <w:r w:rsidR="0028781F">
        <w:rPr>
          <w:szCs w:val="20"/>
          <w:lang w:val="en-GB"/>
        </w:rPr>
        <w:t>other Learning Layers tools</w:t>
      </w:r>
      <w:r w:rsidR="0078474C" w:rsidRPr="0078474C">
        <w:rPr>
          <w:szCs w:val="20"/>
          <w:lang w:val="en-GB"/>
        </w:rPr>
        <w:t>.</w:t>
      </w:r>
    </w:p>
    <w:p w:rsidR="0028781F" w:rsidRDefault="00034911" w:rsidP="00284045">
      <w:pPr>
        <w:widowControl/>
        <w:ind w:firstLine="720"/>
        <w:jc w:val="both"/>
        <w:rPr>
          <w:szCs w:val="20"/>
          <w:lang w:val="en-GB"/>
        </w:rPr>
      </w:pPr>
      <w:r>
        <w:rPr>
          <w:szCs w:val="20"/>
          <w:lang w:val="en-GB"/>
        </w:rPr>
        <w:t>This collaborative process (</w:t>
      </w:r>
      <w:r w:rsidR="0078474C" w:rsidRPr="0078474C">
        <w:rPr>
          <w:szCs w:val="20"/>
          <w:lang w:val="en-GB"/>
        </w:rPr>
        <w:t xml:space="preserve">Figure </w:t>
      </w:r>
      <w:r w:rsidR="0028781F">
        <w:rPr>
          <w:szCs w:val="20"/>
          <w:lang w:val="en-GB"/>
        </w:rPr>
        <w:t>2</w:t>
      </w:r>
      <w:r w:rsidR="0078474C" w:rsidRPr="0078474C">
        <w:rPr>
          <w:szCs w:val="20"/>
          <w:lang w:val="en-GB"/>
        </w:rPr>
        <w:t>) is guided and supported by an adaptation of the Progressive Inquiry (PI) pedagogical model (</w:t>
      </w:r>
      <w:proofErr w:type="spellStart"/>
      <w:r w:rsidR="0078474C" w:rsidRPr="0078474C">
        <w:rPr>
          <w:szCs w:val="20"/>
          <w:lang w:val="en-GB"/>
        </w:rPr>
        <w:t>Muukkonen</w:t>
      </w:r>
      <w:proofErr w:type="spellEnd"/>
      <w:r w:rsidR="0078474C" w:rsidRPr="0078474C">
        <w:rPr>
          <w:szCs w:val="20"/>
          <w:lang w:val="en-GB"/>
        </w:rPr>
        <w:t xml:space="preserve">, </w:t>
      </w:r>
      <w:proofErr w:type="spellStart"/>
      <w:r w:rsidR="0078474C" w:rsidRPr="0078474C">
        <w:rPr>
          <w:szCs w:val="20"/>
          <w:lang w:val="en-GB"/>
        </w:rPr>
        <w:t>Hakkarainen</w:t>
      </w:r>
      <w:proofErr w:type="spellEnd"/>
      <w:r w:rsidR="0078474C" w:rsidRPr="0078474C">
        <w:rPr>
          <w:szCs w:val="20"/>
          <w:lang w:val="en-GB"/>
        </w:rPr>
        <w:t>, et al., 1999).</w:t>
      </w:r>
      <w:r w:rsidR="00284045">
        <w:rPr>
          <w:szCs w:val="20"/>
          <w:lang w:val="en-GB"/>
        </w:rPr>
        <w:t xml:space="preserve"> </w:t>
      </w:r>
      <w:r w:rsidR="0028781F" w:rsidRPr="0028781F">
        <w:rPr>
          <w:szCs w:val="20"/>
          <w:lang w:val="en-GB"/>
        </w:rPr>
        <w:t xml:space="preserve">The original 7 phases of the PI model are visualized as 3 consecutive steps: 1. </w:t>
      </w:r>
      <w:proofErr w:type="gramStart"/>
      <w:r w:rsidR="0028781F" w:rsidRPr="0028781F">
        <w:rPr>
          <w:szCs w:val="20"/>
          <w:lang w:val="en-GB"/>
        </w:rPr>
        <w:t>What</w:t>
      </w:r>
      <w:proofErr w:type="gramEnd"/>
      <w:r w:rsidR="0028781F" w:rsidRPr="0028781F">
        <w:rPr>
          <w:szCs w:val="20"/>
          <w:lang w:val="en-GB"/>
        </w:rPr>
        <w:t xml:space="preserve"> do we need? 2. What do we know? 3. What should </w:t>
      </w:r>
      <w:r w:rsidR="0028781F">
        <w:rPr>
          <w:szCs w:val="20"/>
          <w:lang w:val="en-GB"/>
        </w:rPr>
        <w:t>we do? (See more theoretical de</w:t>
      </w:r>
      <w:r w:rsidR="0028781F" w:rsidRPr="0028781F">
        <w:rPr>
          <w:szCs w:val="20"/>
          <w:lang w:val="en-GB"/>
        </w:rPr>
        <w:t>tails below.)</w:t>
      </w:r>
      <w:r w:rsidR="00B5606B">
        <w:rPr>
          <w:szCs w:val="20"/>
          <w:lang w:val="en-GB"/>
        </w:rPr>
        <w:t xml:space="preserve"> </w:t>
      </w:r>
      <w:r w:rsidR="0028781F" w:rsidRPr="0028781F">
        <w:rPr>
          <w:szCs w:val="20"/>
          <w:lang w:val="en-GB"/>
        </w:rPr>
        <w:t xml:space="preserve">The main aim of the tool is to scaffold and guide the </w:t>
      </w:r>
      <w:r w:rsidR="0028781F">
        <w:rPr>
          <w:szCs w:val="20"/>
          <w:lang w:val="en-GB"/>
        </w:rPr>
        <w:t>process of collaborative discus</w:t>
      </w:r>
      <w:r w:rsidR="0028781F" w:rsidRPr="0028781F">
        <w:rPr>
          <w:szCs w:val="20"/>
          <w:lang w:val="en-GB"/>
        </w:rPr>
        <w:t>sion when professionals work in teams, whilst at the same time supporting and collecting the</w:t>
      </w:r>
      <w:r w:rsidR="00B5606B">
        <w:rPr>
          <w:szCs w:val="20"/>
          <w:lang w:val="en-GB"/>
        </w:rPr>
        <w:t xml:space="preserve"> exchange of informal learning. </w:t>
      </w:r>
      <w:r w:rsidR="0028781F" w:rsidRPr="0028781F">
        <w:rPr>
          <w:szCs w:val="20"/>
          <w:lang w:val="en-GB"/>
        </w:rPr>
        <w:t>A demonstration video of the Confer tool can be fou</w:t>
      </w:r>
      <w:r w:rsidR="0028781F">
        <w:rPr>
          <w:szCs w:val="20"/>
          <w:lang w:val="en-GB"/>
        </w:rPr>
        <w:t>nd in here (no sound just subti</w:t>
      </w:r>
      <w:r w:rsidR="0028781F" w:rsidRPr="0028781F">
        <w:rPr>
          <w:szCs w:val="20"/>
          <w:lang w:val="en-GB"/>
        </w:rPr>
        <w:t xml:space="preserve">tles): </w:t>
      </w:r>
      <w:hyperlink r:id="rId16" w:history="1">
        <w:r w:rsidR="0028781F" w:rsidRPr="007A1455">
          <w:rPr>
            <w:rStyle w:val="Hyperlink"/>
            <w:szCs w:val="20"/>
            <w:lang w:val="en-GB"/>
          </w:rPr>
          <w:t>https://youtu.be/lSRpaUY6d-Q</w:t>
        </w:r>
      </w:hyperlink>
      <w:r w:rsidR="0028781F">
        <w:rPr>
          <w:szCs w:val="20"/>
          <w:lang w:val="en-GB"/>
        </w:rPr>
        <w:t xml:space="preserve"> </w:t>
      </w:r>
    </w:p>
    <w:p w:rsidR="0028781F" w:rsidRDefault="0028781F" w:rsidP="00773AEC">
      <w:pPr>
        <w:widowControl/>
        <w:jc w:val="both"/>
        <w:rPr>
          <w:szCs w:val="20"/>
          <w:lang w:val="en-GB"/>
        </w:rPr>
      </w:pPr>
    </w:p>
    <w:p w:rsidR="0028781F" w:rsidRPr="0028781F" w:rsidRDefault="0028781F" w:rsidP="00773AEC">
      <w:pPr>
        <w:widowControl/>
        <w:jc w:val="both"/>
        <w:rPr>
          <w:i/>
          <w:szCs w:val="20"/>
          <w:lang w:val="en-GB"/>
        </w:rPr>
      </w:pPr>
      <w:r w:rsidRPr="0028781F">
        <w:rPr>
          <w:i/>
          <w:szCs w:val="20"/>
          <w:lang w:val="en-GB"/>
        </w:rPr>
        <w:t>Theory background</w:t>
      </w:r>
    </w:p>
    <w:p w:rsidR="0028781F" w:rsidRDefault="0028781F" w:rsidP="00773AEC">
      <w:pPr>
        <w:widowControl/>
        <w:jc w:val="both"/>
        <w:rPr>
          <w:szCs w:val="20"/>
          <w:lang w:val="en-GB"/>
        </w:rPr>
      </w:pPr>
      <w:r w:rsidRPr="0028781F">
        <w:rPr>
          <w:szCs w:val="20"/>
          <w:lang w:val="en-GB"/>
        </w:rPr>
        <w:t>The social aspect of learning for Confer is a key aspect, for this reason one of the main theories considered for its design has been the ‘Cultural Historical’ theory where social dimension is paramount in the formation of the mind (for a critical review of this and related theory see Cook, 2015: ‘Post-</w:t>
      </w:r>
      <w:proofErr w:type="spellStart"/>
      <w:r w:rsidRPr="0028781F">
        <w:rPr>
          <w:szCs w:val="20"/>
          <w:lang w:val="en-GB"/>
        </w:rPr>
        <w:t>Vygostk</w:t>
      </w:r>
      <w:r>
        <w:rPr>
          <w:szCs w:val="20"/>
          <w:lang w:val="en-GB"/>
        </w:rPr>
        <w:t>ian</w:t>
      </w:r>
      <w:proofErr w:type="spellEnd"/>
      <w:r>
        <w:rPr>
          <w:szCs w:val="20"/>
          <w:lang w:val="en-GB"/>
        </w:rPr>
        <w:t>’ literature review). In par</w:t>
      </w:r>
      <w:r w:rsidRPr="0028781F">
        <w:rPr>
          <w:szCs w:val="20"/>
          <w:lang w:val="en-GB"/>
        </w:rPr>
        <w:t>ticular, one of the main research questions to be explored with Confer was raised up by Daniels (2008): to what extent c</w:t>
      </w:r>
      <w:r w:rsidR="00650C58">
        <w:rPr>
          <w:szCs w:val="20"/>
          <w:lang w:val="en-GB"/>
        </w:rPr>
        <w:t>an cognition be con</w:t>
      </w:r>
      <w:r w:rsidRPr="0028781F">
        <w:rPr>
          <w:szCs w:val="20"/>
          <w:lang w:val="en-GB"/>
        </w:rPr>
        <w:t xml:space="preserve">sidered situated in particular contexts and distributed across individuals acting in those settings? Therefore, through Confer we want to observe if the learning actions of individuals are influenced (or not) by the actions of the group, and by the particular context where the actions take place. Are these </w:t>
      </w:r>
      <w:r w:rsidR="00650C58">
        <w:rPr>
          <w:szCs w:val="20"/>
          <w:lang w:val="en-GB"/>
        </w:rPr>
        <w:t>actions and meaning makings con</w:t>
      </w:r>
      <w:r w:rsidRPr="0028781F">
        <w:rPr>
          <w:szCs w:val="20"/>
          <w:lang w:val="en-GB"/>
        </w:rPr>
        <w:t>tained in activity systems that may overlap? Or are functional aspects of actions and understandings distributed over the work group?</w:t>
      </w:r>
    </w:p>
    <w:p w:rsidR="00650C58" w:rsidRDefault="0028781F" w:rsidP="002168CE">
      <w:pPr>
        <w:widowControl/>
        <w:ind w:firstLine="720"/>
        <w:jc w:val="both"/>
        <w:rPr>
          <w:szCs w:val="20"/>
          <w:lang w:val="en-GB"/>
        </w:rPr>
      </w:pPr>
      <w:r w:rsidRPr="0028781F">
        <w:rPr>
          <w:szCs w:val="20"/>
          <w:lang w:val="en-GB"/>
        </w:rPr>
        <w:t xml:space="preserve">Confer has been designed to support discussion and negotiations in professional workgroups when doing a task in a specific context. In particular, Confer is using an adaptation of the original Progressive Inquiry (PI) model proposed by </w:t>
      </w:r>
      <w:proofErr w:type="spellStart"/>
      <w:r w:rsidRPr="0028781F">
        <w:rPr>
          <w:szCs w:val="20"/>
          <w:lang w:val="en-GB"/>
        </w:rPr>
        <w:t>Hakkarainen</w:t>
      </w:r>
      <w:proofErr w:type="spellEnd"/>
      <w:r w:rsidRPr="0028781F">
        <w:rPr>
          <w:szCs w:val="20"/>
          <w:lang w:val="en-GB"/>
        </w:rPr>
        <w:t xml:space="preserve"> &amp; </w:t>
      </w:r>
      <w:proofErr w:type="spellStart"/>
      <w:r w:rsidRPr="0028781F">
        <w:rPr>
          <w:szCs w:val="20"/>
          <w:lang w:val="en-GB"/>
        </w:rPr>
        <w:t>Muukonen</w:t>
      </w:r>
      <w:proofErr w:type="spellEnd"/>
      <w:r w:rsidRPr="0028781F">
        <w:rPr>
          <w:szCs w:val="20"/>
          <w:lang w:val="en-GB"/>
        </w:rPr>
        <w:t xml:space="preserve"> (1999). The successive elements of progressive inquiry (used to support work groups) is described in De </w:t>
      </w:r>
      <w:proofErr w:type="spellStart"/>
      <w:r w:rsidRPr="0028781F">
        <w:rPr>
          <w:szCs w:val="20"/>
          <w:lang w:val="en-GB"/>
        </w:rPr>
        <w:t>Laat</w:t>
      </w:r>
      <w:proofErr w:type="spellEnd"/>
      <w:r w:rsidRPr="0028781F">
        <w:rPr>
          <w:szCs w:val="20"/>
          <w:lang w:val="en-GB"/>
        </w:rPr>
        <w:t xml:space="preserve"> and Simons (2002). Originally, the PI model was proposed to describe process of discussion arou</w:t>
      </w:r>
      <w:r w:rsidR="00650C58">
        <w:rPr>
          <w:szCs w:val="20"/>
          <w:lang w:val="en-GB"/>
        </w:rPr>
        <w:t>nd a table. We follow the inter</w:t>
      </w:r>
      <w:r w:rsidRPr="0028781F">
        <w:rPr>
          <w:szCs w:val="20"/>
          <w:lang w:val="en-GB"/>
        </w:rPr>
        <w:t xml:space="preserve">pretation of the PI model proposed by De </w:t>
      </w:r>
      <w:proofErr w:type="spellStart"/>
      <w:r w:rsidRPr="0028781F">
        <w:rPr>
          <w:szCs w:val="20"/>
          <w:lang w:val="en-GB"/>
        </w:rPr>
        <w:t>Laat</w:t>
      </w:r>
      <w:proofErr w:type="spellEnd"/>
      <w:r w:rsidRPr="0028781F">
        <w:rPr>
          <w:szCs w:val="20"/>
          <w:lang w:val="en-GB"/>
        </w:rPr>
        <w:t xml:space="preserve"> and Simons (2002, p. 11) but adapting it to the needs of our end-users (professionals in the </w:t>
      </w:r>
      <w:r w:rsidR="002168CE">
        <w:rPr>
          <w:szCs w:val="20"/>
          <w:lang w:val="en-GB"/>
        </w:rPr>
        <w:t>h</w:t>
      </w:r>
      <w:r w:rsidRPr="0028781F">
        <w:rPr>
          <w:szCs w:val="20"/>
          <w:lang w:val="en-GB"/>
        </w:rPr>
        <w:t xml:space="preserve">ealthcare domain). The model is used to scaffold and guide the work group members during their collaboration. In each task (i.e. </w:t>
      </w:r>
      <w:proofErr w:type="gramStart"/>
      <w:r w:rsidRPr="0028781F">
        <w:rPr>
          <w:szCs w:val="20"/>
          <w:lang w:val="en-GB"/>
        </w:rPr>
        <w:t>Creating</w:t>
      </w:r>
      <w:proofErr w:type="gramEnd"/>
      <w:r w:rsidRPr="0028781F">
        <w:rPr>
          <w:szCs w:val="20"/>
          <w:lang w:val="en-GB"/>
        </w:rPr>
        <w:t xml:space="preserve"> the context; Setting up research questions…)</w:t>
      </w:r>
      <w:r w:rsidR="002168CE">
        <w:rPr>
          <w:szCs w:val="20"/>
          <w:lang w:val="en-GB"/>
        </w:rPr>
        <w:t>.</w:t>
      </w:r>
      <w:r w:rsidRPr="0028781F">
        <w:rPr>
          <w:szCs w:val="20"/>
          <w:lang w:val="en-GB"/>
        </w:rPr>
        <w:t xml:space="preserve"> Confer provides features to engage the process of discussion and the egalitarian collection of shared learning data. However, Confer also </w:t>
      </w:r>
      <w:r w:rsidR="002168CE">
        <w:rPr>
          <w:szCs w:val="20"/>
          <w:lang w:val="en-GB"/>
        </w:rPr>
        <w:t xml:space="preserve">attempts </w:t>
      </w:r>
      <w:r w:rsidRPr="0028781F">
        <w:rPr>
          <w:szCs w:val="20"/>
          <w:lang w:val="en-GB"/>
        </w:rPr>
        <w:t>addresses other theoretical concerns a</w:t>
      </w:r>
      <w:r w:rsidR="00650C58">
        <w:rPr>
          <w:szCs w:val="20"/>
          <w:lang w:val="en-GB"/>
        </w:rPr>
        <w:t xml:space="preserve">rticulated as design principles: </w:t>
      </w:r>
      <w:r w:rsidRPr="0028781F">
        <w:rPr>
          <w:szCs w:val="20"/>
          <w:lang w:val="en-GB"/>
        </w:rPr>
        <w:t>Respect Learners' Zone of Possibility and Aim for a "50-50 partnership"</w:t>
      </w:r>
    </w:p>
    <w:p w:rsidR="0028781F" w:rsidRDefault="002168CE" w:rsidP="002168CE">
      <w:pPr>
        <w:widowControl/>
        <w:ind w:firstLine="720"/>
        <w:jc w:val="both"/>
        <w:rPr>
          <w:szCs w:val="20"/>
          <w:lang w:val="en-GB"/>
        </w:rPr>
      </w:pPr>
      <w:r>
        <w:rPr>
          <w:szCs w:val="20"/>
          <w:lang w:val="en-GB"/>
        </w:rPr>
        <w:t>B</w:t>
      </w:r>
      <w:r w:rsidR="0028781F" w:rsidRPr="0028781F">
        <w:rPr>
          <w:szCs w:val="20"/>
          <w:lang w:val="en-GB"/>
        </w:rPr>
        <w:t xml:space="preserve">y following the concept of the HSLN our longer-term plans in Y4 </w:t>
      </w:r>
      <w:r>
        <w:rPr>
          <w:szCs w:val="20"/>
          <w:lang w:val="en-GB"/>
        </w:rPr>
        <w:t xml:space="preserve">(2016) of the project </w:t>
      </w:r>
      <w:r w:rsidR="0028781F" w:rsidRPr="0028781F">
        <w:rPr>
          <w:szCs w:val="20"/>
          <w:lang w:val="en-GB"/>
        </w:rPr>
        <w:t>are t</w:t>
      </w:r>
      <w:r>
        <w:rPr>
          <w:szCs w:val="20"/>
          <w:lang w:val="en-GB"/>
        </w:rPr>
        <w:t xml:space="preserve">o integrate Confer </w:t>
      </w:r>
      <w:r w:rsidR="00745944">
        <w:rPr>
          <w:szCs w:val="20"/>
          <w:lang w:val="en-GB"/>
        </w:rPr>
        <w:t>with the Social Semantic Server</w:t>
      </w:r>
      <w:r w:rsidR="0028781F" w:rsidRPr="0028781F">
        <w:rPr>
          <w:szCs w:val="20"/>
          <w:lang w:val="en-GB"/>
        </w:rPr>
        <w:t>. Potentially this combination will allow us: on the one hand to implement our idea of the ‘Zone of possibility’; by for instance using the information about users in Confer to recommend the formation of workgroups according to their skills, interest or experience. On the other hand, we will augment the hybridity between the guidance from other persons (work team members, Confer network) and the guidance from digital tools (through recommendation algorithms provided by the SSS such as for instance recommendations of similar questions and answers</w:t>
      </w:r>
      <w:r w:rsidR="00784452">
        <w:rPr>
          <w:szCs w:val="20"/>
          <w:lang w:val="en-GB"/>
        </w:rPr>
        <w:t xml:space="preserve"> to those currently under consideration by a work-group</w:t>
      </w:r>
      <w:r w:rsidR="0028781F" w:rsidRPr="0028781F">
        <w:rPr>
          <w:szCs w:val="20"/>
          <w:lang w:val="en-GB"/>
        </w:rPr>
        <w:t xml:space="preserve">) in a “50-50 partnership”. For instance, we could combine in the Confer </w:t>
      </w:r>
      <w:proofErr w:type="spellStart"/>
      <w:r w:rsidR="0028781F" w:rsidRPr="0028781F">
        <w:rPr>
          <w:szCs w:val="20"/>
          <w:lang w:val="en-GB"/>
        </w:rPr>
        <w:t>Dropzone</w:t>
      </w:r>
      <w:proofErr w:type="spellEnd"/>
      <w:r w:rsidR="0028781F" w:rsidRPr="0028781F">
        <w:rPr>
          <w:szCs w:val="20"/>
          <w:lang w:val="en-GB"/>
        </w:rPr>
        <w:t xml:space="preserve"> area items proposed by the workgroup members with learning resources recommended by the SSS.</w:t>
      </w:r>
    </w:p>
    <w:p w:rsidR="0028781F" w:rsidRDefault="0028781F" w:rsidP="00745944">
      <w:pPr>
        <w:widowControl/>
        <w:ind w:firstLine="720"/>
        <w:jc w:val="both"/>
        <w:rPr>
          <w:szCs w:val="20"/>
          <w:lang w:val="en-GB"/>
        </w:rPr>
      </w:pPr>
      <w:r w:rsidRPr="0028781F">
        <w:rPr>
          <w:szCs w:val="20"/>
          <w:lang w:val="en-GB"/>
        </w:rPr>
        <w:t xml:space="preserve">In conclusion, Confer is based on multiple theories (post-Vygotskian notions of hybridity, progressive inquiry, knowledge building, </w:t>
      </w:r>
      <w:proofErr w:type="gramStart"/>
      <w:r w:rsidR="00745944">
        <w:rPr>
          <w:szCs w:val="20"/>
          <w:lang w:val="en-GB"/>
        </w:rPr>
        <w:t>the</w:t>
      </w:r>
      <w:proofErr w:type="gramEnd"/>
      <w:r w:rsidR="00745944">
        <w:rPr>
          <w:szCs w:val="20"/>
          <w:lang w:val="en-GB"/>
        </w:rPr>
        <w:t xml:space="preserve"> idea of </w:t>
      </w:r>
      <w:r w:rsidRPr="0028781F">
        <w:rPr>
          <w:szCs w:val="20"/>
          <w:lang w:val="en-GB"/>
        </w:rPr>
        <w:t>“social machines”) which provide a fit to explain the phenomena we observed and thus enables us to construct an effective solution.</w:t>
      </w:r>
    </w:p>
    <w:p w:rsidR="00650C58" w:rsidRDefault="00650C58" w:rsidP="00773AEC">
      <w:pPr>
        <w:widowControl/>
        <w:jc w:val="both"/>
        <w:rPr>
          <w:szCs w:val="20"/>
          <w:lang w:val="en-GB"/>
        </w:rPr>
      </w:pPr>
    </w:p>
    <w:p w:rsidR="00650C58" w:rsidRPr="00745944" w:rsidRDefault="00650C58" w:rsidP="00773AEC">
      <w:pPr>
        <w:widowControl/>
        <w:jc w:val="both"/>
        <w:rPr>
          <w:i/>
          <w:szCs w:val="20"/>
          <w:lang w:val="en-GB"/>
        </w:rPr>
      </w:pPr>
      <w:r w:rsidRPr="00745944">
        <w:rPr>
          <w:i/>
          <w:szCs w:val="20"/>
          <w:lang w:val="en-GB"/>
        </w:rPr>
        <w:t>Field testing and design process procedure &amp; results</w:t>
      </w:r>
    </w:p>
    <w:p w:rsidR="00650C58" w:rsidRPr="00650C58" w:rsidRDefault="00650C58" w:rsidP="00773AEC">
      <w:pPr>
        <w:widowControl/>
        <w:jc w:val="both"/>
        <w:rPr>
          <w:szCs w:val="20"/>
          <w:lang w:val="en-GB"/>
        </w:rPr>
      </w:pPr>
      <w:r w:rsidRPr="00650C58">
        <w:rPr>
          <w:szCs w:val="20"/>
          <w:lang w:val="en-GB"/>
        </w:rPr>
        <w:t>In January and February 2015, the Confer team conducted two workshops (Bristol Participatory Patterns</w:t>
      </w:r>
      <w:r w:rsidR="00784452">
        <w:rPr>
          <w:szCs w:val="20"/>
          <w:lang w:val="en-GB"/>
        </w:rPr>
        <w:t xml:space="preserve"> Design (PPD)</w:t>
      </w:r>
      <w:r w:rsidRPr="00650C58">
        <w:rPr>
          <w:szCs w:val="20"/>
          <w:lang w:val="en-GB"/>
        </w:rPr>
        <w:t xml:space="preserve"> workshops) to develop the conceptual basis of the Confer tool. The main objectives were:</w:t>
      </w:r>
    </w:p>
    <w:p w:rsidR="00650C58" w:rsidRPr="00650C58" w:rsidRDefault="00650C58" w:rsidP="00773AEC">
      <w:pPr>
        <w:widowControl/>
        <w:jc w:val="both"/>
        <w:rPr>
          <w:szCs w:val="20"/>
          <w:lang w:val="en-GB"/>
        </w:rPr>
      </w:pPr>
    </w:p>
    <w:p w:rsidR="00650C58" w:rsidRPr="00650C58" w:rsidRDefault="00650C58" w:rsidP="00773AEC">
      <w:pPr>
        <w:widowControl/>
        <w:numPr>
          <w:ilvl w:val="0"/>
          <w:numId w:val="10"/>
        </w:numPr>
        <w:jc w:val="both"/>
        <w:rPr>
          <w:szCs w:val="20"/>
          <w:lang w:val="en-GB"/>
        </w:rPr>
      </w:pPr>
      <w:r w:rsidRPr="00650C58">
        <w:rPr>
          <w:szCs w:val="20"/>
          <w:lang w:val="en-GB"/>
        </w:rPr>
        <w:t>Establish a clear pathway between kernel theories/empirical ev</w:t>
      </w:r>
      <w:r>
        <w:rPr>
          <w:szCs w:val="20"/>
          <w:lang w:val="en-GB"/>
        </w:rPr>
        <w:t>i</w:t>
      </w:r>
      <w:r w:rsidRPr="00650C58">
        <w:rPr>
          <w:szCs w:val="20"/>
          <w:lang w:val="en-GB"/>
        </w:rPr>
        <w:t>dence/experience and develop design patterns (Bristol January Meeting)</w:t>
      </w:r>
    </w:p>
    <w:p w:rsidR="00650C58" w:rsidRPr="00650C58" w:rsidRDefault="00650C58" w:rsidP="00773AEC">
      <w:pPr>
        <w:widowControl/>
        <w:numPr>
          <w:ilvl w:val="0"/>
          <w:numId w:val="10"/>
        </w:numPr>
        <w:jc w:val="both"/>
        <w:rPr>
          <w:szCs w:val="20"/>
          <w:lang w:val="en-GB"/>
        </w:rPr>
      </w:pPr>
      <w:r w:rsidRPr="00650C58">
        <w:rPr>
          <w:szCs w:val="20"/>
          <w:lang w:val="en-GB"/>
        </w:rPr>
        <w:t xml:space="preserve">Extract Agile User Stories and apply them </w:t>
      </w:r>
      <w:r w:rsidR="00745944">
        <w:rPr>
          <w:szCs w:val="20"/>
          <w:lang w:val="en-GB"/>
        </w:rPr>
        <w:t>to novel informal learning chal</w:t>
      </w:r>
      <w:r w:rsidRPr="00650C58">
        <w:rPr>
          <w:szCs w:val="20"/>
          <w:lang w:val="en-GB"/>
        </w:rPr>
        <w:t>lenges represented as future oriented design s</w:t>
      </w:r>
      <w:r>
        <w:rPr>
          <w:szCs w:val="20"/>
          <w:lang w:val="en-GB"/>
        </w:rPr>
        <w:t>cenarios (Bristol February Meet</w:t>
      </w:r>
      <w:r w:rsidRPr="00650C58">
        <w:rPr>
          <w:szCs w:val="20"/>
          <w:lang w:val="en-GB"/>
        </w:rPr>
        <w:t>ing).</w:t>
      </w:r>
    </w:p>
    <w:p w:rsidR="00650C58" w:rsidRPr="00650C58" w:rsidRDefault="00650C58" w:rsidP="00773AEC">
      <w:pPr>
        <w:widowControl/>
        <w:jc w:val="both"/>
        <w:rPr>
          <w:szCs w:val="20"/>
          <w:lang w:val="en-GB"/>
        </w:rPr>
      </w:pPr>
    </w:p>
    <w:p w:rsidR="00650C58" w:rsidRPr="00650C58" w:rsidRDefault="00650C58" w:rsidP="00745944">
      <w:pPr>
        <w:widowControl/>
        <w:ind w:firstLine="360"/>
        <w:jc w:val="both"/>
        <w:rPr>
          <w:szCs w:val="20"/>
          <w:lang w:val="en-GB"/>
        </w:rPr>
      </w:pPr>
      <w:r w:rsidRPr="00650C58">
        <w:rPr>
          <w:szCs w:val="20"/>
          <w:lang w:val="en-GB"/>
        </w:rPr>
        <w:t xml:space="preserve">Based on the design scenarios we developed a set </w:t>
      </w:r>
      <w:r w:rsidR="00745944">
        <w:rPr>
          <w:szCs w:val="20"/>
          <w:lang w:val="en-GB"/>
        </w:rPr>
        <w:t>of 3 storyboards</w:t>
      </w:r>
      <w:r>
        <w:rPr>
          <w:szCs w:val="20"/>
          <w:lang w:val="en-GB"/>
        </w:rPr>
        <w:t>, which we pre</w:t>
      </w:r>
      <w:r w:rsidRPr="00650C58">
        <w:rPr>
          <w:szCs w:val="20"/>
          <w:lang w:val="en-GB"/>
        </w:rPr>
        <w:t xml:space="preserve">sented to representatives of the target Healthcare group, to obtain early feedback (March 2015). During this co-design session, our aim was to present and discuss the storyboards with </w:t>
      </w:r>
      <w:r w:rsidR="00745944">
        <w:rPr>
          <w:szCs w:val="20"/>
          <w:lang w:val="en-GB"/>
        </w:rPr>
        <w:t>h</w:t>
      </w:r>
      <w:r w:rsidRPr="00650C58">
        <w:rPr>
          <w:szCs w:val="20"/>
          <w:lang w:val="en-GB"/>
        </w:rPr>
        <w:t>ealthcare staff in order to understan</w:t>
      </w:r>
      <w:r>
        <w:rPr>
          <w:szCs w:val="20"/>
          <w:lang w:val="en-GB"/>
        </w:rPr>
        <w:t xml:space="preserve">d if the stories illustrate </w:t>
      </w:r>
      <w:r>
        <w:rPr>
          <w:szCs w:val="20"/>
          <w:lang w:val="en-GB"/>
        </w:rPr>
        <w:lastRenderedPageBreak/>
        <w:t>suc</w:t>
      </w:r>
      <w:r w:rsidRPr="00650C58">
        <w:rPr>
          <w:szCs w:val="20"/>
          <w:lang w:val="en-GB"/>
        </w:rPr>
        <w:t xml:space="preserve">cessfully (or not) their context, needs and potential solution.  We had 4 </w:t>
      </w:r>
      <w:r w:rsidR="00745944">
        <w:rPr>
          <w:szCs w:val="20"/>
          <w:lang w:val="en-GB"/>
        </w:rPr>
        <w:t>h</w:t>
      </w:r>
      <w:r w:rsidRPr="00650C58">
        <w:rPr>
          <w:szCs w:val="20"/>
          <w:lang w:val="en-GB"/>
        </w:rPr>
        <w:t xml:space="preserve">ealthcare representatives: a Practice Manager representing the Practice Managers' Network; a Data Quality Lead with links to the Practice Managers' Network; a Nurse who is the Lead of a </w:t>
      </w:r>
      <w:r w:rsidR="00745944">
        <w:rPr>
          <w:rStyle w:val="tgc"/>
        </w:rPr>
        <w:t>Clinical Commissioning Group</w:t>
      </w:r>
      <w:r w:rsidR="00745944" w:rsidRPr="00650C58">
        <w:rPr>
          <w:szCs w:val="20"/>
          <w:lang w:val="en-GB"/>
        </w:rPr>
        <w:t xml:space="preserve"> </w:t>
      </w:r>
      <w:r w:rsidR="00745944">
        <w:rPr>
          <w:szCs w:val="20"/>
          <w:lang w:val="en-GB"/>
        </w:rPr>
        <w:t>(</w:t>
      </w:r>
      <w:r w:rsidRPr="00650C58">
        <w:rPr>
          <w:szCs w:val="20"/>
          <w:lang w:val="en-GB"/>
        </w:rPr>
        <w:t>CCG</w:t>
      </w:r>
      <w:r w:rsidR="00745944">
        <w:rPr>
          <w:szCs w:val="20"/>
          <w:lang w:val="en-GB"/>
        </w:rPr>
        <w:t>)</w:t>
      </w:r>
      <w:r w:rsidRPr="00650C58">
        <w:rPr>
          <w:szCs w:val="20"/>
          <w:lang w:val="en-GB"/>
        </w:rPr>
        <w:t xml:space="preserve"> Nurse Training Network and a GP representing a GPs Network.</w:t>
      </w:r>
      <w:r w:rsidR="00745944">
        <w:rPr>
          <w:szCs w:val="20"/>
          <w:lang w:val="en-GB"/>
        </w:rPr>
        <w:t xml:space="preserve"> </w:t>
      </w:r>
      <w:r w:rsidRPr="00650C58">
        <w:rPr>
          <w:szCs w:val="20"/>
          <w:lang w:val="en-GB"/>
        </w:rPr>
        <w:t>The participants discussed with two members of the Confer team the storyboards, and they selected 2 of the 3 storyboards as the most important ones to cover their needs. The 2 key storyboards are accessible from here:</w:t>
      </w:r>
    </w:p>
    <w:p w:rsidR="00650C58" w:rsidRPr="00650C58" w:rsidRDefault="00650C58" w:rsidP="00773AEC">
      <w:pPr>
        <w:widowControl/>
        <w:jc w:val="both"/>
        <w:rPr>
          <w:szCs w:val="20"/>
          <w:lang w:val="en-GB"/>
        </w:rPr>
      </w:pPr>
    </w:p>
    <w:p w:rsidR="00650C58" w:rsidRPr="00650C58" w:rsidRDefault="00650C58" w:rsidP="00773AEC">
      <w:pPr>
        <w:widowControl/>
        <w:numPr>
          <w:ilvl w:val="0"/>
          <w:numId w:val="11"/>
        </w:numPr>
        <w:jc w:val="both"/>
        <w:rPr>
          <w:szCs w:val="20"/>
          <w:lang w:val="en-GB"/>
        </w:rPr>
      </w:pPr>
      <w:r w:rsidRPr="00650C58">
        <w:rPr>
          <w:szCs w:val="20"/>
          <w:lang w:val="en-GB"/>
        </w:rPr>
        <w:t>Storyboard Working Group Tools: work</w:t>
      </w:r>
      <w:r>
        <w:rPr>
          <w:szCs w:val="20"/>
          <w:lang w:val="en-GB"/>
        </w:rPr>
        <w:t>ing groups collaborate asynchro</w:t>
      </w:r>
      <w:r w:rsidRPr="00650C58">
        <w:rPr>
          <w:szCs w:val="20"/>
          <w:lang w:val="en-GB"/>
        </w:rPr>
        <w:t xml:space="preserve">nously online. </w:t>
      </w:r>
      <w:hyperlink r:id="rId17" w:history="1">
        <w:r w:rsidR="00745944" w:rsidRPr="00403280">
          <w:rPr>
            <w:rStyle w:val="Hyperlink"/>
            <w:szCs w:val="20"/>
            <w:lang w:val="en-GB"/>
          </w:rPr>
          <w:t>https://goo.gl/Xwu0lE</w:t>
        </w:r>
      </w:hyperlink>
      <w:r w:rsidR="00745944">
        <w:rPr>
          <w:szCs w:val="20"/>
          <w:lang w:val="en-GB"/>
        </w:rPr>
        <w:t xml:space="preserve"> </w:t>
      </w:r>
      <w:r w:rsidRPr="00650C58">
        <w:rPr>
          <w:szCs w:val="20"/>
          <w:lang w:val="en-GB"/>
        </w:rPr>
        <w:t xml:space="preserve">  </w:t>
      </w:r>
    </w:p>
    <w:p w:rsidR="00650C58" w:rsidRDefault="00650C58" w:rsidP="00773AEC">
      <w:pPr>
        <w:widowControl/>
        <w:numPr>
          <w:ilvl w:val="0"/>
          <w:numId w:val="11"/>
        </w:numPr>
        <w:jc w:val="both"/>
        <w:rPr>
          <w:szCs w:val="20"/>
          <w:lang w:val="en-GB"/>
        </w:rPr>
      </w:pPr>
      <w:r w:rsidRPr="00650C58">
        <w:rPr>
          <w:szCs w:val="20"/>
          <w:lang w:val="en-GB"/>
        </w:rPr>
        <w:t xml:space="preserve">Storyboard Discussion Working Group: </w:t>
      </w:r>
      <w:proofErr w:type="spellStart"/>
      <w:r w:rsidRPr="00650C58">
        <w:rPr>
          <w:szCs w:val="20"/>
          <w:lang w:val="en-GB"/>
        </w:rPr>
        <w:t>CoP</w:t>
      </w:r>
      <w:proofErr w:type="spellEnd"/>
      <w:r w:rsidRPr="00650C58">
        <w:rPr>
          <w:szCs w:val="20"/>
          <w:lang w:val="en-GB"/>
        </w:rPr>
        <w:t xml:space="preserve"> - dealing with issues. Link: </w:t>
      </w:r>
      <w:hyperlink r:id="rId18" w:history="1">
        <w:r w:rsidR="00745944" w:rsidRPr="00403280">
          <w:rPr>
            <w:rStyle w:val="Hyperlink"/>
            <w:szCs w:val="20"/>
            <w:lang w:val="en-GB"/>
          </w:rPr>
          <w:t>https://goo.gl/BseZKB</w:t>
        </w:r>
      </w:hyperlink>
      <w:r w:rsidR="00745944">
        <w:rPr>
          <w:szCs w:val="20"/>
          <w:lang w:val="en-GB"/>
        </w:rPr>
        <w:t xml:space="preserve"> </w:t>
      </w:r>
      <w:r w:rsidRPr="00650C58">
        <w:rPr>
          <w:szCs w:val="20"/>
          <w:lang w:val="en-GB"/>
        </w:rPr>
        <w:t xml:space="preserve">  </w:t>
      </w:r>
    </w:p>
    <w:p w:rsidR="00650C58" w:rsidRDefault="00650C58" w:rsidP="00773AEC">
      <w:pPr>
        <w:widowControl/>
        <w:jc w:val="both"/>
        <w:rPr>
          <w:szCs w:val="20"/>
          <w:lang w:val="en-GB"/>
        </w:rPr>
      </w:pPr>
    </w:p>
    <w:p w:rsidR="006313BC" w:rsidRDefault="006313BC" w:rsidP="002F046F">
      <w:pPr>
        <w:widowControl/>
        <w:ind w:firstLine="360"/>
        <w:jc w:val="both"/>
        <w:rPr>
          <w:szCs w:val="20"/>
          <w:lang w:val="en-GB"/>
        </w:rPr>
      </w:pPr>
      <w:r w:rsidRPr="006313BC">
        <w:rPr>
          <w:szCs w:val="20"/>
          <w:lang w:val="en-GB"/>
        </w:rPr>
        <w:t xml:space="preserve">We also conducted a series of role-play walkthroughs to test early prototypes. Through this process, an initial version of the Confer tool was developed. The first prototype version of the Confer tool was used in a stakeholder engagement session in April 2015 (Figure 3). </w:t>
      </w:r>
    </w:p>
    <w:p w:rsidR="006313BC" w:rsidRDefault="006313BC" w:rsidP="00773AEC">
      <w:pPr>
        <w:widowControl/>
        <w:jc w:val="both"/>
        <w:rPr>
          <w:szCs w:val="20"/>
          <w:lang w:val="en-GB"/>
        </w:rPr>
      </w:pPr>
    </w:p>
    <w:p w:rsidR="006313BC" w:rsidRDefault="00C96802" w:rsidP="00773AEC">
      <w:pPr>
        <w:widowControl/>
        <w:jc w:val="both"/>
        <w:rPr>
          <w:szCs w:val="20"/>
          <w:lang w:val="en-GB"/>
        </w:rPr>
      </w:pPr>
      <w:r>
        <w:rPr>
          <w:noProof/>
          <w:lang w:val="en-GB"/>
        </w:rPr>
        <w:drawing>
          <wp:inline distT="0" distB="0" distL="0" distR="0">
            <wp:extent cx="4886325" cy="1671955"/>
            <wp:effectExtent l="0" t="0" r="9525" b="4445"/>
            <wp:docPr id="3" name="Picture 18" descr="C:\Users\p-santosrodrig\Desktop\Layers - a leer\Confer-st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santosrodrig\Desktop\Layers - a leer\Confer-stages.jpg"/>
                    <pic:cNvPicPr>
                      <a:picLocks noChangeAspect="1" noChangeArrowheads="1"/>
                    </pic:cNvPicPr>
                  </pic:nvPicPr>
                  <pic:blipFill>
                    <a:blip r:embed="rId19" cstate="print">
                      <a:extLst>
                        <a:ext uri="{28A0092B-C50C-407E-A947-70E740481C1C}">
                          <a14:useLocalDpi xmlns:a14="http://schemas.microsoft.com/office/drawing/2010/main" val="0"/>
                        </a:ext>
                      </a:extLst>
                    </a:blip>
                    <a:srcRect t="-1942" b="28804"/>
                    <a:stretch>
                      <a:fillRect/>
                    </a:stretch>
                  </pic:blipFill>
                  <pic:spPr bwMode="auto">
                    <a:xfrm>
                      <a:off x="0" y="0"/>
                      <a:ext cx="4886325" cy="1671955"/>
                    </a:xfrm>
                    <a:prstGeom prst="rect">
                      <a:avLst/>
                    </a:prstGeom>
                    <a:noFill/>
                    <a:ln>
                      <a:noFill/>
                    </a:ln>
                  </pic:spPr>
                </pic:pic>
              </a:graphicData>
            </a:graphic>
          </wp:inline>
        </w:drawing>
      </w:r>
    </w:p>
    <w:p w:rsidR="006313BC" w:rsidRDefault="006313BC" w:rsidP="00773AEC">
      <w:pPr>
        <w:widowControl/>
        <w:jc w:val="both"/>
        <w:rPr>
          <w:szCs w:val="20"/>
          <w:lang w:val="en-GB"/>
        </w:rPr>
      </w:pPr>
      <w:proofErr w:type="gramStart"/>
      <w:r w:rsidRPr="00E43CD1">
        <w:rPr>
          <w:b/>
          <w:szCs w:val="20"/>
          <w:lang w:val="en-GB"/>
        </w:rPr>
        <w:t>Figure 3.</w:t>
      </w:r>
      <w:proofErr w:type="gramEnd"/>
      <w:r w:rsidRPr="006313BC">
        <w:rPr>
          <w:szCs w:val="20"/>
          <w:lang w:val="en-GB"/>
        </w:rPr>
        <w:t xml:space="preserve"> Confer 1st prototype – Phases Menu</w:t>
      </w:r>
    </w:p>
    <w:p w:rsidR="006313BC" w:rsidRDefault="006313BC" w:rsidP="00773AEC">
      <w:pPr>
        <w:widowControl/>
        <w:jc w:val="both"/>
        <w:rPr>
          <w:szCs w:val="20"/>
          <w:lang w:val="en-GB"/>
        </w:rPr>
      </w:pPr>
    </w:p>
    <w:p w:rsidR="006313BC" w:rsidRDefault="006313BC" w:rsidP="002F046F">
      <w:pPr>
        <w:widowControl/>
        <w:ind w:firstLine="360"/>
        <w:jc w:val="both"/>
        <w:rPr>
          <w:szCs w:val="20"/>
          <w:lang w:val="en-GB"/>
        </w:rPr>
      </w:pPr>
      <w:r w:rsidRPr="006313BC">
        <w:rPr>
          <w:szCs w:val="20"/>
          <w:lang w:val="en-GB"/>
        </w:rPr>
        <w:t xml:space="preserve">In this session we worked with 3 of the representatives from the </w:t>
      </w:r>
      <w:r w:rsidR="002F046F">
        <w:rPr>
          <w:szCs w:val="20"/>
          <w:lang w:val="en-GB"/>
        </w:rPr>
        <w:t>h</w:t>
      </w:r>
      <w:r w:rsidRPr="006313BC">
        <w:rPr>
          <w:szCs w:val="20"/>
          <w:lang w:val="en-GB"/>
        </w:rPr>
        <w:t>ealthcare profession who had been involved in the March workshop: Practice Manager, the Data Quality Lead the GP. The main aim of this session was to check that the first prototype matched expectations and would fit into the working practice. As a summary, the main issues uncovered in this sessi</w:t>
      </w:r>
      <w:r>
        <w:rPr>
          <w:szCs w:val="20"/>
          <w:lang w:val="en-GB"/>
        </w:rPr>
        <w:t>on, and to be fed in next itera</w:t>
      </w:r>
      <w:r w:rsidRPr="006313BC">
        <w:rPr>
          <w:szCs w:val="20"/>
          <w:lang w:val="en-GB"/>
        </w:rPr>
        <w:t xml:space="preserve">tions, were: </w:t>
      </w:r>
    </w:p>
    <w:p w:rsidR="002F046F" w:rsidRPr="006313BC" w:rsidRDefault="002F046F" w:rsidP="002F046F">
      <w:pPr>
        <w:widowControl/>
        <w:ind w:firstLine="360"/>
        <w:jc w:val="both"/>
        <w:rPr>
          <w:szCs w:val="20"/>
          <w:lang w:val="en-GB"/>
        </w:rPr>
      </w:pPr>
    </w:p>
    <w:p w:rsidR="006313BC" w:rsidRPr="006313BC" w:rsidRDefault="006313BC" w:rsidP="00096210">
      <w:pPr>
        <w:widowControl/>
        <w:numPr>
          <w:ilvl w:val="0"/>
          <w:numId w:val="19"/>
        </w:numPr>
        <w:jc w:val="both"/>
        <w:rPr>
          <w:szCs w:val="20"/>
          <w:lang w:val="en-GB"/>
        </w:rPr>
      </w:pPr>
      <w:r w:rsidRPr="006313BC">
        <w:rPr>
          <w:szCs w:val="20"/>
          <w:lang w:val="en-GB"/>
        </w:rPr>
        <w:t>Simplification. Whether all the 7 phases of the PI model are needed. Can steps be skipped or merged?</w:t>
      </w:r>
    </w:p>
    <w:p w:rsidR="006313BC" w:rsidRPr="006313BC" w:rsidRDefault="006313BC" w:rsidP="00096210">
      <w:pPr>
        <w:widowControl/>
        <w:numPr>
          <w:ilvl w:val="0"/>
          <w:numId w:val="19"/>
        </w:numPr>
        <w:jc w:val="both"/>
        <w:rPr>
          <w:szCs w:val="20"/>
          <w:lang w:val="en-GB"/>
        </w:rPr>
      </w:pPr>
      <w:r w:rsidRPr="006313BC">
        <w:rPr>
          <w:szCs w:val="20"/>
          <w:lang w:val="en-GB"/>
        </w:rPr>
        <w:t>Use. Which groups would benefit most from using the tool and for which tasks?</w:t>
      </w:r>
    </w:p>
    <w:p w:rsidR="006313BC" w:rsidRPr="006313BC" w:rsidRDefault="006313BC" w:rsidP="00096210">
      <w:pPr>
        <w:widowControl/>
        <w:numPr>
          <w:ilvl w:val="0"/>
          <w:numId w:val="19"/>
        </w:numPr>
        <w:jc w:val="both"/>
        <w:rPr>
          <w:szCs w:val="20"/>
          <w:lang w:val="en-GB"/>
        </w:rPr>
      </w:pPr>
      <w:r w:rsidRPr="006313BC">
        <w:rPr>
          <w:szCs w:val="20"/>
          <w:lang w:val="en-GB"/>
        </w:rPr>
        <w:t xml:space="preserve">Benefits. Early exposure to and collaboration on ideas (feeling of </w:t>
      </w:r>
      <w:r w:rsidR="00096210">
        <w:rPr>
          <w:szCs w:val="20"/>
          <w:lang w:val="en-GB"/>
        </w:rPr>
        <w:t xml:space="preserve">engagement) would mean that new </w:t>
      </w:r>
      <w:r w:rsidRPr="006313BC">
        <w:rPr>
          <w:szCs w:val="20"/>
          <w:lang w:val="en-GB"/>
        </w:rPr>
        <w:t>proposals/processes developed using this tool are more likely to be adopted.</w:t>
      </w:r>
    </w:p>
    <w:p w:rsidR="006313BC" w:rsidRPr="006313BC" w:rsidRDefault="006313BC" w:rsidP="00096210">
      <w:pPr>
        <w:widowControl/>
        <w:numPr>
          <w:ilvl w:val="0"/>
          <w:numId w:val="19"/>
        </w:numPr>
        <w:jc w:val="both"/>
        <w:rPr>
          <w:szCs w:val="20"/>
          <w:lang w:val="en-GB"/>
        </w:rPr>
      </w:pPr>
      <w:r w:rsidRPr="006313BC">
        <w:rPr>
          <w:szCs w:val="20"/>
          <w:lang w:val="en-GB"/>
        </w:rPr>
        <w:t>Drawbacks. Some concern over the time needed to go through all the steps.</w:t>
      </w:r>
    </w:p>
    <w:p w:rsidR="006313BC" w:rsidRPr="006313BC" w:rsidRDefault="006313BC" w:rsidP="00773AEC">
      <w:pPr>
        <w:widowControl/>
        <w:jc w:val="both"/>
        <w:rPr>
          <w:szCs w:val="20"/>
          <w:lang w:val="en-GB"/>
        </w:rPr>
      </w:pPr>
    </w:p>
    <w:p w:rsidR="00650C58" w:rsidRDefault="006313BC" w:rsidP="002F046F">
      <w:pPr>
        <w:widowControl/>
        <w:ind w:firstLine="360"/>
        <w:jc w:val="both"/>
        <w:rPr>
          <w:szCs w:val="20"/>
          <w:lang w:val="en-GB"/>
        </w:rPr>
      </w:pPr>
      <w:r w:rsidRPr="006313BC">
        <w:rPr>
          <w:szCs w:val="20"/>
          <w:lang w:val="en-GB"/>
        </w:rPr>
        <w:t>Following redesigns based on the above feedback, in July 2015 the Confer tool was also shown to a GP (with a role in GP training) and the Nurse (who had been involved in the earlier Confer Storyboard Workshop). The feedback obtained from this meeting confirmed the ‘Simplification’ and ‘Drawbacks’ issues (above). So the steps to go through the PI process needed to be adapted to our users’ needs. These co-design requirements</w:t>
      </w:r>
      <w:r>
        <w:rPr>
          <w:szCs w:val="20"/>
          <w:lang w:val="en-GB"/>
        </w:rPr>
        <w:t xml:space="preserve"> were met as following. Figure </w:t>
      </w:r>
      <w:r w:rsidRPr="006313BC">
        <w:rPr>
          <w:szCs w:val="20"/>
          <w:lang w:val="en-GB"/>
        </w:rPr>
        <w:t xml:space="preserve">3 shows the first version of Confer where the PI phases were selected by using a menu in the main bar. In order to take into account the feedback from our </w:t>
      </w:r>
      <w:r w:rsidR="00096210">
        <w:rPr>
          <w:szCs w:val="20"/>
          <w:lang w:val="en-GB"/>
        </w:rPr>
        <w:t>h</w:t>
      </w:r>
      <w:r w:rsidRPr="006313BC">
        <w:rPr>
          <w:szCs w:val="20"/>
          <w:lang w:val="en-GB"/>
        </w:rPr>
        <w:t xml:space="preserve">ealthcare participants, the visualization and the guidance through the </w:t>
      </w:r>
      <w:r>
        <w:rPr>
          <w:szCs w:val="20"/>
          <w:lang w:val="en-GB"/>
        </w:rPr>
        <w:t>PI phases was improved</w:t>
      </w:r>
      <w:r w:rsidR="00096210">
        <w:rPr>
          <w:szCs w:val="20"/>
          <w:lang w:val="en-GB"/>
        </w:rPr>
        <w:t xml:space="preserve"> (the 3 steps shown in Figure 2)</w:t>
      </w:r>
      <w:r>
        <w:rPr>
          <w:szCs w:val="20"/>
          <w:lang w:val="en-GB"/>
        </w:rPr>
        <w:t xml:space="preserve">. </w:t>
      </w:r>
      <w:r w:rsidRPr="00B10D0D">
        <w:rPr>
          <w:szCs w:val="20"/>
          <w:lang w:val="en-GB"/>
        </w:rPr>
        <w:t>Figure 4</w:t>
      </w:r>
      <w:r w:rsidRPr="006313BC">
        <w:rPr>
          <w:szCs w:val="20"/>
          <w:lang w:val="en-GB"/>
        </w:rPr>
        <w:t xml:space="preserve"> shows how the steps have been re-organized into 3 main </w:t>
      </w:r>
      <w:r w:rsidR="006016D8">
        <w:rPr>
          <w:szCs w:val="20"/>
          <w:lang w:val="en-GB"/>
        </w:rPr>
        <w:t xml:space="preserve">interface </w:t>
      </w:r>
      <w:r w:rsidRPr="006313BC">
        <w:rPr>
          <w:szCs w:val="20"/>
          <w:lang w:val="en-GB"/>
        </w:rPr>
        <w:t>sections. Each section guides the user through the specific actions to be done in order to complete the Progressive Inquiry process.</w:t>
      </w:r>
    </w:p>
    <w:p w:rsidR="00096210" w:rsidRDefault="00096210" w:rsidP="002F046F">
      <w:pPr>
        <w:widowControl/>
        <w:ind w:firstLine="360"/>
        <w:jc w:val="both"/>
        <w:rPr>
          <w:szCs w:val="20"/>
          <w:lang w:val="en-GB"/>
        </w:rPr>
      </w:pPr>
    </w:p>
    <w:p w:rsidR="006313BC" w:rsidRDefault="00C96802" w:rsidP="00773AEC">
      <w:pPr>
        <w:widowControl/>
        <w:jc w:val="both"/>
        <w:rPr>
          <w:szCs w:val="20"/>
          <w:lang w:val="en-GB"/>
        </w:rPr>
      </w:pPr>
      <w:r>
        <w:rPr>
          <w:noProof/>
          <w:lang w:val="en-GB"/>
        </w:rPr>
        <w:lastRenderedPageBreak/>
        <w:drawing>
          <wp:inline distT="0" distB="0" distL="0" distR="0">
            <wp:extent cx="5727700" cy="1778000"/>
            <wp:effectExtent l="0" t="0" r="635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t="8580" b="36073"/>
                    <a:stretch>
                      <a:fillRect/>
                    </a:stretch>
                  </pic:blipFill>
                  <pic:spPr bwMode="auto">
                    <a:xfrm>
                      <a:off x="0" y="0"/>
                      <a:ext cx="5727700" cy="1778000"/>
                    </a:xfrm>
                    <a:prstGeom prst="rect">
                      <a:avLst/>
                    </a:prstGeom>
                    <a:noFill/>
                    <a:ln>
                      <a:noFill/>
                    </a:ln>
                  </pic:spPr>
                </pic:pic>
              </a:graphicData>
            </a:graphic>
          </wp:inline>
        </w:drawing>
      </w:r>
    </w:p>
    <w:p w:rsidR="00650C58" w:rsidRDefault="006313BC" w:rsidP="00773AEC">
      <w:pPr>
        <w:widowControl/>
        <w:jc w:val="both"/>
        <w:rPr>
          <w:szCs w:val="20"/>
          <w:lang w:val="en-GB"/>
        </w:rPr>
      </w:pPr>
      <w:proofErr w:type="gramStart"/>
      <w:r w:rsidRPr="00E43CD1">
        <w:rPr>
          <w:b/>
          <w:szCs w:val="20"/>
          <w:lang w:val="en-GB"/>
        </w:rPr>
        <w:t>Figure 4.</w:t>
      </w:r>
      <w:proofErr w:type="gramEnd"/>
      <w:r w:rsidRPr="006313BC">
        <w:rPr>
          <w:szCs w:val="20"/>
          <w:lang w:val="en-GB"/>
        </w:rPr>
        <w:t xml:space="preserve"> Confer 2nd prototype – Simplification of the PI model phases</w:t>
      </w:r>
    </w:p>
    <w:p w:rsidR="006313BC" w:rsidRDefault="006313BC" w:rsidP="00773AEC">
      <w:pPr>
        <w:widowControl/>
        <w:jc w:val="both"/>
        <w:rPr>
          <w:szCs w:val="20"/>
          <w:lang w:val="en-GB"/>
        </w:rPr>
      </w:pPr>
    </w:p>
    <w:p w:rsidR="006313BC" w:rsidRPr="006313BC" w:rsidRDefault="006313BC" w:rsidP="00096210">
      <w:pPr>
        <w:widowControl/>
        <w:ind w:firstLine="720"/>
        <w:jc w:val="both"/>
        <w:rPr>
          <w:szCs w:val="20"/>
          <w:lang w:val="en-GB"/>
        </w:rPr>
      </w:pPr>
      <w:r w:rsidRPr="006313BC">
        <w:rPr>
          <w:szCs w:val="20"/>
          <w:lang w:val="en-GB"/>
        </w:rPr>
        <w:t>Confer was next presented at the Learning Layers Mixing and Matching Meeting held in July 2015. This meeting brought together representatives from the 3 pilot GP Practices who have been working with Le</w:t>
      </w:r>
      <w:r>
        <w:rPr>
          <w:szCs w:val="20"/>
          <w:lang w:val="en-GB"/>
        </w:rPr>
        <w:t>arning Layers, as well as repre</w:t>
      </w:r>
      <w:r w:rsidRPr="006313BC">
        <w:rPr>
          <w:szCs w:val="20"/>
          <w:lang w:val="en-GB"/>
        </w:rPr>
        <w:t>sentatives from several key healthcare networks with whom we hoped to work. One of the groups represented was an Academic Heal</w:t>
      </w:r>
      <w:r>
        <w:rPr>
          <w:szCs w:val="20"/>
          <w:lang w:val="en-GB"/>
        </w:rPr>
        <w:t>th Science Network</w:t>
      </w:r>
      <w:r w:rsidR="00096210">
        <w:rPr>
          <w:szCs w:val="20"/>
          <w:lang w:val="en-GB"/>
        </w:rPr>
        <w:t xml:space="preserve"> (</w:t>
      </w:r>
      <w:r w:rsidR="00096210" w:rsidRPr="006313BC">
        <w:rPr>
          <w:szCs w:val="20"/>
          <w:lang w:val="en-GB"/>
        </w:rPr>
        <w:t>AHSN</w:t>
      </w:r>
      <w:r w:rsidR="00096210">
        <w:rPr>
          <w:szCs w:val="20"/>
          <w:lang w:val="en-GB"/>
        </w:rPr>
        <w:t>)</w:t>
      </w:r>
      <w:r>
        <w:rPr>
          <w:szCs w:val="20"/>
          <w:lang w:val="en-GB"/>
        </w:rPr>
        <w:t>. Their repre</w:t>
      </w:r>
      <w:r w:rsidRPr="006313BC">
        <w:rPr>
          <w:szCs w:val="20"/>
          <w:lang w:val="en-GB"/>
        </w:rPr>
        <w:t>sentative was interested in Confer a</w:t>
      </w:r>
      <w:r w:rsidR="0055708D">
        <w:rPr>
          <w:szCs w:val="20"/>
          <w:lang w:val="en-GB"/>
        </w:rPr>
        <w:t>nd this then led onto the invitation</w:t>
      </w:r>
      <w:r w:rsidRPr="006313BC">
        <w:rPr>
          <w:szCs w:val="20"/>
          <w:lang w:val="en-GB"/>
        </w:rPr>
        <w:t xml:space="preserve"> to present the tool to the wider AHSN group in August.</w:t>
      </w:r>
      <w:r w:rsidR="00096210">
        <w:rPr>
          <w:szCs w:val="20"/>
          <w:lang w:val="en-GB"/>
        </w:rPr>
        <w:t xml:space="preserve"> </w:t>
      </w:r>
      <w:r w:rsidRPr="006313BC">
        <w:rPr>
          <w:szCs w:val="20"/>
          <w:lang w:val="en-GB"/>
        </w:rPr>
        <w:t xml:space="preserve">In August 2015, the next version of Confer was shown to a group from the </w:t>
      </w:r>
      <w:r>
        <w:rPr>
          <w:szCs w:val="20"/>
          <w:lang w:val="en-GB"/>
        </w:rPr>
        <w:t>AHSN</w:t>
      </w:r>
      <w:r w:rsidRPr="006313BC">
        <w:rPr>
          <w:szCs w:val="20"/>
          <w:lang w:val="en-GB"/>
        </w:rPr>
        <w:t xml:space="preserve"> to discuss the possibility for them to be involved in field-tests. Participants (a total of 7) recognised the need for the tool (focus/flow maintained between meetings), could see uses for the</w:t>
      </w:r>
      <w:r w:rsidR="0055708D">
        <w:rPr>
          <w:szCs w:val="20"/>
          <w:lang w:val="en-GB"/>
        </w:rPr>
        <w:t xml:space="preserve"> tool and believed it would sup</w:t>
      </w:r>
      <w:r w:rsidRPr="006313BC">
        <w:rPr>
          <w:szCs w:val="20"/>
          <w:lang w:val="en-GB"/>
        </w:rPr>
        <w:t xml:space="preserve">port their work. A new feature that was requested was a way to share a summary of the ongoing work with people outside the workgroup. This was deemed necessary so that someone, who was not part of the work group, could have an overview of the work before deciding to send in material to the </w:t>
      </w:r>
      <w:proofErr w:type="spellStart"/>
      <w:r w:rsidRPr="006313BC">
        <w:rPr>
          <w:szCs w:val="20"/>
          <w:lang w:val="en-GB"/>
        </w:rPr>
        <w:t>Dropzone</w:t>
      </w:r>
      <w:proofErr w:type="spellEnd"/>
      <w:r w:rsidRPr="006313BC">
        <w:rPr>
          <w:szCs w:val="20"/>
          <w:lang w:val="en-GB"/>
        </w:rPr>
        <w:t xml:space="preserve"> </w:t>
      </w:r>
      <w:r w:rsidR="0055708D">
        <w:rPr>
          <w:szCs w:val="20"/>
          <w:lang w:val="en-GB"/>
        </w:rPr>
        <w:t xml:space="preserve">(our way of emailing in ideas to the work group) </w:t>
      </w:r>
      <w:r w:rsidRPr="006313BC">
        <w:rPr>
          <w:szCs w:val="20"/>
          <w:lang w:val="en-GB"/>
        </w:rPr>
        <w:t xml:space="preserve">and therefore would feel like a contributor to the process. </w:t>
      </w:r>
      <w:r>
        <w:rPr>
          <w:szCs w:val="20"/>
          <w:lang w:val="en-GB"/>
        </w:rPr>
        <w:t>This idea was imple</w:t>
      </w:r>
      <w:r w:rsidRPr="006313BC">
        <w:rPr>
          <w:szCs w:val="20"/>
          <w:lang w:val="en-GB"/>
        </w:rPr>
        <w:t>mented as the current ‘Export’ feature.</w:t>
      </w:r>
    </w:p>
    <w:p w:rsidR="006313BC" w:rsidRDefault="006313BC" w:rsidP="0055708D">
      <w:pPr>
        <w:widowControl/>
        <w:ind w:firstLine="720"/>
        <w:jc w:val="both"/>
        <w:rPr>
          <w:szCs w:val="20"/>
          <w:lang w:val="en-GB"/>
        </w:rPr>
      </w:pPr>
      <w:r w:rsidRPr="006313BC">
        <w:rPr>
          <w:szCs w:val="20"/>
          <w:lang w:val="en-GB"/>
        </w:rPr>
        <w:t>It was agreed that we would return to run a short training session on Confer for those people who would take part in this field-testing. The</w:t>
      </w:r>
      <w:r>
        <w:rPr>
          <w:szCs w:val="20"/>
          <w:lang w:val="en-GB"/>
        </w:rPr>
        <w:t xml:space="preserve"> training was set up in two ses</w:t>
      </w:r>
      <w:r w:rsidRPr="006313BC">
        <w:rPr>
          <w:szCs w:val="20"/>
          <w:lang w:val="en-GB"/>
        </w:rPr>
        <w:t>sions during September 2015. We have followed this up with a feedback/additional training session in October 2015 as new people wanted to take part. In sessions from November onwards participants will identify and put in practice ‘real world’ tasks/activities thus helping us to identify where Co</w:t>
      </w:r>
      <w:r w:rsidR="0055708D">
        <w:rPr>
          <w:szCs w:val="20"/>
          <w:lang w:val="en-GB"/>
        </w:rPr>
        <w:t>nfer could provide the best sup</w:t>
      </w:r>
      <w:r w:rsidRPr="006313BC">
        <w:rPr>
          <w:szCs w:val="20"/>
          <w:lang w:val="en-GB"/>
        </w:rPr>
        <w:t xml:space="preserve">port. For example, this may </w:t>
      </w:r>
      <w:r w:rsidR="0055708D" w:rsidRPr="006313BC">
        <w:rPr>
          <w:szCs w:val="20"/>
          <w:lang w:val="en-GB"/>
        </w:rPr>
        <w:t>involve</w:t>
      </w:r>
      <w:r w:rsidRPr="006313BC">
        <w:rPr>
          <w:szCs w:val="20"/>
          <w:lang w:val="en-GB"/>
        </w:rPr>
        <w:t xml:space="preserve"> using the tool to discuss and decide upon the future of their Communities of Practice website/platform - e.g. addressing questions such as ‘should they continue to use the existing platform, adapt it or move to some-thing new?’</w:t>
      </w:r>
    </w:p>
    <w:p w:rsidR="0026431A" w:rsidRPr="0026431A" w:rsidRDefault="0026431A" w:rsidP="0055708D">
      <w:pPr>
        <w:widowControl/>
        <w:ind w:firstLine="720"/>
        <w:jc w:val="both"/>
        <w:rPr>
          <w:szCs w:val="20"/>
          <w:lang w:val="en-GB"/>
        </w:rPr>
      </w:pPr>
      <w:r w:rsidRPr="0026431A">
        <w:rPr>
          <w:szCs w:val="20"/>
          <w:lang w:val="en-GB"/>
        </w:rPr>
        <w:t>The data gathered from the Y2 studies also shows how Healthcare professionals have an interest in improving their networking practices particularly in sharing knowledge and opinion; however, this exchange of knowledge needs scaffolding support in order to improve the effectiveness of sharing practices.</w:t>
      </w:r>
      <w:r w:rsidR="0055708D">
        <w:rPr>
          <w:szCs w:val="20"/>
          <w:lang w:val="en-GB"/>
        </w:rPr>
        <w:t xml:space="preserve"> Taking this and co-design feedback into account, the f</w:t>
      </w:r>
      <w:r w:rsidRPr="0026431A">
        <w:rPr>
          <w:szCs w:val="20"/>
          <w:lang w:val="en-GB"/>
        </w:rPr>
        <w:t xml:space="preserve">ollowing the main characteristics of Progressive Inquiry, the learning </w:t>
      </w:r>
      <w:r w:rsidR="0055708D">
        <w:rPr>
          <w:szCs w:val="20"/>
          <w:lang w:val="en-GB"/>
        </w:rPr>
        <w:t>is contextual</w:t>
      </w:r>
      <w:r w:rsidRPr="0026431A">
        <w:rPr>
          <w:szCs w:val="20"/>
          <w:lang w:val="en-GB"/>
        </w:rPr>
        <w:t xml:space="preserve">ized, the approach also supports discussion and the process of learning is </w:t>
      </w:r>
      <w:proofErr w:type="spellStart"/>
      <w:r w:rsidRPr="0026431A">
        <w:rPr>
          <w:szCs w:val="20"/>
          <w:lang w:val="en-GB"/>
        </w:rPr>
        <w:t>scaffolded</w:t>
      </w:r>
      <w:proofErr w:type="spellEnd"/>
      <w:r w:rsidRPr="0026431A">
        <w:rPr>
          <w:szCs w:val="20"/>
          <w:lang w:val="en-GB"/>
        </w:rPr>
        <w:t xml:space="preserve"> by the three steps. This process has been adapted by simplifying the phases in 3 simple steps</w:t>
      </w:r>
      <w:r w:rsidR="0055708D">
        <w:rPr>
          <w:szCs w:val="20"/>
          <w:lang w:val="en-GB"/>
        </w:rPr>
        <w:t xml:space="preserve"> as follows.</w:t>
      </w:r>
      <w:r w:rsidRPr="0026431A">
        <w:rPr>
          <w:szCs w:val="20"/>
          <w:lang w:val="en-GB"/>
        </w:rPr>
        <w:t xml:space="preserve"> </w:t>
      </w:r>
    </w:p>
    <w:p w:rsidR="0026431A" w:rsidRPr="0026431A" w:rsidRDefault="0026431A" w:rsidP="00773AEC">
      <w:pPr>
        <w:widowControl/>
        <w:jc w:val="both"/>
        <w:rPr>
          <w:szCs w:val="20"/>
          <w:lang w:val="en-GB"/>
        </w:rPr>
      </w:pPr>
    </w:p>
    <w:p w:rsidR="0026431A" w:rsidRPr="00CC141D" w:rsidRDefault="00CC141D" w:rsidP="00773AEC">
      <w:pPr>
        <w:widowControl/>
        <w:jc w:val="both"/>
        <w:rPr>
          <w:i/>
          <w:szCs w:val="20"/>
          <w:lang w:val="en-GB"/>
        </w:rPr>
      </w:pPr>
      <w:r w:rsidRPr="00CC141D">
        <w:rPr>
          <w:i/>
          <w:szCs w:val="20"/>
          <w:lang w:val="en-GB"/>
        </w:rPr>
        <w:t xml:space="preserve">I. </w:t>
      </w:r>
      <w:r w:rsidR="0026431A" w:rsidRPr="00CC141D">
        <w:rPr>
          <w:i/>
          <w:szCs w:val="20"/>
          <w:lang w:val="en-GB"/>
        </w:rPr>
        <w:t>What do we need?</w:t>
      </w:r>
    </w:p>
    <w:p w:rsidR="00CC141D" w:rsidRDefault="0026431A" w:rsidP="00B10D0D">
      <w:pPr>
        <w:widowControl/>
        <w:jc w:val="both"/>
        <w:rPr>
          <w:szCs w:val="20"/>
          <w:lang w:val="en-GB"/>
        </w:rPr>
      </w:pPr>
      <w:r w:rsidRPr="0026431A">
        <w:rPr>
          <w:szCs w:val="20"/>
          <w:lang w:val="en-GB"/>
        </w:rPr>
        <w:t>A workgroup is set-up to work on a particular problem or project</w:t>
      </w:r>
      <w:r w:rsidR="0055708D">
        <w:rPr>
          <w:szCs w:val="20"/>
          <w:lang w:val="en-GB"/>
        </w:rPr>
        <w:t xml:space="preserve"> in step 1</w:t>
      </w:r>
      <w:r w:rsidRPr="0026431A">
        <w:rPr>
          <w:szCs w:val="20"/>
          <w:lang w:val="en-GB"/>
        </w:rPr>
        <w:t xml:space="preserve">. Yet in the co-design sessions we had heard that often there is not enough explicit clarity and agreement on the problem that is being researched. </w:t>
      </w:r>
      <w:r w:rsidR="0055708D">
        <w:rPr>
          <w:szCs w:val="20"/>
          <w:lang w:val="en-GB"/>
        </w:rPr>
        <w:t>Consequently</w:t>
      </w:r>
      <w:r w:rsidRPr="0026431A">
        <w:rPr>
          <w:szCs w:val="20"/>
          <w:lang w:val="en-GB"/>
        </w:rPr>
        <w:t xml:space="preserve">, step </w:t>
      </w:r>
      <w:r w:rsidR="0055708D">
        <w:rPr>
          <w:szCs w:val="20"/>
          <w:lang w:val="en-GB"/>
        </w:rPr>
        <w:t>1</w:t>
      </w:r>
      <w:r w:rsidRPr="0026431A">
        <w:rPr>
          <w:szCs w:val="20"/>
          <w:lang w:val="en-GB"/>
        </w:rPr>
        <w:t xml:space="preserve"> involves participants negotiating the definition of the question to be </w:t>
      </w:r>
      <w:proofErr w:type="gramStart"/>
      <w:r w:rsidRPr="0026431A">
        <w:rPr>
          <w:szCs w:val="20"/>
          <w:lang w:val="en-GB"/>
        </w:rPr>
        <w:t>researched/answered</w:t>
      </w:r>
      <w:proofErr w:type="gramEnd"/>
      <w:r w:rsidRPr="0026431A">
        <w:rPr>
          <w:szCs w:val="20"/>
          <w:lang w:val="en-GB"/>
        </w:rPr>
        <w:t xml:space="preserve"> and the context in which it occurs (see </w:t>
      </w:r>
      <w:r w:rsidRPr="00B10D0D">
        <w:rPr>
          <w:szCs w:val="20"/>
          <w:lang w:val="en-GB"/>
        </w:rPr>
        <w:t xml:space="preserve">Figure </w:t>
      </w:r>
      <w:r w:rsidR="00B10D0D" w:rsidRPr="00B10D0D">
        <w:rPr>
          <w:szCs w:val="20"/>
          <w:lang w:val="en-GB"/>
        </w:rPr>
        <w:t>4</w:t>
      </w:r>
      <w:r w:rsidRPr="00B10D0D">
        <w:rPr>
          <w:szCs w:val="20"/>
          <w:lang w:val="en-GB"/>
        </w:rPr>
        <w:t>).</w:t>
      </w:r>
    </w:p>
    <w:p w:rsidR="00B10D0D" w:rsidRPr="00B10D0D" w:rsidRDefault="00B10D0D" w:rsidP="00B10D0D">
      <w:pPr>
        <w:widowControl/>
        <w:jc w:val="both"/>
        <w:rPr>
          <w:szCs w:val="20"/>
          <w:lang w:val="en-GB"/>
        </w:rPr>
      </w:pPr>
    </w:p>
    <w:p w:rsidR="0055708D" w:rsidRDefault="00E43CD1" w:rsidP="0055708D">
      <w:pPr>
        <w:pStyle w:val="ListParagraph"/>
        <w:ind w:left="0"/>
        <w:rPr>
          <w:i/>
          <w:sz w:val="20"/>
          <w:szCs w:val="20"/>
        </w:rPr>
      </w:pPr>
      <w:r w:rsidRPr="00E43CD1">
        <w:rPr>
          <w:i/>
          <w:sz w:val="20"/>
          <w:szCs w:val="20"/>
        </w:rPr>
        <w:t xml:space="preserve">II. </w:t>
      </w:r>
      <w:r w:rsidR="00CC141D" w:rsidRPr="00E43CD1">
        <w:rPr>
          <w:i/>
          <w:sz w:val="20"/>
          <w:szCs w:val="20"/>
        </w:rPr>
        <w:t>What do we know?</w:t>
      </w:r>
    </w:p>
    <w:p w:rsidR="00CC141D" w:rsidRPr="0055708D" w:rsidRDefault="00CC141D" w:rsidP="0055708D">
      <w:pPr>
        <w:rPr>
          <w:i/>
        </w:rPr>
      </w:pPr>
      <w:r w:rsidRPr="00CC141D">
        <w:t xml:space="preserve">Step 2 involves collecting and reviewing what is known about the problem being researched. Items can be sent by email to the </w:t>
      </w:r>
      <w:proofErr w:type="spellStart"/>
      <w:r w:rsidRPr="00CC141D">
        <w:t>Dropzone</w:t>
      </w:r>
      <w:proofErr w:type="spellEnd"/>
      <w:r w:rsidRPr="00CC141D">
        <w:t xml:space="preserve"> or created directly within the Brainstorm area. From the </w:t>
      </w:r>
      <w:proofErr w:type="spellStart"/>
      <w:r w:rsidRPr="00CC141D">
        <w:t>Dropzone</w:t>
      </w:r>
      <w:proofErr w:type="spellEnd"/>
      <w:r w:rsidRPr="00CC141D">
        <w:t xml:space="preserve">, items can be transferred to the Brainstorming area, where they are discussed and the common issues identified (see </w:t>
      </w:r>
      <w:r w:rsidR="00B10D0D">
        <w:t>Figure 5</w:t>
      </w:r>
      <w:r w:rsidRPr="00CC141D">
        <w:t>). This is a cyclic process, since in grouping items under common issues it may become clear that other items are missing or that further information is needed.  Thus this step covers the Brainstorm, Evaluation and Deepening stages of the Progressive Inquiry model.</w:t>
      </w:r>
    </w:p>
    <w:p w:rsidR="00CC141D" w:rsidRDefault="00CC141D" w:rsidP="00773AEC">
      <w:pPr>
        <w:widowControl/>
        <w:jc w:val="both"/>
        <w:rPr>
          <w:szCs w:val="20"/>
          <w:lang w:val="en-GB"/>
        </w:rPr>
      </w:pPr>
    </w:p>
    <w:p w:rsidR="0026431A" w:rsidRDefault="0026431A" w:rsidP="00773AEC">
      <w:pPr>
        <w:widowControl/>
        <w:jc w:val="both"/>
        <w:rPr>
          <w:szCs w:val="20"/>
          <w:lang w:val="en-GB"/>
        </w:rPr>
      </w:pPr>
    </w:p>
    <w:p w:rsidR="00CC141D" w:rsidRDefault="00C96802" w:rsidP="00773AEC">
      <w:pPr>
        <w:widowControl/>
        <w:jc w:val="both"/>
        <w:rPr>
          <w:noProof/>
          <w:lang w:val="en-GB"/>
        </w:rPr>
      </w:pPr>
      <w:r>
        <w:rPr>
          <w:noProof/>
          <w:lang w:val="en-GB"/>
        </w:rPr>
        <w:drawing>
          <wp:inline distT="0" distB="0" distL="0" distR="0">
            <wp:extent cx="5138420" cy="1581785"/>
            <wp:effectExtent l="0" t="0" r="508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t="8284" b="36961"/>
                    <a:stretch>
                      <a:fillRect/>
                    </a:stretch>
                  </pic:blipFill>
                  <pic:spPr bwMode="auto">
                    <a:xfrm>
                      <a:off x="0" y="0"/>
                      <a:ext cx="5138420" cy="1581785"/>
                    </a:xfrm>
                    <a:prstGeom prst="rect">
                      <a:avLst/>
                    </a:prstGeom>
                    <a:noFill/>
                    <a:ln>
                      <a:noFill/>
                    </a:ln>
                  </pic:spPr>
                </pic:pic>
              </a:graphicData>
            </a:graphic>
          </wp:inline>
        </w:drawing>
      </w:r>
    </w:p>
    <w:p w:rsidR="00CC141D" w:rsidRDefault="00CC141D" w:rsidP="00773AEC">
      <w:pPr>
        <w:widowControl/>
        <w:jc w:val="both"/>
        <w:rPr>
          <w:szCs w:val="20"/>
          <w:lang w:val="en-GB"/>
        </w:rPr>
      </w:pPr>
      <w:proofErr w:type="gramStart"/>
      <w:r w:rsidRPr="00E43CD1">
        <w:rPr>
          <w:b/>
          <w:szCs w:val="20"/>
          <w:lang w:val="en-GB"/>
        </w:rPr>
        <w:t xml:space="preserve">Figure </w:t>
      </w:r>
      <w:r w:rsidR="00B10D0D">
        <w:rPr>
          <w:b/>
          <w:szCs w:val="20"/>
          <w:lang w:val="en-GB"/>
        </w:rPr>
        <w:t>5</w:t>
      </w:r>
      <w:r w:rsidRPr="00E43CD1">
        <w:rPr>
          <w:b/>
          <w:szCs w:val="20"/>
          <w:lang w:val="en-GB"/>
        </w:rPr>
        <w:t>.</w:t>
      </w:r>
      <w:proofErr w:type="gramEnd"/>
      <w:r w:rsidRPr="00CC141D">
        <w:rPr>
          <w:szCs w:val="20"/>
          <w:lang w:val="en-GB"/>
        </w:rPr>
        <w:t xml:space="preserve"> What do we know?</w:t>
      </w:r>
    </w:p>
    <w:p w:rsidR="00CC141D" w:rsidRDefault="00CC141D" w:rsidP="00773AEC">
      <w:pPr>
        <w:widowControl/>
        <w:jc w:val="both"/>
        <w:rPr>
          <w:szCs w:val="20"/>
          <w:lang w:val="en-GB"/>
        </w:rPr>
      </w:pPr>
    </w:p>
    <w:p w:rsidR="00CC141D" w:rsidRDefault="00CC141D" w:rsidP="0055708D">
      <w:pPr>
        <w:widowControl/>
        <w:ind w:firstLine="720"/>
        <w:jc w:val="both"/>
        <w:rPr>
          <w:szCs w:val="20"/>
          <w:lang w:val="en-GB"/>
        </w:rPr>
      </w:pPr>
      <w:r w:rsidRPr="00CC141D">
        <w:rPr>
          <w:szCs w:val="20"/>
          <w:lang w:val="en-GB"/>
        </w:rPr>
        <w:t xml:space="preserve">Tags and tagging were identified during Y2 as a useful feature with respect to help focus on relevancy. Users can add tags by clicking inside the tag area and start typing. Tags are used to organize areas with lots of items: i.e. </w:t>
      </w:r>
      <w:proofErr w:type="spellStart"/>
      <w:r w:rsidRPr="00CC141D">
        <w:rPr>
          <w:szCs w:val="20"/>
          <w:lang w:val="en-GB"/>
        </w:rPr>
        <w:t>Dropzone</w:t>
      </w:r>
      <w:proofErr w:type="spellEnd"/>
      <w:r w:rsidRPr="00CC141D">
        <w:rPr>
          <w:szCs w:val="20"/>
          <w:lang w:val="en-GB"/>
        </w:rPr>
        <w:t xml:space="preserve"> and Brainstorm</w:t>
      </w:r>
      <w:r>
        <w:rPr>
          <w:szCs w:val="20"/>
          <w:lang w:val="en-GB"/>
        </w:rPr>
        <w:t xml:space="preserve"> features (not presented here due to space limitations)</w:t>
      </w:r>
      <w:r w:rsidRPr="00CC141D">
        <w:rPr>
          <w:szCs w:val="20"/>
          <w:lang w:val="en-GB"/>
        </w:rPr>
        <w:t>. The used tags are shown as tabs/buttons in the top of the page and can be used to filter the displayed items.</w:t>
      </w:r>
      <w:r>
        <w:rPr>
          <w:szCs w:val="20"/>
          <w:lang w:val="en-GB"/>
        </w:rPr>
        <w:t xml:space="preserve"> </w:t>
      </w:r>
    </w:p>
    <w:p w:rsidR="00CC141D" w:rsidRDefault="00CC141D" w:rsidP="00773AEC">
      <w:pPr>
        <w:widowControl/>
        <w:jc w:val="both"/>
        <w:rPr>
          <w:szCs w:val="20"/>
          <w:lang w:val="en-GB"/>
        </w:rPr>
      </w:pPr>
    </w:p>
    <w:p w:rsidR="00CC141D" w:rsidRPr="00CC141D" w:rsidRDefault="00CC141D" w:rsidP="00773AEC">
      <w:pPr>
        <w:widowControl/>
        <w:jc w:val="both"/>
        <w:rPr>
          <w:i/>
          <w:szCs w:val="20"/>
          <w:lang w:val="en-GB"/>
        </w:rPr>
      </w:pPr>
      <w:r w:rsidRPr="00CC141D">
        <w:rPr>
          <w:i/>
          <w:szCs w:val="20"/>
          <w:lang w:val="en-GB"/>
        </w:rPr>
        <w:t>III. What we should do?</w:t>
      </w:r>
    </w:p>
    <w:p w:rsidR="00CC141D" w:rsidRDefault="00CC141D" w:rsidP="00773AEC">
      <w:pPr>
        <w:widowControl/>
        <w:jc w:val="both"/>
        <w:rPr>
          <w:szCs w:val="20"/>
          <w:lang w:val="en-GB"/>
        </w:rPr>
      </w:pPr>
      <w:r w:rsidRPr="00CC141D">
        <w:rPr>
          <w:szCs w:val="20"/>
          <w:lang w:val="en-GB"/>
        </w:rPr>
        <w:t xml:space="preserve">In Step 3, the group begin to develop their options or solutions (their answers to the question that is being researched). For each option that is created the group are asked to explain how that option addresses each of the issues that they had identified in the previous stage (see Figure </w:t>
      </w:r>
      <w:r w:rsidR="00B10D0D">
        <w:rPr>
          <w:szCs w:val="20"/>
          <w:lang w:val="en-GB"/>
        </w:rPr>
        <w:t>6</w:t>
      </w:r>
      <w:r w:rsidRPr="00CC141D">
        <w:rPr>
          <w:szCs w:val="20"/>
          <w:lang w:val="en-GB"/>
        </w:rPr>
        <w:t>). Finally</w:t>
      </w:r>
      <w:r w:rsidR="00027F48">
        <w:rPr>
          <w:szCs w:val="20"/>
          <w:lang w:val="en-GB"/>
        </w:rPr>
        <w:t>,</w:t>
      </w:r>
      <w:r w:rsidRPr="00CC141D">
        <w:rPr>
          <w:szCs w:val="20"/>
          <w:lang w:val="en-GB"/>
        </w:rPr>
        <w:t xml:space="preserve"> before making a recommendation they are prompted to review the options they have created and consider under what conditions each option would be suitable thus in supporting the construction of this structured argument, this step fills the Structuring stage o</w:t>
      </w:r>
      <w:r>
        <w:rPr>
          <w:szCs w:val="20"/>
          <w:lang w:val="en-GB"/>
        </w:rPr>
        <w:t>f the Progressive Inquiry model</w:t>
      </w:r>
      <w:r w:rsidR="00027F48">
        <w:rPr>
          <w:szCs w:val="20"/>
          <w:lang w:val="en-GB"/>
        </w:rPr>
        <w:t xml:space="preserve"> and is related to the ‘Dealing with egos’ design pattern</w:t>
      </w:r>
      <w:r w:rsidRPr="00CC141D">
        <w:rPr>
          <w:szCs w:val="20"/>
          <w:lang w:val="en-GB"/>
        </w:rPr>
        <w:t>.</w:t>
      </w:r>
    </w:p>
    <w:p w:rsidR="00CC141D" w:rsidRDefault="00CC141D" w:rsidP="00773AEC">
      <w:pPr>
        <w:widowControl/>
        <w:jc w:val="both"/>
        <w:rPr>
          <w:szCs w:val="20"/>
          <w:lang w:val="en-GB"/>
        </w:rPr>
      </w:pPr>
    </w:p>
    <w:p w:rsidR="00CC141D" w:rsidRDefault="00C96802" w:rsidP="00773AEC">
      <w:pPr>
        <w:widowControl/>
        <w:jc w:val="both"/>
        <w:rPr>
          <w:noProof/>
          <w:lang w:val="en-GB"/>
        </w:rPr>
      </w:pPr>
      <w:r>
        <w:rPr>
          <w:noProof/>
          <w:lang w:val="en-GB"/>
        </w:rPr>
        <w:drawing>
          <wp:inline distT="0" distB="0" distL="0" distR="0">
            <wp:extent cx="4566285" cy="2204720"/>
            <wp:effectExtent l="0" t="0" r="5715" b="508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t="8284" b="5884"/>
                    <a:stretch>
                      <a:fillRect/>
                    </a:stretch>
                  </pic:blipFill>
                  <pic:spPr bwMode="auto">
                    <a:xfrm>
                      <a:off x="0" y="0"/>
                      <a:ext cx="4566285" cy="2204720"/>
                    </a:xfrm>
                    <a:prstGeom prst="rect">
                      <a:avLst/>
                    </a:prstGeom>
                    <a:noFill/>
                    <a:ln>
                      <a:noFill/>
                    </a:ln>
                  </pic:spPr>
                </pic:pic>
              </a:graphicData>
            </a:graphic>
          </wp:inline>
        </w:drawing>
      </w:r>
    </w:p>
    <w:p w:rsidR="005F7EFE" w:rsidRDefault="005F7EFE" w:rsidP="00773AEC">
      <w:pPr>
        <w:widowControl/>
        <w:jc w:val="both"/>
        <w:rPr>
          <w:b/>
          <w:szCs w:val="20"/>
          <w:lang w:val="en-GB"/>
        </w:rPr>
      </w:pPr>
    </w:p>
    <w:p w:rsidR="00CC141D" w:rsidRDefault="00CC141D" w:rsidP="00773AEC">
      <w:pPr>
        <w:widowControl/>
        <w:jc w:val="both"/>
        <w:rPr>
          <w:szCs w:val="20"/>
          <w:lang w:val="en-GB"/>
        </w:rPr>
      </w:pPr>
      <w:proofErr w:type="gramStart"/>
      <w:r w:rsidRPr="000E56BF">
        <w:rPr>
          <w:b/>
          <w:szCs w:val="20"/>
          <w:lang w:val="en-GB"/>
        </w:rPr>
        <w:t xml:space="preserve">Figure </w:t>
      </w:r>
      <w:r w:rsidR="00B10D0D">
        <w:rPr>
          <w:b/>
          <w:szCs w:val="20"/>
          <w:lang w:val="en-GB"/>
        </w:rPr>
        <w:t>6</w:t>
      </w:r>
      <w:r w:rsidRPr="000E56BF">
        <w:rPr>
          <w:b/>
          <w:szCs w:val="20"/>
          <w:lang w:val="en-GB"/>
        </w:rPr>
        <w:t>.</w:t>
      </w:r>
      <w:proofErr w:type="gramEnd"/>
      <w:r w:rsidRPr="00CC141D">
        <w:rPr>
          <w:szCs w:val="20"/>
          <w:lang w:val="en-GB"/>
        </w:rPr>
        <w:t xml:space="preserve"> What we should do?</w:t>
      </w:r>
    </w:p>
    <w:p w:rsidR="00CC141D" w:rsidRDefault="00CC141D" w:rsidP="00773AEC">
      <w:pPr>
        <w:widowControl/>
        <w:jc w:val="both"/>
        <w:rPr>
          <w:szCs w:val="20"/>
          <w:lang w:val="en-GB"/>
        </w:rPr>
      </w:pPr>
    </w:p>
    <w:p w:rsidR="006313BC" w:rsidRPr="00425924" w:rsidRDefault="006313BC" w:rsidP="00773AEC">
      <w:pPr>
        <w:widowControl/>
        <w:jc w:val="both"/>
        <w:rPr>
          <w:szCs w:val="20"/>
          <w:lang w:val="en-GB"/>
        </w:rPr>
      </w:pPr>
    </w:p>
    <w:p w:rsidR="00C9545F" w:rsidRPr="00425924" w:rsidRDefault="00C9545F" w:rsidP="00773AEC">
      <w:pPr>
        <w:pStyle w:val="Heading1"/>
        <w:widowControl/>
        <w:jc w:val="both"/>
        <w:rPr>
          <w:b/>
          <w:bCs/>
          <w:u w:val="none"/>
          <w:lang w:val="en-GB"/>
        </w:rPr>
      </w:pPr>
      <w:r w:rsidRPr="00425924">
        <w:rPr>
          <w:b/>
          <w:bCs/>
          <w:u w:val="none"/>
          <w:lang w:val="en-GB"/>
        </w:rPr>
        <w:t>Conclusions</w:t>
      </w:r>
      <w:r w:rsidR="00CC141D">
        <w:rPr>
          <w:b/>
          <w:bCs/>
          <w:u w:val="none"/>
          <w:lang w:val="en-GB"/>
        </w:rPr>
        <w:t xml:space="preserve"> and future work</w:t>
      </w:r>
    </w:p>
    <w:p w:rsidR="00C9545F" w:rsidRPr="00425924" w:rsidRDefault="00C9545F" w:rsidP="00773AEC">
      <w:pPr>
        <w:jc w:val="both"/>
        <w:rPr>
          <w:lang w:val="en-GB"/>
        </w:rPr>
      </w:pPr>
    </w:p>
    <w:p w:rsidR="00CC141D" w:rsidRDefault="00C1709A" w:rsidP="00773AEC">
      <w:pPr>
        <w:widowControl/>
        <w:jc w:val="both"/>
        <w:rPr>
          <w:szCs w:val="20"/>
          <w:lang w:val="en-GB"/>
        </w:rPr>
      </w:pPr>
      <w:r w:rsidRPr="00C1709A">
        <w:rPr>
          <w:szCs w:val="20"/>
          <w:lang w:val="en-GB"/>
        </w:rPr>
        <w:t xml:space="preserve">Using the Participatory Pattern Design </w:t>
      </w:r>
      <w:r w:rsidR="006D58ED">
        <w:rPr>
          <w:szCs w:val="20"/>
          <w:lang w:val="en-GB"/>
        </w:rPr>
        <w:t xml:space="preserve">(PPD) </w:t>
      </w:r>
      <w:r w:rsidRPr="00C1709A">
        <w:rPr>
          <w:szCs w:val="20"/>
          <w:lang w:val="en-GB"/>
        </w:rPr>
        <w:t xml:space="preserve">methodology, the </w:t>
      </w:r>
      <w:r w:rsidR="006D58ED">
        <w:rPr>
          <w:szCs w:val="20"/>
          <w:lang w:val="en-GB"/>
        </w:rPr>
        <w:t xml:space="preserve">co-design </w:t>
      </w:r>
      <w:r w:rsidRPr="00C1709A">
        <w:rPr>
          <w:szCs w:val="20"/>
          <w:lang w:val="en-GB"/>
        </w:rPr>
        <w:t xml:space="preserve">activities </w:t>
      </w:r>
      <w:r w:rsidR="006D58ED">
        <w:rPr>
          <w:szCs w:val="20"/>
          <w:lang w:val="en-GB"/>
        </w:rPr>
        <w:t>surrounding</w:t>
      </w:r>
      <w:r w:rsidRPr="00C1709A">
        <w:rPr>
          <w:szCs w:val="20"/>
          <w:lang w:val="en-GB"/>
        </w:rPr>
        <w:t xml:space="preserve"> Confer has used design constructs from an early stage in the design cycle to</w:t>
      </w:r>
      <w:r w:rsidR="000E56BF">
        <w:rPr>
          <w:szCs w:val="20"/>
          <w:lang w:val="en-GB"/>
        </w:rPr>
        <w:t xml:space="preserve"> </w:t>
      </w:r>
      <w:r w:rsidRPr="00C1709A">
        <w:rPr>
          <w:szCs w:val="20"/>
          <w:lang w:val="en-GB"/>
        </w:rPr>
        <w:t>mediate between theory and practice when designing tools for supporting the messy</w:t>
      </w:r>
      <w:r w:rsidR="000E56BF">
        <w:rPr>
          <w:szCs w:val="20"/>
          <w:lang w:val="en-GB"/>
        </w:rPr>
        <w:t xml:space="preserve"> </w:t>
      </w:r>
      <w:r w:rsidRPr="00C1709A">
        <w:rPr>
          <w:szCs w:val="20"/>
          <w:lang w:val="en-GB"/>
        </w:rPr>
        <w:t>and under-explored area workplace informal learning. It was found that one of the</w:t>
      </w:r>
      <w:r w:rsidR="000E56BF">
        <w:rPr>
          <w:szCs w:val="20"/>
          <w:lang w:val="en-GB"/>
        </w:rPr>
        <w:t xml:space="preserve"> </w:t>
      </w:r>
      <w:r w:rsidRPr="00C1709A">
        <w:rPr>
          <w:szCs w:val="20"/>
          <w:lang w:val="en-GB"/>
        </w:rPr>
        <w:t>strengths of such a design approach is that we do not commit to a single theoretical</w:t>
      </w:r>
      <w:r w:rsidR="000E56BF">
        <w:rPr>
          <w:szCs w:val="20"/>
          <w:lang w:val="en-GB"/>
        </w:rPr>
        <w:t xml:space="preserve"> </w:t>
      </w:r>
      <w:r w:rsidRPr="00C1709A">
        <w:rPr>
          <w:szCs w:val="20"/>
          <w:lang w:val="en-GB"/>
        </w:rPr>
        <w:t>tradition. Rather, in true design science spirit, it draws on multiple theories</w:t>
      </w:r>
      <w:r w:rsidR="00027F48">
        <w:rPr>
          <w:szCs w:val="20"/>
          <w:lang w:val="en-GB"/>
        </w:rPr>
        <w:t xml:space="preserve"> articulated in the HSLN</w:t>
      </w:r>
      <w:r w:rsidRPr="00C1709A">
        <w:rPr>
          <w:szCs w:val="20"/>
          <w:lang w:val="en-GB"/>
        </w:rPr>
        <w:t>: in this</w:t>
      </w:r>
      <w:r w:rsidR="000E56BF">
        <w:rPr>
          <w:szCs w:val="20"/>
          <w:lang w:val="en-GB"/>
        </w:rPr>
        <w:t xml:space="preserve"> </w:t>
      </w:r>
      <w:r w:rsidRPr="00C1709A">
        <w:rPr>
          <w:szCs w:val="20"/>
          <w:lang w:val="en-GB"/>
        </w:rPr>
        <w:t>particular case, post-Vygotskian concept of hybridity in professional learning networks</w:t>
      </w:r>
      <w:r w:rsidR="000E56BF">
        <w:rPr>
          <w:szCs w:val="20"/>
          <w:lang w:val="en-GB"/>
        </w:rPr>
        <w:t xml:space="preserve"> </w:t>
      </w:r>
      <w:r w:rsidRPr="00C1709A">
        <w:rPr>
          <w:szCs w:val="20"/>
          <w:lang w:val="en-GB"/>
        </w:rPr>
        <w:t>(Daniels, 2008), knowledge building communities (</w:t>
      </w:r>
      <w:proofErr w:type="spellStart"/>
      <w:r w:rsidRPr="00C1709A">
        <w:rPr>
          <w:szCs w:val="20"/>
          <w:lang w:val="en-GB"/>
        </w:rPr>
        <w:t>Scardamalia</w:t>
      </w:r>
      <w:proofErr w:type="spellEnd"/>
      <w:r w:rsidRPr="00C1709A">
        <w:rPr>
          <w:szCs w:val="20"/>
          <w:lang w:val="en-GB"/>
        </w:rPr>
        <w:t xml:space="preserve"> &amp; </w:t>
      </w:r>
      <w:proofErr w:type="spellStart"/>
      <w:r w:rsidRPr="00C1709A">
        <w:rPr>
          <w:szCs w:val="20"/>
          <w:lang w:val="en-GB"/>
        </w:rPr>
        <w:t>Bereiter</w:t>
      </w:r>
      <w:proofErr w:type="spellEnd"/>
      <w:r w:rsidRPr="00C1709A">
        <w:rPr>
          <w:szCs w:val="20"/>
          <w:lang w:val="en-GB"/>
        </w:rPr>
        <w:t>,</w:t>
      </w:r>
      <w:r w:rsidR="000E56BF">
        <w:rPr>
          <w:szCs w:val="20"/>
          <w:lang w:val="en-GB"/>
        </w:rPr>
        <w:t xml:space="preserve"> </w:t>
      </w:r>
      <w:r w:rsidRPr="00C1709A">
        <w:rPr>
          <w:szCs w:val="20"/>
          <w:lang w:val="en-GB"/>
        </w:rPr>
        <w:t xml:space="preserve">1994) and the related concept of progressive inquiry </w:t>
      </w:r>
      <w:r w:rsidRPr="00C1709A">
        <w:rPr>
          <w:szCs w:val="20"/>
          <w:lang w:val="en-GB"/>
        </w:rPr>
        <w:lastRenderedPageBreak/>
        <w:t>(</w:t>
      </w:r>
      <w:proofErr w:type="spellStart"/>
      <w:r w:rsidRPr="00C1709A">
        <w:rPr>
          <w:szCs w:val="20"/>
          <w:lang w:val="en-GB"/>
        </w:rPr>
        <w:t>Muukkonen</w:t>
      </w:r>
      <w:proofErr w:type="spellEnd"/>
      <w:r w:rsidRPr="00C1709A">
        <w:rPr>
          <w:szCs w:val="20"/>
          <w:lang w:val="en-GB"/>
        </w:rPr>
        <w:t xml:space="preserve">, </w:t>
      </w:r>
      <w:proofErr w:type="spellStart"/>
      <w:r w:rsidRPr="00C1709A">
        <w:rPr>
          <w:szCs w:val="20"/>
          <w:lang w:val="en-GB"/>
        </w:rPr>
        <w:t>Hakkarainen</w:t>
      </w:r>
      <w:proofErr w:type="spellEnd"/>
      <w:r w:rsidRPr="00C1709A">
        <w:rPr>
          <w:szCs w:val="20"/>
          <w:lang w:val="en-GB"/>
        </w:rPr>
        <w:t>, et</w:t>
      </w:r>
      <w:r w:rsidR="000E56BF">
        <w:rPr>
          <w:szCs w:val="20"/>
          <w:lang w:val="en-GB"/>
        </w:rPr>
        <w:t xml:space="preserve"> </w:t>
      </w:r>
      <w:r w:rsidRPr="00C1709A">
        <w:rPr>
          <w:szCs w:val="20"/>
          <w:lang w:val="en-GB"/>
        </w:rPr>
        <w:t>al., 1999), plus emerging concepts like social machines (</w:t>
      </w:r>
      <w:proofErr w:type="spellStart"/>
      <w:r w:rsidRPr="00C1709A">
        <w:rPr>
          <w:szCs w:val="20"/>
          <w:lang w:val="en-GB"/>
        </w:rPr>
        <w:t>Shadbolt</w:t>
      </w:r>
      <w:proofErr w:type="spellEnd"/>
      <w:r w:rsidRPr="00C1709A">
        <w:rPr>
          <w:szCs w:val="20"/>
          <w:lang w:val="en-GB"/>
        </w:rPr>
        <w:t>, Smith et al., 2013).</w:t>
      </w:r>
      <w:r w:rsidR="000E56BF">
        <w:rPr>
          <w:szCs w:val="20"/>
          <w:lang w:val="en-GB"/>
        </w:rPr>
        <w:t xml:space="preserve"> </w:t>
      </w:r>
      <w:r w:rsidRPr="00C1709A">
        <w:rPr>
          <w:szCs w:val="20"/>
          <w:lang w:val="en-GB"/>
        </w:rPr>
        <w:t>This does not come without a price and additional challenges as single-theory-systems</w:t>
      </w:r>
      <w:r w:rsidR="000E56BF">
        <w:rPr>
          <w:szCs w:val="20"/>
          <w:lang w:val="en-GB"/>
        </w:rPr>
        <w:t xml:space="preserve"> </w:t>
      </w:r>
      <w:r w:rsidRPr="00C1709A">
        <w:rPr>
          <w:szCs w:val="20"/>
          <w:lang w:val="en-GB"/>
        </w:rPr>
        <w:t>(STSs) are “cleaner”, they are easier to explain and justify. Yet, the real world is a</w:t>
      </w:r>
      <w:r w:rsidR="000E56BF">
        <w:rPr>
          <w:szCs w:val="20"/>
          <w:lang w:val="en-GB"/>
        </w:rPr>
        <w:t xml:space="preserve"> </w:t>
      </w:r>
      <w:r w:rsidRPr="00C1709A">
        <w:rPr>
          <w:szCs w:val="20"/>
          <w:lang w:val="en-GB"/>
        </w:rPr>
        <w:t>messy place, and STSs tend to shoe-horn thinking into nice boxes which cut out a lot</w:t>
      </w:r>
      <w:r w:rsidR="000E56BF">
        <w:rPr>
          <w:szCs w:val="20"/>
          <w:lang w:val="en-GB"/>
        </w:rPr>
        <w:t xml:space="preserve"> </w:t>
      </w:r>
      <w:r w:rsidRPr="00C1709A">
        <w:rPr>
          <w:szCs w:val="20"/>
          <w:lang w:val="en-GB"/>
        </w:rPr>
        <w:t>of the essential complexity and messiness. Our approach provides a systematic and</w:t>
      </w:r>
      <w:r w:rsidR="000E56BF">
        <w:rPr>
          <w:szCs w:val="20"/>
          <w:lang w:val="en-GB"/>
        </w:rPr>
        <w:t xml:space="preserve"> </w:t>
      </w:r>
      <w:r w:rsidRPr="00C1709A">
        <w:rPr>
          <w:szCs w:val="20"/>
          <w:lang w:val="en-GB"/>
        </w:rPr>
        <w:t>rigorous internal approach and potentially provides a way of warranting claims and a</w:t>
      </w:r>
      <w:r w:rsidR="000E56BF">
        <w:rPr>
          <w:szCs w:val="20"/>
          <w:lang w:val="en-GB"/>
        </w:rPr>
        <w:t xml:space="preserve"> </w:t>
      </w:r>
      <w:r w:rsidRPr="00C1709A">
        <w:rPr>
          <w:szCs w:val="20"/>
          <w:lang w:val="en-GB"/>
        </w:rPr>
        <w:t>powerful explanatory and step-by-step guidance of the functioning and scope for</w:t>
      </w:r>
      <w:r w:rsidR="000E56BF">
        <w:rPr>
          <w:szCs w:val="20"/>
          <w:lang w:val="en-GB"/>
        </w:rPr>
        <w:t xml:space="preserve"> </w:t>
      </w:r>
      <w:r w:rsidRPr="00C1709A">
        <w:rPr>
          <w:szCs w:val="20"/>
          <w:lang w:val="en-GB"/>
        </w:rPr>
        <w:t>learning in professional networks; it has also allowed for an in depth look at our research/</w:t>
      </w:r>
      <w:r w:rsidR="000E56BF">
        <w:rPr>
          <w:szCs w:val="20"/>
          <w:lang w:val="en-GB"/>
        </w:rPr>
        <w:t xml:space="preserve"> </w:t>
      </w:r>
      <w:r w:rsidRPr="00C1709A">
        <w:rPr>
          <w:szCs w:val="20"/>
          <w:lang w:val="en-GB"/>
        </w:rPr>
        <w:t>design question.</w:t>
      </w:r>
    </w:p>
    <w:p w:rsidR="008402D1" w:rsidRPr="002F304A" w:rsidRDefault="00CC141D" w:rsidP="002F304A">
      <w:pPr>
        <w:widowControl/>
        <w:ind w:firstLine="720"/>
        <w:jc w:val="both"/>
        <w:rPr>
          <w:szCs w:val="20"/>
          <w:lang w:val="en-GB"/>
        </w:rPr>
      </w:pPr>
      <w:r w:rsidRPr="00CC141D">
        <w:rPr>
          <w:szCs w:val="20"/>
          <w:lang w:val="en-GB"/>
        </w:rPr>
        <w:t xml:space="preserve">The overall plans for the 2016 evaluation activities of all of the Learning Layers tools </w:t>
      </w:r>
      <w:r w:rsidR="000E56BF">
        <w:rPr>
          <w:szCs w:val="20"/>
          <w:lang w:val="en-GB"/>
        </w:rPr>
        <w:t>have been formulated (</w:t>
      </w:r>
      <w:r w:rsidR="006D58BD">
        <w:rPr>
          <w:szCs w:val="20"/>
          <w:lang w:val="en-GB"/>
        </w:rPr>
        <w:t xml:space="preserve">from March to June 2016 an integrated evaluation will be carried out in the Healthcare domain, where Confer - integrated with other Layers tools - will be evaluated by using the resulted </w:t>
      </w:r>
      <w:r w:rsidR="00027F48">
        <w:rPr>
          <w:szCs w:val="20"/>
          <w:lang w:val="en-GB"/>
        </w:rPr>
        <w:t>d</w:t>
      </w:r>
      <w:r w:rsidR="006D58BD">
        <w:rPr>
          <w:szCs w:val="20"/>
          <w:lang w:val="en-GB"/>
        </w:rPr>
        <w:t xml:space="preserve">esign </w:t>
      </w:r>
      <w:r w:rsidR="00027F48">
        <w:rPr>
          <w:szCs w:val="20"/>
          <w:lang w:val="en-GB"/>
        </w:rPr>
        <w:t>p</w:t>
      </w:r>
      <w:r w:rsidR="006D58BD">
        <w:rPr>
          <w:szCs w:val="20"/>
          <w:lang w:val="en-GB"/>
        </w:rPr>
        <w:t xml:space="preserve">atterns as  the </w:t>
      </w:r>
      <w:r w:rsidR="00027F48">
        <w:rPr>
          <w:szCs w:val="20"/>
          <w:lang w:val="en-GB"/>
        </w:rPr>
        <w:t>main key to explore our meta-</w:t>
      </w:r>
      <w:r w:rsidR="006D58BD">
        <w:rPr>
          <w:szCs w:val="20"/>
          <w:lang w:val="en-GB"/>
        </w:rPr>
        <w:t>design principles</w:t>
      </w:r>
      <w:r w:rsidR="000E56BF">
        <w:rPr>
          <w:szCs w:val="20"/>
          <w:lang w:val="en-GB"/>
        </w:rPr>
        <w:t>).</w:t>
      </w:r>
      <w:r w:rsidRPr="00CC141D">
        <w:rPr>
          <w:szCs w:val="20"/>
          <w:lang w:val="en-GB"/>
        </w:rPr>
        <w:t xml:space="preserve"> We will be building on the interest and engagement we have already built up with several healthcare networks</w:t>
      </w:r>
      <w:r w:rsidR="006D58ED">
        <w:rPr>
          <w:szCs w:val="20"/>
          <w:lang w:val="en-GB"/>
        </w:rPr>
        <w:t xml:space="preserve"> over the past 3 years,</w:t>
      </w:r>
      <w:r w:rsidRPr="00CC141D">
        <w:rPr>
          <w:szCs w:val="20"/>
          <w:lang w:val="en-GB"/>
        </w:rPr>
        <w:t xml:space="preserve"> including the AHSN, Health Education England and the CCGs/Federations of GP Practices. </w:t>
      </w:r>
      <w:r w:rsidR="00027F48">
        <w:rPr>
          <w:szCs w:val="20"/>
          <w:lang w:val="en-GB"/>
        </w:rPr>
        <w:t>For example, w</w:t>
      </w:r>
      <w:r w:rsidRPr="00CC141D">
        <w:rPr>
          <w:szCs w:val="20"/>
          <w:lang w:val="en-GB"/>
        </w:rPr>
        <w:t xml:space="preserve">e expect </w:t>
      </w:r>
      <w:r w:rsidR="00027F48">
        <w:rPr>
          <w:szCs w:val="20"/>
          <w:lang w:val="en-GB"/>
        </w:rPr>
        <w:t>t</w:t>
      </w:r>
      <w:r w:rsidRPr="00CC141D">
        <w:rPr>
          <w:szCs w:val="20"/>
          <w:lang w:val="en-GB"/>
        </w:rPr>
        <w:t>he Academi</w:t>
      </w:r>
      <w:r w:rsidR="00027F48">
        <w:rPr>
          <w:szCs w:val="20"/>
          <w:lang w:val="en-GB"/>
        </w:rPr>
        <w:t>c Health Science Network (AHSN)</w:t>
      </w:r>
      <w:r w:rsidRPr="00CC141D">
        <w:rPr>
          <w:szCs w:val="20"/>
          <w:lang w:val="en-GB"/>
        </w:rPr>
        <w:t xml:space="preserve"> to continue their use of Confer to explore relevant problems and issues, such as engaging GP practice clinical staff and how best to support their</w:t>
      </w:r>
      <w:r w:rsidR="00027F48">
        <w:rPr>
          <w:szCs w:val="20"/>
          <w:lang w:val="en-GB"/>
        </w:rPr>
        <w:t xml:space="preserve"> Communities of Practice (</w:t>
      </w:r>
      <w:proofErr w:type="spellStart"/>
      <w:r w:rsidR="00027F48">
        <w:rPr>
          <w:szCs w:val="20"/>
          <w:lang w:val="en-GB"/>
        </w:rPr>
        <w:t>CoPs</w:t>
      </w:r>
      <w:proofErr w:type="spellEnd"/>
      <w:r w:rsidR="00027F48">
        <w:rPr>
          <w:szCs w:val="20"/>
          <w:lang w:val="en-GB"/>
        </w:rPr>
        <w:t>)</w:t>
      </w:r>
      <w:r w:rsidRPr="00CC141D">
        <w:rPr>
          <w:szCs w:val="20"/>
          <w:lang w:val="en-GB"/>
        </w:rPr>
        <w:t>.</w:t>
      </w:r>
      <w:r w:rsidR="000E56BF">
        <w:rPr>
          <w:szCs w:val="20"/>
          <w:lang w:val="en-GB"/>
        </w:rPr>
        <w:t xml:space="preserve"> </w:t>
      </w:r>
      <w:r w:rsidRPr="00CC141D">
        <w:rPr>
          <w:szCs w:val="20"/>
          <w:lang w:val="en-GB"/>
        </w:rPr>
        <w:t>Another evaluation context being explored is a group within Health Education</w:t>
      </w:r>
      <w:r w:rsidR="00027F48">
        <w:rPr>
          <w:szCs w:val="20"/>
          <w:lang w:val="en-GB"/>
        </w:rPr>
        <w:t xml:space="preserve"> England (HEE).</w:t>
      </w:r>
      <w:r w:rsidR="000E56BF">
        <w:rPr>
          <w:szCs w:val="20"/>
          <w:lang w:val="en-GB"/>
        </w:rPr>
        <w:t xml:space="preserve"> </w:t>
      </w:r>
      <w:r w:rsidRPr="00CC141D">
        <w:rPr>
          <w:szCs w:val="20"/>
          <w:lang w:val="en-GB"/>
        </w:rPr>
        <w:t>Possibilities are also being explored with other net</w:t>
      </w:r>
      <w:r w:rsidR="00027F48">
        <w:rPr>
          <w:szCs w:val="20"/>
          <w:lang w:val="en-GB"/>
        </w:rPr>
        <w:t>works (including CCGs and Feder</w:t>
      </w:r>
      <w:r w:rsidRPr="00CC141D">
        <w:rPr>
          <w:szCs w:val="20"/>
          <w:lang w:val="en-GB"/>
        </w:rPr>
        <w:t xml:space="preserve">ations of GP Practices) who are interested in piloting the </w:t>
      </w:r>
      <w:r w:rsidR="006D58ED">
        <w:rPr>
          <w:szCs w:val="20"/>
          <w:lang w:val="en-GB"/>
        </w:rPr>
        <w:t>Confer tool</w:t>
      </w:r>
      <w:r w:rsidRPr="00CC141D">
        <w:rPr>
          <w:szCs w:val="20"/>
          <w:lang w:val="en-GB"/>
        </w:rPr>
        <w:t>, and so we have back-up options available if any of these proposed evaluation scenarios fall through</w:t>
      </w:r>
      <w:r>
        <w:rPr>
          <w:szCs w:val="20"/>
          <w:lang w:val="en-GB"/>
        </w:rPr>
        <w:t>.</w:t>
      </w:r>
    </w:p>
    <w:p w:rsidR="00111A4B" w:rsidRDefault="00111A4B" w:rsidP="00773AEC">
      <w:pPr>
        <w:widowControl/>
        <w:jc w:val="both"/>
        <w:rPr>
          <w:b/>
          <w:bCs/>
          <w:lang w:val="en-GB"/>
        </w:rPr>
      </w:pPr>
    </w:p>
    <w:p w:rsidR="002853CF" w:rsidRDefault="002853CF" w:rsidP="00773AEC">
      <w:pPr>
        <w:widowControl/>
        <w:jc w:val="both"/>
        <w:rPr>
          <w:b/>
          <w:bCs/>
          <w:lang w:val="en-GB"/>
        </w:rPr>
      </w:pPr>
      <w:r>
        <w:rPr>
          <w:b/>
          <w:bCs/>
          <w:lang w:val="en-GB"/>
        </w:rPr>
        <w:t>Acknowledgments</w:t>
      </w:r>
    </w:p>
    <w:p w:rsidR="002853CF" w:rsidRDefault="002853CF" w:rsidP="00773AEC">
      <w:pPr>
        <w:widowControl/>
        <w:jc w:val="both"/>
        <w:rPr>
          <w:bCs/>
          <w:lang w:val="en-GB"/>
        </w:rPr>
      </w:pPr>
      <w:r w:rsidRPr="002853CF">
        <w:rPr>
          <w:bCs/>
          <w:lang w:val="en-GB"/>
        </w:rPr>
        <w:t>We acknowledge the input of users</w:t>
      </w:r>
      <w:r>
        <w:rPr>
          <w:bCs/>
          <w:lang w:val="en-GB"/>
        </w:rPr>
        <w:t xml:space="preserve"> &amp; James Griffin (UWE)</w:t>
      </w:r>
      <w:r w:rsidRPr="002853CF">
        <w:rPr>
          <w:bCs/>
          <w:lang w:val="en-GB"/>
        </w:rPr>
        <w:t>. Learning Layers is a 7th Framework Large-scale integrating project co-funded by the European Commission; Grant Agreement Number 318209.</w:t>
      </w:r>
    </w:p>
    <w:p w:rsidR="002853CF" w:rsidRPr="002853CF" w:rsidRDefault="002853CF" w:rsidP="00773AEC">
      <w:pPr>
        <w:widowControl/>
        <w:jc w:val="both"/>
        <w:rPr>
          <w:bCs/>
          <w:lang w:val="en-GB"/>
        </w:rPr>
      </w:pPr>
    </w:p>
    <w:p w:rsidR="00C9545F" w:rsidRPr="00111A4B" w:rsidRDefault="00C9545F" w:rsidP="00111A4B">
      <w:pPr>
        <w:widowControl/>
        <w:jc w:val="both"/>
        <w:rPr>
          <w:lang w:val="en-GB"/>
        </w:rPr>
      </w:pPr>
      <w:r w:rsidRPr="00C33962">
        <w:rPr>
          <w:b/>
          <w:bCs/>
          <w:lang w:val="en-GB"/>
        </w:rPr>
        <w:t>References</w:t>
      </w:r>
    </w:p>
    <w:p w:rsidR="00D61FB6" w:rsidRDefault="00D61FB6" w:rsidP="00347DC6">
      <w:pPr>
        <w:ind w:left="567" w:hanging="567"/>
        <w:jc w:val="both"/>
        <w:rPr>
          <w:szCs w:val="23"/>
          <w:lang w:val="en-GB"/>
        </w:rPr>
      </w:pPr>
      <w:r w:rsidRPr="00D61FB6">
        <w:rPr>
          <w:szCs w:val="23"/>
          <w:lang w:val="en-GB"/>
        </w:rPr>
        <w:t xml:space="preserve">Bernstein, B. (1990). </w:t>
      </w:r>
      <w:proofErr w:type="gramStart"/>
      <w:r w:rsidRPr="00027F48">
        <w:rPr>
          <w:i/>
          <w:szCs w:val="23"/>
          <w:lang w:val="en-GB"/>
        </w:rPr>
        <w:t>The Structuring of Pedagogic Discourse.</w:t>
      </w:r>
      <w:proofErr w:type="gramEnd"/>
      <w:r w:rsidRPr="00D61FB6">
        <w:rPr>
          <w:szCs w:val="23"/>
          <w:lang w:val="en-GB"/>
        </w:rPr>
        <w:t xml:space="preserve"> Vol 4, Class, Codes and Control, London: Routledge.</w:t>
      </w:r>
    </w:p>
    <w:p w:rsidR="00347DC6" w:rsidRDefault="00E60CBA" w:rsidP="00347DC6">
      <w:pPr>
        <w:ind w:left="567" w:hanging="567"/>
        <w:jc w:val="both"/>
        <w:rPr>
          <w:szCs w:val="23"/>
          <w:lang w:val="en-GB"/>
        </w:rPr>
      </w:pPr>
      <w:r w:rsidRPr="00E60CBA">
        <w:rPr>
          <w:szCs w:val="23"/>
          <w:lang w:val="en-GB"/>
        </w:rPr>
        <w:t xml:space="preserve">Cook, J. (2015). </w:t>
      </w:r>
      <w:r w:rsidRPr="00027F48">
        <w:rPr>
          <w:i/>
          <w:szCs w:val="23"/>
          <w:lang w:val="en-GB"/>
        </w:rPr>
        <w:t>Post-Vygotskian Perspectives on Learning and Research: A Critical Literature Review.</w:t>
      </w:r>
      <w:r w:rsidRPr="00E60CBA">
        <w:rPr>
          <w:szCs w:val="23"/>
          <w:lang w:val="en-GB"/>
        </w:rPr>
        <w:t xml:space="preserve"> </w:t>
      </w:r>
      <w:proofErr w:type="gramStart"/>
      <w:r w:rsidRPr="00E60CBA">
        <w:rPr>
          <w:szCs w:val="23"/>
          <w:lang w:val="en-GB"/>
        </w:rPr>
        <w:t>Learning Layers report from UWE Bristol, UK.</w:t>
      </w:r>
      <w:proofErr w:type="gramEnd"/>
      <w:r w:rsidRPr="00E60CBA">
        <w:rPr>
          <w:szCs w:val="23"/>
          <w:lang w:val="en-GB"/>
        </w:rPr>
        <w:t xml:space="preserve"> Available: </w:t>
      </w:r>
      <w:hyperlink r:id="rId23" w:history="1">
        <w:r w:rsidRPr="007A1455">
          <w:rPr>
            <w:rStyle w:val="Hyperlink"/>
            <w:szCs w:val="23"/>
            <w:lang w:val="en-GB"/>
          </w:rPr>
          <w:t>https://goo.gl/vgaHmy</w:t>
        </w:r>
      </w:hyperlink>
    </w:p>
    <w:p w:rsidR="00C33962" w:rsidRDefault="00C33962" w:rsidP="00347DC6">
      <w:pPr>
        <w:ind w:left="567" w:hanging="567"/>
        <w:jc w:val="both"/>
        <w:rPr>
          <w:szCs w:val="23"/>
          <w:lang w:val="en-GB"/>
        </w:rPr>
      </w:pPr>
      <w:proofErr w:type="gramStart"/>
      <w:r w:rsidRPr="00C33962">
        <w:rPr>
          <w:szCs w:val="23"/>
          <w:lang w:val="en-GB"/>
        </w:rPr>
        <w:t>Cook,</w:t>
      </w:r>
      <w:proofErr w:type="gramEnd"/>
      <w:r w:rsidRPr="00C33962">
        <w:rPr>
          <w:szCs w:val="23"/>
          <w:lang w:val="en-GB"/>
        </w:rPr>
        <w:t xml:space="preserve"> J. and Santos, P. (2014). Social Network Innovation in the Internet’s Global Coffeehouses: Designing a Mobile Help Seeking Tool in Learning Layers. </w:t>
      </w:r>
      <w:proofErr w:type="gramStart"/>
      <w:r w:rsidRPr="00027F48">
        <w:rPr>
          <w:i/>
          <w:szCs w:val="23"/>
          <w:lang w:val="en-GB"/>
        </w:rPr>
        <w:t>Educational Media International,</w:t>
      </w:r>
      <w:r>
        <w:rPr>
          <w:szCs w:val="23"/>
          <w:lang w:val="en-GB"/>
        </w:rPr>
        <w:t xml:space="preserve"> 51(3)</w:t>
      </w:r>
      <w:r w:rsidRPr="00C33962">
        <w:rPr>
          <w:szCs w:val="23"/>
          <w:lang w:val="en-GB"/>
        </w:rPr>
        <w:t>.</w:t>
      </w:r>
      <w:proofErr w:type="gramEnd"/>
      <w:r w:rsidRPr="00C33962">
        <w:rPr>
          <w:szCs w:val="23"/>
          <w:lang w:val="en-GB"/>
        </w:rPr>
        <w:t xml:space="preserve"> Link to paper: </w:t>
      </w:r>
      <w:hyperlink r:id="rId24" w:history="1">
        <w:r w:rsidRPr="007A1455">
          <w:rPr>
            <w:rStyle w:val="Hyperlink"/>
            <w:szCs w:val="23"/>
            <w:lang w:val="en-GB"/>
          </w:rPr>
          <w:t>http://tinyurl.com/oh6qzf7</w:t>
        </w:r>
      </w:hyperlink>
      <w:r>
        <w:rPr>
          <w:szCs w:val="23"/>
          <w:lang w:val="en-GB"/>
        </w:rPr>
        <w:t xml:space="preserve"> </w:t>
      </w:r>
    </w:p>
    <w:p w:rsidR="00E60CBA" w:rsidRDefault="00E60CBA" w:rsidP="00347DC6">
      <w:pPr>
        <w:ind w:left="567" w:hanging="567"/>
        <w:jc w:val="both"/>
        <w:rPr>
          <w:szCs w:val="23"/>
          <w:lang w:val="en-GB"/>
        </w:rPr>
      </w:pPr>
      <w:r w:rsidRPr="00E60CBA">
        <w:rPr>
          <w:szCs w:val="23"/>
          <w:lang w:val="en-GB"/>
        </w:rPr>
        <w:t xml:space="preserve">Daniels, H. (2008). </w:t>
      </w:r>
      <w:proofErr w:type="gramStart"/>
      <w:r w:rsidRPr="00027F48">
        <w:rPr>
          <w:i/>
          <w:szCs w:val="23"/>
          <w:lang w:val="en-GB"/>
        </w:rPr>
        <w:t>Vygotsky and Research.</w:t>
      </w:r>
      <w:proofErr w:type="gramEnd"/>
      <w:r w:rsidRPr="00E60CBA">
        <w:rPr>
          <w:szCs w:val="23"/>
          <w:lang w:val="en-GB"/>
        </w:rPr>
        <w:t xml:space="preserve"> Routledge, UK.</w:t>
      </w:r>
    </w:p>
    <w:p w:rsidR="00A01D00" w:rsidRDefault="00A01D00" w:rsidP="00347DC6">
      <w:pPr>
        <w:ind w:left="567" w:hanging="567"/>
        <w:jc w:val="both"/>
        <w:rPr>
          <w:szCs w:val="23"/>
          <w:lang w:val="en-GB"/>
        </w:rPr>
      </w:pPr>
      <w:proofErr w:type="gramStart"/>
      <w:r w:rsidRPr="00A01D00">
        <w:rPr>
          <w:szCs w:val="23"/>
          <w:lang w:val="en-GB"/>
        </w:rPr>
        <w:t xml:space="preserve">De </w:t>
      </w:r>
      <w:proofErr w:type="spellStart"/>
      <w:r w:rsidRPr="00A01D00">
        <w:rPr>
          <w:szCs w:val="23"/>
          <w:lang w:val="en-GB"/>
        </w:rPr>
        <w:t>Laat</w:t>
      </w:r>
      <w:proofErr w:type="spellEnd"/>
      <w:r w:rsidRPr="00A01D00">
        <w:rPr>
          <w:szCs w:val="23"/>
          <w:lang w:val="en-GB"/>
        </w:rPr>
        <w:t>, M. F., and Simons, P. R. J. (2002).</w:t>
      </w:r>
      <w:proofErr w:type="gramEnd"/>
      <w:r w:rsidRPr="00A01D00">
        <w:rPr>
          <w:szCs w:val="23"/>
          <w:lang w:val="en-GB"/>
        </w:rPr>
        <w:t xml:space="preserve"> Collectiv</w:t>
      </w:r>
      <w:r w:rsidR="00027F48">
        <w:rPr>
          <w:szCs w:val="23"/>
          <w:lang w:val="en-GB"/>
        </w:rPr>
        <w:t>e learning: Theoretical perspec</w:t>
      </w:r>
      <w:r w:rsidRPr="00A01D00">
        <w:rPr>
          <w:szCs w:val="23"/>
          <w:lang w:val="en-GB"/>
        </w:rPr>
        <w:t xml:space="preserve">tives and ways to support networked learning. </w:t>
      </w:r>
      <w:r w:rsidRPr="00027F48">
        <w:rPr>
          <w:i/>
          <w:szCs w:val="23"/>
          <w:lang w:val="en-GB"/>
        </w:rPr>
        <w:t xml:space="preserve">European Journal for Vocational Training, </w:t>
      </w:r>
      <w:r w:rsidRPr="00A01D00">
        <w:rPr>
          <w:szCs w:val="23"/>
          <w:lang w:val="en-GB"/>
        </w:rPr>
        <w:t>27(3), 13-24.</w:t>
      </w:r>
    </w:p>
    <w:p w:rsidR="001B3D68" w:rsidRDefault="001B3D68" w:rsidP="00347DC6">
      <w:pPr>
        <w:ind w:left="567" w:hanging="567"/>
        <w:jc w:val="both"/>
        <w:rPr>
          <w:szCs w:val="23"/>
          <w:lang w:val="en-GB"/>
        </w:rPr>
      </w:pPr>
      <w:proofErr w:type="gramStart"/>
      <w:r w:rsidRPr="001B3D68">
        <w:rPr>
          <w:szCs w:val="23"/>
          <w:lang w:val="en-GB"/>
        </w:rPr>
        <w:t xml:space="preserve">Kelly, A. E., </w:t>
      </w:r>
      <w:proofErr w:type="spellStart"/>
      <w:r w:rsidRPr="001B3D68">
        <w:rPr>
          <w:szCs w:val="23"/>
          <w:lang w:val="en-GB"/>
        </w:rPr>
        <w:t>Lesh</w:t>
      </w:r>
      <w:proofErr w:type="spellEnd"/>
      <w:r w:rsidRPr="001B3D68">
        <w:rPr>
          <w:szCs w:val="23"/>
          <w:lang w:val="en-GB"/>
        </w:rPr>
        <w:t xml:space="preserve">, R., &amp; </w:t>
      </w:r>
      <w:proofErr w:type="spellStart"/>
      <w:r w:rsidRPr="001B3D68">
        <w:rPr>
          <w:szCs w:val="23"/>
          <w:lang w:val="en-GB"/>
        </w:rPr>
        <w:t>Baek</w:t>
      </w:r>
      <w:proofErr w:type="spellEnd"/>
      <w:r w:rsidRPr="001B3D68">
        <w:rPr>
          <w:szCs w:val="23"/>
          <w:lang w:val="en-GB"/>
        </w:rPr>
        <w:t>, J. (2008).</w:t>
      </w:r>
      <w:proofErr w:type="gramEnd"/>
      <w:r w:rsidRPr="001B3D68">
        <w:rPr>
          <w:szCs w:val="23"/>
          <w:lang w:val="en-GB"/>
        </w:rPr>
        <w:t xml:space="preserve"> </w:t>
      </w:r>
      <w:r w:rsidRPr="00027F48">
        <w:rPr>
          <w:i/>
          <w:szCs w:val="23"/>
          <w:lang w:val="en-GB"/>
        </w:rPr>
        <w:t>Handbook of design research methods in education:</w:t>
      </w:r>
      <w:r w:rsidR="00347DC6" w:rsidRPr="00027F48">
        <w:rPr>
          <w:i/>
          <w:szCs w:val="23"/>
          <w:lang w:val="en-GB"/>
        </w:rPr>
        <w:t xml:space="preserve"> </w:t>
      </w:r>
      <w:r w:rsidRPr="00027F48">
        <w:rPr>
          <w:i/>
          <w:szCs w:val="23"/>
          <w:lang w:val="en-GB"/>
        </w:rPr>
        <w:t>Innovation in science, technology, engineering, and mathematics learning and teaching.</w:t>
      </w:r>
      <w:r w:rsidR="00347DC6">
        <w:rPr>
          <w:szCs w:val="23"/>
          <w:lang w:val="en-GB"/>
        </w:rPr>
        <w:t xml:space="preserve"> </w:t>
      </w:r>
      <w:r w:rsidRPr="001B3D68">
        <w:rPr>
          <w:szCs w:val="23"/>
          <w:lang w:val="en-GB"/>
        </w:rPr>
        <w:t>New York: Routledge.</w:t>
      </w:r>
    </w:p>
    <w:p w:rsidR="00EB27A4" w:rsidRDefault="00D06C93" w:rsidP="00347DC6">
      <w:pPr>
        <w:ind w:left="567" w:hanging="567"/>
        <w:jc w:val="both"/>
        <w:rPr>
          <w:szCs w:val="23"/>
          <w:lang w:val="en-GB"/>
        </w:rPr>
      </w:pPr>
      <w:proofErr w:type="spellStart"/>
      <w:proofErr w:type="gramStart"/>
      <w:r>
        <w:rPr>
          <w:szCs w:val="23"/>
          <w:lang w:val="en-GB"/>
        </w:rPr>
        <w:t>McKenney</w:t>
      </w:r>
      <w:proofErr w:type="spellEnd"/>
      <w:r>
        <w:rPr>
          <w:szCs w:val="23"/>
          <w:lang w:val="en-GB"/>
        </w:rPr>
        <w:t xml:space="preserve">, S. and </w:t>
      </w:r>
      <w:r w:rsidR="00E10C1F" w:rsidRPr="00E10C1F">
        <w:rPr>
          <w:szCs w:val="23"/>
          <w:lang w:val="en-GB"/>
        </w:rPr>
        <w:t>Reeves, T. (2012).</w:t>
      </w:r>
      <w:proofErr w:type="gramEnd"/>
      <w:r w:rsidR="00E10C1F" w:rsidRPr="00E10C1F">
        <w:rPr>
          <w:szCs w:val="23"/>
          <w:lang w:val="en-GB"/>
        </w:rPr>
        <w:t xml:space="preserve"> </w:t>
      </w:r>
      <w:proofErr w:type="gramStart"/>
      <w:r w:rsidR="00E10C1F" w:rsidRPr="00027F48">
        <w:rPr>
          <w:i/>
          <w:szCs w:val="23"/>
          <w:lang w:val="en-GB"/>
        </w:rPr>
        <w:t>Conducting Educational Design Research.</w:t>
      </w:r>
      <w:proofErr w:type="gramEnd"/>
      <w:r w:rsidR="00E10C1F" w:rsidRPr="00027F48">
        <w:rPr>
          <w:i/>
          <w:szCs w:val="23"/>
          <w:lang w:val="en-GB"/>
        </w:rPr>
        <w:t xml:space="preserve"> </w:t>
      </w:r>
      <w:r w:rsidR="00E10C1F" w:rsidRPr="00E10C1F">
        <w:rPr>
          <w:szCs w:val="23"/>
          <w:lang w:val="en-GB"/>
        </w:rPr>
        <w:t>London:</w:t>
      </w:r>
      <w:r w:rsidR="00347DC6">
        <w:rPr>
          <w:szCs w:val="23"/>
          <w:lang w:val="en-GB"/>
        </w:rPr>
        <w:t xml:space="preserve"> </w:t>
      </w:r>
      <w:r w:rsidR="00E10C1F" w:rsidRPr="00E10C1F">
        <w:rPr>
          <w:szCs w:val="23"/>
          <w:lang w:val="en-GB"/>
        </w:rPr>
        <w:t>Routledge.</w:t>
      </w:r>
    </w:p>
    <w:p w:rsidR="00EB27A4" w:rsidRPr="00EB27A4" w:rsidRDefault="00EB27A4" w:rsidP="00347DC6">
      <w:pPr>
        <w:ind w:left="567" w:hanging="567"/>
        <w:jc w:val="both"/>
        <w:rPr>
          <w:szCs w:val="23"/>
          <w:lang w:val="en-GB"/>
        </w:rPr>
      </w:pPr>
      <w:proofErr w:type="spellStart"/>
      <w:proofErr w:type="gramStart"/>
      <w:r w:rsidRPr="00EB27A4">
        <w:rPr>
          <w:szCs w:val="23"/>
          <w:lang w:val="en-GB"/>
        </w:rPr>
        <w:t>Mor</w:t>
      </w:r>
      <w:proofErr w:type="spellEnd"/>
      <w:proofErr w:type="gramEnd"/>
      <w:r w:rsidRPr="00EB27A4">
        <w:rPr>
          <w:szCs w:val="23"/>
          <w:lang w:val="en-GB"/>
        </w:rPr>
        <w:t>, Y., Warburton, S. &amp; Winters, N. (2012). Participatory Pattern Workshops: A Methodology</w:t>
      </w:r>
    </w:p>
    <w:p w:rsidR="001B3D68" w:rsidRDefault="00EB27A4" w:rsidP="00347DC6">
      <w:pPr>
        <w:ind w:left="567" w:hanging="567"/>
        <w:jc w:val="both"/>
        <w:rPr>
          <w:szCs w:val="23"/>
          <w:lang w:val="en-GB"/>
        </w:rPr>
      </w:pPr>
      <w:proofErr w:type="gramStart"/>
      <w:r w:rsidRPr="00EB27A4">
        <w:rPr>
          <w:szCs w:val="23"/>
          <w:lang w:val="en-GB"/>
        </w:rPr>
        <w:t>for</w:t>
      </w:r>
      <w:proofErr w:type="gramEnd"/>
      <w:r w:rsidRPr="00EB27A4">
        <w:rPr>
          <w:szCs w:val="23"/>
          <w:lang w:val="en-GB"/>
        </w:rPr>
        <w:t xml:space="preserve"> Open Learning Design Inquiry. </w:t>
      </w:r>
      <w:proofErr w:type="gramStart"/>
      <w:r w:rsidRPr="00027F48">
        <w:rPr>
          <w:i/>
          <w:szCs w:val="23"/>
          <w:lang w:val="en-GB"/>
        </w:rPr>
        <w:t>Research in Learning Technology,</w:t>
      </w:r>
      <w:r w:rsidRPr="00EB27A4">
        <w:rPr>
          <w:szCs w:val="23"/>
          <w:lang w:val="en-GB"/>
        </w:rPr>
        <w:t xml:space="preserve"> 20.</w:t>
      </w:r>
      <w:proofErr w:type="gramEnd"/>
    </w:p>
    <w:p w:rsidR="00E60CBA" w:rsidRDefault="00E60CBA" w:rsidP="00347DC6">
      <w:pPr>
        <w:ind w:left="567" w:hanging="567"/>
        <w:jc w:val="both"/>
        <w:rPr>
          <w:szCs w:val="23"/>
          <w:lang w:val="en-GB"/>
        </w:rPr>
      </w:pPr>
      <w:proofErr w:type="spellStart"/>
      <w:proofErr w:type="gramStart"/>
      <w:r w:rsidRPr="00E60CBA">
        <w:rPr>
          <w:szCs w:val="23"/>
          <w:lang w:val="en-GB"/>
        </w:rPr>
        <w:t>Muukkonen</w:t>
      </w:r>
      <w:proofErr w:type="spellEnd"/>
      <w:r w:rsidRPr="00E60CBA">
        <w:rPr>
          <w:szCs w:val="23"/>
          <w:lang w:val="en-GB"/>
        </w:rPr>
        <w:t xml:space="preserve">, H., </w:t>
      </w:r>
      <w:proofErr w:type="spellStart"/>
      <w:r w:rsidRPr="00E60CBA">
        <w:rPr>
          <w:szCs w:val="23"/>
          <w:lang w:val="en-GB"/>
        </w:rPr>
        <w:t>Hakkarainen</w:t>
      </w:r>
      <w:proofErr w:type="spellEnd"/>
      <w:r w:rsidRPr="00E60CBA">
        <w:rPr>
          <w:szCs w:val="23"/>
          <w:lang w:val="en-GB"/>
        </w:rPr>
        <w:t xml:space="preserve">, K. &amp; </w:t>
      </w:r>
      <w:proofErr w:type="spellStart"/>
      <w:r w:rsidRPr="00E60CBA">
        <w:rPr>
          <w:szCs w:val="23"/>
          <w:lang w:val="en-GB"/>
        </w:rPr>
        <w:t>Lakkala</w:t>
      </w:r>
      <w:proofErr w:type="spellEnd"/>
      <w:r w:rsidRPr="00E60CBA">
        <w:rPr>
          <w:szCs w:val="23"/>
          <w:lang w:val="en-GB"/>
        </w:rPr>
        <w:t>, M. (1999).</w:t>
      </w:r>
      <w:proofErr w:type="gramEnd"/>
      <w:r w:rsidRPr="00E60CBA">
        <w:rPr>
          <w:szCs w:val="23"/>
          <w:lang w:val="en-GB"/>
        </w:rPr>
        <w:t xml:space="preserve"> Collaborative technology for facilitating progressive inquiry: future learning environment tools. In C. M. </w:t>
      </w:r>
      <w:proofErr w:type="spellStart"/>
      <w:r w:rsidRPr="00E60CBA">
        <w:rPr>
          <w:szCs w:val="23"/>
          <w:lang w:val="en-GB"/>
        </w:rPr>
        <w:t>Hoadley</w:t>
      </w:r>
      <w:proofErr w:type="spellEnd"/>
      <w:r w:rsidRPr="00E60CBA">
        <w:rPr>
          <w:szCs w:val="23"/>
          <w:lang w:val="en-GB"/>
        </w:rPr>
        <w:t xml:space="preserve"> &amp; J. </w:t>
      </w:r>
      <w:proofErr w:type="spellStart"/>
      <w:r w:rsidRPr="00E60CBA">
        <w:rPr>
          <w:szCs w:val="23"/>
          <w:lang w:val="en-GB"/>
        </w:rPr>
        <w:t>Roschelle</w:t>
      </w:r>
      <w:proofErr w:type="spellEnd"/>
      <w:r w:rsidRPr="00E60CBA">
        <w:rPr>
          <w:szCs w:val="23"/>
          <w:lang w:val="en-GB"/>
        </w:rPr>
        <w:t xml:space="preserve"> (eds.), </w:t>
      </w:r>
      <w:r w:rsidRPr="00027F48">
        <w:rPr>
          <w:i/>
          <w:szCs w:val="23"/>
          <w:lang w:val="en-GB"/>
        </w:rPr>
        <w:t xml:space="preserve">CSCL </w:t>
      </w:r>
      <w:r w:rsidRPr="00E60CBA">
        <w:rPr>
          <w:szCs w:val="23"/>
          <w:lang w:val="en-GB"/>
        </w:rPr>
        <w:t xml:space="preserve">(pp. 51), </w:t>
      </w:r>
      <w:r w:rsidRPr="00D06C93">
        <w:rPr>
          <w:i/>
          <w:szCs w:val="23"/>
          <w:lang w:val="en-GB"/>
        </w:rPr>
        <w:t>International Society of the Learning Sciences</w:t>
      </w:r>
      <w:r w:rsidRPr="00E60CBA">
        <w:rPr>
          <w:szCs w:val="23"/>
          <w:lang w:val="en-GB"/>
        </w:rPr>
        <w:t>.</w:t>
      </w:r>
    </w:p>
    <w:p w:rsidR="00E60CBA" w:rsidRDefault="00E60CBA" w:rsidP="00347DC6">
      <w:pPr>
        <w:ind w:left="567" w:hanging="567"/>
        <w:jc w:val="both"/>
        <w:rPr>
          <w:szCs w:val="23"/>
          <w:lang w:val="en-GB"/>
        </w:rPr>
      </w:pPr>
      <w:proofErr w:type="spellStart"/>
      <w:proofErr w:type="gramStart"/>
      <w:r w:rsidRPr="00E60CBA">
        <w:rPr>
          <w:szCs w:val="23"/>
          <w:lang w:val="en-GB"/>
        </w:rPr>
        <w:t>Scardamalia</w:t>
      </w:r>
      <w:proofErr w:type="spellEnd"/>
      <w:r w:rsidRPr="00E60CBA">
        <w:rPr>
          <w:szCs w:val="23"/>
          <w:lang w:val="en-GB"/>
        </w:rPr>
        <w:t xml:space="preserve">, M., &amp; </w:t>
      </w:r>
      <w:proofErr w:type="spellStart"/>
      <w:r w:rsidRPr="00E60CBA">
        <w:rPr>
          <w:szCs w:val="23"/>
          <w:lang w:val="en-GB"/>
        </w:rPr>
        <w:t>Bereiter</w:t>
      </w:r>
      <w:proofErr w:type="spellEnd"/>
      <w:r w:rsidRPr="00E60CBA">
        <w:rPr>
          <w:szCs w:val="23"/>
          <w:lang w:val="en-GB"/>
        </w:rPr>
        <w:t>, C. (2006).</w:t>
      </w:r>
      <w:proofErr w:type="gramEnd"/>
      <w:r w:rsidRPr="00E60CBA">
        <w:rPr>
          <w:szCs w:val="23"/>
          <w:lang w:val="en-GB"/>
        </w:rPr>
        <w:t xml:space="preserve"> Knowledge building: Theory, pedagogy, and technology. </w:t>
      </w:r>
      <w:proofErr w:type="gramStart"/>
      <w:r w:rsidRPr="00E60CBA">
        <w:rPr>
          <w:szCs w:val="23"/>
          <w:lang w:val="en-GB"/>
        </w:rPr>
        <w:t xml:space="preserve">In K. Sawyer (Ed.), </w:t>
      </w:r>
      <w:r w:rsidRPr="00027F48">
        <w:rPr>
          <w:i/>
          <w:szCs w:val="23"/>
          <w:lang w:val="en-GB"/>
        </w:rPr>
        <w:t>Cambridge Handbook of the Learning Sciences</w:t>
      </w:r>
      <w:r w:rsidRPr="00E60CBA">
        <w:rPr>
          <w:szCs w:val="23"/>
          <w:lang w:val="en-GB"/>
        </w:rPr>
        <w:t xml:space="preserve"> (pp. 97-118).</w:t>
      </w:r>
      <w:proofErr w:type="gramEnd"/>
      <w:r w:rsidRPr="00E60CBA">
        <w:rPr>
          <w:szCs w:val="23"/>
          <w:lang w:val="en-GB"/>
        </w:rPr>
        <w:t xml:space="preserve"> New York: Cambridge University Press.</w:t>
      </w:r>
    </w:p>
    <w:p w:rsidR="00E60CBA" w:rsidRDefault="00E60CBA" w:rsidP="00347DC6">
      <w:pPr>
        <w:ind w:left="567" w:hanging="567"/>
        <w:jc w:val="both"/>
        <w:rPr>
          <w:szCs w:val="23"/>
          <w:lang w:val="en-GB"/>
        </w:rPr>
      </w:pPr>
      <w:proofErr w:type="spellStart"/>
      <w:proofErr w:type="gramStart"/>
      <w:r w:rsidRPr="00E60CBA">
        <w:rPr>
          <w:szCs w:val="23"/>
          <w:lang w:val="en-GB"/>
        </w:rPr>
        <w:t>Shadbolt</w:t>
      </w:r>
      <w:proofErr w:type="spellEnd"/>
      <w:r w:rsidRPr="00E60CBA">
        <w:rPr>
          <w:szCs w:val="23"/>
          <w:lang w:val="en-GB"/>
        </w:rPr>
        <w:t xml:space="preserve">, N., Smith, D. A., </w:t>
      </w:r>
      <w:proofErr w:type="spellStart"/>
      <w:r w:rsidRPr="00E60CBA">
        <w:rPr>
          <w:szCs w:val="23"/>
          <w:lang w:val="en-GB"/>
        </w:rPr>
        <w:t>Simperl</w:t>
      </w:r>
      <w:proofErr w:type="spellEnd"/>
      <w:r w:rsidRPr="00E60CBA">
        <w:rPr>
          <w:szCs w:val="23"/>
          <w:lang w:val="en-GB"/>
        </w:rPr>
        <w:t xml:space="preserve">, E., Van </w:t>
      </w:r>
      <w:proofErr w:type="spellStart"/>
      <w:r w:rsidRPr="00E60CBA">
        <w:rPr>
          <w:szCs w:val="23"/>
          <w:lang w:val="en-GB"/>
        </w:rPr>
        <w:t>Kleek</w:t>
      </w:r>
      <w:proofErr w:type="spellEnd"/>
      <w:r w:rsidRPr="00E60CBA">
        <w:rPr>
          <w:szCs w:val="23"/>
          <w:lang w:val="en-GB"/>
        </w:rPr>
        <w:t>, M., Yang, &amp; Y. Hall, H. (2013).</w:t>
      </w:r>
      <w:proofErr w:type="gramEnd"/>
      <w:r w:rsidRPr="00E60CBA">
        <w:rPr>
          <w:szCs w:val="23"/>
          <w:lang w:val="en-GB"/>
        </w:rPr>
        <w:t xml:space="preserve"> </w:t>
      </w:r>
      <w:proofErr w:type="gramStart"/>
      <w:r w:rsidRPr="00027F48">
        <w:rPr>
          <w:i/>
          <w:szCs w:val="23"/>
          <w:lang w:val="en-GB"/>
        </w:rPr>
        <w:t>Towards a classification framework for social machines.</w:t>
      </w:r>
      <w:proofErr w:type="gramEnd"/>
      <w:r w:rsidRPr="00E60CBA">
        <w:rPr>
          <w:szCs w:val="23"/>
          <w:lang w:val="en-GB"/>
        </w:rPr>
        <w:t xml:space="preserve"> SOCM2013: Workshop on Theory and Practice of social machines, WWW2013, Brazil.</w:t>
      </w:r>
    </w:p>
    <w:p w:rsidR="00E60CBA" w:rsidRPr="00425924" w:rsidRDefault="00C33962" w:rsidP="00347DC6">
      <w:pPr>
        <w:ind w:left="567" w:hanging="567"/>
        <w:jc w:val="both"/>
        <w:rPr>
          <w:szCs w:val="23"/>
          <w:lang w:val="en-GB"/>
        </w:rPr>
      </w:pPr>
      <w:r w:rsidRPr="00C33962">
        <w:rPr>
          <w:szCs w:val="23"/>
          <w:lang w:val="en-GB"/>
        </w:rPr>
        <w:t xml:space="preserve">Vygotsky, L. S. (1930/1978). </w:t>
      </w:r>
      <w:proofErr w:type="gramStart"/>
      <w:r w:rsidRPr="00027F48">
        <w:rPr>
          <w:i/>
          <w:szCs w:val="23"/>
          <w:lang w:val="en-GB"/>
        </w:rPr>
        <w:t>Mind in society: The development of higher psychological processes.</w:t>
      </w:r>
      <w:proofErr w:type="gramEnd"/>
      <w:r w:rsidRPr="00C33962">
        <w:rPr>
          <w:szCs w:val="23"/>
          <w:lang w:val="en-GB"/>
        </w:rPr>
        <w:t xml:space="preserve"> </w:t>
      </w:r>
      <w:r w:rsidR="00027F48" w:rsidRPr="00C33962">
        <w:rPr>
          <w:szCs w:val="23"/>
          <w:lang w:val="en-GB"/>
        </w:rPr>
        <w:t>In M. Cole, V. John-Stein</w:t>
      </w:r>
      <w:r w:rsidR="00027F48">
        <w:rPr>
          <w:szCs w:val="23"/>
          <w:lang w:val="en-GB"/>
        </w:rPr>
        <w:t xml:space="preserve">er, S. Scribner, &amp; E. </w:t>
      </w:r>
      <w:proofErr w:type="spellStart"/>
      <w:r w:rsidR="00027F48">
        <w:rPr>
          <w:szCs w:val="23"/>
          <w:lang w:val="en-GB"/>
        </w:rPr>
        <w:t>Souberman</w:t>
      </w:r>
      <w:proofErr w:type="spellEnd"/>
      <w:r w:rsidR="00027F48">
        <w:rPr>
          <w:szCs w:val="23"/>
          <w:lang w:val="en-GB"/>
        </w:rPr>
        <w:t xml:space="preserve"> </w:t>
      </w:r>
      <w:r w:rsidR="00027F48" w:rsidRPr="00C33962">
        <w:rPr>
          <w:szCs w:val="23"/>
          <w:lang w:val="en-GB"/>
        </w:rPr>
        <w:t>(Eds.),</w:t>
      </w:r>
      <w:r w:rsidR="00027F48">
        <w:rPr>
          <w:szCs w:val="23"/>
          <w:lang w:val="en-GB"/>
        </w:rPr>
        <w:t xml:space="preserve"> </w:t>
      </w:r>
      <w:r w:rsidRPr="00C33962">
        <w:rPr>
          <w:szCs w:val="23"/>
          <w:lang w:val="en-GB"/>
        </w:rPr>
        <w:t>Cambridge,</w:t>
      </w:r>
      <w:r>
        <w:rPr>
          <w:szCs w:val="23"/>
          <w:lang w:val="en-GB"/>
        </w:rPr>
        <w:t xml:space="preserve"> </w:t>
      </w:r>
      <w:r w:rsidRPr="00C33962">
        <w:rPr>
          <w:szCs w:val="23"/>
          <w:lang w:val="en-GB"/>
        </w:rPr>
        <w:t xml:space="preserve">MA: Harvard University Press. </w:t>
      </w:r>
      <w:proofErr w:type="gramStart"/>
      <w:r w:rsidRPr="00C33962">
        <w:rPr>
          <w:szCs w:val="23"/>
          <w:lang w:val="en-GB"/>
        </w:rPr>
        <w:t>Originally published 1930.</w:t>
      </w:r>
      <w:proofErr w:type="gramEnd"/>
    </w:p>
    <w:sectPr w:rsidR="00E60CBA" w:rsidRPr="00425924">
      <w:headerReference w:type="default" r:id="rId25"/>
      <w:footerReference w:type="default" r:id="rId26"/>
      <w:pgSz w:w="12240" w:h="15840" w:code="1"/>
      <w:pgMar w:top="1440" w:right="1620" w:bottom="144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E2" w:rsidRDefault="004930E2">
      <w:r>
        <w:separator/>
      </w:r>
    </w:p>
  </w:endnote>
  <w:endnote w:type="continuationSeparator" w:id="0">
    <w:p w:rsidR="004930E2" w:rsidRDefault="0049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1C" w:rsidRDefault="00FA0E1C">
    <w:pPr>
      <w:pStyle w:val="Foote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E2" w:rsidRDefault="004930E2">
      <w:r>
        <w:separator/>
      </w:r>
    </w:p>
  </w:footnote>
  <w:footnote w:type="continuationSeparator" w:id="0">
    <w:p w:rsidR="004930E2" w:rsidRDefault="004930E2">
      <w:r>
        <w:continuationSeparator/>
      </w:r>
    </w:p>
  </w:footnote>
  <w:footnote w:id="1">
    <w:p w:rsidR="00773AEC" w:rsidRDefault="00773AEC" w:rsidP="00773AEC">
      <w:pPr>
        <w:pStyle w:val="FootnoteText"/>
      </w:pPr>
      <w:r>
        <w:rPr>
          <w:rStyle w:val="FootnoteReference"/>
        </w:rPr>
        <w:footnoteRef/>
      </w:r>
      <w:r>
        <w:t xml:space="preserve"> ILDE is an Integrated Learning Design Environment used as an authoring tool and repository to collect our design principles and patterns. See: </w:t>
      </w:r>
      <w:hyperlink r:id="rId1" w:history="1">
        <w:r w:rsidRPr="00087E67">
          <w:rPr>
            <w:rStyle w:val="Hyperlink"/>
          </w:rPr>
          <w:t>http://ilde.upf.edu/about/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1C" w:rsidRDefault="00FA0E1C">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D8C"/>
    <w:multiLevelType w:val="hybridMultilevel"/>
    <w:tmpl w:val="05ECA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0572F0"/>
    <w:multiLevelType w:val="singleLevel"/>
    <w:tmpl w:val="FE3CE966"/>
    <w:lvl w:ilvl="0">
      <w:start w:val="1"/>
      <w:numFmt w:val="decimal"/>
      <w:pStyle w:val="ref3"/>
      <w:lvlText w:val="%1."/>
      <w:lvlJc w:val="left"/>
      <w:pPr>
        <w:tabs>
          <w:tab w:val="num" w:pos="1080"/>
        </w:tabs>
        <w:ind w:left="1080" w:hanging="360"/>
      </w:pPr>
      <w:rPr>
        <w:b w:val="0"/>
        <w:i w:val="0"/>
      </w:rPr>
    </w:lvl>
  </w:abstractNum>
  <w:abstractNum w:abstractNumId="2">
    <w:nsid w:val="0E0166B2"/>
    <w:multiLevelType w:val="hybridMultilevel"/>
    <w:tmpl w:val="10829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C2E37"/>
    <w:multiLevelType w:val="hybridMultilevel"/>
    <w:tmpl w:val="5084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9A7419"/>
    <w:multiLevelType w:val="hybridMultilevel"/>
    <w:tmpl w:val="55B2E1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7D311C"/>
    <w:multiLevelType w:val="hybridMultilevel"/>
    <w:tmpl w:val="53266D5C"/>
    <w:lvl w:ilvl="0" w:tplc="0784C4D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421DC5"/>
    <w:multiLevelType w:val="hybridMultilevel"/>
    <w:tmpl w:val="912E3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165375F"/>
    <w:multiLevelType w:val="singleLevel"/>
    <w:tmpl w:val="D0060E32"/>
    <w:lvl w:ilvl="0">
      <w:start w:val="2"/>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8">
    <w:nsid w:val="33017861"/>
    <w:multiLevelType w:val="hybridMultilevel"/>
    <w:tmpl w:val="0D1A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D301F9"/>
    <w:multiLevelType w:val="hybridMultilevel"/>
    <w:tmpl w:val="7BBEB8A6"/>
    <w:lvl w:ilvl="0" w:tplc="5F082C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1952098"/>
    <w:multiLevelType w:val="hybridMultilevel"/>
    <w:tmpl w:val="AF32BBE6"/>
    <w:lvl w:ilvl="0" w:tplc="523AE66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50715F"/>
    <w:multiLevelType w:val="hybridMultilevel"/>
    <w:tmpl w:val="51F48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1640CC"/>
    <w:multiLevelType w:val="hybridMultilevel"/>
    <w:tmpl w:val="F1781FE0"/>
    <w:lvl w:ilvl="0" w:tplc="0784C4D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726C85"/>
    <w:multiLevelType w:val="hybridMultilevel"/>
    <w:tmpl w:val="EB6E967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9B700A4"/>
    <w:multiLevelType w:val="hybridMultilevel"/>
    <w:tmpl w:val="4FBC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112BF7"/>
    <w:multiLevelType w:val="hybridMultilevel"/>
    <w:tmpl w:val="D2AC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5F7EEB"/>
    <w:multiLevelType w:val="multilevel"/>
    <w:tmpl w:val="905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525369"/>
    <w:multiLevelType w:val="multilevel"/>
    <w:tmpl w:val="5972C07C"/>
    <w:lvl w:ilvl="0">
      <w:start w:val="1"/>
      <w:numFmt w:val="decimal"/>
      <w:lvlText w:val="%1."/>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1">
      <w:start w:val="1"/>
      <w:numFmt w:val="decimal"/>
      <w:lvlText w:val="%1.%2."/>
      <w:lvlJc w:val="left"/>
      <w:pPr>
        <w:tabs>
          <w:tab w:val="num" w:pos="454"/>
        </w:tabs>
        <w:ind w:left="454" w:hanging="454"/>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2">
      <w:start w:val="1"/>
      <w:numFmt w:val="decimal"/>
      <w:lvlText w:val="%1.%2.%3."/>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3">
      <w:start w:val="1"/>
      <w:numFmt w:val="decimal"/>
      <w:lvlText w:val="%1.%2.%3.%4."/>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4">
      <w:start w:val="1"/>
      <w:numFmt w:val="decimal"/>
      <w:lvlText w:val="%1.%2.%3.%4.%5."/>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5">
      <w:start w:val="1"/>
      <w:numFmt w:val="decimal"/>
      <w:lvlText w:val="%1.%2.%3.%4.%5.%6."/>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6">
      <w:start w:val="1"/>
      <w:numFmt w:val="decimal"/>
      <w:lvlText w:val="%1.%2.%3.%4.%5.%6.%7."/>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7">
      <w:start w:val="1"/>
      <w:numFmt w:val="decimal"/>
      <w:lvlText w:val="%1.%2.%3.%4.%5.%6.%7.%8."/>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lvl w:ilvl="8">
      <w:start w:val="1"/>
      <w:numFmt w:val="decimal"/>
      <w:lvlText w:val="%1.%2.%3.%4.%5.%6.%7.%8.%9."/>
      <w:lvlJc w:val="left"/>
      <w:pPr>
        <w:tabs>
          <w:tab w:val="num" w:pos="106"/>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de-DE"/>
      </w:rPr>
    </w:lvl>
  </w:abstractNum>
  <w:abstractNum w:abstractNumId="18">
    <w:nsid w:val="731D76D4"/>
    <w:multiLevelType w:val="hybridMultilevel"/>
    <w:tmpl w:val="E6BA1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6"/>
  </w:num>
  <w:num w:numId="5">
    <w:abstractNumId w:val="6"/>
  </w:num>
  <w:num w:numId="6">
    <w:abstractNumId w:val="13"/>
  </w:num>
  <w:num w:numId="7">
    <w:abstractNumId w:val="4"/>
  </w:num>
  <w:num w:numId="8">
    <w:abstractNumId w:val="18"/>
  </w:num>
  <w:num w:numId="9">
    <w:abstractNumId w:val="11"/>
  </w:num>
  <w:num w:numId="10">
    <w:abstractNumId w:val="8"/>
  </w:num>
  <w:num w:numId="11">
    <w:abstractNumId w:val="14"/>
  </w:num>
  <w:num w:numId="12">
    <w:abstractNumId w:val="3"/>
  </w:num>
  <w:num w:numId="13">
    <w:abstractNumId w:val="10"/>
  </w:num>
  <w:num w:numId="14">
    <w:abstractNumId w:val="17"/>
  </w:num>
  <w:num w:numId="15">
    <w:abstractNumId w:val="9"/>
  </w:num>
  <w:num w:numId="16">
    <w:abstractNumId w:val="2"/>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2A"/>
    <w:rsid w:val="00013331"/>
    <w:rsid w:val="00016357"/>
    <w:rsid w:val="00024519"/>
    <w:rsid w:val="00027C05"/>
    <w:rsid w:val="00027F48"/>
    <w:rsid w:val="00034911"/>
    <w:rsid w:val="00037782"/>
    <w:rsid w:val="0004053E"/>
    <w:rsid w:val="000434C6"/>
    <w:rsid w:val="00043D8D"/>
    <w:rsid w:val="00044F2E"/>
    <w:rsid w:val="00052C85"/>
    <w:rsid w:val="000576CA"/>
    <w:rsid w:val="00057F17"/>
    <w:rsid w:val="00063BA4"/>
    <w:rsid w:val="00065B8C"/>
    <w:rsid w:val="000758F5"/>
    <w:rsid w:val="000949E1"/>
    <w:rsid w:val="00096210"/>
    <w:rsid w:val="000A0C2E"/>
    <w:rsid w:val="000A0F46"/>
    <w:rsid w:val="000A2BE0"/>
    <w:rsid w:val="000A47DD"/>
    <w:rsid w:val="000C6994"/>
    <w:rsid w:val="000C76FE"/>
    <w:rsid w:val="000D4B78"/>
    <w:rsid w:val="000D75AA"/>
    <w:rsid w:val="000E1F1E"/>
    <w:rsid w:val="000E56BF"/>
    <w:rsid w:val="000F3358"/>
    <w:rsid w:val="0010030A"/>
    <w:rsid w:val="00111A4B"/>
    <w:rsid w:val="0013523E"/>
    <w:rsid w:val="00137BA8"/>
    <w:rsid w:val="00142DF1"/>
    <w:rsid w:val="00143B1D"/>
    <w:rsid w:val="00145CC1"/>
    <w:rsid w:val="00171F36"/>
    <w:rsid w:val="00174F25"/>
    <w:rsid w:val="001756FA"/>
    <w:rsid w:val="00182269"/>
    <w:rsid w:val="00190754"/>
    <w:rsid w:val="00196070"/>
    <w:rsid w:val="0019626A"/>
    <w:rsid w:val="001A1854"/>
    <w:rsid w:val="001A26F1"/>
    <w:rsid w:val="001A2AB0"/>
    <w:rsid w:val="001A378A"/>
    <w:rsid w:val="001B3D68"/>
    <w:rsid w:val="001B4604"/>
    <w:rsid w:val="001D01DF"/>
    <w:rsid w:val="001D6310"/>
    <w:rsid w:val="001D684F"/>
    <w:rsid w:val="001F201B"/>
    <w:rsid w:val="00214F2E"/>
    <w:rsid w:val="002168CE"/>
    <w:rsid w:val="00233640"/>
    <w:rsid w:val="00237A97"/>
    <w:rsid w:val="002638F0"/>
    <w:rsid w:val="0026431A"/>
    <w:rsid w:val="00264C53"/>
    <w:rsid w:val="00273402"/>
    <w:rsid w:val="00284045"/>
    <w:rsid w:val="002853CF"/>
    <w:rsid w:val="002867C6"/>
    <w:rsid w:val="0028781F"/>
    <w:rsid w:val="00294780"/>
    <w:rsid w:val="002A78A5"/>
    <w:rsid w:val="002B62CF"/>
    <w:rsid w:val="002B7BB5"/>
    <w:rsid w:val="002C2BD2"/>
    <w:rsid w:val="002D7B66"/>
    <w:rsid w:val="002E7C8D"/>
    <w:rsid w:val="002F046F"/>
    <w:rsid w:val="002F304A"/>
    <w:rsid w:val="002F51EF"/>
    <w:rsid w:val="00306FC1"/>
    <w:rsid w:val="00310228"/>
    <w:rsid w:val="00311E70"/>
    <w:rsid w:val="00334A7B"/>
    <w:rsid w:val="00341EF4"/>
    <w:rsid w:val="00344E48"/>
    <w:rsid w:val="00347DC6"/>
    <w:rsid w:val="003519F2"/>
    <w:rsid w:val="00360388"/>
    <w:rsid w:val="00367049"/>
    <w:rsid w:val="00370047"/>
    <w:rsid w:val="00391750"/>
    <w:rsid w:val="00392AAA"/>
    <w:rsid w:val="003A7FBA"/>
    <w:rsid w:val="003B1D3A"/>
    <w:rsid w:val="003B4251"/>
    <w:rsid w:val="003B4F4C"/>
    <w:rsid w:val="003C06B2"/>
    <w:rsid w:val="003C0BA8"/>
    <w:rsid w:val="003C6957"/>
    <w:rsid w:val="003D1FCB"/>
    <w:rsid w:val="003D28DA"/>
    <w:rsid w:val="003D71CB"/>
    <w:rsid w:val="003E6DE8"/>
    <w:rsid w:val="003E7D29"/>
    <w:rsid w:val="003F19E3"/>
    <w:rsid w:val="003F406B"/>
    <w:rsid w:val="003F4B1D"/>
    <w:rsid w:val="004039D5"/>
    <w:rsid w:val="00413488"/>
    <w:rsid w:val="00421186"/>
    <w:rsid w:val="00425924"/>
    <w:rsid w:val="004417EE"/>
    <w:rsid w:val="00442B16"/>
    <w:rsid w:val="00454CE0"/>
    <w:rsid w:val="004558D2"/>
    <w:rsid w:val="00462C89"/>
    <w:rsid w:val="0046739C"/>
    <w:rsid w:val="0047348B"/>
    <w:rsid w:val="00475D0A"/>
    <w:rsid w:val="00485761"/>
    <w:rsid w:val="004860EF"/>
    <w:rsid w:val="00487379"/>
    <w:rsid w:val="00490179"/>
    <w:rsid w:val="004930E2"/>
    <w:rsid w:val="00493258"/>
    <w:rsid w:val="0049553C"/>
    <w:rsid w:val="00496301"/>
    <w:rsid w:val="004A2478"/>
    <w:rsid w:val="004B51C8"/>
    <w:rsid w:val="004C5953"/>
    <w:rsid w:val="004C7BCE"/>
    <w:rsid w:val="004D0CAD"/>
    <w:rsid w:val="004F10B2"/>
    <w:rsid w:val="004F30C8"/>
    <w:rsid w:val="00537F59"/>
    <w:rsid w:val="005426C2"/>
    <w:rsid w:val="00543346"/>
    <w:rsid w:val="005528DD"/>
    <w:rsid w:val="0055708D"/>
    <w:rsid w:val="005714AC"/>
    <w:rsid w:val="005777C7"/>
    <w:rsid w:val="00581B74"/>
    <w:rsid w:val="005836B8"/>
    <w:rsid w:val="00590EFB"/>
    <w:rsid w:val="0059246C"/>
    <w:rsid w:val="005926BB"/>
    <w:rsid w:val="005932B3"/>
    <w:rsid w:val="00596772"/>
    <w:rsid w:val="005A07D2"/>
    <w:rsid w:val="005A405B"/>
    <w:rsid w:val="005B5468"/>
    <w:rsid w:val="005B76F4"/>
    <w:rsid w:val="005C69AE"/>
    <w:rsid w:val="005D4009"/>
    <w:rsid w:val="005E5FB1"/>
    <w:rsid w:val="005E6EEC"/>
    <w:rsid w:val="005F74FD"/>
    <w:rsid w:val="005F7EFE"/>
    <w:rsid w:val="006016D8"/>
    <w:rsid w:val="006260C4"/>
    <w:rsid w:val="006313BC"/>
    <w:rsid w:val="00650C58"/>
    <w:rsid w:val="00651D11"/>
    <w:rsid w:val="0067389F"/>
    <w:rsid w:val="00680EE0"/>
    <w:rsid w:val="00681E0C"/>
    <w:rsid w:val="00682806"/>
    <w:rsid w:val="00683E15"/>
    <w:rsid w:val="00686581"/>
    <w:rsid w:val="00695139"/>
    <w:rsid w:val="00695F02"/>
    <w:rsid w:val="006A23A8"/>
    <w:rsid w:val="006D58BD"/>
    <w:rsid w:val="006D58ED"/>
    <w:rsid w:val="006E30DD"/>
    <w:rsid w:val="006F2109"/>
    <w:rsid w:val="006F564E"/>
    <w:rsid w:val="00700FBF"/>
    <w:rsid w:val="00702496"/>
    <w:rsid w:val="007054B8"/>
    <w:rsid w:val="00712C77"/>
    <w:rsid w:val="00720627"/>
    <w:rsid w:val="00721D81"/>
    <w:rsid w:val="0073222B"/>
    <w:rsid w:val="0073507A"/>
    <w:rsid w:val="00742C7B"/>
    <w:rsid w:val="00745944"/>
    <w:rsid w:val="007522FB"/>
    <w:rsid w:val="00757EC9"/>
    <w:rsid w:val="00762673"/>
    <w:rsid w:val="007631B4"/>
    <w:rsid w:val="00764C69"/>
    <w:rsid w:val="00773AEC"/>
    <w:rsid w:val="00774C78"/>
    <w:rsid w:val="007755BE"/>
    <w:rsid w:val="00775E05"/>
    <w:rsid w:val="00784452"/>
    <w:rsid w:val="0078474C"/>
    <w:rsid w:val="0079088D"/>
    <w:rsid w:val="00790CCE"/>
    <w:rsid w:val="0079201D"/>
    <w:rsid w:val="007925C2"/>
    <w:rsid w:val="007A7DBD"/>
    <w:rsid w:val="007B0D5F"/>
    <w:rsid w:val="007B71D0"/>
    <w:rsid w:val="007C2725"/>
    <w:rsid w:val="007C3106"/>
    <w:rsid w:val="007D3E6D"/>
    <w:rsid w:val="007E2D50"/>
    <w:rsid w:val="007E6050"/>
    <w:rsid w:val="007F482D"/>
    <w:rsid w:val="007F51EB"/>
    <w:rsid w:val="00805609"/>
    <w:rsid w:val="00810620"/>
    <w:rsid w:val="00810DDC"/>
    <w:rsid w:val="00811B5A"/>
    <w:rsid w:val="00813DF3"/>
    <w:rsid w:val="0081449A"/>
    <w:rsid w:val="00821EE2"/>
    <w:rsid w:val="00831CFF"/>
    <w:rsid w:val="00832284"/>
    <w:rsid w:val="008346B5"/>
    <w:rsid w:val="0084020A"/>
    <w:rsid w:val="008402D1"/>
    <w:rsid w:val="00852722"/>
    <w:rsid w:val="0087101B"/>
    <w:rsid w:val="00875EDB"/>
    <w:rsid w:val="00893FD3"/>
    <w:rsid w:val="008A3D68"/>
    <w:rsid w:val="008B5A2A"/>
    <w:rsid w:val="008C6880"/>
    <w:rsid w:val="008D4C55"/>
    <w:rsid w:val="008E29F9"/>
    <w:rsid w:val="008F2311"/>
    <w:rsid w:val="008F6359"/>
    <w:rsid w:val="00903067"/>
    <w:rsid w:val="00916EED"/>
    <w:rsid w:val="00921FD9"/>
    <w:rsid w:val="00923BB9"/>
    <w:rsid w:val="00923EE8"/>
    <w:rsid w:val="00942253"/>
    <w:rsid w:val="009435D5"/>
    <w:rsid w:val="009533B2"/>
    <w:rsid w:val="00964B56"/>
    <w:rsid w:val="00966171"/>
    <w:rsid w:val="00977556"/>
    <w:rsid w:val="009A26C1"/>
    <w:rsid w:val="009A2E9A"/>
    <w:rsid w:val="009A42C0"/>
    <w:rsid w:val="009C1C0A"/>
    <w:rsid w:val="009E03CE"/>
    <w:rsid w:val="009E14B4"/>
    <w:rsid w:val="009F790B"/>
    <w:rsid w:val="00A01D00"/>
    <w:rsid w:val="00A10640"/>
    <w:rsid w:val="00A10A02"/>
    <w:rsid w:val="00A11E4B"/>
    <w:rsid w:val="00A24645"/>
    <w:rsid w:val="00A263F5"/>
    <w:rsid w:val="00A26449"/>
    <w:rsid w:val="00A268B3"/>
    <w:rsid w:val="00A30A79"/>
    <w:rsid w:val="00A33927"/>
    <w:rsid w:val="00A4193D"/>
    <w:rsid w:val="00A47C97"/>
    <w:rsid w:val="00A5611E"/>
    <w:rsid w:val="00A6681D"/>
    <w:rsid w:val="00A8303A"/>
    <w:rsid w:val="00A83707"/>
    <w:rsid w:val="00A84839"/>
    <w:rsid w:val="00A94CBB"/>
    <w:rsid w:val="00A95522"/>
    <w:rsid w:val="00AA72DE"/>
    <w:rsid w:val="00AC4015"/>
    <w:rsid w:val="00B10D0D"/>
    <w:rsid w:val="00B14786"/>
    <w:rsid w:val="00B17618"/>
    <w:rsid w:val="00B310BF"/>
    <w:rsid w:val="00B33B84"/>
    <w:rsid w:val="00B34B86"/>
    <w:rsid w:val="00B3569B"/>
    <w:rsid w:val="00B4242A"/>
    <w:rsid w:val="00B46194"/>
    <w:rsid w:val="00B466B7"/>
    <w:rsid w:val="00B533C8"/>
    <w:rsid w:val="00B5606B"/>
    <w:rsid w:val="00B6116D"/>
    <w:rsid w:val="00B621DC"/>
    <w:rsid w:val="00B84D5F"/>
    <w:rsid w:val="00B874DF"/>
    <w:rsid w:val="00B90A6B"/>
    <w:rsid w:val="00B93481"/>
    <w:rsid w:val="00BB2299"/>
    <w:rsid w:val="00BC11CC"/>
    <w:rsid w:val="00BC5EE3"/>
    <w:rsid w:val="00BD096B"/>
    <w:rsid w:val="00BD286A"/>
    <w:rsid w:val="00BE1A15"/>
    <w:rsid w:val="00BF0BC8"/>
    <w:rsid w:val="00C01E4A"/>
    <w:rsid w:val="00C1709A"/>
    <w:rsid w:val="00C24997"/>
    <w:rsid w:val="00C33962"/>
    <w:rsid w:val="00C43F00"/>
    <w:rsid w:val="00C46CC3"/>
    <w:rsid w:val="00C509D9"/>
    <w:rsid w:val="00C52B13"/>
    <w:rsid w:val="00C5400B"/>
    <w:rsid w:val="00C60418"/>
    <w:rsid w:val="00C6727F"/>
    <w:rsid w:val="00C70951"/>
    <w:rsid w:val="00C8101B"/>
    <w:rsid w:val="00C83F82"/>
    <w:rsid w:val="00C866BE"/>
    <w:rsid w:val="00C9545F"/>
    <w:rsid w:val="00C96802"/>
    <w:rsid w:val="00CB38E2"/>
    <w:rsid w:val="00CB7567"/>
    <w:rsid w:val="00CC141D"/>
    <w:rsid w:val="00CC18AD"/>
    <w:rsid w:val="00CD6156"/>
    <w:rsid w:val="00CE27C6"/>
    <w:rsid w:val="00CE4083"/>
    <w:rsid w:val="00CE6C69"/>
    <w:rsid w:val="00CF3E79"/>
    <w:rsid w:val="00CF5997"/>
    <w:rsid w:val="00CF5E16"/>
    <w:rsid w:val="00D029E7"/>
    <w:rsid w:val="00D06C93"/>
    <w:rsid w:val="00D132F6"/>
    <w:rsid w:val="00D20ED0"/>
    <w:rsid w:val="00D54CC7"/>
    <w:rsid w:val="00D61FB6"/>
    <w:rsid w:val="00DA191F"/>
    <w:rsid w:val="00DA2465"/>
    <w:rsid w:val="00DA4230"/>
    <w:rsid w:val="00DC1C9B"/>
    <w:rsid w:val="00DE2582"/>
    <w:rsid w:val="00DF1A2F"/>
    <w:rsid w:val="00E034CC"/>
    <w:rsid w:val="00E102F6"/>
    <w:rsid w:val="00E109AA"/>
    <w:rsid w:val="00E10C1F"/>
    <w:rsid w:val="00E145C7"/>
    <w:rsid w:val="00E35A36"/>
    <w:rsid w:val="00E430AB"/>
    <w:rsid w:val="00E43B3E"/>
    <w:rsid w:val="00E43CD1"/>
    <w:rsid w:val="00E60CBA"/>
    <w:rsid w:val="00E61427"/>
    <w:rsid w:val="00E649A4"/>
    <w:rsid w:val="00E767E2"/>
    <w:rsid w:val="00E76CAC"/>
    <w:rsid w:val="00E97476"/>
    <w:rsid w:val="00EA19BE"/>
    <w:rsid w:val="00EA7075"/>
    <w:rsid w:val="00EB27A4"/>
    <w:rsid w:val="00EB5893"/>
    <w:rsid w:val="00EC2FD7"/>
    <w:rsid w:val="00EC4693"/>
    <w:rsid w:val="00ED2AEB"/>
    <w:rsid w:val="00EE386B"/>
    <w:rsid w:val="00EE59E0"/>
    <w:rsid w:val="00F049E8"/>
    <w:rsid w:val="00F12C1A"/>
    <w:rsid w:val="00F12E53"/>
    <w:rsid w:val="00F14B8E"/>
    <w:rsid w:val="00F16B8B"/>
    <w:rsid w:val="00F32ECF"/>
    <w:rsid w:val="00F3559E"/>
    <w:rsid w:val="00F46832"/>
    <w:rsid w:val="00F56783"/>
    <w:rsid w:val="00F64B2A"/>
    <w:rsid w:val="00F77FA9"/>
    <w:rsid w:val="00F82A8A"/>
    <w:rsid w:val="00F85023"/>
    <w:rsid w:val="00F90AEF"/>
    <w:rsid w:val="00F90E24"/>
    <w:rsid w:val="00FA0E1C"/>
    <w:rsid w:val="00FA23B8"/>
    <w:rsid w:val="00FA7523"/>
    <w:rsid w:val="00FB14A4"/>
    <w:rsid w:val="00FB168B"/>
    <w:rsid w:val="00FC19B7"/>
    <w:rsid w:val="00FC19D2"/>
    <w:rsid w:val="00FC79AB"/>
    <w:rsid w:val="00FD112F"/>
    <w:rsid w:val="00FD2F77"/>
    <w:rsid w:val="00FD7B0C"/>
    <w:rsid w:val="00FE0DDB"/>
    <w:rsid w:val="00FE6D56"/>
    <w:rsid w:val="00FF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AB0"/>
    <w:pPr>
      <w:widowControl w:val="0"/>
      <w:autoSpaceDE w:val="0"/>
      <w:autoSpaceDN w:val="0"/>
    </w:pPr>
    <w:rPr>
      <w:szCs w:val="24"/>
      <w:lang w:val="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semiHidden/>
    <w:unhideWhenUsed/>
    <w:qFormat/>
    <w:rsid w:val="000349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jc w:val="both"/>
    </w:pPr>
    <w:rPr>
      <w:szCs w:val="20"/>
    </w:rPr>
  </w:style>
  <w:style w:type="character" w:styleId="Hyperlink">
    <w:name w:val="Hyperlink"/>
    <w:rsid w:val="00B46194"/>
    <w:rPr>
      <w:color w:val="0000FF"/>
      <w:u w:val="single"/>
    </w:rPr>
  </w:style>
  <w:style w:type="paragraph" w:customStyle="1" w:styleId="ref3">
    <w:name w:val="ref3"/>
    <w:basedOn w:val="Normal"/>
    <w:rsid w:val="00496301"/>
    <w:pPr>
      <w:numPr>
        <w:numId w:val="2"/>
      </w:numPr>
      <w:tabs>
        <w:tab w:val="left" w:pos="-720"/>
      </w:tabs>
      <w:suppressAutoHyphens/>
      <w:autoSpaceDE/>
      <w:autoSpaceDN/>
      <w:jc w:val="both"/>
    </w:pPr>
    <w:rPr>
      <w:snapToGrid w:val="0"/>
      <w:szCs w:val="20"/>
      <w:lang w:eastAsia="en-US"/>
    </w:rPr>
  </w:style>
  <w:style w:type="character" w:styleId="Emphasis">
    <w:name w:val="Emphasis"/>
    <w:qFormat/>
    <w:rsid w:val="0004053E"/>
    <w:rPr>
      <w:i/>
      <w:iCs/>
    </w:rPr>
  </w:style>
  <w:style w:type="paragraph" w:styleId="BodyTextIndent">
    <w:name w:val="Body Text Indent"/>
    <w:basedOn w:val="Normal"/>
    <w:rsid w:val="00810620"/>
    <w:pPr>
      <w:spacing w:after="120"/>
      <w:ind w:left="283"/>
    </w:pPr>
  </w:style>
  <w:style w:type="paragraph" w:styleId="NormalWeb">
    <w:name w:val="Normal (Web)"/>
    <w:basedOn w:val="Normal"/>
    <w:uiPriority w:val="99"/>
    <w:rsid w:val="00FB14A4"/>
    <w:pPr>
      <w:widowControl/>
      <w:autoSpaceDE/>
      <w:autoSpaceDN/>
      <w:spacing w:before="100" w:beforeAutospacing="1" w:after="100" w:afterAutospacing="1"/>
    </w:pPr>
    <w:rPr>
      <w:sz w:val="24"/>
      <w:lang w:val="en-GB"/>
    </w:rPr>
  </w:style>
  <w:style w:type="character" w:styleId="Strong">
    <w:name w:val="Strong"/>
    <w:qFormat/>
    <w:rsid w:val="00057F17"/>
    <w:rPr>
      <w:b/>
      <w:bCs/>
    </w:rPr>
  </w:style>
  <w:style w:type="character" w:customStyle="1" w:styleId="apple-converted-space">
    <w:name w:val="apple-converted-space"/>
    <w:rsid w:val="006313BC"/>
  </w:style>
  <w:style w:type="table" w:styleId="TableGrid">
    <w:name w:val="Table Grid"/>
    <w:basedOn w:val="TableNormal"/>
    <w:uiPriority w:val="59"/>
    <w:rsid w:val="006313BC"/>
    <w:rPr>
      <w:rFonts w:ascii="Cambr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313BC"/>
    <w:pPr>
      <w:widowControl/>
      <w:autoSpaceDE/>
      <w:autoSpaceDN/>
      <w:spacing w:before="120" w:after="320"/>
      <w:jc w:val="both"/>
    </w:pPr>
    <w:rPr>
      <w:rFonts w:ascii="Myriad Pro" w:hAnsi="Myriad Pro"/>
      <w:b/>
      <w:bCs/>
      <w:color w:val="F79646"/>
      <w:sz w:val="24"/>
      <w:lang w:val="en-GB" w:eastAsia="en-US"/>
    </w:rPr>
  </w:style>
  <w:style w:type="paragraph" w:customStyle="1" w:styleId="Body">
    <w:name w:val="Body"/>
    <w:qFormat/>
    <w:rsid w:val="00CC141D"/>
    <w:pPr>
      <w:pBdr>
        <w:top w:val="nil"/>
        <w:left w:val="nil"/>
        <w:bottom w:val="nil"/>
        <w:right w:val="nil"/>
        <w:between w:val="nil"/>
        <w:bar w:val="nil"/>
      </w:pBdr>
      <w:spacing w:before="120"/>
      <w:jc w:val="both"/>
    </w:pPr>
    <w:rPr>
      <w:color w:val="000000"/>
      <w:sz w:val="24"/>
      <w:szCs w:val="24"/>
      <w:u w:color="000000"/>
      <w:bdr w:val="nil"/>
      <w:lang w:val="de-DE" w:eastAsia="de-DE"/>
    </w:rPr>
  </w:style>
  <w:style w:type="paragraph" w:styleId="ListParagraph">
    <w:name w:val="List Paragraph"/>
    <w:uiPriority w:val="34"/>
    <w:qFormat/>
    <w:rsid w:val="00CC141D"/>
    <w:pPr>
      <w:pBdr>
        <w:top w:val="nil"/>
        <w:left w:val="nil"/>
        <w:bottom w:val="nil"/>
        <w:right w:val="nil"/>
        <w:between w:val="nil"/>
        <w:bar w:val="nil"/>
      </w:pBdr>
      <w:spacing w:before="120"/>
      <w:ind w:left="720"/>
      <w:jc w:val="both"/>
    </w:pPr>
    <w:rPr>
      <w:rFonts w:eastAsia="Arial Unicode MS" w:hAnsi="Arial Unicode MS" w:cs="Arial Unicode MS"/>
      <w:color w:val="000000"/>
      <w:sz w:val="24"/>
      <w:szCs w:val="24"/>
      <w:u w:color="000000"/>
      <w:bdr w:val="nil"/>
      <w:lang w:val="en-US" w:eastAsia="de-DE"/>
    </w:rPr>
  </w:style>
  <w:style w:type="paragraph" w:styleId="FootnoteText">
    <w:name w:val="footnote text"/>
    <w:basedOn w:val="Normal"/>
    <w:link w:val="FootnoteTextChar"/>
    <w:rsid w:val="00773AEC"/>
    <w:rPr>
      <w:szCs w:val="20"/>
    </w:rPr>
  </w:style>
  <w:style w:type="character" w:customStyle="1" w:styleId="FootnoteTextChar">
    <w:name w:val="Footnote Text Char"/>
    <w:link w:val="FootnoteText"/>
    <w:rsid w:val="00773AEC"/>
    <w:rPr>
      <w:lang w:val="en-US"/>
    </w:rPr>
  </w:style>
  <w:style w:type="character" w:styleId="FootnoteReference">
    <w:name w:val="footnote reference"/>
    <w:uiPriority w:val="99"/>
    <w:unhideWhenUsed/>
    <w:rsid w:val="00773AEC"/>
    <w:rPr>
      <w:vertAlign w:val="superscript"/>
    </w:rPr>
  </w:style>
  <w:style w:type="character" w:styleId="CommentReference">
    <w:name w:val="annotation reference"/>
    <w:rsid w:val="007D3E6D"/>
    <w:rPr>
      <w:sz w:val="16"/>
      <w:szCs w:val="16"/>
    </w:rPr>
  </w:style>
  <w:style w:type="paragraph" w:styleId="CommentText">
    <w:name w:val="annotation text"/>
    <w:basedOn w:val="Normal"/>
    <w:link w:val="CommentTextChar"/>
    <w:rsid w:val="007D3E6D"/>
    <w:rPr>
      <w:szCs w:val="20"/>
    </w:rPr>
  </w:style>
  <w:style w:type="character" w:customStyle="1" w:styleId="CommentTextChar">
    <w:name w:val="Comment Text Char"/>
    <w:link w:val="CommentText"/>
    <w:rsid w:val="007D3E6D"/>
    <w:rPr>
      <w:lang w:val="en-US"/>
    </w:rPr>
  </w:style>
  <w:style w:type="paragraph" w:styleId="CommentSubject">
    <w:name w:val="annotation subject"/>
    <w:basedOn w:val="CommentText"/>
    <w:next w:val="CommentText"/>
    <w:link w:val="CommentSubjectChar"/>
    <w:rsid w:val="007D3E6D"/>
    <w:rPr>
      <w:b/>
      <w:bCs/>
    </w:rPr>
  </w:style>
  <w:style w:type="character" w:customStyle="1" w:styleId="CommentSubjectChar">
    <w:name w:val="Comment Subject Char"/>
    <w:link w:val="CommentSubject"/>
    <w:rsid w:val="007D3E6D"/>
    <w:rPr>
      <w:b/>
      <w:bCs/>
      <w:lang w:val="en-US"/>
    </w:rPr>
  </w:style>
  <w:style w:type="paragraph" w:styleId="BalloonText">
    <w:name w:val="Balloon Text"/>
    <w:basedOn w:val="Normal"/>
    <w:link w:val="BalloonTextChar"/>
    <w:rsid w:val="007D3E6D"/>
    <w:rPr>
      <w:rFonts w:ascii="Tahoma" w:hAnsi="Tahoma" w:cs="Tahoma"/>
      <w:sz w:val="16"/>
      <w:szCs w:val="16"/>
    </w:rPr>
  </w:style>
  <w:style w:type="character" w:customStyle="1" w:styleId="BalloonTextChar">
    <w:name w:val="Balloon Text Char"/>
    <w:link w:val="BalloonText"/>
    <w:rsid w:val="007D3E6D"/>
    <w:rPr>
      <w:rFonts w:ascii="Tahoma" w:hAnsi="Tahoma" w:cs="Tahoma"/>
      <w:sz w:val="16"/>
      <w:szCs w:val="16"/>
      <w:lang w:val="en-US"/>
    </w:rPr>
  </w:style>
  <w:style w:type="character" w:customStyle="1" w:styleId="tgc">
    <w:name w:val="_tgc"/>
    <w:rsid w:val="00745944"/>
  </w:style>
  <w:style w:type="character" w:customStyle="1" w:styleId="Heading2Char">
    <w:name w:val="Heading 2 Char"/>
    <w:link w:val="Heading2"/>
    <w:semiHidden/>
    <w:rsid w:val="00034911"/>
    <w:rPr>
      <w:rFonts w:ascii="Cambria" w:eastAsia="Times New Roman" w:hAnsi="Cambria" w:cs="Times New Roman"/>
      <w:b/>
      <w:bCs/>
      <w:i/>
      <w:i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AB0"/>
    <w:pPr>
      <w:widowControl w:val="0"/>
      <w:autoSpaceDE w:val="0"/>
      <w:autoSpaceDN w:val="0"/>
    </w:pPr>
    <w:rPr>
      <w:szCs w:val="24"/>
      <w:lang w:val="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semiHidden/>
    <w:unhideWhenUsed/>
    <w:qFormat/>
    <w:rsid w:val="000349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jc w:val="both"/>
    </w:pPr>
    <w:rPr>
      <w:szCs w:val="20"/>
    </w:rPr>
  </w:style>
  <w:style w:type="character" w:styleId="Hyperlink">
    <w:name w:val="Hyperlink"/>
    <w:rsid w:val="00B46194"/>
    <w:rPr>
      <w:color w:val="0000FF"/>
      <w:u w:val="single"/>
    </w:rPr>
  </w:style>
  <w:style w:type="paragraph" w:customStyle="1" w:styleId="ref3">
    <w:name w:val="ref3"/>
    <w:basedOn w:val="Normal"/>
    <w:rsid w:val="00496301"/>
    <w:pPr>
      <w:numPr>
        <w:numId w:val="2"/>
      </w:numPr>
      <w:tabs>
        <w:tab w:val="left" w:pos="-720"/>
      </w:tabs>
      <w:suppressAutoHyphens/>
      <w:autoSpaceDE/>
      <w:autoSpaceDN/>
      <w:jc w:val="both"/>
    </w:pPr>
    <w:rPr>
      <w:snapToGrid w:val="0"/>
      <w:szCs w:val="20"/>
      <w:lang w:eastAsia="en-US"/>
    </w:rPr>
  </w:style>
  <w:style w:type="character" w:styleId="Emphasis">
    <w:name w:val="Emphasis"/>
    <w:qFormat/>
    <w:rsid w:val="0004053E"/>
    <w:rPr>
      <w:i/>
      <w:iCs/>
    </w:rPr>
  </w:style>
  <w:style w:type="paragraph" w:styleId="BodyTextIndent">
    <w:name w:val="Body Text Indent"/>
    <w:basedOn w:val="Normal"/>
    <w:rsid w:val="00810620"/>
    <w:pPr>
      <w:spacing w:after="120"/>
      <w:ind w:left="283"/>
    </w:pPr>
  </w:style>
  <w:style w:type="paragraph" w:styleId="NormalWeb">
    <w:name w:val="Normal (Web)"/>
    <w:basedOn w:val="Normal"/>
    <w:uiPriority w:val="99"/>
    <w:rsid w:val="00FB14A4"/>
    <w:pPr>
      <w:widowControl/>
      <w:autoSpaceDE/>
      <w:autoSpaceDN/>
      <w:spacing w:before="100" w:beforeAutospacing="1" w:after="100" w:afterAutospacing="1"/>
    </w:pPr>
    <w:rPr>
      <w:sz w:val="24"/>
      <w:lang w:val="en-GB"/>
    </w:rPr>
  </w:style>
  <w:style w:type="character" w:styleId="Strong">
    <w:name w:val="Strong"/>
    <w:qFormat/>
    <w:rsid w:val="00057F17"/>
    <w:rPr>
      <w:b/>
      <w:bCs/>
    </w:rPr>
  </w:style>
  <w:style w:type="character" w:customStyle="1" w:styleId="apple-converted-space">
    <w:name w:val="apple-converted-space"/>
    <w:rsid w:val="006313BC"/>
  </w:style>
  <w:style w:type="table" w:styleId="TableGrid">
    <w:name w:val="Table Grid"/>
    <w:basedOn w:val="TableNormal"/>
    <w:uiPriority w:val="59"/>
    <w:rsid w:val="006313BC"/>
    <w:rPr>
      <w:rFonts w:ascii="Cambr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313BC"/>
    <w:pPr>
      <w:widowControl/>
      <w:autoSpaceDE/>
      <w:autoSpaceDN/>
      <w:spacing w:before="120" w:after="320"/>
      <w:jc w:val="both"/>
    </w:pPr>
    <w:rPr>
      <w:rFonts w:ascii="Myriad Pro" w:hAnsi="Myriad Pro"/>
      <w:b/>
      <w:bCs/>
      <w:color w:val="F79646"/>
      <w:sz w:val="24"/>
      <w:lang w:val="en-GB" w:eastAsia="en-US"/>
    </w:rPr>
  </w:style>
  <w:style w:type="paragraph" w:customStyle="1" w:styleId="Body">
    <w:name w:val="Body"/>
    <w:qFormat/>
    <w:rsid w:val="00CC141D"/>
    <w:pPr>
      <w:pBdr>
        <w:top w:val="nil"/>
        <w:left w:val="nil"/>
        <w:bottom w:val="nil"/>
        <w:right w:val="nil"/>
        <w:between w:val="nil"/>
        <w:bar w:val="nil"/>
      </w:pBdr>
      <w:spacing w:before="120"/>
      <w:jc w:val="both"/>
    </w:pPr>
    <w:rPr>
      <w:color w:val="000000"/>
      <w:sz w:val="24"/>
      <w:szCs w:val="24"/>
      <w:u w:color="000000"/>
      <w:bdr w:val="nil"/>
      <w:lang w:val="de-DE" w:eastAsia="de-DE"/>
    </w:rPr>
  </w:style>
  <w:style w:type="paragraph" w:styleId="ListParagraph">
    <w:name w:val="List Paragraph"/>
    <w:uiPriority w:val="34"/>
    <w:qFormat/>
    <w:rsid w:val="00CC141D"/>
    <w:pPr>
      <w:pBdr>
        <w:top w:val="nil"/>
        <w:left w:val="nil"/>
        <w:bottom w:val="nil"/>
        <w:right w:val="nil"/>
        <w:between w:val="nil"/>
        <w:bar w:val="nil"/>
      </w:pBdr>
      <w:spacing w:before="120"/>
      <w:ind w:left="720"/>
      <w:jc w:val="both"/>
    </w:pPr>
    <w:rPr>
      <w:rFonts w:eastAsia="Arial Unicode MS" w:hAnsi="Arial Unicode MS" w:cs="Arial Unicode MS"/>
      <w:color w:val="000000"/>
      <w:sz w:val="24"/>
      <w:szCs w:val="24"/>
      <w:u w:color="000000"/>
      <w:bdr w:val="nil"/>
      <w:lang w:val="en-US" w:eastAsia="de-DE"/>
    </w:rPr>
  </w:style>
  <w:style w:type="paragraph" w:styleId="FootnoteText">
    <w:name w:val="footnote text"/>
    <w:basedOn w:val="Normal"/>
    <w:link w:val="FootnoteTextChar"/>
    <w:rsid w:val="00773AEC"/>
    <w:rPr>
      <w:szCs w:val="20"/>
    </w:rPr>
  </w:style>
  <w:style w:type="character" w:customStyle="1" w:styleId="FootnoteTextChar">
    <w:name w:val="Footnote Text Char"/>
    <w:link w:val="FootnoteText"/>
    <w:rsid w:val="00773AEC"/>
    <w:rPr>
      <w:lang w:val="en-US"/>
    </w:rPr>
  </w:style>
  <w:style w:type="character" w:styleId="FootnoteReference">
    <w:name w:val="footnote reference"/>
    <w:uiPriority w:val="99"/>
    <w:unhideWhenUsed/>
    <w:rsid w:val="00773AEC"/>
    <w:rPr>
      <w:vertAlign w:val="superscript"/>
    </w:rPr>
  </w:style>
  <w:style w:type="character" w:styleId="CommentReference">
    <w:name w:val="annotation reference"/>
    <w:rsid w:val="007D3E6D"/>
    <w:rPr>
      <w:sz w:val="16"/>
      <w:szCs w:val="16"/>
    </w:rPr>
  </w:style>
  <w:style w:type="paragraph" w:styleId="CommentText">
    <w:name w:val="annotation text"/>
    <w:basedOn w:val="Normal"/>
    <w:link w:val="CommentTextChar"/>
    <w:rsid w:val="007D3E6D"/>
    <w:rPr>
      <w:szCs w:val="20"/>
    </w:rPr>
  </w:style>
  <w:style w:type="character" w:customStyle="1" w:styleId="CommentTextChar">
    <w:name w:val="Comment Text Char"/>
    <w:link w:val="CommentText"/>
    <w:rsid w:val="007D3E6D"/>
    <w:rPr>
      <w:lang w:val="en-US"/>
    </w:rPr>
  </w:style>
  <w:style w:type="paragraph" w:styleId="CommentSubject">
    <w:name w:val="annotation subject"/>
    <w:basedOn w:val="CommentText"/>
    <w:next w:val="CommentText"/>
    <w:link w:val="CommentSubjectChar"/>
    <w:rsid w:val="007D3E6D"/>
    <w:rPr>
      <w:b/>
      <w:bCs/>
    </w:rPr>
  </w:style>
  <w:style w:type="character" w:customStyle="1" w:styleId="CommentSubjectChar">
    <w:name w:val="Comment Subject Char"/>
    <w:link w:val="CommentSubject"/>
    <w:rsid w:val="007D3E6D"/>
    <w:rPr>
      <w:b/>
      <w:bCs/>
      <w:lang w:val="en-US"/>
    </w:rPr>
  </w:style>
  <w:style w:type="paragraph" w:styleId="BalloonText">
    <w:name w:val="Balloon Text"/>
    <w:basedOn w:val="Normal"/>
    <w:link w:val="BalloonTextChar"/>
    <w:rsid w:val="007D3E6D"/>
    <w:rPr>
      <w:rFonts w:ascii="Tahoma" w:hAnsi="Tahoma" w:cs="Tahoma"/>
      <w:sz w:val="16"/>
      <w:szCs w:val="16"/>
    </w:rPr>
  </w:style>
  <w:style w:type="character" w:customStyle="1" w:styleId="BalloonTextChar">
    <w:name w:val="Balloon Text Char"/>
    <w:link w:val="BalloonText"/>
    <w:rsid w:val="007D3E6D"/>
    <w:rPr>
      <w:rFonts w:ascii="Tahoma" w:hAnsi="Tahoma" w:cs="Tahoma"/>
      <w:sz w:val="16"/>
      <w:szCs w:val="16"/>
      <w:lang w:val="en-US"/>
    </w:rPr>
  </w:style>
  <w:style w:type="character" w:customStyle="1" w:styleId="tgc">
    <w:name w:val="_tgc"/>
    <w:rsid w:val="00745944"/>
  </w:style>
  <w:style w:type="character" w:customStyle="1" w:styleId="Heading2Char">
    <w:name w:val="Heading 2 Char"/>
    <w:link w:val="Heading2"/>
    <w:semiHidden/>
    <w:rsid w:val="00034911"/>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204">
      <w:bodyDiv w:val="1"/>
      <w:marLeft w:val="0"/>
      <w:marRight w:val="0"/>
      <w:marTop w:val="0"/>
      <w:marBottom w:val="0"/>
      <w:divBdr>
        <w:top w:val="none" w:sz="0" w:space="0" w:color="auto"/>
        <w:left w:val="none" w:sz="0" w:space="0" w:color="auto"/>
        <w:bottom w:val="none" w:sz="0" w:space="0" w:color="auto"/>
        <w:right w:val="none" w:sz="0" w:space="0" w:color="auto"/>
      </w:divBdr>
    </w:div>
    <w:div w:id="517542737">
      <w:bodyDiv w:val="1"/>
      <w:marLeft w:val="0"/>
      <w:marRight w:val="0"/>
      <w:marTop w:val="0"/>
      <w:marBottom w:val="0"/>
      <w:divBdr>
        <w:top w:val="none" w:sz="0" w:space="0" w:color="auto"/>
        <w:left w:val="none" w:sz="0" w:space="0" w:color="auto"/>
        <w:bottom w:val="none" w:sz="0" w:space="0" w:color="auto"/>
        <w:right w:val="none" w:sz="0" w:space="0" w:color="auto"/>
      </w:divBdr>
      <w:divsChild>
        <w:div w:id="1679457049">
          <w:marLeft w:val="0"/>
          <w:marRight w:val="0"/>
          <w:marTop w:val="0"/>
          <w:marBottom w:val="0"/>
          <w:divBdr>
            <w:top w:val="none" w:sz="0" w:space="0" w:color="auto"/>
            <w:left w:val="none" w:sz="0" w:space="0" w:color="auto"/>
            <w:bottom w:val="none" w:sz="0" w:space="0" w:color="auto"/>
            <w:right w:val="none" w:sz="0" w:space="0" w:color="auto"/>
          </w:divBdr>
        </w:div>
      </w:divsChild>
    </w:div>
    <w:div w:id="749231133">
      <w:bodyDiv w:val="1"/>
      <w:marLeft w:val="0"/>
      <w:marRight w:val="0"/>
      <w:marTop w:val="0"/>
      <w:marBottom w:val="0"/>
      <w:divBdr>
        <w:top w:val="none" w:sz="0" w:space="0" w:color="auto"/>
        <w:left w:val="none" w:sz="0" w:space="0" w:color="auto"/>
        <w:bottom w:val="none" w:sz="0" w:space="0" w:color="auto"/>
        <w:right w:val="none" w:sz="0" w:space="0" w:color="auto"/>
      </w:divBdr>
    </w:div>
    <w:div w:id="1172796926">
      <w:bodyDiv w:val="1"/>
      <w:marLeft w:val="0"/>
      <w:marRight w:val="0"/>
      <w:marTop w:val="0"/>
      <w:marBottom w:val="0"/>
      <w:divBdr>
        <w:top w:val="none" w:sz="0" w:space="0" w:color="auto"/>
        <w:left w:val="none" w:sz="0" w:space="0" w:color="auto"/>
        <w:bottom w:val="none" w:sz="0" w:space="0" w:color="auto"/>
        <w:right w:val="none" w:sz="0" w:space="0" w:color="auto"/>
      </w:divBdr>
    </w:div>
    <w:div w:id="13458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lde.upf.edu/layers/v/brs" TargetMode="External"/><Relationship Id="rId18" Type="http://schemas.openxmlformats.org/officeDocument/2006/relationships/hyperlink" Target="https://goo.gl/BseZK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ilde.upf.edu/layers/v/btz" TargetMode="External"/><Relationship Id="rId17" Type="http://schemas.openxmlformats.org/officeDocument/2006/relationships/hyperlink" Target="https://goo.gl/Xwu0l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lSRpaUY6d-Q"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lde.upf.edu/layers/v/brn" TargetMode="External"/><Relationship Id="rId24" Type="http://schemas.openxmlformats.org/officeDocument/2006/relationships/hyperlink" Target="http://tinyurl.com/oh6qzf7"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goo.gl/vgaHmy" TargetMode="External"/><Relationship Id="rId28" Type="http://schemas.openxmlformats.org/officeDocument/2006/relationships/theme" Target="theme/theme1.xml"/><Relationship Id="rId10" Type="http://schemas.openxmlformats.org/officeDocument/2006/relationships/hyperlink" Target="http://tinyurl.com/yab6s2q"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goo.gl/ZUMTVz" TargetMode="External"/><Relationship Id="rId14" Type="http://schemas.openxmlformats.org/officeDocument/2006/relationships/hyperlink" Target="https://goo.gl/jiwbgm" TargetMode="External"/><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lde.upf.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5481</Words>
  <Characters>31247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Who’s Talking, Listening, and Learning Now</vt:lpstr>
    </vt:vector>
  </TitlesOfParts>
  <Company>CEE - NAU</Company>
  <LinksUpToDate>false</LinksUpToDate>
  <CharactersWithSpaces>36655</CharactersWithSpaces>
  <SharedDoc>false</SharedDoc>
  <HLinks>
    <vt:vector size="72" baseType="variant">
      <vt:variant>
        <vt:i4>3276922</vt:i4>
      </vt:variant>
      <vt:variant>
        <vt:i4>30</vt:i4>
      </vt:variant>
      <vt:variant>
        <vt:i4>0</vt:i4>
      </vt:variant>
      <vt:variant>
        <vt:i4>5</vt:i4>
      </vt:variant>
      <vt:variant>
        <vt:lpwstr>http://tinyurl.com/oh6qzf7</vt:lpwstr>
      </vt:variant>
      <vt:variant>
        <vt:lpwstr/>
      </vt:variant>
      <vt:variant>
        <vt:i4>4587535</vt:i4>
      </vt:variant>
      <vt:variant>
        <vt:i4>27</vt:i4>
      </vt:variant>
      <vt:variant>
        <vt:i4>0</vt:i4>
      </vt:variant>
      <vt:variant>
        <vt:i4>5</vt:i4>
      </vt:variant>
      <vt:variant>
        <vt:lpwstr>https://goo.gl/vgaHmy</vt:lpwstr>
      </vt:variant>
      <vt:variant>
        <vt:lpwstr/>
      </vt:variant>
      <vt:variant>
        <vt:i4>5242889</vt:i4>
      </vt:variant>
      <vt:variant>
        <vt:i4>24</vt:i4>
      </vt:variant>
      <vt:variant>
        <vt:i4>0</vt:i4>
      </vt:variant>
      <vt:variant>
        <vt:i4>5</vt:i4>
      </vt:variant>
      <vt:variant>
        <vt:lpwstr>https://goo.gl/BseZKB</vt:lpwstr>
      </vt:variant>
      <vt:variant>
        <vt:lpwstr/>
      </vt:variant>
      <vt:variant>
        <vt:i4>6094919</vt:i4>
      </vt:variant>
      <vt:variant>
        <vt:i4>21</vt:i4>
      </vt:variant>
      <vt:variant>
        <vt:i4>0</vt:i4>
      </vt:variant>
      <vt:variant>
        <vt:i4>5</vt:i4>
      </vt:variant>
      <vt:variant>
        <vt:lpwstr>https://goo.gl/Xwu0lE</vt:lpwstr>
      </vt:variant>
      <vt:variant>
        <vt:lpwstr/>
      </vt:variant>
      <vt:variant>
        <vt:i4>5373977</vt:i4>
      </vt:variant>
      <vt:variant>
        <vt:i4>18</vt:i4>
      </vt:variant>
      <vt:variant>
        <vt:i4>0</vt:i4>
      </vt:variant>
      <vt:variant>
        <vt:i4>5</vt:i4>
      </vt:variant>
      <vt:variant>
        <vt:lpwstr>https://youtu.be/lSRpaUY6d-Q</vt:lpwstr>
      </vt:variant>
      <vt:variant>
        <vt:lpwstr/>
      </vt:variant>
      <vt:variant>
        <vt:i4>4587531</vt:i4>
      </vt:variant>
      <vt:variant>
        <vt:i4>15</vt:i4>
      </vt:variant>
      <vt:variant>
        <vt:i4>0</vt:i4>
      </vt:variant>
      <vt:variant>
        <vt:i4>5</vt:i4>
      </vt:variant>
      <vt:variant>
        <vt:lpwstr>https://goo.gl/jiwbgm</vt:lpwstr>
      </vt:variant>
      <vt:variant>
        <vt:lpwstr/>
      </vt:variant>
      <vt:variant>
        <vt:i4>851990</vt:i4>
      </vt:variant>
      <vt:variant>
        <vt:i4>12</vt:i4>
      </vt:variant>
      <vt:variant>
        <vt:i4>0</vt:i4>
      </vt:variant>
      <vt:variant>
        <vt:i4>5</vt:i4>
      </vt:variant>
      <vt:variant>
        <vt:lpwstr>http://ilde.upf.edu/layers/v/brs</vt:lpwstr>
      </vt:variant>
      <vt:variant>
        <vt:lpwstr/>
      </vt:variant>
      <vt:variant>
        <vt:i4>262160</vt:i4>
      </vt:variant>
      <vt:variant>
        <vt:i4>9</vt:i4>
      </vt:variant>
      <vt:variant>
        <vt:i4>0</vt:i4>
      </vt:variant>
      <vt:variant>
        <vt:i4>5</vt:i4>
      </vt:variant>
      <vt:variant>
        <vt:lpwstr>http://ilde.upf.edu/layers/v/btz</vt:lpwstr>
      </vt:variant>
      <vt:variant>
        <vt:lpwstr/>
      </vt:variant>
      <vt:variant>
        <vt:i4>1048598</vt:i4>
      </vt:variant>
      <vt:variant>
        <vt:i4>6</vt:i4>
      </vt:variant>
      <vt:variant>
        <vt:i4>0</vt:i4>
      </vt:variant>
      <vt:variant>
        <vt:i4>5</vt:i4>
      </vt:variant>
      <vt:variant>
        <vt:lpwstr>http://ilde.upf.edu/layers/v/brn</vt:lpwstr>
      </vt:variant>
      <vt:variant>
        <vt:lpwstr/>
      </vt:variant>
      <vt:variant>
        <vt:i4>4128864</vt:i4>
      </vt:variant>
      <vt:variant>
        <vt:i4>3</vt:i4>
      </vt:variant>
      <vt:variant>
        <vt:i4>0</vt:i4>
      </vt:variant>
      <vt:variant>
        <vt:i4>5</vt:i4>
      </vt:variant>
      <vt:variant>
        <vt:lpwstr>http://tinyurl.com/yab6s2q</vt:lpwstr>
      </vt:variant>
      <vt:variant>
        <vt:lpwstr/>
      </vt:variant>
      <vt:variant>
        <vt:i4>6094849</vt:i4>
      </vt:variant>
      <vt:variant>
        <vt:i4>0</vt:i4>
      </vt:variant>
      <vt:variant>
        <vt:i4>0</vt:i4>
      </vt:variant>
      <vt:variant>
        <vt:i4>5</vt:i4>
      </vt:variant>
      <vt:variant>
        <vt:lpwstr>https://goo.gl/ZUMTVz</vt:lpwstr>
      </vt:variant>
      <vt:variant>
        <vt:lpwstr/>
      </vt:variant>
      <vt:variant>
        <vt:i4>2424953</vt:i4>
      </vt:variant>
      <vt:variant>
        <vt:i4>0</vt:i4>
      </vt:variant>
      <vt:variant>
        <vt:i4>0</vt:i4>
      </vt:variant>
      <vt:variant>
        <vt:i4>5</vt:i4>
      </vt:variant>
      <vt:variant>
        <vt:lpwstr>http://ilde.upf.edu/about/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 Talking, Listening, and Learning Now</dc:title>
  <dc:creator>Sherry Markel</dc:creator>
  <cp:lastModifiedBy>John Cook</cp:lastModifiedBy>
  <cp:revision>2</cp:revision>
  <dcterms:created xsi:type="dcterms:W3CDTF">2015-12-06T10:07:00Z</dcterms:created>
  <dcterms:modified xsi:type="dcterms:W3CDTF">2015-12-06T10:07:00Z</dcterms:modified>
</cp:coreProperties>
</file>